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3FF" w:rsidRPr="00DE2282" w:rsidRDefault="00725663" w:rsidP="0072566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C60C26A-330C-461E-B185-A455BF750031" style="width:455.25pt;height:410.25pt">
            <v:imagedata r:id="rId12" o:title=""/>
          </v:shape>
        </w:pict>
      </w:r>
    </w:p>
    <w:p w:rsidR="00710EEC" w:rsidRPr="00DE2282" w:rsidRDefault="00710EEC" w:rsidP="00710EEC">
      <w:pPr>
        <w:rPr>
          <w:noProof/>
        </w:rPr>
        <w:sectPr w:rsidR="00710EEC" w:rsidRPr="00DE2282" w:rsidSect="00725663">
          <w:footerReference w:type="even" r:id="rId13"/>
          <w:footerReference w:type="default" r:id="rId14"/>
          <w:pgSz w:w="11907" w:h="16839"/>
          <w:pgMar w:top="1134" w:right="1417" w:bottom="1134" w:left="1417" w:header="709" w:footer="709" w:gutter="0"/>
          <w:pgNumType w:start="0"/>
          <w:cols w:space="720"/>
          <w:docGrid w:linePitch="360"/>
        </w:sectPr>
      </w:pPr>
    </w:p>
    <w:p w:rsidR="00EA33FF" w:rsidRPr="00DE2282" w:rsidRDefault="00EA33FF" w:rsidP="00854ABF">
      <w:pPr>
        <w:pStyle w:val="Exposdesmotifstitre"/>
        <w:rPr>
          <w:noProof/>
        </w:rPr>
      </w:pPr>
      <w:bookmarkStart w:id="0" w:name="_GoBack"/>
      <w:bookmarkEnd w:id="0"/>
      <w:r w:rsidRPr="00DE2282">
        <w:rPr>
          <w:noProof/>
        </w:rPr>
        <w:lastRenderedPageBreak/>
        <w:t>EXPOSICIÓN DE MOTIVOS</w:t>
      </w:r>
    </w:p>
    <w:p w:rsidR="00EA33FF" w:rsidRPr="00DE2282" w:rsidRDefault="00EA33FF" w:rsidP="00BB6B30">
      <w:pPr>
        <w:pStyle w:val="ManualHeading1"/>
        <w:rPr>
          <w:noProof/>
        </w:rPr>
      </w:pPr>
      <w:r w:rsidRPr="00DE2282">
        <w:rPr>
          <w:noProof/>
        </w:rPr>
        <w:t>1.</w:t>
      </w:r>
      <w:r w:rsidRPr="00DE2282">
        <w:rPr>
          <w:noProof/>
        </w:rPr>
        <w:tab/>
        <w:t>CONTEXTO DE LA PROPUESTA</w:t>
      </w:r>
    </w:p>
    <w:p w:rsidR="00EA33FF" w:rsidRPr="00DE2282" w:rsidRDefault="00EA33FF" w:rsidP="00044058">
      <w:pPr>
        <w:pStyle w:val="ManualHeading2"/>
        <w:rPr>
          <w:rFonts w:eastAsia="Arial Unicode MS"/>
          <w:noProof/>
        </w:rPr>
      </w:pPr>
      <w:r w:rsidRPr="00DE2282">
        <w:rPr>
          <w:noProof/>
          <w:u w:color="000000"/>
          <w:bdr w:val="nil"/>
        </w:rPr>
        <w:tab/>
      </w:r>
      <w:r w:rsidRPr="00DE2282">
        <w:rPr>
          <w:noProof/>
        </w:rPr>
        <w:t>Razones y objetivos de la propuesta</w:t>
      </w:r>
    </w:p>
    <w:p w:rsidR="00C85859" w:rsidRPr="00DE2282" w:rsidRDefault="00C85859" w:rsidP="00C85859">
      <w:pPr>
        <w:autoSpaceDE w:val="0"/>
        <w:autoSpaceDN w:val="0"/>
        <w:adjustRightInd w:val="0"/>
        <w:rPr>
          <w:rFonts w:cs="Arial"/>
          <w:noProof/>
        </w:rPr>
      </w:pPr>
      <w:r w:rsidRPr="00DE2282">
        <w:rPr>
          <w:noProof/>
        </w:rPr>
        <w:t>El Banco Europeo de Reconstrucción y Desarrollo (BERD) se creó en 1991 para apoyar la transición hacia economías de mercado en los países de Europa Central y Oriental tras la caída de los regímenes comunistas. Entre los miembros fundadores se encontraban la Unión Europea, el Banco Europeo de Inversiones (BEI) y 40 países (incluidos todos los Estados miembros de la Unión en aquel momento). En la actualidad</w:t>
      </w:r>
      <w:r w:rsidR="000D208A" w:rsidRPr="00DE2282">
        <w:rPr>
          <w:rStyle w:val="FootnoteReference"/>
          <w:rFonts w:cs="Arial"/>
          <w:noProof/>
          <w:lang w:eastAsia="en-GB" w:bidi="hi-IN"/>
        </w:rPr>
        <w:footnoteReference w:id="2"/>
      </w:r>
      <w:r w:rsidRPr="00DE2282">
        <w:rPr>
          <w:noProof/>
        </w:rPr>
        <w:t>, la titularidad del BERD corresponde a 72 países, la Unión y el BEI. Tras dos ampliaciones de su ámbito geográfico original, el BERD presta actualmente apoyo a inversiones en 38 países en los que opera</w:t>
      </w:r>
      <w:r w:rsidRPr="00DE2282">
        <w:rPr>
          <w:rStyle w:val="FootnoteReference"/>
          <w:rFonts w:cs="Arial"/>
          <w:noProof/>
          <w:lang w:eastAsia="en-GB" w:bidi="hi-IN"/>
        </w:rPr>
        <w:footnoteReference w:id="3"/>
      </w:r>
      <w:r w:rsidRPr="00DE2282">
        <w:rPr>
          <w:noProof/>
        </w:rPr>
        <w:t>, que suscriben y aplican los principios de la democracia pluralista, del pluralismo y de la economía de mercado, con el objetivo de desarrollar iniciativas privadas y empresariales</w:t>
      </w:r>
      <w:r w:rsidRPr="00DE2282">
        <w:rPr>
          <w:rStyle w:val="FootnoteReference"/>
          <w:rFonts w:cs="Arial"/>
          <w:noProof/>
          <w:lang w:eastAsia="en-GB" w:bidi="hi-IN"/>
        </w:rPr>
        <w:footnoteReference w:id="4"/>
      </w:r>
      <w:r w:rsidRPr="00DE2282">
        <w:rPr>
          <w:noProof/>
        </w:rPr>
        <w:t>.</w:t>
      </w:r>
    </w:p>
    <w:p w:rsidR="00C85859" w:rsidRPr="00DE2282" w:rsidRDefault="00C85859" w:rsidP="00C85859">
      <w:pPr>
        <w:rPr>
          <w:noProof/>
        </w:rPr>
      </w:pPr>
      <w:r w:rsidRPr="00DE2282">
        <w:rPr>
          <w:noProof/>
        </w:rPr>
        <w:t xml:space="preserve">La propuesta de Decisión tiene por objeto permitir a la Unión suscribir acciones desembolsadas adicionales del BERD en la ampliación de capital decidida por su Junta de Gobernadores el 15 de diciembre de 2023 para garantizar el apoyo del Banco a la resiliencia y la reconstrucción de Ucrania después de 2023, así como el apoyo continuado en todos los países en los que opera para hacer frente a los retos de transición más acuciantes, en consonancia con el mandato y la dirección estratégica del BERD. </w:t>
      </w:r>
    </w:p>
    <w:p w:rsidR="00C85859" w:rsidRPr="00DE2282" w:rsidRDefault="00C85859" w:rsidP="00C85859">
      <w:pPr>
        <w:rPr>
          <w:noProof/>
        </w:rPr>
      </w:pPr>
      <w:r w:rsidRPr="00DE2282">
        <w:rPr>
          <w:noProof/>
        </w:rPr>
        <w:t>La propuesta de Decisión tiene también por objeto aprobar modificaciones del Convenio constitutivo del BERD que i) permiten la ampliación limitada y progresiva del ámbito geográfico de las operaciones del BERD al África subsahariana e Irak y ii) suprimen la limitación estatutaria del capital para operaciones ordinarias y confían al Consejo de Administración del BERD el establecimiento y mantenimiento de límites adecuados con respecto a los parámetros de adecuación del capital.</w:t>
      </w:r>
    </w:p>
    <w:p w:rsidR="00C85859" w:rsidRPr="00DE2282" w:rsidRDefault="00C85859" w:rsidP="00C85859">
      <w:pPr>
        <w:rPr>
          <w:noProof/>
        </w:rPr>
      </w:pPr>
      <w:r w:rsidRPr="00DE2282">
        <w:rPr>
          <w:noProof/>
        </w:rPr>
        <w:t xml:space="preserve">La Decisión propuesta autoriza al gobernador que representa a la Unión en el BERD a depositar el instrumento necesario para la suscripción de nuevas acciones y a </w:t>
      </w:r>
      <w:r w:rsidRPr="00DE2282">
        <w:rPr>
          <w:noProof/>
          <w:color w:val="000000"/>
          <w:shd w:val="clear" w:color="auto" w:fill="FFFFFF"/>
        </w:rPr>
        <w:t>comunicar al BERD la declaración de aceptación de las modificaciones anteriormente descritas del Convenio constitutivo del BERD.</w:t>
      </w:r>
      <w:r w:rsidRPr="00DE2282">
        <w:rPr>
          <w:noProof/>
        </w:rPr>
        <w:t xml:space="preserve"> </w:t>
      </w:r>
    </w:p>
    <w:p w:rsidR="00C85859" w:rsidRPr="00DE2282" w:rsidRDefault="00C85859" w:rsidP="00C85859">
      <w:pPr>
        <w:rPr>
          <w:noProof/>
        </w:rPr>
      </w:pPr>
      <w:r w:rsidRPr="00DE2282">
        <w:rPr>
          <w:noProof/>
        </w:rPr>
        <w:t>La Unión se convirtió en miembro del BERD en virtud de la Decisión 90/674/CEE del Consejo</w:t>
      </w:r>
      <w:r w:rsidRPr="00DE2282">
        <w:rPr>
          <w:rStyle w:val="FootnoteReference"/>
          <w:noProof/>
          <w:lang w:eastAsia="en-GB" w:bidi="hi-IN"/>
        </w:rPr>
        <w:footnoteReference w:id="5"/>
      </w:r>
      <w:r w:rsidRPr="00DE2282">
        <w:rPr>
          <w:noProof/>
        </w:rPr>
        <w:t>, de 19 de noviembre de 1990, relativa a la celebración del Convenio constitutivo del BERD</w:t>
      </w:r>
      <w:r w:rsidRPr="00DE2282">
        <w:rPr>
          <w:rStyle w:val="FootnoteReference"/>
          <w:noProof/>
          <w:lang w:eastAsia="en-GB" w:bidi="hi-IN"/>
        </w:rPr>
        <w:footnoteReference w:id="6"/>
      </w:r>
      <w:r w:rsidRPr="00DE2282">
        <w:rPr>
          <w:noProof/>
        </w:rPr>
        <w:t>. El capital inicial del BERD se fijó en 10 000 millones de ecus, de los cuales la Unión suscribió el 3 %.</w:t>
      </w:r>
    </w:p>
    <w:p w:rsidR="00C85859" w:rsidRPr="00DE2282" w:rsidRDefault="00C85859" w:rsidP="00C85859">
      <w:pPr>
        <w:rPr>
          <w:noProof/>
        </w:rPr>
      </w:pPr>
      <w:r w:rsidRPr="00DE2282">
        <w:rPr>
          <w:noProof/>
        </w:rPr>
        <w:lastRenderedPageBreak/>
        <w:t>En 1996, los gobernadores del BERD decidieron duplicar el capital autorizado del BERD, para lo cual la Unión suscribió otras 30 000 acciones de 10 000 EUR cada una, lo que elevó el capital suscrito por la Unión a 600 millones EUR</w:t>
      </w:r>
      <w:r w:rsidRPr="00DE2282">
        <w:rPr>
          <w:rStyle w:val="FootnoteReference"/>
          <w:noProof/>
          <w:lang w:eastAsia="en-GB" w:bidi="hi-IN"/>
        </w:rPr>
        <w:footnoteReference w:id="7"/>
      </w:r>
      <w:r w:rsidRPr="00DE2282">
        <w:rPr>
          <w:noProof/>
        </w:rPr>
        <w:t>. Se mantuvo la participación de la Unión en el capital autorizado total del BERD. La suscripción de acciones adicionales se produjo en virtud de la Decisión 97/135/CE del Consejo</w:t>
      </w:r>
      <w:r w:rsidRPr="00DE2282">
        <w:rPr>
          <w:rStyle w:val="FootnoteReference"/>
          <w:noProof/>
          <w:lang w:eastAsia="en-GB" w:bidi="hi-IN"/>
        </w:rPr>
        <w:footnoteReference w:id="8"/>
      </w:r>
      <w:r w:rsidRPr="00DE2282">
        <w:rPr>
          <w:noProof/>
        </w:rPr>
        <w:t>, adoptada el 17 de febrero de 1997, que establecía «la suscripción por la Comunidad Europea de nuevas acciones del Banco Europeo de Reconstrucción y Desarrollo como resultado de la decisión de duplicar su capital». En 2010, el BERD decidió un aumento de su capital autorizado de 10 000 millones EUR, consistente en 100 000 acciones desembolsadas y 900 000 acciones no desembolsadas, a fin de mantener un capital suficiente para mantener a medio plazo un nivel de actividad razonable en los países donde opera. En consecuencia, la Unión suscribió acciones adicionales en virtud de la Decisión 1219/2011/UE, adoptada el 16 de noviembre de 2011</w:t>
      </w:r>
      <w:r w:rsidRPr="00DE2282">
        <w:rPr>
          <w:rStyle w:val="FootnoteReference"/>
          <w:noProof/>
        </w:rPr>
        <w:footnoteReference w:id="9"/>
      </w:r>
      <w:r w:rsidRPr="00DE2282">
        <w:rPr>
          <w:noProof/>
        </w:rPr>
        <w:t>.</w:t>
      </w:r>
    </w:p>
    <w:p w:rsidR="00C85859" w:rsidRPr="00DE2282" w:rsidRDefault="00C85859" w:rsidP="00C85859">
      <w:pPr>
        <w:rPr>
          <w:noProof/>
        </w:rPr>
      </w:pPr>
      <w:r w:rsidRPr="00DE2282">
        <w:rPr>
          <w:noProof/>
        </w:rPr>
        <w:t>Durante la reunión anual de gobernadores celebrada en Samarcanda el 18 de mayo de 2023, la Junta de Gobernadores del BERD adoptó tres decisiones estratégicas que configurarán el futuro del BERD:</w:t>
      </w:r>
    </w:p>
    <w:p w:rsidR="00C85859" w:rsidRPr="00DE2282" w:rsidRDefault="00C85859" w:rsidP="00C85859">
      <w:pPr>
        <w:rPr>
          <w:noProof/>
          <w:color w:val="000000"/>
        </w:rPr>
      </w:pPr>
      <w:r w:rsidRPr="00DE2282">
        <w:rPr>
          <w:noProof/>
        </w:rPr>
        <w:t xml:space="preserve">En primer lugar, la Junta de Gobernadores adoptó la Resolución n.º 258, que establece que será necesario un mayor apoyo de los accionistas para que el BERD pueda cumplir su misión en Ucrania, garantizando un apoyo continuado después de 2023. </w:t>
      </w:r>
      <w:r w:rsidRPr="00DE2282">
        <w:rPr>
          <w:noProof/>
          <w:color w:val="000000"/>
        </w:rPr>
        <w:t xml:space="preserve">La Resolución se adoptó en el contexto de la guerra de agresión de Rusia contra Ucrania iniciada en febrero de 2022, apoyada por el Gobierno de Bielorrusia. El BERD ha sido el mayor inversor institucional en Ucrania y un socio comprometido con este país desde su independencia en agosto de 1991. </w:t>
      </w:r>
    </w:p>
    <w:p w:rsidR="00C85859" w:rsidRPr="00DE2282" w:rsidRDefault="00C85859" w:rsidP="00C85859">
      <w:pPr>
        <w:rPr>
          <w:noProof/>
        </w:rPr>
      </w:pPr>
      <w:r w:rsidRPr="00DE2282">
        <w:rPr>
          <w:noProof/>
        </w:rPr>
        <w:t xml:space="preserve">Debido al mandato único y a las ventajas comparativas del BERD, los accionistas han dejado claro que debe seguir desempeñando un papel fundamental en el esfuerzo internacional —cooperando estrechamente con la Unión y otras instituciones financieras internacionales— para prestar apoyo a la economía real de Ucrania durante la guerra y en la reconstrucción posterior a la guerra, manteniendo al mismo tiempo su solidez financiera. Por consiguiente, la Junta de Gobernadores ha establecido como máxima prioridad del BERD apoyar a Ucrania, ahora y en el futuro. </w:t>
      </w:r>
    </w:p>
    <w:p w:rsidR="00C85859" w:rsidRPr="00DE2282" w:rsidRDefault="00C85859" w:rsidP="00C85859">
      <w:pPr>
        <w:rPr>
          <w:noProof/>
          <w:color w:val="000000"/>
        </w:rPr>
      </w:pPr>
      <w:r w:rsidRPr="00DE2282">
        <w:rPr>
          <w:noProof/>
        </w:rPr>
        <w:t>La Junta de Gobernadores también ha declarado que el BERD debe seguir apoyando a todos los países en los que opera. Muchos de ellos siguen viéndose afectados negativamente por la guerra, en particular los que aceptan refugiados y aquellos cuyas economías dependían en gran medida de Rusia.</w:t>
      </w:r>
    </w:p>
    <w:p w:rsidR="00C85859" w:rsidRPr="00DE2282" w:rsidRDefault="00C85859" w:rsidP="00C85859">
      <w:pPr>
        <w:rPr>
          <w:noProof/>
        </w:rPr>
      </w:pPr>
      <w:r w:rsidRPr="00DE2282">
        <w:rPr>
          <w:noProof/>
        </w:rPr>
        <w:t xml:space="preserve">La Junta de Gobernadores concluyó además que el capital desembolsado es la forma más eficaz de apoyo de los accionistas e indicó que tenía la intención de adoptar una decisión definitiva sobre el importe y el calendario de la ampliación de capital hasta finales de 2023. </w:t>
      </w:r>
      <w:r w:rsidRPr="00DE2282">
        <w:rPr>
          <w:noProof/>
          <w:color w:val="000000"/>
        </w:rPr>
        <w:t xml:space="preserve">La ampliación de capital tiene por objeto dotar al BERD de los medios necesarios para seguir apoyando a Ucrania, protegiendo al mismo tiempo su solidez financiera y su calificación AAA. </w:t>
      </w:r>
      <w:r w:rsidRPr="00DE2282">
        <w:rPr>
          <w:noProof/>
        </w:rPr>
        <w:t>En concreto, esto es necesario para garantizar un nivel de actividad sostenido durante la guerra y altos niveles de inversión en la fase de reconstrucción de Ucrania.</w:t>
      </w:r>
    </w:p>
    <w:p w:rsidR="00C85859" w:rsidRPr="00DE2282" w:rsidRDefault="00C85859" w:rsidP="00C85859">
      <w:pPr>
        <w:rPr>
          <w:noProof/>
        </w:rPr>
      </w:pPr>
      <w:r w:rsidRPr="00DE2282">
        <w:rPr>
          <w:noProof/>
        </w:rPr>
        <w:t>En consecuencia, el 15 de diciembre de 2023, la Junta de Gobernadores adoptó la Resolución n.º 265</w:t>
      </w:r>
      <w:r w:rsidR="00D02738" w:rsidRPr="00DE2282">
        <w:rPr>
          <w:rStyle w:val="FootnoteReference"/>
          <w:noProof/>
        </w:rPr>
        <w:footnoteReference w:id="10"/>
      </w:r>
      <w:r w:rsidRPr="00DE2282">
        <w:rPr>
          <w:noProof/>
        </w:rPr>
        <w:t xml:space="preserve">, que autoriza al BERD a aumentar su número de acciones en 400 000 nuevas </w:t>
      </w:r>
      <w:r w:rsidRPr="00DE2282">
        <w:rPr>
          <w:noProof/>
        </w:rPr>
        <w:lastRenderedPageBreak/>
        <w:t>acciones con un precio de 10 000 EUR cada una, por un total de 4 000 millones EUR, con fecha de efectos el 31 de diciembre de 2024.</w:t>
      </w:r>
    </w:p>
    <w:p w:rsidR="00C85859" w:rsidRPr="00DE2282" w:rsidRDefault="00C85859" w:rsidP="00C85859">
      <w:pPr>
        <w:rPr>
          <w:noProof/>
          <w:szCs w:val="24"/>
        </w:rPr>
      </w:pPr>
      <w:r w:rsidRPr="00DE2282">
        <w:rPr>
          <w:noProof/>
        </w:rPr>
        <w:t>La participación de la Unión en la ampliación de capital garantizará que la Unión mantenga su participación directa del 3 % en el capital suscrito total del BERD. El BEI (3 %) y los Estados miembros a título individual (EU-27, suma de cuotas individuales de aproximadamente el 48,4 %) son también accionistas del BERD, lo que actualmente otorga a la Unión, de forma combinada, una participación mayoritaria del 54,4 %.</w:t>
      </w:r>
    </w:p>
    <w:p w:rsidR="00C85859" w:rsidRPr="00DE2282" w:rsidRDefault="00C85859" w:rsidP="00C85859">
      <w:pPr>
        <w:rPr>
          <w:noProof/>
        </w:rPr>
      </w:pPr>
      <w:r w:rsidRPr="00DE2282">
        <w:rPr>
          <w:noProof/>
        </w:rPr>
        <w:t>La Unión podrá suscribir de manera proporcional 12 102 nuevas acciones, de un valor nominal de 10 000 EUR cada una, lo que aumentará el número de acciones desembolsadas de la Unión a 102 146. Las acciones se desembolsarían durante más de cinco años en plazos iguales.</w:t>
      </w:r>
    </w:p>
    <w:p w:rsidR="00C85859" w:rsidRPr="00DE2282" w:rsidRDefault="00C85859" w:rsidP="00C85859">
      <w:pPr>
        <w:rPr>
          <w:noProof/>
          <w:u w:val="single"/>
        </w:rPr>
      </w:pPr>
      <w:r w:rsidRPr="00DE2282">
        <w:rPr>
          <w:noProof/>
          <w:u w:val="single"/>
        </w:rPr>
        <w:t>Cuadro 1: Participación de la Unión en el BERD tras la ampliación de capital</w:t>
      </w:r>
    </w:p>
    <w:tbl>
      <w:tblPr>
        <w:tblW w:w="8400" w:type="dxa"/>
        <w:tblInd w:w="113" w:type="dxa"/>
        <w:tblLook w:val="04A0" w:firstRow="1" w:lastRow="0" w:firstColumn="1" w:lastColumn="0" w:noHBand="0" w:noVBand="1"/>
      </w:tblPr>
      <w:tblGrid>
        <w:gridCol w:w="1600"/>
        <w:gridCol w:w="1180"/>
        <w:gridCol w:w="1760"/>
        <w:gridCol w:w="1540"/>
        <w:gridCol w:w="2320"/>
      </w:tblGrid>
      <w:tr w:rsidR="00C85859" w:rsidRPr="00DE2282" w:rsidTr="002F06D5">
        <w:trPr>
          <w:trHeight w:val="1180"/>
        </w:trPr>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5859" w:rsidRPr="00DE2282" w:rsidRDefault="00C85859" w:rsidP="002F06D5">
            <w:pPr>
              <w:spacing w:before="0" w:after="0"/>
              <w:jc w:val="center"/>
              <w:rPr>
                <w:rFonts w:ascii="Calibri" w:hAnsi="Calibri"/>
                <w:noProof/>
                <w:color w:val="000000"/>
                <w:sz w:val="22"/>
              </w:rPr>
            </w:pPr>
            <w:r w:rsidRPr="00DE2282">
              <w:rPr>
                <w:rFonts w:ascii="Calibri" w:hAnsi="Calibri"/>
                <w:noProof/>
                <w:color w:val="000000"/>
                <w:sz w:val="22"/>
              </w:rPr>
              <w:t>N.º de acciones existentes</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C85859" w:rsidRPr="00DE2282" w:rsidRDefault="00C85859" w:rsidP="002F06D5">
            <w:pPr>
              <w:spacing w:before="0" w:after="0"/>
              <w:jc w:val="center"/>
              <w:rPr>
                <w:rFonts w:ascii="Calibri" w:hAnsi="Calibri"/>
                <w:noProof/>
                <w:color w:val="000000"/>
                <w:sz w:val="22"/>
              </w:rPr>
            </w:pPr>
            <w:r w:rsidRPr="00DE2282">
              <w:rPr>
                <w:rFonts w:ascii="Calibri" w:hAnsi="Calibri"/>
                <w:noProof/>
                <w:color w:val="000000"/>
                <w:sz w:val="22"/>
              </w:rPr>
              <w:t>N.º de nuevas acciones</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rsidR="00C85859" w:rsidRPr="00DE2282" w:rsidRDefault="00C85859" w:rsidP="002F06D5">
            <w:pPr>
              <w:spacing w:before="0" w:after="0"/>
              <w:jc w:val="center"/>
              <w:rPr>
                <w:rFonts w:ascii="Calibri" w:hAnsi="Calibri"/>
                <w:noProof/>
                <w:color w:val="000000"/>
                <w:sz w:val="22"/>
              </w:rPr>
            </w:pPr>
            <w:r w:rsidRPr="00DE2282">
              <w:rPr>
                <w:rFonts w:ascii="Calibri" w:hAnsi="Calibri"/>
                <w:noProof/>
                <w:color w:val="000000"/>
                <w:sz w:val="22"/>
              </w:rPr>
              <w:t xml:space="preserve">N.º de acciones tras la ampliación de capital </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C85859" w:rsidRPr="00DE2282" w:rsidRDefault="00C85859" w:rsidP="002F06D5">
            <w:pPr>
              <w:spacing w:before="0" w:after="0"/>
              <w:jc w:val="center"/>
              <w:rPr>
                <w:rFonts w:ascii="Calibri" w:hAnsi="Calibri"/>
                <w:noProof/>
                <w:color w:val="000000"/>
                <w:sz w:val="22"/>
              </w:rPr>
            </w:pPr>
            <w:r w:rsidRPr="00DE2282">
              <w:rPr>
                <w:rFonts w:ascii="Calibri" w:hAnsi="Calibri"/>
                <w:noProof/>
                <w:color w:val="000000"/>
                <w:sz w:val="22"/>
              </w:rPr>
              <w:t>Importe en EUR del nuevo capital desembolsado</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rsidR="00C85859" w:rsidRPr="00DE2282" w:rsidRDefault="00C85859" w:rsidP="002F06D5">
            <w:pPr>
              <w:spacing w:before="0" w:after="0"/>
              <w:jc w:val="center"/>
              <w:rPr>
                <w:rFonts w:ascii="Calibri" w:hAnsi="Calibri"/>
                <w:noProof/>
                <w:color w:val="000000"/>
                <w:sz w:val="22"/>
              </w:rPr>
            </w:pPr>
            <w:r w:rsidRPr="00DE2282">
              <w:rPr>
                <w:rFonts w:ascii="Calibri" w:hAnsi="Calibri"/>
                <w:noProof/>
                <w:color w:val="000000"/>
                <w:sz w:val="22"/>
              </w:rPr>
              <w:t>Importe en EUR de cada desembolso</w:t>
            </w:r>
          </w:p>
        </w:tc>
      </w:tr>
      <w:tr w:rsidR="00C85859" w:rsidRPr="00DE2282" w:rsidTr="002F06D5">
        <w:trPr>
          <w:trHeight w:val="29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rsidR="00C85859" w:rsidRPr="00DE2282" w:rsidRDefault="00C85859" w:rsidP="002F06D5">
            <w:pPr>
              <w:spacing w:before="0" w:after="0"/>
              <w:jc w:val="center"/>
              <w:rPr>
                <w:rFonts w:ascii="Calibri" w:hAnsi="Calibri"/>
                <w:noProof/>
                <w:color w:val="000000"/>
                <w:sz w:val="22"/>
              </w:rPr>
            </w:pPr>
            <w:r w:rsidRPr="00DE2282">
              <w:rPr>
                <w:rFonts w:ascii="Calibri" w:hAnsi="Calibri"/>
                <w:noProof/>
                <w:color w:val="000000"/>
                <w:sz w:val="22"/>
              </w:rPr>
              <w:t>90 044</w:t>
            </w:r>
          </w:p>
        </w:tc>
        <w:tc>
          <w:tcPr>
            <w:tcW w:w="1180" w:type="dxa"/>
            <w:tcBorders>
              <w:top w:val="nil"/>
              <w:left w:val="nil"/>
              <w:bottom w:val="single" w:sz="4" w:space="0" w:color="auto"/>
              <w:right w:val="single" w:sz="4" w:space="0" w:color="auto"/>
            </w:tcBorders>
            <w:shd w:val="clear" w:color="auto" w:fill="auto"/>
            <w:noWrap/>
            <w:vAlign w:val="bottom"/>
            <w:hideMark/>
          </w:tcPr>
          <w:p w:rsidR="00C85859" w:rsidRPr="00DE2282" w:rsidRDefault="00C85859" w:rsidP="002F06D5">
            <w:pPr>
              <w:spacing w:before="0" w:after="0"/>
              <w:jc w:val="center"/>
              <w:rPr>
                <w:rFonts w:ascii="Calibri" w:hAnsi="Calibri"/>
                <w:noProof/>
                <w:color w:val="000000"/>
                <w:sz w:val="22"/>
              </w:rPr>
            </w:pPr>
            <w:r w:rsidRPr="00DE2282">
              <w:rPr>
                <w:rFonts w:ascii="Calibri" w:hAnsi="Calibri"/>
                <w:noProof/>
                <w:color w:val="000000"/>
                <w:sz w:val="22"/>
              </w:rPr>
              <w:t>12 102</w:t>
            </w:r>
          </w:p>
        </w:tc>
        <w:tc>
          <w:tcPr>
            <w:tcW w:w="1760" w:type="dxa"/>
            <w:tcBorders>
              <w:top w:val="nil"/>
              <w:left w:val="nil"/>
              <w:bottom w:val="single" w:sz="4" w:space="0" w:color="auto"/>
              <w:right w:val="single" w:sz="4" w:space="0" w:color="auto"/>
            </w:tcBorders>
            <w:shd w:val="clear" w:color="auto" w:fill="auto"/>
            <w:noWrap/>
            <w:vAlign w:val="bottom"/>
            <w:hideMark/>
          </w:tcPr>
          <w:p w:rsidR="00C85859" w:rsidRPr="00DE2282" w:rsidRDefault="00C85859" w:rsidP="002F06D5">
            <w:pPr>
              <w:spacing w:before="0" w:after="0"/>
              <w:jc w:val="center"/>
              <w:rPr>
                <w:rFonts w:ascii="Calibri" w:hAnsi="Calibri"/>
                <w:noProof/>
                <w:color w:val="000000"/>
                <w:sz w:val="22"/>
              </w:rPr>
            </w:pPr>
            <w:r w:rsidRPr="00DE2282">
              <w:rPr>
                <w:rFonts w:ascii="Calibri" w:hAnsi="Calibri"/>
                <w:noProof/>
                <w:color w:val="000000"/>
                <w:sz w:val="22"/>
              </w:rPr>
              <w:t>102 146</w:t>
            </w:r>
          </w:p>
        </w:tc>
        <w:tc>
          <w:tcPr>
            <w:tcW w:w="1540" w:type="dxa"/>
            <w:tcBorders>
              <w:top w:val="nil"/>
              <w:left w:val="nil"/>
              <w:bottom w:val="single" w:sz="4" w:space="0" w:color="auto"/>
              <w:right w:val="single" w:sz="4" w:space="0" w:color="auto"/>
            </w:tcBorders>
            <w:shd w:val="clear" w:color="auto" w:fill="auto"/>
            <w:noWrap/>
            <w:vAlign w:val="bottom"/>
            <w:hideMark/>
          </w:tcPr>
          <w:p w:rsidR="00C85859" w:rsidRPr="00DE2282" w:rsidRDefault="00C85859" w:rsidP="002F06D5">
            <w:pPr>
              <w:spacing w:before="0" w:after="0"/>
              <w:jc w:val="center"/>
              <w:rPr>
                <w:rFonts w:ascii="Calibri" w:hAnsi="Calibri"/>
                <w:noProof/>
                <w:color w:val="000000"/>
                <w:sz w:val="22"/>
              </w:rPr>
            </w:pPr>
            <w:r w:rsidRPr="00DE2282">
              <w:rPr>
                <w:rFonts w:ascii="Calibri" w:hAnsi="Calibri"/>
                <w:noProof/>
                <w:color w:val="000000"/>
                <w:sz w:val="22"/>
              </w:rPr>
              <w:t>121 020 000</w:t>
            </w:r>
          </w:p>
        </w:tc>
        <w:tc>
          <w:tcPr>
            <w:tcW w:w="2320" w:type="dxa"/>
            <w:tcBorders>
              <w:top w:val="nil"/>
              <w:left w:val="nil"/>
              <w:bottom w:val="single" w:sz="4" w:space="0" w:color="auto"/>
              <w:right w:val="single" w:sz="4" w:space="0" w:color="auto"/>
            </w:tcBorders>
            <w:shd w:val="clear" w:color="auto" w:fill="auto"/>
            <w:noWrap/>
            <w:vAlign w:val="bottom"/>
            <w:hideMark/>
          </w:tcPr>
          <w:p w:rsidR="00C85859" w:rsidRPr="00DE2282" w:rsidRDefault="00C85859" w:rsidP="002F06D5">
            <w:pPr>
              <w:spacing w:before="0" w:after="0"/>
              <w:jc w:val="center"/>
              <w:rPr>
                <w:rFonts w:ascii="Calibri" w:hAnsi="Calibri"/>
                <w:noProof/>
                <w:color w:val="000000"/>
                <w:sz w:val="22"/>
              </w:rPr>
            </w:pPr>
            <w:r w:rsidRPr="00DE2282">
              <w:rPr>
                <w:rFonts w:ascii="Calibri" w:hAnsi="Calibri"/>
                <w:noProof/>
                <w:color w:val="000000"/>
                <w:sz w:val="22"/>
              </w:rPr>
              <w:t>24 204 000</w:t>
            </w:r>
          </w:p>
        </w:tc>
      </w:tr>
    </w:tbl>
    <w:p w:rsidR="00C85859" w:rsidRPr="00DE2282" w:rsidRDefault="00C85859" w:rsidP="00C85859">
      <w:pPr>
        <w:rPr>
          <w:noProof/>
        </w:rPr>
      </w:pPr>
      <w:r w:rsidRPr="00DE2282">
        <w:rPr>
          <w:noProof/>
        </w:rPr>
        <w:t>En segundo lugar, en mayo de 2023, la Junta de Gobernadores decidió, en su Resolución n.º 259</w:t>
      </w:r>
      <w:r w:rsidR="005F53EB" w:rsidRPr="00DE2282">
        <w:rPr>
          <w:rStyle w:val="FootnoteReference"/>
          <w:noProof/>
        </w:rPr>
        <w:footnoteReference w:id="11"/>
      </w:r>
      <w:r w:rsidRPr="00DE2282">
        <w:rPr>
          <w:noProof/>
        </w:rPr>
        <w:t>, proceder a una ampliación limitada y progresiva hacia el África subsahariana e Irak, modificando el ámbito geográfico de actuación del BERD, definido en el artículo 1 de su Convenio constitutivo. El informe del Consejo de Administración del BERD a la Junta de Gobernadores concluía que el mandato y el modelo de negocio del BERD se adecuaría muy bien a seis países del África subsahariana, a saber, Benín, Costa de Marfil, Ghana, Kenia, Nigeria y Senegal, donde se prevé que se realicen las primeras inversiones a partir de 2025, siempre que estos países soliciten la adhesión al BERD y el estatuto de país en el que opera el BERD y que la Junta de Gobernadores del BERD apruebe dicha solicitud. La decisión refleja los crecientes vínculos económicos entre los países en los que opera el BERD actualmente y el África subsahariana e Irak y su potencial para desarrollar el sector privado en esas economías en consonancia con el mandato de transición del Banco. Esto cobra aún mayor importancia como consecuencia del papel desestabilizador de Rusia en la región.</w:t>
      </w:r>
    </w:p>
    <w:p w:rsidR="00C85859" w:rsidRPr="00DE2282" w:rsidRDefault="00C85859" w:rsidP="00C85859">
      <w:pPr>
        <w:rPr>
          <w:noProof/>
        </w:rPr>
      </w:pPr>
      <w:r w:rsidRPr="00DE2282">
        <w:rPr>
          <w:noProof/>
        </w:rPr>
        <w:t xml:space="preserve">El análisis realizado por el BERD confirma que una ampliación limitada y progresiva a los seis países mencionados del África subsahariana e Irak 1) no afectará a su capacidad de apoyar a los países en los que opera actualmente, 2) no comprometerá su calificación crediticia triple A, 3) ni dará lugar a una solicitud de aportaciones de capital adicionales. Además, se hará posible dicha ampliación limitada y progresiva del ámbito geográfico de actuación mediante la modificación del artículo 1 del Convenio constitutivo del BERD. La Junta de Gobernadores ha dejado claro que la ampliación debe llevarse a cabo de manera que no diluya el énfasis del BERD en apoyar a los países en los que opera actualmente, en particular Ucrania y otros países afectados por la guerra de Rusia. </w:t>
      </w:r>
    </w:p>
    <w:p w:rsidR="00C85859" w:rsidRPr="00DE2282" w:rsidRDefault="00C85859" w:rsidP="00C85859">
      <w:pPr>
        <w:rPr>
          <w:noProof/>
        </w:rPr>
      </w:pPr>
      <w:r w:rsidRPr="00DE2282">
        <w:rPr>
          <w:noProof/>
        </w:rPr>
        <w:t xml:space="preserve">De acuerdo con la resolución adoptada, cualquier solicitud de la condición de país beneficiario se examinará tras la ratificación y entrada en vigor de la modificación pertinente </w:t>
      </w:r>
      <w:r w:rsidRPr="00DE2282">
        <w:rPr>
          <w:noProof/>
        </w:rPr>
        <w:lastRenderedPageBreak/>
        <w:t>del artículo 1 del Convenio constitutivo del BERD</w:t>
      </w:r>
      <w:r w:rsidR="007F12AE" w:rsidRPr="00DE2282">
        <w:rPr>
          <w:rStyle w:val="FootnoteReference"/>
          <w:noProof/>
        </w:rPr>
        <w:footnoteReference w:id="12"/>
      </w:r>
      <w:r w:rsidRPr="00DE2282">
        <w:rPr>
          <w:noProof/>
        </w:rPr>
        <w:t>. Todas las solicitudes recibidas se evaluarán de conformidad con los procedimientos establecidos de gobernanza del BERD.</w:t>
      </w:r>
    </w:p>
    <w:p w:rsidR="00C85859" w:rsidRPr="00DE2282" w:rsidRDefault="00C85859" w:rsidP="00C85859">
      <w:pPr>
        <w:rPr>
          <w:noProof/>
        </w:rPr>
      </w:pPr>
      <w:r w:rsidRPr="00DE2282">
        <w:rPr>
          <w:noProof/>
        </w:rPr>
        <w:t xml:space="preserve">El BERD no tiene previsto realizar inversiones en estos países antes de 2025. </w:t>
      </w:r>
    </w:p>
    <w:p w:rsidR="00C85859" w:rsidRPr="00DE2282" w:rsidRDefault="00C85859" w:rsidP="00C85859">
      <w:pPr>
        <w:rPr>
          <w:noProof/>
        </w:rPr>
      </w:pPr>
      <w:r w:rsidRPr="00DE2282">
        <w:rPr>
          <w:noProof/>
        </w:rPr>
        <w:t>En tercer lugar, en consonancia con las recomendaciones de la revisión del marco de adecuación del capital del G20, en mayo de 2023 la Junta de Gobernadores decidió, en su Resolución n.º 260</w:t>
      </w:r>
      <w:r w:rsidR="005F53EB" w:rsidRPr="00DE2282">
        <w:rPr>
          <w:rStyle w:val="FootnoteReference"/>
          <w:noProof/>
        </w:rPr>
        <w:footnoteReference w:id="13"/>
      </w:r>
      <w:r w:rsidRPr="00DE2282">
        <w:rPr>
          <w:noProof/>
        </w:rPr>
        <w:t>, suprimir del artículo 12.1 del Convenio constitutivo del BERD la limitación estatutaria del capital para operaciones ordinarias y delegar en el Consejo de Administración todos los aspectos del marco de adecuación del capital del BERD</w:t>
      </w:r>
      <w:r w:rsidR="007F12AE" w:rsidRPr="00DE2282">
        <w:rPr>
          <w:rStyle w:val="FootnoteReference"/>
          <w:noProof/>
        </w:rPr>
        <w:footnoteReference w:id="14"/>
      </w:r>
      <w:r w:rsidRPr="00DE2282">
        <w:rPr>
          <w:noProof/>
        </w:rPr>
        <w:t>. Esto facilita una gestión del capital más flexible y dinámica, garantizando al mismo tiempo el control permanente de los principales parámetros de capital por parte de los accionistas.</w:t>
      </w:r>
    </w:p>
    <w:p w:rsidR="00C85859" w:rsidRPr="00DE2282" w:rsidRDefault="00C85859" w:rsidP="00C85859">
      <w:pPr>
        <w:rPr>
          <w:noProof/>
        </w:rPr>
      </w:pPr>
      <w:r w:rsidRPr="00DE2282">
        <w:rPr>
          <w:noProof/>
        </w:rPr>
        <w:t xml:space="preserve">El artículo 12.1 del Convenio constitutivo del BERD establece actualmente una limitación formal del valor nominal de las obligaciones de capital ordinarias que el BERD puede asumir. Esta disposición es similar a la que figura en los documentos fundacionales de otros bancos multilaterales de desarrollo. </w:t>
      </w:r>
    </w:p>
    <w:p w:rsidR="00C85859" w:rsidRPr="00DE2282" w:rsidRDefault="00C85859" w:rsidP="00C85859">
      <w:pPr>
        <w:rPr>
          <w:noProof/>
        </w:rPr>
      </w:pPr>
      <w:r w:rsidRPr="00DE2282">
        <w:rPr>
          <w:noProof/>
        </w:rPr>
        <w:t>Sin embargo, a lo largo de la última década, los accionistas han concedido cada vez más importancia a que los bancos multilaterales de desarrollo sean innovadores en el uso de su capital, con el objetivo de utilizar su capacidad en lo que respecta al capital de manera óptima y estar en condiciones de maximizar su efectividad. En la revisión independiente del G20 de los marcos de adecuación del capital de los bancos multilaterales de desarrollo se presentaron las propuestas más recientes y completas para propiciar este objetivo.  En esta revisión se formularon recomendaciones de amplio alcance, que han estudiado detenidamente el BERD y su Junta de Gobernadores. En particular, en la revisión se recomendó que los bancos multilaterales de desarrollo reubicaran los objetivos numéricos específicos de apalancamiento —como los establecidos en el artículo 12.1—, sacándolos de sus estatutos y pasándolos a sus marcos de adecuación del capital. La adopción de esta medida aumentaría la flexibilidad, al permitir al BERD realizar en el futuro los ajustes necesarios de los objetivos sin necesidad de modificar sus documentos básicos.</w:t>
      </w:r>
    </w:p>
    <w:p w:rsidR="00EA33FF" w:rsidRPr="00DE2282" w:rsidRDefault="00EA33FF" w:rsidP="001F5A16">
      <w:pPr>
        <w:pStyle w:val="ManualHeading2"/>
        <w:tabs>
          <w:tab w:val="clear" w:pos="850"/>
        </w:tabs>
        <w:ind w:left="142" w:firstLine="0"/>
        <w:rPr>
          <w:rFonts w:eastAsia="Arial Unicode MS"/>
          <w:noProof/>
          <w:u w:color="000000"/>
          <w:bdr w:val="nil"/>
        </w:rPr>
      </w:pPr>
      <w:r w:rsidRPr="00DE2282">
        <w:rPr>
          <w:noProof/>
          <w:u w:color="000000"/>
          <w:bdr w:val="nil"/>
        </w:rPr>
        <w:t>•</w:t>
      </w:r>
      <w:r w:rsidRPr="00DE2282">
        <w:rPr>
          <w:noProof/>
          <w:u w:color="000000"/>
          <w:bdr w:val="nil"/>
        </w:rPr>
        <w:tab/>
      </w:r>
      <w:r w:rsidRPr="00DE2282">
        <w:rPr>
          <w:noProof/>
        </w:rPr>
        <w:t>Coherencia con las disposiciones existentes en la misma política sectorial</w:t>
      </w:r>
    </w:p>
    <w:p w:rsidR="00C7473D" w:rsidRPr="00DE2282" w:rsidRDefault="00C7473D" w:rsidP="00C7473D">
      <w:pPr>
        <w:rPr>
          <w:noProof/>
        </w:rPr>
      </w:pPr>
      <w:bookmarkStart w:id="1" w:name="_Hlk153311052"/>
      <w:r w:rsidRPr="00DE2282">
        <w:rPr>
          <w:noProof/>
        </w:rPr>
        <w:t xml:space="preserve">La colaboración de la Unión con el BERD es más estrecha que nunca. El BERD participa en la ejecución del presupuesto de la Unión en régimen de gestión indirecta (subvenciones, instrumentos financieros y garantías presupuestarias), apoyando así la consecución de los objetivos estratégicos del marco financiero plurianual de la UE. El BERD también contribuye de manera clave a la aplicación de la iniciativa Global Gateway. La Unión, que ha aportado el 40 % de los fondos totales desde la creación del BERD, es el mayor contribuyente al Banco. En 2022, la Unión contribuyó al apoyo que presta el BERD a los países en los que opera aportando 998 millones EUR de financiación y garantías para promover prioridades conjuntas, dentro y fuera de la Unión. </w:t>
      </w:r>
    </w:p>
    <w:p w:rsidR="00C7473D" w:rsidRPr="00DE2282" w:rsidRDefault="00C7473D" w:rsidP="00C7473D">
      <w:pPr>
        <w:rPr>
          <w:noProof/>
        </w:rPr>
      </w:pPr>
      <w:r w:rsidRPr="00DE2282">
        <w:rPr>
          <w:noProof/>
        </w:rPr>
        <w:t xml:space="preserve">Solo en 2022, la Unión y el BERD firmaron importantes acuerdos prospectivos, como el Acuerdo Marco de Colaboración Financiera, el Acuerdo de Garantía InvestEU y dos acuerdos de garantía en el marco del Fondo Europeo de Desarrollo Sostenible Plus (FEDS +). Al </w:t>
      </w:r>
      <w:r w:rsidRPr="00DE2282">
        <w:rPr>
          <w:noProof/>
        </w:rPr>
        <w:lastRenderedPageBreak/>
        <w:t>ejecutar los fondos de la UE, el BERD debe seguir respetando las normas y los procedimientos establecidos en el Reglamento Financiero</w:t>
      </w:r>
      <w:r w:rsidR="00E94B68" w:rsidRPr="00DE2282">
        <w:rPr>
          <w:rStyle w:val="FootnoteReference"/>
          <w:noProof/>
        </w:rPr>
        <w:footnoteReference w:id="15"/>
      </w:r>
      <w:r w:rsidRPr="00DE2282">
        <w:rPr>
          <w:noProof/>
        </w:rPr>
        <w:t>.</w:t>
      </w:r>
    </w:p>
    <w:p w:rsidR="00C7473D" w:rsidRPr="00DE2282" w:rsidRDefault="00C7473D" w:rsidP="00C7473D">
      <w:pPr>
        <w:rPr>
          <w:noProof/>
        </w:rPr>
      </w:pPr>
      <w:r w:rsidRPr="00DE2282">
        <w:rPr>
          <w:noProof/>
        </w:rPr>
        <w:t xml:space="preserve">El BERD ha sido el mayor inversor institucional en Ucrania y ha apoyado la transición del país hacia una economía de mercado sostenible durante los últimos treinta años. Tras la guerra de agresión de Rusia contra Ucrania, el BERD ha colaborado estrechamente con la Unión y otros socios internacionales, como el FMI, para promover objetivos comunes en Ucrania. La magnitud del apoyo necesario a largo plazo en Ucrania hace que la coordinación eficiente y eficaz con los demás actores, incluidos los bancos multilaterales de desarrollo y las instituciones financieras internacionales, sea esencial para maximizar la efectividad de los recursos finitos. Los objetivos comunes vienen determinados por el compromiso del Gobierno de Ucrania de restablecer y mantener la estabilidad macroeconómica y avanzar hacia la adhesión a la Unión.  </w:t>
      </w:r>
    </w:p>
    <w:p w:rsidR="00C7473D" w:rsidRPr="00DE2282" w:rsidRDefault="00C7473D" w:rsidP="00C7473D">
      <w:pPr>
        <w:rPr>
          <w:noProof/>
        </w:rPr>
      </w:pPr>
      <w:r w:rsidRPr="00DE2282">
        <w:rPr>
          <w:noProof/>
        </w:rPr>
        <w:t xml:space="preserve">En este contexto, los objetivos de la Unión en relación con el BERD son los siguientes: i) al menos mantener su cuota de voto en el nivel actual, con el fin de seguir cumpliendo las prioridades estratégicas de la UE en Ucrania y en otros países en los que opera; ii) modificar el Convenio constitutivo del BERD con el fin de a) ampliar el ámbito geográfico del BERD, de forma limitada y progresiva, a determinados países del África subsahariana e Irak; y b) suprimir la limitación estatutaria del capital para operaciones ordinarias y delegar en el Consejo de Administración todos los aspectos del marco de adecuación del capital del BERD, en consonancia con las recomendaciones de la revisión independiente del G20, a fin de permitir una gestión flexible y dinámica del capital, garantizando al mismo tiempo el control permanente de los principales parámetros de capital por parte de los accionistas. </w:t>
      </w:r>
    </w:p>
    <w:bookmarkEnd w:id="1"/>
    <w:p w:rsidR="00EA33FF" w:rsidRPr="00DE2282" w:rsidRDefault="00EA33FF" w:rsidP="00A4693B">
      <w:pPr>
        <w:pStyle w:val="ManualHeading2"/>
        <w:rPr>
          <w:rFonts w:eastAsia="Arial Unicode MS"/>
          <w:noProof/>
        </w:rPr>
      </w:pPr>
      <w:r w:rsidRPr="00DE2282">
        <w:rPr>
          <w:noProof/>
          <w:u w:color="000000"/>
          <w:bdr w:val="nil"/>
        </w:rPr>
        <w:t>•</w:t>
      </w:r>
      <w:r w:rsidRPr="00DE2282">
        <w:rPr>
          <w:noProof/>
          <w:u w:color="000000"/>
          <w:bdr w:val="nil"/>
        </w:rPr>
        <w:tab/>
      </w:r>
      <w:r w:rsidRPr="00DE2282">
        <w:rPr>
          <w:noProof/>
        </w:rPr>
        <w:t>Coherencia con otras políticas de la Unión</w:t>
      </w:r>
    </w:p>
    <w:p w:rsidR="00C7473D" w:rsidRPr="00DE2282" w:rsidRDefault="00C7473D" w:rsidP="00C7473D">
      <w:pPr>
        <w:rPr>
          <w:noProof/>
        </w:rPr>
      </w:pPr>
      <w:r w:rsidRPr="00DE2282">
        <w:rPr>
          <w:noProof/>
        </w:rPr>
        <w:t xml:space="preserve">El BERD fue creado con el mandato de favorecer la transición a una economía abierta de mercado y promover la iniciativa privada y empresarial en los países comprometidos con los principios de democracia multipartidista, pluralismo y economía de mercado de Europa Central y Oriental, de Asia Central, desde 2006 Mongolia, y desde 2012 de la región del Mediterráneo meridional y oriental. El BERD normalmente aplica y promueve las normas y políticas de la Unión en sus operaciones. A través de sus proyectos, el BERD se sirve del diálogo estratégico y de la aplicación de condiciones (en relación particularmente con los efectos de la transición, las normas de gobernanza de las empresas, la contratación pública y las normas medioambientales) para cumplir las exigencias de la UE en ámbitos como los de las políticas medioambientales y sociales. </w:t>
      </w:r>
    </w:p>
    <w:p w:rsidR="00C7473D" w:rsidRPr="00DE2282" w:rsidRDefault="00C7473D" w:rsidP="00C7473D">
      <w:pPr>
        <w:rPr>
          <w:noProof/>
        </w:rPr>
      </w:pPr>
      <w:r w:rsidRPr="00DE2282">
        <w:rPr>
          <w:noProof/>
        </w:rPr>
        <w:t>La respuesta del BERD a la guerra de agresión de Rusia contra Ucrania ha sido firme y acorde con la política de la Unión, ya que el Banco anunció rápidamente un paquete global destinado a la movilización de 3 000 millones EUR de inversión en 2022-23 para apoyar a Ucrania</w:t>
      </w:r>
      <w:r w:rsidR="007748DF" w:rsidRPr="00DE2282">
        <w:rPr>
          <w:rStyle w:val="FootnoteReference"/>
          <w:noProof/>
        </w:rPr>
        <w:footnoteReference w:id="16"/>
      </w:r>
      <w:r w:rsidRPr="00DE2282">
        <w:rPr>
          <w:noProof/>
        </w:rPr>
        <w:t xml:space="preserve">. La respuesta del BERD también ha supuesto un apoyo significativo a los demás países en los que opera el Banco que se han visto afectados por la guerra, a través de su marco de resiliencia y subsistencia. El BERD participa activamente en el Comité Director de la Plataforma de Coordinación de Donantes, que está compuesta por altos funcionarios de Ucrania, del G7 y de la Unión. Esta plataforma coordina la financiación destinada a cubrir las necesidades inmediatas de Ucrania, así como sus esfuerzos de recuperación económica y reconstrucción. La participación en la ampliación de capital desembolsada del BERD es el instrumento más </w:t>
      </w:r>
      <w:r w:rsidRPr="00DE2282">
        <w:rPr>
          <w:noProof/>
        </w:rPr>
        <w:lastRenderedPageBreak/>
        <w:t>eficaz y eficiente para lograr el mayor efecto multiplicador y una base estable para que pueda continuar la inversión del BERD en Ucrania.</w:t>
      </w:r>
    </w:p>
    <w:p w:rsidR="00C7473D" w:rsidRPr="00DE2282" w:rsidRDefault="00C7473D" w:rsidP="00C7473D">
      <w:pPr>
        <w:rPr>
          <w:noProof/>
        </w:rPr>
      </w:pPr>
      <w:r w:rsidRPr="00DE2282">
        <w:rPr>
          <w:noProof/>
        </w:rPr>
        <w:t>En los países candidatos, los esfuerzos del BERD por lograr los objetivos de transición encajan bien con el objetivo de avanzar hacia la adhesión a la Unión. El análisis preliminar de la Comisión sobre la condición de Ucrania como país candidato a la adhesión a la Unión muestra que será necesaria una reforma significativa en todos los ámbitos para adaptar Ucrania a los estándares de la Unión. Los esfuerzos del BERD —y las condiciones correspondientes— guardarán relación con la culminación satisfactoria de estas reformas con el fin de apoyar los objetivos de adhesión de Ucrania.</w:t>
      </w:r>
    </w:p>
    <w:p w:rsidR="00EA33FF" w:rsidRPr="00DE2282" w:rsidRDefault="00EA33FF" w:rsidP="007A48DE">
      <w:pPr>
        <w:pStyle w:val="ManualHeading1"/>
        <w:rPr>
          <w:noProof/>
        </w:rPr>
      </w:pPr>
      <w:r w:rsidRPr="00DE2282">
        <w:rPr>
          <w:noProof/>
        </w:rPr>
        <w:t>2.</w:t>
      </w:r>
      <w:r w:rsidRPr="00DE2282">
        <w:rPr>
          <w:noProof/>
        </w:rPr>
        <w:tab/>
        <w:t>BASE JURÍDICA, SUBSIDIARIEDAD Y PROPORCIONALIDAD</w:t>
      </w:r>
    </w:p>
    <w:p w:rsidR="00EA33FF" w:rsidRPr="00DE2282" w:rsidRDefault="00EA33FF" w:rsidP="00A4693B">
      <w:pPr>
        <w:pStyle w:val="ManualHeading2"/>
        <w:rPr>
          <w:rFonts w:eastAsia="Arial Unicode MS"/>
          <w:noProof/>
          <w:u w:color="000000"/>
          <w:bdr w:val="nil"/>
        </w:rPr>
      </w:pPr>
      <w:r w:rsidRPr="00DE2282">
        <w:rPr>
          <w:noProof/>
          <w:u w:color="000000"/>
          <w:bdr w:val="nil"/>
        </w:rPr>
        <w:t>•</w:t>
      </w:r>
      <w:r w:rsidRPr="00DE2282">
        <w:rPr>
          <w:noProof/>
          <w:u w:color="000000"/>
          <w:bdr w:val="nil"/>
        </w:rPr>
        <w:tab/>
        <w:t>Base jurídica</w:t>
      </w:r>
    </w:p>
    <w:p w:rsidR="00EC2053" w:rsidRPr="00DE2282" w:rsidRDefault="00EC2053" w:rsidP="00EC2053">
      <w:pPr>
        <w:autoSpaceDE w:val="0"/>
        <w:autoSpaceDN w:val="0"/>
        <w:adjustRightInd w:val="0"/>
        <w:rPr>
          <w:rFonts w:eastAsia="Arial Unicode MS"/>
          <w:noProof/>
        </w:rPr>
      </w:pPr>
      <w:r w:rsidRPr="00DE2282">
        <w:rPr>
          <w:noProof/>
        </w:rPr>
        <w:t>El capital del BERD se incrementó en dos ocasiones anteriores, en 1996 y en 2011</w:t>
      </w:r>
      <w:r w:rsidRPr="00DE2282">
        <w:rPr>
          <w:rStyle w:val="FootnoteReference"/>
          <w:noProof/>
          <w:szCs w:val="24"/>
          <w:lang w:eastAsia="en-GB" w:bidi="hi-IN"/>
        </w:rPr>
        <w:footnoteReference w:id="17"/>
      </w:r>
      <w:r w:rsidRPr="00DE2282">
        <w:rPr>
          <w:noProof/>
        </w:rPr>
        <w:t xml:space="preserve">. En ambas ocasiones, la Unión suscribió capital adicional en función de su participación en el capital. </w:t>
      </w:r>
    </w:p>
    <w:p w:rsidR="00EC2053" w:rsidRPr="00DE2282" w:rsidRDefault="00EC2053" w:rsidP="00EC2053">
      <w:pPr>
        <w:autoSpaceDE w:val="0"/>
        <w:autoSpaceDN w:val="0"/>
        <w:adjustRightInd w:val="0"/>
        <w:rPr>
          <w:noProof/>
        </w:rPr>
      </w:pPr>
      <w:r w:rsidRPr="00DE2282">
        <w:rPr>
          <w:noProof/>
        </w:rPr>
        <w:t xml:space="preserve">La decisión de 2011 de participar en la ampliación de capital, posterior a la entrada en vigor del Tratado de Funcionamiento de la Unión Europea (TFUE), se adoptó mediante codecisión, tomando como base jurídica el artículo 212 del TFUE, que establece que la Unión ha de llevar a cabo acciones de cooperación económica, financiera y técnica, entre ellas acciones de ayuda con terceros países. </w:t>
      </w:r>
    </w:p>
    <w:p w:rsidR="00EC2053" w:rsidRPr="00DE2282" w:rsidRDefault="00EC2053" w:rsidP="00EC2053">
      <w:pPr>
        <w:autoSpaceDE w:val="0"/>
        <w:autoSpaceDN w:val="0"/>
        <w:adjustRightInd w:val="0"/>
        <w:rPr>
          <w:noProof/>
        </w:rPr>
      </w:pPr>
      <w:r w:rsidRPr="00DE2282">
        <w:rPr>
          <w:noProof/>
        </w:rPr>
        <w:t xml:space="preserve">La </w:t>
      </w:r>
      <w:r w:rsidRPr="00DE2282">
        <w:rPr>
          <w:noProof/>
          <w:color w:val="000000"/>
          <w:shd w:val="clear" w:color="auto" w:fill="FFFFFF"/>
        </w:rPr>
        <w:t>Decisión 602/2012/UE</w:t>
      </w:r>
      <w:r w:rsidRPr="00DE2282">
        <w:rPr>
          <w:noProof/>
        </w:rPr>
        <w:t xml:space="preserve">, relativa a la modificación del Convenio constitutivo del BERD con vistas a ampliar el ámbito geográfico de las operaciones del BERD a la región del Mediterráneo meridional y oriental, también se basó en el artículo 212 del TFUE. </w:t>
      </w:r>
    </w:p>
    <w:p w:rsidR="00EC2053" w:rsidRPr="00DE2282" w:rsidRDefault="00EC2053" w:rsidP="00EC2053">
      <w:pPr>
        <w:autoSpaceDE w:val="0"/>
        <w:autoSpaceDN w:val="0"/>
        <w:adjustRightInd w:val="0"/>
        <w:rPr>
          <w:noProof/>
        </w:rPr>
      </w:pPr>
      <w:r w:rsidRPr="00DE2282">
        <w:rPr>
          <w:noProof/>
        </w:rPr>
        <w:t>Teniendo en cuenta los precedentes anteriormente mencionados y que el objetivo de la ampliación de capital es permitir al BERD prestar apoyo en favor de la resiliencia y la reconstrucción de Ucrania, parece apropiado basar la Decisión propuesta en el artículo 212 del TFUE, incluida la modificación auxiliar del artículo 12, apartado 1.</w:t>
      </w:r>
    </w:p>
    <w:p w:rsidR="00EA33FF" w:rsidRPr="00DE2282" w:rsidRDefault="00EA33FF" w:rsidP="00A4693B">
      <w:pPr>
        <w:pStyle w:val="ManualHeading2"/>
        <w:rPr>
          <w:rFonts w:eastAsia="Arial Unicode MS"/>
          <w:noProof/>
          <w:u w:color="000000"/>
          <w:bdr w:val="nil"/>
        </w:rPr>
      </w:pPr>
      <w:r w:rsidRPr="00DE2282">
        <w:rPr>
          <w:noProof/>
          <w:u w:color="000000"/>
          <w:bdr w:val="nil"/>
        </w:rPr>
        <w:t>•</w:t>
      </w:r>
      <w:r w:rsidRPr="00DE2282">
        <w:rPr>
          <w:noProof/>
          <w:u w:color="000000"/>
          <w:bdr w:val="nil"/>
        </w:rPr>
        <w:tab/>
        <w:t xml:space="preserve">Subsidiariedad (en el caso de competencia no exclusiva) </w:t>
      </w:r>
    </w:p>
    <w:p w:rsidR="00EA33FF" w:rsidRPr="00DE2282" w:rsidRDefault="00140A7C" w:rsidP="00BE700F">
      <w:pPr>
        <w:autoSpaceDE w:val="0"/>
        <w:autoSpaceDN w:val="0"/>
        <w:adjustRightInd w:val="0"/>
        <w:rPr>
          <w:noProof/>
        </w:rPr>
      </w:pPr>
      <w:r w:rsidRPr="00DE2282">
        <w:rPr>
          <w:noProof/>
        </w:rPr>
        <w:t xml:space="preserve">La Decisión propuesta guarda relación con la condición de la Unión de miembro directo del BERD y su participación en dicho Banco. </w:t>
      </w:r>
    </w:p>
    <w:p w:rsidR="00EA33FF" w:rsidRPr="00DE2282" w:rsidRDefault="00EA33FF" w:rsidP="00A4693B">
      <w:pPr>
        <w:pStyle w:val="ManualHeading2"/>
        <w:rPr>
          <w:rFonts w:eastAsia="Arial Unicode MS"/>
          <w:noProof/>
          <w:u w:color="000000"/>
          <w:bdr w:val="nil"/>
        </w:rPr>
      </w:pPr>
      <w:r w:rsidRPr="00DE2282">
        <w:rPr>
          <w:noProof/>
          <w:u w:color="000000"/>
          <w:bdr w:val="nil"/>
        </w:rPr>
        <w:t>•</w:t>
      </w:r>
      <w:r w:rsidRPr="00DE2282">
        <w:rPr>
          <w:noProof/>
          <w:u w:color="000000"/>
          <w:bdr w:val="nil"/>
        </w:rPr>
        <w:tab/>
        <w:t>Proporcionalidad</w:t>
      </w:r>
    </w:p>
    <w:p w:rsidR="003D37D6" w:rsidRPr="00DE2282" w:rsidRDefault="00621635" w:rsidP="003D37D6">
      <w:pPr>
        <w:rPr>
          <w:noProof/>
        </w:rPr>
      </w:pPr>
      <w:bookmarkStart w:id="2" w:name="_Hlk150856199"/>
      <w:r w:rsidRPr="00DE2282">
        <w:rPr>
          <w:noProof/>
        </w:rPr>
        <w:t>No procede.</w:t>
      </w:r>
    </w:p>
    <w:bookmarkEnd w:id="2"/>
    <w:p w:rsidR="00EA33FF" w:rsidRPr="00DE2282" w:rsidRDefault="00EA33FF" w:rsidP="00A4693B">
      <w:pPr>
        <w:pStyle w:val="ManualHeading2"/>
        <w:rPr>
          <w:rFonts w:eastAsia="Arial Unicode MS"/>
          <w:noProof/>
          <w:u w:color="000000"/>
          <w:bdr w:val="nil"/>
        </w:rPr>
      </w:pPr>
      <w:r w:rsidRPr="00DE2282">
        <w:rPr>
          <w:noProof/>
          <w:u w:color="000000"/>
          <w:bdr w:val="nil"/>
        </w:rPr>
        <w:t>•</w:t>
      </w:r>
      <w:r w:rsidRPr="00DE2282">
        <w:rPr>
          <w:noProof/>
          <w:u w:color="000000"/>
          <w:bdr w:val="nil"/>
        </w:rPr>
        <w:tab/>
        <w:t>Elección del instrumento</w:t>
      </w:r>
    </w:p>
    <w:p w:rsidR="00EA33FF" w:rsidRPr="00DE2282" w:rsidRDefault="005F4E93" w:rsidP="00BE700F">
      <w:pPr>
        <w:autoSpaceDE w:val="0"/>
        <w:autoSpaceDN w:val="0"/>
        <w:adjustRightInd w:val="0"/>
        <w:rPr>
          <w:noProof/>
        </w:rPr>
      </w:pPr>
      <w:r w:rsidRPr="00DE2282">
        <w:rPr>
          <w:noProof/>
        </w:rPr>
        <w:t>El objetivo solo puede alcanzarse mediante una Decisión del Consejo y del Parlamento.</w:t>
      </w:r>
    </w:p>
    <w:p w:rsidR="00EA33FF" w:rsidRPr="00DE2282" w:rsidRDefault="00EA33FF" w:rsidP="00550536">
      <w:pPr>
        <w:pStyle w:val="ManualHeading1"/>
        <w:rPr>
          <w:noProof/>
        </w:rPr>
      </w:pPr>
      <w:r w:rsidRPr="00DE2282">
        <w:rPr>
          <w:noProof/>
        </w:rPr>
        <w:lastRenderedPageBreak/>
        <w:t>3.</w:t>
      </w:r>
      <w:r w:rsidRPr="00DE2282">
        <w:rPr>
          <w:noProof/>
        </w:rPr>
        <w:tab/>
        <w:t xml:space="preserve">RESULTADOS DE LAS EVALUACIONES </w:t>
      </w:r>
      <w:r w:rsidRPr="00DE2282">
        <w:rPr>
          <w:i/>
          <w:iCs/>
          <w:noProof/>
        </w:rPr>
        <w:t>EX POST</w:t>
      </w:r>
      <w:r w:rsidRPr="00DE2282">
        <w:rPr>
          <w:noProof/>
        </w:rPr>
        <w:t>, DE LAS CONSULTAS CON LAS PARTES INTERESADAS Y DE LAS EVALUACIONES DE IMPACTO</w:t>
      </w:r>
    </w:p>
    <w:p w:rsidR="00EA33FF" w:rsidRPr="00DE2282" w:rsidRDefault="00EA33FF" w:rsidP="00A4693B">
      <w:pPr>
        <w:pStyle w:val="ManualHeading2"/>
        <w:rPr>
          <w:rFonts w:eastAsia="Arial Unicode MS"/>
          <w:noProof/>
          <w:u w:color="000000"/>
          <w:bdr w:val="nil"/>
        </w:rPr>
      </w:pPr>
      <w:r w:rsidRPr="00DE2282">
        <w:rPr>
          <w:noProof/>
          <w:u w:color="000000"/>
          <w:bdr w:val="nil"/>
        </w:rPr>
        <w:t>•</w:t>
      </w:r>
      <w:r w:rsidRPr="00DE2282">
        <w:rPr>
          <w:noProof/>
          <w:u w:color="000000"/>
          <w:bdr w:val="nil"/>
        </w:rPr>
        <w:tab/>
        <w:t>Consultas con las partes interesadas</w:t>
      </w:r>
    </w:p>
    <w:p w:rsidR="0049121E" w:rsidRPr="00DE2282" w:rsidRDefault="0049121E" w:rsidP="0049121E">
      <w:pPr>
        <w:pBdr>
          <w:top w:val="nil"/>
          <w:left w:val="nil"/>
          <w:bottom w:val="nil"/>
          <w:right w:val="nil"/>
          <w:between w:val="nil"/>
          <w:bar w:val="nil"/>
        </w:pBdr>
        <w:spacing w:before="0" w:after="240"/>
        <w:rPr>
          <w:noProof/>
        </w:rPr>
      </w:pPr>
      <w:r w:rsidRPr="00DE2282">
        <w:rPr>
          <w:noProof/>
        </w:rPr>
        <w:t>Entre 2021 y 2023, el BERD llevó a cabo un análisis en profundidad sobre su futura dirección estratégica. Los accionistas del BERD (entre los que figuran, entre otros, todos los Estados miembros, el BEI y la Comisión en representación de la Unión) han participado activamente en el proceso. En este contexto, el BERD llevó a cabo un análisis de las opciones de mejora del capital, sobre la base de sus necesidades de capital interno, el mantenimiento de su calificación crediticia triple A y el uso eficaz y eficiente del capital de los accionistas. La actual decisión sobre la ampliación de capital del BERD, la ampliación de las operaciones al África subsahariana e Irak y la supresión de la utilización de capital como límite estatutario son consecuencia de un análisis en profundidad y de debates y negociaciones entre los accionistas del BERD.</w:t>
      </w:r>
    </w:p>
    <w:p w:rsidR="00EA33FF" w:rsidRPr="00DE2282" w:rsidRDefault="00EA33FF" w:rsidP="00A4693B">
      <w:pPr>
        <w:pStyle w:val="ManualHeading2"/>
        <w:rPr>
          <w:rFonts w:eastAsia="Arial Unicode MS"/>
          <w:noProof/>
          <w:u w:color="000000"/>
          <w:bdr w:val="nil"/>
        </w:rPr>
      </w:pPr>
      <w:r w:rsidRPr="00DE2282">
        <w:rPr>
          <w:noProof/>
          <w:u w:color="000000"/>
          <w:bdr w:val="nil"/>
        </w:rPr>
        <w:t>•</w:t>
      </w:r>
      <w:r w:rsidRPr="00DE2282">
        <w:rPr>
          <w:noProof/>
          <w:u w:color="000000"/>
          <w:bdr w:val="nil"/>
        </w:rPr>
        <w:tab/>
        <w:t>Obtención y uso de asesoramiento especializado</w:t>
      </w:r>
    </w:p>
    <w:p w:rsidR="001B59C6" w:rsidRPr="00DE2282" w:rsidRDefault="001B59C6" w:rsidP="00E85606">
      <w:pPr>
        <w:pStyle w:val="Text1"/>
        <w:ind w:left="0"/>
        <w:rPr>
          <w:noProof/>
          <w:u w:val="single"/>
        </w:rPr>
      </w:pPr>
      <w:r w:rsidRPr="00DE2282">
        <w:rPr>
          <w:noProof/>
          <w:u w:val="single"/>
        </w:rPr>
        <w:t>Ampliación de capital</w:t>
      </w:r>
    </w:p>
    <w:p w:rsidR="001B59C6" w:rsidRPr="00DE2282" w:rsidRDefault="001B59C6" w:rsidP="001B59C6">
      <w:pPr>
        <w:pBdr>
          <w:top w:val="nil"/>
          <w:left w:val="nil"/>
          <w:bottom w:val="nil"/>
          <w:right w:val="nil"/>
          <w:between w:val="nil"/>
          <w:bar w:val="nil"/>
        </w:pBdr>
        <w:spacing w:before="0" w:after="240"/>
        <w:rPr>
          <w:noProof/>
        </w:rPr>
      </w:pPr>
      <w:r w:rsidRPr="00DE2282">
        <w:rPr>
          <w:noProof/>
        </w:rPr>
        <w:t xml:space="preserve">La Junta de Gobernadores del BERD ha revisado la evolución de la labor del BERD en Ucrania de forma periódica desde el inicio de la guerra. Varios informes del Consejo de Administración del BERD han evaluado el papel que puede desempeñar el BERD en lo que respecta al mantenimiento de la resiliencia de Ucrania en tiempos de guerra como y a la intensificación de los esfuerzos para prestar un apoyo significativo a la reconstrucción a largo plazo, garantizando al mismo tiempo que se sigue prestando apoyo a todos los países en los que opera. En dichos informes se ha examinado la posible naturaleza y alcance de la actividad del BERD, teniendo en cuenta sus fortalezas institucionales y operativas peculiares, su particular posición en Ucrania y la labor de otros para apoyar al país. Los informes también han analizado de forma sistemática qué medidas de los accionistas podrían ser necesarias para que Ucrania pueda recibir el mejor apoyo posible del BERD. Este trabajo culminó en la aprobación, por parte de la Junta de Gobernadores, de la Resolución n.º 258 sobre el apoyo del BERD a la resiliencia y la reconstrucción de Ucrania, de 18 de mayo de 2023, que encargó al Consejo de Administración del BERD que elaborara una propuesta concreta de ampliación de capital desembolsada para su aprobación antes de finales de 2023. </w:t>
      </w:r>
    </w:p>
    <w:p w:rsidR="001B59C6" w:rsidRPr="00DE2282" w:rsidRDefault="001B59C6" w:rsidP="001B59C6">
      <w:pPr>
        <w:pBdr>
          <w:top w:val="nil"/>
          <w:left w:val="nil"/>
          <w:bottom w:val="nil"/>
          <w:right w:val="nil"/>
          <w:between w:val="nil"/>
          <w:bar w:val="nil"/>
        </w:pBdr>
        <w:spacing w:before="0" w:after="240"/>
        <w:rPr>
          <w:noProof/>
          <w:u w:val="single"/>
        </w:rPr>
      </w:pPr>
      <w:r w:rsidRPr="00DE2282">
        <w:rPr>
          <w:noProof/>
          <w:u w:val="single"/>
        </w:rPr>
        <w:t>Modificación del artículo 1 del Convenio constitutivo del BERD</w:t>
      </w:r>
    </w:p>
    <w:p w:rsidR="001B59C6" w:rsidRPr="00DE2282" w:rsidRDefault="001B59C6" w:rsidP="001B59C6">
      <w:pPr>
        <w:pBdr>
          <w:top w:val="nil"/>
          <w:left w:val="nil"/>
          <w:bottom w:val="nil"/>
          <w:right w:val="nil"/>
          <w:between w:val="nil"/>
          <w:bar w:val="nil"/>
        </w:pBdr>
        <w:spacing w:before="0" w:after="240"/>
        <w:rPr>
          <w:noProof/>
        </w:rPr>
      </w:pPr>
      <w:r w:rsidRPr="00DE2282">
        <w:rPr>
          <w:noProof/>
        </w:rPr>
        <w:t xml:space="preserve">En mayo de 2022, la Junta de Gobernadores aprobó la Resolución n.º 248 titulada «Hacia una ampliación limitada y progresiva del ámbito geográfico de las operaciones del BERD al África subsahariana e Irak». Mediante esta Resolución, basada en una evaluación en profundidad del valor añadido que puede aportar el BERD en la región y de los efectos financieros y de capital en el BERD de una ampliación limitada y progresiva, se aprobó, en principio, una ampliación limitada y progresiva del ámbito geográfico de las operaciones del BERD al África subsahariana e Irak. </w:t>
      </w:r>
    </w:p>
    <w:p w:rsidR="001B59C6" w:rsidRPr="00DE2282" w:rsidRDefault="001B59C6" w:rsidP="001B59C6">
      <w:pPr>
        <w:pBdr>
          <w:top w:val="nil"/>
          <w:left w:val="nil"/>
          <w:bottom w:val="nil"/>
          <w:right w:val="nil"/>
          <w:between w:val="nil"/>
          <w:bar w:val="nil"/>
        </w:pBdr>
        <w:spacing w:before="0" w:after="240"/>
        <w:rPr>
          <w:noProof/>
        </w:rPr>
      </w:pPr>
      <w:r w:rsidRPr="00DE2282">
        <w:rPr>
          <w:noProof/>
        </w:rPr>
        <w:t xml:space="preserve">Posteriormente, el Consejo de Administración reevaluó las implicaciones financieras y de capital de dicha ampliación limitada y progresiva al África subsahariana e Irak, en el contexto de la evaluación global de la capacidad financiera del BERD. La reevaluación puso de manifiesto que, en el actual Marco Estratégico y de Capital hasta 2025 y posteriormente hasta finales de 2030, los efectos de cualquier ampliación sobre la posición de capital del BERD serían limitados y, por sí mismos, no menoscabarían la capacidad del BERD para apoyar a los </w:t>
      </w:r>
      <w:r w:rsidRPr="00DE2282">
        <w:rPr>
          <w:noProof/>
        </w:rPr>
        <w:lastRenderedPageBreak/>
        <w:t>países en los que opera actualmente, no pondrían en peligro la calificación crediticia triple A del BERD ni harían necesaria otra ampliación de capital.</w:t>
      </w:r>
    </w:p>
    <w:p w:rsidR="001B59C6" w:rsidRPr="00DE2282" w:rsidRDefault="001B59C6" w:rsidP="001B59C6">
      <w:pPr>
        <w:pBdr>
          <w:top w:val="nil"/>
          <w:left w:val="nil"/>
          <w:bottom w:val="nil"/>
          <w:right w:val="nil"/>
          <w:between w:val="nil"/>
          <w:bar w:val="nil"/>
        </w:pBdr>
        <w:spacing w:before="0" w:after="240"/>
        <w:rPr>
          <w:noProof/>
          <w:u w:val="single"/>
        </w:rPr>
      </w:pPr>
      <w:r w:rsidRPr="00DE2282">
        <w:rPr>
          <w:noProof/>
          <w:u w:val="single"/>
        </w:rPr>
        <w:t>Modificación del artículo 12, apartado 1, del Convenio constitutivo del BERD</w:t>
      </w:r>
    </w:p>
    <w:p w:rsidR="001B59C6" w:rsidRPr="00DE2282" w:rsidRDefault="001B59C6" w:rsidP="001B59C6">
      <w:pPr>
        <w:pBdr>
          <w:top w:val="nil"/>
          <w:left w:val="nil"/>
          <w:bottom w:val="nil"/>
          <w:right w:val="nil"/>
          <w:between w:val="nil"/>
          <w:bar w:val="nil"/>
        </w:pBdr>
        <w:spacing w:before="0" w:after="240"/>
        <w:rPr>
          <w:noProof/>
        </w:rPr>
      </w:pPr>
      <w:r w:rsidRPr="00DE2282">
        <w:rPr>
          <w:noProof/>
        </w:rPr>
        <w:t>La razón principal para modificar el artículo 12, apartado 1, del Convenio constitutivo del BERD para suprimir el límite estatutario de capital es trasladar los límites de utilización del capital social al marco de adecuación del capital, gestionado a nivel del Consejo de Administración, con el fin de aumentar la eficiencia y la flexibilidad en el uso del capital del BERD. Tal como se reconoció en la revisión independiente del G20 de los marcos de adecuación del capital de los bancos multilaterales de desarrollo, a largo plazo existe el riesgo de que el límite estatutario nominal se convierta en una restricción vinculante, lo que podría impedir que el BERD prestase apoyo a sus países beneficiarios aun teniendo capacidad adicional de absorción de riesgos. El análisis del BERD ha puesto de manifiesto que el nivel máximo teórico de activos de explotación que podía alcanzarse con arreglo al marco de adecuación del capital era superior al alcanzable con arreglo a la ratio nominal. Suprimir el límite estatutario y permitir que el Consejo de Administración considere los niveles adecuados de utilización del capital social como un elemento de sus políticas marco de adecuación del capital permitiría una evaluación holística de la posición de capital del BERD para orientar sus actividades de préstamo.</w:t>
      </w:r>
    </w:p>
    <w:p w:rsidR="00EA33FF" w:rsidRPr="00DE2282" w:rsidRDefault="00EA33FF" w:rsidP="00A4693B">
      <w:pPr>
        <w:pStyle w:val="ManualHeading2"/>
        <w:rPr>
          <w:rFonts w:eastAsia="Arial Unicode MS"/>
          <w:noProof/>
          <w:u w:color="000000"/>
          <w:bdr w:val="nil"/>
        </w:rPr>
      </w:pPr>
      <w:r w:rsidRPr="00DE2282">
        <w:rPr>
          <w:noProof/>
          <w:u w:color="000000"/>
          <w:bdr w:val="nil"/>
        </w:rPr>
        <w:t>•</w:t>
      </w:r>
      <w:r w:rsidRPr="00DE2282">
        <w:rPr>
          <w:noProof/>
          <w:u w:color="000000"/>
          <w:bdr w:val="nil"/>
        </w:rPr>
        <w:tab/>
        <w:t>Evaluación de impacto</w:t>
      </w:r>
    </w:p>
    <w:p w:rsidR="00BC3647" w:rsidRPr="00DE2282" w:rsidRDefault="00BC3647" w:rsidP="00BC3647">
      <w:pPr>
        <w:autoSpaceDE w:val="0"/>
        <w:autoSpaceDN w:val="0"/>
        <w:adjustRightInd w:val="0"/>
        <w:rPr>
          <w:noProof/>
        </w:rPr>
      </w:pPr>
      <w:r w:rsidRPr="00DE2282">
        <w:rPr>
          <w:noProof/>
        </w:rPr>
        <w:t>En el contexto expuesto en las dos secciones anteriores, de conformidad con el principio de proporcionalidad y la práctica anterior, la Comisión no ha realizado una evaluación de impacto formal.</w:t>
      </w:r>
    </w:p>
    <w:p w:rsidR="00EA33FF" w:rsidRPr="00DE2282" w:rsidRDefault="00EA33FF" w:rsidP="00A4693B">
      <w:pPr>
        <w:pStyle w:val="ManualHeading2"/>
        <w:rPr>
          <w:rFonts w:eastAsia="Arial Unicode MS"/>
          <w:noProof/>
          <w:u w:color="000000"/>
          <w:bdr w:val="nil"/>
        </w:rPr>
      </w:pPr>
      <w:r w:rsidRPr="00DE2282">
        <w:rPr>
          <w:noProof/>
          <w:u w:color="000000"/>
          <w:bdr w:val="nil"/>
        </w:rPr>
        <w:t>•</w:t>
      </w:r>
      <w:r w:rsidRPr="00DE2282">
        <w:rPr>
          <w:noProof/>
          <w:u w:color="000000"/>
          <w:bdr w:val="nil"/>
        </w:rPr>
        <w:tab/>
        <w:t>Derechos fundamentales</w:t>
      </w:r>
    </w:p>
    <w:p w:rsidR="00EA33FF" w:rsidRPr="00DE2282" w:rsidRDefault="003D37D6" w:rsidP="00550536">
      <w:pPr>
        <w:pBdr>
          <w:top w:val="nil"/>
          <w:left w:val="nil"/>
          <w:bottom w:val="nil"/>
          <w:right w:val="nil"/>
          <w:between w:val="nil"/>
          <w:bar w:val="nil"/>
        </w:pBdr>
        <w:spacing w:before="0" w:after="240"/>
        <w:rPr>
          <w:rFonts w:eastAsia="Arial Unicode MS"/>
          <w:noProof/>
        </w:rPr>
      </w:pPr>
      <w:r w:rsidRPr="00DE2282">
        <w:rPr>
          <w:noProof/>
        </w:rPr>
        <w:t>La propuesta no tiene consecuencias en lo que respecta a la protección de los derechos fundamentales.</w:t>
      </w:r>
    </w:p>
    <w:p w:rsidR="00EA33FF" w:rsidRPr="00DE2282" w:rsidRDefault="00EA33FF" w:rsidP="00416DBA">
      <w:pPr>
        <w:pStyle w:val="ManualHeading1"/>
        <w:rPr>
          <w:noProof/>
        </w:rPr>
      </w:pPr>
      <w:r w:rsidRPr="00DE2282">
        <w:rPr>
          <w:noProof/>
        </w:rPr>
        <w:t>4.</w:t>
      </w:r>
      <w:r w:rsidRPr="00DE2282">
        <w:rPr>
          <w:noProof/>
        </w:rPr>
        <w:tab/>
        <w:t>REPERCUSIONES PRESUPUESTARIAS</w:t>
      </w:r>
    </w:p>
    <w:p w:rsidR="000C78D6" w:rsidRPr="00DE2282" w:rsidRDefault="000C78D6" w:rsidP="000C78D6">
      <w:pPr>
        <w:rPr>
          <w:noProof/>
        </w:rPr>
      </w:pPr>
      <w:r w:rsidRPr="00DE2282">
        <w:rPr>
          <w:noProof/>
        </w:rPr>
        <w:t>La participación de la Unión en el capital suscrito del BERD equivale aproximadamente al 3,03 %, por lo que la Unión aumentaría su capital suscrito en 121 020 000 EUR, en forma de acciones desembolsadas con un precio de 10 000 EUR por acción. Los miembros del BERD podrán efectuar la suscripción a más tardar el 30 de junio de 2025, o hasta la fecha, no posterior al 31 de diciembre de 2025, que determine el Consejo de Administración a más tardar el 30 de junio de 2025.</w:t>
      </w:r>
    </w:p>
    <w:p w:rsidR="000C78D6" w:rsidRPr="00DE2282" w:rsidRDefault="000C78D6" w:rsidP="000C78D6">
      <w:pPr>
        <w:rPr>
          <w:bCs/>
          <w:noProof/>
        </w:rPr>
      </w:pPr>
      <w:r w:rsidRPr="00DE2282">
        <w:rPr>
          <w:noProof/>
        </w:rPr>
        <w:t xml:space="preserve">Los miembros del BERD desembolsarán el primer plazo a más tardar en la fecha más tardía de entre las dos siguientes: i) el 30 de abril de 2025; o ii) 60 días después de la fecha de efectividad de su instrumento de suscripción. Los cuatro plazos restantes se desembolsarán a más tardar el 30 de abril de 2026, el 30 de abril de 2027, el 30 de abril de 2028 y el 30 de abril de 2029, respectivamente. </w:t>
      </w:r>
    </w:p>
    <w:p w:rsidR="00347960" w:rsidRPr="00DE2282" w:rsidRDefault="00347960" w:rsidP="00347960">
      <w:pPr>
        <w:rPr>
          <w:bCs/>
          <w:noProof/>
        </w:rPr>
      </w:pPr>
      <w:bookmarkStart w:id="3" w:name="_Hlk152774967"/>
      <w:r w:rsidRPr="00DE2282">
        <w:rPr>
          <w:noProof/>
        </w:rPr>
        <w:t>Esta iniciativa requiere el uso del margen no asignado en la rúbrica 6, o el uso de los instrumentos especiales definidos en el Reglamento del marco financiero plurianual. Esto se determinará en el momento de la finalización de la propuesta de la Comisión de proyecto de presupuesto para 2025 y será objeto de negociaciones entre el Consejo y el Parlamento Europeo</w:t>
      </w:r>
      <w:bookmarkEnd w:id="3"/>
      <w:r w:rsidRPr="00DE2282">
        <w:rPr>
          <w:noProof/>
        </w:rPr>
        <w:t>.</w:t>
      </w:r>
    </w:p>
    <w:p w:rsidR="000C78D6" w:rsidRPr="00DE2282" w:rsidRDefault="000C78D6" w:rsidP="000C78D6">
      <w:pPr>
        <w:rPr>
          <w:noProof/>
        </w:rPr>
      </w:pPr>
      <w:r w:rsidRPr="00DE2282">
        <w:rPr>
          <w:noProof/>
        </w:rPr>
        <w:t>Las modificaciones del Convenio constitutivo del BERD no tienen incidencia alguna en el presupuesto de la Unión.</w:t>
      </w:r>
    </w:p>
    <w:p w:rsidR="00EA33FF" w:rsidRPr="00DE2282" w:rsidRDefault="00EA33FF" w:rsidP="00550536">
      <w:pPr>
        <w:pStyle w:val="ManualHeading1"/>
        <w:rPr>
          <w:noProof/>
        </w:rPr>
      </w:pPr>
      <w:r w:rsidRPr="00DE2282">
        <w:rPr>
          <w:noProof/>
        </w:rPr>
        <w:lastRenderedPageBreak/>
        <w:t>5.</w:t>
      </w:r>
      <w:r w:rsidRPr="00DE2282">
        <w:rPr>
          <w:noProof/>
        </w:rPr>
        <w:tab/>
        <w:t>OTROS ELEMENTOS</w:t>
      </w:r>
    </w:p>
    <w:p w:rsidR="00EA33FF" w:rsidRPr="00DE2282" w:rsidRDefault="00EA33FF" w:rsidP="00A4693B">
      <w:pPr>
        <w:pStyle w:val="ManualHeading2"/>
        <w:rPr>
          <w:rFonts w:eastAsia="Arial Unicode MS"/>
          <w:noProof/>
          <w:u w:color="000000"/>
          <w:bdr w:val="nil"/>
        </w:rPr>
      </w:pPr>
      <w:r w:rsidRPr="00DE2282">
        <w:rPr>
          <w:noProof/>
          <w:u w:color="000000"/>
          <w:bdr w:val="nil"/>
        </w:rPr>
        <w:t>•</w:t>
      </w:r>
      <w:r w:rsidRPr="00DE2282">
        <w:rPr>
          <w:noProof/>
          <w:u w:color="000000"/>
          <w:bdr w:val="nil"/>
        </w:rPr>
        <w:tab/>
        <w:t>Planes de ejecución y modalidades de seguimiento, evaluación e información</w:t>
      </w:r>
    </w:p>
    <w:p w:rsidR="000F13D9" w:rsidRPr="00DE2282" w:rsidRDefault="000F13D9" w:rsidP="00044058">
      <w:pPr>
        <w:pBdr>
          <w:top w:val="nil"/>
          <w:left w:val="nil"/>
          <w:bottom w:val="nil"/>
          <w:right w:val="nil"/>
          <w:between w:val="nil"/>
          <w:bar w:val="nil"/>
        </w:pBdr>
        <w:spacing w:before="0" w:after="240"/>
        <w:rPr>
          <w:noProof/>
        </w:rPr>
      </w:pPr>
      <w:r w:rsidRPr="00DE2282">
        <w:rPr>
          <w:noProof/>
        </w:rPr>
        <w:t xml:space="preserve">El gobernador del BERD que representa a la Unión informa anualmente al Parlamento y al Consejo sobre: </w:t>
      </w:r>
    </w:p>
    <w:p w:rsidR="000F13D9" w:rsidRPr="00DE2282" w:rsidRDefault="000F13D9" w:rsidP="00E1359A">
      <w:pPr>
        <w:pStyle w:val="Bullet1"/>
        <w:numPr>
          <w:ilvl w:val="0"/>
          <w:numId w:val="17"/>
        </w:numPr>
        <w:rPr>
          <w:rFonts w:eastAsia="Arial Unicode MS"/>
          <w:noProof/>
        </w:rPr>
      </w:pPr>
      <w:r w:rsidRPr="00DE2282">
        <w:rPr>
          <w:noProof/>
        </w:rPr>
        <w:t>la promoción de los objetivos de la UE;</w:t>
      </w:r>
    </w:p>
    <w:p w:rsidR="000F13D9" w:rsidRPr="00DE2282" w:rsidRDefault="000F13D9" w:rsidP="00031A8E">
      <w:pPr>
        <w:pStyle w:val="Bullet1"/>
        <w:rPr>
          <w:rFonts w:eastAsia="Arial Unicode MS"/>
          <w:noProof/>
        </w:rPr>
      </w:pPr>
      <w:r w:rsidRPr="00DE2282">
        <w:rPr>
          <w:noProof/>
        </w:rPr>
        <w:t>la utilización del capital del BERD;</w:t>
      </w:r>
    </w:p>
    <w:p w:rsidR="000F13D9" w:rsidRPr="00DE2282" w:rsidRDefault="000F13D9" w:rsidP="00031A8E">
      <w:pPr>
        <w:pStyle w:val="Bullet1"/>
        <w:rPr>
          <w:rFonts w:eastAsia="Arial Unicode MS"/>
          <w:noProof/>
        </w:rPr>
      </w:pPr>
      <w:r w:rsidRPr="00DE2282">
        <w:rPr>
          <w:noProof/>
        </w:rPr>
        <w:t xml:space="preserve">las medidas para garantizar la transparencia de las operaciones del BERD a través de intermediarios financieros; </w:t>
      </w:r>
    </w:p>
    <w:p w:rsidR="000F13D9" w:rsidRPr="00DE2282" w:rsidRDefault="000F13D9" w:rsidP="00031A8E">
      <w:pPr>
        <w:pStyle w:val="Bullet1"/>
        <w:rPr>
          <w:rFonts w:eastAsia="Arial Unicode MS"/>
          <w:noProof/>
        </w:rPr>
      </w:pPr>
      <w:r w:rsidRPr="00DE2282">
        <w:rPr>
          <w:noProof/>
        </w:rPr>
        <w:t xml:space="preserve">las contribuciones del BERD a la asunción de riesgos y la eficacia para movilizar financiación complementaria del sector privado; </w:t>
      </w:r>
    </w:p>
    <w:p w:rsidR="00EA33FF" w:rsidRPr="00DE2282" w:rsidRDefault="000F13D9" w:rsidP="00031A8E">
      <w:pPr>
        <w:pStyle w:val="Bullet1"/>
        <w:rPr>
          <w:rFonts w:eastAsia="Arial Unicode MS"/>
          <w:noProof/>
        </w:rPr>
      </w:pPr>
      <w:r w:rsidRPr="00DE2282">
        <w:rPr>
          <w:noProof/>
        </w:rPr>
        <w:t>la cooperación entre el BEI y el BERD fuera de la Unión.</w:t>
      </w:r>
    </w:p>
    <w:p w:rsidR="00EA33FF" w:rsidRPr="00DE2282" w:rsidRDefault="00EA33FF" w:rsidP="00031A8E">
      <w:pPr>
        <w:rPr>
          <w:rFonts w:eastAsia="Arial Unicode MS"/>
          <w:noProof/>
        </w:rPr>
      </w:pPr>
    </w:p>
    <w:p w:rsidR="00EA33FF" w:rsidRPr="00DE2282" w:rsidRDefault="00EA33FF" w:rsidP="00A9097A">
      <w:pPr>
        <w:rPr>
          <w:noProof/>
        </w:rPr>
        <w:sectPr w:rsidR="00EA33FF" w:rsidRPr="00DE2282" w:rsidSect="00725663">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rsidR="006B4ED8" w:rsidRDefault="002502AD">
      <w:pPr>
        <w:pStyle w:val="Rfrenceinterinstitutionnelle"/>
        <w:rPr>
          <w:noProof/>
        </w:rPr>
      </w:pPr>
      <w:r>
        <w:rPr>
          <w:noProof/>
        </w:rPr>
        <w:t>2024/0019 (COD)</w:t>
      </w:r>
    </w:p>
    <w:p w:rsidR="00EA33FF" w:rsidRPr="00DE2282" w:rsidRDefault="00E31735" w:rsidP="00E31735">
      <w:pPr>
        <w:pStyle w:val="Statut"/>
        <w:rPr>
          <w:noProof/>
        </w:rPr>
      </w:pPr>
      <w:r w:rsidRPr="00E31735">
        <w:rPr>
          <w:noProof/>
        </w:rPr>
        <w:t>Propuesta de</w:t>
      </w:r>
    </w:p>
    <w:p w:rsidR="00EA33FF" w:rsidRPr="00DE2282" w:rsidRDefault="00E31735" w:rsidP="00E31735">
      <w:pPr>
        <w:pStyle w:val="Typedudocument"/>
        <w:rPr>
          <w:noProof/>
        </w:rPr>
      </w:pPr>
      <w:r w:rsidRPr="00E31735">
        <w:rPr>
          <w:noProof/>
        </w:rPr>
        <w:t>DECISIÓN DEL PARLAMENTO EUROPEO Y DEL CONSEJO</w:t>
      </w:r>
    </w:p>
    <w:p w:rsidR="00EA33FF" w:rsidRPr="00DE2282" w:rsidRDefault="00E31735" w:rsidP="00E31735">
      <w:pPr>
        <w:pStyle w:val="Titreobjet"/>
        <w:rPr>
          <w:noProof/>
        </w:rPr>
      </w:pPr>
      <w:r w:rsidRPr="00E31735">
        <w:rPr>
          <w:noProof/>
        </w:rPr>
        <w:t>relativa a la suscripción por la Unión Europea de acciones adicionales en el capital del Banco Europeo de Reconstrucción y Desarrollo (BERD) y por la que se modifica el Convenio constitutivo del BERD en lo que se refiere a la ampliación del ámbito geográfico de las operaciones del BERD al África subsahariana y a Irak de manera limitada y progresiva y a la supresión de la limitación estatutaria del capital para operaciones ordinarias</w:t>
      </w:r>
    </w:p>
    <w:p w:rsidR="00EA33FF" w:rsidRPr="00DE2282" w:rsidRDefault="00EA33FF" w:rsidP="003F4C80">
      <w:pPr>
        <w:pStyle w:val="Institutionquiagit"/>
        <w:rPr>
          <w:noProof/>
        </w:rPr>
      </w:pPr>
      <w:r w:rsidRPr="00DE2282">
        <w:rPr>
          <w:noProof/>
        </w:rPr>
        <w:t>EL PARLAMENTO EUROPEO Y EL CONSEJO DE LA UNIÓN EUROPEA,</w:t>
      </w:r>
    </w:p>
    <w:p w:rsidR="00A330E2" w:rsidRPr="00DE2282" w:rsidRDefault="00A330E2" w:rsidP="00A330E2">
      <w:pPr>
        <w:rPr>
          <w:noProof/>
        </w:rPr>
      </w:pPr>
      <w:r w:rsidRPr="00DE2282">
        <w:rPr>
          <w:noProof/>
        </w:rPr>
        <w:t>Visto el Tratado de Funcionamiento de la Unión Europea, y en particular su artículo 212,</w:t>
      </w:r>
    </w:p>
    <w:p w:rsidR="00A330E2" w:rsidRPr="00DE2282" w:rsidRDefault="00A330E2" w:rsidP="00A330E2">
      <w:pPr>
        <w:rPr>
          <w:noProof/>
        </w:rPr>
      </w:pPr>
      <w:r w:rsidRPr="00DE2282">
        <w:rPr>
          <w:noProof/>
        </w:rPr>
        <w:t>Vista la propuesta de la Comisión Europea,</w:t>
      </w:r>
    </w:p>
    <w:p w:rsidR="00A330E2" w:rsidRPr="00DE2282" w:rsidRDefault="00A330E2" w:rsidP="00A330E2">
      <w:pPr>
        <w:rPr>
          <w:noProof/>
        </w:rPr>
      </w:pPr>
      <w:r w:rsidRPr="00DE2282">
        <w:rPr>
          <w:noProof/>
        </w:rPr>
        <w:t>Previa transmisión del proyecto de acto legislativo a los Parlamentos nacionales,</w:t>
      </w:r>
    </w:p>
    <w:p w:rsidR="00A330E2" w:rsidRPr="00DE2282" w:rsidRDefault="00A330E2" w:rsidP="00A330E2">
      <w:pPr>
        <w:rPr>
          <w:noProof/>
        </w:rPr>
      </w:pPr>
      <w:r w:rsidRPr="00DE2282">
        <w:rPr>
          <w:noProof/>
        </w:rPr>
        <w:t>De conformidad con el procedimiento legislativo ordinario,</w:t>
      </w:r>
    </w:p>
    <w:p w:rsidR="00A330E2" w:rsidRPr="00DE2282" w:rsidRDefault="00A330E2" w:rsidP="00A330E2">
      <w:pPr>
        <w:rPr>
          <w:noProof/>
        </w:rPr>
      </w:pPr>
      <w:r w:rsidRPr="00DE2282">
        <w:rPr>
          <w:noProof/>
        </w:rPr>
        <w:t>Considerando lo siguiente:</w:t>
      </w:r>
    </w:p>
    <w:p w:rsidR="00A330E2" w:rsidRPr="00DE2282" w:rsidRDefault="00A330E2" w:rsidP="00E1359A">
      <w:pPr>
        <w:pStyle w:val="ManualConsidrant"/>
        <w:rPr>
          <w:noProof/>
        </w:rPr>
      </w:pPr>
      <w:r>
        <w:rPr>
          <w:noProof/>
        </w:rPr>
        <w:t>(1)</w:t>
      </w:r>
      <w:r>
        <w:rPr>
          <w:noProof/>
        </w:rPr>
        <w:tab/>
      </w:r>
      <w:r w:rsidRPr="00DE2282">
        <w:rPr>
          <w:noProof/>
        </w:rPr>
        <w:t>Con arreglo al artículo 4, apartado 3, del Convenio constitutivo del Banco Europeo de Reconstrucción y Desarrollo (BERD), la Junta de Gobernadores del BERD decidió, el 15 de diciembre de 2023, en su Resolución n.º 265</w:t>
      </w:r>
      <w:r w:rsidR="00D02738" w:rsidRPr="00DE2282">
        <w:rPr>
          <w:rStyle w:val="FootnoteReference"/>
          <w:noProof/>
        </w:rPr>
        <w:footnoteReference w:id="18"/>
      </w:r>
      <w:r w:rsidRPr="00DE2282">
        <w:rPr>
          <w:noProof/>
        </w:rPr>
        <w:t xml:space="preserve">, aumentar en 4 000 000 000 EUR el capital autorizado del BERD a fin de mantener un capital suficiente a medio plazo para desarrollar un nivel de actividad razonable, dentro de sus límites estatutarios, en los países donde opera. </w:t>
      </w:r>
    </w:p>
    <w:p w:rsidR="00A330E2" w:rsidRPr="00DE2282" w:rsidRDefault="00A330E2" w:rsidP="00E35C0E">
      <w:pPr>
        <w:pStyle w:val="ManualConsidrant"/>
        <w:rPr>
          <w:noProof/>
        </w:rPr>
      </w:pPr>
      <w:r>
        <w:rPr>
          <w:noProof/>
        </w:rPr>
        <w:t>(2)</w:t>
      </w:r>
      <w:r>
        <w:rPr>
          <w:noProof/>
        </w:rPr>
        <w:tab/>
      </w:r>
      <w:r w:rsidRPr="00DE2282">
        <w:rPr>
          <w:noProof/>
        </w:rPr>
        <w:t>Antes de dicha ampliación de capital, la Unión posee 90 044 acciones, de un valor nominal de 10 000 EUR cada una.</w:t>
      </w:r>
    </w:p>
    <w:p w:rsidR="00A330E2" w:rsidRPr="00DE2282" w:rsidRDefault="00A330E2" w:rsidP="00E35C0E">
      <w:pPr>
        <w:pStyle w:val="ManualConsidrant"/>
        <w:rPr>
          <w:noProof/>
        </w:rPr>
      </w:pPr>
      <w:r>
        <w:rPr>
          <w:noProof/>
        </w:rPr>
        <w:t>(3)</w:t>
      </w:r>
      <w:r>
        <w:rPr>
          <w:noProof/>
        </w:rPr>
        <w:tab/>
      </w:r>
      <w:r w:rsidRPr="00DE2282">
        <w:rPr>
          <w:noProof/>
        </w:rPr>
        <w:t>En virtud de la Resolución 265, el capital autorizado del BERD se incrementa en 400 000 acciones desembolsadas, y los miembros del BERD pueden suscribir, a más tardar el 30 de junio de 2025, o hasta la fecha, no posterior al 31 de diciembre de 2025, que determine el Consejo de Administración a más tardar el 30 de junio de 2025, un número entero de acciones proporcional a su participación actual. La ampliación de capital ha de desembolsarse en cinco plazos, que cada miembro desembolsará a más tardar en la fecha más tardía de entre las dos siguientes: i) el 30 de abril de 2025; o ii) 60 días después de la fecha de efectividad de su instrumento de suscripción. Los cuatro plazos restantes se desembolsarán a más tardar el 30 de abril de 2026, el 30 de abril de 2027, el 30 de abril de 2028 y el 30 de abril de 2029, respectivamente. En consecuencia, la Unión podrá suscribir 12 102 nuevas acciones, de un valor nominal de 10 000 EUR cada una, por un importe total de 121 020 000 EUR, lo que aumenta el número de acciones desembolsadas de la Unión a 102 146.</w:t>
      </w:r>
    </w:p>
    <w:p w:rsidR="007476C4" w:rsidRPr="00DE2282" w:rsidRDefault="007476C4" w:rsidP="007476C4">
      <w:pPr>
        <w:pStyle w:val="ManualConsidrant"/>
        <w:rPr>
          <w:noProof/>
        </w:rPr>
      </w:pPr>
      <w:r>
        <w:rPr>
          <w:noProof/>
        </w:rPr>
        <w:t>(4)</w:t>
      </w:r>
      <w:r>
        <w:rPr>
          <w:noProof/>
        </w:rPr>
        <w:tab/>
      </w:r>
      <w:r w:rsidRPr="00DE2282">
        <w:rPr>
          <w:noProof/>
        </w:rPr>
        <w:t xml:space="preserve">La ampliación de capital es necesaria para permitir la continuación de las actividades e inversiones del BERD en Ucrania durante la guerra y, en particular, en el período posterior a la guerra a fin de prestar apoyo para la reconstrucción de Ucrania. Al </w:t>
      </w:r>
      <w:r w:rsidRPr="00DE2282">
        <w:rPr>
          <w:noProof/>
        </w:rPr>
        <w:lastRenderedPageBreak/>
        <w:t>prestar apoyo a estas actividades, la ampliación de capital también garantiza que este esfuerzo no limite la capacidad del BERD para satisfacer las necesidades en los demás países donde opera. Se ajusta a la exigencia establecida en el artículo 13, inciso v), del Convenio constitutivo del BERD de que el Banco procure mantener un grado de diversificación razonable en todas sus inversiones. Como consecuencia de ello, una ampliación de capital desembolsada sustenta la solidez financiera del BERD para que sea capaz de cumplir su mandato y lograr los objetivos de los accionistas en todos los países en los que opera.</w:t>
      </w:r>
    </w:p>
    <w:p w:rsidR="007476C4" w:rsidRPr="00DE2282" w:rsidRDefault="007476C4" w:rsidP="007476C4">
      <w:pPr>
        <w:pStyle w:val="ManualConsidrant"/>
        <w:rPr>
          <w:noProof/>
        </w:rPr>
      </w:pPr>
      <w:r>
        <w:rPr>
          <w:noProof/>
        </w:rPr>
        <w:t>(5)</w:t>
      </w:r>
      <w:r>
        <w:rPr>
          <w:noProof/>
        </w:rPr>
        <w:tab/>
      </w:r>
      <w:r w:rsidRPr="00DE2282">
        <w:rPr>
          <w:noProof/>
        </w:rPr>
        <w:t>Es procedente que la Unión suscriba estas acciones adicionales con el fin de alcanzar sus objetivos en el ámbito de las relaciones económicas exteriores y de conservar sus derechos de voto relativos dentro del BERD.</w:t>
      </w:r>
    </w:p>
    <w:p w:rsidR="007476C4" w:rsidRPr="00DE2282" w:rsidRDefault="007476C4" w:rsidP="007476C4">
      <w:pPr>
        <w:pStyle w:val="ManualConsidrant"/>
        <w:rPr>
          <w:noProof/>
        </w:rPr>
      </w:pPr>
      <w:r>
        <w:rPr>
          <w:noProof/>
        </w:rPr>
        <w:t>(6)</w:t>
      </w:r>
      <w:r>
        <w:rPr>
          <w:noProof/>
        </w:rPr>
        <w:tab/>
      </w:r>
      <w:r w:rsidRPr="00DE2282">
        <w:rPr>
          <w:noProof/>
        </w:rPr>
        <w:t>En virtud de la Resolución 259</w:t>
      </w:r>
      <w:r w:rsidR="00B459B0" w:rsidRPr="00DE2282">
        <w:rPr>
          <w:rStyle w:val="FootnoteReference"/>
          <w:noProof/>
        </w:rPr>
        <w:footnoteReference w:id="19"/>
      </w:r>
      <w:r w:rsidRPr="00DE2282">
        <w:rPr>
          <w:noProof/>
        </w:rPr>
        <w:t xml:space="preserve">, adoptada el 18 de mayo de 2023, la Junta de Gobernadores del BERD votó a favor de las modificaciones necesarias del Convenio constitutivo del BERD, que permiten a este ampliar de forma limitada y progresiva su ámbito geográfico de operaciones al África subsahariana y a Irak, manteniendo su pleno compromiso con Ucrania y los países en los que ya opera. Dicha Resolución confirmó que la ampliación del mandato del BERD debía llevarse a cabo sin exigir aportaciones de capital adicionales de sus accionistas. </w:t>
      </w:r>
    </w:p>
    <w:p w:rsidR="007476C4" w:rsidRPr="00DE2282" w:rsidRDefault="007476C4" w:rsidP="007476C4">
      <w:pPr>
        <w:pStyle w:val="ManualConsidrant"/>
        <w:rPr>
          <w:noProof/>
        </w:rPr>
      </w:pPr>
      <w:r>
        <w:rPr>
          <w:noProof/>
        </w:rPr>
        <w:t>(7)</w:t>
      </w:r>
      <w:r>
        <w:rPr>
          <w:noProof/>
        </w:rPr>
        <w:tab/>
      </w:r>
      <w:r w:rsidRPr="00DE2282">
        <w:rPr>
          <w:noProof/>
        </w:rPr>
        <w:t>El ámbito geográfico de operaciones del BERD debe ampliarse de forma limitada y progresiva al África subsahariana e Irak y respetar plenamente los valores del BERD de apoyar a aquellos países comprometidos con la aplicación de los principios de democracia pluralista, Estado de Derecho, respeto de los derechos humanos, pluralismo y economía de mercado. El BERD ha concebido un enfoque gradual para iniciar sus actividades en las regiones en cuestión, que tendrá en cuenta las especificidades regionales y nacionales. Está previsto que las primeras inversiones en el África subsahariana tengan lugar en países seleccionados a partir de 2025</w:t>
      </w:r>
      <w:r w:rsidRPr="00DE2282">
        <w:rPr>
          <w:rStyle w:val="FootnoteReference"/>
          <w:noProof/>
        </w:rPr>
        <w:footnoteReference w:id="20"/>
      </w:r>
      <w:r w:rsidRPr="00DE2282">
        <w:rPr>
          <w:noProof/>
        </w:rPr>
        <w:t>. Teniendo en cuenta el énfasis del BERD en el desarrollo del sector privado y su mandato de transición, el valor que el banco puede aportar en el África subsahariana e Irak es sustancial y de importancia geoestratégica para la Unión.</w:t>
      </w:r>
    </w:p>
    <w:p w:rsidR="007476C4" w:rsidRPr="00DE2282" w:rsidRDefault="007476C4" w:rsidP="007476C4">
      <w:pPr>
        <w:pStyle w:val="ManualConsidrant"/>
        <w:rPr>
          <w:noProof/>
        </w:rPr>
      </w:pPr>
      <w:r>
        <w:rPr>
          <w:noProof/>
        </w:rPr>
        <w:t>(8)</w:t>
      </w:r>
      <w:r>
        <w:rPr>
          <w:noProof/>
        </w:rPr>
        <w:tab/>
      </w:r>
      <w:r w:rsidRPr="00DE2282">
        <w:rPr>
          <w:noProof/>
        </w:rPr>
        <w:t>Los representantes de la Unión en los órganos rectores del BERD deben alentar a este a mantener su estrecha cooperación con la Unión y su colaboración con la sociedad civil, así como a seguir desarrollando su estrecha cooperación con otras instituciones financieras públicas europeas e internacionales, a fin de aprovechar plenamente sus ventajas comparativas al ampliar sus operaciones al África subsahariana e Irak.</w:t>
      </w:r>
    </w:p>
    <w:p w:rsidR="007476C4" w:rsidRPr="00DE2282" w:rsidRDefault="007476C4" w:rsidP="007476C4">
      <w:pPr>
        <w:pStyle w:val="ManualConsidrant"/>
        <w:rPr>
          <w:noProof/>
        </w:rPr>
      </w:pPr>
      <w:r>
        <w:rPr>
          <w:noProof/>
        </w:rPr>
        <w:t>(9)</w:t>
      </w:r>
      <w:r>
        <w:rPr>
          <w:noProof/>
        </w:rPr>
        <w:tab/>
      </w:r>
      <w:r w:rsidRPr="00DE2282">
        <w:rPr>
          <w:noProof/>
        </w:rPr>
        <w:t>Según la práctica actual, el BERD, antes de acordar operar en un nuevo país, debe realizar una evaluación técnica detallada de las condiciones económicas y políticas imperantes en el país de que se trate, que incluya la evaluación del compromiso de dicho país con los principios de democracia pluralista, de pluralismo y de economía de mercado consagrados en el artículo 1 del Convenio constitutivo del BERD, una evaluación de las deficiencias de la transición y un estudio de las actividades que las otras instituciones financieras internacionales llevan a cabo en ese país y de las prioridades respecto de las cuales el BERD podría aprovechar mejor sus aptitudes y conocimientos únicos. Dicha evaluación debe llevarse a cabo siempre que un nuevo país que solicite la condición de miembro del BERD y de país en el que opera el BERD y que dicha solicitud sea aprobada posteriormente por la Junta de Gobernadores del BERD.</w:t>
      </w:r>
    </w:p>
    <w:p w:rsidR="007476C4" w:rsidRPr="00DE2282" w:rsidRDefault="007476C4" w:rsidP="007476C4">
      <w:pPr>
        <w:pStyle w:val="ManualConsidrant"/>
        <w:rPr>
          <w:noProof/>
        </w:rPr>
      </w:pPr>
      <w:r>
        <w:rPr>
          <w:noProof/>
        </w:rPr>
        <w:lastRenderedPageBreak/>
        <w:t>(10)</w:t>
      </w:r>
      <w:r>
        <w:rPr>
          <w:noProof/>
        </w:rPr>
        <w:tab/>
      </w:r>
      <w:r w:rsidRPr="00DE2282">
        <w:rPr>
          <w:noProof/>
        </w:rPr>
        <w:t>En su Resolución 260</w:t>
      </w:r>
      <w:r w:rsidR="00B459B0" w:rsidRPr="00DE2282">
        <w:rPr>
          <w:rStyle w:val="FootnoteReference"/>
          <w:noProof/>
        </w:rPr>
        <w:footnoteReference w:id="21"/>
      </w:r>
      <w:r w:rsidRPr="00DE2282">
        <w:rPr>
          <w:noProof/>
        </w:rPr>
        <w:t>, la Junta de Gobernadores del BERD reconoció el papel esencial del Banco a la hora de dar respuesta a los retos mundiales acuciantes y a las recomendaciones de la revisión independiente del G20 de los marcos de adecuación del capital. A fin de permitir un uso óptimo de la capacidad del BERD en lo que respecta al capital para lograr los máximos efectos posibles en los países beneficiarios, es necesario modificar el artículo 12, apartado 1, del Convenio constitutivo del BERD, suprimiendo la limitación estatutaria del capital.</w:t>
      </w:r>
    </w:p>
    <w:p w:rsidR="007476C4" w:rsidRPr="00DE2282" w:rsidRDefault="007476C4" w:rsidP="007476C4">
      <w:pPr>
        <w:pStyle w:val="ManualConsidrant"/>
        <w:rPr>
          <w:noProof/>
        </w:rPr>
      </w:pPr>
      <w:r>
        <w:rPr>
          <w:noProof/>
        </w:rPr>
        <w:t>(11)</w:t>
      </w:r>
      <w:r>
        <w:rPr>
          <w:noProof/>
        </w:rPr>
        <w:tab/>
      </w:r>
      <w:r w:rsidRPr="00DE2282">
        <w:rPr>
          <w:noProof/>
        </w:rPr>
        <w:t>De conformidad con el artículo 56 del Convenio constitutivo del BERD, la Junta de Gobernadores del BERD ha preguntado a todos los miembros si aceptan las modificaciones propuestas.</w:t>
      </w:r>
    </w:p>
    <w:p w:rsidR="009348FE" w:rsidRPr="00DE2282" w:rsidRDefault="007476C4" w:rsidP="007476C4">
      <w:pPr>
        <w:pStyle w:val="ManualConsidrant"/>
        <w:rPr>
          <w:noProof/>
        </w:rPr>
      </w:pPr>
      <w:r>
        <w:rPr>
          <w:noProof/>
        </w:rPr>
        <w:t>(12)</w:t>
      </w:r>
      <w:r>
        <w:rPr>
          <w:noProof/>
        </w:rPr>
        <w:tab/>
      </w:r>
      <w:r w:rsidRPr="00DE2282">
        <w:rPr>
          <w:noProof/>
        </w:rPr>
        <w:t>Por consiguiente, procede aprobar, en nombre de la Unión, la ampliación de capital y las modificaciones del Convenio constitutivo del BERD.</w:t>
      </w:r>
    </w:p>
    <w:p w:rsidR="009348FE" w:rsidRPr="00DE2282" w:rsidRDefault="009348FE" w:rsidP="00E35C0E">
      <w:pPr>
        <w:rPr>
          <w:noProof/>
        </w:rPr>
      </w:pPr>
    </w:p>
    <w:p w:rsidR="00EA33FF" w:rsidRPr="00DE2282" w:rsidRDefault="00EA33FF" w:rsidP="003F4C80">
      <w:pPr>
        <w:pStyle w:val="Formuledadoption"/>
        <w:rPr>
          <w:noProof/>
        </w:rPr>
      </w:pPr>
      <w:r w:rsidRPr="00DE2282">
        <w:rPr>
          <w:noProof/>
        </w:rPr>
        <w:t xml:space="preserve">HAN ADOPTADO LA PRESENTE DECISIÓN: </w:t>
      </w:r>
    </w:p>
    <w:p w:rsidR="00B560B0" w:rsidRPr="00DE2282" w:rsidRDefault="00B560B0" w:rsidP="00B560B0">
      <w:pPr>
        <w:pStyle w:val="Titrearticle"/>
        <w:rPr>
          <w:noProof/>
        </w:rPr>
      </w:pPr>
      <w:r w:rsidRPr="00DE2282">
        <w:rPr>
          <w:noProof/>
        </w:rPr>
        <w:t>Artículo 1</w:t>
      </w:r>
    </w:p>
    <w:p w:rsidR="00AE1F2D" w:rsidRPr="00DE2282" w:rsidRDefault="00B560B0" w:rsidP="00B560B0">
      <w:pPr>
        <w:pStyle w:val="Normal1"/>
        <w:shd w:val="clear" w:color="auto" w:fill="FFFFFF"/>
        <w:spacing w:before="120" w:beforeAutospacing="0" w:after="0" w:afterAutospacing="0"/>
        <w:jc w:val="both"/>
        <w:rPr>
          <w:noProof/>
          <w:lang w:val="es-ES_tradnl"/>
        </w:rPr>
      </w:pPr>
      <w:r w:rsidRPr="00DE2282">
        <w:rPr>
          <w:noProof/>
          <w:color w:val="000000"/>
          <w:lang w:val="es-ES_tradnl"/>
        </w:rPr>
        <w:t>La Unión suscribirá 12 102 acciones adicionales de 10 000 EUR cada una en el BERD, en virtud de la Resolución 265 de la Junta de Gobernadores del BERD,</w:t>
      </w:r>
      <w:r w:rsidRPr="00DE2282">
        <w:rPr>
          <w:noProof/>
          <w:lang w:val="es-ES_tradnl"/>
        </w:rPr>
        <w:t xml:space="preserve"> a más tardar el 30 de junio de 2025, o hasta la fecha, no posterior al 31 de diciembre de 2025, que determine el Consejo de Administración a más tardar el 30 de junio de 2025.</w:t>
      </w:r>
    </w:p>
    <w:p w:rsidR="00B560B0" w:rsidRPr="00DE2282" w:rsidRDefault="0097581B" w:rsidP="00B560B0">
      <w:pPr>
        <w:pStyle w:val="Normal1"/>
        <w:shd w:val="clear" w:color="auto" w:fill="FFFFFF"/>
        <w:spacing w:before="120" w:beforeAutospacing="0" w:after="0" w:afterAutospacing="0"/>
        <w:jc w:val="both"/>
        <w:rPr>
          <w:noProof/>
          <w:color w:val="000000"/>
          <w:lang w:val="es-ES_tradnl"/>
        </w:rPr>
      </w:pPr>
      <w:r w:rsidRPr="00DE2282">
        <w:rPr>
          <w:noProof/>
          <w:lang w:val="es-ES_tradnl"/>
        </w:rPr>
        <w:t>La suscripción se desembolsará en cinco plazos, el primero de ellos en la fecha más tardía de entre las dos siguientes: i) el 30 de abril de 2025; o ii) 60 días después de la fecha de efectividad del instrumento de suscripción de la Unión. Los cuatro plazos restantes se desembolsarán a más tardar el 30 de abril de 2026, el 30 de abril de 2027, el 30 de abril de 2028 y el 30 de abril de 2029, respectivamente.</w:t>
      </w:r>
      <w:r w:rsidRPr="00DE2282">
        <w:rPr>
          <w:noProof/>
          <w:color w:val="000000"/>
          <w:lang w:val="es-ES_tradnl"/>
        </w:rPr>
        <w:t xml:space="preserve"> </w:t>
      </w:r>
    </w:p>
    <w:p w:rsidR="00B560B0" w:rsidRPr="00DE2282" w:rsidRDefault="00B560B0" w:rsidP="00B560B0">
      <w:pPr>
        <w:pStyle w:val="ti-art"/>
        <w:shd w:val="clear" w:color="auto" w:fill="FFFFFF"/>
        <w:spacing w:before="360" w:beforeAutospacing="0" w:after="120" w:afterAutospacing="0"/>
        <w:jc w:val="center"/>
        <w:rPr>
          <w:i/>
          <w:iCs/>
          <w:noProof/>
          <w:color w:val="000000"/>
          <w:lang w:val="es-ES_tradnl"/>
        </w:rPr>
      </w:pPr>
      <w:r w:rsidRPr="00DE2282">
        <w:rPr>
          <w:i/>
          <w:noProof/>
          <w:color w:val="000000"/>
          <w:lang w:val="es-ES_tradnl"/>
        </w:rPr>
        <w:t>Artículo 2</w:t>
      </w:r>
    </w:p>
    <w:p w:rsidR="00B560B0" w:rsidRPr="00DE2282" w:rsidRDefault="00B560B0" w:rsidP="00B560B0">
      <w:pPr>
        <w:pStyle w:val="Normal1"/>
        <w:shd w:val="clear" w:color="auto" w:fill="FFFFFF"/>
        <w:spacing w:before="120" w:beforeAutospacing="0" w:after="0" w:afterAutospacing="0"/>
        <w:jc w:val="both"/>
        <w:rPr>
          <w:noProof/>
          <w:color w:val="000000"/>
          <w:lang w:val="es-ES_tradnl"/>
        </w:rPr>
      </w:pPr>
      <w:r w:rsidRPr="00DE2282">
        <w:rPr>
          <w:noProof/>
          <w:color w:val="000000"/>
          <w:lang w:val="es-ES_tradnl"/>
        </w:rPr>
        <w:t>El gobernador del BERD que representa a la Unión depositará el instrumento de suscripción requerido en nombre de la Unión.</w:t>
      </w:r>
    </w:p>
    <w:p w:rsidR="00EA33FF" w:rsidRPr="00DE2282" w:rsidRDefault="00EA33FF" w:rsidP="003F4C80">
      <w:pPr>
        <w:pStyle w:val="Titrearticle"/>
        <w:rPr>
          <w:noProof/>
        </w:rPr>
      </w:pPr>
      <w:r w:rsidRPr="00DE2282">
        <w:rPr>
          <w:noProof/>
        </w:rPr>
        <w:t>Artículo 3</w:t>
      </w:r>
    </w:p>
    <w:p w:rsidR="0042192D" w:rsidRPr="00DE2282" w:rsidRDefault="00326CB1" w:rsidP="00AD2675">
      <w:pPr>
        <w:pStyle w:val="Normal1"/>
        <w:shd w:val="clear" w:color="auto" w:fill="FFFFFF"/>
        <w:spacing w:before="120" w:beforeAutospacing="0" w:after="0" w:afterAutospacing="0"/>
        <w:jc w:val="both"/>
        <w:rPr>
          <w:noProof/>
          <w:color w:val="000000"/>
          <w:lang w:val="es-ES_tradnl"/>
        </w:rPr>
      </w:pPr>
      <w:r w:rsidRPr="00DE2282">
        <w:rPr>
          <w:noProof/>
          <w:color w:val="000000"/>
          <w:lang w:val="es-ES_tradnl"/>
        </w:rPr>
        <w:t xml:space="preserve">Se aprueban en nombre de la Unión las modificaciones del artículo 1 del Convenio constitutivo del BERD a fin de permitir la ampliación limitada y progresiva del ámbito geográfico de las operaciones del BERD al África subsahariana e Irak, y del artículo 12, apartado 1, de dicho Convenio a fin de suprimir la limitación estatutaria del capital. </w:t>
      </w:r>
    </w:p>
    <w:p w:rsidR="00326CB1" w:rsidRPr="00DE2282" w:rsidRDefault="00326CB1" w:rsidP="0042192D">
      <w:pPr>
        <w:pStyle w:val="Normal1"/>
        <w:shd w:val="clear" w:color="auto" w:fill="FFFFFF"/>
        <w:spacing w:before="120" w:beforeAutospacing="0" w:after="0" w:afterAutospacing="0"/>
        <w:jc w:val="center"/>
        <w:rPr>
          <w:i/>
          <w:iCs/>
          <w:noProof/>
          <w:color w:val="000000"/>
          <w:lang w:val="es-ES_tradnl"/>
        </w:rPr>
      </w:pPr>
      <w:r w:rsidRPr="00DE2282">
        <w:rPr>
          <w:i/>
          <w:noProof/>
          <w:color w:val="000000"/>
          <w:lang w:val="es-ES_tradnl"/>
        </w:rPr>
        <w:t>Artículo 4</w:t>
      </w:r>
    </w:p>
    <w:p w:rsidR="00326CB1" w:rsidRPr="00DE2282" w:rsidRDefault="00326CB1" w:rsidP="00326CB1">
      <w:pPr>
        <w:pStyle w:val="Normal1"/>
        <w:shd w:val="clear" w:color="auto" w:fill="FFFFFF"/>
        <w:spacing w:before="120" w:beforeAutospacing="0" w:after="0" w:afterAutospacing="0"/>
        <w:jc w:val="both"/>
        <w:rPr>
          <w:noProof/>
          <w:color w:val="000000"/>
          <w:lang w:val="es-ES_tradnl"/>
        </w:rPr>
      </w:pPr>
      <w:r w:rsidRPr="00DE2282">
        <w:rPr>
          <w:noProof/>
          <w:color w:val="000000"/>
          <w:lang w:val="es-ES_tradnl"/>
        </w:rPr>
        <w:t>El gobernador del BERD que representa a la Unión comunicará al BERD, en nombre de la Unión, la declaración de aceptación de dichas modificaciones.</w:t>
      </w:r>
    </w:p>
    <w:p w:rsidR="00326CB1" w:rsidRPr="00DE2282" w:rsidRDefault="00326CB1" w:rsidP="00326CB1">
      <w:pPr>
        <w:pStyle w:val="ti-art"/>
        <w:shd w:val="clear" w:color="auto" w:fill="FFFFFF"/>
        <w:spacing w:before="360" w:beforeAutospacing="0" w:after="120" w:afterAutospacing="0"/>
        <w:jc w:val="center"/>
        <w:rPr>
          <w:i/>
          <w:iCs/>
          <w:noProof/>
          <w:color w:val="000000"/>
          <w:lang w:val="es-ES_tradnl"/>
        </w:rPr>
      </w:pPr>
      <w:r w:rsidRPr="00DE2282">
        <w:rPr>
          <w:i/>
          <w:noProof/>
          <w:color w:val="000000"/>
          <w:lang w:val="es-ES_tradnl"/>
        </w:rPr>
        <w:t>Artículo 5</w:t>
      </w:r>
    </w:p>
    <w:p w:rsidR="00326CB1" w:rsidRPr="00DE2282" w:rsidRDefault="00326CB1" w:rsidP="00326CB1">
      <w:pPr>
        <w:pStyle w:val="Normal1"/>
        <w:shd w:val="clear" w:color="auto" w:fill="FFFFFF"/>
        <w:spacing w:before="120" w:beforeAutospacing="0" w:after="0" w:afterAutospacing="0"/>
        <w:jc w:val="both"/>
        <w:rPr>
          <w:noProof/>
          <w:color w:val="000000"/>
          <w:lang w:val="es-ES_tradnl"/>
        </w:rPr>
      </w:pPr>
      <w:r w:rsidRPr="00DE2282">
        <w:rPr>
          <w:noProof/>
          <w:color w:val="000000"/>
          <w:lang w:val="es-ES_tradnl"/>
        </w:rPr>
        <w:t>En el informe anual dirigido al Parlamento Europeo, el gobernador del BERD que representa a la Unión informará igualmente de las actividades y operaciones del BERD en el África subsahariana e Irak.</w:t>
      </w:r>
    </w:p>
    <w:p w:rsidR="00EA33FF" w:rsidRPr="00DE2282" w:rsidRDefault="00EA33FF" w:rsidP="003F4C80">
      <w:pPr>
        <w:pStyle w:val="Titrearticle"/>
        <w:rPr>
          <w:noProof/>
        </w:rPr>
      </w:pPr>
      <w:r w:rsidRPr="00DE2282">
        <w:rPr>
          <w:noProof/>
        </w:rPr>
        <w:lastRenderedPageBreak/>
        <w:t>Artículo 6</w:t>
      </w:r>
    </w:p>
    <w:p w:rsidR="00EA33FF" w:rsidRPr="00DE2282" w:rsidRDefault="00EA33FF" w:rsidP="003F4C80">
      <w:pPr>
        <w:keepNext/>
        <w:keepLines/>
        <w:rPr>
          <w:noProof/>
        </w:rPr>
      </w:pPr>
      <w:r w:rsidRPr="00DE2282">
        <w:rPr>
          <w:noProof/>
        </w:rPr>
        <w:t xml:space="preserve">La presente Decisión entrará en vigor a los tres días de su publicación en el </w:t>
      </w:r>
      <w:r w:rsidRPr="00DE2282">
        <w:rPr>
          <w:i/>
          <w:noProof/>
        </w:rPr>
        <w:t>Diario Oficial de la Unión Europea</w:t>
      </w:r>
      <w:r w:rsidRPr="00DE2282">
        <w:rPr>
          <w:noProof/>
        </w:rPr>
        <w:t>.</w:t>
      </w:r>
    </w:p>
    <w:p w:rsidR="00FA310E" w:rsidRPr="00DE2282" w:rsidRDefault="00FA310E" w:rsidP="00E35C0E">
      <w:pPr>
        <w:rPr>
          <w:noProof/>
        </w:rPr>
      </w:pPr>
    </w:p>
    <w:p w:rsidR="00EA33FF" w:rsidRPr="00DE2282" w:rsidRDefault="00E31735" w:rsidP="00ED71CA">
      <w:pPr>
        <w:pStyle w:val="Fait"/>
        <w:rPr>
          <w:noProof/>
        </w:rPr>
      </w:pPr>
      <w:r>
        <w:rPr>
          <w:noProof/>
        </w:rPr>
        <w:t>Hecho en Bruselas, el</w:t>
      </w:r>
    </w:p>
    <w:p w:rsidR="00EA33FF" w:rsidRPr="00DE2282" w:rsidRDefault="00EA33FF" w:rsidP="00ED71CA">
      <w:pPr>
        <w:pStyle w:val="Institutionquisigne"/>
        <w:rPr>
          <w:noProof/>
        </w:rPr>
      </w:pPr>
      <w:r w:rsidRPr="00DE2282">
        <w:rPr>
          <w:noProof/>
        </w:rPr>
        <w:t>Por el Parlamento Europeo</w:t>
      </w:r>
      <w:r w:rsidRPr="00DE2282">
        <w:rPr>
          <w:noProof/>
        </w:rPr>
        <w:tab/>
        <w:t>Por el Consejo</w:t>
      </w:r>
    </w:p>
    <w:p w:rsidR="00EA33FF" w:rsidRPr="00DE2282" w:rsidRDefault="00EA33FF" w:rsidP="00EA33FF">
      <w:pPr>
        <w:pStyle w:val="Personnequisigne"/>
        <w:rPr>
          <w:noProof/>
        </w:rPr>
      </w:pPr>
      <w:r w:rsidRPr="00DE2282">
        <w:rPr>
          <w:noProof/>
        </w:rPr>
        <w:t>El Presidente / La Presidenta</w:t>
      </w:r>
      <w:r w:rsidRPr="00DE2282">
        <w:rPr>
          <w:noProof/>
        </w:rPr>
        <w:tab/>
        <w:t>El Presidente / La Presidenta</w:t>
      </w:r>
    </w:p>
    <w:p w:rsidR="00EA33FF" w:rsidRPr="00DE2282" w:rsidRDefault="00EA33FF" w:rsidP="00EA33FF">
      <w:pPr>
        <w:rPr>
          <w:noProof/>
        </w:rPr>
        <w:sectPr w:rsidR="00EA33FF" w:rsidRPr="00DE2282" w:rsidSect="00725663">
          <w:pgSz w:w="11907" w:h="16839"/>
          <w:pgMar w:top="1134" w:right="1417" w:bottom="1134" w:left="1417" w:header="709" w:footer="709" w:gutter="0"/>
          <w:cols w:space="708"/>
          <w:docGrid w:linePitch="360"/>
        </w:sectPr>
      </w:pPr>
    </w:p>
    <w:p w:rsidR="00EB1AD0" w:rsidRPr="00DE2282" w:rsidRDefault="00EB1AD0" w:rsidP="00EB1AD0">
      <w:pPr>
        <w:pStyle w:val="Fichefinanciretitre"/>
        <w:keepNext/>
        <w:rPr>
          <w:noProof/>
        </w:rPr>
      </w:pPr>
      <w:r w:rsidRPr="00DE2282">
        <w:rPr>
          <w:noProof/>
        </w:rPr>
        <w:t>FICHA DE FINANCIACIÓN LEGISLATIVA</w:t>
      </w:r>
    </w:p>
    <w:p w:rsidR="00EB1AD0" w:rsidRPr="00DE2282" w:rsidRDefault="00EB1AD0" w:rsidP="00EB1AD0">
      <w:pPr>
        <w:pStyle w:val="ManualHeading1"/>
        <w:rPr>
          <w:noProof/>
        </w:rPr>
      </w:pPr>
      <w:r w:rsidRPr="00DE2282">
        <w:rPr>
          <w:noProof/>
        </w:rPr>
        <w:t>1.</w:t>
      </w:r>
      <w:r w:rsidRPr="00DE2282">
        <w:rPr>
          <w:noProof/>
        </w:rPr>
        <w:tab/>
        <w:t>MARCO DE LA PROPUESTA/INICIATIVA</w:t>
      </w:r>
    </w:p>
    <w:p w:rsidR="00EB1AD0" w:rsidRPr="00DE2282" w:rsidRDefault="00EB1AD0" w:rsidP="00EB1AD0">
      <w:pPr>
        <w:pStyle w:val="ManualHeading2"/>
        <w:rPr>
          <w:noProof/>
        </w:rPr>
      </w:pPr>
      <w:r w:rsidRPr="00DE2282">
        <w:rPr>
          <w:noProof/>
        </w:rPr>
        <w:t>1.1.</w:t>
      </w:r>
      <w:r w:rsidRPr="00DE2282">
        <w:rPr>
          <w:noProof/>
        </w:rPr>
        <w:tab/>
        <w:t>Denominación de la propuesta/iniciativa</w:t>
      </w:r>
    </w:p>
    <w:p w:rsidR="00EB1AD0" w:rsidRPr="00DE2282" w:rsidRDefault="00EB1AD0" w:rsidP="00EB1AD0">
      <w:pPr>
        <w:pStyle w:val="ManualHeading2"/>
        <w:rPr>
          <w:noProof/>
        </w:rPr>
      </w:pPr>
      <w:r w:rsidRPr="00DE2282">
        <w:rPr>
          <w:noProof/>
        </w:rPr>
        <w:t>1.2.</w:t>
      </w:r>
      <w:r w:rsidRPr="00DE2282">
        <w:rPr>
          <w:noProof/>
        </w:rPr>
        <w:tab/>
        <w:t>Política(s) afectada(s)</w:t>
      </w:r>
    </w:p>
    <w:p w:rsidR="00EB1AD0" w:rsidRPr="00DE2282" w:rsidRDefault="00EB1AD0" w:rsidP="00EB1AD0">
      <w:pPr>
        <w:pStyle w:val="ManualHeading2"/>
        <w:rPr>
          <w:noProof/>
        </w:rPr>
      </w:pPr>
      <w:r w:rsidRPr="00DE2282">
        <w:rPr>
          <w:noProof/>
        </w:rPr>
        <w:t>1.3.</w:t>
      </w:r>
      <w:r w:rsidRPr="00DE2282">
        <w:rPr>
          <w:noProof/>
        </w:rPr>
        <w:tab/>
        <w:t>La propuesta/iniciativa se refiere a:</w:t>
      </w:r>
    </w:p>
    <w:p w:rsidR="00EB1AD0" w:rsidRPr="00DE2282" w:rsidRDefault="00EB1AD0" w:rsidP="00EB1AD0">
      <w:pPr>
        <w:pStyle w:val="ManualHeading2"/>
        <w:rPr>
          <w:noProof/>
        </w:rPr>
      </w:pPr>
      <w:r w:rsidRPr="00DE2282">
        <w:rPr>
          <w:noProof/>
        </w:rPr>
        <w:t>1.4.</w:t>
      </w:r>
      <w:r w:rsidRPr="00DE2282">
        <w:rPr>
          <w:noProof/>
        </w:rPr>
        <w:tab/>
        <w:t>Objetivo(s)</w:t>
      </w:r>
    </w:p>
    <w:p w:rsidR="00EB1AD0" w:rsidRPr="00DE2282" w:rsidRDefault="00EB1AD0" w:rsidP="00EB1AD0">
      <w:pPr>
        <w:pStyle w:val="ManualHeading3"/>
        <w:rPr>
          <w:noProof/>
        </w:rPr>
      </w:pPr>
      <w:r w:rsidRPr="00DE2282">
        <w:rPr>
          <w:noProof/>
        </w:rPr>
        <w:t>1.4.1.</w:t>
      </w:r>
      <w:r w:rsidRPr="00DE2282">
        <w:rPr>
          <w:noProof/>
        </w:rPr>
        <w:tab/>
        <w:t>Objetivo(s) general(es)</w:t>
      </w:r>
    </w:p>
    <w:p w:rsidR="00EB1AD0" w:rsidRPr="00DE2282" w:rsidRDefault="00EB1AD0" w:rsidP="00EB1AD0">
      <w:pPr>
        <w:pStyle w:val="ManualHeading3"/>
        <w:rPr>
          <w:noProof/>
        </w:rPr>
      </w:pPr>
      <w:r w:rsidRPr="00DE2282">
        <w:rPr>
          <w:noProof/>
        </w:rPr>
        <w:t>1.4.2.</w:t>
      </w:r>
      <w:r w:rsidRPr="00DE2282">
        <w:rPr>
          <w:noProof/>
        </w:rPr>
        <w:tab/>
        <w:t>Objetivo(s) específico(s)</w:t>
      </w:r>
    </w:p>
    <w:p w:rsidR="00EB1AD0" w:rsidRPr="00DE2282" w:rsidRDefault="00EB1AD0" w:rsidP="00EB1AD0">
      <w:pPr>
        <w:pStyle w:val="ManualHeading3"/>
        <w:rPr>
          <w:noProof/>
        </w:rPr>
      </w:pPr>
      <w:r w:rsidRPr="00DE2282">
        <w:rPr>
          <w:noProof/>
        </w:rPr>
        <w:t>1.4.3.</w:t>
      </w:r>
      <w:r w:rsidRPr="00DE2282">
        <w:rPr>
          <w:noProof/>
        </w:rPr>
        <w:tab/>
        <w:t>Resultado(s) e incidencia esperados</w:t>
      </w:r>
    </w:p>
    <w:p w:rsidR="00EB1AD0" w:rsidRPr="00DE2282" w:rsidRDefault="00EB1AD0" w:rsidP="00EB1AD0">
      <w:pPr>
        <w:pStyle w:val="ManualHeading3"/>
        <w:rPr>
          <w:noProof/>
        </w:rPr>
      </w:pPr>
      <w:r w:rsidRPr="00DE2282">
        <w:rPr>
          <w:noProof/>
        </w:rPr>
        <w:t>1.4.4.</w:t>
      </w:r>
      <w:r w:rsidRPr="00DE2282">
        <w:rPr>
          <w:noProof/>
        </w:rPr>
        <w:tab/>
        <w:t>Indicadores de rendimiento</w:t>
      </w:r>
    </w:p>
    <w:p w:rsidR="00EB1AD0" w:rsidRPr="00DE2282" w:rsidRDefault="00EB1AD0" w:rsidP="00EB1AD0">
      <w:pPr>
        <w:pStyle w:val="ManualHeading2"/>
        <w:rPr>
          <w:noProof/>
        </w:rPr>
      </w:pPr>
      <w:r w:rsidRPr="00DE2282">
        <w:rPr>
          <w:noProof/>
        </w:rPr>
        <w:t>1.5.</w:t>
      </w:r>
      <w:r w:rsidRPr="00DE2282">
        <w:rPr>
          <w:noProof/>
        </w:rPr>
        <w:tab/>
        <w:t>Justificación de la propuesta/iniciativa</w:t>
      </w:r>
    </w:p>
    <w:p w:rsidR="00EB1AD0" w:rsidRPr="00DE2282" w:rsidRDefault="00EB1AD0" w:rsidP="00EB1AD0">
      <w:pPr>
        <w:pStyle w:val="ManualHeading3"/>
        <w:rPr>
          <w:noProof/>
        </w:rPr>
      </w:pPr>
      <w:r w:rsidRPr="00DE2282">
        <w:rPr>
          <w:noProof/>
        </w:rPr>
        <w:t>1.5.1.</w:t>
      </w:r>
      <w:r w:rsidRPr="00DE2282">
        <w:rPr>
          <w:noProof/>
        </w:rPr>
        <w:tab/>
        <w:t>Necesidad(es) que debe(n) satisfacerse a corto o largo plazo, incluido un calendario detallado de la aplicación de la iniciativa</w:t>
      </w:r>
    </w:p>
    <w:p w:rsidR="00EB1AD0" w:rsidRPr="00DE2282" w:rsidRDefault="00EB1AD0" w:rsidP="00EB1AD0">
      <w:pPr>
        <w:pStyle w:val="ManualHeading3"/>
        <w:rPr>
          <w:noProof/>
        </w:rPr>
      </w:pPr>
      <w:r w:rsidRPr="00DE2282">
        <w:rPr>
          <w:noProof/>
        </w:rPr>
        <w:t>1.5.2.</w:t>
      </w:r>
      <w:r w:rsidRPr="00DE2282">
        <w:rPr>
          <w:noProof/>
        </w:rPr>
        <w:tab/>
        <w:t>Valor añadido de la intervención de la Unión (puede derivarse de distintos factores, como una mejor coordinación, seguridad jurídica, una mayor eficacia o complementariedades). A efectos del presente punto, se entenderá por «valor añadido de la intervención de la Unión» el valor resultante de una intervención de la Unión que viene a sumarse al valor que se habría generado de haber actuado los Estados miembros de forma aislada.</w:t>
      </w:r>
    </w:p>
    <w:p w:rsidR="00EB1AD0" w:rsidRPr="00DE2282" w:rsidRDefault="00EB1AD0" w:rsidP="00EB1AD0">
      <w:pPr>
        <w:pStyle w:val="ManualHeading3"/>
        <w:rPr>
          <w:noProof/>
        </w:rPr>
      </w:pPr>
      <w:r w:rsidRPr="00DE2282">
        <w:rPr>
          <w:noProof/>
        </w:rPr>
        <w:t>1.5.3.</w:t>
      </w:r>
      <w:r w:rsidRPr="00DE2282">
        <w:rPr>
          <w:noProof/>
        </w:rPr>
        <w:tab/>
        <w:t>Principales conclusiones extraídas de experiencias similares anteriores</w:t>
      </w:r>
    </w:p>
    <w:p w:rsidR="00EB1AD0" w:rsidRPr="00DE2282" w:rsidRDefault="00EB1AD0" w:rsidP="00EB1AD0">
      <w:pPr>
        <w:pStyle w:val="ManualHeading3"/>
        <w:rPr>
          <w:noProof/>
        </w:rPr>
      </w:pPr>
      <w:r w:rsidRPr="00DE2282">
        <w:rPr>
          <w:noProof/>
        </w:rPr>
        <w:t>1.5.4.</w:t>
      </w:r>
      <w:r w:rsidRPr="00DE2282">
        <w:rPr>
          <w:noProof/>
        </w:rPr>
        <w:tab/>
        <w:t>Compatibilidad con el marco financiero plurianual y posibles sinergias con otros instrumentos adecuados</w:t>
      </w:r>
    </w:p>
    <w:p w:rsidR="00EB1AD0" w:rsidRPr="00DE2282" w:rsidRDefault="00EB1AD0" w:rsidP="00EB1AD0">
      <w:pPr>
        <w:pStyle w:val="ManualHeading3"/>
        <w:rPr>
          <w:noProof/>
        </w:rPr>
      </w:pPr>
      <w:r w:rsidRPr="00DE2282">
        <w:rPr>
          <w:noProof/>
        </w:rPr>
        <w:t>1.5.5.</w:t>
      </w:r>
      <w:r w:rsidRPr="00DE2282">
        <w:rPr>
          <w:noProof/>
        </w:rPr>
        <w:tab/>
        <w:t>Evaluación de las diferentes opciones de financiación disponibles, incluidas las posibilidades de reasignación</w:t>
      </w:r>
    </w:p>
    <w:p w:rsidR="00EB1AD0" w:rsidRPr="00DE2282" w:rsidRDefault="00EB1AD0" w:rsidP="00EB1AD0">
      <w:pPr>
        <w:pStyle w:val="ManualHeading2"/>
        <w:rPr>
          <w:noProof/>
        </w:rPr>
      </w:pPr>
      <w:r w:rsidRPr="00DE2282">
        <w:rPr>
          <w:noProof/>
        </w:rPr>
        <w:t>1.6.</w:t>
      </w:r>
      <w:r w:rsidRPr="00DE2282">
        <w:rPr>
          <w:noProof/>
        </w:rPr>
        <w:tab/>
        <w:t>Duración e incidencia financiera de la propuesta/iniciativa</w:t>
      </w:r>
    </w:p>
    <w:p w:rsidR="00EB1AD0" w:rsidRPr="00DE2282" w:rsidRDefault="00EB1AD0" w:rsidP="00EB1AD0">
      <w:pPr>
        <w:pStyle w:val="ManualHeading2"/>
        <w:rPr>
          <w:noProof/>
        </w:rPr>
      </w:pPr>
      <w:r w:rsidRPr="00DE2282">
        <w:rPr>
          <w:noProof/>
        </w:rPr>
        <w:t>1.7.</w:t>
      </w:r>
      <w:r w:rsidRPr="00DE2282">
        <w:rPr>
          <w:noProof/>
        </w:rPr>
        <w:tab/>
        <w:t>Método(s) de ejecución presupuestaria previsto(s)</w:t>
      </w:r>
    </w:p>
    <w:p w:rsidR="00EB1AD0" w:rsidRPr="00DE2282" w:rsidRDefault="00EB1AD0" w:rsidP="00EB1AD0">
      <w:pPr>
        <w:pStyle w:val="ManualHeading1"/>
        <w:rPr>
          <w:noProof/>
        </w:rPr>
      </w:pPr>
      <w:r w:rsidRPr="00DE2282">
        <w:rPr>
          <w:noProof/>
        </w:rPr>
        <w:t>2.</w:t>
      </w:r>
      <w:r w:rsidRPr="00DE2282">
        <w:rPr>
          <w:noProof/>
        </w:rPr>
        <w:tab/>
        <w:t>MEDIDAS DE GESTIÓN</w:t>
      </w:r>
    </w:p>
    <w:p w:rsidR="00EB1AD0" w:rsidRPr="00DE2282" w:rsidRDefault="00EB1AD0" w:rsidP="00EB1AD0">
      <w:pPr>
        <w:pStyle w:val="ManualHeading2"/>
        <w:rPr>
          <w:noProof/>
        </w:rPr>
      </w:pPr>
      <w:r w:rsidRPr="00DE2282">
        <w:rPr>
          <w:noProof/>
        </w:rPr>
        <w:t>2.1.</w:t>
      </w:r>
      <w:r w:rsidRPr="00DE2282">
        <w:rPr>
          <w:noProof/>
        </w:rPr>
        <w:tab/>
        <w:t>Normas en materia de seguimiento e informes</w:t>
      </w:r>
    </w:p>
    <w:p w:rsidR="00EB1AD0" w:rsidRPr="00DE2282" w:rsidRDefault="00EB1AD0" w:rsidP="00EB1AD0">
      <w:pPr>
        <w:pStyle w:val="ManualHeading2"/>
        <w:rPr>
          <w:noProof/>
        </w:rPr>
      </w:pPr>
      <w:r w:rsidRPr="00DE2282">
        <w:rPr>
          <w:noProof/>
        </w:rPr>
        <w:t>2.2.</w:t>
      </w:r>
      <w:r w:rsidRPr="00DE2282">
        <w:rPr>
          <w:noProof/>
        </w:rPr>
        <w:tab/>
        <w:t>Sistema(s) de gestión y de control</w:t>
      </w:r>
    </w:p>
    <w:p w:rsidR="00EB1AD0" w:rsidRPr="00DE2282" w:rsidRDefault="00EB1AD0" w:rsidP="00EB1AD0">
      <w:pPr>
        <w:pStyle w:val="ManualHeading3"/>
        <w:rPr>
          <w:noProof/>
        </w:rPr>
      </w:pPr>
      <w:r w:rsidRPr="00DE2282">
        <w:rPr>
          <w:noProof/>
        </w:rPr>
        <w:t>2.2.1.</w:t>
      </w:r>
      <w:r w:rsidRPr="00DE2282">
        <w:rPr>
          <w:noProof/>
        </w:rPr>
        <w:tab/>
        <w:t>Justificación del / de los modo(s) de gestión, del / de los mecanismo(s) de aplicación de la financiación, de las modalidades de pago y de la estrategia de control propuestos</w:t>
      </w:r>
    </w:p>
    <w:p w:rsidR="00EB1AD0" w:rsidRPr="00DE2282" w:rsidRDefault="00EB1AD0" w:rsidP="00EB1AD0">
      <w:pPr>
        <w:pStyle w:val="ManualHeading3"/>
        <w:rPr>
          <w:noProof/>
        </w:rPr>
      </w:pPr>
      <w:r w:rsidRPr="00DE2282">
        <w:rPr>
          <w:noProof/>
        </w:rPr>
        <w:t>2.2.2.</w:t>
      </w:r>
      <w:r w:rsidRPr="00DE2282">
        <w:rPr>
          <w:noProof/>
        </w:rPr>
        <w:tab/>
        <w:t>Información relativa a los riesgos identificados y al / a los sistema(s) de control interno establecidos para atenuarlos</w:t>
      </w:r>
    </w:p>
    <w:p w:rsidR="00EB1AD0" w:rsidRPr="00DE2282" w:rsidRDefault="00EB1AD0" w:rsidP="00EB1AD0">
      <w:pPr>
        <w:pStyle w:val="ManualHeading3"/>
        <w:rPr>
          <w:noProof/>
        </w:rPr>
      </w:pPr>
      <w:r w:rsidRPr="00DE2282">
        <w:rPr>
          <w:noProof/>
        </w:rPr>
        <w:t>2.2.3.</w:t>
      </w:r>
      <w:r w:rsidRPr="00DE2282">
        <w:rPr>
          <w:noProof/>
        </w:rPr>
        <w:tab/>
        <w:t>Estimación y justificación de la relación coste/beneficio de los controles (ratio «gastos de control ÷ valor de los correspondientes fondos gestionados»), y evaluación del nivel esperado de riesgo de error (al pago y al cierre)</w:t>
      </w:r>
    </w:p>
    <w:p w:rsidR="00EB1AD0" w:rsidRPr="00DE2282" w:rsidRDefault="00EB1AD0" w:rsidP="00EB1AD0">
      <w:pPr>
        <w:pStyle w:val="ManualHeading2"/>
        <w:rPr>
          <w:noProof/>
        </w:rPr>
      </w:pPr>
      <w:r w:rsidRPr="00DE2282">
        <w:rPr>
          <w:noProof/>
        </w:rPr>
        <w:t>2.3.</w:t>
      </w:r>
      <w:r w:rsidRPr="00DE2282">
        <w:rPr>
          <w:noProof/>
        </w:rPr>
        <w:tab/>
        <w:t>Medidas de prevención del fraude y de las irregularidades</w:t>
      </w:r>
    </w:p>
    <w:p w:rsidR="00EB1AD0" w:rsidRPr="00DE2282" w:rsidRDefault="00EB1AD0" w:rsidP="00EB1AD0">
      <w:pPr>
        <w:pStyle w:val="ManualHeading1"/>
        <w:rPr>
          <w:noProof/>
        </w:rPr>
      </w:pPr>
      <w:r w:rsidRPr="00DE2282">
        <w:rPr>
          <w:noProof/>
        </w:rPr>
        <w:t>3.</w:t>
      </w:r>
      <w:r w:rsidRPr="00DE2282">
        <w:rPr>
          <w:noProof/>
        </w:rPr>
        <w:tab/>
        <w:t>INCIDENCIA FINANCIERA ESTIMADA DE LA PROPUESTA/INICIATIVA</w:t>
      </w:r>
    </w:p>
    <w:p w:rsidR="00EB1AD0" w:rsidRPr="00DE2282" w:rsidRDefault="00EB1AD0" w:rsidP="00EB1AD0">
      <w:pPr>
        <w:pStyle w:val="ManualHeading2"/>
        <w:rPr>
          <w:noProof/>
        </w:rPr>
      </w:pPr>
      <w:r w:rsidRPr="00DE2282">
        <w:rPr>
          <w:noProof/>
        </w:rPr>
        <w:t>3.1.</w:t>
      </w:r>
      <w:r w:rsidRPr="00DE2282">
        <w:rPr>
          <w:noProof/>
        </w:rPr>
        <w:tab/>
        <w:t>Rúbrica(s) del marco financiero plurianual y línea(s) presupuestaria(s) de gastos afectada(s)</w:t>
      </w:r>
    </w:p>
    <w:p w:rsidR="00EB1AD0" w:rsidRPr="00DE2282" w:rsidRDefault="00EB1AD0" w:rsidP="00EB1AD0">
      <w:pPr>
        <w:pStyle w:val="ManualHeading2"/>
        <w:rPr>
          <w:noProof/>
        </w:rPr>
      </w:pPr>
      <w:r w:rsidRPr="00DE2282">
        <w:rPr>
          <w:noProof/>
        </w:rPr>
        <w:t>3.2.</w:t>
      </w:r>
      <w:r w:rsidRPr="00DE2282">
        <w:rPr>
          <w:noProof/>
        </w:rPr>
        <w:tab/>
        <w:t>Incidencia financiera estimada de la propuesta en los créditos</w:t>
      </w:r>
    </w:p>
    <w:p w:rsidR="00EB1AD0" w:rsidRPr="00DE2282" w:rsidRDefault="00EB1AD0" w:rsidP="00EB1AD0">
      <w:pPr>
        <w:pStyle w:val="ManualHeading3"/>
        <w:rPr>
          <w:noProof/>
        </w:rPr>
      </w:pPr>
      <w:r w:rsidRPr="00DE2282">
        <w:rPr>
          <w:noProof/>
        </w:rPr>
        <w:t>3.2.1.</w:t>
      </w:r>
      <w:r w:rsidRPr="00DE2282">
        <w:rPr>
          <w:noProof/>
        </w:rPr>
        <w:tab/>
        <w:t>Resumen de la incidencia estimada en los créditos de operaciones</w:t>
      </w:r>
    </w:p>
    <w:p w:rsidR="00EB1AD0" w:rsidRPr="00DE2282" w:rsidRDefault="00EB1AD0" w:rsidP="00EB1AD0">
      <w:pPr>
        <w:pStyle w:val="ManualHeading3"/>
        <w:rPr>
          <w:noProof/>
        </w:rPr>
      </w:pPr>
      <w:r w:rsidRPr="00DE2282">
        <w:rPr>
          <w:noProof/>
        </w:rPr>
        <w:t>3.2.2.</w:t>
      </w:r>
      <w:r w:rsidRPr="00DE2282">
        <w:rPr>
          <w:noProof/>
        </w:rPr>
        <w:tab/>
        <w:t>Resultados estimados financiados con créditos de operaciones</w:t>
      </w:r>
    </w:p>
    <w:p w:rsidR="00EB1AD0" w:rsidRPr="00DE2282" w:rsidRDefault="00EB1AD0" w:rsidP="00EB1AD0">
      <w:pPr>
        <w:pStyle w:val="ManualHeading3"/>
        <w:rPr>
          <w:noProof/>
        </w:rPr>
      </w:pPr>
      <w:r w:rsidRPr="00DE2282">
        <w:rPr>
          <w:noProof/>
        </w:rPr>
        <w:t>3.2.3.</w:t>
      </w:r>
      <w:r w:rsidRPr="00DE2282">
        <w:rPr>
          <w:noProof/>
        </w:rPr>
        <w:tab/>
        <w:t>Resumen de la incidencia estimada en los créditos administrativos</w:t>
      </w:r>
    </w:p>
    <w:p w:rsidR="00EB1AD0" w:rsidRPr="00DE2282" w:rsidRDefault="00EB1AD0" w:rsidP="00EB1AD0">
      <w:pPr>
        <w:pStyle w:val="ManualHeading3"/>
        <w:rPr>
          <w:noProof/>
        </w:rPr>
      </w:pPr>
      <w:r w:rsidRPr="00DE2282">
        <w:rPr>
          <w:noProof/>
        </w:rPr>
        <w:t>3.2.3.1.</w:t>
      </w:r>
      <w:r w:rsidRPr="00DE2282">
        <w:rPr>
          <w:noProof/>
        </w:rPr>
        <w:tab/>
        <w:t>Necesidades estimadas de recursos humanos</w:t>
      </w:r>
    </w:p>
    <w:p w:rsidR="00EB1AD0" w:rsidRPr="00DE2282" w:rsidRDefault="00EB1AD0" w:rsidP="00EB1AD0">
      <w:pPr>
        <w:pStyle w:val="ManualHeading3"/>
        <w:rPr>
          <w:noProof/>
        </w:rPr>
      </w:pPr>
      <w:r w:rsidRPr="00DE2282">
        <w:rPr>
          <w:noProof/>
        </w:rPr>
        <w:t>3.2.4.</w:t>
      </w:r>
      <w:r w:rsidRPr="00DE2282">
        <w:rPr>
          <w:noProof/>
        </w:rPr>
        <w:tab/>
        <w:t>Compatibilidad con el marco financiero plurianual vigente</w:t>
      </w:r>
    </w:p>
    <w:p w:rsidR="00EB1AD0" w:rsidRPr="00DE2282" w:rsidRDefault="00EB1AD0" w:rsidP="00EB1AD0">
      <w:pPr>
        <w:pStyle w:val="ManualHeading3"/>
        <w:rPr>
          <w:noProof/>
        </w:rPr>
      </w:pPr>
      <w:r w:rsidRPr="00DE2282">
        <w:rPr>
          <w:noProof/>
        </w:rPr>
        <w:t>3.2.5.</w:t>
      </w:r>
      <w:r w:rsidRPr="00DE2282">
        <w:rPr>
          <w:noProof/>
        </w:rPr>
        <w:tab/>
        <w:t>Contribución de terceros</w:t>
      </w:r>
    </w:p>
    <w:p w:rsidR="00EB1AD0" w:rsidRPr="00DE2282" w:rsidRDefault="00EB1AD0" w:rsidP="00EB1AD0">
      <w:pPr>
        <w:pStyle w:val="ManualHeading2"/>
        <w:rPr>
          <w:noProof/>
        </w:rPr>
      </w:pPr>
      <w:r w:rsidRPr="00DE2282">
        <w:rPr>
          <w:noProof/>
        </w:rPr>
        <w:t>3.3.</w:t>
      </w:r>
      <w:r w:rsidRPr="00DE2282">
        <w:rPr>
          <w:noProof/>
        </w:rPr>
        <w:tab/>
        <w:t>Incidencia estimada en los ingresos</w:t>
      </w:r>
    </w:p>
    <w:p w:rsidR="00EB1AD0" w:rsidRPr="00DE2282" w:rsidRDefault="00EB1AD0" w:rsidP="00EB1AD0">
      <w:pPr>
        <w:rPr>
          <w:noProof/>
        </w:rPr>
        <w:sectPr w:rsidR="00EB1AD0" w:rsidRPr="00DE2282" w:rsidSect="00725663">
          <w:pgSz w:w="11907" w:h="16840" w:code="9"/>
          <w:pgMar w:top="1134" w:right="1418" w:bottom="1134" w:left="1418" w:header="709" w:footer="709" w:gutter="0"/>
          <w:pgNumType w:start="1"/>
          <w:cols w:space="720"/>
          <w:docGrid w:linePitch="360"/>
        </w:sectPr>
      </w:pPr>
    </w:p>
    <w:p w:rsidR="00EB1AD0" w:rsidRPr="00DE2282" w:rsidRDefault="00EB1AD0" w:rsidP="00EB1AD0">
      <w:pPr>
        <w:pStyle w:val="ManualHeading1"/>
        <w:rPr>
          <w:noProof/>
        </w:rPr>
      </w:pPr>
      <w:bookmarkStart w:id="4" w:name="_Toc514938007"/>
      <w:bookmarkStart w:id="5" w:name="_Toc520485025"/>
      <w:r w:rsidRPr="00DE2282">
        <w:rPr>
          <w:noProof/>
        </w:rPr>
        <w:t>1.</w:t>
      </w:r>
      <w:r w:rsidRPr="00DE2282">
        <w:rPr>
          <w:noProof/>
        </w:rPr>
        <w:tab/>
        <w:t>MARCO DE LA PROPUESTA/INICIATIVA</w:t>
      </w:r>
      <w:bookmarkEnd w:id="4"/>
      <w:bookmarkEnd w:id="5"/>
      <w:r w:rsidRPr="00DE2282">
        <w:rPr>
          <w:noProof/>
        </w:rPr>
        <w:t xml:space="preserve"> </w:t>
      </w:r>
    </w:p>
    <w:p w:rsidR="00EB1AD0" w:rsidRPr="00DE2282" w:rsidRDefault="00EB1AD0" w:rsidP="00EB1AD0">
      <w:pPr>
        <w:pStyle w:val="ManualHeading2"/>
        <w:rPr>
          <w:noProof/>
        </w:rPr>
      </w:pPr>
      <w:bookmarkStart w:id="6" w:name="_Toc514938008"/>
      <w:bookmarkStart w:id="7" w:name="_Toc520485026"/>
      <w:r w:rsidRPr="00DE2282">
        <w:rPr>
          <w:noProof/>
        </w:rPr>
        <w:t>1.1.</w:t>
      </w:r>
      <w:r w:rsidRPr="00DE2282">
        <w:rPr>
          <w:noProof/>
        </w:rPr>
        <w:tab/>
        <w:t>Denominación de la propuesta/iniciativa</w:t>
      </w:r>
      <w:bookmarkEnd w:id="6"/>
      <w:bookmarkEnd w:id="7"/>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Decisión del Parlamento Europeo y del Consejo relativa a la suscripción por la Unión Europea de acciones adicionales en el capital del Banco Europeo de Reconstrucción y Desarrollo (BERD) como consecuencia de la decisión del BERD de ampliar su capital y de las modificaciones del Convenio constitutivo del BERD por las que se amplía el ámbito geográfico de sus operaciones al África subsahariana y a Irak de manera limitada y progresiva y se suprime la limitación estatutaria del capital para operaciones ordinarias.</w:t>
      </w:r>
    </w:p>
    <w:p w:rsidR="00EB1AD0" w:rsidRPr="00DE2282" w:rsidRDefault="00EB1AD0" w:rsidP="00EB1AD0">
      <w:pPr>
        <w:pStyle w:val="ManualHeading2"/>
        <w:rPr>
          <w:i/>
          <w:noProof/>
        </w:rPr>
      </w:pPr>
      <w:bookmarkStart w:id="8" w:name="_Toc514938011"/>
      <w:bookmarkStart w:id="9" w:name="_Toc520485027"/>
      <w:r w:rsidRPr="00DE2282">
        <w:rPr>
          <w:noProof/>
        </w:rPr>
        <w:t>1.2.</w:t>
      </w:r>
      <w:r w:rsidRPr="00DE2282">
        <w:rPr>
          <w:noProof/>
        </w:rPr>
        <w:tab/>
        <w:t>Política(s) afectada(s)</w:t>
      </w:r>
      <w:bookmarkEnd w:id="8"/>
      <w:bookmarkEnd w:id="9"/>
      <w:r w:rsidRPr="00DE2282">
        <w:rPr>
          <w:i/>
          <w:noProof/>
        </w:rPr>
        <w:t xml:space="preserve"> </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 xml:space="preserve">Rúbrica 6. Vecindad y resto del mundo </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 xml:space="preserve">Título 14. Acción Exterior </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p>
    <w:p w:rsidR="00EB1AD0" w:rsidRPr="00DE2282" w:rsidRDefault="00EB1AD0" w:rsidP="00EB1AD0">
      <w:pPr>
        <w:pStyle w:val="ManualHeading2"/>
        <w:rPr>
          <w:bCs/>
          <w:noProof/>
          <w:szCs w:val="24"/>
        </w:rPr>
      </w:pPr>
      <w:bookmarkStart w:id="10" w:name="_Toc514938014"/>
      <w:bookmarkStart w:id="11" w:name="_Toc520485028"/>
      <w:r w:rsidRPr="00DE2282">
        <w:rPr>
          <w:noProof/>
        </w:rPr>
        <w:t>1.3.</w:t>
      </w:r>
      <w:r w:rsidRPr="00DE2282">
        <w:rPr>
          <w:noProof/>
        </w:rPr>
        <w:tab/>
        <w:t>La propuesta/iniciativa se refiere a:</w:t>
      </w:r>
      <w:bookmarkEnd w:id="10"/>
      <w:bookmarkEnd w:id="11"/>
      <w:r w:rsidRPr="00DE2282">
        <w:rPr>
          <w:noProof/>
        </w:rPr>
        <w:t xml:space="preserve"> </w:t>
      </w:r>
    </w:p>
    <w:p w:rsidR="00EB1AD0" w:rsidRPr="00DE2282" w:rsidRDefault="00EB1AD0" w:rsidP="00EB1AD0">
      <w:pPr>
        <w:pStyle w:val="Text1"/>
        <w:rPr>
          <w:b/>
          <w:noProof/>
          <w:sz w:val="22"/>
        </w:rPr>
      </w:pPr>
      <w:r w:rsidRPr="00DE2282">
        <w:rPr>
          <w:noProof/>
          <w:sz w:val="22"/>
        </w:rPr>
        <w:sym w:font="Wingdings" w:char="F0FD"/>
      </w:r>
      <w:r w:rsidRPr="00DE2282">
        <w:rPr>
          <w:i/>
          <w:noProof/>
          <w:sz w:val="22"/>
        </w:rPr>
        <w:t xml:space="preserve"> </w:t>
      </w:r>
      <w:r w:rsidRPr="00DE2282">
        <w:rPr>
          <w:b/>
          <w:bCs/>
          <w:noProof/>
        </w:rPr>
        <w:t>una acción nueva</w:t>
      </w:r>
      <w:r w:rsidRPr="00DE2282">
        <w:rPr>
          <w:b/>
          <w:noProof/>
          <w:sz w:val="22"/>
        </w:rPr>
        <w:t xml:space="preserve"> </w:t>
      </w:r>
    </w:p>
    <w:p w:rsidR="00EB1AD0" w:rsidRPr="00DE2282" w:rsidRDefault="00EB1AD0" w:rsidP="00EB1AD0">
      <w:pPr>
        <w:pStyle w:val="Text1"/>
        <w:rPr>
          <w:noProof/>
          <w:sz w:val="22"/>
        </w:rPr>
      </w:pPr>
      <w:r w:rsidRPr="00DE2282">
        <w:rPr>
          <w:noProof/>
          <w:sz w:val="22"/>
        </w:rPr>
        <w:sym w:font="Wingdings" w:char="F0A8"/>
      </w:r>
      <w:r w:rsidRPr="00DE2282">
        <w:rPr>
          <w:i/>
          <w:noProof/>
          <w:sz w:val="22"/>
        </w:rPr>
        <w:t xml:space="preserve"> </w:t>
      </w:r>
      <w:r w:rsidRPr="00DE2282">
        <w:rPr>
          <w:b/>
          <w:noProof/>
        </w:rPr>
        <w:t>una acción nueva a raíz de un proyecto piloto / una acción preparatoria</w:t>
      </w:r>
      <w:r w:rsidRPr="00DE2282">
        <w:rPr>
          <w:rStyle w:val="FootnoteReference"/>
          <w:b/>
          <w:noProof/>
        </w:rPr>
        <w:footnoteReference w:id="22"/>
      </w:r>
      <w:r w:rsidRPr="00DE2282">
        <w:rPr>
          <w:noProof/>
          <w:sz w:val="22"/>
        </w:rPr>
        <w:t xml:space="preserve"> </w:t>
      </w:r>
    </w:p>
    <w:p w:rsidR="00EB1AD0" w:rsidRPr="00DE2282" w:rsidRDefault="00EB1AD0" w:rsidP="00EB1AD0">
      <w:pPr>
        <w:pStyle w:val="Text1"/>
        <w:rPr>
          <w:noProof/>
          <w:sz w:val="22"/>
        </w:rPr>
      </w:pPr>
      <w:r w:rsidRPr="00DE2282">
        <w:rPr>
          <w:noProof/>
          <w:sz w:val="22"/>
        </w:rPr>
        <w:sym w:font="Wingdings" w:char="F0A8"/>
      </w:r>
      <w:r w:rsidRPr="00DE2282">
        <w:rPr>
          <w:i/>
          <w:noProof/>
          <w:sz w:val="22"/>
        </w:rPr>
        <w:t xml:space="preserve"> </w:t>
      </w:r>
      <w:r w:rsidRPr="00DE2282">
        <w:rPr>
          <w:b/>
          <w:noProof/>
        </w:rPr>
        <w:t>la prolongación de una acción existente</w:t>
      </w:r>
      <w:r w:rsidRPr="00DE2282">
        <w:rPr>
          <w:noProof/>
          <w:sz w:val="22"/>
        </w:rPr>
        <w:t xml:space="preserve"> </w:t>
      </w:r>
    </w:p>
    <w:p w:rsidR="00EB1AD0" w:rsidRPr="00DE2282" w:rsidRDefault="00EB1AD0" w:rsidP="00EB1AD0">
      <w:pPr>
        <w:pStyle w:val="Text1"/>
        <w:rPr>
          <w:noProof/>
        </w:rPr>
      </w:pPr>
      <w:r w:rsidRPr="00DE2282">
        <w:rPr>
          <w:noProof/>
          <w:sz w:val="22"/>
        </w:rPr>
        <w:sym w:font="Wingdings" w:char="F0A8"/>
      </w:r>
      <w:r w:rsidRPr="00DE2282">
        <w:rPr>
          <w:i/>
          <w:noProof/>
          <w:sz w:val="22"/>
        </w:rPr>
        <w:t xml:space="preserve"> </w:t>
      </w:r>
      <w:r w:rsidRPr="00DE2282">
        <w:rPr>
          <w:b/>
          <w:noProof/>
        </w:rPr>
        <w:t>una fusión o reorientación de una o más acciones hacia otra / una nueva acción</w:t>
      </w:r>
      <w:r w:rsidRPr="00DE2282">
        <w:rPr>
          <w:noProof/>
        </w:rPr>
        <w:t xml:space="preserve"> </w:t>
      </w:r>
    </w:p>
    <w:p w:rsidR="00EB1AD0" w:rsidRPr="00DE2282" w:rsidRDefault="00EB1AD0" w:rsidP="00EB1AD0">
      <w:pPr>
        <w:pStyle w:val="ManualHeading2"/>
        <w:rPr>
          <w:bCs/>
          <w:noProof/>
          <w:szCs w:val="24"/>
        </w:rPr>
      </w:pPr>
      <w:bookmarkStart w:id="12" w:name="_Toc514938015"/>
      <w:bookmarkStart w:id="13" w:name="_Toc520485029"/>
      <w:r w:rsidRPr="00DE2282">
        <w:rPr>
          <w:noProof/>
        </w:rPr>
        <w:t>1.4.</w:t>
      </w:r>
      <w:r w:rsidRPr="00DE2282">
        <w:rPr>
          <w:noProof/>
        </w:rPr>
        <w:tab/>
        <w:t>Objetivo(s)</w:t>
      </w:r>
      <w:bookmarkEnd w:id="12"/>
      <w:bookmarkEnd w:id="13"/>
    </w:p>
    <w:p w:rsidR="00EB1AD0" w:rsidRPr="00DE2282" w:rsidRDefault="00EB1AD0" w:rsidP="00EB1AD0">
      <w:pPr>
        <w:pStyle w:val="ManualHeading3"/>
        <w:rPr>
          <w:noProof/>
        </w:rPr>
      </w:pPr>
      <w:bookmarkStart w:id="14" w:name="_Toc514938016"/>
      <w:bookmarkStart w:id="15" w:name="_Toc520485030"/>
      <w:r w:rsidRPr="00DE2282">
        <w:rPr>
          <w:noProof/>
        </w:rPr>
        <w:t>1.4.1.</w:t>
      </w:r>
      <w:r w:rsidRPr="00DE2282">
        <w:rPr>
          <w:noProof/>
        </w:rPr>
        <w:tab/>
        <w:t>Objetivo(s) general(es)</w:t>
      </w:r>
      <w:bookmarkEnd w:id="14"/>
      <w:bookmarkEnd w:id="15"/>
    </w:p>
    <w:p w:rsidR="00EB1AD0" w:rsidRPr="00DE2282" w:rsidRDefault="00EB1AD0" w:rsidP="00EB1AD0">
      <w:pPr>
        <w:pStyle w:val="ManualHeading3"/>
        <w:rPr>
          <w:i w:val="0"/>
          <w:iCs/>
          <w:noProof/>
        </w:rPr>
      </w:pPr>
      <w:bookmarkStart w:id="16" w:name="_Toc514938018"/>
      <w:bookmarkStart w:id="17" w:name="_Toc520485031"/>
      <w:r w:rsidRPr="00DE2282">
        <w:rPr>
          <w:noProof/>
        </w:rPr>
        <w:tab/>
      </w:r>
      <w:r w:rsidRPr="00DE2282">
        <w:rPr>
          <w:i w:val="0"/>
          <w:noProof/>
        </w:rPr>
        <w:t>Ayudar a la acción exterior de la UE mediante inversiones en los países de la vecindad, en países en desarrollo y en el resto del mundo, incluida la asistencia a los países que se preparan para la adhesión a la UE.</w:t>
      </w:r>
    </w:p>
    <w:p w:rsidR="00EB1AD0" w:rsidRPr="00DE2282" w:rsidRDefault="00EB1AD0" w:rsidP="00EB1AD0">
      <w:pPr>
        <w:pStyle w:val="ManualHeading3"/>
        <w:rPr>
          <w:bCs/>
          <w:noProof/>
          <w:szCs w:val="24"/>
        </w:rPr>
      </w:pPr>
      <w:r w:rsidRPr="00DE2282">
        <w:rPr>
          <w:noProof/>
        </w:rPr>
        <w:t>1.4.2.</w:t>
      </w:r>
      <w:r w:rsidRPr="00DE2282">
        <w:rPr>
          <w:noProof/>
        </w:rPr>
        <w:tab/>
        <w:t>Objetivo(s) específico(s)</w:t>
      </w:r>
      <w:bookmarkEnd w:id="16"/>
      <w:bookmarkEnd w:id="17"/>
    </w:p>
    <w:p w:rsidR="00EB1AD0" w:rsidRPr="00DE2282" w:rsidRDefault="00EB1AD0" w:rsidP="00A80271">
      <w:pPr>
        <w:pStyle w:val="Text1"/>
        <w:pBdr>
          <w:top w:val="single" w:sz="4" w:space="1" w:color="auto"/>
          <w:left w:val="single" w:sz="4" w:space="4" w:color="auto"/>
          <w:bottom w:val="single" w:sz="4" w:space="1" w:color="auto"/>
          <w:right w:val="single" w:sz="4" w:space="4" w:color="auto"/>
        </w:pBdr>
        <w:rPr>
          <w:noProof/>
        </w:rPr>
      </w:pPr>
      <w:r w:rsidRPr="00DE2282">
        <w:rPr>
          <w:noProof/>
        </w:rPr>
        <w:t xml:space="preserve">Permitir, mediante la suscripción de nuevas acciones desembolsadas, que el BERD siga desempeñando un papel fundamental en el esfuerzo internacional, cooperando estrechamente con la Unión y otras instituciones, para prestar apoyo a la economía real de Ucrania durante la guerra y en la reconstrucción posterior a la guerra, manteniendo al mismo tiempo su solidez financiera. </w:t>
      </w:r>
    </w:p>
    <w:p w:rsidR="00EB1AD0" w:rsidRPr="00DE2282" w:rsidRDefault="00EB1AD0" w:rsidP="00A80271">
      <w:pPr>
        <w:pStyle w:val="Text1"/>
        <w:pBdr>
          <w:top w:val="single" w:sz="4" w:space="1" w:color="auto"/>
          <w:left w:val="single" w:sz="4" w:space="4" w:color="auto"/>
          <w:bottom w:val="single" w:sz="4" w:space="1" w:color="auto"/>
          <w:right w:val="single" w:sz="4" w:space="4" w:color="auto"/>
        </w:pBdr>
        <w:rPr>
          <w:noProof/>
        </w:rPr>
      </w:pPr>
      <w:r w:rsidRPr="00DE2282">
        <w:rPr>
          <w:noProof/>
        </w:rPr>
        <w:t xml:space="preserve">Aprobar que el BERD lleve a cabo una ampliación limitada y progresiva al África subsahariana e Irak, modificando el ámbito geográfico de las operaciones del BERD.  </w:t>
      </w:r>
    </w:p>
    <w:p w:rsidR="00EB1AD0" w:rsidRPr="00DE2282" w:rsidRDefault="00EB1AD0" w:rsidP="00A80271">
      <w:pPr>
        <w:pStyle w:val="Text1"/>
        <w:pBdr>
          <w:top w:val="single" w:sz="4" w:space="1" w:color="auto"/>
          <w:left w:val="single" w:sz="4" w:space="4" w:color="auto"/>
          <w:bottom w:val="single" w:sz="4" w:space="1" w:color="auto"/>
          <w:right w:val="single" w:sz="4" w:space="4" w:color="auto"/>
        </w:pBdr>
        <w:rPr>
          <w:noProof/>
        </w:rPr>
      </w:pPr>
      <w:r w:rsidRPr="00DE2282">
        <w:rPr>
          <w:noProof/>
        </w:rPr>
        <w:t xml:space="preserve">En consonancia con las recomendaciones de la revisión del marco de adecuación del capital del G20, allanar el camino para una gestión del capital más flexible y dinámica por parte del BERD, delegando en el Consejo de Administración todos los aspectos del marco de adecuación del capital del BERD, garantizando al mismo tiempo el control permanente de los principales parámetros de capital por parte de los accionistas. </w:t>
      </w:r>
    </w:p>
    <w:p w:rsidR="00EB1AD0" w:rsidRPr="00DE2282" w:rsidRDefault="00EB1AD0" w:rsidP="00EB1AD0">
      <w:pPr>
        <w:pStyle w:val="ManualHeading3"/>
        <w:rPr>
          <w:noProof/>
        </w:rPr>
      </w:pPr>
      <w:bookmarkStart w:id="18" w:name="_Toc514938019"/>
      <w:bookmarkStart w:id="19" w:name="_Toc520485032"/>
      <w:r w:rsidRPr="00DE2282">
        <w:rPr>
          <w:noProof/>
        </w:rPr>
        <w:t>1.4.3.</w:t>
      </w:r>
      <w:r w:rsidRPr="00DE2282">
        <w:rPr>
          <w:noProof/>
        </w:rPr>
        <w:tab/>
        <w:t>Resultado(s) e incidencia esperados</w:t>
      </w:r>
      <w:bookmarkEnd w:id="18"/>
      <w:bookmarkEnd w:id="19"/>
    </w:p>
    <w:p w:rsidR="00E77B01" w:rsidRPr="00DE2282" w:rsidRDefault="00E77B01" w:rsidP="00E77B01">
      <w:pPr>
        <w:pStyle w:val="Text1"/>
        <w:pBdr>
          <w:top w:val="single" w:sz="4" w:space="1" w:color="auto"/>
          <w:left w:val="single" w:sz="4" w:space="4" w:color="auto"/>
          <w:bottom w:val="single" w:sz="4" w:space="1" w:color="auto"/>
          <w:right w:val="single" w:sz="4" w:space="4" w:color="auto"/>
        </w:pBdr>
        <w:rPr>
          <w:noProof/>
        </w:rPr>
      </w:pPr>
      <w:r w:rsidRPr="00DE2282">
        <w:rPr>
          <w:noProof/>
        </w:rPr>
        <w:t>La ampliación de capital reforzaría sustancialmente al BERD, tanto por el efecto financiero tangible como por la confirmación de la confianza de los accionistas en la misión y la actividad del BERD en todos los países en los que opera. El BERD tendría la solidez suficiente para realizar más inversiones en Ucrania, tanto durante la guerra como durante la reconstrucción del país, y seguir apoyando plenamente a otros países en los que opera para que puedan hacer frente a sus retos de transición y a las implicaciones regionales y mundiales de la guerra de Ucrania.</w:t>
      </w:r>
    </w:p>
    <w:p w:rsidR="00E77B01" w:rsidRPr="00DE2282" w:rsidRDefault="00E77B01" w:rsidP="00E77B01">
      <w:pPr>
        <w:pStyle w:val="Text1"/>
        <w:pBdr>
          <w:top w:val="single" w:sz="4" w:space="1" w:color="auto"/>
          <w:left w:val="single" w:sz="4" w:space="4" w:color="auto"/>
          <w:bottom w:val="single" w:sz="4" w:space="1" w:color="auto"/>
          <w:right w:val="single" w:sz="4" w:space="4" w:color="auto"/>
        </w:pBdr>
        <w:rPr>
          <w:noProof/>
        </w:rPr>
      </w:pPr>
      <w:r w:rsidRPr="00DE2282">
        <w:rPr>
          <w:noProof/>
        </w:rPr>
        <w:t>La ampliación de capital garantizará que, en el futuro, el BERD pueda apoyar a Ucrania en tiempos excepcionales y permitirá un elevado nivel de apoyo sostenido a todos los países en los que opera, incluidos otros países afectados por la guerra de Rusia, para paliar las deficiencias de la transición.</w:t>
      </w:r>
    </w:p>
    <w:p w:rsidR="00EB1AD0" w:rsidRPr="00DE2282" w:rsidRDefault="00E77B01"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 xml:space="preserve">De este modo, el BERD seguirá aplicando su actual marco estratégico y de capital para el período 2021-2025 en todas sus actuaciones, también en Ucrania, en consonancia con su mandato de facilitar la transición hacia una economía de mercado verde, inclusiva, resiliente, integrada, bien gobernada y competitiva, haciendo especial hincapié en el desarrollo del sector privado y concentrando sus esfuerzos allí donde sus operaciones aporten más y tengan la mayor incidencia en la transición. </w:t>
      </w:r>
    </w:p>
    <w:p w:rsidR="00EB1AD0" w:rsidRPr="00DE2282" w:rsidRDefault="00EB1AD0" w:rsidP="00186B49">
      <w:pPr>
        <w:pStyle w:val="ManualHeading3"/>
        <w:rPr>
          <w:noProof/>
          <w:szCs w:val="24"/>
        </w:rPr>
      </w:pPr>
      <w:bookmarkStart w:id="20" w:name="_Toc514938023"/>
      <w:bookmarkStart w:id="21" w:name="_Toc520485033"/>
      <w:r w:rsidRPr="00DE2282">
        <w:rPr>
          <w:noProof/>
        </w:rPr>
        <w:t>1.4.4.</w:t>
      </w:r>
      <w:r w:rsidRPr="00DE2282">
        <w:rPr>
          <w:noProof/>
        </w:rPr>
        <w:tab/>
        <w:t>Indicadores de rendimiento</w:t>
      </w:r>
      <w:bookmarkEnd w:id="20"/>
      <w:bookmarkEnd w:id="21"/>
    </w:p>
    <w:p w:rsidR="00FA0723" w:rsidRPr="00DE2282" w:rsidRDefault="00FA0723" w:rsidP="00FA0723">
      <w:pPr>
        <w:pStyle w:val="Text1"/>
        <w:pBdr>
          <w:top w:val="single" w:sz="4" w:space="1" w:color="auto"/>
          <w:left w:val="single" w:sz="4" w:space="4" w:color="auto"/>
          <w:bottom w:val="single" w:sz="4" w:space="1" w:color="auto"/>
          <w:right w:val="single" w:sz="4" w:space="4" w:color="auto"/>
        </w:pBdr>
        <w:rPr>
          <w:noProof/>
        </w:rPr>
      </w:pPr>
      <w:bookmarkStart w:id="22" w:name="_Toc514938025"/>
      <w:bookmarkStart w:id="23" w:name="_Toc520485034"/>
      <w:r w:rsidRPr="00DE2282">
        <w:rPr>
          <w:noProof/>
        </w:rPr>
        <w:t xml:space="preserve">La consecución de los objetivos se medirá por el volumen de operaciones de financiación del BERD por regiones, especialmente en Ucrania y otros países afectados por la guerra de Rusia, y por sectores, por el volumen de operaciones de financiación del BERD cofinanciadas con otras instituciones financieras internacionales o programas de la Comisión, y mediante otros indicadores establecidos en el marco de medición de la efectividad del BERD. </w:t>
      </w:r>
    </w:p>
    <w:p w:rsidR="00EB1AD0" w:rsidRPr="00DE2282" w:rsidRDefault="00EB1AD0" w:rsidP="00EB1AD0">
      <w:pPr>
        <w:pStyle w:val="ManualHeading2"/>
        <w:rPr>
          <w:bCs/>
          <w:noProof/>
          <w:szCs w:val="24"/>
        </w:rPr>
      </w:pPr>
      <w:r w:rsidRPr="00DE2282">
        <w:rPr>
          <w:noProof/>
        </w:rPr>
        <w:t>1.5.</w:t>
      </w:r>
      <w:r w:rsidRPr="00DE2282">
        <w:rPr>
          <w:noProof/>
        </w:rPr>
        <w:tab/>
        <w:t>Justificación de la propuesta/iniciativa</w:t>
      </w:r>
      <w:bookmarkEnd w:id="22"/>
      <w:bookmarkEnd w:id="23"/>
      <w:r w:rsidRPr="00DE2282">
        <w:rPr>
          <w:noProof/>
        </w:rPr>
        <w:t xml:space="preserve"> </w:t>
      </w:r>
    </w:p>
    <w:p w:rsidR="00EB1AD0" w:rsidRPr="00DE2282" w:rsidRDefault="00EB1AD0" w:rsidP="00EB1AD0">
      <w:pPr>
        <w:pStyle w:val="ManualHeading3"/>
        <w:rPr>
          <w:noProof/>
        </w:rPr>
      </w:pPr>
      <w:bookmarkStart w:id="24" w:name="_Toc514938026"/>
      <w:bookmarkStart w:id="25" w:name="_Toc520485035"/>
      <w:r w:rsidRPr="00DE2282">
        <w:rPr>
          <w:noProof/>
        </w:rPr>
        <w:t>1.5.1.</w:t>
      </w:r>
      <w:r w:rsidRPr="00DE2282">
        <w:rPr>
          <w:noProof/>
        </w:rPr>
        <w:tab/>
        <w:t>Necesidad(es) que debe(n) satisfacerse a corto o largo plazo, incluido un calendario detallado de la aplicación de la iniciativa</w:t>
      </w:r>
      <w:bookmarkEnd w:id="24"/>
      <w:bookmarkEnd w:id="25"/>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El 15 de diciembre de 2023, la Junta de Gobernadores del BERD adoptó la Resolución n.º 265, que autoriza al Banco a aumentar su número de acciones en 400 000 nuevas acciones con un precio de 10 000 EUR cada una, por un total de 4 000 millones EUR, con fecha de efectos el 31 de diciembre de 2024. La participación de la Unión en la ampliación de capital garantizará que la Unión mantenga su participación directa del 3 % en el capital suscrito total del BERD. El BEI (3 %) y los Estados miembros a título individual (EU-27, suma de cuotas individuales de aproximadamente el 48,4 %) son también accionistas del BERD, lo que actualmente otorga a la Unión, de forma combinada, una participación mayoritaria del 54,4 %.</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En virtud de la Resolución mencionada, los miembros del BERD pueden suscribir, a más tardar el 30 de junio de 2025, o hasta la fecha, no posterior al 31 de diciembre de 2025, que determine el Consejo de Administración a más tardar el 30 de junio de 2025, un número entero de acciones proporcional a su participación actual. En consecuencia, la Unión podrá suscribir 12 102 nuevas acciones, de un valor nominal de 10 000 EUR cada una, por un valor total de 121 020 000 EUR, lo que aumenta el número de acciones desembolsadas de la Unión a 102 146.Los miembros desembolsarán el primer plazo a más tardar en la fecha más tardía de entre las dos siguientes: i) el 30 de abril de 2025; o ii) 60 días después de la fecha de efectividad de su instrumento de suscripción. Los cuatro plazos restantes se desembolsarán a más tardar el 30 de abril de 2026, el 30 de abril de 2027, el 30 de abril de 2028 y el 30 de abril de 2029, respectivamente.</w:t>
      </w:r>
    </w:p>
    <w:p w:rsidR="00EB1AD0" w:rsidRPr="00DE2282" w:rsidRDefault="00EB1AD0" w:rsidP="00EB1AD0">
      <w:pPr>
        <w:pStyle w:val="ManualHeading3"/>
        <w:rPr>
          <w:bCs/>
          <w:noProof/>
          <w:szCs w:val="24"/>
        </w:rPr>
      </w:pPr>
      <w:bookmarkStart w:id="26" w:name="_Toc514938029"/>
      <w:bookmarkStart w:id="27" w:name="_Toc520485036"/>
      <w:r w:rsidRPr="00DE2282">
        <w:rPr>
          <w:noProof/>
        </w:rPr>
        <w:t>1.5.2.</w:t>
      </w:r>
      <w:r w:rsidRPr="00DE2282">
        <w:rPr>
          <w:noProof/>
        </w:rPr>
        <w:tab/>
        <w:t>Valor añadido de la intervención de la Unión (puede derivarse de distintos factores, como una mejor coordinación, seguridad jurídica, una mayor eficacia o complementariedades). A efectos del presente punto, se entenderá por «valor añadido de la intervención de la Unión» el valor resultante de una intervención de la Unión que viene a sumarse al valor que se habría generado de haber actuado los Estados miembros de forma aislada.</w:t>
      </w:r>
      <w:bookmarkEnd w:id="26"/>
      <w:bookmarkEnd w:id="27"/>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La propuesta se refiere a la suscripción directa por la Unión de nuevas acciones del BERD, ya que este ha invitado a todos sus accionistas directos a suscribir proporcionalmente a su participación actual, de conformidad con la Resolución 265 de la Junta de Gobernadores del BERD. Por lo tanto, para mantener el porcentaje de participación actual de la Unión, es necesario actuar a escala de la Unión.</w:t>
      </w:r>
    </w:p>
    <w:p w:rsidR="00EB1AD0" w:rsidRPr="00DE2282" w:rsidRDefault="00EB1AD0" w:rsidP="00EB1AD0">
      <w:pPr>
        <w:pStyle w:val="ManualHeading3"/>
        <w:rPr>
          <w:noProof/>
        </w:rPr>
      </w:pPr>
      <w:bookmarkStart w:id="28" w:name="_Toc514938030"/>
      <w:bookmarkStart w:id="29" w:name="_Toc520485037"/>
      <w:r w:rsidRPr="00DE2282">
        <w:rPr>
          <w:noProof/>
        </w:rPr>
        <w:t>1.5.3.</w:t>
      </w:r>
      <w:r w:rsidRPr="00DE2282">
        <w:rPr>
          <w:noProof/>
        </w:rPr>
        <w:tab/>
        <w:t>Principales conclusiones extraídas de experiencias similares anteriores</w:t>
      </w:r>
      <w:bookmarkEnd w:id="28"/>
      <w:bookmarkEnd w:id="29"/>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 xml:space="preserve">En 1996, los gobernadores del BERD decidieron duplicar el capital autorizado del BERD, para lo cual la Unión suscribió otras 30 000 acciones de 10 000 EUR cada una, lo que elevó el capital suscrito por la Unión a 600 millones EUR. Se mantuvo la participación de la Unión en el capital autorizado total del BERD. La suscripción de acciones adicionales por parte de la Unión se produjo en virtud de la Decisión 97/135/CE del Consejo. </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En 2010, los gobernadores del BERD decidieron un aumento del capital autorizado de 10 000 millones EUR, consistente en 100 000 acciones desembolsadas y 900 000 acciones no desembolsadas, a fin de mantener un capital suficiente para mantener un nivel de actividad razonable en los países donde opera. En consecuencia, la Unión suscribió acciones adicionales en virtud de la Decisión 1219/2011/UE.</w:t>
      </w:r>
    </w:p>
    <w:p w:rsidR="00EB1AD0" w:rsidRPr="00DE2282" w:rsidRDefault="00EB1AD0" w:rsidP="00EB1AD0">
      <w:pPr>
        <w:pStyle w:val="ManualHeading3"/>
        <w:rPr>
          <w:noProof/>
        </w:rPr>
      </w:pPr>
      <w:bookmarkStart w:id="30" w:name="_Toc514938033"/>
      <w:bookmarkStart w:id="31" w:name="_Toc520485038"/>
      <w:r w:rsidRPr="00DE2282">
        <w:rPr>
          <w:noProof/>
        </w:rPr>
        <w:t>1.5.4.</w:t>
      </w:r>
      <w:r w:rsidRPr="00DE2282">
        <w:rPr>
          <w:noProof/>
        </w:rPr>
        <w:tab/>
        <w:t>Compatibilidad con el marco financiero plurianual y posibles sinergias con otros instrumentos adecuados</w:t>
      </w:r>
      <w:bookmarkEnd w:id="30"/>
      <w:bookmarkEnd w:id="31"/>
    </w:p>
    <w:p w:rsidR="00EB1AD0" w:rsidRPr="00DE2282" w:rsidRDefault="00265B89"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El mandato del BERD consiste en «favorecer la transición a una economía abierta de mercado y promover la iniciativa privada y empresarial» en los países que suscriben y aplican los principios de democracia multipartidista, pluralismo y economía de mercado de Europa Central y Oriental, de Asia Central y, desde 2012, de la región del Mediterráneo Meridional y Oriental. La UE en su conjunto, con inclusión de la participación directa de la UE en sentido estricto (3 %), del BEI (3 %) y de los Estados miembros a título individual (EU-27, suma de cuotas individuales de aproximadamente el 48,4 %), tiene, de forma combinada, una participación mayoritaria del 54,4 % en el capital del BERD. Cada accionista está representado en el Consejo de Administración permanente del BERD. El BERD normalmente aplica y promueve las normas y políticas de la Unión en sus operaciones. A través de sus proyectos, el BERD se sirve del diálogo estratégico y de la aplicación de condiciones (en relación particularmente con los efectos de la transición, las normas de gobernanza de las empresas, la contratación pública y las normas medioambientales) para cumplir las exigencias de la Unión en ámbitos como los de las políticas medioambientales y sociales.</w:t>
      </w:r>
    </w:p>
    <w:p w:rsidR="00EB1AD0" w:rsidRPr="00DE2282" w:rsidRDefault="00EB1AD0" w:rsidP="00EB1AD0">
      <w:pPr>
        <w:pStyle w:val="ManualHeading3"/>
        <w:rPr>
          <w:noProof/>
        </w:rPr>
      </w:pPr>
      <w:bookmarkStart w:id="32" w:name="_Toc514938036"/>
      <w:bookmarkStart w:id="33" w:name="_Toc520485039"/>
      <w:r w:rsidRPr="00DE2282">
        <w:rPr>
          <w:noProof/>
        </w:rPr>
        <w:t>1.5.5.</w:t>
      </w:r>
      <w:r w:rsidRPr="00DE2282">
        <w:rPr>
          <w:noProof/>
        </w:rPr>
        <w:tab/>
        <w:t>Evaluación de las diferentes opciones de financiación disponibles, incluidas las posibilidades de reasignación</w:t>
      </w:r>
      <w:bookmarkEnd w:id="32"/>
      <w:bookmarkEnd w:id="33"/>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p>
    <w:p w:rsidR="00914DFD" w:rsidRPr="00DE2282" w:rsidRDefault="000969B2" w:rsidP="00C45952">
      <w:pPr>
        <w:pStyle w:val="Text1"/>
        <w:pBdr>
          <w:top w:val="single" w:sz="4" w:space="1" w:color="auto"/>
          <w:left w:val="single" w:sz="4" w:space="4" w:color="auto"/>
          <w:bottom w:val="single" w:sz="4" w:space="1" w:color="auto"/>
          <w:right w:val="single" w:sz="4" w:space="4" w:color="auto"/>
        </w:pBdr>
        <w:rPr>
          <w:noProof/>
        </w:rPr>
      </w:pPr>
      <w:r w:rsidRPr="00DE2282">
        <w:rPr>
          <w:noProof/>
        </w:rPr>
        <w:t xml:space="preserve">La suscripción por la Unión Europea de 12 102 acciones adicionales en virtud de la Resolución 265 de la Junta de Gobernadores del BERD exige que se comprometan los créditos necesarios en el primer semestre del ejercicio 2025. A tal fin, la línea presupuestaria específica de la rúbrica 6 (Vecindad y resto del mundo), en concreto la </w:t>
      </w:r>
      <w:r w:rsidRPr="00DE2282">
        <w:rPr>
          <w:i/>
          <w:noProof/>
        </w:rPr>
        <w:t>partida 14 20 03 04 — Banco Europeo de Reconstrucción y Desarrollo: disponibilidad de acciones liberadas del capital suscrito</w:t>
      </w:r>
      <w:r w:rsidRPr="00DE2282">
        <w:rPr>
          <w:noProof/>
        </w:rPr>
        <w:t>, deberá cubrir un importe de créditos de compromiso equivalente a la totalidad de la participación de la UE en la ampliación de capital desembolsada del BERD, es decir, 121 020 000 EUR.</w:t>
      </w:r>
    </w:p>
    <w:p w:rsidR="00E501FA" w:rsidRPr="00DE2282" w:rsidRDefault="001866ED" w:rsidP="00C45952">
      <w:pPr>
        <w:pStyle w:val="Text1"/>
        <w:pBdr>
          <w:top w:val="single" w:sz="4" w:space="1" w:color="auto"/>
          <w:left w:val="single" w:sz="4" w:space="4" w:color="auto"/>
          <w:bottom w:val="single" w:sz="4" w:space="1" w:color="auto"/>
          <w:right w:val="single" w:sz="4" w:space="4" w:color="auto"/>
        </w:pBdr>
        <w:rPr>
          <w:noProof/>
        </w:rPr>
      </w:pPr>
      <w:r w:rsidRPr="00DE2282">
        <w:rPr>
          <w:noProof/>
        </w:rPr>
        <w:t xml:space="preserve">Teniendo en cuenta que esto no puede financiarse íntegramente mediante reasignación, se requeriría el uso del margen no asignado en la rúbrica 6 o el uso de los instrumentos especiales definidos en el Reglamento del marco financiero plurianual. Esto habrá de determinarse en el momento de la finalización de la propuesta de la Comisión de proyecto de presupuesto para 2025 y será objeto de negociaciones entre el Consejo y el Parlamento Europeo. </w:t>
      </w:r>
    </w:p>
    <w:p w:rsidR="001866ED" w:rsidRPr="00DE2282" w:rsidRDefault="001866ED" w:rsidP="00C45952">
      <w:pPr>
        <w:pStyle w:val="Text1"/>
        <w:pBdr>
          <w:top w:val="single" w:sz="4" w:space="1" w:color="auto"/>
          <w:left w:val="single" w:sz="4" w:space="4" w:color="auto"/>
          <w:bottom w:val="single" w:sz="4" w:space="1" w:color="auto"/>
          <w:right w:val="single" w:sz="4" w:space="4" w:color="auto"/>
        </w:pBdr>
        <w:rPr>
          <w:noProof/>
        </w:rPr>
      </w:pPr>
      <w:r w:rsidRPr="00DE2282">
        <w:rPr>
          <w:noProof/>
        </w:rPr>
        <w:t>Cualquier incidencia presupuestaria en el marco financiero plurianual posterior a 2027 dependerá de la disponibilidad de financiación, sin prejuzgar la propuesta ni el acuerdo sobre el MFP y los programas.</w:t>
      </w:r>
    </w:p>
    <w:p w:rsidR="00E501FA" w:rsidRPr="00DE2282" w:rsidRDefault="00E501FA" w:rsidP="00EB1AD0">
      <w:pPr>
        <w:pStyle w:val="Text1"/>
        <w:pBdr>
          <w:top w:val="single" w:sz="4" w:space="1" w:color="auto"/>
          <w:left w:val="single" w:sz="4" w:space="4" w:color="auto"/>
          <w:bottom w:val="single" w:sz="4" w:space="1" w:color="auto"/>
          <w:right w:val="single" w:sz="4" w:space="4" w:color="auto"/>
        </w:pBdr>
        <w:rPr>
          <w:noProof/>
        </w:rPr>
      </w:pPr>
    </w:p>
    <w:p w:rsidR="00EB1AD0" w:rsidRPr="00DE2282" w:rsidRDefault="00EB1AD0" w:rsidP="00EB1AD0">
      <w:pPr>
        <w:pStyle w:val="ManualHeading2"/>
        <w:rPr>
          <w:bCs/>
          <w:noProof/>
          <w:szCs w:val="24"/>
        </w:rPr>
      </w:pPr>
      <w:r w:rsidRPr="00DE2282">
        <w:rPr>
          <w:noProof/>
        </w:rPr>
        <w:br w:type="page"/>
      </w:r>
      <w:bookmarkStart w:id="34" w:name="_Toc514938039"/>
      <w:bookmarkStart w:id="35" w:name="_Toc520485040"/>
      <w:r w:rsidRPr="00DE2282">
        <w:rPr>
          <w:noProof/>
        </w:rPr>
        <w:t>1.6.</w:t>
      </w:r>
      <w:r w:rsidRPr="00DE2282">
        <w:rPr>
          <w:noProof/>
        </w:rPr>
        <w:tab/>
        <w:t>Duración e incidencia financiera de la propuesta/iniciativa</w:t>
      </w:r>
      <w:bookmarkEnd w:id="34"/>
      <w:bookmarkEnd w:id="35"/>
    </w:p>
    <w:p w:rsidR="00EB1AD0" w:rsidRPr="00DE2282" w:rsidRDefault="00EB1AD0" w:rsidP="00EB1AD0">
      <w:pPr>
        <w:pStyle w:val="Text1"/>
        <w:rPr>
          <w:noProof/>
        </w:rPr>
      </w:pPr>
      <w:r w:rsidRPr="00DE2282">
        <w:rPr>
          <w:noProof/>
        </w:rPr>
        <w:sym w:font="Wingdings" w:char="F0FD"/>
      </w:r>
      <w:r w:rsidRPr="00DE2282">
        <w:rPr>
          <w:b/>
          <w:i/>
          <w:noProof/>
        </w:rPr>
        <w:t xml:space="preserve"> </w:t>
      </w:r>
      <w:r w:rsidRPr="00DE2282">
        <w:rPr>
          <w:b/>
          <w:noProof/>
        </w:rPr>
        <w:t xml:space="preserve">Duración limitada </w:t>
      </w:r>
    </w:p>
    <w:p w:rsidR="00EB1AD0" w:rsidRPr="00DE2282" w:rsidRDefault="00EB1AD0" w:rsidP="00EB1AD0">
      <w:pPr>
        <w:pStyle w:val="ListDash2"/>
        <w:rPr>
          <w:noProof/>
        </w:rPr>
      </w:pPr>
      <w:r w:rsidRPr="00DE2282">
        <w:rPr>
          <w:noProof/>
        </w:rPr>
        <w:sym w:font="Wingdings" w:char="F0A8"/>
      </w:r>
      <w:r w:rsidRPr="00DE2282">
        <w:rPr>
          <w:noProof/>
        </w:rPr>
        <w:tab/>
        <w:t xml:space="preserve">en vigor desde el [DD.MM]AAAA hasta el [DD.MM]AAAA </w:t>
      </w:r>
    </w:p>
    <w:p w:rsidR="00EB1AD0" w:rsidRPr="00DE2282" w:rsidRDefault="00EB1AD0" w:rsidP="00EB1AD0">
      <w:pPr>
        <w:pStyle w:val="ListDash2"/>
        <w:rPr>
          <w:noProof/>
        </w:rPr>
      </w:pPr>
      <w:r w:rsidRPr="00DE2282">
        <w:rPr>
          <w:noProof/>
        </w:rPr>
        <w:sym w:font="Wingdings" w:char="F0FD"/>
      </w:r>
      <w:r w:rsidRPr="00DE2282">
        <w:rPr>
          <w:noProof/>
        </w:rPr>
        <w:tab/>
        <w:t>incidencia financiera en 2025 para los créditos de compromiso y desde 2025 hasta 2029</w:t>
      </w:r>
      <w:r w:rsidRPr="00DE2282">
        <w:rPr>
          <w:rStyle w:val="FootnoteReference"/>
          <w:noProof/>
        </w:rPr>
        <w:footnoteReference w:id="23"/>
      </w:r>
      <w:r w:rsidRPr="00DE2282">
        <w:rPr>
          <w:noProof/>
        </w:rPr>
        <w:t xml:space="preserve"> para los créditos de pago.</w:t>
      </w:r>
    </w:p>
    <w:p w:rsidR="00EB1AD0" w:rsidRPr="00DE2282" w:rsidRDefault="00EB1AD0" w:rsidP="00EB1AD0">
      <w:pPr>
        <w:pStyle w:val="Text1"/>
        <w:rPr>
          <w:noProof/>
        </w:rPr>
      </w:pPr>
      <w:r w:rsidRPr="00DE2282">
        <w:rPr>
          <w:noProof/>
        </w:rPr>
        <w:sym w:font="Wingdings" w:char="F0A8"/>
      </w:r>
      <w:r w:rsidRPr="00DE2282">
        <w:rPr>
          <w:b/>
          <w:noProof/>
        </w:rPr>
        <w:t>Duración ilimitada</w:t>
      </w:r>
    </w:p>
    <w:p w:rsidR="00EB1AD0" w:rsidRPr="00DE2282" w:rsidRDefault="00EB1AD0" w:rsidP="00EB1AD0">
      <w:pPr>
        <w:pStyle w:val="ListDash1"/>
        <w:rPr>
          <w:noProof/>
        </w:rPr>
      </w:pPr>
      <w:r w:rsidRPr="00DE2282">
        <w:rPr>
          <w:noProof/>
        </w:rPr>
        <w:t>Ejecución: fase de puesta en marcha desde AAAA hasta AAAA</w:t>
      </w:r>
    </w:p>
    <w:p w:rsidR="00EB1AD0" w:rsidRPr="00DE2282" w:rsidRDefault="00EB1AD0" w:rsidP="00EB1AD0">
      <w:pPr>
        <w:pStyle w:val="ListDash1"/>
        <w:rPr>
          <w:noProof/>
        </w:rPr>
      </w:pPr>
      <w:r w:rsidRPr="00DE2282">
        <w:rPr>
          <w:noProof/>
        </w:rPr>
        <w:t>y pleno funcionamiento a partir de la última fecha.</w:t>
      </w:r>
    </w:p>
    <w:p w:rsidR="00EB1AD0" w:rsidRPr="00DE2282" w:rsidRDefault="00EB1AD0" w:rsidP="00EB1AD0">
      <w:pPr>
        <w:pStyle w:val="ManualHeading2"/>
        <w:rPr>
          <w:bCs/>
          <w:noProof/>
          <w:szCs w:val="24"/>
        </w:rPr>
      </w:pPr>
      <w:bookmarkStart w:id="36" w:name="_Toc514938040"/>
      <w:bookmarkStart w:id="37" w:name="_Toc520485041"/>
      <w:r w:rsidRPr="00DE2282">
        <w:rPr>
          <w:noProof/>
        </w:rPr>
        <w:t>1.7.</w:t>
      </w:r>
      <w:r w:rsidRPr="00DE2282">
        <w:rPr>
          <w:noProof/>
        </w:rPr>
        <w:tab/>
        <w:t>Método(s) de ejecución presupuestaria previsto(s)</w:t>
      </w:r>
      <w:r w:rsidRPr="00DE2282">
        <w:rPr>
          <w:rStyle w:val="FootnoteReference"/>
          <w:noProof/>
        </w:rPr>
        <w:footnoteReference w:id="24"/>
      </w:r>
      <w:r w:rsidRPr="00DE2282">
        <w:rPr>
          <w:rStyle w:val="FootnoteReference"/>
          <w:noProof/>
        </w:rPr>
        <w:t xml:space="preserve"> </w:t>
      </w:r>
      <w:bookmarkEnd w:id="36"/>
      <w:bookmarkEnd w:id="37"/>
      <w:r w:rsidRPr="00DE2282">
        <w:rPr>
          <w:rStyle w:val="FootnoteReference"/>
          <w:noProof/>
        </w:rPr>
        <w:t xml:space="preserve"> </w:t>
      </w:r>
    </w:p>
    <w:p w:rsidR="00EB1AD0" w:rsidRPr="00DE2282" w:rsidRDefault="00EB1AD0" w:rsidP="00EB1AD0">
      <w:pPr>
        <w:pStyle w:val="Text1"/>
        <w:rPr>
          <w:noProof/>
        </w:rPr>
      </w:pPr>
      <w:r w:rsidRPr="00DE2282">
        <w:rPr>
          <w:noProof/>
        </w:rPr>
        <w:sym w:font="Wingdings" w:char="F0FD"/>
      </w:r>
      <w:r w:rsidRPr="00DE2282">
        <w:rPr>
          <w:i/>
          <w:noProof/>
        </w:rPr>
        <w:t xml:space="preserve"> </w:t>
      </w:r>
      <w:r w:rsidRPr="00DE2282">
        <w:rPr>
          <w:b/>
          <w:noProof/>
        </w:rPr>
        <w:t>Gestión directa</w:t>
      </w:r>
      <w:r w:rsidRPr="00DE2282">
        <w:rPr>
          <w:noProof/>
        </w:rPr>
        <w:t xml:space="preserve"> por la Comisión</w:t>
      </w:r>
    </w:p>
    <w:p w:rsidR="00EB1AD0" w:rsidRPr="00DE2282" w:rsidRDefault="00EB1AD0" w:rsidP="00EB1AD0">
      <w:pPr>
        <w:pStyle w:val="ListDash2"/>
        <w:rPr>
          <w:rFonts w:cs="EUAlbertina"/>
          <w:noProof/>
        </w:rPr>
      </w:pPr>
      <w:r w:rsidRPr="00DE2282">
        <w:rPr>
          <w:noProof/>
        </w:rPr>
        <w:sym w:font="Wingdings" w:char="F0FD"/>
      </w:r>
      <w:r w:rsidRPr="00DE2282">
        <w:rPr>
          <w:noProof/>
        </w:rPr>
        <w:t xml:space="preserve"> por sus servicios, incluido su personal en las Delegaciones de la Unión; </w:t>
      </w:r>
    </w:p>
    <w:p w:rsidR="00EB1AD0" w:rsidRPr="00DE2282" w:rsidRDefault="00EB1AD0" w:rsidP="00EB1AD0">
      <w:pPr>
        <w:pStyle w:val="ListDash2"/>
        <w:rPr>
          <w:noProof/>
        </w:rPr>
      </w:pPr>
      <w:r w:rsidRPr="00DE2282">
        <w:rPr>
          <w:noProof/>
        </w:rPr>
        <w:sym w:font="Wingdings" w:char="F0A8"/>
      </w:r>
      <w:r w:rsidRPr="00DE2282">
        <w:rPr>
          <w:noProof/>
        </w:rPr>
        <w:tab/>
        <w:t xml:space="preserve">por las agencias ejecutivas. </w:t>
      </w:r>
    </w:p>
    <w:p w:rsidR="00EB1AD0" w:rsidRPr="00DE2282" w:rsidRDefault="00EB1AD0" w:rsidP="00EB1AD0">
      <w:pPr>
        <w:pStyle w:val="Text1"/>
        <w:rPr>
          <w:noProof/>
        </w:rPr>
      </w:pPr>
      <w:r w:rsidRPr="00DE2282">
        <w:rPr>
          <w:noProof/>
        </w:rPr>
        <w:sym w:font="Wingdings" w:char="F0A8"/>
      </w:r>
      <w:r w:rsidRPr="00DE2282">
        <w:rPr>
          <w:b/>
          <w:i/>
          <w:noProof/>
        </w:rPr>
        <w:t xml:space="preserve"> </w:t>
      </w:r>
      <w:r w:rsidRPr="00DE2282">
        <w:rPr>
          <w:b/>
          <w:noProof/>
        </w:rPr>
        <w:t>Gestión compartida</w:t>
      </w:r>
      <w:r w:rsidRPr="00DE2282">
        <w:rPr>
          <w:noProof/>
        </w:rPr>
        <w:t xml:space="preserve"> con los Estados miembros </w:t>
      </w:r>
    </w:p>
    <w:p w:rsidR="00EB1AD0" w:rsidRPr="00DE2282" w:rsidRDefault="00EB1AD0" w:rsidP="00EB1AD0">
      <w:pPr>
        <w:pStyle w:val="Text1"/>
        <w:rPr>
          <w:noProof/>
        </w:rPr>
      </w:pPr>
      <w:r w:rsidRPr="00DE2282">
        <w:rPr>
          <w:noProof/>
        </w:rPr>
        <w:sym w:font="Wingdings" w:char="F0A8"/>
      </w:r>
      <w:r w:rsidRPr="00DE2282">
        <w:rPr>
          <w:i/>
          <w:noProof/>
        </w:rPr>
        <w:t xml:space="preserve"> </w:t>
      </w:r>
      <w:r w:rsidRPr="00DE2282">
        <w:rPr>
          <w:b/>
          <w:noProof/>
        </w:rPr>
        <w:t>Gestión indirecta</w:t>
      </w:r>
      <w:r w:rsidRPr="00DE2282">
        <w:rPr>
          <w:noProof/>
        </w:rPr>
        <w:t xml:space="preserve"> mediante delegación de tareas de ejecución presupuestaria en:</w:t>
      </w:r>
    </w:p>
    <w:p w:rsidR="00EB1AD0" w:rsidRPr="00DE2282" w:rsidRDefault="00EB1AD0" w:rsidP="00EB1AD0">
      <w:pPr>
        <w:pStyle w:val="ListDash2"/>
        <w:rPr>
          <w:noProof/>
        </w:rPr>
      </w:pPr>
      <w:r w:rsidRPr="00DE2282">
        <w:rPr>
          <w:noProof/>
        </w:rPr>
        <w:sym w:font="Wingdings" w:char="F0A8"/>
      </w:r>
      <w:r w:rsidRPr="00DE2282">
        <w:rPr>
          <w:noProof/>
        </w:rPr>
        <w:t xml:space="preserve"> terceros países o los organismos que estos hayan designado;</w:t>
      </w:r>
    </w:p>
    <w:p w:rsidR="00EB1AD0" w:rsidRPr="00DE2282" w:rsidRDefault="00EB1AD0" w:rsidP="00EB1AD0">
      <w:pPr>
        <w:pStyle w:val="ListDash2"/>
        <w:rPr>
          <w:noProof/>
        </w:rPr>
      </w:pPr>
      <w:r w:rsidRPr="00DE2282">
        <w:rPr>
          <w:noProof/>
        </w:rPr>
        <w:sym w:font="Wingdings" w:char="F0A8"/>
      </w:r>
      <w:r w:rsidRPr="00DE2282">
        <w:rPr>
          <w:noProof/>
        </w:rPr>
        <w:t xml:space="preserve"> organizaciones internacionales y sus agencias (especificar);</w:t>
      </w:r>
    </w:p>
    <w:p w:rsidR="00EB1AD0" w:rsidRPr="00DE2282" w:rsidRDefault="00EB1AD0" w:rsidP="00EB1AD0">
      <w:pPr>
        <w:pStyle w:val="ListDash2"/>
        <w:rPr>
          <w:noProof/>
        </w:rPr>
      </w:pPr>
      <w:r w:rsidRPr="00DE2282">
        <w:rPr>
          <w:noProof/>
        </w:rPr>
        <w:sym w:font="Wingdings" w:char="F0A8"/>
      </w:r>
      <w:r w:rsidRPr="00DE2282">
        <w:rPr>
          <w:noProof/>
        </w:rPr>
        <w:t xml:space="preserve"> el BEI y el Fondo Europeo de Inversiones;</w:t>
      </w:r>
    </w:p>
    <w:p w:rsidR="00EB1AD0" w:rsidRPr="00DE2282" w:rsidRDefault="00EB1AD0" w:rsidP="00EB1AD0">
      <w:pPr>
        <w:pStyle w:val="ListDash2"/>
        <w:rPr>
          <w:noProof/>
        </w:rPr>
      </w:pPr>
      <w:r w:rsidRPr="00DE2282">
        <w:rPr>
          <w:noProof/>
        </w:rPr>
        <w:sym w:font="Wingdings" w:char="F0A8"/>
      </w:r>
      <w:r w:rsidRPr="00DE2282">
        <w:rPr>
          <w:noProof/>
        </w:rPr>
        <w:t xml:space="preserve"> los organismos a que se hace referencia en los artículos 70 y 71 del Reglamento Financiero;</w:t>
      </w:r>
    </w:p>
    <w:p w:rsidR="00EB1AD0" w:rsidRPr="00DE2282" w:rsidRDefault="00EB1AD0" w:rsidP="00EB1AD0">
      <w:pPr>
        <w:pStyle w:val="ListDash2"/>
        <w:rPr>
          <w:noProof/>
        </w:rPr>
      </w:pPr>
      <w:r w:rsidRPr="00DE2282">
        <w:rPr>
          <w:noProof/>
        </w:rPr>
        <w:sym w:font="Wingdings" w:char="F0A8"/>
      </w:r>
      <w:r w:rsidRPr="00DE2282">
        <w:rPr>
          <w:noProof/>
        </w:rPr>
        <w:t xml:space="preserve"> organismos de Derecho público;</w:t>
      </w:r>
    </w:p>
    <w:p w:rsidR="00EB1AD0" w:rsidRPr="00DE2282" w:rsidRDefault="00EB1AD0" w:rsidP="00EB1AD0">
      <w:pPr>
        <w:pStyle w:val="ListDash2"/>
        <w:rPr>
          <w:noProof/>
        </w:rPr>
      </w:pPr>
      <w:r w:rsidRPr="00DE2282">
        <w:rPr>
          <w:noProof/>
        </w:rPr>
        <w:sym w:font="Wingdings" w:char="F0A8"/>
      </w:r>
      <w:r w:rsidRPr="00DE2282">
        <w:rPr>
          <w:noProof/>
        </w:rPr>
        <w:t xml:space="preserve"> organismos de Derecho privado investidos de una misión de servicio público, en la medida en que presenten garantías financieras suficientes;</w:t>
      </w:r>
    </w:p>
    <w:p w:rsidR="00EB1AD0" w:rsidRPr="00DE2282" w:rsidRDefault="00EB1AD0" w:rsidP="00EB1AD0">
      <w:pPr>
        <w:pStyle w:val="ListDash2"/>
        <w:rPr>
          <w:noProof/>
        </w:rPr>
      </w:pPr>
      <w:r w:rsidRPr="00DE2282">
        <w:rPr>
          <w:noProof/>
        </w:rPr>
        <w:sym w:font="Wingdings" w:char="F0A8"/>
      </w:r>
      <w:r w:rsidRPr="00DE2282">
        <w:rPr>
          <w:noProof/>
        </w:rPr>
        <w:t xml:space="preserve"> organismos de Derecho privado de un Estado miembro a los que se haya encomendado la ejecución de una colaboración público-privada y que presenten garantías financieras suficientes;</w:t>
      </w:r>
    </w:p>
    <w:p w:rsidR="00EB1AD0" w:rsidRPr="00DE2282" w:rsidRDefault="00EB1AD0" w:rsidP="00EB1AD0">
      <w:pPr>
        <w:pStyle w:val="ListDash2"/>
        <w:rPr>
          <w:noProof/>
        </w:rPr>
      </w:pPr>
      <w:r w:rsidRPr="00DE2282">
        <w:rPr>
          <w:noProof/>
        </w:rPr>
        <w:sym w:font="Wingdings" w:char="F0A8"/>
      </w:r>
      <w:r w:rsidRPr="00DE2282">
        <w:rPr>
          <w:noProof/>
        </w:rPr>
        <w:t xml:space="preserve"> organismos o personas a quienes se haya encomendado la ejecución de acciones específicas en el marco de la PESC, de conformidad con el título V del TUE, y que estén identificadas en el acto de base correspondiente.</w:t>
      </w:r>
    </w:p>
    <w:p w:rsidR="00EB1AD0" w:rsidRPr="00DE2282" w:rsidRDefault="00EB1AD0" w:rsidP="00EB1AD0">
      <w:pPr>
        <w:rPr>
          <w:noProof/>
        </w:rPr>
      </w:pPr>
      <w:r w:rsidRPr="00DE2282">
        <w:rPr>
          <w:noProof/>
        </w:rPr>
        <w:t xml:space="preserve">Observaciones </w:t>
      </w:r>
    </w:p>
    <w:p w:rsidR="00EB1AD0" w:rsidRPr="00DE2282" w:rsidRDefault="00EB1AD0" w:rsidP="00EB1AD0">
      <w:pPr>
        <w:pBdr>
          <w:top w:val="single" w:sz="4" w:space="1" w:color="auto"/>
          <w:left w:val="single" w:sz="4" w:space="4" w:color="auto"/>
          <w:bottom w:val="single" w:sz="4" w:space="1" w:color="auto"/>
          <w:right w:val="single" w:sz="4" w:space="4" w:color="auto"/>
        </w:pBdr>
        <w:rPr>
          <w:noProof/>
        </w:rPr>
      </w:pPr>
      <w:r w:rsidRPr="00DE2282">
        <w:rPr>
          <w:noProof/>
        </w:rPr>
        <w:t>No procede.</w:t>
      </w:r>
    </w:p>
    <w:p w:rsidR="00EB1AD0" w:rsidRPr="00DE2282" w:rsidRDefault="00EB1AD0" w:rsidP="00EB1AD0">
      <w:pPr>
        <w:rPr>
          <w:noProof/>
        </w:rPr>
        <w:sectPr w:rsidR="00EB1AD0" w:rsidRPr="00DE2282" w:rsidSect="00725663">
          <w:pgSz w:w="11907" w:h="16840" w:code="9"/>
          <w:pgMar w:top="1134" w:right="1418" w:bottom="1134" w:left="1418" w:header="709" w:footer="709" w:gutter="0"/>
          <w:cols w:space="708"/>
          <w:docGrid w:linePitch="360"/>
        </w:sectPr>
      </w:pPr>
    </w:p>
    <w:p w:rsidR="00EB1AD0" w:rsidRPr="00DE2282" w:rsidRDefault="00EB1AD0" w:rsidP="00EB1AD0">
      <w:pPr>
        <w:pStyle w:val="ManualHeading1"/>
        <w:rPr>
          <w:bCs/>
          <w:noProof/>
          <w:szCs w:val="24"/>
        </w:rPr>
      </w:pPr>
      <w:bookmarkStart w:id="38" w:name="_Toc514938041"/>
      <w:bookmarkStart w:id="39" w:name="_Toc520485042"/>
      <w:r w:rsidRPr="00DE2282">
        <w:rPr>
          <w:noProof/>
        </w:rPr>
        <w:t>2.</w:t>
      </w:r>
      <w:r w:rsidRPr="00DE2282">
        <w:rPr>
          <w:noProof/>
        </w:rPr>
        <w:tab/>
        <w:t>MEDIDAS DE GESTIÓN</w:t>
      </w:r>
      <w:bookmarkEnd w:id="38"/>
      <w:bookmarkEnd w:id="39"/>
      <w:r w:rsidRPr="00DE2282">
        <w:rPr>
          <w:noProof/>
        </w:rPr>
        <w:t xml:space="preserve"> </w:t>
      </w:r>
    </w:p>
    <w:p w:rsidR="00EB1AD0" w:rsidRPr="00DE2282" w:rsidRDefault="00EB1AD0" w:rsidP="00EB1AD0">
      <w:pPr>
        <w:pStyle w:val="ManualHeading2"/>
        <w:rPr>
          <w:noProof/>
        </w:rPr>
      </w:pPr>
      <w:bookmarkStart w:id="40" w:name="_Toc514938042"/>
      <w:bookmarkStart w:id="41" w:name="_Toc520485043"/>
      <w:r w:rsidRPr="00DE2282">
        <w:rPr>
          <w:noProof/>
        </w:rPr>
        <w:t>2.1.</w:t>
      </w:r>
      <w:r w:rsidRPr="00DE2282">
        <w:rPr>
          <w:noProof/>
        </w:rPr>
        <w:tab/>
        <w:t>Normas en materia de seguimiento e informes</w:t>
      </w:r>
      <w:bookmarkEnd w:id="40"/>
      <w:bookmarkEnd w:id="41"/>
      <w:r w:rsidRPr="00DE2282">
        <w:rPr>
          <w:noProof/>
        </w:rPr>
        <w:t xml:space="preserve"> </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bookmarkStart w:id="42" w:name="_Toc514938045"/>
      <w:bookmarkStart w:id="43" w:name="_Toc520485044"/>
      <w:r w:rsidRPr="00DE2282">
        <w:rPr>
          <w:noProof/>
        </w:rPr>
        <w:t xml:space="preserve">Las operaciones del BERD se gestionarán con arreglo a sus propios procedimientos de seguimiento y presentación de información. El BERD informará a su Junta de Gobernadores de sus operaciones, de la consecución de sus objetivos estratégicos y de las cuentas auditadas de cada ejercicio. Tras revisar el informe del auditor, la Junta de Gobernadores aprueba el balance general y la cuenta de resultados del BERD. </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 xml:space="preserve">El gobernador del BERD que representa a la Unión informa anualmente al Parlamento Europeo sobre: </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 xml:space="preserve">• la promoción de los objetivos de la Unión; </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 xml:space="preserve">• la utilización del capital del BERD; </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 xml:space="preserve">• las medidas para garantizar la transparencia de las operaciones del BERD a través de intermediarios financieros; </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 xml:space="preserve">• las contribuciones del BERD a la asunción de riesgos y la eficacia para movilizar financiación complementaria del sector privado; </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 la cooperación entre el BEI y el BERD fuera de la Unión.</w:t>
      </w:r>
    </w:p>
    <w:p w:rsidR="00EB1AD0" w:rsidRPr="00DE2282" w:rsidRDefault="00EB1AD0" w:rsidP="00EB1AD0">
      <w:pPr>
        <w:pStyle w:val="ManualHeading2"/>
        <w:rPr>
          <w:bCs/>
          <w:noProof/>
          <w:szCs w:val="24"/>
        </w:rPr>
      </w:pPr>
      <w:r w:rsidRPr="00DE2282">
        <w:rPr>
          <w:noProof/>
        </w:rPr>
        <w:t>2.2.</w:t>
      </w:r>
      <w:r w:rsidRPr="00DE2282">
        <w:rPr>
          <w:noProof/>
        </w:rPr>
        <w:tab/>
        <w:t>Sistema(s) de gestión y de control</w:t>
      </w:r>
      <w:bookmarkEnd w:id="42"/>
      <w:bookmarkEnd w:id="43"/>
      <w:r w:rsidRPr="00DE2282">
        <w:rPr>
          <w:noProof/>
        </w:rPr>
        <w:t xml:space="preserve"> </w:t>
      </w:r>
    </w:p>
    <w:p w:rsidR="00EB1AD0" w:rsidRPr="00DE2282" w:rsidRDefault="00EB1AD0" w:rsidP="00EB1AD0">
      <w:pPr>
        <w:pStyle w:val="ManualHeading3"/>
        <w:rPr>
          <w:noProof/>
        </w:rPr>
      </w:pPr>
      <w:bookmarkStart w:id="44" w:name="_Toc514938046"/>
      <w:bookmarkStart w:id="45" w:name="_Toc520485045"/>
      <w:r w:rsidRPr="00DE2282">
        <w:rPr>
          <w:noProof/>
        </w:rPr>
        <w:t>2.2.1.</w:t>
      </w:r>
      <w:r w:rsidRPr="00DE2282">
        <w:rPr>
          <w:noProof/>
        </w:rPr>
        <w:tab/>
        <w:t>Justificación del / de los modo(s) de gestión, del / de los mecanismo(s) de aplicación de la financiación, de las modalidades de pago y de la estrategia de control propuestos</w:t>
      </w:r>
      <w:bookmarkEnd w:id="44"/>
      <w:bookmarkEnd w:id="45"/>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Esta medida la llevará a efecto en régimen de gestión directa la Comisión, que suscribirá, en nombre de la Unión, 12 102 nuevas acciones, de un valor nominal de 10 000 EUR cada una, por un importe total de 121 020 000 EUR. El primer plazo se desembolsará a más tardar en la fecha más tardía de entre las dos siguientes: i) el 30 de abril de 2025; o ii) 60 días después de la fecha de efectividad de su instrumento de suscripción. Los cuatro plazos restantes se desembolsarán a más tardar el 30 de abril de 2026, el 30 de abril de 2027, el 30 de abril de 2028 y el 30 de abril de 2029, respectivamente.</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 xml:space="preserve">Las operaciones del BERD se gestionarán de conformidad con sus propias normas y procedimientos, incluidas las medidas adecuadas de auditoría, control y seguimiento. Según lo previsto en el Convenio constitutivo del BERD, el Comité de Auditoría del BERD, que cuenta con el apoyo de auditores externos, asiste al Consejo de Administración del BERD y es responsable de verificar la regularidad de las operaciones y cuentas del BERD. El Consejo de Administración, en el que la Unión, representada por la Comisión, tiene un consejero, presenta las cuentas auditadas de cada ejercicio para su aprobación por la Junta de Gobernadores en cada reunión anual y aprueba el presupuesto del BERD. Tras revisar el informe del auditor, la Junta de Gobernadores aprueba el balance general y la cuenta de resultados del BERD. </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Un departamento de evaluación independiente evalúa los resultados de los proyectos y programas finalizados del BERD en relación con los objetivos. Analiza sistemáticamente los resultados de cada proyecto y de los ámbitos temáticos más amplios definidos en las políticas del BERD. El principal objetivo de la evaluación es contribuir a la legitimidad y pertinencia del BERD y a mejorar los resultados institucionales.</w:t>
      </w:r>
    </w:p>
    <w:p w:rsidR="00891FBE" w:rsidRPr="00DE2282" w:rsidRDefault="00891FBE"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La composición del Departamento de Auditoría Interna del BERD se ajusta al Marco Internacional de Prácticas Profesionales del Instituto de Auditores Internos y es responsable de proporcionar garantías independientes y objetivas a la dirección ejecutiva y al Consejo de Administración en lo que respecta a la adecuación y eficacia de los controles internos, la gobernanza y los procesos de gestión de riesgos para mitigar los principales riesgos del Banco.</w:t>
      </w:r>
    </w:p>
    <w:p w:rsidR="00F47CC1" w:rsidRPr="00DE2282" w:rsidRDefault="00F47CC1" w:rsidP="00F47CC1">
      <w:pPr>
        <w:pStyle w:val="Text1"/>
        <w:pBdr>
          <w:top w:val="single" w:sz="4" w:space="1" w:color="auto"/>
          <w:left w:val="single" w:sz="4" w:space="4" w:color="auto"/>
          <w:bottom w:val="single" w:sz="4" w:space="1" w:color="auto"/>
          <w:right w:val="single" w:sz="4" w:space="4" w:color="auto"/>
        </w:pBdr>
        <w:rPr>
          <w:noProof/>
        </w:rPr>
      </w:pPr>
      <w:bookmarkStart w:id="46" w:name="_Hlk153316512"/>
      <w:r w:rsidRPr="00DE2282">
        <w:rPr>
          <w:noProof/>
        </w:rPr>
        <w:t>El BERD también cuenta con un mecanismo independiente de rendición de cuentas de los proyectos, que es el mecanismo de reclamación del Banco. Se ocupa de las reclamaciones sobre cuestiones medioambientales, sociales y de divulgación de información relacionadas con las inversiones del Banco. El mecanismo es independiente de la dirección del BERD y lleva a cabo investigaciones para determinar si el Banco ha cumplido las normas medioambientales, sociales y de divulgación de información.</w:t>
      </w:r>
    </w:p>
    <w:p w:rsidR="001B632E" w:rsidRPr="00DE2282" w:rsidRDefault="001B632E" w:rsidP="001B632E">
      <w:pPr>
        <w:pStyle w:val="Text1"/>
        <w:pBdr>
          <w:top w:val="single" w:sz="4" w:space="1" w:color="auto"/>
          <w:left w:val="single" w:sz="4" w:space="4" w:color="auto"/>
          <w:bottom w:val="single" w:sz="4" w:space="1" w:color="auto"/>
          <w:right w:val="single" w:sz="4" w:space="4" w:color="auto"/>
        </w:pBdr>
        <w:rPr>
          <w:noProof/>
        </w:rPr>
      </w:pPr>
      <w:bookmarkStart w:id="47" w:name="_Toc514938047"/>
      <w:bookmarkStart w:id="48" w:name="_Toc520485046"/>
      <w:bookmarkEnd w:id="46"/>
      <w:r w:rsidRPr="00DE2282">
        <w:rPr>
          <w:noProof/>
        </w:rPr>
        <w:t>Además, el Consejo de Administración establece políticas y toma decisiones sobre la concesión de préstamos y garantías, la inversión en capital, los empréstitos del BERD, la prestación de asistencia técnica y otras operaciones del BERD con arreglo a las directrices generales de la Junta de Gobernadores.</w:t>
      </w:r>
    </w:p>
    <w:p w:rsidR="001B632E" w:rsidRPr="00DE2282" w:rsidRDefault="00891FBE" w:rsidP="001B632E">
      <w:pPr>
        <w:pStyle w:val="Text1"/>
        <w:pBdr>
          <w:top w:val="single" w:sz="4" w:space="1" w:color="auto"/>
          <w:left w:val="single" w:sz="4" w:space="4" w:color="auto"/>
          <w:bottom w:val="single" w:sz="4" w:space="1" w:color="auto"/>
          <w:right w:val="single" w:sz="4" w:space="4" w:color="auto"/>
        </w:pBdr>
        <w:rPr>
          <w:noProof/>
        </w:rPr>
      </w:pPr>
      <w:r w:rsidRPr="00DE2282">
        <w:rPr>
          <w:noProof/>
        </w:rPr>
        <w:t>El Consejo de Administración ha creado tres comités para asistirle en su labor: el Comité de Auditoría mencionado anteriormente, el Comité de Presupuesto y Asuntos Administrativos y el Comité de Políticas Financieras y Operativas. El consejero que representa la Unión (o su suplente) asiste a todas las reuniones de estos comités del Consejo. Por último, la Junta de Gobernadores del BERD ha creado un Comité de Ética, que interpreta y salvaguarda los códigos de conducta aplicables al personal del BERD y a los miembros del Consejo y de la Junta.</w:t>
      </w:r>
    </w:p>
    <w:p w:rsidR="00EB1AD0" w:rsidRPr="00DE2282" w:rsidRDefault="00EB1AD0" w:rsidP="00EB1AD0">
      <w:pPr>
        <w:pStyle w:val="ManualHeading3"/>
        <w:rPr>
          <w:bCs/>
          <w:noProof/>
          <w:szCs w:val="24"/>
        </w:rPr>
      </w:pPr>
      <w:r w:rsidRPr="00DE2282">
        <w:rPr>
          <w:noProof/>
        </w:rPr>
        <w:t>2.2.2.</w:t>
      </w:r>
      <w:r w:rsidRPr="00DE2282">
        <w:rPr>
          <w:noProof/>
        </w:rPr>
        <w:tab/>
        <w:t>Información relativa a los riesgos identificados y al / a los sistema(s) de control interno establecidos para atenuarlos</w:t>
      </w:r>
      <w:bookmarkEnd w:id="47"/>
      <w:bookmarkEnd w:id="48"/>
    </w:p>
    <w:p w:rsidR="00921717" w:rsidRPr="00DE2282" w:rsidRDefault="00921717" w:rsidP="00921717">
      <w:pPr>
        <w:pStyle w:val="Text1"/>
        <w:pBdr>
          <w:top w:val="single" w:sz="4" w:space="1" w:color="auto"/>
          <w:left w:val="single" w:sz="4" w:space="4" w:color="auto"/>
          <w:bottom w:val="single" w:sz="4" w:space="1" w:color="auto"/>
          <w:right w:val="single" w:sz="4" w:space="4" w:color="auto"/>
        </w:pBdr>
        <w:rPr>
          <w:noProof/>
        </w:rPr>
      </w:pPr>
      <w:bookmarkStart w:id="49" w:name="_Toc514938048"/>
      <w:bookmarkStart w:id="50" w:name="_Toc520485047"/>
      <w:r w:rsidRPr="00DE2282">
        <w:rPr>
          <w:noProof/>
        </w:rPr>
        <w:t>El artículo 5, apartado 3, del Convenio constitutivo del BERD establece que la Junta de Gobernadores revisará el capital social del Banco al menos cada cinco años. El BERD está sometido a sus propios sistemas de control.</w:t>
      </w:r>
    </w:p>
    <w:p w:rsidR="00921717" w:rsidRPr="00DE2282" w:rsidRDefault="00921717" w:rsidP="00921717">
      <w:pPr>
        <w:pStyle w:val="Text1"/>
        <w:pBdr>
          <w:top w:val="single" w:sz="4" w:space="1" w:color="auto"/>
          <w:left w:val="single" w:sz="4" w:space="4" w:color="auto"/>
          <w:bottom w:val="single" w:sz="4" w:space="1" w:color="auto"/>
          <w:right w:val="single" w:sz="4" w:space="4" w:color="auto"/>
        </w:pBdr>
        <w:rPr>
          <w:noProof/>
        </w:rPr>
      </w:pPr>
      <w:r w:rsidRPr="00DE2282">
        <w:rPr>
          <w:noProof/>
        </w:rPr>
        <w:t>Además, cuando el BERD ejecuta programas de la UE, sus sistemas de control interno se han considerado equivalentes a los de la Comisión en la evaluación por pilares realizada de conformidad con el Reglamento Financiero.</w:t>
      </w:r>
    </w:p>
    <w:p w:rsidR="00EB1AD0" w:rsidRPr="00DE2282" w:rsidRDefault="00EB1AD0" w:rsidP="00EB1AD0">
      <w:pPr>
        <w:pStyle w:val="ManualHeading3"/>
        <w:rPr>
          <w:noProof/>
        </w:rPr>
      </w:pPr>
      <w:r w:rsidRPr="00DE2282">
        <w:rPr>
          <w:noProof/>
        </w:rPr>
        <w:t>2.2.3.</w:t>
      </w:r>
      <w:r w:rsidRPr="00DE2282">
        <w:rPr>
          <w:noProof/>
        </w:rPr>
        <w:tab/>
        <w:t>Estimación y justificación de la relación coste/beneficio de los controles (ratio «gastos de control ÷ valor de los correspondientes fondos gestionados»), y evaluación del nivel esperado de riesgo de error (al pago y al cierre)</w:t>
      </w:r>
      <w:bookmarkEnd w:id="49"/>
      <w:bookmarkEnd w:id="50"/>
      <w:r w:rsidRPr="00DE2282">
        <w:rPr>
          <w:noProof/>
        </w:rPr>
        <w:t xml:space="preserve"> </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r w:rsidRPr="00DE2282">
        <w:rPr>
          <w:noProof/>
        </w:rPr>
        <w:t>Véase la respuesta en la sección 2.2.2.</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pPr>
    </w:p>
    <w:p w:rsidR="00EB1AD0" w:rsidRPr="00DE2282" w:rsidRDefault="00EB1AD0" w:rsidP="00EB1AD0">
      <w:pPr>
        <w:pStyle w:val="ManualHeading2"/>
        <w:rPr>
          <w:noProof/>
        </w:rPr>
      </w:pPr>
      <w:bookmarkStart w:id="51" w:name="_Toc514938049"/>
      <w:bookmarkStart w:id="52" w:name="_Toc520485048"/>
    </w:p>
    <w:p w:rsidR="00EB1AD0" w:rsidRPr="00DE2282" w:rsidRDefault="00EB1AD0" w:rsidP="00EB1AD0">
      <w:pPr>
        <w:pStyle w:val="ManualHeading2"/>
        <w:rPr>
          <w:bCs/>
          <w:noProof/>
          <w:szCs w:val="24"/>
        </w:rPr>
      </w:pPr>
      <w:r w:rsidRPr="00DE2282">
        <w:rPr>
          <w:noProof/>
        </w:rPr>
        <w:t>2.3.</w:t>
      </w:r>
      <w:r w:rsidRPr="00DE2282">
        <w:rPr>
          <w:noProof/>
        </w:rPr>
        <w:tab/>
        <w:t>Medidas de prevención del fraude y de las irregularidades</w:t>
      </w:r>
      <w:bookmarkEnd w:id="51"/>
      <w:bookmarkEnd w:id="52"/>
      <w:r w:rsidRPr="00DE2282">
        <w:rPr>
          <w:noProof/>
        </w:rPr>
        <w:t xml:space="preserve"> </w:t>
      </w:r>
    </w:p>
    <w:p w:rsidR="00EB1AD0" w:rsidRPr="00DE2282" w:rsidRDefault="00EB1AD0" w:rsidP="00EB1AD0">
      <w:pPr>
        <w:pStyle w:val="Text1"/>
        <w:pBdr>
          <w:top w:val="single" w:sz="4" w:space="1" w:color="auto"/>
          <w:left w:val="single" w:sz="4" w:space="4" w:color="auto"/>
          <w:bottom w:val="single" w:sz="4" w:space="1" w:color="auto"/>
          <w:right w:val="single" w:sz="4" w:space="4" w:color="auto"/>
        </w:pBdr>
        <w:rPr>
          <w:noProof/>
        </w:rPr>
        <w:sectPr w:rsidR="00EB1AD0" w:rsidRPr="00DE2282" w:rsidSect="00725663">
          <w:pgSz w:w="11907" w:h="16840" w:code="9"/>
          <w:pgMar w:top="1134" w:right="1418" w:bottom="1134" w:left="1418" w:header="709" w:footer="709" w:gutter="0"/>
          <w:cols w:space="708"/>
          <w:docGrid w:linePitch="360"/>
        </w:sectPr>
      </w:pPr>
      <w:r w:rsidRPr="00DE2282">
        <w:rPr>
          <w:noProof/>
        </w:rPr>
        <w:t>El BERD cuenta con una Oficina de Conformidad independiente (OCCO, por sus siglas en inglés), dirigida por un director de conformidad que depende directamente del Presidente y que rinde cuentas anualmente, o según resulte necesario, ante el Comité de Auditoría. El mandato de la OCCO es promover la buena gobernanza y asegurar que se aplican los niveles más altos de integridad en todas la</w:t>
      </w:r>
      <w:r w:rsidR="00B23014" w:rsidRPr="00DE2282">
        <w:rPr>
          <w:noProof/>
        </w:rPr>
        <w:t>s</w:t>
      </w:r>
      <w:r w:rsidRPr="00DE2282">
        <w:rPr>
          <w:noProof/>
        </w:rPr>
        <w:t xml:space="preserve"> actividades del BERD, con arreglo a las buenas prácticas internacionales. Las responsabilidades de la OCCO se extienden a cuestiones como la diligencia debida en materia de integridad, la confidencialidad, los conflictos de intereses, la gobernanza empresarial, la rendición de cuentas, la ética, la lucha contra el blanqueo de capitales y la financiación del terrorismo y la prevención de prácticas fraudulentas y corruptas. La OCCO es responsable de investigar las denuncias de fraude, corrupción e infracciones. La Oficina también forma y asesora, según sea necesario, al personal del Banco nombrado consejero en los consejos de las empresas en cuyo capital participa el BERD. La diligencia debida en materia financiera y de integridad se integra en la aprobación normal de nuevas actividades por parte del BERD y en el seguimiento de sus operaciones existentes. El BERD publica el informe anticorrupción de la OCCO en su sitio web. Además, la OCCO tiene la responsabilidad específica de administrar el mecanismo independiente de rendición de cuentas de los proyectos del BERD, que examina las cuestiones medioambientales, sociales y de transparencia planteadas por las personas afectadas por los proyectos y por las organizaciones de la sociedad civil. En casos justificados, emite un dictamen sobre si, al aprobar un proyecto concreto, el BERD actuó de conformidad con sus políticas pertinentes.</w:t>
      </w:r>
    </w:p>
    <w:p w:rsidR="00EB1AD0" w:rsidRPr="00DE2282" w:rsidRDefault="00EB1AD0" w:rsidP="00EB1AD0">
      <w:pPr>
        <w:pStyle w:val="ManualHeading1"/>
        <w:rPr>
          <w:bCs/>
          <w:noProof/>
          <w:szCs w:val="24"/>
        </w:rPr>
      </w:pPr>
      <w:bookmarkStart w:id="53" w:name="_Toc514938050"/>
      <w:bookmarkStart w:id="54" w:name="_Toc520485049"/>
      <w:r w:rsidRPr="00DE2282">
        <w:rPr>
          <w:noProof/>
        </w:rPr>
        <w:t>3.</w:t>
      </w:r>
      <w:r w:rsidRPr="00DE2282">
        <w:rPr>
          <w:noProof/>
        </w:rPr>
        <w:tab/>
        <w:t>INCIDENCIA FINANCIERA ESTIMADA DE LA PROPUESTA/INICIATIVA</w:t>
      </w:r>
      <w:bookmarkEnd w:id="53"/>
      <w:bookmarkEnd w:id="54"/>
      <w:r w:rsidRPr="00DE2282">
        <w:rPr>
          <w:noProof/>
        </w:rPr>
        <w:t xml:space="preserve"> </w:t>
      </w:r>
    </w:p>
    <w:p w:rsidR="00EB1AD0" w:rsidRPr="00DE2282" w:rsidRDefault="00EB1AD0" w:rsidP="00EB1AD0">
      <w:pPr>
        <w:pStyle w:val="ManualHeading2"/>
        <w:rPr>
          <w:noProof/>
        </w:rPr>
      </w:pPr>
      <w:bookmarkStart w:id="55" w:name="_Toc514938051"/>
      <w:bookmarkStart w:id="56" w:name="_Toc520485050"/>
      <w:r w:rsidRPr="00DE2282">
        <w:rPr>
          <w:noProof/>
        </w:rPr>
        <w:t>3.1.</w:t>
      </w:r>
      <w:r w:rsidRPr="00DE2282">
        <w:rPr>
          <w:noProof/>
        </w:rPr>
        <w:tab/>
        <w:t>Rúbrica(s) del marco financiero plurianual y línea(s) presupuestaria(s) de gastos afectada(s)</w:t>
      </w:r>
      <w:bookmarkEnd w:id="55"/>
      <w:bookmarkEnd w:id="56"/>
      <w:r w:rsidRPr="00DE2282">
        <w:rPr>
          <w:noProof/>
        </w:rPr>
        <w:t xml:space="preserve"> </w:t>
      </w:r>
    </w:p>
    <w:p w:rsidR="00EB1AD0" w:rsidRPr="00DE2282" w:rsidRDefault="00EB1AD0" w:rsidP="00EB1AD0">
      <w:pPr>
        <w:pStyle w:val="ListBullet1"/>
        <w:rPr>
          <w:noProof/>
        </w:rPr>
      </w:pPr>
      <w:r w:rsidRPr="00DE2282">
        <w:rPr>
          <w:noProof/>
        </w:rPr>
        <w:t xml:space="preserve">Líneas presupuestarias existentes </w:t>
      </w:r>
    </w:p>
    <w:p w:rsidR="00EB1AD0" w:rsidRPr="00DE2282" w:rsidRDefault="00EB1AD0" w:rsidP="00EB1AD0">
      <w:pPr>
        <w:pStyle w:val="Text1"/>
        <w:rPr>
          <w:i/>
          <w:noProof/>
        </w:rPr>
      </w:pPr>
      <w:r w:rsidRPr="00DE2282">
        <w:rPr>
          <w:i/>
          <w:noProof/>
          <w:u w:val="single"/>
        </w:rPr>
        <w:t>En el orden</w:t>
      </w:r>
      <w:r w:rsidRPr="00DE2282">
        <w:rPr>
          <w:i/>
          <w:noProof/>
        </w:rPr>
        <w:t xml:space="preserve"> de las rúbricas del marco financiero plurianual y las líneas presupuestarias.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EB1AD0" w:rsidRPr="00DE2282" w:rsidTr="00E17D96">
        <w:tc>
          <w:tcPr>
            <w:tcW w:w="1080" w:type="dxa"/>
            <w:vMerge w:val="restart"/>
            <w:vAlign w:val="center"/>
          </w:tcPr>
          <w:p w:rsidR="00EB1AD0" w:rsidRPr="00DE2282" w:rsidRDefault="00EB1AD0" w:rsidP="00E17D96">
            <w:pPr>
              <w:spacing w:before="60" w:after="60"/>
              <w:jc w:val="center"/>
              <w:rPr>
                <w:noProof/>
              </w:rPr>
            </w:pPr>
            <w:r w:rsidRPr="00DE2282">
              <w:rPr>
                <w:noProof/>
                <w:sz w:val="18"/>
              </w:rPr>
              <w:t>Rúbrica del marco financiero plurianual</w:t>
            </w:r>
          </w:p>
        </w:tc>
        <w:tc>
          <w:tcPr>
            <w:tcW w:w="3960" w:type="dxa"/>
            <w:vAlign w:val="center"/>
          </w:tcPr>
          <w:p w:rsidR="00EB1AD0" w:rsidRPr="00DE2282" w:rsidRDefault="00EB1AD0" w:rsidP="00E17D96">
            <w:pPr>
              <w:spacing w:before="60" w:after="60"/>
              <w:jc w:val="center"/>
              <w:rPr>
                <w:noProof/>
              </w:rPr>
            </w:pPr>
            <w:r w:rsidRPr="00DE2282">
              <w:rPr>
                <w:noProof/>
                <w:sz w:val="20"/>
              </w:rPr>
              <w:t>Línea presupuestaria</w:t>
            </w:r>
          </w:p>
        </w:tc>
        <w:tc>
          <w:tcPr>
            <w:tcW w:w="1080" w:type="dxa"/>
            <w:vAlign w:val="center"/>
          </w:tcPr>
          <w:p w:rsidR="00EB1AD0" w:rsidRPr="00DE2282" w:rsidRDefault="00EB1AD0" w:rsidP="00E17D96">
            <w:pPr>
              <w:spacing w:before="60" w:after="60"/>
              <w:jc w:val="center"/>
              <w:rPr>
                <w:noProof/>
              </w:rPr>
            </w:pPr>
            <w:r w:rsidRPr="00DE2282">
              <w:rPr>
                <w:noProof/>
                <w:sz w:val="18"/>
              </w:rPr>
              <w:t>Tipo de</w:t>
            </w:r>
            <w:r w:rsidRPr="00DE2282">
              <w:rPr>
                <w:noProof/>
                <w:sz w:val="22"/>
              </w:rPr>
              <w:br/>
            </w:r>
            <w:r w:rsidRPr="00DE2282">
              <w:rPr>
                <w:noProof/>
                <w:sz w:val="18"/>
              </w:rPr>
              <w:t>gasto</w:t>
            </w:r>
          </w:p>
        </w:tc>
        <w:tc>
          <w:tcPr>
            <w:tcW w:w="4440" w:type="dxa"/>
            <w:gridSpan w:val="4"/>
            <w:vAlign w:val="center"/>
          </w:tcPr>
          <w:p w:rsidR="00EB1AD0" w:rsidRPr="00DE2282" w:rsidRDefault="00EB1AD0" w:rsidP="00E17D96">
            <w:pPr>
              <w:spacing w:before="60" w:after="60"/>
              <w:jc w:val="center"/>
              <w:rPr>
                <w:noProof/>
              </w:rPr>
            </w:pPr>
            <w:r w:rsidRPr="00DE2282">
              <w:rPr>
                <w:noProof/>
                <w:sz w:val="20"/>
              </w:rPr>
              <w:t xml:space="preserve">Contribución </w:t>
            </w:r>
          </w:p>
        </w:tc>
      </w:tr>
      <w:tr w:rsidR="00EB1AD0" w:rsidRPr="00DE2282" w:rsidTr="00E17D96">
        <w:tc>
          <w:tcPr>
            <w:tcW w:w="1080" w:type="dxa"/>
            <w:vMerge/>
            <w:vAlign w:val="center"/>
          </w:tcPr>
          <w:p w:rsidR="00EB1AD0" w:rsidRPr="00DE2282" w:rsidRDefault="00EB1AD0" w:rsidP="00E17D96">
            <w:pPr>
              <w:jc w:val="center"/>
              <w:rPr>
                <w:noProof/>
              </w:rPr>
            </w:pPr>
          </w:p>
        </w:tc>
        <w:tc>
          <w:tcPr>
            <w:tcW w:w="3960" w:type="dxa"/>
            <w:vAlign w:val="center"/>
          </w:tcPr>
          <w:p w:rsidR="00EB1AD0" w:rsidRPr="00DE2282" w:rsidRDefault="00EB1AD0" w:rsidP="00E17D96">
            <w:pPr>
              <w:rPr>
                <w:noProof/>
              </w:rPr>
            </w:pPr>
            <w:r w:rsidRPr="00DE2282">
              <w:rPr>
                <w:noProof/>
                <w:sz w:val="20"/>
              </w:rPr>
              <w:t xml:space="preserve">Número </w:t>
            </w:r>
            <w:r w:rsidRPr="00DE2282">
              <w:rPr>
                <w:noProof/>
                <w:sz w:val="22"/>
              </w:rPr>
              <w:br/>
            </w:r>
          </w:p>
        </w:tc>
        <w:tc>
          <w:tcPr>
            <w:tcW w:w="1080" w:type="dxa"/>
            <w:vAlign w:val="center"/>
          </w:tcPr>
          <w:p w:rsidR="00EB1AD0" w:rsidRPr="00DE2282" w:rsidRDefault="00EB1AD0" w:rsidP="00E17D96">
            <w:pPr>
              <w:jc w:val="center"/>
              <w:rPr>
                <w:noProof/>
              </w:rPr>
            </w:pPr>
            <w:r w:rsidRPr="00DE2282">
              <w:rPr>
                <w:noProof/>
                <w:sz w:val="18"/>
              </w:rPr>
              <w:t>CD/CND</w:t>
            </w:r>
            <w:r w:rsidRPr="00DE2282">
              <w:rPr>
                <w:rStyle w:val="FootnoteReference"/>
                <w:noProof/>
                <w:sz w:val="18"/>
              </w:rPr>
              <w:footnoteReference w:id="25"/>
            </w:r>
          </w:p>
        </w:tc>
        <w:tc>
          <w:tcPr>
            <w:tcW w:w="956" w:type="dxa"/>
            <w:vAlign w:val="center"/>
          </w:tcPr>
          <w:p w:rsidR="00EB1AD0" w:rsidRPr="00DE2282" w:rsidRDefault="00EB1AD0" w:rsidP="00E17D96">
            <w:pPr>
              <w:jc w:val="center"/>
              <w:rPr>
                <w:b/>
                <w:noProof/>
                <w:sz w:val="18"/>
              </w:rPr>
            </w:pPr>
            <w:r w:rsidRPr="00DE2282">
              <w:rPr>
                <w:noProof/>
                <w:sz w:val="18"/>
              </w:rPr>
              <w:t>de países de la AELC</w:t>
            </w:r>
            <w:r w:rsidRPr="00DE2282">
              <w:rPr>
                <w:rStyle w:val="FootnoteReference"/>
                <w:noProof/>
                <w:sz w:val="18"/>
              </w:rPr>
              <w:footnoteReference w:id="26"/>
            </w:r>
          </w:p>
        </w:tc>
        <w:tc>
          <w:tcPr>
            <w:tcW w:w="1080" w:type="dxa"/>
            <w:vAlign w:val="center"/>
          </w:tcPr>
          <w:p w:rsidR="00EB1AD0" w:rsidRPr="00DE2282" w:rsidRDefault="00EB1AD0" w:rsidP="00E17D96">
            <w:pPr>
              <w:jc w:val="center"/>
              <w:rPr>
                <w:noProof/>
                <w:sz w:val="18"/>
              </w:rPr>
            </w:pPr>
            <w:r w:rsidRPr="00DE2282">
              <w:rPr>
                <w:noProof/>
                <w:sz w:val="18"/>
              </w:rPr>
              <w:t>de países candidatos y candidatos potenciales</w:t>
            </w:r>
            <w:r w:rsidRPr="00DE2282">
              <w:rPr>
                <w:rStyle w:val="FootnoteReference"/>
                <w:noProof/>
                <w:sz w:val="18"/>
              </w:rPr>
              <w:footnoteReference w:id="27"/>
            </w:r>
          </w:p>
        </w:tc>
        <w:tc>
          <w:tcPr>
            <w:tcW w:w="956" w:type="dxa"/>
            <w:vAlign w:val="center"/>
          </w:tcPr>
          <w:p w:rsidR="00EB1AD0" w:rsidRPr="00DE2282" w:rsidRDefault="00EB1AD0" w:rsidP="00E17D96">
            <w:pPr>
              <w:jc w:val="center"/>
              <w:rPr>
                <w:noProof/>
                <w:sz w:val="18"/>
              </w:rPr>
            </w:pPr>
            <w:r w:rsidRPr="00DE2282">
              <w:rPr>
                <w:noProof/>
                <w:sz w:val="18"/>
              </w:rPr>
              <w:t>de otros terceros países</w:t>
            </w:r>
          </w:p>
        </w:tc>
        <w:tc>
          <w:tcPr>
            <w:tcW w:w="1448" w:type="dxa"/>
            <w:vAlign w:val="center"/>
          </w:tcPr>
          <w:p w:rsidR="00EB1AD0" w:rsidRPr="00DE2282" w:rsidRDefault="00EB1AD0" w:rsidP="00E17D96">
            <w:pPr>
              <w:jc w:val="center"/>
              <w:rPr>
                <w:noProof/>
              </w:rPr>
            </w:pPr>
            <w:r w:rsidRPr="00DE2282">
              <w:rPr>
                <w:noProof/>
                <w:sz w:val="18"/>
              </w:rPr>
              <w:t>otros ingresos afectados</w:t>
            </w:r>
          </w:p>
        </w:tc>
      </w:tr>
      <w:tr w:rsidR="00EB1AD0" w:rsidRPr="00DE2282" w:rsidTr="00E17D96">
        <w:tc>
          <w:tcPr>
            <w:tcW w:w="1080" w:type="dxa"/>
            <w:vAlign w:val="center"/>
          </w:tcPr>
          <w:p w:rsidR="00EB1AD0" w:rsidRPr="00DE2282" w:rsidRDefault="00EB1AD0" w:rsidP="00E17D96">
            <w:pPr>
              <w:jc w:val="center"/>
              <w:rPr>
                <w:noProof/>
              </w:rPr>
            </w:pPr>
            <w:r w:rsidRPr="00DE2282">
              <w:rPr>
                <w:noProof/>
              </w:rPr>
              <w:t>6</w:t>
            </w:r>
          </w:p>
        </w:tc>
        <w:tc>
          <w:tcPr>
            <w:tcW w:w="3960" w:type="dxa"/>
            <w:vAlign w:val="center"/>
          </w:tcPr>
          <w:p w:rsidR="00EB1AD0" w:rsidRPr="00DE2282" w:rsidRDefault="00EB1AD0" w:rsidP="00E17D96">
            <w:pPr>
              <w:spacing w:after="60"/>
              <w:rPr>
                <w:noProof/>
              </w:rPr>
            </w:pPr>
            <w:r w:rsidRPr="00DE2282">
              <w:rPr>
                <w:noProof/>
              </w:rPr>
              <w:t xml:space="preserve">14 20 03 04 </w:t>
            </w:r>
          </w:p>
          <w:p w:rsidR="00EB1AD0" w:rsidRPr="00DE2282" w:rsidRDefault="00EB1AD0" w:rsidP="00E17D96">
            <w:pPr>
              <w:spacing w:after="60"/>
              <w:rPr>
                <w:noProof/>
              </w:rPr>
            </w:pPr>
            <w:r w:rsidRPr="00DE2282">
              <w:rPr>
                <w:noProof/>
              </w:rPr>
              <w:t xml:space="preserve">Banco Europeo de Reconstrucción y Desarrollo: disponibilidad de acciones liberadas del capital suscrito </w:t>
            </w:r>
          </w:p>
        </w:tc>
        <w:tc>
          <w:tcPr>
            <w:tcW w:w="1080" w:type="dxa"/>
            <w:vAlign w:val="center"/>
          </w:tcPr>
          <w:p w:rsidR="00EB1AD0" w:rsidRPr="00DE2282" w:rsidRDefault="00EB1AD0" w:rsidP="00E17D96">
            <w:pPr>
              <w:jc w:val="center"/>
              <w:rPr>
                <w:noProof/>
              </w:rPr>
            </w:pPr>
            <w:r w:rsidRPr="00DE2282">
              <w:rPr>
                <w:noProof/>
                <w:sz w:val="22"/>
              </w:rPr>
              <w:t>CD</w:t>
            </w:r>
          </w:p>
        </w:tc>
        <w:tc>
          <w:tcPr>
            <w:tcW w:w="956" w:type="dxa"/>
            <w:vAlign w:val="center"/>
          </w:tcPr>
          <w:p w:rsidR="00EB1AD0" w:rsidRPr="00DE2282" w:rsidRDefault="00EB1AD0" w:rsidP="00E17D96">
            <w:pPr>
              <w:jc w:val="center"/>
              <w:rPr>
                <w:noProof/>
                <w:sz w:val="20"/>
                <w:szCs w:val="20"/>
              </w:rPr>
            </w:pPr>
            <w:r w:rsidRPr="00DE2282">
              <w:rPr>
                <w:noProof/>
                <w:sz w:val="20"/>
              </w:rPr>
              <w:t>NO</w:t>
            </w:r>
          </w:p>
        </w:tc>
        <w:tc>
          <w:tcPr>
            <w:tcW w:w="1080" w:type="dxa"/>
            <w:vAlign w:val="center"/>
          </w:tcPr>
          <w:p w:rsidR="00EB1AD0" w:rsidRPr="00DE2282" w:rsidRDefault="00EB1AD0" w:rsidP="00E17D96">
            <w:pPr>
              <w:jc w:val="center"/>
              <w:rPr>
                <w:noProof/>
                <w:sz w:val="20"/>
                <w:szCs w:val="20"/>
              </w:rPr>
            </w:pPr>
            <w:r w:rsidRPr="00DE2282">
              <w:rPr>
                <w:noProof/>
                <w:sz w:val="20"/>
              </w:rPr>
              <w:t>NO</w:t>
            </w:r>
          </w:p>
        </w:tc>
        <w:tc>
          <w:tcPr>
            <w:tcW w:w="956" w:type="dxa"/>
            <w:vAlign w:val="center"/>
          </w:tcPr>
          <w:p w:rsidR="00EB1AD0" w:rsidRPr="00DE2282" w:rsidRDefault="00EB1AD0" w:rsidP="00E17D96">
            <w:pPr>
              <w:jc w:val="center"/>
              <w:rPr>
                <w:noProof/>
                <w:sz w:val="20"/>
                <w:szCs w:val="20"/>
              </w:rPr>
            </w:pPr>
            <w:r w:rsidRPr="00DE2282">
              <w:rPr>
                <w:noProof/>
                <w:sz w:val="20"/>
              </w:rPr>
              <w:t>NO</w:t>
            </w:r>
          </w:p>
        </w:tc>
        <w:tc>
          <w:tcPr>
            <w:tcW w:w="1448" w:type="dxa"/>
            <w:vAlign w:val="center"/>
          </w:tcPr>
          <w:p w:rsidR="00EB1AD0" w:rsidRPr="00DE2282" w:rsidRDefault="00EB1AD0" w:rsidP="00E17D96">
            <w:pPr>
              <w:jc w:val="center"/>
              <w:rPr>
                <w:noProof/>
                <w:sz w:val="20"/>
                <w:szCs w:val="20"/>
              </w:rPr>
            </w:pPr>
            <w:r w:rsidRPr="00DE2282">
              <w:rPr>
                <w:noProof/>
                <w:sz w:val="20"/>
              </w:rPr>
              <w:t>NO</w:t>
            </w:r>
          </w:p>
        </w:tc>
      </w:tr>
    </w:tbl>
    <w:p w:rsidR="00256B92" w:rsidRPr="00DE2282" w:rsidRDefault="00256B92" w:rsidP="00256B92">
      <w:pPr>
        <w:pStyle w:val="ListBullet1"/>
        <w:rPr>
          <w:noProof/>
        </w:rPr>
      </w:pPr>
      <w:r w:rsidRPr="00DE2282">
        <w:rPr>
          <w:noProof/>
        </w:rPr>
        <w:t xml:space="preserve">Nuevas líneas presupuestarias solicitadas </w:t>
      </w:r>
    </w:p>
    <w:p w:rsidR="00256B92" w:rsidRPr="00DE2282" w:rsidRDefault="00256B92" w:rsidP="00256B92">
      <w:pPr>
        <w:pStyle w:val="Text1"/>
        <w:rPr>
          <w:i/>
          <w:noProof/>
          <w:sz w:val="20"/>
        </w:rPr>
      </w:pPr>
      <w:r w:rsidRPr="00DE2282">
        <w:rPr>
          <w:i/>
          <w:noProof/>
          <w:u w:val="single"/>
        </w:rPr>
        <w:t>En el orden</w:t>
      </w:r>
      <w:r w:rsidRPr="00DE2282">
        <w:rPr>
          <w:i/>
          <w:noProof/>
        </w:rPr>
        <w:t xml:space="preserve"> de las rúbricas del marco financiero plurianual y las líneas presupuestarias.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256B92" w:rsidRPr="00DE2282" w:rsidTr="0006399F">
        <w:tc>
          <w:tcPr>
            <w:tcW w:w="1080" w:type="dxa"/>
            <w:vMerge w:val="restart"/>
            <w:vAlign w:val="center"/>
          </w:tcPr>
          <w:p w:rsidR="00256B92" w:rsidRPr="00DE2282" w:rsidRDefault="00256B92" w:rsidP="0006399F">
            <w:pPr>
              <w:spacing w:before="60" w:after="60"/>
              <w:jc w:val="center"/>
              <w:rPr>
                <w:noProof/>
                <w:sz w:val="18"/>
                <w:szCs w:val="18"/>
              </w:rPr>
            </w:pPr>
            <w:r w:rsidRPr="00DE2282">
              <w:rPr>
                <w:noProof/>
                <w:sz w:val="18"/>
              </w:rPr>
              <w:t>Rúbrica del marco financiero plurianual</w:t>
            </w:r>
          </w:p>
        </w:tc>
        <w:tc>
          <w:tcPr>
            <w:tcW w:w="3960" w:type="dxa"/>
            <w:vAlign w:val="center"/>
          </w:tcPr>
          <w:p w:rsidR="00256B92" w:rsidRPr="00DE2282" w:rsidRDefault="00256B92" w:rsidP="0006399F">
            <w:pPr>
              <w:spacing w:before="60" w:after="60"/>
              <w:jc w:val="center"/>
              <w:rPr>
                <w:noProof/>
              </w:rPr>
            </w:pPr>
            <w:r w:rsidRPr="00DE2282">
              <w:rPr>
                <w:noProof/>
                <w:sz w:val="20"/>
              </w:rPr>
              <w:t>Línea presupuestaria</w:t>
            </w:r>
          </w:p>
        </w:tc>
        <w:tc>
          <w:tcPr>
            <w:tcW w:w="1080" w:type="dxa"/>
            <w:vAlign w:val="center"/>
          </w:tcPr>
          <w:p w:rsidR="00256B92" w:rsidRPr="00DE2282" w:rsidRDefault="00256B92" w:rsidP="0006399F">
            <w:pPr>
              <w:spacing w:before="60" w:after="60"/>
              <w:jc w:val="center"/>
              <w:rPr>
                <w:noProof/>
              </w:rPr>
            </w:pPr>
            <w:r w:rsidRPr="00DE2282">
              <w:rPr>
                <w:noProof/>
                <w:sz w:val="18"/>
              </w:rPr>
              <w:t>Tipo de</w:t>
            </w:r>
            <w:r w:rsidRPr="00DE2282">
              <w:rPr>
                <w:noProof/>
                <w:sz w:val="22"/>
              </w:rPr>
              <w:br/>
            </w:r>
            <w:r w:rsidRPr="00DE2282">
              <w:rPr>
                <w:noProof/>
                <w:sz w:val="18"/>
              </w:rPr>
              <w:t>gasto</w:t>
            </w:r>
          </w:p>
        </w:tc>
        <w:tc>
          <w:tcPr>
            <w:tcW w:w="4440" w:type="dxa"/>
            <w:gridSpan w:val="4"/>
            <w:vAlign w:val="center"/>
          </w:tcPr>
          <w:p w:rsidR="00256B92" w:rsidRPr="00DE2282" w:rsidRDefault="00256B92" w:rsidP="0006399F">
            <w:pPr>
              <w:spacing w:before="60" w:after="60"/>
              <w:jc w:val="center"/>
              <w:rPr>
                <w:noProof/>
              </w:rPr>
            </w:pPr>
            <w:r w:rsidRPr="00DE2282">
              <w:rPr>
                <w:noProof/>
                <w:sz w:val="20"/>
              </w:rPr>
              <w:t xml:space="preserve">Contribución </w:t>
            </w:r>
          </w:p>
        </w:tc>
      </w:tr>
      <w:tr w:rsidR="00256B92" w:rsidRPr="00DE2282" w:rsidTr="0006399F">
        <w:tc>
          <w:tcPr>
            <w:tcW w:w="1080" w:type="dxa"/>
            <w:vMerge/>
            <w:vAlign w:val="center"/>
          </w:tcPr>
          <w:p w:rsidR="00256B92" w:rsidRPr="00DE2282" w:rsidRDefault="00256B92" w:rsidP="0006399F">
            <w:pPr>
              <w:jc w:val="center"/>
              <w:rPr>
                <w:noProof/>
              </w:rPr>
            </w:pPr>
          </w:p>
        </w:tc>
        <w:tc>
          <w:tcPr>
            <w:tcW w:w="3960" w:type="dxa"/>
            <w:vAlign w:val="center"/>
          </w:tcPr>
          <w:p w:rsidR="00256B92" w:rsidRPr="00DE2282" w:rsidRDefault="00256B92" w:rsidP="0006399F">
            <w:pPr>
              <w:rPr>
                <w:noProof/>
              </w:rPr>
            </w:pPr>
            <w:r w:rsidRPr="00DE2282">
              <w:rPr>
                <w:noProof/>
                <w:sz w:val="20"/>
              </w:rPr>
              <w:t xml:space="preserve">Número </w:t>
            </w:r>
            <w:r w:rsidRPr="00DE2282">
              <w:rPr>
                <w:noProof/>
                <w:sz w:val="22"/>
              </w:rPr>
              <w:br/>
            </w:r>
          </w:p>
        </w:tc>
        <w:tc>
          <w:tcPr>
            <w:tcW w:w="1080" w:type="dxa"/>
            <w:vAlign w:val="center"/>
          </w:tcPr>
          <w:p w:rsidR="00256B92" w:rsidRPr="00DE2282" w:rsidRDefault="00256B92" w:rsidP="0006399F">
            <w:pPr>
              <w:jc w:val="center"/>
              <w:rPr>
                <w:noProof/>
              </w:rPr>
            </w:pPr>
            <w:r w:rsidRPr="00DE2282">
              <w:rPr>
                <w:noProof/>
                <w:sz w:val="18"/>
              </w:rPr>
              <w:t>CD/CND</w:t>
            </w:r>
          </w:p>
        </w:tc>
        <w:tc>
          <w:tcPr>
            <w:tcW w:w="956" w:type="dxa"/>
            <w:vAlign w:val="center"/>
          </w:tcPr>
          <w:p w:rsidR="00256B92" w:rsidRPr="00DE2282" w:rsidRDefault="00256B92" w:rsidP="0006399F">
            <w:pPr>
              <w:jc w:val="center"/>
              <w:rPr>
                <w:noProof/>
                <w:sz w:val="18"/>
              </w:rPr>
            </w:pPr>
            <w:r w:rsidRPr="00DE2282">
              <w:rPr>
                <w:noProof/>
                <w:sz w:val="18"/>
              </w:rPr>
              <w:t>de países de la AELC</w:t>
            </w:r>
          </w:p>
        </w:tc>
        <w:tc>
          <w:tcPr>
            <w:tcW w:w="1080" w:type="dxa"/>
            <w:vAlign w:val="center"/>
          </w:tcPr>
          <w:p w:rsidR="00256B92" w:rsidRPr="00DE2282" w:rsidRDefault="00256B92" w:rsidP="0006399F">
            <w:pPr>
              <w:jc w:val="center"/>
              <w:rPr>
                <w:noProof/>
                <w:sz w:val="18"/>
              </w:rPr>
            </w:pPr>
            <w:r w:rsidRPr="00DE2282">
              <w:rPr>
                <w:noProof/>
                <w:sz w:val="18"/>
              </w:rPr>
              <w:t>de países candidatos y candidatos potenciales</w:t>
            </w:r>
          </w:p>
        </w:tc>
        <w:tc>
          <w:tcPr>
            <w:tcW w:w="956" w:type="dxa"/>
            <w:vAlign w:val="center"/>
          </w:tcPr>
          <w:p w:rsidR="00256B92" w:rsidRPr="00DE2282" w:rsidRDefault="00256B92" w:rsidP="0006399F">
            <w:pPr>
              <w:jc w:val="center"/>
              <w:rPr>
                <w:noProof/>
                <w:sz w:val="18"/>
              </w:rPr>
            </w:pPr>
            <w:r w:rsidRPr="00DE2282">
              <w:rPr>
                <w:noProof/>
                <w:sz w:val="18"/>
              </w:rPr>
              <w:t>de otros terceros países</w:t>
            </w:r>
          </w:p>
        </w:tc>
        <w:tc>
          <w:tcPr>
            <w:tcW w:w="1448" w:type="dxa"/>
            <w:vAlign w:val="center"/>
          </w:tcPr>
          <w:p w:rsidR="00256B92" w:rsidRPr="00DE2282" w:rsidRDefault="00256B92" w:rsidP="0006399F">
            <w:pPr>
              <w:jc w:val="center"/>
              <w:rPr>
                <w:noProof/>
              </w:rPr>
            </w:pPr>
            <w:r w:rsidRPr="00DE2282">
              <w:rPr>
                <w:noProof/>
                <w:sz w:val="18"/>
              </w:rPr>
              <w:t xml:space="preserve">otros ingresos afectados </w:t>
            </w:r>
          </w:p>
        </w:tc>
      </w:tr>
      <w:tr w:rsidR="00256B92" w:rsidRPr="00DE2282" w:rsidTr="0006399F">
        <w:tc>
          <w:tcPr>
            <w:tcW w:w="1080" w:type="dxa"/>
            <w:vAlign w:val="center"/>
          </w:tcPr>
          <w:p w:rsidR="00256B92" w:rsidRPr="00DE2282" w:rsidRDefault="00256B92" w:rsidP="0006399F">
            <w:pPr>
              <w:jc w:val="center"/>
              <w:rPr>
                <w:noProof/>
              </w:rPr>
            </w:pPr>
          </w:p>
        </w:tc>
        <w:tc>
          <w:tcPr>
            <w:tcW w:w="3960" w:type="dxa"/>
            <w:vAlign w:val="center"/>
          </w:tcPr>
          <w:p w:rsidR="00256B92" w:rsidRPr="00DE2282" w:rsidRDefault="00256B92" w:rsidP="0006399F">
            <w:pPr>
              <w:spacing w:before="60"/>
              <w:rPr>
                <w:noProof/>
              </w:rPr>
            </w:pPr>
            <w:r w:rsidRPr="00DE2282">
              <w:rPr>
                <w:noProof/>
                <w:sz w:val="22"/>
              </w:rPr>
              <w:t>n.p.</w:t>
            </w:r>
          </w:p>
          <w:p w:rsidR="00256B92" w:rsidRPr="00DE2282" w:rsidRDefault="00256B92" w:rsidP="0006399F">
            <w:pPr>
              <w:spacing w:after="60"/>
              <w:rPr>
                <w:noProof/>
              </w:rPr>
            </w:pPr>
          </w:p>
        </w:tc>
        <w:tc>
          <w:tcPr>
            <w:tcW w:w="1080" w:type="dxa"/>
            <w:vAlign w:val="center"/>
          </w:tcPr>
          <w:p w:rsidR="00256B92" w:rsidRPr="00DE2282" w:rsidRDefault="00256B92" w:rsidP="0006399F">
            <w:pPr>
              <w:jc w:val="center"/>
              <w:rPr>
                <w:noProof/>
              </w:rPr>
            </w:pPr>
            <w:r w:rsidRPr="00DE2282">
              <w:rPr>
                <w:noProof/>
              </w:rPr>
              <w:t>n.p.</w:t>
            </w:r>
          </w:p>
        </w:tc>
        <w:tc>
          <w:tcPr>
            <w:tcW w:w="956" w:type="dxa"/>
            <w:vAlign w:val="center"/>
          </w:tcPr>
          <w:p w:rsidR="00256B92" w:rsidRPr="00DE2282" w:rsidRDefault="00256B92" w:rsidP="0006399F">
            <w:pPr>
              <w:jc w:val="center"/>
              <w:rPr>
                <w:noProof/>
                <w:sz w:val="20"/>
                <w:szCs w:val="20"/>
              </w:rPr>
            </w:pPr>
          </w:p>
        </w:tc>
        <w:tc>
          <w:tcPr>
            <w:tcW w:w="1080" w:type="dxa"/>
            <w:vAlign w:val="center"/>
          </w:tcPr>
          <w:p w:rsidR="00256B92" w:rsidRPr="00DE2282" w:rsidRDefault="00256B92" w:rsidP="0006399F">
            <w:pPr>
              <w:jc w:val="center"/>
              <w:rPr>
                <w:noProof/>
                <w:sz w:val="20"/>
                <w:szCs w:val="20"/>
              </w:rPr>
            </w:pPr>
          </w:p>
        </w:tc>
        <w:tc>
          <w:tcPr>
            <w:tcW w:w="956" w:type="dxa"/>
            <w:vAlign w:val="center"/>
          </w:tcPr>
          <w:p w:rsidR="00256B92" w:rsidRPr="00DE2282" w:rsidRDefault="00256B92" w:rsidP="0006399F">
            <w:pPr>
              <w:jc w:val="center"/>
              <w:rPr>
                <w:noProof/>
                <w:sz w:val="20"/>
                <w:szCs w:val="20"/>
              </w:rPr>
            </w:pPr>
          </w:p>
        </w:tc>
        <w:tc>
          <w:tcPr>
            <w:tcW w:w="1448" w:type="dxa"/>
            <w:vAlign w:val="center"/>
          </w:tcPr>
          <w:p w:rsidR="00256B92" w:rsidRPr="00DE2282" w:rsidRDefault="00256B92" w:rsidP="0006399F">
            <w:pPr>
              <w:jc w:val="center"/>
              <w:rPr>
                <w:noProof/>
                <w:sz w:val="20"/>
                <w:szCs w:val="20"/>
              </w:rPr>
            </w:pPr>
          </w:p>
        </w:tc>
      </w:tr>
    </w:tbl>
    <w:p w:rsidR="00EB1AD0" w:rsidRPr="00DE2282" w:rsidRDefault="00EB1AD0" w:rsidP="00EB1AD0">
      <w:pPr>
        <w:rPr>
          <w:noProof/>
        </w:rPr>
        <w:sectPr w:rsidR="00EB1AD0" w:rsidRPr="00DE2282" w:rsidSect="00725663">
          <w:pgSz w:w="11907" w:h="16840" w:code="1"/>
          <w:pgMar w:top="1134" w:right="1418" w:bottom="1134" w:left="1418" w:header="709" w:footer="709" w:gutter="0"/>
          <w:cols w:space="708"/>
          <w:docGrid w:linePitch="360"/>
        </w:sectPr>
      </w:pPr>
    </w:p>
    <w:p w:rsidR="00EB1AD0" w:rsidRPr="00DE2282" w:rsidRDefault="00EB1AD0" w:rsidP="00EB1AD0">
      <w:pPr>
        <w:pStyle w:val="ManualHeading2"/>
        <w:rPr>
          <w:bCs/>
          <w:noProof/>
          <w:szCs w:val="24"/>
        </w:rPr>
      </w:pPr>
      <w:bookmarkStart w:id="57" w:name="_Toc514938052"/>
      <w:bookmarkStart w:id="58" w:name="_Toc520485051"/>
      <w:r w:rsidRPr="00DE2282">
        <w:rPr>
          <w:noProof/>
        </w:rPr>
        <w:t>3.2.</w:t>
      </w:r>
      <w:r w:rsidRPr="00DE2282">
        <w:rPr>
          <w:noProof/>
        </w:rPr>
        <w:tab/>
        <w:t>Incidencia financiera estimada de la propuesta en los créditos</w:t>
      </w:r>
      <w:bookmarkEnd w:id="57"/>
      <w:bookmarkEnd w:id="58"/>
      <w:r w:rsidRPr="00DE2282">
        <w:rPr>
          <w:noProof/>
        </w:rPr>
        <w:t xml:space="preserve"> </w:t>
      </w:r>
    </w:p>
    <w:p w:rsidR="00EB1AD0" w:rsidRPr="00DE2282" w:rsidRDefault="00EB1AD0" w:rsidP="00EB1AD0">
      <w:pPr>
        <w:pStyle w:val="ManualHeading3"/>
        <w:rPr>
          <w:noProof/>
        </w:rPr>
      </w:pPr>
      <w:bookmarkStart w:id="59" w:name="_Toc514938053"/>
      <w:bookmarkStart w:id="60" w:name="_Toc520485052"/>
      <w:r w:rsidRPr="00DE2282">
        <w:rPr>
          <w:noProof/>
        </w:rPr>
        <w:t>3.2.1.</w:t>
      </w:r>
      <w:r w:rsidRPr="00DE2282">
        <w:rPr>
          <w:noProof/>
        </w:rPr>
        <w:tab/>
        <w:t>Resumen de la incidencia estimada en los créditos de operaciones</w:t>
      </w:r>
      <w:bookmarkEnd w:id="59"/>
      <w:bookmarkEnd w:id="60"/>
      <w:r w:rsidRPr="00DE2282">
        <w:rPr>
          <w:noProof/>
        </w:rPr>
        <w:t xml:space="preserve"> </w:t>
      </w:r>
    </w:p>
    <w:p w:rsidR="00EB1AD0" w:rsidRPr="00DE2282" w:rsidRDefault="00EB1AD0" w:rsidP="00EB1AD0">
      <w:pPr>
        <w:pStyle w:val="ListDash1"/>
        <w:rPr>
          <w:noProof/>
        </w:rPr>
      </w:pPr>
      <w:r w:rsidRPr="00DE2282">
        <w:rPr>
          <w:noProof/>
        </w:rPr>
        <w:sym w:font="Wingdings" w:char="F0A8"/>
      </w:r>
      <w:r w:rsidRPr="00DE2282">
        <w:rPr>
          <w:noProof/>
        </w:rPr>
        <w:tab/>
        <w:t xml:space="preserve">La propuesta/iniciativa no exige la utilización de créditos de operaciones. </w:t>
      </w:r>
    </w:p>
    <w:p w:rsidR="00EB1AD0" w:rsidRPr="00DE2282" w:rsidRDefault="00EB1AD0" w:rsidP="00EB1AD0">
      <w:pPr>
        <w:pStyle w:val="ListDash1"/>
        <w:rPr>
          <w:noProof/>
        </w:rPr>
      </w:pPr>
      <w:r w:rsidRPr="00DE2282">
        <w:rPr>
          <w:noProof/>
        </w:rPr>
        <w:sym w:font="Wingdings" w:char="F0FD"/>
      </w:r>
      <w:r w:rsidRPr="00DE2282">
        <w:rPr>
          <w:noProof/>
        </w:rPr>
        <w:tab/>
        <w:t>La propuesta/iniciativa exige la utilización de créditos de operaciones, tal como se explica a continuación:</w:t>
      </w:r>
    </w:p>
    <w:p w:rsidR="00EB1AD0" w:rsidRPr="00DE2282" w:rsidRDefault="00EB1AD0" w:rsidP="00EB1AD0">
      <w:pPr>
        <w:jc w:val="right"/>
        <w:rPr>
          <w:noProof/>
          <w:sz w:val="18"/>
          <w:szCs w:val="18"/>
        </w:rPr>
      </w:pPr>
      <w:r w:rsidRPr="00DE2282">
        <w:rPr>
          <w:noProof/>
          <w:sz w:val="18"/>
        </w:rPr>
        <w:t>En millones EUR (al tercer decimal)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EB1AD0" w:rsidRPr="00DE2282" w:rsidTr="00E17D96">
        <w:trPr>
          <w:jc w:val="center"/>
        </w:trPr>
        <w:tc>
          <w:tcPr>
            <w:tcW w:w="4744" w:type="dxa"/>
            <w:shd w:val="thinDiagStripe" w:color="C0C0C0" w:fill="auto"/>
            <w:vAlign w:val="center"/>
          </w:tcPr>
          <w:p w:rsidR="00EB1AD0" w:rsidRPr="00DE2282" w:rsidRDefault="00EB1AD0" w:rsidP="00E17D96">
            <w:pPr>
              <w:spacing w:before="60" w:after="60"/>
              <w:jc w:val="center"/>
              <w:rPr>
                <w:b/>
                <w:noProof/>
              </w:rPr>
            </w:pPr>
            <w:r w:rsidRPr="00DE2282">
              <w:rPr>
                <w:b/>
                <w:noProof/>
                <w:sz w:val="22"/>
              </w:rPr>
              <w:t xml:space="preserve">Rúbrica del marco financiero </w:t>
            </w:r>
            <w:r w:rsidRPr="00DE2282">
              <w:rPr>
                <w:noProof/>
                <w:sz w:val="22"/>
              </w:rPr>
              <w:br/>
            </w:r>
            <w:r w:rsidRPr="00DE2282">
              <w:rPr>
                <w:b/>
                <w:noProof/>
                <w:sz w:val="22"/>
              </w:rPr>
              <w:t xml:space="preserve">plurianual </w:t>
            </w:r>
          </w:p>
        </w:tc>
        <w:tc>
          <w:tcPr>
            <w:tcW w:w="1080" w:type="dxa"/>
            <w:vAlign w:val="center"/>
          </w:tcPr>
          <w:p w:rsidR="00EB1AD0" w:rsidRPr="00DE2282" w:rsidRDefault="00EB1AD0" w:rsidP="00E17D96">
            <w:pPr>
              <w:spacing w:before="60" w:after="60"/>
              <w:jc w:val="center"/>
              <w:rPr>
                <w:noProof/>
              </w:rPr>
            </w:pPr>
            <w:r w:rsidRPr="00DE2282">
              <w:rPr>
                <w:noProof/>
                <w:sz w:val="22"/>
              </w:rPr>
              <w:t>Número</w:t>
            </w:r>
          </w:p>
        </w:tc>
        <w:tc>
          <w:tcPr>
            <w:tcW w:w="7817" w:type="dxa"/>
            <w:vAlign w:val="center"/>
          </w:tcPr>
          <w:p w:rsidR="00EB1AD0" w:rsidRPr="00DE2282" w:rsidRDefault="00EB1AD0" w:rsidP="00E17D96">
            <w:pPr>
              <w:spacing w:before="60" w:after="60"/>
              <w:rPr>
                <w:noProof/>
              </w:rPr>
            </w:pPr>
            <w:r w:rsidRPr="00DE2282">
              <w:rPr>
                <w:noProof/>
              </w:rPr>
              <w:t>6</w:t>
            </w:r>
          </w:p>
        </w:tc>
      </w:tr>
    </w:tbl>
    <w:p w:rsidR="00EB1AD0" w:rsidRPr="00DE2282" w:rsidRDefault="00EB1AD0" w:rsidP="00EB1AD0">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EB1AD0" w:rsidRPr="00DE2282" w:rsidTr="00E17D96">
        <w:tc>
          <w:tcPr>
            <w:tcW w:w="3960" w:type="dxa"/>
            <w:vAlign w:val="center"/>
          </w:tcPr>
          <w:p w:rsidR="00EB1AD0" w:rsidRPr="00DE2282" w:rsidRDefault="00EB1AD0" w:rsidP="00E17D96">
            <w:pPr>
              <w:jc w:val="center"/>
              <w:rPr>
                <w:noProof/>
              </w:rPr>
            </w:pPr>
            <w:r w:rsidRPr="00DE2282">
              <w:rPr>
                <w:noProof/>
                <w:sz w:val="22"/>
              </w:rPr>
              <w:t>DG: ECFIN</w:t>
            </w:r>
          </w:p>
        </w:tc>
        <w:tc>
          <w:tcPr>
            <w:tcW w:w="1560" w:type="dxa"/>
            <w:gridSpan w:val="2"/>
          </w:tcPr>
          <w:p w:rsidR="00EB1AD0" w:rsidRPr="00DE2282" w:rsidRDefault="00EB1AD0" w:rsidP="00E17D96">
            <w:pPr>
              <w:rPr>
                <w:noProof/>
                <w:sz w:val="20"/>
              </w:rPr>
            </w:pPr>
          </w:p>
        </w:tc>
        <w:tc>
          <w:tcPr>
            <w:tcW w:w="534" w:type="dxa"/>
          </w:tcPr>
          <w:p w:rsidR="00EB1AD0" w:rsidRPr="00DE2282" w:rsidRDefault="00EB1AD0" w:rsidP="00E17D96">
            <w:pPr>
              <w:jc w:val="center"/>
              <w:rPr>
                <w:noProof/>
                <w:sz w:val="20"/>
              </w:rPr>
            </w:pPr>
          </w:p>
        </w:tc>
        <w:tc>
          <w:tcPr>
            <w:tcW w:w="868" w:type="dxa"/>
            <w:vAlign w:val="center"/>
          </w:tcPr>
          <w:p w:rsidR="00EB1AD0" w:rsidRPr="00DE2282" w:rsidRDefault="00EB1AD0" w:rsidP="00E17D96">
            <w:pPr>
              <w:jc w:val="center"/>
              <w:rPr>
                <w:noProof/>
                <w:sz w:val="20"/>
              </w:rPr>
            </w:pPr>
            <w:r w:rsidRPr="00DE2282">
              <w:rPr>
                <w:noProof/>
                <w:sz w:val="20"/>
              </w:rPr>
              <w:t>Año</w:t>
            </w:r>
            <w:r w:rsidRPr="00DE2282">
              <w:rPr>
                <w:noProof/>
                <w:sz w:val="22"/>
              </w:rPr>
              <w:br/>
            </w:r>
            <w:r w:rsidRPr="00DE2282">
              <w:rPr>
                <w:b/>
                <w:noProof/>
                <w:sz w:val="20"/>
              </w:rPr>
              <w:t>2025</w:t>
            </w:r>
            <w:r w:rsidRPr="00DE2282">
              <w:rPr>
                <w:rStyle w:val="FootnoteReference"/>
                <w:b/>
                <w:noProof/>
                <w:sz w:val="20"/>
              </w:rPr>
              <w:footnoteReference w:id="28"/>
            </w:r>
          </w:p>
        </w:tc>
        <w:tc>
          <w:tcPr>
            <w:tcW w:w="868" w:type="dxa"/>
            <w:vAlign w:val="center"/>
          </w:tcPr>
          <w:p w:rsidR="00EB1AD0" w:rsidRPr="00DE2282" w:rsidRDefault="00EB1AD0" w:rsidP="00E17D96">
            <w:pPr>
              <w:jc w:val="center"/>
              <w:rPr>
                <w:noProof/>
                <w:sz w:val="20"/>
              </w:rPr>
            </w:pPr>
            <w:r w:rsidRPr="00DE2282">
              <w:rPr>
                <w:noProof/>
                <w:sz w:val="20"/>
              </w:rPr>
              <w:t>Año</w:t>
            </w:r>
            <w:r w:rsidRPr="00DE2282">
              <w:rPr>
                <w:noProof/>
                <w:sz w:val="22"/>
              </w:rPr>
              <w:br/>
            </w:r>
            <w:r w:rsidRPr="00DE2282">
              <w:rPr>
                <w:b/>
                <w:noProof/>
                <w:sz w:val="20"/>
              </w:rPr>
              <w:t>2026</w:t>
            </w:r>
          </w:p>
        </w:tc>
        <w:tc>
          <w:tcPr>
            <w:tcW w:w="868" w:type="dxa"/>
            <w:vAlign w:val="center"/>
          </w:tcPr>
          <w:p w:rsidR="00EB1AD0" w:rsidRPr="00DE2282" w:rsidRDefault="00EB1AD0" w:rsidP="00E17D96">
            <w:pPr>
              <w:jc w:val="center"/>
              <w:rPr>
                <w:noProof/>
                <w:sz w:val="20"/>
              </w:rPr>
            </w:pPr>
            <w:r w:rsidRPr="00DE2282">
              <w:rPr>
                <w:noProof/>
                <w:sz w:val="20"/>
              </w:rPr>
              <w:t>Año</w:t>
            </w:r>
            <w:r w:rsidRPr="00DE2282">
              <w:rPr>
                <w:noProof/>
                <w:sz w:val="22"/>
              </w:rPr>
              <w:br/>
            </w:r>
            <w:r w:rsidRPr="00DE2282">
              <w:rPr>
                <w:b/>
                <w:noProof/>
                <w:sz w:val="20"/>
              </w:rPr>
              <w:t>2027</w:t>
            </w:r>
          </w:p>
        </w:tc>
        <w:tc>
          <w:tcPr>
            <w:tcW w:w="868" w:type="dxa"/>
            <w:vAlign w:val="center"/>
          </w:tcPr>
          <w:p w:rsidR="00EB1AD0" w:rsidRPr="00DE2282" w:rsidRDefault="00EB1AD0" w:rsidP="00E17D96">
            <w:pPr>
              <w:jc w:val="center"/>
              <w:rPr>
                <w:noProof/>
                <w:sz w:val="20"/>
              </w:rPr>
            </w:pPr>
            <w:r w:rsidRPr="00DE2282">
              <w:rPr>
                <w:noProof/>
                <w:sz w:val="20"/>
              </w:rPr>
              <w:t>Año</w:t>
            </w:r>
            <w:r w:rsidRPr="00DE2282">
              <w:rPr>
                <w:noProof/>
                <w:sz w:val="22"/>
              </w:rPr>
              <w:br/>
            </w:r>
            <w:r w:rsidRPr="00DE2282">
              <w:rPr>
                <w:b/>
                <w:noProof/>
                <w:sz w:val="20"/>
              </w:rPr>
              <w:t>2028</w:t>
            </w:r>
          </w:p>
        </w:tc>
        <w:tc>
          <w:tcPr>
            <w:tcW w:w="2604" w:type="dxa"/>
            <w:gridSpan w:val="3"/>
            <w:vAlign w:val="center"/>
          </w:tcPr>
          <w:p w:rsidR="00EB1AD0" w:rsidRPr="00DE2282" w:rsidRDefault="00EB1AD0" w:rsidP="00E17D96">
            <w:pPr>
              <w:jc w:val="center"/>
              <w:rPr>
                <w:b/>
                <w:noProof/>
                <w:sz w:val="18"/>
              </w:rPr>
            </w:pPr>
            <w:r w:rsidRPr="00DE2282">
              <w:rPr>
                <w:noProof/>
                <w:sz w:val="18"/>
              </w:rPr>
              <w:t>Insertar tantos años como sea necesario para reflejar la duración de la incidencia (véase el punto 1.6)</w:t>
            </w:r>
          </w:p>
        </w:tc>
        <w:tc>
          <w:tcPr>
            <w:tcW w:w="1777" w:type="dxa"/>
            <w:vAlign w:val="center"/>
          </w:tcPr>
          <w:p w:rsidR="00EB1AD0" w:rsidRPr="00DE2282" w:rsidRDefault="00EB1AD0" w:rsidP="00E17D96">
            <w:pPr>
              <w:jc w:val="center"/>
              <w:rPr>
                <w:b/>
                <w:noProof/>
                <w:sz w:val="20"/>
              </w:rPr>
            </w:pPr>
            <w:r w:rsidRPr="00DE2282">
              <w:rPr>
                <w:b/>
                <w:noProof/>
                <w:sz w:val="20"/>
              </w:rPr>
              <w:t>TOTAL</w:t>
            </w:r>
          </w:p>
        </w:tc>
      </w:tr>
      <w:tr w:rsidR="00EB1AD0" w:rsidRPr="00DE2282" w:rsidTr="00E17D96">
        <w:trPr>
          <w:trHeight w:val="213"/>
        </w:trPr>
        <w:tc>
          <w:tcPr>
            <w:tcW w:w="6054" w:type="dxa"/>
            <w:gridSpan w:val="4"/>
            <w:vAlign w:val="center"/>
          </w:tcPr>
          <w:p w:rsidR="00EB1AD0" w:rsidRPr="00DE2282" w:rsidRDefault="00EB1AD0" w:rsidP="00E17D96">
            <w:pPr>
              <w:spacing w:before="20" w:after="20"/>
              <w:rPr>
                <w:noProof/>
                <w:sz w:val="21"/>
              </w:rPr>
            </w:pPr>
            <w:r w:rsidRPr="00DE2282">
              <w:rPr>
                <w:noProof/>
                <w:sz w:val="21"/>
              </w:rPr>
              <w:sym w:font="Wingdings" w:char="F09F"/>
            </w:r>
            <w:r w:rsidRPr="00DE2282">
              <w:rPr>
                <w:noProof/>
              </w:rPr>
              <w:t xml:space="preserve"> </w:t>
            </w:r>
            <w:r w:rsidRPr="00DE2282">
              <w:rPr>
                <w:noProof/>
                <w:sz w:val="21"/>
              </w:rPr>
              <w:t xml:space="preserve">Créditos de operaciones </w:t>
            </w:r>
          </w:p>
        </w:tc>
        <w:tc>
          <w:tcPr>
            <w:tcW w:w="868" w:type="dxa"/>
            <w:vAlign w:val="center"/>
          </w:tcPr>
          <w:p w:rsidR="00EB1AD0" w:rsidRPr="00DE2282" w:rsidRDefault="00EB1AD0" w:rsidP="00E17D96">
            <w:pPr>
              <w:rPr>
                <w:noProof/>
                <w:sz w:val="20"/>
              </w:rPr>
            </w:pPr>
            <w:r w:rsidRPr="00DE2282">
              <w:rPr>
                <w:noProof/>
                <w:sz w:val="20"/>
              </w:rPr>
              <w:t>2025</w:t>
            </w:r>
          </w:p>
        </w:tc>
        <w:tc>
          <w:tcPr>
            <w:tcW w:w="868" w:type="dxa"/>
            <w:vAlign w:val="center"/>
          </w:tcPr>
          <w:p w:rsidR="00EB1AD0" w:rsidRPr="00DE2282" w:rsidRDefault="00EB1AD0" w:rsidP="00E17D96">
            <w:pPr>
              <w:rPr>
                <w:noProof/>
                <w:sz w:val="20"/>
              </w:rPr>
            </w:pPr>
            <w:r w:rsidRPr="00DE2282">
              <w:rPr>
                <w:noProof/>
                <w:sz w:val="20"/>
              </w:rPr>
              <w:t>2026</w:t>
            </w:r>
          </w:p>
        </w:tc>
        <w:tc>
          <w:tcPr>
            <w:tcW w:w="868" w:type="dxa"/>
            <w:vAlign w:val="center"/>
          </w:tcPr>
          <w:p w:rsidR="00EB1AD0" w:rsidRPr="00DE2282" w:rsidRDefault="00EB1AD0" w:rsidP="00E17D96">
            <w:pPr>
              <w:rPr>
                <w:noProof/>
                <w:sz w:val="20"/>
              </w:rPr>
            </w:pPr>
            <w:r w:rsidRPr="00DE2282">
              <w:rPr>
                <w:noProof/>
                <w:sz w:val="20"/>
              </w:rPr>
              <w:t>2027</w:t>
            </w:r>
          </w:p>
        </w:tc>
        <w:tc>
          <w:tcPr>
            <w:tcW w:w="868" w:type="dxa"/>
            <w:vAlign w:val="center"/>
          </w:tcPr>
          <w:p w:rsidR="00EB1AD0" w:rsidRPr="00DE2282" w:rsidRDefault="00EB1AD0" w:rsidP="00E17D96">
            <w:pPr>
              <w:rPr>
                <w:noProof/>
                <w:sz w:val="20"/>
              </w:rPr>
            </w:pPr>
            <w:r w:rsidRPr="00DE2282">
              <w:rPr>
                <w:noProof/>
                <w:sz w:val="20"/>
              </w:rPr>
              <w:t>2028</w:t>
            </w:r>
            <w:bookmarkStart w:id="61" w:name="_Ref151631112"/>
            <w:r w:rsidRPr="00DE2282">
              <w:rPr>
                <w:rStyle w:val="FootnoteReference"/>
                <w:noProof/>
                <w:sz w:val="20"/>
              </w:rPr>
              <w:footnoteReference w:id="29"/>
            </w:r>
            <w:bookmarkEnd w:id="61"/>
          </w:p>
        </w:tc>
        <w:tc>
          <w:tcPr>
            <w:tcW w:w="868" w:type="dxa"/>
            <w:vAlign w:val="center"/>
          </w:tcPr>
          <w:p w:rsidR="00EB1AD0" w:rsidRPr="00DE2282" w:rsidRDefault="00587E2B" w:rsidP="00E17D96">
            <w:pPr>
              <w:rPr>
                <w:noProof/>
                <w:sz w:val="20"/>
              </w:rPr>
            </w:pPr>
            <w:r w:rsidRPr="00DE2282">
              <w:rPr>
                <w:noProof/>
                <w:sz w:val="20"/>
              </w:rPr>
              <w:t>2029</w:t>
            </w:r>
            <w:r w:rsidRPr="00DE2282">
              <w:rPr>
                <w:rStyle w:val="FootnoteReference"/>
                <w:noProof/>
              </w:rPr>
              <w:t>2</w:t>
            </w:r>
            <w:r w:rsidRPr="00DE2282">
              <w:rPr>
                <w:noProof/>
                <w:vertAlign w:val="superscript"/>
              </w:rPr>
              <w:t>8</w:t>
            </w:r>
          </w:p>
        </w:tc>
        <w:tc>
          <w:tcPr>
            <w:tcW w:w="868" w:type="dxa"/>
            <w:vAlign w:val="center"/>
          </w:tcPr>
          <w:p w:rsidR="00EB1AD0" w:rsidRPr="00DE2282" w:rsidRDefault="00EB1AD0" w:rsidP="00E17D96">
            <w:pPr>
              <w:rPr>
                <w:noProof/>
                <w:sz w:val="20"/>
              </w:rPr>
            </w:pPr>
          </w:p>
        </w:tc>
        <w:tc>
          <w:tcPr>
            <w:tcW w:w="868" w:type="dxa"/>
            <w:vAlign w:val="center"/>
          </w:tcPr>
          <w:p w:rsidR="00EB1AD0" w:rsidRPr="00DE2282" w:rsidRDefault="00EB1AD0" w:rsidP="00E17D96">
            <w:pPr>
              <w:rPr>
                <w:b/>
                <w:noProof/>
                <w:sz w:val="20"/>
              </w:rPr>
            </w:pPr>
          </w:p>
        </w:tc>
        <w:tc>
          <w:tcPr>
            <w:tcW w:w="1777" w:type="dxa"/>
            <w:vAlign w:val="center"/>
          </w:tcPr>
          <w:p w:rsidR="00EB1AD0" w:rsidRPr="00DE2282" w:rsidRDefault="00EB1AD0" w:rsidP="00E17D96">
            <w:pPr>
              <w:rPr>
                <w:b/>
                <w:noProof/>
                <w:sz w:val="20"/>
              </w:rPr>
            </w:pPr>
          </w:p>
        </w:tc>
      </w:tr>
      <w:tr w:rsidR="00EB1AD0" w:rsidRPr="00DE2282" w:rsidTr="00E17D96">
        <w:trPr>
          <w:trHeight w:val="277"/>
        </w:trPr>
        <w:tc>
          <w:tcPr>
            <w:tcW w:w="3960" w:type="dxa"/>
            <w:vMerge w:val="restart"/>
            <w:vAlign w:val="center"/>
          </w:tcPr>
          <w:p w:rsidR="00EB1AD0" w:rsidRPr="00DE2282" w:rsidRDefault="00EB1AD0" w:rsidP="00E17D96">
            <w:pPr>
              <w:spacing w:after="60"/>
              <w:rPr>
                <w:noProof/>
              </w:rPr>
            </w:pPr>
            <w:r w:rsidRPr="00DE2282">
              <w:rPr>
                <w:noProof/>
              </w:rPr>
              <w:t xml:space="preserve">14 20 03 04 </w:t>
            </w:r>
            <w:r w:rsidRPr="00DE2282">
              <w:rPr>
                <w:rStyle w:val="FootnoteReference"/>
                <w:noProof/>
              </w:rPr>
              <w:footnoteReference w:id="30"/>
            </w:r>
          </w:p>
        </w:tc>
        <w:tc>
          <w:tcPr>
            <w:tcW w:w="1440" w:type="dxa"/>
            <w:vAlign w:val="center"/>
          </w:tcPr>
          <w:p w:rsidR="00EB1AD0" w:rsidRPr="00DE2282" w:rsidRDefault="00EB1AD0" w:rsidP="00E17D96">
            <w:pPr>
              <w:spacing w:before="20" w:after="20"/>
              <w:rPr>
                <w:noProof/>
                <w:sz w:val="18"/>
              </w:rPr>
            </w:pPr>
            <w:r w:rsidRPr="00DE2282">
              <w:rPr>
                <w:noProof/>
                <w:sz w:val="18"/>
              </w:rPr>
              <w:t>Créditos de compromiso</w:t>
            </w:r>
          </w:p>
        </w:tc>
        <w:tc>
          <w:tcPr>
            <w:tcW w:w="654" w:type="dxa"/>
            <w:gridSpan w:val="2"/>
            <w:vAlign w:val="center"/>
          </w:tcPr>
          <w:p w:rsidR="00EB1AD0" w:rsidRPr="00DE2282" w:rsidRDefault="00EB1AD0" w:rsidP="00E17D96">
            <w:pPr>
              <w:spacing w:before="20" w:after="20"/>
              <w:jc w:val="center"/>
              <w:rPr>
                <w:noProof/>
                <w:sz w:val="14"/>
              </w:rPr>
            </w:pPr>
            <w:r w:rsidRPr="00DE2282">
              <w:rPr>
                <w:noProof/>
                <w:sz w:val="14"/>
              </w:rPr>
              <w:t>(1a)</w:t>
            </w:r>
          </w:p>
        </w:tc>
        <w:tc>
          <w:tcPr>
            <w:tcW w:w="868" w:type="dxa"/>
            <w:vAlign w:val="center"/>
          </w:tcPr>
          <w:p w:rsidR="00EB1AD0" w:rsidRPr="00DE2282" w:rsidRDefault="00EB1AD0" w:rsidP="00E17D96">
            <w:pPr>
              <w:spacing w:before="20" w:after="20"/>
              <w:jc w:val="right"/>
              <w:rPr>
                <w:noProof/>
                <w:sz w:val="20"/>
              </w:rPr>
            </w:pPr>
            <w:r w:rsidRPr="00DE2282">
              <w:rPr>
                <w:noProof/>
                <w:sz w:val="20"/>
              </w:rPr>
              <w:t>121 020</w:t>
            </w: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b/>
                <w:noProof/>
                <w:sz w:val="20"/>
              </w:rPr>
            </w:pPr>
          </w:p>
        </w:tc>
        <w:tc>
          <w:tcPr>
            <w:tcW w:w="1777" w:type="dxa"/>
            <w:vAlign w:val="center"/>
          </w:tcPr>
          <w:p w:rsidR="00EB1AD0" w:rsidRPr="00DE2282" w:rsidRDefault="00EB1AD0" w:rsidP="00E17D96">
            <w:pPr>
              <w:spacing w:before="20" w:after="20"/>
              <w:jc w:val="right"/>
              <w:rPr>
                <w:b/>
                <w:noProof/>
                <w:sz w:val="20"/>
              </w:rPr>
            </w:pPr>
            <w:r w:rsidRPr="00DE2282">
              <w:rPr>
                <w:b/>
                <w:noProof/>
                <w:sz w:val="20"/>
              </w:rPr>
              <w:t>121 020</w:t>
            </w:r>
          </w:p>
        </w:tc>
      </w:tr>
      <w:tr w:rsidR="00EB1AD0" w:rsidRPr="00DE2282" w:rsidTr="00E17D96">
        <w:tc>
          <w:tcPr>
            <w:tcW w:w="3960" w:type="dxa"/>
            <w:vMerge/>
          </w:tcPr>
          <w:p w:rsidR="00EB1AD0" w:rsidRPr="00DE2282" w:rsidRDefault="00EB1AD0" w:rsidP="00E17D96">
            <w:pPr>
              <w:jc w:val="center"/>
              <w:rPr>
                <w:noProof/>
                <w:sz w:val="20"/>
              </w:rPr>
            </w:pPr>
          </w:p>
        </w:tc>
        <w:tc>
          <w:tcPr>
            <w:tcW w:w="1440" w:type="dxa"/>
            <w:vAlign w:val="center"/>
          </w:tcPr>
          <w:p w:rsidR="00EB1AD0" w:rsidRPr="00DE2282" w:rsidRDefault="00EB1AD0" w:rsidP="00E17D96">
            <w:pPr>
              <w:spacing w:before="20" w:after="20"/>
              <w:rPr>
                <w:noProof/>
                <w:sz w:val="18"/>
              </w:rPr>
            </w:pPr>
            <w:r w:rsidRPr="00DE2282">
              <w:rPr>
                <w:noProof/>
                <w:sz w:val="18"/>
              </w:rPr>
              <w:t>Créditos de pago</w:t>
            </w:r>
          </w:p>
        </w:tc>
        <w:tc>
          <w:tcPr>
            <w:tcW w:w="654" w:type="dxa"/>
            <w:gridSpan w:val="2"/>
            <w:vAlign w:val="center"/>
          </w:tcPr>
          <w:p w:rsidR="00EB1AD0" w:rsidRPr="00DE2282" w:rsidRDefault="00EB1AD0" w:rsidP="00E17D96">
            <w:pPr>
              <w:spacing w:before="20" w:after="20"/>
              <w:jc w:val="center"/>
              <w:rPr>
                <w:noProof/>
                <w:sz w:val="14"/>
              </w:rPr>
            </w:pPr>
            <w:r w:rsidRPr="00DE2282">
              <w:rPr>
                <w:noProof/>
                <w:sz w:val="14"/>
              </w:rPr>
              <w:t>(2a)</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b/>
                <w:noProof/>
                <w:sz w:val="20"/>
              </w:rPr>
            </w:pPr>
          </w:p>
        </w:tc>
        <w:tc>
          <w:tcPr>
            <w:tcW w:w="1777" w:type="dxa"/>
            <w:vAlign w:val="center"/>
          </w:tcPr>
          <w:p w:rsidR="00EB1AD0" w:rsidRPr="00DE2282" w:rsidRDefault="00EB1AD0" w:rsidP="00E17D96">
            <w:pPr>
              <w:spacing w:before="20" w:after="20"/>
              <w:jc w:val="right"/>
              <w:rPr>
                <w:b/>
                <w:noProof/>
                <w:sz w:val="20"/>
              </w:rPr>
            </w:pPr>
            <w:r w:rsidRPr="00DE2282">
              <w:rPr>
                <w:b/>
                <w:noProof/>
                <w:sz w:val="20"/>
              </w:rPr>
              <w:t>121 020</w:t>
            </w:r>
          </w:p>
        </w:tc>
      </w:tr>
      <w:tr w:rsidR="00EB1AD0" w:rsidRPr="00DE2282" w:rsidTr="00E17D96">
        <w:tc>
          <w:tcPr>
            <w:tcW w:w="3960" w:type="dxa"/>
            <w:vMerge w:val="restart"/>
            <w:vAlign w:val="center"/>
          </w:tcPr>
          <w:p w:rsidR="00EB1AD0" w:rsidRPr="00DE2282" w:rsidRDefault="00EB1AD0" w:rsidP="00E17D96">
            <w:pPr>
              <w:rPr>
                <w:noProof/>
              </w:rPr>
            </w:pPr>
            <w:r w:rsidRPr="00DE2282">
              <w:rPr>
                <w:noProof/>
                <w:sz w:val="20"/>
              </w:rPr>
              <w:t>Línea presupuestaria</w:t>
            </w:r>
          </w:p>
        </w:tc>
        <w:tc>
          <w:tcPr>
            <w:tcW w:w="1440" w:type="dxa"/>
            <w:vAlign w:val="center"/>
          </w:tcPr>
          <w:p w:rsidR="00EB1AD0" w:rsidRPr="00DE2282" w:rsidRDefault="00EB1AD0" w:rsidP="00E17D96">
            <w:pPr>
              <w:spacing w:before="20" w:after="20"/>
              <w:rPr>
                <w:noProof/>
                <w:sz w:val="18"/>
              </w:rPr>
            </w:pPr>
            <w:r w:rsidRPr="00DE2282">
              <w:rPr>
                <w:noProof/>
                <w:sz w:val="18"/>
              </w:rPr>
              <w:t>Créditos de compromiso</w:t>
            </w:r>
          </w:p>
        </w:tc>
        <w:tc>
          <w:tcPr>
            <w:tcW w:w="654" w:type="dxa"/>
            <w:gridSpan w:val="2"/>
            <w:vAlign w:val="center"/>
          </w:tcPr>
          <w:p w:rsidR="00EB1AD0" w:rsidRPr="00DE2282" w:rsidRDefault="00EB1AD0" w:rsidP="00E17D96">
            <w:pPr>
              <w:spacing w:before="20" w:after="20"/>
              <w:jc w:val="center"/>
              <w:rPr>
                <w:noProof/>
                <w:sz w:val="14"/>
              </w:rPr>
            </w:pPr>
            <w:r w:rsidRPr="00DE2282">
              <w:rPr>
                <w:noProof/>
                <w:sz w:val="14"/>
              </w:rPr>
              <w:t>(1b)</w:t>
            </w: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b/>
                <w:noProof/>
                <w:sz w:val="20"/>
              </w:rPr>
            </w:pPr>
          </w:p>
        </w:tc>
        <w:tc>
          <w:tcPr>
            <w:tcW w:w="1777" w:type="dxa"/>
            <w:vAlign w:val="center"/>
          </w:tcPr>
          <w:p w:rsidR="00EB1AD0" w:rsidRPr="00DE2282" w:rsidRDefault="00EB1AD0" w:rsidP="00E17D96">
            <w:pPr>
              <w:spacing w:before="20" w:after="20"/>
              <w:jc w:val="right"/>
              <w:rPr>
                <w:b/>
                <w:noProof/>
                <w:sz w:val="20"/>
              </w:rPr>
            </w:pPr>
          </w:p>
        </w:tc>
      </w:tr>
      <w:tr w:rsidR="00EB1AD0" w:rsidRPr="00DE2282" w:rsidTr="00E17D96">
        <w:tc>
          <w:tcPr>
            <w:tcW w:w="3960" w:type="dxa"/>
            <w:vMerge/>
          </w:tcPr>
          <w:p w:rsidR="00EB1AD0" w:rsidRPr="00DE2282" w:rsidRDefault="00EB1AD0" w:rsidP="00E17D96">
            <w:pPr>
              <w:jc w:val="center"/>
              <w:rPr>
                <w:noProof/>
                <w:sz w:val="20"/>
              </w:rPr>
            </w:pPr>
          </w:p>
        </w:tc>
        <w:tc>
          <w:tcPr>
            <w:tcW w:w="1440" w:type="dxa"/>
            <w:vAlign w:val="center"/>
          </w:tcPr>
          <w:p w:rsidR="00EB1AD0" w:rsidRPr="00DE2282" w:rsidRDefault="00EB1AD0" w:rsidP="00E17D96">
            <w:pPr>
              <w:spacing w:before="20" w:after="20"/>
              <w:rPr>
                <w:noProof/>
                <w:sz w:val="18"/>
              </w:rPr>
            </w:pPr>
            <w:r w:rsidRPr="00DE2282">
              <w:rPr>
                <w:noProof/>
                <w:sz w:val="18"/>
              </w:rPr>
              <w:t>Créditos de pago</w:t>
            </w:r>
          </w:p>
        </w:tc>
        <w:tc>
          <w:tcPr>
            <w:tcW w:w="654" w:type="dxa"/>
            <w:gridSpan w:val="2"/>
            <w:vAlign w:val="center"/>
          </w:tcPr>
          <w:p w:rsidR="00EB1AD0" w:rsidRPr="00DE2282" w:rsidRDefault="00EB1AD0" w:rsidP="00E17D96">
            <w:pPr>
              <w:spacing w:before="20" w:after="20"/>
              <w:jc w:val="center"/>
              <w:rPr>
                <w:noProof/>
                <w:sz w:val="14"/>
              </w:rPr>
            </w:pPr>
            <w:r w:rsidRPr="00DE2282">
              <w:rPr>
                <w:noProof/>
                <w:sz w:val="14"/>
              </w:rPr>
              <w:t>(2b)</w:t>
            </w: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b/>
                <w:noProof/>
                <w:sz w:val="20"/>
              </w:rPr>
            </w:pPr>
          </w:p>
        </w:tc>
        <w:tc>
          <w:tcPr>
            <w:tcW w:w="1777" w:type="dxa"/>
            <w:vAlign w:val="center"/>
          </w:tcPr>
          <w:p w:rsidR="00EB1AD0" w:rsidRPr="00DE2282" w:rsidRDefault="00EB1AD0" w:rsidP="00E17D96">
            <w:pPr>
              <w:spacing w:before="20" w:after="20"/>
              <w:jc w:val="right"/>
              <w:rPr>
                <w:b/>
                <w:noProof/>
                <w:sz w:val="20"/>
              </w:rPr>
            </w:pPr>
          </w:p>
        </w:tc>
      </w:tr>
      <w:tr w:rsidR="00EB1AD0" w:rsidRPr="00DE2282" w:rsidTr="00E17D96">
        <w:trPr>
          <w:trHeight w:val="231"/>
        </w:trPr>
        <w:tc>
          <w:tcPr>
            <w:tcW w:w="6054" w:type="dxa"/>
            <w:gridSpan w:val="4"/>
            <w:vAlign w:val="center"/>
          </w:tcPr>
          <w:p w:rsidR="00EB1AD0" w:rsidRPr="00DE2282" w:rsidRDefault="00EB1AD0" w:rsidP="00E17D96">
            <w:pPr>
              <w:spacing w:before="20" w:after="20"/>
              <w:rPr>
                <w:noProof/>
              </w:rPr>
            </w:pPr>
            <w:r w:rsidRPr="00DE2282">
              <w:rPr>
                <w:noProof/>
                <w:sz w:val="21"/>
              </w:rPr>
              <w:t>Créditos de carácter administrativo financiados mediante la dotación de programas específicos</w:t>
            </w:r>
            <w:r w:rsidRPr="00DE2282">
              <w:rPr>
                <w:rStyle w:val="FootnoteReference"/>
                <w:noProof/>
                <w:sz w:val="21"/>
              </w:rPr>
              <w:footnoteReference w:id="31"/>
            </w:r>
            <w:r w:rsidRPr="00DE2282">
              <w:rPr>
                <w:noProof/>
                <w:sz w:val="21"/>
              </w:rPr>
              <w:t xml:space="preserve"> </w:t>
            </w:r>
          </w:p>
          <w:p w:rsidR="00EB1AD0" w:rsidRPr="00DE2282" w:rsidRDefault="00EB1AD0" w:rsidP="00E17D96">
            <w:pPr>
              <w:spacing w:before="0" w:after="0"/>
              <w:rPr>
                <w:noProof/>
              </w:rPr>
            </w:pPr>
          </w:p>
        </w:tc>
        <w:tc>
          <w:tcPr>
            <w:tcW w:w="868" w:type="dxa"/>
            <w:vAlign w:val="center"/>
          </w:tcPr>
          <w:p w:rsidR="00EB1AD0" w:rsidRPr="00DE2282" w:rsidRDefault="00EB1AD0" w:rsidP="00E17D96">
            <w:pPr>
              <w:rPr>
                <w:b/>
                <w:noProof/>
                <w:sz w:val="20"/>
              </w:rPr>
            </w:pPr>
          </w:p>
        </w:tc>
        <w:tc>
          <w:tcPr>
            <w:tcW w:w="868" w:type="dxa"/>
            <w:vAlign w:val="center"/>
          </w:tcPr>
          <w:p w:rsidR="00EB1AD0" w:rsidRPr="00DE2282" w:rsidRDefault="00EB1AD0" w:rsidP="00E17D96">
            <w:pPr>
              <w:rPr>
                <w:b/>
                <w:noProof/>
                <w:sz w:val="20"/>
              </w:rPr>
            </w:pPr>
          </w:p>
        </w:tc>
        <w:tc>
          <w:tcPr>
            <w:tcW w:w="868" w:type="dxa"/>
            <w:vAlign w:val="center"/>
          </w:tcPr>
          <w:p w:rsidR="00EB1AD0" w:rsidRPr="00DE2282" w:rsidRDefault="00EB1AD0" w:rsidP="00E17D96">
            <w:pPr>
              <w:rPr>
                <w:b/>
                <w:noProof/>
                <w:sz w:val="20"/>
              </w:rPr>
            </w:pPr>
          </w:p>
        </w:tc>
        <w:tc>
          <w:tcPr>
            <w:tcW w:w="868" w:type="dxa"/>
            <w:vAlign w:val="center"/>
          </w:tcPr>
          <w:p w:rsidR="00EB1AD0" w:rsidRPr="00DE2282" w:rsidRDefault="00EB1AD0" w:rsidP="00E17D96">
            <w:pPr>
              <w:rPr>
                <w:b/>
                <w:noProof/>
                <w:sz w:val="20"/>
              </w:rPr>
            </w:pPr>
          </w:p>
        </w:tc>
        <w:tc>
          <w:tcPr>
            <w:tcW w:w="868" w:type="dxa"/>
            <w:vAlign w:val="center"/>
          </w:tcPr>
          <w:p w:rsidR="00EB1AD0" w:rsidRPr="00DE2282" w:rsidRDefault="00EB1AD0" w:rsidP="00E17D96">
            <w:pPr>
              <w:rPr>
                <w:b/>
                <w:noProof/>
                <w:sz w:val="20"/>
              </w:rPr>
            </w:pPr>
          </w:p>
        </w:tc>
        <w:tc>
          <w:tcPr>
            <w:tcW w:w="868" w:type="dxa"/>
            <w:vAlign w:val="center"/>
          </w:tcPr>
          <w:p w:rsidR="00EB1AD0" w:rsidRPr="00DE2282" w:rsidRDefault="00EB1AD0" w:rsidP="00E17D96">
            <w:pPr>
              <w:rPr>
                <w:b/>
                <w:noProof/>
                <w:sz w:val="20"/>
              </w:rPr>
            </w:pPr>
          </w:p>
        </w:tc>
        <w:tc>
          <w:tcPr>
            <w:tcW w:w="868" w:type="dxa"/>
            <w:vAlign w:val="center"/>
          </w:tcPr>
          <w:p w:rsidR="00EB1AD0" w:rsidRPr="00DE2282" w:rsidRDefault="00EB1AD0" w:rsidP="00E17D96">
            <w:pPr>
              <w:rPr>
                <w:b/>
                <w:noProof/>
                <w:sz w:val="20"/>
              </w:rPr>
            </w:pPr>
          </w:p>
        </w:tc>
        <w:tc>
          <w:tcPr>
            <w:tcW w:w="1777" w:type="dxa"/>
            <w:vAlign w:val="center"/>
          </w:tcPr>
          <w:p w:rsidR="00EB1AD0" w:rsidRPr="00DE2282" w:rsidRDefault="00EB1AD0" w:rsidP="00E17D96">
            <w:pPr>
              <w:jc w:val="right"/>
              <w:rPr>
                <w:b/>
                <w:noProof/>
                <w:sz w:val="20"/>
              </w:rPr>
            </w:pPr>
          </w:p>
        </w:tc>
      </w:tr>
      <w:tr w:rsidR="00EB1AD0" w:rsidRPr="00DE2282" w:rsidTr="00E17D96">
        <w:trPr>
          <w:trHeight w:val="319"/>
        </w:trPr>
        <w:tc>
          <w:tcPr>
            <w:tcW w:w="3960" w:type="dxa"/>
            <w:vAlign w:val="center"/>
          </w:tcPr>
          <w:p w:rsidR="00EB1AD0" w:rsidRPr="00DE2282" w:rsidRDefault="00EB1AD0" w:rsidP="00E17D96">
            <w:pPr>
              <w:spacing w:before="60" w:after="60"/>
              <w:rPr>
                <w:noProof/>
              </w:rPr>
            </w:pPr>
            <w:r w:rsidRPr="00DE2282">
              <w:rPr>
                <w:noProof/>
                <w:sz w:val="20"/>
              </w:rPr>
              <w:t>Línea presupuestaria</w:t>
            </w:r>
          </w:p>
        </w:tc>
        <w:tc>
          <w:tcPr>
            <w:tcW w:w="1440" w:type="dxa"/>
            <w:vAlign w:val="center"/>
          </w:tcPr>
          <w:p w:rsidR="00EB1AD0" w:rsidRPr="00DE2282" w:rsidRDefault="00EB1AD0" w:rsidP="00E17D96">
            <w:pPr>
              <w:spacing w:before="40" w:after="40"/>
              <w:jc w:val="right"/>
              <w:rPr>
                <w:noProof/>
                <w:sz w:val="18"/>
              </w:rPr>
            </w:pPr>
          </w:p>
        </w:tc>
        <w:tc>
          <w:tcPr>
            <w:tcW w:w="654" w:type="dxa"/>
            <w:gridSpan w:val="2"/>
            <w:vAlign w:val="center"/>
          </w:tcPr>
          <w:p w:rsidR="00EB1AD0" w:rsidRPr="00DE2282" w:rsidRDefault="00EB1AD0" w:rsidP="00E17D96">
            <w:pPr>
              <w:spacing w:before="40" w:after="40"/>
              <w:jc w:val="center"/>
              <w:rPr>
                <w:noProof/>
                <w:sz w:val="14"/>
              </w:rPr>
            </w:pPr>
            <w:r w:rsidRPr="00DE2282">
              <w:rPr>
                <w:noProof/>
                <w:sz w:val="14"/>
              </w:rPr>
              <w:t>(3)</w:t>
            </w:r>
          </w:p>
        </w:tc>
        <w:tc>
          <w:tcPr>
            <w:tcW w:w="868" w:type="dxa"/>
            <w:vAlign w:val="center"/>
          </w:tcPr>
          <w:p w:rsidR="00EB1AD0" w:rsidRPr="00DE2282" w:rsidRDefault="00EB1AD0" w:rsidP="00E17D96">
            <w:pPr>
              <w:spacing w:before="40" w:after="40"/>
              <w:jc w:val="right"/>
              <w:rPr>
                <w:b/>
                <w:noProof/>
                <w:sz w:val="20"/>
              </w:rPr>
            </w:pPr>
          </w:p>
        </w:tc>
        <w:tc>
          <w:tcPr>
            <w:tcW w:w="868" w:type="dxa"/>
            <w:vAlign w:val="center"/>
          </w:tcPr>
          <w:p w:rsidR="00EB1AD0" w:rsidRPr="00DE2282" w:rsidRDefault="00EB1AD0" w:rsidP="00E17D96">
            <w:pPr>
              <w:spacing w:before="40" w:after="40"/>
              <w:jc w:val="right"/>
              <w:rPr>
                <w:b/>
                <w:noProof/>
                <w:sz w:val="20"/>
              </w:rPr>
            </w:pPr>
          </w:p>
        </w:tc>
        <w:tc>
          <w:tcPr>
            <w:tcW w:w="868" w:type="dxa"/>
            <w:vAlign w:val="center"/>
          </w:tcPr>
          <w:p w:rsidR="00EB1AD0" w:rsidRPr="00DE2282" w:rsidRDefault="00EB1AD0" w:rsidP="00E17D96">
            <w:pPr>
              <w:spacing w:before="40" w:after="40"/>
              <w:jc w:val="right"/>
              <w:rPr>
                <w:b/>
                <w:noProof/>
                <w:sz w:val="20"/>
              </w:rPr>
            </w:pPr>
          </w:p>
        </w:tc>
        <w:tc>
          <w:tcPr>
            <w:tcW w:w="868" w:type="dxa"/>
            <w:vAlign w:val="center"/>
          </w:tcPr>
          <w:p w:rsidR="00EB1AD0" w:rsidRPr="00DE2282" w:rsidRDefault="00EB1AD0" w:rsidP="00E17D96">
            <w:pPr>
              <w:spacing w:before="40" w:after="40"/>
              <w:jc w:val="right"/>
              <w:rPr>
                <w:b/>
                <w:noProof/>
                <w:sz w:val="20"/>
              </w:rPr>
            </w:pPr>
          </w:p>
        </w:tc>
        <w:tc>
          <w:tcPr>
            <w:tcW w:w="868" w:type="dxa"/>
            <w:vAlign w:val="center"/>
          </w:tcPr>
          <w:p w:rsidR="00EB1AD0" w:rsidRPr="00DE2282" w:rsidRDefault="00EB1AD0" w:rsidP="00E17D96">
            <w:pPr>
              <w:spacing w:before="40" w:after="40"/>
              <w:jc w:val="right"/>
              <w:rPr>
                <w:b/>
                <w:noProof/>
                <w:sz w:val="20"/>
              </w:rPr>
            </w:pPr>
          </w:p>
        </w:tc>
        <w:tc>
          <w:tcPr>
            <w:tcW w:w="868" w:type="dxa"/>
            <w:vAlign w:val="center"/>
          </w:tcPr>
          <w:p w:rsidR="00EB1AD0" w:rsidRPr="00DE2282" w:rsidRDefault="00EB1AD0" w:rsidP="00E17D96">
            <w:pPr>
              <w:spacing w:before="40" w:after="40"/>
              <w:jc w:val="right"/>
              <w:rPr>
                <w:b/>
                <w:noProof/>
                <w:sz w:val="20"/>
              </w:rPr>
            </w:pPr>
          </w:p>
        </w:tc>
        <w:tc>
          <w:tcPr>
            <w:tcW w:w="868" w:type="dxa"/>
            <w:vAlign w:val="center"/>
          </w:tcPr>
          <w:p w:rsidR="00EB1AD0" w:rsidRPr="00DE2282" w:rsidRDefault="00EB1AD0" w:rsidP="00E17D96">
            <w:pPr>
              <w:spacing w:before="40" w:after="40"/>
              <w:jc w:val="right"/>
              <w:rPr>
                <w:b/>
                <w:noProof/>
                <w:sz w:val="20"/>
              </w:rPr>
            </w:pPr>
          </w:p>
        </w:tc>
        <w:tc>
          <w:tcPr>
            <w:tcW w:w="1777" w:type="dxa"/>
            <w:vAlign w:val="center"/>
          </w:tcPr>
          <w:p w:rsidR="00EB1AD0" w:rsidRPr="00DE2282" w:rsidRDefault="00EB1AD0" w:rsidP="00E17D96">
            <w:pPr>
              <w:spacing w:before="40" w:after="40"/>
              <w:jc w:val="right"/>
              <w:rPr>
                <w:b/>
                <w:noProof/>
                <w:sz w:val="20"/>
              </w:rPr>
            </w:pPr>
          </w:p>
        </w:tc>
      </w:tr>
      <w:tr w:rsidR="00EB1AD0" w:rsidRPr="00DE2282" w:rsidTr="00E17D96">
        <w:tc>
          <w:tcPr>
            <w:tcW w:w="3960" w:type="dxa"/>
            <w:vMerge w:val="restart"/>
            <w:vAlign w:val="center"/>
          </w:tcPr>
          <w:p w:rsidR="00EB1AD0" w:rsidRPr="00DE2282" w:rsidRDefault="00EB1AD0" w:rsidP="00E17D96">
            <w:pPr>
              <w:jc w:val="center"/>
              <w:rPr>
                <w:b/>
                <w:noProof/>
              </w:rPr>
            </w:pPr>
            <w:r w:rsidRPr="00DE2282">
              <w:rPr>
                <w:b/>
                <w:noProof/>
                <w:sz w:val="22"/>
              </w:rPr>
              <w:t>TOTAL de los créditos</w:t>
            </w:r>
            <w:r w:rsidRPr="00DE2282">
              <w:rPr>
                <w:noProof/>
                <w:sz w:val="22"/>
              </w:rPr>
              <w:br/>
            </w:r>
            <w:r w:rsidRPr="00DE2282">
              <w:rPr>
                <w:b/>
                <w:noProof/>
                <w:sz w:val="22"/>
              </w:rPr>
              <w:t>para la DG ECFIN</w:t>
            </w:r>
          </w:p>
        </w:tc>
        <w:tc>
          <w:tcPr>
            <w:tcW w:w="1440" w:type="dxa"/>
            <w:vAlign w:val="center"/>
          </w:tcPr>
          <w:p w:rsidR="00EB1AD0" w:rsidRPr="00DE2282" w:rsidRDefault="00EB1AD0" w:rsidP="00E17D96">
            <w:pPr>
              <w:rPr>
                <w:noProof/>
                <w:sz w:val="18"/>
              </w:rPr>
            </w:pPr>
            <w:r w:rsidRPr="00DE2282">
              <w:rPr>
                <w:noProof/>
                <w:sz w:val="18"/>
              </w:rPr>
              <w:t>Créditos de compromiso</w:t>
            </w:r>
          </w:p>
        </w:tc>
        <w:tc>
          <w:tcPr>
            <w:tcW w:w="654" w:type="dxa"/>
            <w:gridSpan w:val="2"/>
            <w:vAlign w:val="center"/>
          </w:tcPr>
          <w:p w:rsidR="00EB1AD0" w:rsidRPr="00DE2282" w:rsidRDefault="00EB1AD0" w:rsidP="00E17D96">
            <w:pPr>
              <w:jc w:val="center"/>
              <w:rPr>
                <w:noProof/>
                <w:sz w:val="14"/>
              </w:rPr>
            </w:pPr>
            <w:r w:rsidRPr="00DE2282">
              <w:rPr>
                <w:noProof/>
                <w:sz w:val="14"/>
              </w:rPr>
              <w:t>=1a+1b+3</w:t>
            </w:r>
          </w:p>
        </w:tc>
        <w:tc>
          <w:tcPr>
            <w:tcW w:w="868" w:type="dxa"/>
            <w:vAlign w:val="center"/>
          </w:tcPr>
          <w:p w:rsidR="00EB1AD0" w:rsidRPr="00DE2282" w:rsidRDefault="00EB1AD0" w:rsidP="00E17D96">
            <w:pPr>
              <w:spacing w:before="20" w:after="20"/>
              <w:jc w:val="right"/>
              <w:rPr>
                <w:noProof/>
                <w:sz w:val="20"/>
              </w:rPr>
            </w:pPr>
            <w:r w:rsidRPr="00DE2282">
              <w:rPr>
                <w:noProof/>
                <w:sz w:val="20"/>
              </w:rPr>
              <w:t>121 020</w:t>
            </w: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b/>
                <w:noProof/>
                <w:sz w:val="20"/>
              </w:rPr>
            </w:pPr>
          </w:p>
        </w:tc>
        <w:tc>
          <w:tcPr>
            <w:tcW w:w="1777" w:type="dxa"/>
            <w:vAlign w:val="center"/>
          </w:tcPr>
          <w:p w:rsidR="00EB1AD0" w:rsidRPr="00DE2282" w:rsidRDefault="00EB1AD0" w:rsidP="00E17D96">
            <w:pPr>
              <w:spacing w:before="20" w:after="20"/>
              <w:jc w:val="right"/>
              <w:rPr>
                <w:b/>
                <w:noProof/>
                <w:sz w:val="20"/>
              </w:rPr>
            </w:pPr>
            <w:r w:rsidRPr="00DE2282">
              <w:rPr>
                <w:b/>
                <w:noProof/>
                <w:sz w:val="20"/>
              </w:rPr>
              <w:t>121 020</w:t>
            </w:r>
          </w:p>
        </w:tc>
      </w:tr>
      <w:tr w:rsidR="00EB1AD0" w:rsidRPr="00DE2282" w:rsidTr="00E17D96">
        <w:tc>
          <w:tcPr>
            <w:tcW w:w="3960" w:type="dxa"/>
            <w:vMerge/>
          </w:tcPr>
          <w:p w:rsidR="00EB1AD0" w:rsidRPr="00DE2282" w:rsidRDefault="00EB1AD0" w:rsidP="00E17D96">
            <w:pPr>
              <w:rPr>
                <w:noProof/>
                <w:sz w:val="20"/>
              </w:rPr>
            </w:pPr>
          </w:p>
        </w:tc>
        <w:tc>
          <w:tcPr>
            <w:tcW w:w="1440" w:type="dxa"/>
            <w:vAlign w:val="center"/>
          </w:tcPr>
          <w:p w:rsidR="00EB1AD0" w:rsidRPr="00DE2282" w:rsidRDefault="00EB1AD0" w:rsidP="00E17D96">
            <w:pPr>
              <w:rPr>
                <w:noProof/>
                <w:sz w:val="18"/>
              </w:rPr>
            </w:pPr>
            <w:r w:rsidRPr="00DE2282">
              <w:rPr>
                <w:noProof/>
                <w:sz w:val="18"/>
              </w:rPr>
              <w:t>Créditos de pago</w:t>
            </w:r>
          </w:p>
        </w:tc>
        <w:tc>
          <w:tcPr>
            <w:tcW w:w="654" w:type="dxa"/>
            <w:gridSpan w:val="2"/>
            <w:vAlign w:val="center"/>
          </w:tcPr>
          <w:p w:rsidR="00EB1AD0" w:rsidRPr="00DE2282" w:rsidRDefault="00EB1AD0" w:rsidP="00E17D96">
            <w:pPr>
              <w:jc w:val="center"/>
              <w:rPr>
                <w:noProof/>
                <w:sz w:val="14"/>
              </w:rPr>
            </w:pPr>
            <w:r w:rsidRPr="00DE2282">
              <w:rPr>
                <w:noProof/>
                <w:sz w:val="14"/>
              </w:rPr>
              <w:t>=2a + 2b</w:t>
            </w:r>
          </w:p>
          <w:p w:rsidR="00EB1AD0" w:rsidRPr="00DE2282" w:rsidRDefault="00EB1AD0" w:rsidP="00E17D96">
            <w:pPr>
              <w:jc w:val="center"/>
              <w:rPr>
                <w:noProof/>
                <w:sz w:val="14"/>
              </w:rPr>
            </w:pPr>
            <w:r w:rsidRPr="00DE2282">
              <w:rPr>
                <w:noProof/>
                <w:sz w:val="14"/>
              </w:rPr>
              <w:t>+ 3</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b/>
                <w:noProof/>
                <w:sz w:val="20"/>
              </w:rPr>
            </w:pPr>
          </w:p>
        </w:tc>
        <w:tc>
          <w:tcPr>
            <w:tcW w:w="1777" w:type="dxa"/>
            <w:vAlign w:val="center"/>
          </w:tcPr>
          <w:p w:rsidR="00EB1AD0" w:rsidRPr="00DE2282" w:rsidRDefault="00EB1AD0" w:rsidP="00E17D96">
            <w:pPr>
              <w:spacing w:before="20" w:after="20"/>
              <w:jc w:val="right"/>
              <w:rPr>
                <w:b/>
                <w:noProof/>
                <w:sz w:val="20"/>
              </w:rPr>
            </w:pPr>
            <w:r w:rsidRPr="00DE2282">
              <w:rPr>
                <w:b/>
                <w:noProof/>
                <w:sz w:val="20"/>
              </w:rPr>
              <w:t>121 020</w:t>
            </w:r>
          </w:p>
        </w:tc>
      </w:tr>
    </w:tbl>
    <w:p w:rsidR="00EB1AD0" w:rsidRPr="00DE2282" w:rsidRDefault="00EB1AD0" w:rsidP="00EB1AD0">
      <w:pPr>
        <w:rPr>
          <w:noProof/>
        </w:rPr>
      </w:pPr>
      <w:r w:rsidRPr="00DE2282">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EB1AD0" w:rsidRPr="00DE2282" w:rsidTr="00E17D96">
        <w:trPr>
          <w:trHeight w:val="277"/>
        </w:trPr>
        <w:tc>
          <w:tcPr>
            <w:tcW w:w="3960" w:type="dxa"/>
            <w:vMerge w:val="restart"/>
            <w:vAlign w:val="center"/>
          </w:tcPr>
          <w:p w:rsidR="00EB1AD0" w:rsidRPr="00DE2282" w:rsidRDefault="00EB1AD0" w:rsidP="00E17D96">
            <w:pPr>
              <w:spacing w:before="20" w:after="20"/>
              <w:rPr>
                <w:noProof/>
              </w:rPr>
            </w:pPr>
            <w:r w:rsidRPr="00DE2282">
              <w:rPr>
                <w:noProof/>
              </w:rPr>
              <w:br w:type="page"/>
            </w:r>
            <w:r w:rsidRPr="00DE2282">
              <w:rPr>
                <w:noProof/>
                <w:sz w:val="21"/>
              </w:rPr>
              <w:sym w:font="Wingdings" w:char="F09F"/>
            </w:r>
            <w:r w:rsidRPr="00DE2282">
              <w:rPr>
                <w:noProof/>
              </w:rPr>
              <w:t xml:space="preserve"> </w:t>
            </w:r>
            <w:r w:rsidRPr="00DE2282">
              <w:rPr>
                <w:noProof/>
                <w:sz w:val="21"/>
              </w:rPr>
              <w:t xml:space="preserve">TOTAL de los créditos de operaciones </w:t>
            </w:r>
          </w:p>
        </w:tc>
        <w:tc>
          <w:tcPr>
            <w:tcW w:w="1440" w:type="dxa"/>
            <w:vAlign w:val="center"/>
          </w:tcPr>
          <w:p w:rsidR="00EB1AD0" w:rsidRPr="00DE2282" w:rsidRDefault="00EB1AD0" w:rsidP="00E17D96">
            <w:pPr>
              <w:spacing w:beforeLines="20" w:before="48" w:afterLines="20" w:after="48"/>
              <w:rPr>
                <w:noProof/>
                <w:sz w:val="18"/>
              </w:rPr>
            </w:pPr>
            <w:r w:rsidRPr="00DE2282">
              <w:rPr>
                <w:noProof/>
                <w:sz w:val="18"/>
              </w:rPr>
              <w:t>Créditos de compromiso</w:t>
            </w:r>
          </w:p>
        </w:tc>
        <w:tc>
          <w:tcPr>
            <w:tcW w:w="654" w:type="dxa"/>
            <w:vAlign w:val="center"/>
          </w:tcPr>
          <w:p w:rsidR="00EB1AD0" w:rsidRPr="00DE2282" w:rsidRDefault="00EB1AD0" w:rsidP="00E17D96">
            <w:pPr>
              <w:spacing w:beforeLines="20" w:before="48" w:afterLines="20" w:after="48"/>
              <w:jc w:val="center"/>
              <w:rPr>
                <w:noProof/>
                <w:sz w:val="14"/>
              </w:rPr>
            </w:pPr>
            <w:r w:rsidRPr="00DE2282">
              <w:rPr>
                <w:noProof/>
                <w:sz w:val="14"/>
              </w:rPr>
              <w:t>(4)</w:t>
            </w:r>
          </w:p>
        </w:tc>
        <w:tc>
          <w:tcPr>
            <w:tcW w:w="868" w:type="dxa"/>
            <w:vAlign w:val="center"/>
          </w:tcPr>
          <w:p w:rsidR="00EB1AD0" w:rsidRPr="00DE2282" w:rsidRDefault="00EB1AD0" w:rsidP="00E17D96">
            <w:pPr>
              <w:spacing w:before="20" w:after="20"/>
              <w:jc w:val="right"/>
              <w:rPr>
                <w:noProof/>
                <w:sz w:val="20"/>
              </w:rPr>
            </w:pPr>
            <w:r w:rsidRPr="00DE2282">
              <w:rPr>
                <w:noProof/>
                <w:sz w:val="20"/>
              </w:rPr>
              <w:t>121 020</w:t>
            </w: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b/>
                <w:noProof/>
                <w:sz w:val="20"/>
              </w:rPr>
            </w:pPr>
          </w:p>
        </w:tc>
        <w:tc>
          <w:tcPr>
            <w:tcW w:w="1777" w:type="dxa"/>
            <w:vAlign w:val="center"/>
          </w:tcPr>
          <w:p w:rsidR="00EB1AD0" w:rsidRPr="00DE2282" w:rsidRDefault="00EB1AD0" w:rsidP="00E17D96">
            <w:pPr>
              <w:spacing w:before="20" w:after="20"/>
              <w:jc w:val="right"/>
              <w:rPr>
                <w:b/>
                <w:noProof/>
                <w:sz w:val="20"/>
              </w:rPr>
            </w:pPr>
            <w:r w:rsidRPr="00DE2282">
              <w:rPr>
                <w:b/>
                <w:noProof/>
                <w:sz w:val="20"/>
              </w:rPr>
              <w:t>121 020</w:t>
            </w:r>
          </w:p>
        </w:tc>
      </w:tr>
      <w:tr w:rsidR="00EB1AD0" w:rsidRPr="00DE2282" w:rsidTr="00E17D96">
        <w:tc>
          <w:tcPr>
            <w:tcW w:w="3960" w:type="dxa"/>
            <w:vMerge/>
          </w:tcPr>
          <w:p w:rsidR="00EB1AD0" w:rsidRPr="00DE2282" w:rsidRDefault="00EB1AD0" w:rsidP="00E17D96">
            <w:pPr>
              <w:jc w:val="center"/>
              <w:rPr>
                <w:noProof/>
                <w:sz w:val="20"/>
              </w:rPr>
            </w:pPr>
          </w:p>
        </w:tc>
        <w:tc>
          <w:tcPr>
            <w:tcW w:w="1440" w:type="dxa"/>
            <w:vAlign w:val="center"/>
          </w:tcPr>
          <w:p w:rsidR="00EB1AD0" w:rsidRPr="00DE2282" w:rsidRDefault="00EB1AD0" w:rsidP="00E17D96">
            <w:pPr>
              <w:spacing w:beforeLines="20" w:before="48" w:afterLines="20" w:after="48"/>
              <w:rPr>
                <w:noProof/>
                <w:sz w:val="18"/>
              </w:rPr>
            </w:pPr>
            <w:r w:rsidRPr="00DE2282">
              <w:rPr>
                <w:noProof/>
                <w:sz w:val="18"/>
              </w:rPr>
              <w:t>Créditos de pago</w:t>
            </w:r>
          </w:p>
        </w:tc>
        <w:tc>
          <w:tcPr>
            <w:tcW w:w="654" w:type="dxa"/>
            <w:vAlign w:val="center"/>
          </w:tcPr>
          <w:p w:rsidR="00EB1AD0" w:rsidRPr="00DE2282" w:rsidRDefault="00EB1AD0" w:rsidP="00E17D96">
            <w:pPr>
              <w:spacing w:beforeLines="20" w:before="48" w:afterLines="20" w:after="48"/>
              <w:jc w:val="center"/>
              <w:rPr>
                <w:noProof/>
                <w:sz w:val="14"/>
              </w:rPr>
            </w:pPr>
            <w:r w:rsidRPr="00DE2282">
              <w:rPr>
                <w:noProof/>
                <w:sz w:val="14"/>
              </w:rPr>
              <w:t>(5)</w:t>
            </w:r>
          </w:p>
        </w:tc>
        <w:tc>
          <w:tcPr>
            <w:tcW w:w="868" w:type="dxa"/>
            <w:vAlign w:val="center"/>
          </w:tcPr>
          <w:p w:rsidR="00EB1AD0" w:rsidRPr="00DE2282" w:rsidRDefault="00EB1AD0" w:rsidP="00E17D96">
            <w:pPr>
              <w:spacing w:before="20" w:after="20"/>
              <w:jc w:val="right"/>
              <w:rPr>
                <w:noProof/>
                <w:sz w:val="20"/>
              </w:rPr>
            </w:pPr>
            <w:r w:rsidRPr="00DE2282">
              <w:rPr>
                <w:noProof/>
                <w:sz w:val="20"/>
              </w:rPr>
              <w:t>24,204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b/>
                <w:noProof/>
                <w:sz w:val="20"/>
              </w:rPr>
            </w:pPr>
          </w:p>
        </w:tc>
        <w:tc>
          <w:tcPr>
            <w:tcW w:w="1777" w:type="dxa"/>
            <w:vAlign w:val="center"/>
          </w:tcPr>
          <w:p w:rsidR="00EB1AD0" w:rsidRPr="00DE2282" w:rsidRDefault="00EB1AD0" w:rsidP="00E17D96">
            <w:pPr>
              <w:spacing w:before="20" w:after="20"/>
              <w:jc w:val="right"/>
              <w:rPr>
                <w:b/>
                <w:noProof/>
                <w:sz w:val="20"/>
              </w:rPr>
            </w:pPr>
            <w:r w:rsidRPr="00DE2282">
              <w:rPr>
                <w:b/>
                <w:noProof/>
                <w:sz w:val="20"/>
              </w:rPr>
              <w:t>121 020</w:t>
            </w:r>
          </w:p>
        </w:tc>
      </w:tr>
      <w:tr w:rsidR="00EB1AD0" w:rsidRPr="00DE2282" w:rsidTr="00E17D96">
        <w:trPr>
          <w:trHeight w:val="533"/>
        </w:trPr>
        <w:tc>
          <w:tcPr>
            <w:tcW w:w="5400" w:type="dxa"/>
            <w:gridSpan w:val="2"/>
            <w:vAlign w:val="center"/>
          </w:tcPr>
          <w:p w:rsidR="00EB1AD0" w:rsidRPr="00DE2282" w:rsidRDefault="00EB1AD0" w:rsidP="00E17D96">
            <w:pPr>
              <w:spacing w:beforeLines="20" w:before="48" w:afterLines="20" w:after="48"/>
              <w:rPr>
                <w:noProof/>
              </w:rPr>
            </w:pPr>
            <w:r w:rsidRPr="00DE2282">
              <w:rPr>
                <w:noProof/>
                <w:sz w:val="21"/>
              </w:rPr>
              <w:sym w:font="Wingdings" w:char="F09F"/>
            </w:r>
            <w:r w:rsidRPr="00DE2282">
              <w:rPr>
                <w:noProof/>
              </w:rPr>
              <w:t xml:space="preserve"> </w:t>
            </w:r>
            <w:r w:rsidRPr="00DE2282">
              <w:rPr>
                <w:noProof/>
                <w:sz w:val="21"/>
              </w:rPr>
              <w:t xml:space="preserve">TOTAL de los créditos de carácter administrativo financiados mediante la dotación de programas específicos </w:t>
            </w:r>
          </w:p>
        </w:tc>
        <w:tc>
          <w:tcPr>
            <w:tcW w:w="654" w:type="dxa"/>
            <w:vAlign w:val="center"/>
          </w:tcPr>
          <w:p w:rsidR="00EB1AD0" w:rsidRPr="00DE2282" w:rsidRDefault="00EB1AD0" w:rsidP="00E17D96">
            <w:pPr>
              <w:spacing w:beforeLines="20" w:before="48" w:afterLines="20" w:after="48"/>
              <w:jc w:val="center"/>
              <w:rPr>
                <w:noProof/>
                <w:sz w:val="14"/>
              </w:rPr>
            </w:pPr>
            <w:r w:rsidRPr="00DE2282">
              <w:rPr>
                <w:noProof/>
                <w:sz w:val="14"/>
              </w:rPr>
              <w:t>(6)</w:t>
            </w:r>
          </w:p>
        </w:tc>
        <w:tc>
          <w:tcPr>
            <w:tcW w:w="868" w:type="dxa"/>
            <w:vAlign w:val="center"/>
          </w:tcPr>
          <w:p w:rsidR="00EB1AD0" w:rsidRPr="00DE2282" w:rsidRDefault="00EB1AD0" w:rsidP="00E17D96">
            <w:pPr>
              <w:spacing w:before="20" w:after="20"/>
              <w:jc w:val="right"/>
              <w:rPr>
                <w:b/>
                <w:noProof/>
                <w:sz w:val="20"/>
              </w:rPr>
            </w:pPr>
          </w:p>
        </w:tc>
        <w:tc>
          <w:tcPr>
            <w:tcW w:w="868" w:type="dxa"/>
            <w:vAlign w:val="center"/>
          </w:tcPr>
          <w:p w:rsidR="00EB1AD0" w:rsidRPr="00DE2282" w:rsidRDefault="00EB1AD0" w:rsidP="00E17D96">
            <w:pPr>
              <w:spacing w:before="20" w:after="20"/>
              <w:jc w:val="right"/>
              <w:rPr>
                <w:b/>
                <w:noProof/>
                <w:sz w:val="20"/>
              </w:rPr>
            </w:pPr>
          </w:p>
        </w:tc>
        <w:tc>
          <w:tcPr>
            <w:tcW w:w="868" w:type="dxa"/>
            <w:vAlign w:val="center"/>
          </w:tcPr>
          <w:p w:rsidR="00EB1AD0" w:rsidRPr="00DE2282" w:rsidRDefault="00EB1AD0" w:rsidP="00E17D96">
            <w:pPr>
              <w:spacing w:before="20" w:after="20"/>
              <w:jc w:val="right"/>
              <w:rPr>
                <w:b/>
                <w:noProof/>
                <w:sz w:val="20"/>
              </w:rPr>
            </w:pPr>
          </w:p>
        </w:tc>
        <w:tc>
          <w:tcPr>
            <w:tcW w:w="868" w:type="dxa"/>
            <w:vAlign w:val="center"/>
          </w:tcPr>
          <w:p w:rsidR="00EB1AD0" w:rsidRPr="00DE2282" w:rsidRDefault="00EB1AD0" w:rsidP="00E17D96">
            <w:pPr>
              <w:spacing w:before="20" w:after="20"/>
              <w:jc w:val="right"/>
              <w:rPr>
                <w:b/>
                <w:noProof/>
                <w:sz w:val="20"/>
              </w:rPr>
            </w:pPr>
          </w:p>
        </w:tc>
        <w:tc>
          <w:tcPr>
            <w:tcW w:w="868" w:type="dxa"/>
            <w:vAlign w:val="center"/>
          </w:tcPr>
          <w:p w:rsidR="00EB1AD0" w:rsidRPr="00DE2282" w:rsidRDefault="00EB1AD0" w:rsidP="00E17D96">
            <w:pPr>
              <w:spacing w:before="20" w:after="20"/>
              <w:jc w:val="right"/>
              <w:rPr>
                <w:b/>
                <w:noProof/>
                <w:sz w:val="20"/>
              </w:rPr>
            </w:pPr>
          </w:p>
        </w:tc>
        <w:tc>
          <w:tcPr>
            <w:tcW w:w="868" w:type="dxa"/>
            <w:vAlign w:val="center"/>
          </w:tcPr>
          <w:p w:rsidR="00EB1AD0" w:rsidRPr="00DE2282" w:rsidRDefault="00EB1AD0" w:rsidP="00E17D96">
            <w:pPr>
              <w:spacing w:before="20" w:after="20"/>
              <w:jc w:val="right"/>
              <w:rPr>
                <w:b/>
                <w:noProof/>
                <w:sz w:val="20"/>
              </w:rPr>
            </w:pPr>
          </w:p>
        </w:tc>
        <w:tc>
          <w:tcPr>
            <w:tcW w:w="868" w:type="dxa"/>
            <w:vAlign w:val="center"/>
          </w:tcPr>
          <w:p w:rsidR="00EB1AD0" w:rsidRPr="00DE2282" w:rsidRDefault="00EB1AD0" w:rsidP="00E17D96">
            <w:pPr>
              <w:spacing w:before="20" w:after="20"/>
              <w:jc w:val="right"/>
              <w:rPr>
                <w:b/>
                <w:noProof/>
                <w:sz w:val="20"/>
              </w:rPr>
            </w:pPr>
          </w:p>
        </w:tc>
        <w:tc>
          <w:tcPr>
            <w:tcW w:w="1777" w:type="dxa"/>
            <w:vAlign w:val="center"/>
          </w:tcPr>
          <w:p w:rsidR="00EB1AD0" w:rsidRPr="00DE2282" w:rsidRDefault="00EB1AD0" w:rsidP="00E17D96">
            <w:pPr>
              <w:spacing w:before="20" w:after="20"/>
              <w:jc w:val="right"/>
              <w:rPr>
                <w:b/>
                <w:noProof/>
                <w:sz w:val="20"/>
              </w:rPr>
            </w:pPr>
          </w:p>
        </w:tc>
      </w:tr>
      <w:tr w:rsidR="00EB1AD0" w:rsidRPr="00DE2282" w:rsidTr="00E17D96">
        <w:tc>
          <w:tcPr>
            <w:tcW w:w="3960" w:type="dxa"/>
            <w:vMerge w:val="restart"/>
            <w:shd w:val="thinDiagStripe" w:color="C0C0C0" w:fill="auto"/>
            <w:vAlign w:val="center"/>
          </w:tcPr>
          <w:p w:rsidR="00EB1AD0" w:rsidRPr="00DE2282" w:rsidRDefault="00EB1AD0" w:rsidP="00E17D96">
            <w:pPr>
              <w:jc w:val="center"/>
              <w:rPr>
                <w:b/>
                <w:noProof/>
              </w:rPr>
            </w:pPr>
            <w:r w:rsidRPr="00DE2282">
              <w:rPr>
                <w:b/>
                <w:noProof/>
                <w:sz w:val="22"/>
              </w:rPr>
              <w:t xml:space="preserve">TOTAL de los créditos </w:t>
            </w:r>
            <w:r w:rsidRPr="00DE2282">
              <w:rPr>
                <w:noProof/>
                <w:sz w:val="22"/>
              </w:rPr>
              <w:br/>
            </w:r>
            <w:r w:rsidRPr="00DE2282">
              <w:rPr>
                <w:b/>
                <w:noProof/>
                <w:sz w:val="22"/>
              </w:rPr>
              <w:t>correspondientes a la RÚBRICA 6</w:t>
            </w:r>
            <w:r w:rsidRPr="00DE2282">
              <w:rPr>
                <w:noProof/>
                <w:sz w:val="22"/>
              </w:rPr>
              <w:br/>
              <w:t>del marco financiero plurianual</w:t>
            </w:r>
          </w:p>
        </w:tc>
        <w:tc>
          <w:tcPr>
            <w:tcW w:w="1440" w:type="dxa"/>
            <w:vAlign w:val="center"/>
          </w:tcPr>
          <w:p w:rsidR="00EB1AD0" w:rsidRPr="00DE2282" w:rsidRDefault="00EB1AD0" w:rsidP="00E17D96">
            <w:pPr>
              <w:rPr>
                <w:noProof/>
                <w:sz w:val="18"/>
              </w:rPr>
            </w:pPr>
            <w:r w:rsidRPr="00DE2282">
              <w:rPr>
                <w:noProof/>
                <w:sz w:val="18"/>
              </w:rPr>
              <w:t>Créditos de compromiso</w:t>
            </w:r>
          </w:p>
        </w:tc>
        <w:tc>
          <w:tcPr>
            <w:tcW w:w="654" w:type="dxa"/>
            <w:vAlign w:val="center"/>
          </w:tcPr>
          <w:p w:rsidR="00EB1AD0" w:rsidRPr="00DE2282" w:rsidRDefault="00EB1AD0" w:rsidP="00E17D96">
            <w:pPr>
              <w:jc w:val="center"/>
              <w:rPr>
                <w:noProof/>
                <w:sz w:val="14"/>
              </w:rPr>
            </w:pPr>
            <w:r w:rsidRPr="00DE2282">
              <w:rPr>
                <w:noProof/>
                <w:sz w:val="14"/>
              </w:rPr>
              <w:t>=4+6</w:t>
            </w:r>
          </w:p>
        </w:tc>
        <w:tc>
          <w:tcPr>
            <w:tcW w:w="868" w:type="dxa"/>
            <w:vAlign w:val="center"/>
          </w:tcPr>
          <w:p w:rsidR="00EB1AD0" w:rsidRPr="00DE2282" w:rsidRDefault="00EB1AD0" w:rsidP="00E17D96">
            <w:pPr>
              <w:spacing w:before="20" w:after="20"/>
              <w:jc w:val="right"/>
              <w:rPr>
                <w:noProof/>
                <w:sz w:val="20"/>
              </w:rPr>
            </w:pPr>
            <w:r w:rsidRPr="00DE2282">
              <w:rPr>
                <w:noProof/>
                <w:sz w:val="20"/>
              </w:rPr>
              <w:t>121 020</w:t>
            </w: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b/>
                <w:noProof/>
                <w:sz w:val="20"/>
              </w:rPr>
            </w:pPr>
          </w:p>
        </w:tc>
        <w:tc>
          <w:tcPr>
            <w:tcW w:w="1777" w:type="dxa"/>
            <w:vAlign w:val="center"/>
          </w:tcPr>
          <w:p w:rsidR="00EB1AD0" w:rsidRPr="00DE2282" w:rsidRDefault="00EB1AD0" w:rsidP="00E17D96">
            <w:pPr>
              <w:spacing w:before="20" w:after="20"/>
              <w:jc w:val="right"/>
              <w:rPr>
                <w:b/>
                <w:noProof/>
                <w:sz w:val="20"/>
              </w:rPr>
            </w:pPr>
            <w:r w:rsidRPr="00DE2282">
              <w:rPr>
                <w:b/>
                <w:noProof/>
                <w:sz w:val="20"/>
              </w:rPr>
              <w:t>121 020</w:t>
            </w:r>
          </w:p>
        </w:tc>
      </w:tr>
      <w:tr w:rsidR="00EB1AD0" w:rsidRPr="00DE2282" w:rsidTr="00E17D96">
        <w:tc>
          <w:tcPr>
            <w:tcW w:w="3960" w:type="dxa"/>
            <w:vMerge/>
            <w:shd w:val="thinDiagStripe" w:color="C0C0C0" w:fill="auto"/>
          </w:tcPr>
          <w:p w:rsidR="00EB1AD0" w:rsidRPr="00DE2282" w:rsidRDefault="00EB1AD0" w:rsidP="00E17D96">
            <w:pPr>
              <w:rPr>
                <w:noProof/>
                <w:sz w:val="20"/>
              </w:rPr>
            </w:pPr>
          </w:p>
        </w:tc>
        <w:tc>
          <w:tcPr>
            <w:tcW w:w="1440" w:type="dxa"/>
            <w:vAlign w:val="center"/>
          </w:tcPr>
          <w:p w:rsidR="00EB1AD0" w:rsidRPr="00DE2282" w:rsidRDefault="00EB1AD0" w:rsidP="00E17D96">
            <w:pPr>
              <w:rPr>
                <w:noProof/>
                <w:sz w:val="18"/>
              </w:rPr>
            </w:pPr>
            <w:r w:rsidRPr="00DE2282">
              <w:rPr>
                <w:noProof/>
                <w:sz w:val="18"/>
              </w:rPr>
              <w:t>Créditos de pago</w:t>
            </w:r>
          </w:p>
        </w:tc>
        <w:tc>
          <w:tcPr>
            <w:tcW w:w="654" w:type="dxa"/>
            <w:vAlign w:val="center"/>
          </w:tcPr>
          <w:p w:rsidR="00EB1AD0" w:rsidRPr="00DE2282" w:rsidRDefault="00EB1AD0" w:rsidP="00E17D96">
            <w:pPr>
              <w:jc w:val="center"/>
              <w:rPr>
                <w:noProof/>
                <w:sz w:val="14"/>
              </w:rPr>
            </w:pPr>
            <w:r w:rsidRPr="00DE2282">
              <w:rPr>
                <w:noProof/>
                <w:sz w:val="14"/>
              </w:rPr>
              <w:t>=5+6</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r w:rsidRPr="00DE2282">
              <w:rPr>
                <w:noProof/>
                <w:sz w:val="20"/>
              </w:rPr>
              <w:t>24 204</w:t>
            </w: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b/>
                <w:noProof/>
                <w:sz w:val="20"/>
              </w:rPr>
            </w:pPr>
          </w:p>
        </w:tc>
        <w:tc>
          <w:tcPr>
            <w:tcW w:w="1777" w:type="dxa"/>
            <w:vAlign w:val="center"/>
          </w:tcPr>
          <w:p w:rsidR="00EB1AD0" w:rsidRPr="00DE2282" w:rsidRDefault="00EB1AD0" w:rsidP="00E17D96">
            <w:pPr>
              <w:spacing w:before="20" w:after="20"/>
              <w:jc w:val="right"/>
              <w:rPr>
                <w:b/>
                <w:noProof/>
                <w:sz w:val="20"/>
              </w:rPr>
            </w:pPr>
            <w:r w:rsidRPr="00DE2282">
              <w:rPr>
                <w:b/>
                <w:noProof/>
                <w:sz w:val="20"/>
              </w:rPr>
              <w:t>121 020</w:t>
            </w:r>
          </w:p>
        </w:tc>
      </w:tr>
    </w:tbl>
    <w:p w:rsidR="00256B92" w:rsidRPr="00DE2282" w:rsidRDefault="00256B92" w:rsidP="00256B92">
      <w:pPr>
        <w:spacing w:after="40"/>
        <w:rPr>
          <w:b/>
          <w:noProof/>
          <w:sz w:val="22"/>
          <w:u w:val="single"/>
        </w:rPr>
      </w:pPr>
      <w:r w:rsidRPr="00DE2282">
        <w:rPr>
          <w:b/>
          <w:noProof/>
          <w:sz w:val="22"/>
          <w:u w:val="single"/>
        </w:rPr>
        <w:t>Si la propuesta/iniciativa afecta a más de una rúbrica operativa, repetir la sección anterior:</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256B92" w:rsidRPr="00DE2282" w:rsidTr="0006399F">
        <w:trPr>
          <w:trHeight w:val="277"/>
        </w:trPr>
        <w:tc>
          <w:tcPr>
            <w:tcW w:w="3960" w:type="dxa"/>
            <w:vMerge w:val="restart"/>
            <w:tcBorders>
              <w:top w:val="single" w:sz="4" w:space="0" w:color="auto"/>
              <w:left w:val="single" w:sz="4" w:space="0" w:color="auto"/>
              <w:bottom w:val="single" w:sz="4" w:space="0" w:color="FF0000"/>
            </w:tcBorders>
            <w:vAlign w:val="center"/>
          </w:tcPr>
          <w:p w:rsidR="00256B92" w:rsidRPr="00DE2282" w:rsidRDefault="00256B92" w:rsidP="00256B92">
            <w:pPr>
              <w:spacing w:before="20" w:after="20"/>
              <w:rPr>
                <w:noProof/>
              </w:rPr>
            </w:pPr>
            <w:r w:rsidRPr="00DE2282">
              <w:rPr>
                <w:noProof/>
                <w:sz w:val="21"/>
              </w:rPr>
              <w:sym w:font="Wingdings" w:char="F09F"/>
            </w:r>
            <w:r w:rsidRPr="00DE2282">
              <w:rPr>
                <w:noProof/>
              </w:rPr>
              <w:t xml:space="preserve"> </w:t>
            </w:r>
            <w:r w:rsidRPr="00DE2282">
              <w:rPr>
                <w:noProof/>
                <w:sz w:val="21"/>
              </w:rPr>
              <w:t>TOTAL de los créditos de operaciones (todas las rúbricas operativas)</w:t>
            </w:r>
          </w:p>
        </w:tc>
        <w:tc>
          <w:tcPr>
            <w:tcW w:w="1440" w:type="dxa"/>
            <w:tcBorders>
              <w:top w:val="single" w:sz="4" w:space="0" w:color="auto"/>
            </w:tcBorders>
            <w:vAlign w:val="center"/>
          </w:tcPr>
          <w:p w:rsidR="00256B92" w:rsidRPr="00DE2282" w:rsidRDefault="00256B92" w:rsidP="00256B92">
            <w:pPr>
              <w:spacing w:beforeLines="20" w:before="48" w:afterLines="20" w:after="48"/>
              <w:rPr>
                <w:noProof/>
                <w:sz w:val="18"/>
              </w:rPr>
            </w:pPr>
            <w:r w:rsidRPr="00DE2282">
              <w:rPr>
                <w:noProof/>
                <w:sz w:val="18"/>
              </w:rPr>
              <w:t>Créditos de compromiso</w:t>
            </w:r>
          </w:p>
        </w:tc>
        <w:tc>
          <w:tcPr>
            <w:tcW w:w="654" w:type="dxa"/>
            <w:tcBorders>
              <w:top w:val="single" w:sz="4" w:space="0" w:color="auto"/>
            </w:tcBorders>
            <w:vAlign w:val="center"/>
          </w:tcPr>
          <w:p w:rsidR="00256B92" w:rsidRPr="00DE2282" w:rsidRDefault="00256B92" w:rsidP="00256B92">
            <w:pPr>
              <w:spacing w:beforeLines="20" w:before="48" w:afterLines="20" w:after="48"/>
              <w:jc w:val="center"/>
              <w:rPr>
                <w:noProof/>
                <w:sz w:val="14"/>
              </w:rPr>
            </w:pPr>
            <w:r w:rsidRPr="00DE2282">
              <w:rPr>
                <w:noProof/>
                <w:sz w:val="14"/>
              </w:rPr>
              <w:t>(4)</w:t>
            </w:r>
          </w:p>
        </w:tc>
        <w:tc>
          <w:tcPr>
            <w:tcW w:w="868" w:type="dxa"/>
            <w:tcBorders>
              <w:top w:val="single" w:sz="4" w:space="0" w:color="auto"/>
            </w:tcBorders>
            <w:vAlign w:val="center"/>
          </w:tcPr>
          <w:p w:rsidR="00256B92" w:rsidRPr="00DE2282" w:rsidRDefault="00256B92" w:rsidP="00256B92">
            <w:pPr>
              <w:spacing w:before="20" w:after="20"/>
              <w:jc w:val="right"/>
              <w:rPr>
                <w:noProof/>
                <w:sz w:val="20"/>
              </w:rPr>
            </w:pPr>
            <w:r w:rsidRPr="00DE2282">
              <w:rPr>
                <w:noProof/>
                <w:sz w:val="20"/>
              </w:rPr>
              <w:t>121 020</w:t>
            </w:r>
          </w:p>
        </w:tc>
        <w:tc>
          <w:tcPr>
            <w:tcW w:w="868" w:type="dxa"/>
            <w:tcBorders>
              <w:top w:val="single" w:sz="4" w:space="0" w:color="auto"/>
            </w:tcBorders>
            <w:vAlign w:val="center"/>
          </w:tcPr>
          <w:p w:rsidR="00256B92" w:rsidRPr="00DE2282" w:rsidRDefault="00256B92" w:rsidP="00256B92">
            <w:pPr>
              <w:spacing w:before="20" w:after="20"/>
              <w:jc w:val="right"/>
              <w:rPr>
                <w:noProof/>
                <w:sz w:val="20"/>
              </w:rPr>
            </w:pPr>
          </w:p>
        </w:tc>
        <w:tc>
          <w:tcPr>
            <w:tcW w:w="868" w:type="dxa"/>
            <w:tcBorders>
              <w:top w:val="single" w:sz="4" w:space="0" w:color="auto"/>
            </w:tcBorders>
            <w:vAlign w:val="center"/>
          </w:tcPr>
          <w:p w:rsidR="00256B92" w:rsidRPr="00DE2282" w:rsidRDefault="00256B92" w:rsidP="00256B92">
            <w:pPr>
              <w:spacing w:before="20" w:after="20"/>
              <w:jc w:val="right"/>
              <w:rPr>
                <w:noProof/>
                <w:sz w:val="20"/>
              </w:rPr>
            </w:pPr>
          </w:p>
        </w:tc>
        <w:tc>
          <w:tcPr>
            <w:tcW w:w="868" w:type="dxa"/>
            <w:tcBorders>
              <w:top w:val="single" w:sz="4" w:space="0" w:color="auto"/>
            </w:tcBorders>
            <w:vAlign w:val="center"/>
          </w:tcPr>
          <w:p w:rsidR="00256B92" w:rsidRPr="00DE2282" w:rsidRDefault="00256B92" w:rsidP="00256B92">
            <w:pPr>
              <w:spacing w:before="20" w:after="20"/>
              <w:jc w:val="right"/>
              <w:rPr>
                <w:noProof/>
                <w:sz w:val="20"/>
              </w:rPr>
            </w:pPr>
          </w:p>
        </w:tc>
        <w:tc>
          <w:tcPr>
            <w:tcW w:w="868" w:type="dxa"/>
            <w:tcBorders>
              <w:top w:val="single" w:sz="4" w:space="0" w:color="auto"/>
            </w:tcBorders>
            <w:vAlign w:val="center"/>
          </w:tcPr>
          <w:p w:rsidR="00256B92" w:rsidRPr="00DE2282" w:rsidRDefault="00256B92" w:rsidP="00256B92">
            <w:pPr>
              <w:spacing w:before="20" w:after="20"/>
              <w:jc w:val="right"/>
              <w:rPr>
                <w:noProof/>
                <w:sz w:val="20"/>
              </w:rPr>
            </w:pPr>
          </w:p>
        </w:tc>
        <w:tc>
          <w:tcPr>
            <w:tcW w:w="868" w:type="dxa"/>
            <w:tcBorders>
              <w:top w:val="single" w:sz="4" w:space="0" w:color="auto"/>
            </w:tcBorders>
            <w:vAlign w:val="center"/>
          </w:tcPr>
          <w:p w:rsidR="00256B92" w:rsidRPr="00DE2282" w:rsidRDefault="00256B92" w:rsidP="00256B92">
            <w:pPr>
              <w:spacing w:before="20" w:after="20"/>
              <w:jc w:val="right"/>
              <w:rPr>
                <w:noProof/>
                <w:sz w:val="20"/>
              </w:rPr>
            </w:pPr>
          </w:p>
        </w:tc>
        <w:tc>
          <w:tcPr>
            <w:tcW w:w="868" w:type="dxa"/>
            <w:tcBorders>
              <w:top w:val="single" w:sz="4" w:space="0" w:color="auto"/>
            </w:tcBorders>
            <w:vAlign w:val="center"/>
          </w:tcPr>
          <w:p w:rsidR="00256B92" w:rsidRPr="00DE2282" w:rsidRDefault="00256B92" w:rsidP="00256B92">
            <w:pPr>
              <w:spacing w:before="20" w:after="20"/>
              <w:jc w:val="right"/>
              <w:rPr>
                <w:b/>
                <w:noProof/>
                <w:sz w:val="20"/>
              </w:rPr>
            </w:pPr>
          </w:p>
        </w:tc>
        <w:tc>
          <w:tcPr>
            <w:tcW w:w="1777" w:type="dxa"/>
            <w:tcBorders>
              <w:top w:val="single" w:sz="4" w:space="0" w:color="auto"/>
              <w:right w:val="single" w:sz="4" w:space="0" w:color="auto"/>
            </w:tcBorders>
            <w:vAlign w:val="center"/>
          </w:tcPr>
          <w:p w:rsidR="00256B92" w:rsidRPr="00DE2282" w:rsidRDefault="00256B92" w:rsidP="00256B92">
            <w:pPr>
              <w:spacing w:before="20" w:after="20"/>
              <w:jc w:val="right"/>
              <w:rPr>
                <w:b/>
                <w:noProof/>
                <w:sz w:val="20"/>
              </w:rPr>
            </w:pPr>
            <w:r w:rsidRPr="00DE2282">
              <w:rPr>
                <w:b/>
                <w:noProof/>
                <w:sz w:val="20"/>
              </w:rPr>
              <w:t>121 020</w:t>
            </w:r>
          </w:p>
        </w:tc>
      </w:tr>
      <w:tr w:rsidR="00256B92" w:rsidRPr="00DE2282" w:rsidTr="0006399F">
        <w:tc>
          <w:tcPr>
            <w:tcW w:w="3960" w:type="dxa"/>
            <w:vMerge/>
            <w:tcBorders>
              <w:top w:val="single" w:sz="4" w:space="0" w:color="FF0000"/>
              <w:left w:val="single" w:sz="4" w:space="0" w:color="auto"/>
              <w:bottom w:val="single" w:sz="4" w:space="0" w:color="FF0000"/>
            </w:tcBorders>
          </w:tcPr>
          <w:p w:rsidR="00256B92" w:rsidRPr="00DE2282" w:rsidRDefault="00256B92" w:rsidP="00256B92">
            <w:pPr>
              <w:jc w:val="center"/>
              <w:rPr>
                <w:noProof/>
                <w:sz w:val="20"/>
              </w:rPr>
            </w:pPr>
          </w:p>
        </w:tc>
        <w:tc>
          <w:tcPr>
            <w:tcW w:w="1440" w:type="dxa"/>
            <w:vAlign w:val="center"/>
          </w:tcPr>
          <w:p w:rsidR="00256B92" w:rsidRPr="00DE2282" w:rsidRDefault="00256B92" w:rsidP="00256B92">
            <w:pPr>
              <w:spacing w:beforeLines="20" w:before="48" w:afterLines="20" w:after="48"/>
              <w:rPr>
                <w:noProof/>
                <w:sz w:val="18"/>
              </w:rPr>
            </w:pPr>
            <w:r w:rsidRPr="00DE2282">
              <w:rPr>
                <w:noProof/>
                <w:sz w:val="18"/>
              </w:rPr>
              <w:t>Créditos de pago</w:t>
            </w:r>
          </w:p>
        </w:tc>
        <w:tc>
          <w:tcPr>
            <w:tcW w:w="654" w:type="dxa"/>
            <w:vAlign w:val="center"/>
          </w:tcPr>
          <w:p w:rsidR="00256B92" w:rsidRPr="00DE2282" w:rsidRDefault="00256B92" w:rsidP="00256B92">
            <w:pPr>
              <w:spacing w:beforeLines="20" w:before="48" w:afterLines="20" w:after="48"/>
              <w:jc w:val="center"/>
              <w:rPr>
                <w:noProof/>
                <w:sz w:val="14"/>
              </w:rPr>
            </w:pPr>
            <w:r w:rsidRPr="00DE2282">
              <w:rPr>
                <w:noProof/>
                <w:sz w:val="14"/>
              </w:rPr>
              <w:t>(5)</w:t>
            </w:r>
          </w:p>
        </w:tc>
        <w:tc>
          <w:tcPr>
            <w:tcW w:w="868" w:type="dxa"/>
            <w:vAlign w:val="center"/>
          </w:tcPr>
          <w:p w:rsidR="00256B92" w:rsidRPr="00DE2282" w:rsidRDefault="00256B92" w:rsidP="00256B92">
            <w:pPr>
              <w:spacing w:before="20" w:after="20"/>
              <w:jc w:val="right"/>
              <w:rPr>
                <w:noProof/>
                <w:sz w:val="20"/>
              </w:rPr>
            </w:pPr>
            <w:r w:rsidRPr="00DE2282">
              <w:rPr>
                <w:noProof/>
                <w:sz w:val="20"/>
              </w:rPr>
              <w:t>24 204</w:t>
            </w:r>
          </w:p>
        </w:tc>
        <w:tc>
          <w:tcPr>
            <w:tcW w:w="868" w:type="dxa"/>
            <w:vAlign w:val="center"/>
          </w:tcPr>
          <w:p w:rsidR="00256B92" w:rsidRPr="00DE2282" w:rsidRDefault="00256B92" w:rsidP="00256B92">
            <w:pPr>
              <w:spacing w:before="20" w:after="20"/>
              <w:jc w:val="right"/>
              <w:rPr>
                <w:noProof/>
                <w:sz w:val="20"/>
              </w:rPr>
            </w:pPr>
            <w:r w:rsidRPr="00DE2282">
              <w:rPr>
                <w:noProof/>
                <w:sz w:val="20"/>
              </w:rPr>
              <w:t>24 204</w:t>
            </w:r>
          </w:p>
        </w:tc>
        <w:tc>
          <w:tcPr>
            <w:tcW w:w="868" w:type="dxa"/>
            <w:vAlign w:val="center"/>
          </w:tcPr>
          <w:p w:rsidR="00256B92" w:rsidRPr="00DE2282" w:rsidRDefault="00256B92" w:rsidP="00256B92">
            <w:pPr>
              <w:spacing w:before="20" w:after="20"/>
              <w:jc w:val="right"/>
              <w:rPr>
                <w:noProof/>
                <w:sz w:val="20"/>
              </w:rPr>
            </w:pPr>
            <w:r w:rsidRPr="00DE2282">
              <w:rPr>
                <w:noProof/>
                <w:sz w:val="20"/>
              </w:rPr>
              <w:t>24 204</w:t>
            </w:r>
          </w:p>
        </w:tc>
        <w:tc>
          <w:tcPr>
            <w:tcW w:w="868" w:type="dxa"/>
            <w:vAlign w:val="center"/>
          </w:tcPr>
          <w:p w:rsidR="00256B92" w:rsidRPr="00DE2282" w:rsidRDefault="00256B92" w:rsidP="00256B92">
            <w:pPr>
              <w:spacing w:before="20" w:after="20"/>
              <w:jc w:val="right"/>
              <w:rPr>
                <w:noProof/>
                <w:sz w:val="20"/>
              </w:rPr>
            </w:pPr>
            <w:r w:rsidRPr="00DE2282">
              <w:rPr>
                <w:noProof/>
                <w:sz w:val="20"/>
              </w:rPr>
              <w:t>24 204</w:t>
            </w:r>
          </w:p>
        </w:tc>
        <w:tc>
          <w:tcPr>
            <w:tcW w:w="868" w:type="dxa"/>
            <w:vAlign w:val="center"/>
          </w:tcPr>
          <w:p w:rsidR="00256B92" w:rsidRPr="00DE2282" w:rsidRDefault="00256B92" w:rsidP="00256B92">
            <w:pPr>
              <w:spacing w:before="20" w:after="20"/>
              <w:jc w:val="right"/>
              <w:rPr>
                <w:noProof/>
                <w:sz w:val="20"/>
              </w:rPr>
            </w:pPr>
            <w:r w:rsidRPr="00DE2282">
              <w:rPr>
                <w:noProof/>
                <w:sz w:val="20"/>
              </w:rPr>
              <w:t>24 204</w:t>
            </w:r>
          </w:p>
        </w:tc>
        <w:tc>
          <w:tcPr>
            <w:tcW w:w="868" w:type="dxa"/>
            <w:vAlign w:val="center"/>
          </w:tcPr>
          <w:p w:rsidR="00256B92" w:rsidRPr="00DE2282" w:rsidRDefault="00256B92" w:rsidP="00256B92">
            <w:pPr>
              <w:spacing w:before="20" w:after="20"/>
              <w:jc w:val="right"/>
              <w:rPr>
                <w:noProof/>
                <w:sz w:val="20"/>
              </w:rPr>
            </w:pPr>
          </w:p>
        </w:tc>
        <w:tc>
          <w:tcPr>
            <w:tcW w:w="868" w:type="dxa"/>
            <w:vAlign w:val="center"/>
          </w:tcPr>
          <w:p w:rsidR="00256B92" w:rsidRPr="00DE2282" w:rsidRDefault="00256B92" w:rsidP="00256B92">
            <w:pPr>
              <w:spacing w:before="20" w:after="20"/>
              <w:jc w:val="right"/>
              <w:rPr>
                <w:b/>
                <w:noProof/>
                <w:sz w:val="20"/>
              </w:rPr>
            </w:pPr>
          </w:p>
        </w:tc>
        <w:tc>
          <w:tcPr>
            <w:tcW w:w="1777" w:type="dxa"/>
            <w:tcBorders>
              <w:right w:val="single" w:sz="4" w:space="0" w:color="auto"/>
            </w:tcBorders>
            <w:vAlign w:val="center"/>
          </w:tcPr>
          <w:p w:rsidR="00256B92" w:rsidRPr="00DE2282" w:rsidRDefault="00256B92" w:rsidP="00256B92">
            <w:pPr>
              <w:spacing w:before="20" w:after="20"/>
              <w:jc w:val="right"/>
              <w:rPr>
                <w:b/>
                <w:noProof/>
                <w:sz w:val="20"/>
              </w:rPr>
            </w:pPr>
            <w:r w:rsidRPr="00DE2282">
              <w:rPr>
                <w:b/>
                <w:noProof/>
                <w:sz w:val="20"/>
              </w:rPr>
              <w:t>121 020</w:t>
            </w:r>
          </w:p>
        </w:tc>
      </w:tr>
      <w:tr w:rsidR="00256B92" w:rsidRPr="00DE2282" w:rsidTr="0006399F">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rsidR="00256B92" w:rsidRPr="00DE2282" w:rsidRDefault="00256B92" w:rsidP="00256B92">
            <w:pPr>
              <w:spacing w:beforeLines="20" w:before="48" w:afterLines="20" w:after="48"/>
              <w:rPr>
                <w:noProof/>
              </w:rPr>
            </w:pPr>
            <w:r w:rsidRPr="00DE2282">
              <w:rPr>
                <w:noProof/>
                <w:sz w:val="21"/>
              </w:rPr>
              <w:t xml:space="preserve"> TOTAL de los créditos de carácter administrativo financiados mediante la dotación de programas específicos (todas las rúbricas operativas)</w:t>
            </w:r>
          </w:p>
        </w:tc>
        <w:tc>
          <w:tcPr>
            <w:tcW w:w="654" w:type="dxa"/>
            <w:vAlign w:val="center"/>
          </w:tcPr>
          <w:p w:rsidR="00256B92" w:rsidRPr="00DE2282" w:rsidRDefault="00256B92" w:rsidP="00256B92">
            <w:pPr>
              <w:rPr>
                <w:noProof/>
              </w:rPr>
            </w:pPr>
          </w:p>
          <w:p w:rsidR="00256B92" w:rsidRPr="00DE2282" w:rsidRDefault="00256B92" w:rsidP="00256B92">
            <w:pPr>
              <w:spacing w:beforeLines="20" w:before="48" w:afterLines="20" w:after="48"/>
              <w:jc w:val="center"/>
              <w:rPr>
                <w:noProof/>
                <w:sz w:val="14"/>
              </w:rPr>
            </w:pPr>
            <w:r w:rsidRPr="00DE2282">
              <w:rPr>
                <w:noProof/>
                <w:sz w:val="14"/>
              </w:rPr>
              <w:t>(6)</w:t>
            </w:r>
          </w:p>
        </w:tc>
        <w:tc>
          <w:tcPr>
            <w:tcW w:w="868" w:type="dxa"/>
            <w:vAlign w:val="center"/>
          </w:tcPr>
          <w:p w:rsidR="00256B92" w:rsidRPr="00DE2282" w:rsidRDefault="00256B92" w:rsidP="00256B92">
            <w:pPr>
              <w:spacing w:before="20" w:after="20"/>
              <w:jc w:val="right"/>
              <w:rPr>
                <w:b/>
                <w:noProof/>
                <w:sz w:val="20"/>
              </w:rPr>
            </w:pPr>
          </w:p>
        </w:tc>
        <w:tc>
          <w:tcPr>
            <w:tcW w:w="868" w:type="dxa"/>
            <w:vAlign w:val="center"/>
          </w:tcPr>
          <w:p w:rsidR="00256B92" w:rsidRPr="00DE2282" w:rsidRDefault="00256B92" w:rsidP="00256B92">
            <w:pPr>
              <w:spacing w:before="20" w:after="20"/>
              <w:jc w:val="right"/>
              <w:rPr>
                <w:b/>
                <w:noProof/>
                <w:sz w:val="20"/>
              </w:rPr>
            </w:pPr>
          </w:p>
        </w:tc>
        <w:tc>
          <w:tcPr>
            <w:tcW w:w="868" w:type="dxa"/>
            <w:vAlign w:val="center"/>
          </w:tcPr>
          <w:p w:rsidR="00256B92" w:rsidRPr="00DE2282" w:rsidRDefault="00256B92" w:rsidP="00256B92">
            <w:pPr>
              <w:spacing w:before="20" w:after="20"/>
              <w:jc w:val="right"/>
              <w:rPr>
                <w:b/>
                <w:noProof/>
                <w:sz w:val="20"/>
              </w:rPr>
            </w:pPr>
          </w:p>
        </w:tc>
        <w:tc>
          <w:tcPr>
            <w:tcW w:w="868" w:type="dxa"/>
            <w:vAlign w:val="center"/>
          </w:tcPr>
          <w:p w:rsidR="00256B92" w:rsidRPr="00DE2282" w:rsidRDefault="00256B92" w:rsidP="00256B92">
            <w:pPr>
              <w:spacing w:before="20" w:after="20"/>
              <w:jc w:val="right"/>
              <w:rPr>
                <w:b/>
                <w:noProof/>
                <w:sz w:val="20"/>
              </w:rPr>
            </w:pPr>
          </w:p>
        </w:tc>
        <w:tc>
          <w:tcPr>
            <w:tcW w:w="868" w:type="dxa"/>
            <w:vAlign w:val="center"/>
          </w:tcPr>
          <w:p w:rsidR="00256B92" w:rsidRPr="00DE2282" w:rsidRDefault="00256B92" w:rsidP="00256B92">
            <w:pPr>
              <w:spacing w:before="20" w:after="20"/>
              <w:jc w:val="right"/>
              <w:rPr>
                <w:b/>
                <w:noProof/>
                <w:sz w:val="20"/>
              </w:rPr>
            </w:pPr>
          </w:p>
        </w:tc>
        <w:tc>
          <w:tcPr>
            <w:tcW w:w="868" w:type="dxa"/>
            <w:vAlign w:val="center"/>
          </w:tcPr>
          <w:p w:rsidR="00256B92" w:rsidRPr="00DE2282" w:rsidRDefault="00256B92" w:rsidP="00256B92">
            <w:pPr>
              <w:spacing w:before="20" w:after="20"/>
              <w:jc w:val="right"/>
              <w:rPr>
                <w:b/>
                <w:noProof/>
                <w:sz w:val="20"/>
              </w:rPr>
            </w:pPr>
          </w:p>
        </w:tc>
        <w:tc>
          <w:tcPr>
            <w:tcW w:w="868" w:type="dxa"/>
            <w:vAlign w:val="center"/>
          </w:tcPr>
          <w:p w:rsidR="00256B92" w:rsidRPr="00DE2282" w:rsidRDefault="00256B92" w:rsidP="00256B92">
            <w:pPr>
              <w:spacing w:before="20" w:after="20"/>
              <w:jc w:val="right"/>
              <w:rPr>
                <w:b/>
                <w:noProof/>
                <w:sz w:val="20"/>
              </w:rPr>
            </w:pPr>
          </w:p>
        </w:tc>
        <w:tc>
          <w:tcPr>
            <w:tcW w:w="1777" w:type="dxa"/>
            <w:vAlign w:val="center"/>
          </w:tcPr>
          <w:p w:rsidR="00256B92" w:rsidRPr="00DE2282" w:rsidRDefault="00256B92" w:rsidP="00256B92">
            <w:pPr>
              <w:spacing w:before="20" w:after="20"/>
              <w:jc w:val="right"/>
              <w:rPr>
                <w:b/>
                <w:noProof/>
                <w:sz w:val="20"/>
              </w:rPr>
            </w:pPr>
          </w:p>
        </w:tc>
      </w:tr>
      <w:tr w:rsidR="00256B92" w:rsidRPr="00DE2282" w:rsidTr="0006399F">
        <w:tc>
          <w:tcPr>
            <w:tcW w:w="3960" w:type="dxa"/>
            <w:vMerge w:val="restart"/>
            <w:tcBorders>
              <w:top w:val="single" w:sz="4" w:space="0" w:color="FF0000"/>
              <w:left w:val="single" w:sz="4" w:space="0" w:color="auto"/>
              <w:bottom w:val="single" w:sz="4" w:space="0" w:color="FF0000"/>
            </w:tcBorders>
            <w:shd w:val="thinDiagStripe" w:color="C0C0C0" w:fill="auto"/>
            <w:vAlign w:val="center"/>
          </w:tcPr>
          <w:p w:rsidR="00256B92" w:rsidRPr="00DE2282" w:rsidRDefault="00256B92" w:rsidP="00256B92">
            <w:pPr>
              <w:jc w:val="center"/>
              <w:rPr>
                <w:b/>
                <w:noProof/>
              </w:rPr>
            </w:pPr>
            <w:r w:rsidRPr="00DE2282">
              <w:rPr>
                <w:b/>
                <w:noProof/>
                <w:sz w:val="22"/>
              </w:rPr>
              <w:t xml:space="preserve">TOTAL de los créditos </w:t>
            </w:r>
            <w:r w:rsidRPr="00DE2282">
              <w:rPr>
                <w:noProof/>
                <w:sz w:val="22"/>
              </w:rPr>
              <w:br/>
            </w:r>
            <w:r w:rsidRPr="00DE2282">
              <w:rPr>
                <w:b/>
                <w:noProof/>
                <w:sz w:val="22"/>
              </w:rPr>
              <w:t>correspondientes a las RÚBRICAS 1 a 6</w:t>
            </w:r>
            <w:r w:rsidRPr="00DE2282">
              <w:rPr>
                <w:noProof/>
                <w:sz w:val="22"/>
              </w:rPr>
              <w:br/>
              <w:t>del marco financiero plurianual</w:t>
            </w:r>
            <w:r w:rsidRPr="00DE2282">
              <w:rPr>
                <w:noProof/>
                <w:sz w:val="22"/>
              </w:rPr>
              <w:br/>
            </w:r>
            <w:r w:rsidRPr="00DE2282">
              <w:rPr>
                <w:noProof/>
                <w:sz w:val="20"/>
              </w:rPr>
              <w:t>(Importe de referencia)</w:t>
            </w:r>
          </w:p>
        </w:tc>
        <w:tc>
          <w:tcPr>
            <w:tcW w:w="1440" w:type="dxa"/>
            <w:vAlign w:val="center"/>
          </w:tcPr>
          <w:p w:rsidR="00256B92" w:rsidRPr="00DE2282" w:rsidRDefault="00256B92" w:rsidP="00256B92">
            <w:pPr>
              <w:rPr>
                <w:noProof/>
                <w:sz w:val="18"/>
              </w:rPr>
            </w:pPr>
            <w:r w:rsidRPr="00DE2282">
              <w:rPr>
                <w:noProof/>
                <w:sz w:val="18"/>
              </w:rPr>
              <w:t>Créditos de compromiso</w:t>
            </w:r>
          </w:p>
        </w:tc>
        <w:tc>
          <w:tcPr>
            <w:tcW w:w="654" w:type="dxa"/>
            <w:vAlign w:val="center"/>
          </w:tcPr>
          <w:p w:rsidR="00256B92" w:rsidRPr="00DE2282" w:rsidRDefault="00256B92" w:rsidP="00256B92">
            <w:pPr>
              <w:jc w:val="center"/>
              <w:rPr>
                <w:noProof/>
                <w:sz w:val="14"/>
              </w:rPr>
            </w:pPr>
            <w:r w:rsidRPr="00DE2282">
              <w:rPr>
                <w:noProof/>
                <w:sz w:val="14"/>
              </w:rPr>
              <w:t>=4+6</w:t>
            </w:r>
          </w:p>
        </w:tc>
        <w:tc>
          <w:tcPr>
            <w:tcW w:w="868" w:type="dxa"/>
            <w:vAlign w:val="center"/>
          </w:tcPr>
          <w:p w:rsidR="00256B92" w:rsidRPr="00DE2282" w:rsidRDefault="00256B92" w:rsidP="00256B92">
            <w:pPr>
              <w:spacing w:before="20" w:after="20"/>
              <w:jc w:val="right"/>
              <w:rPr>
                <w:noProof/>
                <w:sz w:val="20"/>
              </w:rPr>
            </w:pPr>
            <w:r w:rsidRPr="00DE2282">
              <w:rPr>
                <w:noProof/>
                <w:sz w:val="20"/>
              </w:rPr>
              <w:t>121 020</w:t>
            </w:r>
          </w:p>
        </w:tc>
        <w:tc>
          <w:tcPr>
            <w:tcW w:w="868" w:type="dxa"/>
            <w:vAlign w:val="center"/>
          </w:tcPr>
          <w:p w:rsidR="00256B92" w:rsidRPr="00DE2282" w:rsidRDefault="00256B92" w:rsidP="00256B92">
            <w:pPr>
              <w:spacing w:before="20" w:after="20"/>
              <w:jc w:val="right"/>
              <w:rPr>
                <w:noProof/>
                <w:sz w:val="20"/>
              </w:rPr>
            </w:pPr>
          </w:p>
        </w:tc>
        <w:tc>
          <w:tcPr>
            <w:tcW w:w="868" w:type="dxa"/>
            <w:vAlign w:val="center"/>
          </w:tcPr>
          <w:p w:rsidR="00256B92" w:rsidRPr="00DE2282" w:rsidRDefault="00256B92" w:rsidP="00256B92">
            <w:pPr>
              <w:spacing w:before="20" w:after="20"/>
              <w:jc w:val="right"/>
              <w:rPr>
                <w:noProof/>
                <w:sz w:val="20"/>
              </w:rPr>
            </w:pPr>
          </w:p>
        </w:tc>
        <w:tc>
          <w:tcPr>
            <w:tcW w:w="868" w:type="dxa"/>
            <w:vAlign w:val="center"/>
          </w:tcPr>
          <w:p w:rsidR="00256B92" w:rsidRPr="00DE2282" w:rsidRDefault="00256B92" w:rsidP="00256B92">
            <w:pPr>
              <w:spacing w:before="20" w:after="20"/>
              <w:jc w:val="right"/>
              <w:rPr>
                <w:noProof/>
                <w:sz w:val="20"/>
              </w:rPr>
            </w:pPr>
          </w:p>
        </w:tc>
        <w:tc>
          <w:tcPr>
            <w:tcW w:w="868" w:type="dxa"/>
            <w:vAlign w:val="center"/>
          </w:tcPr>
          <w:p w:rsidR="00256B92" w:rsidRPr="00DE2282" w:rsidRDefault="00256B92" w:rsidP="00256B92">
            <w:pPr>
              <w:spacing w:before="20" w:after="20"/>
              <w:jc w:val="right"/>
              <w:rPr>
                <w:noProof/>
                <w:sz w:val="20"/>
              </w:rPr>
            </w:pPr>
          </w:p>
        </w:tc>
        <w:tc>
          <w:tcPr>
            <w:tcW w:w="868" w:type="dxa"/>
            <w:vAlign w:val="center"/>
          </w:tcPr>
          <w:p w:rsidR="00256B92" w:rsidRPr="00DE2282" w:rsidRDefault="00256B92" w:rsidP="00256B92">
            <w:pPr>
              <w:spacing w:before="20" w:after="20"/>
              <w:jc w:val="right"/>
              <w:rPr>
                <w:noProof/>
                <w:sz w:val="20"/>
              </w:rPr>
            </w:pPr>
          </w:p>
        </w:tc>
        <w:tc>
          <w:tcPr>
            <w:tcW w:w="868" w:type="dxa"/>
            <w:vAlign w:val="center"/>
          </w:tcPr>
          <w:p w:rsidR="00256B92" w:rsidRPr="00DE2282" w:rsidRDefault="00256B92" w:rsidP="00256B92">
            <w:pPr>
              <w:spacing w:before="20" w:after="20"/>
              <w:jc w:val="right"/>
              <w:rPr>
                <w:b/>
                <w:noProof/>
                <w:sz w:val="20"/>
              </w:rPr>
            </w:pPr>
          </w:p>
        </w:tc>
        <w:tc>
          <w:tcPr>
            <w:tcW w:w="1777" w:type="dxa"/>
            <w:tcBorders>
              <w:right w:val="single" w:sz="4" w:space="0" w:color="auto"/>
            </w:tcBorders>
            <w:vAlign w:val="center"/>
          </w:tcPr>
          <w:p w:rsidR="00256B92" w:rsidRPr="00DE2282" w:rsidRDefault="00256B92" w:rsidP="00256B92">
            <w:pPr>
              <w:spacing w:before="20" w:after="20"/>
              <w:jc w:val="right"/>
              <w:rPr>
                <w:b/>
                <w:noProof/>
                <w:sz w:val="20"/>
              </w:rPr>
            </w:pPr>
            <w:r w:rsidRPr="00DE2282">
              <w:rPr>
                <w:b/>
                <w:noProof/>
                <w:sz w:val="20"/>
              </w:rPr>
              <w:t>121 020</w:t>
            </w:r>
          </w:p>
        </w:tc>
      </w:tr>
      <w:tr w:rsidR="00256B92" w:rsidRPr="00DE2282" w:rsidTr="0006399F">
        <w:tc>
          <w:tcPr>
            <w:tcW w:w="3960" w:type="dxa"/>
            <w:vMerge/>
            <w:tcBorders>
              <w:top w:val="single" w:sz="4" w:space="0" w:color="FF0000"/>
              <w:left w:val="single" w:sz="4" w:space="0" w:color="auto"/>
              <w:bottom w:val="single" w:sz="4" w:space="0" w:color="auto"/>
            </w:tcBorders>
            <w:shd w:val="thinDiagStripe" w:color="C0C0C0" w:fill="auto"/>
          </w:tcPr>
          <w:p w:rsidR="00256B92" w:rsidRPr="00DE2282" w:rsidRDefault="00256B92" w:rsidP="00256B92">
            <w:pPr>
              <w:rPr>
                <w:noProof/>
                <w:sz w:val="20"/>
              </w:rPr>
            </w:pPr>
          </w:p>
        </w:tc>
        <w:tc>
          <w:tcPr>
            <w:tcW w:w="1440" w:type="dxa"/>
            <w:tcBorders>
              <w:bottom w:val="single" w:sz="4" w:space="0" w:color="auto"/>
            </w:tcBorders>
            <w:vAlign w:val="center"/>
          </w:tcPr>
          <w:p w:rsidR="00256B92" w:rsidRPr="00DE2282" w:rsidRDefault="00256B92" w:rsidP="00256B92">
            <w:pPr>
              <w:rPr>
                <w:noProof/>
                <w:sz w:val="18"/>
              </w:rPr>
            </w:pPr>
            <w:r w:rsidRPr="00DE2282">
              <w:rPr>
                <w:noProof/>
                <w:sz w:val="18"/>
              </w:rPr>
              <w:t>Créditos de pago</w:t>
            </w:r>
          </w:p>
        </w:tc>
        <w:tc>
          <w:tcPr>
            <w:tcW w:w="654" w:type="dxa"/>
            <w:tcBorders>
              <w:bottom w:val="single" w:sz="4" w:space="0" w:color="auto"/>
            </w:tcBorders>
            <w:vAlign w:val="center"/>
          </w:tcPr>
          <w:p w:rsidR="00256B92" w:rsidRPr="00DE2282" w:rsidRDefault="00256B92" w:rsidP="00256B92">
            <w:pPr>
              <w:jc w:val="center"/>
              <w:rPr>
                <w:noProof/>
                <w:sz w:val="14"/>
              </w:rPr>
            </w:pPr>
            <w:r w:rsidRPr="00DE2282">
              <w:rPr>
                <w:noProof/>
                <w:sz w:val="14"/>
              </w:rPr>
              <w:t>=5+6</w:t>
            </w:r>
          </w:p>
        </w:tc>
        <w:tc>
          <w:tcPr>
            <w:tcW w:w="868" w:type="dxa"/>
            <w:tcBorders>
              <w:bottom w:val="single" w:sz="4" w:space="0" w:color="auto"/>
            </w:tcBorders>
            <w:vAlign w:val="center"/>
          </w:tcPr>
          <w:p w:rsidR="00256B92" w:rsidRPr="00DE2282" w:rsidRDefault="00256B92" w:rsidP="00256B92">
            <w:pPr>
              <w:spacing w:before="20" w:after="20"/>
              <w:jc w:val="right"/>
              <w:rPr>
                <w:noProof/>
                <w:sz w:val="20"/>
              </w:rPr>
            </w:pPr>
            <w:r w:rsidRPr="00DE2282">
              <w:rPr>
                <w:noProof/>
                <w:sz w:val="20"/>
              </w:rPr>
              <w:t>24 204</w:t>
            </w:r>
          </w:p>
        </w:tc>
        <w:tc>
          <w:tcPr>
            <w:tcW w:w="868" w:type="dxa"/>
            <w:tcBorders>
              <w:bottom w:val="single" w:sz="4" w:space="0" w:color="auto"/>
            </w:tcBorders>
            <w:vAlign w:val="center"/>
          </w:tcPr>
          <w:p w:rsidR="00256B92" w:rsidRPr="00DE2282" w:rsidRDefault="00256B92" w:rsidP="00256B92">
            <w:pPr>
              <w:spacing w:before="20" w:after="20"/>
              <w:jc w:val="right"/>
              <w:rPr>
                <w:noProof/>
                <w:sz w:val="20"/>
              </w:rPr>
            </w:pPr>
            <w:r w:rsidRPr="00DE2282">
              <w:rPr>
                <w:noProof/>
                <w:sz w:val="20"/>
              </w:rPr>
              <w:t>24 204</w:t>
            </w:r>
          </w:p>
        </w:tc>
        <w:tc>
          <w:tcPr>
            <w:tcW w:w="868" w:type="dxa"/>
            <w:tcBorders>
              <w:bottom w:val="single" w:sz="4" w:space="0" w:color="auto"/>
            </w:tcBorders>
            <w:vAlign w:val="center"/>
          </w:tcPr>
          <w:p w:rsidR="00256B92" w:rsidRPr="00DE2282" w:rsidRDefault="00256B92" w:rsidP="00256B92">
            <w:pPr>
              <w:spacing w:before="20" w:after="20"/>
              <w:jc w:val="right"/>
              <w:rPr>
                <w:noProof/>
                <w:sz w:val="20"/>
              </w:rPr>
            </w:pPr>
            <w:r w:rsidRPr="00DE2282">
              <w:rPr>
                <w:noProof/>
                <w:sz w:val="20"/>
              </w:rPr>
              <w:t>24 204</w:t>
            </w:r>
          </w:p>
        </w:tc>
        <w:tc>
          <w:tcPr>
            <w:tcW w:w="868" w:type="dxa"/>
            <w:tcBorders>
              <w:bottom w:val="single" w:sz="4" w:space="0" w:color="auto"/>
            </w:tcBorders>
            <w:vAlign w:val="center"/>
          </w:tcPr>
          <w:p w:rsidR="00256B92" w:rsidRPr="00DE2282" w:rsidRDefault="00256B92" w:rsidP="00256B92">
            <w:pPr>
              <w:spacing w:before="20" w:after="20"/>
              <w:jc w:val="right"/>
              <w:rPr>
                <w:noProof/>
                <w:sz w:val="20"/>
              </w:rPr>
            </w:pPr>
            <w:r w:rsidRPr="00DE2282">
              <w:rPr>
                <w:noProof/>
                <w:sz w:val="20"/>
              </w:rPr>
              <w:t>24 204</w:t>
            </w:r>
          </w:p>
        </w:tc>
        <w:tc>
          <w:tcPr>
            <w:tcW w:w="868" w:type="dxa"/>
            <w:tcBorders>
              <w:bottom w:val="single" w:sz="4" w:space="0" w:color="auto"/>
            </w:tcBorders>
            <w:vAlign w:val="center"/>
          </w:tcPr>
          <w:p w:rsidR="00256B92" w:rsidRPr="00DE2282" w:rsidRDefault="00256B92" w:rsidP="00256B92">
            <w:pPr>
              <w:spacing w:before="20" w:after="20"/>
              <w:jc w:val="right"/>
              <w:rPr>
                <w:noProof/>
                <w:sz w:val="20"/>
              </w:rPr>
            </w:pPr>
            <w:r w:rsidRPr="00DE2282">
              <w:rPr>
                <w:noProof/>
                <w:sz w:val="20"/>
              </w:rPr>
              <w:t>24 204</w:t>
            </w:r>
          </w:p>
        </w:tc>
        <w:tc>
          <w:tcPr>
            <w:tcW w:w="868" w:type="dxa"/>
            <w:tcBorders>
              <w:bottom w:val="single" w:sz="4" w:space="0" w:color="auto"/>
            </w:tcBorders>
            <w:vAlign w:val="center"/>
          </w:tcPr>
          <w:p w:rsidR="00256B92" w:rsidRPr="00DE2282" w:rsidRDefault="00256B92" w:rsidP="00256B92">
            <w:pPr>
              <w:spacing w:before="20" w:after="20"/>
              <w:jc w:val="right"/>
              <w:rPr>
                <w:noProof/>
                <w:sz w:val="20"/>
              </w:rPr>
            </w:pPr>
          </w:p>
        </w:tc>
        <w:tc>
          <w:tcPr>
            <w:tcW w:w="868" w:type="dxa"/>
            <w:tcBorders>
              <w:bottom w:val="single" w:sz="4" w:space="0" w:color="auto"/>
            </w:tcBorders>
            <w:vAlign w:val="center"/>
          </w:tcPr>
          <w:p w:rsidR="00256B92" w:rsidRPr="00DE2282" w:rsidRDefault="00256B92" w:rsidP="00256B92">
            <w:pPr>
              <w:spacing w:before="20" w:after="20"/>
              <w:jc w:val="right"/>
              <w:rPr>
                <w:b/>
                <w:noProof/>
                <w:sz w:val="20"/>
              </w:rPr>
            </w:pPr>
          </w:p>
        </w:tc>
        <w:tc>
          <w:tcPr>
            <w:tcW w:w="1777" w:type="dxa"/>
            <w:tcBorders>
              <w:bottom w:val="single" w:sz="4" w:space="0" w:color="auto"/>
              <w:right w:val="single" w:sz="4" w:space="0" w:color="auto"/>
            </w:tcBorders>
            <w:vAlign w:val="center"/>
          </w:tcPr>
          <w:p w:rsidR="00256B92" w:rsidRPr="00DE2282" w:rsidRDefault="00256B92" w:rsidP="00256B92">
            <w:pPr>
              <w:spacing w:before="20" w:after="20"/>
              <w:jc w:val="right"/>
              <w:rPr>
                <w:b/>
                <w:noProof/>
                <w:sz w:val="20"/>
              </w:rPr>
            </w:pPr>
            <w:r w:rsidRPr="00DE2282">
              <w:rPr>
                <w:b/>
                <w:noProof/>
                <w:sz w:val="20"/>
              </w:rPr>
              <w:t>121 020</w:t>
            </w:r>
          </w:p>
        </w:tc>
      </w:tr>
    </w:tbl>
    <w:p w:rsidR="00256B92" w:rsidRPr="00DE2282" w:rsidRDefault="00256B92" w:rsidP="00256B92">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EB1AD0" w:rsidRPr="00DE2282" w:rsidTr="00E17D96">
        <w:trPr>
          <w:jc w:val="center"/>
        </w:trPr>
        <w:tc>
          <w:tcPr>
            <w:tcW w:w="4744" w:type="dxa"/>
            <w:shd w:val="thinDiagStripe" w:color="C0C0C0" w:fill="auto"/>
            <w:vAlign w:val="center"/>
          </w:tcPr>
          <w:p w:rsidR="00EB1AD0" w:rsidRPr="00DE2282" w:rsidRDefault="00EB1AD0" w:rsidP="00E17D96">
            <w:pPr>
              <w:spacing w:before="60" w:after="60"/>
              <w:jc w:val="center"/>
              <w:rPr>
                <w:b/>
                <w:noProof/>
              </w:rPr>
            </w:pPr>
            <w:r w:rsidRPr="00DE2282">
              <w:rPr>
                <w:noProof/>
              </w:rPr>
              <w:br w:type="page"/>
            </w:r>
            <w:r w:rsidRPr="00DE2282">
              <w:rPr>
                <w:b/>
                <w:noProof/>
                <w:sz w:val="22"/>
              </w:rPr>
              <w:t xml:space="preserve">Rúbrica del marco financiero </w:t>
            </w:r>
            <w:r w:rsidRPr="00DE2282">
              <w:rPr>
                <w:noProof/>
                <w:sz w:val="22"/>
              </w:rPr>
              <w:br/>
            </w:r>
            <w:r w:rsidRPr="00DE2282">
              <w:rPr>
                <w:b/>
                <w:noProof/>
                <w:sz w:val="22"/>
              </w:rPr>
              <w:t xml:space="preserve">plurianual </w:t>
            </w:r>
          </w:p>
        </w:tc>
        <w:tc>
          <w:tcPr>
            <w:tcW w:w="1080" w:type="dxa"/>
            <w:shd w:val="thinDiagStripe" w:color="C0C0C0" w:fill="auto"/>
            <w:vAlign w:val="center"/>
          </w:tcPr>
          <w:p w:rsidR="00EB1AD0" w:rsidRPr="00DE2282" w:rsidRDefault="00EB1AD0" w:rsidP="00E17D96">
            <w:pPr>
              <w:spacing w:before="60" w:after="60"/>
              <w:jc w:val="center"/>
              <w:rPr>
                <w:noProof/>
              </w:rPr>
            </w:pPr>
            <w:r w:rsidRPr="00DE2282">
              <w:rPr>
                <w:b/>
                <w:noProof/>
                <w:sz w:val="22"/>
              </w:rPr>
              <w:t>7</w:t>
            </w:r>
          </w:p>
        </w:tc>
        <w:tc>
          <w:tcPr>
            <w:tcW w:w="7817" w:type="dxa"/>
            <w:vAlign w:val="center"/>
          </w:tcPr>
          <w:p w:rsidR="00EB1AD0" w:rsidRPr="00DE2282" w:rsidRDefault="00EB1AD0" w:rsidP="00E17D96">
            <w:pPr>
              <w:spacing w:before="60" w:after="60"/>
              <w:rPr>
                <w:noProof/>
              </w:rPr>
            </w:pPr>
            <w:r w:rsidRPr="00DE2282">
              <w:rPr>
                <w:noProof/>
                <w:sz w:val="22"/>
              </w:rPr>
              <w:t>«Gastos administrativos»</w:t>
            </w:r>
          </w:p>
        </w:tc>
      </w:tr>
    </w:tbl>
    <w:p w:rsidR="00256B92" w:rsidRPr="00DE2282" w:rsidRDefault="00256B92" w:rsidP="00256B92">
      <w:pPr>
        <w:jc w:val="left"/>
        <w:rPr>
          <w:noProof/>
          <w:sz w:val="20"/>
        </w:rPr>
      </w:pPr>
      <w:r w:rsidRPr="00DE2282">
        <w:rPr>
          <w:noProof/>
        </w:rPr>
        <w:t xml:space="preserve">Esta sección debe rellenarse mediante «los datos presupuestarios de carácter administrativo» introducidos primeramente en el </w:t>
      </w:r>
      <w:hyperlink r:id="rId20" w:history="1">
        <w:r w:rsidRPr="00DE2282">
          <w:rPr>
            <w:rStyle w:val="Hyperlink"/>
            <w:noProof/>
          </w:rPr>
          <w:t>anexo de la Ficha de Financiación Legislativa</w:t>
        </w:r>
      </w:hyperlink>
      <w:r w:rsidRPr="00DE2282">
        <w:rPr>
          <w:noProof/>
        </w:rPr>
        <w:t xml:space="preserve"> (anexo 5 de la Decisión de la Comisión sobre las normas internas de ejecución de la sección de la Comisión del presupuesto general de la Unión Europea), que se carga en DECIDE a efectos de consulta entre servicios.</w:t>
      </w:r>
    </w:p>
    <w:p w:rsidR="00EB1AD0" w:rsidRPr="00DE2282" w:rsidRDefault="00EB1AD0" w:rsidP="00EB1AD0">
      <w:pPr>
        <w:jc w:val="right"/>
        <w:rPr>
          <w:noProof/>
          <w:sz w:val="20"/>
        </w:rPr>
      </w:pPr>
      <w:r w:rsidRPr="00DE2282">
        <w:rPr>
          <w:noProof/>
          <w:sz w:val="20"/>
        </w:rPr>
        <w:t>En millones EUR (al tercer decimal)</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EB1AD0" w:rsidRPr="00DE2282" w:rsidTr="00E17D96">
        <w:tc>
          <w:tcPr>
            <w:tcW w:w="3960" w:type="dxa"/>
            <w:tcBorders>
              <w:top w:val="nil"/>
              <w:left w:val="nil"/>
              <w:right w:val="nil"/>
            </w:tcBorders>
            <w:vAlign w:val="center"/>
          </w:tcPr>
          <w:p w:rsidR="00EB1AD0" w:rsidRPr="00DE2282" w:rsidRDefault="00EB1AD0" w:rsidP="00E17D96">
            <w:pPr>
              <w:jc w:val="center"/>
              <w:rPr>
                <w:noProof/>
              </w:rPr>
            </w:pPr>
          </w:p>
        </w:tc>
        <w:tc>
          <w:tcPr>
            <w:tcW w:w="1560" w:type="dxa"/>
            <w:tcBorders>
              <w:top w:val="nil"/>
              <w:left w:val="nil"/>
              <w:right w:val="nil"/>
            </w:tcBorders>
          </w:tcPr>
          <w:p w:rsidR="00EB1AD0" w:rsidRPr="00DE2282" w:rsidRDefault="00EB1AD0" w:rsidP="00E17D96">
            <w:pPr>
              <w:rPr>
                <w:noProof/>
                <w:sz w:val="20"/>
              </w:rPr>
            </w:pPr>
          </w:p>
        </w:tc>
        <w:tc>
          <w:tcPr>
            <w:tcW w:w="534" w:type="dxa"/>
            <w:tcBorders>
              <w:top w:val="nil"/>
              <w:left w:val="nil"/>
            </w:tcBorders>
          </w:tcPr>
          <w:p w:rsidR="00EB1AD0" w:rsidRPr="00DE2282" w:rsidRDefault="00EB1AD0" w:rsidP="00E17D96">
            <w:pPr>
              <w:jc w:val="center"/>
              <w:rPr>
                <w:noProof/>
                <w:sz w:val="20"/>
              </w:rPr>
            </w:pPr>
          </w:p>
        </w:tc>
        <w:tc>
          <w:tcPr>
            <w:tcW w:w="868" w:type="dxa"/>
            <w:vAlign w:val="center"/>
          </w:tcPr>
          <w:p w:rsidR="00EB1AD0" w:rsidRPr="00DE2282" w:rsidRDefault="00EB1AD0" w:rsidP="00E17D96">
            <w:pPr>
              <w:jc w:val="center"/>
              <w:rPr>
                <w:noProof/>
                <w:sz w:val="20"/>
              </w:rPr>
            </w:pPr>
            <w:r w:rsidRPr="00DE2282">
              <w:rPr>
                <w:noProof/>
                <w:sz w:val="20"/>
              </w:rPr>
              <w:t>Año</w:t>
            </w:r>
            <w:r w:rsidRPr="00DE2282">
              <w:rPr>
                <w:noProof/>
                <w:sz w:val="22"/>
              </w:rPr>
              <w:br/>
            </w:r>
            <w:r w:rsidRPr="00DE2282">
              <w:rPr>
                <w:b/>
                <w:noProof/>
                <w:sz w:val="20"/>
              </w:rPr>
              <w:t>2025</w:t>
            </w:r>
          </w:p>
        </w:tc>
        <w:tc>
          <w:tcPr>
            <w:tcW w:w="868" w:type="dxa"/>
            <w:vAlign w:val="center"/>
          </w:tcPr>
          <w:p w:rsidR="00EB1AD0" w:rsidRPr="00DE2282" w:rsidRDefault="00EB1AD0" w:rsidP="00E17D96">
            <w:pPr>
              <w:jc w:val="center"/>
              <w:rPr>
                <w:noProof/>
                <w:sz w:val="20"/>
              </w:rPr>
            </w:pPr>
            <w:r w:rsidRPr="00DE2282">
              <w:rPr>
                <w:noProof/>
                <w:sz w:val="20"/>
              </w:rPr>
              <w:t>Año</w:t>
            </w:r>
            <w:r w:rsidRPr="00DE2282">
              <w:rPr>
                <w:noProof/>
                <w:sz w:val="22"/>
              </w:rPr>
              <w:br/>
            </w:r>
            <w:r w:rsidRPr="00DE2282">
              <w:rPr>
                <w:b/>
                <w:noProof/>
                <w:sz w:val="20"/>
              </w:rPr>
              <w:t>2026</w:t>
            </w:r>
          </w:p>
        </w:tc>
        <w:tc>
          <w:tcPr>
            <w:tcW w:w="868" w:type="dxa"/>
            <w:vAlign w:val="center"/>
          </w:tcPr>
          <w:p w:rsidR="00EB1AD0" w:rsidRPr="00DE2282" w:rsidRDefault="00EB1AD0" w:rsidP="00E17D96">
            <w:pPr>
              <w:jc w:val="center"/>
              <w:rPr>
                <w:noProof/>
                <w:sz w:val="20"/>
              </w:rPr>
            </w:pPr>
            <w:r w:rsidRPr="00DE2282">
              <w:rPr>
                <w:noProof/>
                <w:sz w:val="20"/>
              </w:rPr>
              <w:t>Año</w:t>
            </w:r>
            <w:r w:rsidRPr="00DE2282">
              <w:rPr>
                <w:noProof/>
                <w:sz w:val="22"/>
              </w:rPr>
              <w:br/>
            </w:r>
            <w:r w:rsidRPr="00DE2282">
              <w:rPr>
                <w:b/>
                <w:noProof/>
                <w:sz w:val="20"/>
              </w:rPr>
              <w:t>2027</w:t>
            </w:r>
          </w:p>
        </w:tc>
        <w:tc>
          <w:tcPr>
            <w:tcW w:w="868" w:type="dxa"/>
            <w:vAlign w:val="center"/>
          </w:tcPr>
          <w:p w:rsidR="00EB1AD0" w:rsidRPr="00DE2282" w:rsidRDefault="00EB1AD0" w:rsidP="00E17D96">
            <w:pPr>
              <w:jc w:val="center"/>
              <w:rPr>
                <w:noProof/>
                <w:sz w:val="20"/>
              </w:rPr>
            </w:pPr>
          </w:p>
        </w:tc>
        <w:tc>
          <w:tcPr>
            <w:tcW w:w="2604" w:type="dxa"/>
            <w:gridSpan w:val="3"/>
            <w:vAlign w:val="center"/>
          </w:tcPr>
          <w:p w:rsidR="00EB1AD0" w:rsidRPr="00DE2282" w:rsidRDefault="00EB1AD0" w:rsidP="00E17D96">
            <w:pPr>
              <w:jc w:val="center"/>
              <w:rPr>
                <w:b/>
                <w:noProof/>
                <w:sz w:val="18"/>
              </w:rPr>
            </w:pPr>
            <w:r w:rsidRPr="00DE2282">
              <w:rPr>
                <w:noProof/>
                <w:sz w:val="18"/>
              </w:rPr>
              <w:t xml:space="preserve">Insertar tantos años como sea necesario para reflejar la duración de la incidencia (véase el punto 1.6) </w:t>
            </w:r>
          </w:p>
        </w:tc>
        <w:tc>
          <w:tcPr>
            <w:tcW w:w="1777" w:type="dxa"/>
            <w:vAlign w:val="center"/>
          </w:tcPr>
          <w:p w:rsidR="00EB1AD0" w:rsidRPr="00DE2282" w:rsidRDefault="00EB1AD0" w:rsidP="00E17D96">
            <w:pPr>
              <w:jc w:val="center"/>
              <w:rPr>
                <w:b/>
                <w:noProof/>
                <w:sz w:val="20"/>
              </w:rPr>
            </w:pPr>
            <w:r w:rsidRPr="00DE2282">
              <w:rPr>
                <w:b/>
                <w:noProof/>
                <w:sz w:val="20"/>
              </w:rPr>
              <w:t>TOTAL</w:t>
            </w:r>
          </w:p>
        </w:tc>
      </w:tr>
      <w:tr w:rsidR="00EB1AD0" w:rsidRPr="00DE2282" w:rsidTr="00E17D96">
        <w:trPr>
          <w:gridAfter w:val="10"/>
          <w:wAfter w:w="9947" w:type="dxa"/>
        </w:trPr>
        <w:tc>
          <w:tcPr>
            <w:tcW w:w="3960" w:type="dxa"/>
            <w:vAlign w:val="center"/>
          </w:tcPr>
          <w:p w:rsidR="00EB1AD0" w:rsidRPr="00DE2282" w:rsidRDefault="00EB1AD0" w:rsidP="00E17D96">
            <w:pPr>
              <w:spacing w:before="60" w:after="60"/>
              <w:jc w:val="center"/>
              <w:rPr>
                <w:noProof/>
              </w:rPr>
            </w:pPr>
            <w:r w:rsidRPr="00DE2282">
              <w:rPr>
                <w:noProof/>
                <w:sz w:val="22"/>
              </w:rPr>
              <w:t>DG: &lt;ECFIN&gt;z</w:t>
            </w:r>
          </w:p>
        </w:tc>
      </w:tr>
      <w:tr w:rsidR="00EB1AD0" w:rsidRPr="00DE2282" w:rsidTr="00E17D96">
        <w:trPr>
          <w:trHeight w:val="313"/>
        </w:trPr>
        <w:tc>
          <w:tcPr>
            <w:tcW w:w="6054" w:type="dxa"/>
            <w:gridSpan w:val="3"/>
            <w:vAlign w:val="center"/>
          </w:tcPr>
          <w:p w:rsidR="00EB1AD0" w:rsidRPr="00DE2282" w:rsidRDefault="00EB1AD0" w:rsidP="00E17D96">
            <w:pPr>
              <w:spacing w:before="20" w:after="20"/>
              <w:rPr>
                <w:noProof/>
                <w:color w:val="000000" w:themeColor="text1"/>
              </w:rPr>
            </w:pPr>
            <w:r w:rsidRPr="00DE2282">
              <w:rPr>
                <w:noProof/>
                <w:color w:val="000000" w:themeColor="text1"/>
                <w:sz w:val="22"/>
              </w:rPr>
              <w:sym w:font="Wingdings" w:char="F09F"/>
            </w:r>
            <w:r w:rsidRPr="00DE2282">
              <w:rPr>
                <w:noProof/>
                <w:color w:val="000000" w:themeColor="text1"/>
                <w:sz w:val="22"/>
              </w:rPr>
              <w:t xml:space="preserve"> Recursos humanos </w:t>
            </w:r>
          </w:p>
        </w:tc>
        <w:tc>
          <w:tcPr>
            <w:tcW w:w="868" w:type="dxa"/>
            <w:vAlign w:val="center"/>
          </w:tcPr>
          <w:p w:rsidR="00EB1AD0" w:rsidRPr="00DE2282" w:rsidRDefault="00EB1AD0" w:rsidP="00E17D96">
            <w:pPr>
              <w:spacing w:before="20" w:after="20"/>
              <w:jc w:val="right"/>
              <w:rPr>
                <w:noProof/>
                <w:color w:val="000000" w:themeColor="text1"/>
                <w:sz w:val="20"/>
              </w:rPr>
            </w:pPr>
          </w:p>
        </w:tc>
        <w:tc>
          <w:tcPr>
            <w:tcW w:w="868" w:type="dxa"/>
            <w:vAlign w:val="center"/>
          </w:tcPr>
          <w:p w:rsidR="00EB1AD0" w:rsidRPr="00DE2282" w:rsidRDefault="00EB1AD0" w:rsidP="00E17D96">
            <w:pPr>
              <w:spacing w:before="20" w:after="20"/>
              <w:jc w:val="right"/>
              <w:rPr>
                <w:noProof/>
                <w:color w:val="000000" w:themeColor="text1"/>
                <w:sz w:val="20"/>
              </w:rPr>
            </w:pPr>
          </w:p>
        </w:tc>
        <w:tc>
          <w:tcPr>
            <w:tcW w:w="868" w:type="dxa"/>
            <w:vAlign w:val="center"/>
          </w:tcPr>
          <w:p w:rsidR="00EB1AD0" w:rsidRPr="00DE2282" w:rsidRDefault="00EB1AD0" w:rsidP="00E17D96">
            <w:pPr>
              <w:spacing w:before="20" w:after="20"/>
              <w:jc w:val="right"/>
              <w:rPr>
                <w:noProof/>
                <w:color w:val="000000" w:themeColor="text1"/>
                <w:sz w:val="20"/>
              </w:rPr>
            </w:pPr>
          </w:p>
        </w:tc>
        <w:tc>
          <w:tcPr>
            <w:tcW w:w="868" w:type="dxa"/>
            <w:vAlign w:val="center"/>
          </w:tcPr>
          <w:p w:rsidR="00EB1AD0" w:rsidRPr="00DE2282" w:rsidRDefault="00EB1AD0" w:rsidP="00E17D96">
            <w:pPr>
              <w:spacing w:before="20" w:after="20"/>
              <w:jc w:val="right"/>
              <w:rPr>
                <w:noProof/>
                <w:color w:val="000000" w:themeColor="text1"/>
                <w:sz w:val="20"/>
              </w:rPr>
            </w:pPr>
          </w:p>
        </w:tc>
        <w:tc>
          <w:tcPr>
            <w:tcW w:w="868" w:type="dxa"/>
            <w:vAlign w:val="center"/>
          </w:tcPr>
          <w:p w:rsidR="00EB1AD0" w:rsidRPr="00DE2282" w:rsidRDefault="00EB1AD0" w:rsidP="00E17D96">
            <w:pPr>
              <w:spacing w:before="20" w:after="20"/>
              <w:jc w:val="right"/>
              <w:rPr>
                <w:noProof/>
                <w:color w:val="000000" w:themeColor="text1"/>
                <w:sz w:val="20"/>
              </w:rPr>
            </w:pPr>
          </w:p>
        </w:tc>
        <w:tc>
          <w:tcPr>
            <w:tcW w:w="868" w:type="dxa"/>
            <w:vAlign w:val="center"/>
          </w:tcPr>
          <w:p w:rsidR="00EB1AD0" w:rsidRPr="00DE2282" w:rsidRDefault="00EB1AD0" w:rsidP="00E17D96">
            <w:pPr>
              <w:spacing w:before="20" w:after="20"/>
              <w:jc w:val="right"/>
              <w:rPr>
                <w:noProof/>
                <w:color w:val="000000" w:themeColor="text1"/>
                <w:sz w:val="20"/>
              </w:rPr>
            </w:pPr>
          </w:p>
        </w:tc>
        <w:tc>
          <w:tcPr>
            <w:tcW w:w="868" w:type="dxa"/>
            <w:vAlign w:val="center"/>
          </w:tcPr>
          <w:p w:rsidR="00EB1AD0" w:rsidRPr="00DE2282" w:rsidRDefault="00EB1AD0" w:rsidP="00E17D96">
            <w:pPr>
              <w:spacing w:before="20" w:after="20"/>
              <w:jc w:val="right"/>
              <w:rPr>
                <w:b/>
                <w:noProof/>
                <w:color w:val="000000" w:themeColor="text1"/>
                <w:sz w:val="20"/>
              </w:rPr>
            </w:pPr>
          </w:p>
        </w:tc>
        <w:tc>
          <w:tcPr>
            <w:tcW w:w="1777" w:type="dxa"/>
            <w:vAlign w:val="center"/>
          </w:tcPr>
          <w:p w:rsidR="00EB1AD0" w:rsidRPr="00DE2282" w:rsidRDefault="00EB1AD0" w:rsidP="00E17D96">
            <w:pPr>
              <w:spacing w:before="20" w:after="20"/>
              <w:jc w:val="right"/>
              <w:rPr>
                <w:b/>
                <w:noProof/>
                <w:color w:val="000000" w:themeColor="text1"/>
                <w:sz w:val="20"/>
              </w:rPr>
            </w:pPr>
          </w:p>
        </w:tc>
      </w:tr>
      <w:tr w:rsidR="00EB1AD0" w:rsidRPr="00DE2282" w:rsidTr="00E17D96">
        <w:trPr>
          <w:trHeight w:val="351"/>
        </w:trPr>
        <w:tc>
          <w:tcPr>
            <w:tcW w:w="6054" w:type="dxa"/>
            <w:gridSpan w:val="3"/>
            <w:vAlign w:val="center"/>
          </w:tcPr>
          <w:p w:rsidR="00EB1AD0" w:rsidRPr="00DE2282" w:rsidRDefault="00EB1AD0" w:rsidP="00E17D96">
            <w:pPr>
              <w:spacing w:before="20" w:after="20"/>
              <w:rPr>
                <w:noProof/>
                <w:color w:val="000000" w:themeColor="text1"/>
              </w:rPr>
            </w:pPr>
            <w:r w:rsidRPr="00DE2282">
              <w:rPr>
                <w:noProof/>
                <w:color w:val="000000" w:themeColor="text1"/>
                <w:sz w:val="22"/>
              </w:rPr>
              <w:sym w:font="Wingdings" w:char="F09F"/>
            </w:r>
            <w:r w:rsidRPr="00DE2282">
              <w:rPr>
                <w:noProof/>
              </w:rPr>
              <w:t xml:space="preserve"> </w:t>
            </w:r>
            <w:r w:rsidRPr="00DE2282">
              <w:rPr>
                <w:noProof/>
                <w:color w:val="000000" w:themeColor="text1"/>
                <w:sz w:val="22"/>
              </w:rPr>
              <w:t xml:space="preserve">Otros gastos administrativos </w:t>
            </w:r>
          </w:p>
        </w:tc>
        <w:tc>
          <w:tcPr>
            <w:tcW w:w="868" w:type="dxa"/>
            <w:vAlign w:val="center"/>
          </w:tcPr>
          <w:p w:rsidR="00EB1AD0" w:rsidRPr="00DE2282" w:rsidRDefault="00EB1AD0" w:rsidP="00E17D96">
            <w:pPr>
              <w:spacing w:before="20" w:after="20"/>
              <w:jc w:val="right"/>
              <w:rPr>
                <w:b/>
                <w:noProof/>
                <w:color w:val="000000" w:themeColor="text1"/>
                <w:sz w:val="20"/>
              </w:rPr>
            </w:pPr>
          </w:p>
        </w:tc>
        <w:tc>
          <w:tcPr>
            <w:tcW w:w="868" w:type="dxa"/>
            <w:vAlign w:val="center"/>
          </w:tcPr>
          <w:p w:rsidR="00EB1AD0" w:rsidRPr="00DE2282" w:rsidRDefault="00EB1AD0" w:rsidP="00E17D96">
            <w:pPr>
              <w:spacing w:before="20" w:after="20"/>
              <w:jc w:val="right"/>
              <w:rPr>
                <w:b/>
                <w:noProof/>
                <w:color w:val="000000" w:themeColor="text1"/>
                <w:sz w:val="20"/>
              </w:rPr>
            </w:pPr>
          </w:p>
        </w:tc>
        <w:tc>
          <w:tcPr>
            <w:tcW w:w="868" w:type="dxa"/>
            <w:vAlign w:val="center"/>
          </w:tcPr>
          <w:p w:rsidR="00EB1AD0" w:rsidRPr="00DE2282" w:rsidRDefault="00EB1AD0" w:rsidP="00E17D96">
            <w:pPr>
              <w:spacing w:before="20" w:after="20"/>
              <w:jc w:val="right"/>
              <w:rPr>
                <w:b/>
                <w:noProof/>
                <w:color w:val="000000" w:themeColor="text1"/>
                <w:sz w:val="20"/>
              </w:rPr>
            </w:pPr>
          </w:p>
        </w:tc>
        <w:tc>
          <w:tcPr>
            <w:tcW w:w="868" w:type="dxa"/>
            <w:vAlign w:val="center"/>
          </w:tcPr>
          <w:p w:rsidR="00EB1AD0" w:rsidRPr="00DE2282" w:rsidRDefault="00EB1AD0" w:rsidP="00E17D96">
            <w:pPr>
              <w:spacing w:before="20" w:after="20"/>
              <w:jc w:val="right"/>
              <w:rPr>
                <w:b/>
                <w:noProof/>
                <w:color w:val="000000" w:themeColor="text1"/>
                <w:sz w:val="20"/>
              </w:rPr>
            </w:pPr>
          </w:p>
        </w:tc>
        <w:tc>
          <w:tcPr>
            <w:tcW w:w="868" w:type="dxa"/>
            <w:vAlign w:val="center"/>
          </w:tcPr>
          <w:p w:rsidR="00EB1AD0" w:rsidRPr="00DE2282" w:rsidRDefault="00EB1AD0" w:rsidP="00E17D96">
            <w:pPr>
              <w:spacing w:before="20" w:after="20"/>
              <w:jc w:val="right"/>
              <w:rPr>
                <w:b/>
                <w:noProof/>
                <w:color w:val="000000" w:themeColor="text1"/>
                <w:sz w:val="20"/>
              </w:rPr>
            </w:pPr>
          </w:p>
        </w:tc>
        <w:tc>
          <w:tcPr>
            <w:tcW w:w="868" w:type="dxa"/>
            <w:vAlign w:val="center"/>
          </w:tcPr>
          <w:p w:rsidR="00EB1AD0" w:rsidRPr="00DE2282" w:rsidRDefault="00EB1AD0" w:rsidP="00E17D96">
            <w:pPr>
              <w:spacing w:before="20" w:after="20"/>
              <w:jc w:val="right"/>
              <w:rPr>
                <w:b/>
                <w:noProof/>
                <w:color w:val="000000" w:themeColor="text1"/>
                <w:sz w:val="20"/>
              </w:rPr>
            </w:pPr>
          </w:p>
        </w:tc>
        <w:tc>
          <w:tcPr>
            <w:tcW w:w="868" w:type="dxa"/>
            <w:vAlign w:val="center"/>
          </w:tcPr>
          <w:p w:rsidR="00EB1AD0" w:rsidRPr="00DE2282" w:rsidRDefault="00EB1AD0" w:rsidP="00E17D96">
            <w:pPr>
              <w:spacing w:before="20" w:after="20"/>
              <w:jc w:val="right"/>
              <w:rPr>
                <w:b/>
                <w:noProof/>
                <w:color w:val="000000" w:themeColor="text1"/>
                <w:sz w:val="20"/>
              </w:rPr>
            </w:pPr>
          </w:p>
        </w:tc>
        <w:tc>
          <w:tcPr>
            <w:tcW w:w="1777" w:type="dxa"/>
            <w:vAlign w:val="center"/>
          </w:tcPr>
          <w:p w:rsidR="00EB1AD0" w:rsidRPr="00DE2282" w:rsidRDefault="00EB1AD0" w:rsidP="00E17D96">
            <w:pPr>
              <w:spacing w:before="20" w:after="20"/>
              <w:jc w:val="right"/>
              <w:rPr>
                <w:b/>
                <w:noProof/>
                <w:color w:val="000000" w:themeColor="text1"/>
                <w:sz w:val="20"/>
              </w:rPr>
            </w:pPr>
          </w:p>
        </w:tc>
      </w:tr>
      <w:tr w:rsidR="00EB1AD0" w:rsidRPr="00DE2282" w:rsidTr="00E17D96">
        <w:tc>
          <w:tcPr>
            <w:tcW w:w="3960" w:type="dxa"/>
            <w:vAlign w:val="center"/>
          </w:tcPr>
          <w:p w:rsidR="00EB1AD0" w:rsidRPr="00DE2282" w:rsidRDefault="00EB1AD0" w:rsidP="00E17D96">
            <w:pPr>
              <w:jc w:val="center"/>
              <w:rPr>
                <w:b/>
                <w:noProof/>
                <w:color w:val="000000" w:themeColor="text1"/>
              </w:rPr>
            </w:pPr>
            <w:r w:rsidRPr="00DE2282">
              <w:rPr>
                <w:b/>
                <w:noProof/>
                <w:color w:val="000000" w:themeColor="text1"/>
                <w:sz w:val="22"/>
              </w:rPr>
              <w:t xml:space="preserve">TOTAL para la DG </w:t>
            </w:r>
            <w:r w:rsidRPr="00DE2282">
              <w:rPr>
                <w:noProof/>
                <w:color w:val="000000" w:themeColor="text1"/>
                <w:sz w:val="22"/>
              </w:rPr>
              <w:t>ECFIN</w:t>
            </w:r>
          </w:p>
        </w:tc>
        <w:tc>
          <w:tcPr>
            <w:tcW w:w="2094" w:type="dxa"/>
            <w:gridSpan w:val="2"/>
            <w:vAlign w:val="center"/>
          </w:tcPr>
          <w:p w:rsidR="00EB1AD0" w:rsidRPr="00DE2282" w:rsidRDefault="00EB1AD0" w:rsidP="00E17D96">
            <w:pPr>
              <w:rPr>
                <w:noProof/>
                <w:color w:val="000000" w:themeColor="text1"/>
                <w:sz w:val="14"/>
              </w:rPr>
            </w:pPr>
            <w:r w:rsidRPr="00DE2282">
              <w:rPr>
                <w:noProof/>
                <w:color w:val="000000" w:themeColor="text1"/>
                <w:sz w:val="18"/>
              </w:rPr>
              <w:t xml:space="preserve">Créditos </w:t>
            </w:r>
          </w:p>
        </w:tc>
        <w:tc>
          <w:tcPr>
            <w:tcW w:w="868" w:type="dxa"/>
            <w:vAlign w:val="center"/>
          </w:tcPr>
          <w:p w:rsidR="00EB1AD0" w:rsidRPr="00DE2282" w:rsidRDefault="00EB1AD0" w:rsidP="00E17D96">
            <w:pPr>
              <w:spacing w:before="60" w:after="60"/>
              <w:jc w:val="right"/>
              <w:rPr>
                <w:noProof/>
                <w:color w:val="000000" w:themeColor="text1"/>
                <w:sz w:val="20"/>
              </w:rPr>
            </w:pPr>
          </w:p>
        </w:tc>
        <w:tc>
          <w:tcPr>
            <w:tcW w:w="868" w:type="dxa"/>
            <w:vAlign w:val="center"/>
          </w:tcPr>
          <w:p w:rsidR="00EB1AD0" w:rsidRPr="00DE2282" w:rsidRDefault="00EB1AD0" w:rsidP="00E17D96">
            <w:pPr>
              <w:spacing w:before="20" w:after="20"/>
              <w:jc w:val="right"/>
              <w:rPr>
                <w:noProof/>
                <w:color w:val="000000" w:themeColor="text1"/>
                <w:sz w:val="20"/>
              </w:rPr>
            </w:pPr>
          </w:p>
        </w:tc>
        <w:tc>
          <w:tcPr>
            <w:tcW w:w="868" w:type="dxa"/>
            <w:vAlign w:val="center"/>
          </w:tcPr>
          <w:p w:rsidR="00EB1AD0" w:rsidRPr="00DE2282" w:rsidRDefault="00EB1AD0" w:rsidP="00E17D96">
            <w:pPr>
              <w:spacing w:before="20" w:after="20"/>
              <w:jc w:val="right"/>
              <w:rPr>
                <w:noProof/>
                <w:color w:val="000000" w:themeColor="text1"/>
                <w:sz w:val="20"/>
              </w:rPr>
            </w:pPr>
          </w:p>
        </w:tc>
        <w:tc>
          <w:tcPr>
            <w:tcW w:w="868" w:type="dxa"/>
            <w:vAlign w:val="center"/>
          </w:tcPr>
          <w:p w:rsidR="00EB1AD0" w:rsidRPr="00DE2282" w:rsidRDefault="00EB1AD0" w:rsidP="00E17D96">
            <w:pPr>
              <w:spacing w:before="20" w:after="20"/>
              <w:jc w:val="right"/>
              <w:rPr>
                <w:noProof/>
                <w:color w:val="000000" w:themeColor="text1"/>
                <w:sz w:val="20"/>
              </w:rPr>
            </w:pPr>
          </w:p>
        </w:tc>
        <w:tc>
          <w:tcPr>
            <w:tcW w:w="868" w:type="dxa"/>
            <w:vAlign w:val="center"/>
          </w:tcPr>
          <w:p w:rsidR="00EB1AD0" w:rsidRPr="00DE2282" w:rsidRDefault="00EB1AD0" w:rsidP="00E17D96">
            <w:pPr>
              <w:spacing w:before="20" w:after="20"/>
              <w:jc w:val="right"/>
              <w:rPr>
                <w:noProof/>
                <w:color w:val="000000" w:themeColor="text1"/>
                <w:sz w:val="20"/>
              </w:rPr>
            </w:pPr>
          </w:p>
        </w:tc>
        <w:tc>
          <w:tcPr>
            <w:tcW w:w="868" w:type="dxa"/>
            <w:vAlign w:val="center"/>
          </w:tcPr>
          <w:p w:rsidR="00EB1AD0" w:rsidRPr="00DE2282" w:rsidRDefault="00EB1AD0" w:rsidP="00E17D96">
            <w:pPr>
              <w:spacing w:before="20" w:after="20"/>
              <w:jc w:val="right"/>
              <w:rPr>
                <w:noProof/>
                <w:color w:val="000000" w:themeColor="text1"/>
                <w:sz w:val="20"/>
              </w:rPr>
            </w:pPr>
          </w:p>
        </w:tc>
        <w:tc>
          <w:tcPr>
            <w:tcW w:w="868" w:type="dxa"/>
            <w:vAlign w:val="center"/>
          </w:tcPr>
          <w:p w:rsidR="00EB1AD0" w:rsidRPr="00DE2282" w:rsidRDefault="00EB1AD0" w:rsidP="00E17D96">
            <w:pPr>
              <w:spacing w:before="20" w:after="20"/>
              <w:jc w:val="right"/>
              <w:rPr>
                <w:b/>
                <w:noProof/>
                <w:color w:val="000000" w:themeColor="text1"/>
                <w:sz w:val="20"/>
              </w:rPr>
            </w:pPr>
          </w:p>
        </w:tc>
        <w:tc>
          <w:tcPr>
            <w:tcW w:w="1777" w:type="dxa"/>
            <w:vAlign w:val="center"/>
          </w:tcPr>
          <w:p w:rsidR="00EB1AD0" w:rsidRPr="00DE2282" w:rsidRDefault="00EB1AD0" w:rsidP="00E17D96">
            <w:pPr>
              <w:spacing w:before="20" w:after="20"/>
              <w:jc w:val="right"/>
              <w:rPr>
                <w:b/>
                <w:noProof/>
                <w:color w:val="000000" w:themeColor="text1"/>
                <w:sz w:val="20"/>
              </w:rPr>
            </w:pPr>
          </w:p>
        </w:tc>
      </w:tr>
    </w:tbl>
    <w:p w:rsidR="00EB1AD0" w:rsidRPr="00DE2282" w:rsidRDefault="00EB1AD0" w:rsidP="00EB1AD0">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868"/>
        <w:gridCol w:w="970"/>
      </w:tblGrid>
      <w:tr w:rsidR="00EB1AD0" w:rsidRPr="00DE2282" w:rsidTr="00E17D96">
        <w:tc>
          <w:tcPr>
            <w:tcW w:w="3960" w:type="dxa"/>
            <w:shd w:val="thinDiagStripe" w:color="C0C0C0" w:fill="auto"/>
            <w:vAlign w:val="center"/>
          </w:tcPr>
          <w:p w:rsidR="00EB1AD0" w:rsidRPr="00DE2282" w:rsidRDefault="00EB1AD0" w:rsidP="00E17D96">
            <w:pPr>
              <w:jc w:val="center"/>
              <w:rPr>
                <w:b/>
                <w:noProof/>
              </w:rPr>
            </w:pPr>
            <w:r w:rsidRPr="00DE2282">
              <w:rPr>
                <w:b/>
                <w:noProof/>
                <w:sz w:val="22"/>
              </w:rPr>
              <w:t>TOTAL de los créditos</w:t>
            </w:r>
            <w:r w:rsidRPr="00DE2282">
              <w:rPr>
                <w:noProof/>
                <w:sz w:val="22"/>
              </w:rPr>
              <w:br/>
            </w:r>
            <w:r w:rsidRPr="00DE2282">
              <w:rPr>
                <w:b/>
                <w:noProof/>
                <w:sz w:val="22"/>
              </w:rPr>
              <w:t>correspondientes a la RÚBRICA 7</w:t>
            </w:r>
            <w:r w:rsidRPr="00DE2282">
              <w:rPr>
                <w:noProof/>
                <w:sz w:val="22"/>
              </w:rPr>
              <w:br/>
              <w:t>del marco financiero plurianual</w:t>
            </w:r>
            <w:r w:rsidRPr="00DE2282">
              <w:rPr>
                <w:b/>
                <w:noProof/>
                <w:sz w:val="22"/>
              </w:rPr>
              <w:t xml:space="preserve"> </w:t>
            </w:r>
          </w:p>
        </w:tc>
        <w:tc>
          <w:tcPr>
            <w:tcW w:w="2094" w:type="dxa"/>
            <w:vAlign w:val="center"/>
          </w:tcPr>
          <w:p w:rsidR="00EB1AD0" w:rsidRPr="00DE2282" w:rsidRDefault="00EB1AD0" w:rsidP="00E17D96">
            <w:pPr>
              <w:spacing w:before="40" w:after="40"/>
              <w:rPr>
                <w:noProof/>
              </w:rPr>
            </w:pPr>
            <w:r w:rsidRPr="00DE2282">
              <w:rPr>
                <w:noProof/>
                <w:sz w:val="18"/>
              </w:rPr>
              <w:t>(Total de los créditos de compromiso = Total de los créditos de pago)</w:t>
            </w: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noProof/>
                <w:sz w:val="20"/>
              </w:rPr>
            </w:pPr>
          </w:p>
        </w:tc>
        <w:tc>
          <w:tcPr>
            <w:tcW w:w="868" w:type="dxa"/>
            <w:vAlign w:val="center"/>
          </w:tcPr>
          <w:p w:rsidR="00EB1AD0" w:rsidRPr="00DE2282" w:rsidRDefault="00EB1AD0" w:rsidP="00E17D96">
            <w:pPr>
              <w:spacing w:before="20" w:after="20"/>
              <w:jc w:val="right"/>
              <w:rPr>
                <w:b/>
                <w:noProof/>
                <w:sz w:val="20"/>
              </w:rPr>
            </w:pPr>
          </w:p>
        </w:tc>
        <w:tc>
          <w:tcPr>
            <w:tcW w:w="970" w:type="dxa"/>
            <w:vAlign w:val="center"/>
          </w:tcPr>
          <w:p w:rsidR="00EB1AD0" w:rsidRPr="00DE2282" w:rsidRDefault="00EB1AD0" w:rsidP="00E17D96">
            <w:pPr>
              <w:spacing w:before="20" w:after="20"/>
              <w:jc w:val="right"/>
              <w:rPr>
                <w:b/>
                <w:noProof/>
                <w:sz w:val="20"/>
              </w:rPr>
            </w:pPr>
          </w:p>
        </w:tc>
      </w:tr>
    </w:tbl>
    <w:p w:rsidR="00EB1AD0" w:rsidRPr="00DE2282" w:rsidRDefault="00EB1AD0" w:rsidP="00EB1AD0">
      <w:pPr>
        <w:jc w:val="right"/>
        <w:rPr>
          <w:noProof/>
          <w:sz w:val="20"/>
        </w:rPr>
      </w:pPr>
      <w:r w:rsidRPr="00DE2282">
        <w:rPr>
          <w:noProof/>
          <w:sz w:val="20"/>
        </w:rPr>
        <w:t>En millones EUR (al tercer decimal)</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EB1AD0" w:rsidRPr="00DE2282" w:rsidTr="00E17D96">
        <w:tc>
          <w:tcPr>
            <w:tcW w:w="3960" w:type="dxa"/>
            <w:tcBorders>
              <w:top w:val="nil"/>
              <w:left w:val="nil"/>
              <w:right w:val="nil"/>
            </w:tcBorders>
            <w:vAlign w:val="center"/>
          </w:tcPr>
          <w:p w:rsidR="00EB1AD0" w:rsidRPr="00DE2282" w:rsidRDefault="00EB1AD0" w:rsidP="00E17D96">
            <w:pPr>
              <w:jc w:val="center"/>
              <w:rPr>
                <w:noProof/>
              </w:rPr>
            </w:pPr>
          </w:p>
        </w:tc>
        <w:tc>
          <w:tcPr>
            <w:tcW w:w="1560" w:type="dxa"/>
            <w:tcBorders>
              <w:top w:val="nil"/>
              <w:left w:val="nil"/>
              <w:right w:val="nil"/>
            </w:tcBorders>
          </w:tcPr>
          <w:p w:rsidR="00EB1AD0" w:rsidRPr="00DE2282" w:rsidRDefault="00EB1AD0" w:rsidP="00E17D96">
            <w:pPr>
              <w:rPr>
                <w:noProof/>
                <w:sz w:val="20"/>
              </w:rPr>
            </w:pPr>
          </w:p>
        </w:tc>
        <w:tc>
          <w:tcPr>
            <w:tcW w:w="534" w:type="dxa"/>
            <w:tcBorders>
              <w:top w:val="nil"/>
              <w:left w:val="nil"/>
            </w:tcBorders>
          </w:tcPr>
          <w:p w:rsidR="00EB1AD0" w:rsidRPr="00DE2282" w:rsidRDefault="00EB1AD0" w:rsidP="00E17D96">
            <w:pPr>
              <w:jc w:val="center"/>
              <w:rPr>
                <w:noProof/>
                <w:sz w:val="20"/>
              </w:rPr>
            </w:pPr>
          </w:p>
        </w:tc>
        <w:tc>
          <w:tcPr>
            <w:tcW w:w="868" w:type="dxa"/>
            <w:vAlign w:val="center"/>
          </w:tcPr>
          <w:p w:rsidR="00EB1AD0" w:rsidRPr="00DE2282" w:rsidRDefault="00EB1AD0" w:rsidP="00E17D96">
            <w:pPr>
              <w:jc w:val="center"/>
              <w:rPr>
                <w:noProof/>
                <w:sz w:val="20"/>
              </w:rPr>
            </w:pPr>
            <w:r w:rsidRPr="00DE2282">
              <w:rPr>
                <w:noProof/>
                <w:sz w:val="20"/>
              </w:rPr>
              <w:t>Año</w:t>
            </w:r>
            <w:r w:rsidRPr="00DE2282">
              <w:rPr>
                <w:noProof/>
                <w:sz w:val="22"/>
              </w:rPr>
              <w:br/>
            </w:r>
            <w:r w:rsidRPr="00DE2282">
              <w:rPr>
                <w:b/>
                <w:noProof/>
                <w:sz w:val="20"/>
              </w:rPr>
              <w:t>2025</w:t>
            </w:r>
            <w:r w:rsidRPr="00DE2282">
              <w:rPr>
                <w:rStyle w:val="FootnoteReference"/>
                <w:b/>
                <w:noProof/>
                <w:sz w:val="20"/>
              </w:rPr>
              <w:footnoteReference w:id="32"/>
            </w:r>
          </w:p>
        </w:tc>
        <w:tc>
          <w:tcPr>
            <w:tcW w:w="868" w:type="dxa"/>
            <w:vAlign w:val="center"/>
          </w:tcPr>
          <w:p w:rsidR="00EB1AD0" w:rsidRPr="00DE2282" w:rsidRDefault="00EB1AD0" w:rsidP="00E17D96">
            <w:pPr>
              <w:jc w:val="center"/>
              <w:rPr>
                <w:noProof/>
                <w:sz w:val="20"/>
              </w:rPr>
            </w:pPr>
            <w:r w:rsidRPr="00DE2282">
              <w:rPr>
                <w:noProof/>
                <w:sz w:val="20"/>
              </w:rPr>
              <w:t>Año</w:t>
            </w:r>
            <w:r w:rsidRPr="00DE2282">
              <w:rPr>
                <w:noProof/>
                <w:sz w:val="22"/>
              </w:rPr>
              <w:br/>
            </w:r>
            <w:r w:rsidRPr="00DE2282">
              <w:rPr>
                <w:b/>
                <w:noProof/>
                <w:sz w:val="20"/>
              </w:rPr>
              <w:t>2026</w:t>
            </w:r>
          </w:p>
        </w:tc>
        <w:tc>
          <w:tcPr>
            <w:tcW w:w="868" w:type="dxa"/>
            <w:vAlign w:val="center"/>
          </w:tcPr>
          <w:p w:rsidR="00EB1AD0" w:rsidRPr="00DE2282" w:rsidRDefault="00EB1AD0" w:rsidP="00E17D96">
            <w:pPr>
              <w:jc w:val="center"/>
              <w:rPr>
                <w:noProof/>
                <w:sz w:val="20"/>
              </w:rPr>
            </w:pPr>
            <w:r w:rsidRPr="00DE2282">
              <w:rPr>
                <w:noProof/>
                <w:sz w:val="20"/>
              </w:rPr>
              <w:t>Año</w:t>
            </w:r>
            <w:r w:rsidRPr="00DE2282">
              <w:rPr>
                <w:noProof/>
                <w:sz w:val="22"/>
              </w:rPr>
              <w:br/>
            </w:r>
            <w:r w:rsidRPr="00DE2282">
              <w:rPr>
                <w:b/>
                <w:noProof/>
                <w:sz w:val="20"/>
              </w:rPr>
              <w:t>2027</w:t>
            </w:r>
          </w:p>
        </w:tc>
        <w:tc>
          <w:tcPr>
            <w:tcW w:w="868" w:type="dxa"/>
            <w:vAlign w:val="center"/>
          </w:tcPr>
          <w:p w:rsidR="00EB1AD0" w:rsidRPr="00DE2282" w:rsidRDefault="00EB1AD0" w:rsidP="00E17D96">
            <w:pPr>
              <w:jc w:val="center"/>
              <w:rPr>
                <w:noProof/>
                <w:sz w:val="20"/>
              </w:rPr>
            </w:pPr>
          </w:p>
        </w:tc>
        <w:tc>
          <w:tcPr>
            <w:tcW w:w="2604" w:type="dxa"/>
            <w:gridSpan w:val="3"/>
            <w:vAlign w:val="center"/>
          </w:tcPr>
          <w:p w:rsidR="00EB1AD0" w:rsidRPr="00DE2282" w:rsidRDefault="00EB1AD0" w:rsidP="00E17D96">
            <w:pPr>
              <w:jc w:val="center"/>
              <w:rPr>
                <w:b/>
                <w:noProof/>
                <w:sz w:val="18"/>
              </w:rPr>
            </w:pPr>
            <w:r w:rsidRPr="00DE2282">
              <w:rPr>
                <w:noProof/>
                <w:sz w:val="18"/>
              </w:rPr>
              <w:t>Insertar tantos años como sea necesario para reflejar la duración de la incidencia (véase el punto 1.6)</w:t>
            </w:r>
          </w:p>
        </w:tc>
        <w:tc>
          <w:tcPr>
            <w:tcW w:w="1777" w:type="dxa"/>
            <w:vAlign w:val="center"/>
          </w:tcPr>
          <w:p w:rsidR="00EB1AD0" w:rsidRPr="00DE2282" w:rsidRDefault="00EB1AD0" w:rsidP="00E17D96">
            <w:pPr>
              <w:jc w:val="center"/>
              <w:rPr>
                <w:b/>
                <w:noProof/>
                <w:sz w:val="20"/>
              </w:rPr>
            </w:pPr>
            <w:r w:rsidRPr="00DE2282">
              <w:rPr>
                <w:b/>
                <w:noProof/>
                <w:sz w:val="20"/>
              </w:rPr>
              <w:t>TOTAL</w:t>
            </w:r>
          </w:p>
        </w:tc>
      </w:tr>
      <w:tr w:rsidR="00EB1AD0" w:rsidRPr="00DE2282" w:rsidTr="00E17D96">
        <w:tc>
          <w:tcPr>
            <w:tcW w:w="3960" w:type="dxa"/>
            <w:vMerge w:val="restart"/>
            <w:shd w:val="clear" w:color="auto" w:fill="C0C0C0"/>
            <w:vAlign w:val="center"/>
          </w:tcPr>
          <w:p w:rsidR="00EB1AD0" w:rsidRPr="00DE2282" w:rsidRDefault="00EB1AD0" w:rsidP="00E17D96">
            <w:pPr>
              <w:jc w:val="center"/>
              <w:rPr>
                <w:b/>
                <w:noProof/>
              </w:rPr>
            </w:pPr>
            <w:r w:rsidRPr="00DE2282">
              <w:rPr>
                <w:b/>
                <w:noProof/>
                <w:sz w:val="22"/>
              </w:rPr>
              <w:t xml:space="preserve">TOTAL de los créditos </w:t>
            </w:r>
            <w:r w:rsidRPr="00DE2282">
              <w:rPr>
                <w:noProof/>
                <w:sz w:val="22"/>
              </w:rPr>
              <w:br/>
            </w:r>
            <w:r w:rsidRPr="00DE2282">
              <w:rPr>
                <w:b/>
                <w:noProof/>
                <w:sz w:val="22"/>
              </w:rPr>
              <w:t>correspondientes a las RÚBRICAS 1 a 7</w:t>
            </w:r>
            <w:r w:rsidRPr="00DE2282">
              <w:rPr>
                <w:noProof/>
                <w:sz w:val="22"/>
              </w:rPr>
              <w:br/>
              <w:t>del marco financiero plurianual</w:t>
            </w:r>
            <w:r w:rsidRPr="00DE2282">
              <w:rPr>
                <w:b/>
                <w:noProof/>
                <w:sz w:val="22"/>
              </w:rPr>
              <w:t xml:space="preserve"> </w:t>
            </w:r>
          </w:p>
        </w:tc>
        <w:tc>
          <w:tcPr>
            <w:tcW w:w="2094" w:type="dxa"/>
            <w:gridSpan w:val="2"/>
            <w:vAlign w:val="center"/>
          </w:tcPr>
          <w:p w:rsidR="00EB1AD0" w:rsidRPr="00DE2282" w:rsidRDefault="00EB1AD0" w:rsidP="00E17D96">
            <w:pPr>
              <w:rPr>
                <w:noProof/>
                <w:sz w:val="14"/>
              </w:rPr>
            </w:pPr>
            <w:r w:rsidRPr="00DE2282">
              <w:rPr>
                <w:noProof/>
                <w:sz w:val="18"/>
              </w:rPr>
              <w:t>Créditos de compromiso</w:t>
            </w:r>
          </w:p>
        </w:tc>
        <w:tc>
          <w:tcPr>
            <w:tcW w:w="868" w:type="dxa"/>
            <w:vAlign w:val="center"/>
          </w:tcPr>
          <w:p w:rsidR="00EB1AD0" w:rsidRPr="00DE2282" w:rsidRDefault="00EB1AD0" w:rsidP="00E17D96">
            <w:pPr>
              <w:spacing w:before="60" w:after="60"/>
              <w:jc w:val="right"/>
              <w:rPr>
                <w:noProof/>
                <w:sz w:val="20"/>
              </w:rPr>
            </w:pPr>
          </w:p>
        </w:tc>
        <w:tc>
          <w:tcPr>
            <w:tcW w:w="868" w:type="dxa"/>
            <w:vAlign w:val="center"/>
          </w:tcPr>
          <w:p w:rsidR="00EB1AD0" w:rsidRPr="00DE2282" w:rsidRDefault="00EB1AD0" w:rsidP="00E17D96">
            <w:pPr>
              <w:spacing w:before="60" w:after="60"/>
              <w:jc w:val="right"/>
              <w:rPr>
                <w:noProof/>
                <w:sz w:val="20"/>
              </w:rPr>
            </w:pPr>
          </w:p>
        </w:tc>
        <w:tc>
          <w:tcPr>
            <w:tcW w:w="868" w:type="dxa"/>
            <w:vAlign w:val="center"/>
          </w:tcPr>
          <w:p w:rsidR="00EB1AD0" w:rsidRPr="00DE2282" w:rsidRDefault="00EB1AD0" w:rsidP="00E17D96">
            <w:pPr>
              <w:spacing w:before="60" w:after="60"/>
              <w:jc w:val="right"/>
              <w:rPr>
                <w:noProof/>
                <w:sz w:val="20"/>
              </w:rPr>
            </w:pPr>
          </w:p>
        </w:tc>
        <w:tc>
          <w:tcPr>
            <w:tcW w:w="868" w:type="dxa"/>
            <w:vAlign w:val="center"/>
          </w:tcPr>
          <w:p w:rsidR="00EB1AD0" w:rsidRPr="00DE2282" w:rsidRDefault="00EB1AD0" w:rsidP="00E17D96">
            <w:pPr>
              <w:spacing w:before="60" w:after="60"/>
              <w:jc w:val="right"/>
              <w:rPr>
                <w:noProof/>
                <w:sz w:val="20"/>
              </w:rPr>
            </w:pPr>
          </w:p>
        </w:tc>
        <w:tc>
          <w:tcPr>
            <w:tcW w:w="868" w:type="dxa"/>
            <w:vAlign w:val="center"/>
          </w:tcPr>
          <w:p w:rsidR="00EB1AD0" w:rsidRPr="00DE2282" w:rsidRDefault="00EB1AD0" w:rsidP="00E17D96">
            <w:pPr>
              <w:spacing w:before="60" w:after="60"/>
              <w:jc w:val="right"/>
              <w:rPr>
                <w:noProof/>
                <w:sz w:val="20"/>
              </w:rPr>
            </w:pPr>
          </w:p>
        </w:tc>
        <w:tc>
          <w:tcPr>
            <w:tcW w:w="868" w:type="dxa"/>
            <w:vAlign w:val="center"/>
          </w:tcPr>
          <w:p w:rsidR="00EB1AD0" w:rsidRPr="00DE2282" w:rsidRDefault="00EB1AD0" w:rsidP="00E17D96">
            <w:pPr>
              <w:spacing w:before="60" w:after="60"/>
              <w:jc w:val="right"/>
              <w:rPr>
                <w:noProof/>
                <w:sz w:val="20"/>
              </w:rPr>
            </w:pPr>
          </w:p>
        </w:tc>
        <w:tc>
          <w:tcPr>
            <w:tcW w:w="868" w:type="dxa"/>
            <w:vAlign w:val="center"/>
          </w:tcPr>
          <w:p w:rsidR="00EB1AD0" w:rsidRPr="00DE2282" w:rsidRDefault="00EB1AD0" w:rsidP="00E17D96">
            <w:pPr>
              <w:spacing w:before="60" w:after="60"/>
              <w:jc w:val="right"/>
              <w:rPr>
                <w:b/>
                <w:noProof/>
                <w:sz w:val="20"/>
              </w:rPr>
            </w:pPr>
          </w:p>
        </w:tc>
        <w:tc>
          <w:tcPr>
            <w:tcW w:w="1777" w:type="dxa"/>
            <w:vAlign w:val="center"/>
          </w:tcPr>
          <w:p w:rsidR="00EB1AD0" w:rsidRPr="00DE2282" w:rsidRDefault="00EB1AD0" w:rsidP="00E17D96">
            <w:pPr>
              <w:spacing w:before="60" w:after="60"/>
              <w:jc w:val="right"/>
              <w:rPr>
                <w:b/>
                <w:noProof/>
                <w:sz w:val="20"/>
              </w:rPr>
            </w:pPr>
          </w:p>
        </w:tc>
      </w:tr>
      <w:tr w:rsidR="00EB1AD0" w:rsidRPr="00DE2282" w:rsidTr="00E17D96">
        <w:tc>
          <w:tcPr>
            <w:tcW w:w="3960" w:type="dxa"/>
            <w:vMerge/>
            <w:shd w:val="clear" w:color="auto" w:fill="C0C0C0"/>
          </w:tcPr>
          <w:p w:rsidR="00EB1AD0" w:rsidRPr="00DE2282" w:rsidRDefault="00EB1AD0" w:rsidP="00E17D96">
            <w:pPr>
              <w:rPr>
                <w:noProof/>
                <w:sz w:val="20"/>
              </w:rPr>
            </w:pPr>
          </w:p>
        </w:tc>
        <w:tc>
          <w:tcPr>
            <w:tcW w:w="2094" w:type="dxa"/>
            <w:gridSpan w:val="2"/>
            <w:vAlign w:val="center"/>
          </w:tcPr>
          <w:p w:rsidR="00EB1AD0" w:rsidRPr="00DE2282" w:rsidRDefault="00EB1AD0" w:rsidP="00E17D96">
            <w:pPr>
              <w:rPr>
                <w:noProof/>
                <w:sz w:val="14"/>
              </w:rPr>
            </w:pPr>
            <w:r w:rsidRPr="00DE2282">
              <w:rPr>
                <w:noProof/>
                <w:sz w:val="18"/>
              </w:rPr>
              <w:t>Créditos de pago</w:t>
            </w:r>
          </w:p>
        </w:tc>
        <w:tc>
          <w:tcPr>
            <w:tcW w:w="868" w:type="dxa"/>
            <w:vAlign w:val="center"/>
          </w:tcPr>
          <w:p w:rsidR="00EB1AD0" w:rsidRPr="00DE2282" w:rsidRDefault="00EB1AD0" w:rsidP="00E17D96">
            <w:pPr>
              <w:spacing w:before="60" w:after="60"/>
              <w:jc w:val="right"/>
              <w:rPr>
                <w:noProof/>
                <w:sz w:val="20"/>
              </w:rPr>
            </w:pPr>
          </w:p>
        </w:tc>
        <w:tc>
          <w:tcPr>
            <w:tcW w:w="868" w:type="dxa"/>
            <w:vAlign w:val="center"/>
          </w:tcPr>
          <w:p w:rsidR="00EB1AD0" w:rsidRPr="00DE2282" w:rsidRDefault="00EB1AD0" w:rsidP="00E17D96">
            <w:pPr>
              <w:spacing w:before="60" w:after="60"/>
              <w:jc w:val="right"/>
              <w:rPr>
                <w:noProof/>
                <w:sz w:val="20"/>
              </w:rPr>
            </w:pPr>
          </w:p>
        </w:tc>
        <w:tc>
          <w:tcPr>
            <w:tcW w:w="868" w:type="dxa"/>
            <w:vAlign w:val="center"/>
          </w:tcPr>
          <w:p w:rsidR="00EB1AD0" w:rsidRPr="00DE2282" w:rsidRDefault="00EB1AD0" w:rsidP="00E17D96">
            <w:pPr>
              <w:spacing w:before="60" w:after="60"/>
              <w:jc w:val="right"/>
              <w:rPr>
                <w:noProof/>
                <w:sz w:val="20"/>
              </w:rPr>
            </w:pPr>
          </w:p>
        </w:tc>
        <w:tc>
          <w:tcPr>
            <w:tcW w:w="868" w:type="dxa"/>
            <w:vAlign w:val="center"/>
          </w:tcPr>
          <w:p w:rsidR="00EB1AD0" w:rsidRPr="00DE2282" w:rsidRDefault="00EB1AD0" w:rsidP="00E17D96">
            <w:pPr>
              <w:spacing w:before="60" w:after="60"/>
              <w:jc w:val="right"/>
              <w:rPr>
                <w:noProof/>
                <w:sz w:val="20"/>
              </w:rPr>
            </w:pPr>
          </w:p>
        </w:tc>
        <w:tc>
          <w:tcPr>
            <w:tcW w:w="868" w:type="dxa"/>
            <w:vAlign w:val="center"/>
          </w:tcPr>
          <w:p w:rsidR="00EB1AD0" w:rsidRPr="00DE2282" w:rsidRDefault="00EB1AD0" w:rsidP="00E17D96">
            <w:pPr>
              <w:spacing w:before="60" w:after="60"/>
              <w:jc w:val="right"/>
              <w:rPr>
                <w:noProof/>
                <w:sz w:val="20"/>
              </w:rPr>
            </w:pPr>
          </w:p>
        </w:tc>
        <w:tc>
          <w:tcPr>
            <w:tcW w:w="868" w:type="dxa"/>
            <w:vAlign w:val="center"/>
          </w:tcPr>
          <w:p w:rsidR="00EB1AD0" w:rsidRPr="00DE2282" w:rsidRDefault="00EB1AD0" w:rsidP="00E17D96">
            <w:pPr>
              <w:spacing w:before="60" w:after="60"/>
              <w:jc w:val="right"/>
              <w:rPr>
                <w:noProof/>
                <w:sz w:val="20"/>
              </w:rPr>
            </w:pPr>
          </w:p>
        </w:tc>
        <w:tc>
          <w:tcPr>
            <w:tcW w:w="868" w:type="dxa"/>
            <w:vAlign w:val="center"/>
          </w:tcPr>
          <w:p w:rsidR="00EB1AD0" w:rsidRPr="00DE2282" w:rsidRDefault="00EB1AD0" w:rsidP="00E17D96">
            <w:pPr>
              <w:spacing w:before="60" w:after="60"/>
              <w:jc w:val="right"/>
              <w:rPr>
                <w:b/>
                <w:noProof/>
                <w:sz w:val="20"/>
              </w:rPr>
            </w:pPr>
          </w:p>
        </w:tc>
        <w:tc>
          <w:tcPr>
            <w:tcW w:w="1777" w:type="dxa"/>
            <w:vAlign w:val="center"/>
          </w:tcPr>
          <w:p w:rsidR="00EB1AD0" w:rsidRPr="00DE2282" w:rsidRDefault="00EB1AD0" w:rsidP="00E17D96">
            <w:pPr>
              <w:spacing w:before="60" w:after="60"/>
              <w:jc w:val="right"/>
              <w:rPr>
                <w:b/>
                <w:noProof/>
                <w:sz w:val="20"/>
              </w:rPr>
            </w:pPr>
          </w:p>
        </w:tc>
      </w:tr>
    </w:tbl>
    <w:p w:rsidR="00EB1AD0" w:rsidRPr="00DE2282" w:rsidRDefault="00EB1AD0" w:rsidP="00EB1AD0">
      <w:pPr>
        <w:rPr>
          <w:noProof/>
        </w:rPr>
      </w:pPr>
    </w:p>
    <w:p w:rsidR="00EB1AD0" w:rsidRPr="00DE2282" w:rsidRDefault="00EB1AD0" w:rsidP="00EB1AD0">
      <w:pPr>
        <w:pStyle w:val="ManualHeading3"/>
        <w:rPr>
          <w:bCs/>
          <w:noProof/>
          <w:szCs w:val="24"/>
        </w:rPr>
      </w:pPr>
      <w:bookmarkStart w:id="63" w:name="_Toc514938054"/>
      <w:bookmarkStart w:id="64" w:name="_Toc520485053"/>
      <w:r w:rsidRPr="00DE2282">
        <w:rPr>
          <w:noProof/>
        </w:rPr>
        <w:t>3.2.2.</w:t>
      </w:r>
      <w:r w:rsidRPr="00DE2282">
        <w:rPr>
          <w:noProof/>
        </w:rPr>
        <w:tab/>
        <w:t>Resultados estimados financiados con créditos de operaciones</w:t>
      </w:r>
      <w:bookmarkEnd w:id="63"/>
      <w:bookmarkEnd w:id="64"/>
      <w:r w:rsidRPr="00DE2282">
        <w:rPr>
          <w:noProof/>
        </w:rPr>
        <w:t xml:space="preserve"> </w:t>
      </w:r>
    </w:p>
    <w:p w:rsidR="00EB1AD0" w:rsidRPr="00DE2282" w:rsidRDefault="00EB1AD0" w:rsidP="00EB1AD0">
      <w:pPr>
        <w:jc w:val="right"/>
        <w:rPr>
          <w:noProof/>
          <w:sz w:val="20"/>
        </w:rPr>
      </w:pPr>
      <w:r w:rsidRPr="00DE2282">
        <w:rPr>
          <w:noProof/>
          <w:sz w:val="20"/>
        </w:rPr>
        <w:t>Créditos de compromiso en millones EUR (al tercer decimal)</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5"/>
        <w:gridCol w:w="498"/>
        <w:gridCol w:w="701"/>
        <w:gridCol w:w="504"/>
        <w:gridCol w:w="720"/>
        <w:gridCol w:w="540"/>
        <w:gridCol w:w="720"/>
        <w:gridCol w:w="720"/>
        <w:gridCol w:w="720"/>
        <w:gridCol w:w="951"/>
        <w:gridCol w:w="21"/>
        <w:gridCol w:w="648"/>
        <w:gridCol w:w="540"/>
        <w:gridCol w:w="648"/>
        <w:gridCol w:w="574"/>
        <w:gridCol w:w="578"/>
        <w:gridCol w:w="540"/>
        <w:gridCol w:w="720"/>
        <w:gridCol w:w="720"/>
        <w:gridCol w:w="900"/>
      </w:tblGrid>
      <w:tr w:rsidR="00EB1AD0" w:rsidRPr="00DE2282" w:rsidTr="00E17D96">
        <w:trPr>
          <w:jc w:val="center"/>
        </w:trPr>
        <w:tc>
          <w:tcPr>
            <w:tcW w:w="1645" w:type="dxa"/>
            <w:vMerge w:val="restart"/>
            <w:vAlign w:val="center"/>
          </w:tcPr>
          <w:p w:rsidR="00EB1AD0" w:rsidRPr="00DE2282" w:rsidRDefault="00EB1AD0" w:rsidP="00E17D96">
            <w:pPr>
              <w:ind w:right="-29"/>
              <w:jc w:val="center"/>
              <w:rPr>
                <w:b/>
                <w:noProof/>
                <w:sz w:val="18"/>
                <w:szCs w:val="18"/>
              </w:rPr>
            </w:pPr>
            <w:r w:rsidRPr="00DE2282">
              <w:rPr>
                <w:b/>
                <w:noProof/>
                <w:sz w:val="18"/>
              </w:rPr>
              <w:t xml:space="preserve">Indicar los objetivos y los resultados </w:t>
            </w:r>
          </w:p>
          <w:p w:rsidR="00EB1AD0" w:rsidRPr="00DE2282" w:rsidRDefault="00EB1AD0" w:rsidP="00E17D96">
            <w:pPr>
              <w:ind w:right="-29"/>
              <w:jc w:val="center"/>
              <w:rPr>
                <w:b/>
                <w:noProof/>
                <w:sz w:val="18"/>
                <w:szCs w:val="18"/>
              </w:rPr>
            </w:pPr>
          </w:p>
          <w:p w:rsidR="00EB1AD0" w:rsidRPr="00DE2282" w:rsidRDefault="00EB1AD0" w:rsidP="00E17D96">
            <w:pPr>
              <w:ind w:right="-29"/>
              <w:jc w:val="center"/>
              <w:rPr>
                <w:noProof/>
                <w:sz w:val="18"/>
                <w:szCs w:val="18"/>
              </w:rPr>
            </w:pPr>
            <w:r w:rsidRPr="00DE2282">
              <w:rPr>
                <w:noProof/>
                <w:sz w:val="18"/>
              </w:rPr>
              <w:sym w:font="Wingdings" w:char="F0F2"/>
            </w:r>
          </w:p>
        </w:tc>
        <w:tc>
          <w:tcPr>
            <w:tcW w:w="498" w:type="dxa"/>
            <w:vAlign w:val="center"/>
          </w:tcPr>
          <w:p w:rsidR="00EB1AD0" w:rsidRPr="00DE2282" w:rsidRDefault="00EB1AD0" w:rsidP="00E17D96">
            <w:pPr>
              <w:ind w:right="-29"/>
              <w:jc w:val="center"/>
              <w:rPr>
                <w:noProof/>
                <w:sz w:val="18"/>
                <w:szCs w:val="18"/>
              </w:rPr>
            </w:pPr>
          </w:p>
        </w:tc>
        <w:tc>
          <w:tcPr>
            <w:tcW w:w="701" w:type="dxa"/>
            <w:vAlign w:val="center"/>
          </w:tcPr>
          <w:p w:rsidR="00EB1AD0" w:rsidRPr="00DE2282" w:rsidRDefault="00EB1AD0" w:rsidP="00E17D96">
            <w:pPr>
              <w:ind w:right="-29"/>
              <w:jc w:val="center"/>
              <w:rPr>
                <w:noProof/>
                <w:sz w:val="18"/>
                <w:szCs w:val="18"/>
              </w:rPr>
            </w:pPr>
          </w:p>
        </w:tc>
        <w:tc>
          <w:tcPr>
            <w:tcW w:w="1224" w:type="dxa"/>
            <w:gridSpan w:val="2"/>
            <w:tcBorders>
              <w:left w:val="nil"/>
            </w:tcBorders>
            <w:vAlign w:val="center"/>
          </w:tcPr>
          <w:p w:rsidR="00EB1AD0" w:rsidRPr="00DE2282" w:rsidRDefault="00EB1AD0" w:rsidP="00E17D96">
            <w:pPr>
              <w:ind w:right="-29"/>
              <w:jc w:val="center"/>
              <w:rPr>
                <w:noProof/>
                <w:sz w:val="18"/>
                <w:szCs w:val="18"/>
              </w:rPr>
            </w:pPr>
            <w:r w:rsidRPr="00DE2282">
              <w:rPr>
                <w:noProof/>
                <w:sz w:val="18"/>
              </w:rPr>
              <w:t>2025</w:t>
            </w:r>
          </w:p>
        </w:tc>
        <w:tc>
          <w:tcPr>
            <w:tcW w:w="1260" w:type="dxa"/>
            <w:gridSpan w:val="2"/>
            <w:vAlign w:val="center"/>
          </w:tcPr>
          <w:p w:rsidR="00EB1AD0" w:rsidRPr="00DE2282" w:rsidRDefault="00EB1AD0" w:rsidP="00E17D96">
            <w:pPr>
              <w:ind w:right="-29"/>
              <w:jc w:val="center"/>
              <w:rPr>
                <w:noProof/>
                <w:sz w:val="18"/>
                <w:szCs w:val="18"/>
              </w:rPr>
            </w:pPr>
            <w:r w:rsidRPr="00DE2282">
              <w:rPr>
                <w:noProof/>
                <w:sz w:val="18"/>
              </w:rPr>
              <w:t>2026</w:t>
            </w:r>
          </w:p>
        </w:tc>
        <w:tc>
          <w:tcPr>
            <w:tcW w:w="1440" w:type="dxa"/>
            <w:gridSpan w:val="2"/>
            <w:vAlign w:val="center"/>
          </w:tcPr>
          <w:p w:rsidR="00EB1AD0" w:rsidRPr="00DE2282" w:rsidRDefault="00EB1AD0" w:rsidP="00E17D96">
            <w:pPr>
              <w:ind w:right="-29"/>
              <w:jc w:val="center"/>
              <w:rPr>
                <w:noProof/>
                <w:sz w:val="18"/>
                <w:szCs w:val="18"/>
              </w:rPr>
            </w:pPr>
            <w:r w:rsidRPr="00DE2282">
              <w:rPr>
                <w:noProof/>
                <w:sz w:val="18"/>
              </w:rPr>
              <w:t>2027</w:t>
            </w:r>
          </w:p>
        </w:tc>
        <w:tc>
          <w:tcPr>
            <w:tcW w:w="1620" w:type="dxa"/>
            <w:gridSpan w:val="3"/>
            <w:vAlign w:val="center"/>
          </w:tcPr>
          <w:p w:rsidR="00EB1AD0" w:rsidRPr="00DE2282" w:rsidRDefault="00EB1AD0" w:rsidP="00E17D96">
            <w:pPr>
              <w:ind w:right="-29"/>
              <w:jc w:val="center"/>
              <w:rPr>
                <w:noProof/>
                <w:sz w:val="18"/>
                <w:szCs w:val="18"/>
              </w:rPr>
            </w:pPr>
            <w:r w:rsidRPr="00DE2282">
              <w:rPr>
                <w:noProof/>
                <w:sz w:val="18"/>
              </w:rPr>
              <w:t>2028</w:t>
            </w:r>
          </w:p>
        </w:tc>
        <w:tc>
          <w:tcPr>
            <w:tcW w:w="3600" w:type="dxa"/>
            <w:gridSpan w:val="6"/>
            <w:vAlign w:val="center"/>
          </w:tcPr>
          <w:p w:rsidR="00EB1AD0" w:rsidRPr="00DE2282" w:rsidRDefault="00EB1AD0" w:rsidP="00E17D96">
            <w:pPr>
              <w:jc w:val="left"/>
              <w:rPr>
                <w:noProof/>
                <w:sz w:val="18"/>
                <w:szCs w:val="18"/>
              </w:rPr>
            </w:pPr>
            <w:r w:rsidRPr="00DE2282">
              <w:rPr>
                <w:noProof/>
                <w:sz w:val="18"/>
              </w:rPr>
              <w:t xml:space="preserve">       2029                 2030                2031</w:t>
            </w:r>
          </w:p>
        </w:tc>
        <w:tc>
          <w:tcPr>
            <w:tcW w:w="1620" w:type="dxa"/>
            <w:gridSpan w:val="2"/>
            <w:tcBorders>
              <w:left w:val="nil"/>
              <w:bottom w:val="nil"/>
            </w:tcBorders>
            <w:vAlign w:val="center"/>
          </w:tcPr>
          <w:p w:rsidR="00EB1AD0" w:rsidRPr="00DE2282" w:rsidRDefault="00EB1AD0" w:rsidP="00E17D96">
            <w:pPr>
              <w:ind w:right="-29"/>
              <w:jc w:val="center"/>
              <w:rPr>
                <w:noProof/>
                <w:sz w:val="18"/>
                <w:szCs w:val="18"/>
              </w:rPr>
            </w:pPr>
            <w:r w:rsidRPr="00DE2282">
              <w:rPr>
                <w:b/>
                <w:noProof/>
                <w:sz w:val="18"/>
              </w:rPr>
              <w:t>TOTAL</w:t>
            </w:r>
          </w:p>
        </w:tc>
      </w:tr>
      <w:tr w:rsidR="00EB1AD0" w:rsidRPr="00DE2282" w:rsidTr="00E17D96">
        <w:trPr>
          <w:jc w:val="center"/>
        </w:trPr>
        <w:tc>
          <w:tcPr>
            <w:tcW w:w="1645" w:type="dxa"/>
            <w:vMerge/>
            <w:vAlign w:val="center"/>
          </w:tcPr>
          <w:p w:rsidR="00EB1AD0" w:rsidRPr="00DE2282" w:rsidRDefault="00EB1AD0" w:rsidP="00E17D96">
            <w:pPr>
              <w:ind w:right="-29"/>
              <w:jc w:val="center"/>
              <w:rPr>
                <w:noProof/>
                <w:sz w:val="18"/>
                <w:szCs w:val="18"/>
              </w:rPr>
            </w:pPr>
          </w:p>
        </w:tc>
        <w:tc>
          <w:tcPr>
            <w:tcW w:w="11963" w:type="dxa"/>
            <w:gridSpan w:val="19"/>
            <w:vAlign w:val="center"/>
          </w:tcPr>
          <w:p w:rsidR="00EB1AD0" w:rsidRPr="00DE2282" w:rsidRDefault="00EB1AD0" w:rsidP="00E17D96">
            <w:pPr>
              <w:spacing w:before="60" w:after="60"/>
              <w:ind w:right="-29"/>
              <w:jc w:val="center"/>
              <w:rPr>
                <w:noProof/>
                <w:sz w:val="18"/>
                <w:szCs w:val="18"/>
              </w:rPr>
            </w:pPr>
            <w:r w:rsidRPr="00DE2282">
              <w:rPr>
                <w:b/>
                <w:noProof/>
                <w:sz w:val="18"/>
              </w:rPr>
              <w:t>RESULTADOS</w:t>
            </w:r>
          </w:p>
        </w:tc>
      </w:tr>
      <w:tr w:rsidR="009E47DE" w:rsidRPr="00DE2282" w:rsidTr="00E17D96">
        <w:trPr>
          <w:cantSplit/>
          <w:trHeight w:val="1134"/>
          <w:jc w:val="center"/>
        </w:trPr>
        <w:tc>
          <w:tcPr>
            <w:tcW w:w="1645" w:type="dxa"/>
            <w:vMerge/>
            <w:vAlign w:val="center"/>
          </w:tcPr>
          <w:p w:rsidR="009E47DE" w:rsidRPr="00DE2282" w:rsidRDefault="009E47DE" w:rsidP="009E47DE">
            <w:pPr>
              <w:rPr>
                <w:noProof/>
                <w:sz w:val="18"/>
                <w:szCs w:val="18"/>
              </w:rPr>
            </w:pPr>
          </w:p>
        </w:tc>
        <w:tc>
          <w:tcPr>
            <w:tcW w:w="498" w:type="dxa"/>
            <w:vAlign w:val="center"/>
          </w:tcPr>
          <w:p w:rsidR="009E47DE" w:rsidRPr="00DE2282" w:rsidRDefault="009E47DE" w:rsidP="009E47DE">
            <w:pPr>
              <w:jc w:val="center"/>
              <w:rPr>
                <w:noProof/>
                <w:sz w:val="18"/>
                <w:szCs w:val="18"/>
              </w:rPr>
            </w:pPr>
            <w:r w:rsidRPr="00DE2282">
              <w:rPr>
                <w:noProof/>
                <w:sz w:val="18"/>
              </w:rPr>
              <w:t>Tipo</w:t>
            </w:r>
            <w:r w:rsidRPr="00DE2282">
              <w:rPr>
                <w:rStyle w:val="FootnoteReference"/>
                <w:noProof/>
                <w:sz w:val="18"/>
              </w:rPr>
              <w:footnoteReference w:id="33"/>
            </w:r>
          </w:p>
          <w:p w:rsidR="009E47DE" w:rsidRPr="00DE2282" w:rsidRDefault="009E47DE" w:rsidP="009E47DE">
            <w:pPr>
              <w:spacing w:before="0" w:after="0"/>
              <w:jc w:val="center"/>
              <w:rPr>
                <w:noProof/>
                <w:sz w:val="18"/>
                <w:szCs w:val="18"/>
              </w:rPr>
            </w:pPr>
          </w:p>
        </w:tc>
        <w:tc>
          <w:tcPr>
            <w:tcW w:w="701" w:type="dxa"/>
            <w:vAlign w:val="center"/>
          </w:tcPr>
          <w:p w:rsidR="009E47DE" w:rsidRPr="00DE2282" w:rsidRDefault="009E47DE" w:rsidP="009E47DE">
            <w:pPr>
              <w:jc w:val="center"/>
              <w:rPr>
                <w:noProof/>
                <w:sz w:val="18"/>
                <w:szCs w:val="18"/>
              </w:rPr>
            </w:pPr>
            <w:r w:rsidRPr="00DE2282">
              <w:rPr>
                <w:noProof/>
                <w:sz w:val="18"/>
              </w:rPr>
              <w:t>Coste medio</w:t>
            </w:r>
          </w:p>
        </w:tc>
        <w:tc>
          <w:tcPr>
            <w:tcW w:w="504" w:type="dxa"/>
            <w:tcBorders>
              <w:left w:val="nil"/>
              <w:right w:val="dashSmallGap" w:sz="4" w:space="0" w:color="auto"/>
            </w:tcBorders>
            <w:shd w:val="pct10" w:color="auto" w:fill="auto"/>
            <w:textDirection w:val="btLr"/>
            <w:vAlign w:val="center"/>
          </w:tcPr>
          <w:p w:rsidR="009E47DE" w:rsidRPr="00DE2282" w:rsidRDefault="009E47DE" w:rsidP="009E47DE">
            <w:pPr>
              <w:ind w:left="113" w:right="113"/>
              <w:jc w:val="center"/>
              <w:rPr>
                <w:noProof/>
                <w:sz w:val="18"/>
                <w:szCs w:val="18"/>
              </w:rPr>
            </w:pPr>
            <w:r w:rsidRPr="00DE2282">
              <w:rPr>
                <w:noProof/>
                <w:sz w:val="18"/>
              </w:rPr>
              <w:t>Inversión anual</w:t>
            </w:r>
          </w:p>
        </w:tc>
        <w:tc>
          <w:tcPr>
            <w:tcW w:w="720" w:type="dxa"/>
            <w:tcBorders>
              <w:left w:val="dashSmallGap" w:sz="4" w:space="0" w:color="auto"/>
            </w:tcBorders>
            <w:shd w:val="pct10" w:color="auto" w:fill="auto"/>
            <w:vAlign w:val="center"/>
          </w:tcPr>
          <w:p w:rsidR="009E47DE" w:rsidRPr="00DE2282" w:rsidRDefault="009E47DE" w:rsidP="009E47DE">
            <w:pPr>
              <w:jc w:val="center"/>
              <w:rPr>
                <w:noProof/>
                <w:sz w:val="18"/>
                <w:szCs w:val="18"/>
              </w:rPr>
            </w:pPr>
            <w:r w:rsidRPr="00DE2282">
              <w:rPr>
                <w:noProof/>
                <w:sz w:val="18"/>
              </w:rPr>
              <w:t>Coste</w:t>
            </w:r>
          </w:p>
        </w:tc>
        <w:tc>
          <w:tcPr>
            <w:tcW w:w="540" w:type="dxa"/>
            <w:tcBorders>
              <w:right w:val="dashSmallGap" w:sz="4" w:space="0" w:color="auto"/>
            </w:tcBorders>
            <w:shd w:val="pct10" w:color="auto" w:fill="auto"/>
            <w:textDirection w:val="btLr"/>
            <w:vAlign w:val="center"/>
          </w:tcPr>
          <w:p w:rsidR="009E47DE" w:rsidRPr="00DE2282" w:rsidRDefault="009E47DE" w:rsidP="009E47DE">
            <w:pPr>
              <w:ind w:left="113" w:right="113"/>
              <w:jc w:val="center"/>
              <w:rPr>
                <w:noProof/>
                <w:sz w:val="18"/>
                <w:szCs w:val="18"/>
              </w:rPr>
            </w:pPr>
            <w:r w:rsidRPr="00DE2282">
              <w:rPr>
                <w:noProof/>
                <w:sz w:val="18"/>
              </w:rPr>
              <w:t>Inversión anual</w:t>
            </w:r>
          </w:p>
        </w:tc>
        <w:tc>
          <w:tcPr>
            <w:tcW w:w="720" w:type="dxa"/>
            <w:tcBorders>
              <w:left w:val="dashSmallGap" w:sz="4" w:space="0" w:color="auto"/>
            </w:tcBorders>
            <w:shd w:val="pct10" w:color="auto" w:fill="auto"/>
            <w:vAlign w:val="center"/>
          </w:tcPr>
          <w:p w:rsidR="009E47DE" w:rsidRPr="00DE2282" w:rsidRDefault="009E47DE" w:rsidP="009E47DE">
            <w:pPr>
              <w:jc w:val="center"/>
              <w:rPr>
                <w:noProof/>
                <w:sz w:val="18"/>
                <w:szCs w:val="18"/>
              </w:rPr>
            </w:pPr>
            <w:r w:rsidRPr="00DE2282">
              <w:rPr>
                <w:noProof/>
                <w:sz w:val="18"/>
              </w:rPr>
              <w:t>Coste</w:t>
            </w:r>
          </w:p>
        </w:tc>
        <w:tc>
          <w:tcPr>
            <w:tcW w:w="720" w:type="dxa"/>
            <w:tcBorders>
              <w:right w:val="dashSmallGap" w:sz="4" w:space="0" w:color="auto"/>
            </w:tcBorders>
            <w:shd w:val="pct10" w:color="auto" w:fill="auto"/>
            <w:textDirection w:val="btLr"/>
            <w:vAlign w:val="center"/>
          </w:tcPr>
          <w:p w:rsidR="009E47DE" w:rsidRPr="00DE2282" w:rsidRDefault="009E47DE" w:rsidP="009E47DE">
            <w:pPr>
              <w:ind w:left="113" w:right="113"/>
              <w:jc w:val="center"/>
              <w:rPr>
                <w:noProof/>
                <w:sz w:val="18"/>
                <w:szCs w:val="18"/>
              </w:rPr>
            </w:pPr>
            <w:r w:rsidRPr="00DE2282">
              <w:rPr>
                <w:noProof/>
                <w:sz w:val="18"/>
              </w:rPr>
              <w:t>Inversión anual</w:t>
            </w:r>
          </w:p>
        </w:tc>
        <w:tc>
          <w:tcPr>
            <w:tcW w:w="720" w:type="dxa"/>
            <w:tcBorders>
              <w:left w:val="dashSmallGap" w:sz="4" w:space="0" w:color="auto"/>
            </w:tcBorders>
            <w:shd w:val="pct10" w:color="auto" w:fill="auto"/>
            <w:vAlign w:val="center"/>
          </w:tcPr>
          <w:p w:rsidR="009E47DE" w:rsidRPr="00DE2282" w:rsidRDefault="009E47DE" w:rsidP="009E47DE">
            <w:pPr>
              <w:jc w:val="center"/>
              <w:rPr>
                <w:noProof/>
                <w:sz w:val="18"/>
                <w:szCs w:val="18"/>
              </w:rPr>
            </w:pPr>
            <w:r w:rsidRPr="00DE2282">
              <w:rPr>
                <w:noProof/>
                <w:sz w:val="18"/>
              </w:rPr>
              <w:t>Coste</w:t>
            </w:r>
          </w:p>
        </w:tc>
        <w:tc>
          <w:tcPr>
            <w:tcW w:w="972" w:type="dxa"/>
            <w:gridSpan w:val="2"/>
            <w:tcBorders>
              <w:right w:val="dashSmallGap" w:sz="4" w:space="0" w:color="auto"/>
            </w:tcBorders>
            <w:shd w:val="pct10" w:color="auto" w:fill="auto"/>
            <w:textDirection w:val="btLr"/>
            <w:vAlign w:val="center"/>
          </w:tcPr>
          <w:p w:rsidR="009E47DE" w:rsidRPr="00DE2282" w:rsidRDefault="009E47DE">
            <w:pPr>
              <w:ind w:left="113" w:right="113"/>
              <w:rPr>
                <w:noProof/>
                <w:sz w:val="18"/>
                <w:szCs w:val="18"/>
              </w:rPr>
            </w:pPr>
            <w:r w:rsidRPr="00DE2282">
              <w:rPr>
                <w:noProof/>
                <w:sz w:val="18"/>
              </w:rPr>
              <w:t>Inversión anual</w:t>
            </w:r>
          </w:p>
        </w:tc>
        <w:tc>
          <w:tcPr>
            <w:tcW w:w="648" w:type="dxa"/>
            <w:tcBorders>
              <w:left w:val="dashSmallGap" w:sz="4" w:space="0" w:color="auto"/>
            </w:tcBorders>
            <w:shd w:val="pct10" w:color="auto" w:fill="auto"/>
            <w:vAlign w:val="center"/>
          </w:tcPr>
          <w:p w:rsidR="009E47DE" w:rsidRPr="00DE2282" w:rsidRDefault="009E47DE" w:rsidP="009E47DE">
            <w:pPr>
              <w:jc w:val="center"/>
              <w:rPr>
                <w:noProof/>
                <w:sz w:val="18"/>
                <w:szCs w:val="18"/>
              </w:rPr>
            </w:pPr>
            <w:r w:rsidRPr="00DE2282">
              <w:rPr>
                <w:noProof/>
                <w:sz w:val="18"/>
              </w:rPr>
              <w:t>Coste</w:t>
            </w:r>
          </w:p>
        </w:tc>
        <w:tc>
          <w:tcPr>
            <w:tcW w:w="540" w:type="dxa"/>
            <w:tcBorders>
              <w:right w:val="dashSmallGap" w:sz="4" w:space="0" w:color="auto"/>
            </w:tcBorders>
            <w:shd w:val="pct10" w:color="auto" w:fill="auto"/>
            <w:textDirection w:val="btLr"/>
            <w:vAlign w:val="center"/>
          </w:tcPr>
          <w:p w:rsidR="009E47DE" w:rsidRPr="00DE2282" w:rsidRDefault="009E47DE" w:rsidP="009E47DE">
            <w:pPr>
              <w:ind w:left="113" w:right="113"/>
              <w:jc w:val="center"/>
              <w:rPr>
                <w:noProof/>
                <w:sz w:val="18"/>
                <w:szCs w:val="18"/>
              </w:rPr>
            </w:pPr>
            <w:r w:rsidRPr="00DE2282">
              <w:rPr>
                <w:noProof/>
                <w:sz w:val="18"/>
              </w:rPr>
              <w:t>Inversión anual</w:t>
            </w:r>
          </w:p>
        </w:tc>
        <w:tc>
          <w:tcPr>
            <w:tcW w:w="648" w:type="dxa"/>
            <w:tcBorders>
              <w:left w:val="dashSmallGap" w:sz="4" w:space="0" w:color="auto"/>
            </w:tcBorders>
            <w:shd w:val="pct10" w:color="auto" w:fill="auto"/>
            <w:vAlign w:val="center"/>
          </w:tcPr>
          <w:p w:rsidR="009E47DE" w:rsidRPr="00DE2282" w:rsidRDefault="009E47DE" w:rsidP="009E47DE">
            <w:pPr>
              <w:jc w:val="center"/>
              <w:rPr>
                <w:noProof/>
                <w:sz w:val="18"/>
                <w:szCs w:val="18"/>
              </w:rPr>
            </w:pPr>
            <w:r w:rsidRPr="00DE2282">
              <w:rPr>
                <w:noProof/>
                <w:sz w:val="18"/>
              </w:rPr>
              <w:t>Coste</w:t>
            </w:r>
          </w:p>
        </w:tc>
        <w:tc>
          <w:tcPr>
            <w:tcW w:w="574" w:type="dxa"/>
            <w:tcBorders>
              <w:right w:val="dashSmallGap" w:sz="4" w:space="0" w:color="auto"/>
            </w:tcBorders>
            <w:shd w:val="pct10" w:color="auto" w:fill="auto"/>
            <w:textDirection w:val="btLr"/>
            <w:vAlign w:val="center"/>
          </w:tcPr>
          <w:p w:rsidR="009E47DE" w:rsidRPr="00DE2282" w:rsidRDefault="009E47DE" w:rsidP="009E47DE">
            <w:pPr>
              <w:ind w:left="113" w:right="113"/>
              <w:jc w:val="center"/>
              <w:rPr>
                <w:noProof/>
                <w:sz w:val="18"/>
                <w:szCs w:val="18"/>
              </w:rPr>
            </w:pPr>
            <w:r w:rsidRPr="00DE2282">
              <w:rPr>
                <w:noProof/>
                <w:sz w:val="18"/>
              </w:rPr>
              <w:t>Inversión anual</w:t>
            </w:r>
          </w:p>
        </w:tc>
        <w:tc>
          <w:tcPr>
            <w:tcW w:w="578" w:type="dxa"/>
            <w:tcBorders>
              <w:left w:val="dashSmallGap" w:sz="4" w:space="0" w:color="auto"/>
            </w:tcBorders>
            <w:shd w:val="pct10" w:color="auto" w:fill="auto"/>
            <w:vAlign w:val="center"/>
          </w:tcPr>
          <w:p w:rsidR="009E47DE" w:rsidRPr="00DE2282" w:rsidRDefault="009E47DE" w:rsidP="009E47DE">
            <w:pPr>
              <w:jc w:val="center"/>
              <w:rPr>
                <w:noProof/>
                <w:sz w:val="18"/>
                <w:szCs w:val="18"/>
              </w:rPr>
            </w:pPr>
            <w:r w:rsidRPr="00DE2282">
              <w:rPr>
                <w:noProof/>
                <w:sz w:val="18"/>
              </w:rPr>
              <w:t>Coste</w:t>
            </w:r>
          </w:p>
        </w:tc>
        <w:tc>
          <w:tcPr>
            <w:tcW w:w="540" w:type="dxa"/>
            <w:tcBorders>
              <w:right w:val="dashSmallGap" w:sz="4" w:space="0" w:color="auto"/>
            </w:tcBorders>
            <w:shd w:val="pct10" w:color="auto" w:fill="auto"/>
            <w:textDirection w:val="btLr"/>
            <w:vAlign w:val="center"/>
          </w:tcPr>
          <w:p w:rsidR="009E47DE" w:rsidRPr="00DE2282" w:rsidRDefault="009E47DE" w:rsidP="009E47DE">
            <w:pPr>
              <w:ind w:left="113" w:right="113"/>
              <w:jc w:val="center"/>
              <w:rPr>
                <w:noProof/>
                <w:sz w:val="18"/>
                <w:szCs w:val="18"/>
              </w:rPr>
            </w:pPr>
            <w:r w:rsidRPr="00DE2282">
              <w:rPr>
                <w:noProof/>
                <w:sz w:val="18"/>
              </w:rPr>
              <w:t>Inversión anual</w:t>
            </w:r>
          </w:p>
        </w:tc>
        <w:tc>
          <w:tcPr>
            <w:tcW w:w="720" w:type="dxa"/>
            <w:tcBorders>
              <w:left w:val="dashSmallGap" w:sz="4" w:space="0" w:color="auto"/>
            </w:tcBorders>
            <w:shd w:val="pct10" w:color="auto" w:fill="auto"/>
            <w:vAlign w:val="center"/>
          </w:tcPr>
          <w:p w:rsidR="009E47DE" w:rsidRPr="00DE2282" w:rsidRDefault="009E47DE" w:rsidP="009E47DE">
            <w:pPr>
              <w:jc w:val="center"/>
              <w:rPr>
                <w:noProof/>
                <w:sz w:val="18"/>
                <w:szCs w:val="18"/>
              </w:rPr>
            </w:pPr>
            <w:r w:rsidRPr="00DE2282">
              <w:rPr>
                <w:noProof/>
                <w:sz w:val="18"/>
              </w:rPr>
              <w:t>Coste</w:t>
            </w:r>
          </w:p>
        </w:tc>
        <w:tc>
          <w:tcPr>
            <w:tcW w:w="720" w:type="dxa"/>
            <w:tcBorders>
              <w:right w:val="dashSmallGap" w:sz="4" w:space="0" w:color="auto"/>
            </w:tcBorders>
            <w:shd w:val="pct10" w:color="auto" w:fill="auto"/>
            <w:vAlign w:val="center"/>
          </w:tcPr>
          <w:p w:rsidR="009E47DE" w:rsidRPr="00DE2282" w:rsidRDefault="009E47DE" w:rsidP="009E47DE">
            <w:pPr>
              <w:jc w:val="center"/>
              <w:rPr>
                <w:noProof/>
                <w:sz w:val="18"/>
                <w:szCs w:val="18"/>
              </w:rPr>
            </w:pPr>
            <w:r w:rsidRPr="00DE2282">
              <w:rPr>
                <w:noProof/>
                <w:sz w:val="18"/>
              </w:rPr>
              <w:t>Inversión total</w:t>
            </w:r>
          </w:p>
        </w:tc>
        <w:tc>
          <w:tcPr>
            <w:tcW w:w="900" w:type="dxa"/>
            <w:tcBorders>
              <w:left w:val="dashSmallGap" w:sz="4" w:space="0" w:color="auto"/>
            </w:tcBorders>
            <w:shd w:val="pct10" w:color="auto" w:fill="auto"/>
            <w:vAlign w:val="center"/>
          </w:tcPr>
          <w:p w:rsidR="009E47DE" w:rsidRPr="00DE2282" w:rsidRDefault="009E47DE" w:rsidP="009E47DE">
            <w:pPr>
              <w:jc w:val="center"/>
              <w:rPr>
                <w:noProof/>
                <w:sz w:val="18"/>
                <w:szCs w:val="18"/>
              </w:rPr>
            </w:pPr>
            <w:r w:rsidRPr="00DE2282">
              <w:rPr>
                <w:noProof/>
                <w:sz w:val="18"/>
              </w:rPr>
              <w:t>Coste total</w:t>
            </w:r>
          </w:p>
        </w:tc>
      </w:tr>
      <w:tr w:rsidR="009E47DE" w:rsidRPr="00DE2282" w:rsidTr="00E17D96">
        <w:trPr>
          <w:jc w:val="center"/>
        </w:trPr>
        <w:tc>
          <w:tcPr>
            <w:tcW w:w="2844" w:type="dxa"/>
            <w:gridSpan w:val="3"/>
            <w:vAlign w:val="center"/>
          </w:tcPr>
          <w:p w:rsidR="009E47DE" w:rsidRPr="00DE2282" w:rsidRDefault="009E47DE" w:rsidP="009E47DE">
            <w:pPr>
              <w:spacing w:before="60" w:after="60"/>
              <w:ind w:right="-29"/>
              <w:jc w:val="center"/>
              <w:rPr>
                <w:noProof/>
                <w:sz w:val="18"/>
                <w:szCs w:val="18"/>
              </w:rPr>
            </w:pPr>
            <w:r w:rsidRPr="00DE2282">
              <w:rPr>
                <w:noProof/>
                <w:sz w:val="18"/>
              </w:rPr>
              <w:t>OBJETIVO ESPECÍFICO N.º 1</w:t>
            </w:r>
            <w:r w:rsidRPr="00DE2282">
              <w:rPr>
                <w:rStyle w:val="FootnoteReference"/>
                <w:noProof/>
                <w:sz w:val="18"/>
              </w:rPr>
              <w:footnoteReference w:id="34"/>
            </w:r>
            <w:r w:rsidRPr="00DE2282">
              <w:rPr>
                <w:noProof/>
                <w:sz w:val="18"/>
              </w:rPr>
              <w:t xml:space="preserve"> …</w:t>
            </w:r>
          </w:p>
        </w:tc>
        <w:tc>
          <w:tcPr>
            <w:tcW w:w="504" w:type="dxa"/>
            <w:tcBorders>
              <w:top w:val="nil"/>
              <w:left w:val="nil"/>
              <w:bottom w:val="nil"/>
              <w:right w:val="nil"/>
            </w:tcBorders>
          </w:tcPr>
          <w:p w:rsidR="009E47DE" w:rsidRPr="00DE2282" w:rsidRDefault="009E47DE" w:rsidP="009E47DE">
            <w:pPr>
              <w:spacing w:before="60" w:after="60"/>
              <w:ind w:right="-29"/>
              <w:jc w:val="center"/>
              <w:rPr>
                <w:noProof/>
                <w:sz w:val="18"/>
                <w:szCs w:val="18"/>
              </w:rPr>
            </w:pPr>
          </w:p>
        </w:tc>
        <w:tc>
          <w:tcPr>
            <w:tcW w:w="720" w:type="dxa"/>
            <w:tcBorders>
              <w:top w:val="nil"/>
              <w:left w:val="nil"/>
              <w:bottom w:val="nil"/>
              <w:right w:val="nil"/>
            </w:tcBorders>
          </w:tcPr>
          <w:p w:rsidR="009E47DE" w:rsidRPr="00DE2282" w:rsidRDefault="009E47DE" w:rsidP="009E47DE">
            <w:pPr>
              <w:spacing w:before="60" w:after="60"/>
              <w:ind w:right="-29"/>
              <w:jc w:val="center"/>
              <w:rPr>
                <w:noProof/>
                <w:sz w:val="18"/>
                <w:szCs w:val="18"/>
              </w:rPr>
            </w:pPr>
          </w:p>
        </w:tc>
        <w:tc>
          <w:tcPr>
            <w:tcW w:w="540" w:type="dxa"/>
            <w:tcBorders>
              <w:top w:val="nil"/>
              <w:left w:val="nil"/>
              <w:bottom w:val="nil"/>
              <w:right w:val="nil"/>
            </w:tcBorders>
          </w:tcPr>
          <w:p w:rsidR="009E47DE" w:rsidRPr="00DE2282" w:rsidRDefault="009E47DE" w:rsidP="009E47DE">
            <w:pPr>
              <w:spacing w:before="60" w:after="60"/>
              <w:ind w:right="-29"/>
              <w:jc w:val="center"/>
              <w:rPr>
                <w:noProof/>
                <w:sz w:val="18"/>
                <w:szCs w:val="18"/>
              </w:rPr>
            </w:pPr>
          </w:p>
        </w:tc>
        <w:tc>
          <w:tcPr>
            <w:tcW w:w="720" w:type="dxa"/>
            <w:tcBorders>
              <w:top w:val="nil"/>
              <w:left w:val="nil"/>
              <w:bottom w:val="nil"/>
              <w:right w:val="nil"/>
            </w:tcBorders>
          </w:tcPr>
          <w:p w:rsidR="009E47DE" w:rsidRPr="00DE2282" w:rsidRDefault="009E47DE" w:rsidP="009E47DE">
            <w:pPr>
              <w:spacing w:before="60" w:after="60"/>
              <w:ind w:right="-29"/>
              <w:jc w:val="center"/>
              <w:rPr>
                <w:noProof/>
                <w:sz w:val="18"/>
                <w:szCs w:val="18"/>
              </w:rPr>
            </w:pPr>
          </w:p>
        </w:tc>
        <w:tc>
          <w:tcPr>
            <w:tcW w:w="720" w:type="dxa"/>
            <w:tcBorders>
              <w:top w:val="nil"/>
              <w:left w:val="nil"/>
              <w:bottom w:val="nil"/>
              <w:right w:val="nil"/>
            </w:tcBorders>
          </w:tcPr>
          <w:p w:rsidR="009E47DE" w:rsidRPr="00DE2282" w:rsidRDefault="009E47DE" w:rsidP="009E47DE">
            <w:pPr>
              <w:spacing w:before="60" w:after="60"/>
              <w:ind w:right="-29"/>
              <w:jc w:val="center"/>
              <w:rPr>
                <w:noProof/>
                <w:sz w:val="18"/>
                <w:szCs w:val="18"/>
              </w:rPr>
            </w:pPr>
          </w:p>
        </w:tc>
        <w:tc>
          <w:tcPr>
            <w:tcW w:w="720" w:type="dxa"/>
            <w:tcBorders>
              <w:top w:val="nil"/>
              <w:left w:val="nil"/>
              <w:bottom w:val="nil"/>
              <w:right w:val="nil"/>
            </w:tcBorders>
          </w:tcPr>
          <w:p w:rsidR="009E47DE" w:rsidRPr="00DE2282" w:rsidRDefault="009E47DE" w:rsidP="009E47DE">
            <w:pPr>
              <w:spacing w:before="60" w:after="60"/>
              <w:ind w:right="-29"/>
              <w:jc w:val="center"/>
              <w:rPr>
                <w:noProof/>
                <w:sz w:val="18"/>
                <w:szCs w:val="18"/>
              </w:rPr>
            </w:pPr>
          </w:p>
        </w:tc>
        <w:tc>
          <w:tcPr>
            <w:tcW w:w="972" w:type="dxa"/>
            <w:gridSpan w:val="2"/>
            <w:tcBorders>
              <w:top w:val="nil"/>
              <w:left w:val="nil"/>
              <w:bottom w:val="nil"/>
              <w:right w:val="nil"/>
            </w:tcBorders>
          </w:tcPr>
          <w:p w:rsidR="009E47DE" w:rsidRPr="00DE2282" w:rsidRDefault="009E47DE" w:rsidP="009E47DE">
            <w:pPr>
              <w:spacing w:before="60" w:after="60"/>
              <w:ind w:right="-29"/>
              <w:jc w:val="center"/>
              <w:rPr>
                <w:noProof/>
                <w:sz w:val="18"/>
                <w:szCs w:val="18"/>
              </w:rPr>
            </w:pPr>
          </w:p>
        </w:tc>
        <w:tc>
          <w:tcPr>
            <w:tcW w:w="648" w:type="dxa"/>
            <w:tcBorders>
              <w:top w:val="nil"/>
              <w:left w:val="nil"/>
              <w:bottom w:val="nil"/>
              <w:right w:val="nil"/>
            </w:tcBorders>
          </w:tcPr>
          <w:p w:rsidR="009E47DE" w:rsidRPr="00DE2282" w:rsidRDefault="009E47DE" w:rsidP="009E47DE">
            <w:pPr>
              <w:spacing w:before="60" w:after="60"/>
              <w:ind w:right="-29"/>
              <w:jc w:val="center"/>
              <w:rPr>
                <w:noProof/>
                <w:sz w:val="18"/>
                <w:szCs w:val="18"/>
              </w:rPr>
            </w:pPr>
          </w:p>
        </w:tc>
        <w:tc>
          <w:tcPr>
            <w:tcW w:w="540" w:type="dxa"/>
            <w:tcBorders>
              <w:top w:val="nil"/>
              <w:left w:val="nil"/>
              <w:bottom w:val="nil"/>
              <w:right w:val="nil"/>
            </w:tcBorders>
          </w:tcPr>
          <w:p w:rsidR="009E47DE" w:rsidRPr="00DE2282" w:rsidRDefault="009E47DE" w:rsidP="009E47DE">
            <w:pPr>
              <w:spacing w:before="60" w:after="60"/>
              <w:ind w:right="-29"/>
              <w:jc w:val="center"/>
              <w:rPr>
                <w:noProof/>
                <w:sz w:val="18"/>
                <w:szCs w:val="18"/>
              </w:rPr>
            </w:pPr>
          </w:p>
        </w:tc>
        <w:tc>
          <w:tcPr>
            <w:tcW w:w="648" w:type="dxa"/>
            <w:tcBorders>
              <w:top w:val="nil"/>
              <w:left w:val="nil"/>
              <w:bottom w:val="nil"/>
              <w:right w:val="nil"/>
            </w:tcBorders>
          </w:tcPr>
          <w:p w:rsidR="009E47DE" w:rsidRPr="00DE2282" w:rsidRDefault="009E47DE" w:rsidP="009E47DE">
            <w:pPr>
              <w:spacing w:before="60" w:after="60"/>
              <w:ind w:right="-29"/>
              <w:jc w:val="center"/>
              <w:rPr>
                <w:noProof/>
                <w:sz w:val="18"/>
                <w:szCs w:val="18"/>
              </w:rPr>
            </w:pPr>
          </w:p>
        </w:tc>
        <w:tc>
          <w:tcPr>
            <w:tcW w:w="574" w:type="dxa"/>
            <w:tcBorders>
              <w:top w:val="nil"/>
              <w:left w:val="nil"/>
              <w:bottom w:val="nil"/>
              <w:right w:val="nil"/>
            </w:tcBorders>
          </w:tcPr>
          <w:p w:rsidR="009E47DE" w:rsidRPr="00DE2282" w:rsidRDefault="009E47DE" w:rsidP="009E47DE">
            <w:pPr>
              <w:spacing w:before="60" w:after="60"/>
              <w:ind w:right="-29"/>
              <w:jc w:val="center"/>
              <w:rPr>
                <w:noProof/>
                <w:sz w:val="18"/>
                <w:szCs w:val="18"/>
              </w:rPr>
            </w:pPr>
          </w:p>
        </w:tc>
        <w:tc>
          <w:tcPr>
            <w:tcW w:w="578" w:type="dxa"/>
            <w:tcBorders>
              <w:top w:val="nil"/>
              <w:left w:val="nil"/>
              <w:bottom w:val="nil"/>
              <w:right w:val="nil"/>
            </w:tcBorders>
          </w:tcPr>
          <w:p w:rsidR="009E47DE" w:rsidRPr="00DE2282" w:rsidRDefault="009E47DE" w:rsidP="009E47DE">
            <w:pPr>
              <w:spacing w:before="60" w:after="60"/>
              <w:ind w:right="-29"/>
              <w:jc w:val="center"/>
              <w:rPr>
                <w:noProof/>
                <w:sz w:val="18"/>
                <w:szCs w:val="18"/>
              </w:rPr>
            </w:pPr>
          </w:p>
        </w:tc>
        <w:tc>
          <w:tcPr>
            <w:tcW w:w="540" w:type="dxa"/>
            <w:tcBorders>
              <w:top w:val="nil"/>
              <w:left w:val="nil"/>
              <w:bottom w:val="nil"/>
              <w:right w:val="nil"/>
            </w:tcBorders>
          </w:tcPr>
          <w:p w:rsidR="009E47DE" w:rsidRPr="00DE2282" w:rsidRDefault="009E47DE" w:rsidP="009E47DE">
            <w:pPr>
              <w:spacing w:before="60" w:after="60"/>
              <w:ind w:right="-29"/>
              <w:jc w:val="center"/>
              <w:rPr>
                <w:noProof/>
                <w:sz w:val="18"/>
                <w:szCs w:val="18"/>
              </w:rPr>
            </w:pPr>
          </w:p>
        </w:tc>
        <w:tc>
          <w:tcPr>
            <w:tcW w:w="720" w:type="dxa"/>
            <w:tcBorders>
              <w:top w:val="nil"/>
              <w:left w:val="nil"/>
              <w:bottom w:val="nil"/>
              <w:right w:val="nil"/>
            </w:tcBorders>
          </w:tcPr>
          <w:p w:rsidR="009E47DE" w:rsidRPr="00DE2282" w:rsidRDefault="009E47DE" w:rsidP="009E47DE">
            <w:pPr>
              <w:spacing w:before="60" w:after="60"/>
              <w:ind w:right="-29"/>
              <w:jc w:val="center"/>
              <w:rPr>
                <w:noProof/>
                <w:sz w:val="18"/>
                <w:szCs w:val="18"/>
              </w:rPr>
            </w:pPr>
          </w:p>
        </w:tc>
        <w:tc>
          <w:tcPr>
            <w:tcW w:w="720" w:type="dxa"/>
            <w:tcBorders>
              <w:top w:val="nil"/>
              <w:left w:val="nil"/>
              <w:bottom w:val="nil"/>
              <w:right w:val="nil"/>
            </w:tcBorders>
          </w:tcPr>
          <w:p w:rsidR="009E47DE" w:rsidRPr="00DE2282" w:rsidRDefault="009E47DE" w:rsidP="009E47DE">
            <w:pPr>
              <w:spacing w:before="60" w:after="60"/>
              <w:ind w:right="-29"/>
              <w:jc w:val="center"/>
              <w:rPr>
                <w:noProof/>
                <w:sz w:val="18"/>
                <w:szCs w:val="18"/>
              </w:rPr>
            </w:pPr>
          </w:p>
        </w:tc>
        <w:tc>
          <w:tcPr>
            <w:tcW w:w="900" w:type="dxa"/>
            <w:tcBorders>
              <w:top w:val="nil"/>
              <w:left w:val="nil"/>
              <w:bottom w:val="nil"/>
              <w:right w:val="nil"/>
            </w:tcBorders>
          </w:tcPr>
          <w:p w:rsidR="009E47DE" w:rsidRPr="00DE2282" w:rsidRDefault="009E47DE" w:rsidP="009E47DE">
            <w:pPr>
              <w:spacing w:before="60" w:after="60"/>
              <w:ind w:right="-29"/>
              <w:jc w:val="center"/>
              <w:rPr>
                <w:noProof/>
                <w:sz w:val="18"/>
                <w:szCs w:val="18"/>
              </w:rPr>
            </w:pPr>
          </w:p>
        </w:tc>
      </w:tr>
      <w:tr w:rsidR="009E47DE" w:rsidRPr="00DE2282" w:rsidTr="00E17D96">
        <w:trPr>
          <w:trHeight w:hRule="exact" w:val="817"/>
          <w:jc w:val="center"/>
        </w:trPr>
        <w:tc>
          <w:tcPr>
            <w:tcW w:w="1645" w:type="dxa"/>
          </w:tcPr>
          <w:p w:rsidR="009E47DE" w:rsidRPr="00DE2282" w:rsidRDefault="009E47DE" w:rsidP="009E47DE">
            <w:pPr>
              <w:ind w:right="-29"/>
              <w:jc w:val="left"/>
              <w:rPr>
                <w:noProof/>
                <w:sz w:val="18"/>
              </w:rPr>
            </w:pPr>
            <w:r w:rsidRPr="00DE2282">
              <w:rPr>
                <w:noProof/>
                <w:sz w:val="18"/>
              </w:rPr>
              <w:t>Inversión anual del BERD en Ucrania [millones EUR]</w:t>
            </w:r>
          </w:p>
        </w:tc>
        <w:tc>
          <w:tcPr>
            <w:tcW w:w="498" w:type="dxa"/>
          </w:tcPr>
          <w:p w:rsidR="009E47DE" w:rsidRPr="00DE2282" w:rsidRDefault="009E47DE" w:rsidP="009E47DE">
            <w:pPr>
              <w:ind w:right="-29"/>
              <w:rPr>
                <w:noProof/>
                <w:sz w:val="18"/>
                <w:szCs w:val="18"/>
              </w:rPr>
            </w:pPr>
            <w:r w:rsidRPr="00DE2282">
              <w:rPr>
                <w:noProof/>
                <w:sz w:val="18"/>
              </w:rPr>
              <w:t>t</w:t>
            </w:r>
          </w:p>
        </w:tc>
        <w:tc>
          <w:tcPr>
            <w:tcW w:w="701" w:type="dxa"/>
          </w:tcPr>
          <w:p w:rsidR="009E47DE" w:rsidRPr="00DE2282" w:rsidRDefault="009E47DE" w:rsidP="009E47DE">
            <w:pPr>
              <w:ind w:right="-29"/>
              <w:jc w:val="center"/>
              <w:rPr>
                <w:noProof/>
                <w:sz w:val="18"/>
                <w:szCs w:val="18"/>
              </w:rPr>
            </w:pPr>
          </w:p>
        </w:tc>
        <w:tc>
          <w:tcPr>
            <w:tcW w:w="504" w:type="dxa"/>
            <w:tcBorders>
              <w:right w:val="dashSmallGap" w:sz="4" w:space="0" w:color="auto"/>
            </w:tcBorders>
          </w:tcPr>
          <w:p w:rsidR="009E47DE" w:rsidRPr="00DE2282" w:rsidRDefault="009E47DE" w:rsidP="009E47DE">
            <w:pPr>
              <w:ind w:right="-29"/>
              <w:jc w:val="center"/>
              <w:rPr>
                <w:noProof/>
                <w:sz w:val="18"/>
                <w:szCs w:val="18"/>
              </w:rPr>
            </w:pPr>
            <w:r w:rsidRPr="00DE2282">
              <w:rPr>
                <w:noProof/>
                <w:sz w:val="14"/>
              </w:rPr>
              <w:t>2 500</w:t>
            </w:r>
          </w:p>
        </w:tc>
        <w:tc>
          <w:tcPr>
            <w:tcW w:w="720" w:type="dxa"/>
            <w:tcBorders>
              <w:left w:val="dashSmallGap" w:sz="4" w:space="0" w:color="auto"/>
            </w:tcBorders>
          </w:tcPr>
          <w:p w:rsidR="009E47DE" w:rsidRPr="00DE2282" w:rsidRDefault="009E47DE" w:rsidP="009E47DE">
            <w:pPr>
              <w:ind w:right="-29"/>
              <w:jc w:val="center"/>
              <w:rPr>
                <w:noProof/>
                <w:sz w:val="18"/>
                <w:szCs w:val="18"/>
              </w:rPr>
            </w:pPr>
            <w:r w:rsidRPr="00DE2282">
              <w:rPr>
                <w:noProof/>
                <w:sz w:val="14"/>
              </w:rPr>
              <w:t>121 200</w:t>
            </w:r>
          </w:p>
        </w:tc>
        <w:tc>
          <w:tcPr>
            <w:tcW w:w="540" w:type="dxa"/>
            <w:tcBorders>
              <w:right w:val="dashSmallGap" w:sz="4" w:space="0" w:color="auto"/>
            </w:tcBorders>
          </w:tcPr>
          <w:p w:rsidR="009E47DE" w:rsidRPr="00DE2282" w:rsidRDefault="009E47DE" w:rsidP="009E47DE">
            <w:pPr>
              <w:ind w:right="-29"/>
              <w:jc w:val="center"/>
              <w:rPr>
                <w:noProof/>
                <w:sz w:val="18"/>
                <w:szCs w:val="18"/>
              </w:rPr>
            </w:pPr>
            <w:r w:rsidRPr="00DE2282">
              <w:rPr>
                <w:noProof/>
                <w:sz w:val="14"/>
              </w:rPr>
              <w:t>2 500</w:t>
            </w:r>
          </w:p>
        </w:tc>
        <w:tc>
          <w:tcPr>
            <w:tcW w:w="720" w:type="dxa"/>
            <w:tcBorders>
              <w:left w:val="dashSmallGap" w:sz="4" w:space="0" w:color="auto"/>
            </w:tcBorders>
          </w:tcPr>
          <w:p w:rsidR="009E47DE" w:rsidRPr="00DE2282" w:rsidRDefault="009E47DE" w:rsidP="009E47DE">
            <w:pPr>
              <w:ind w:right="-29"/>
              <w:jc w:val="center"/>
              <w:rPr>
                <w:noProof/>
                <w:sz w:val="18"/>
                <w:szCs w:val="18"/>
              </w:rPr>
            </w:pPr>
          </w:p>
        </w:tc>
        <w:tc>
          <w:tcPr>
            <w:tcW w:w="720" w:type="dxa"/>
            <w:tcBorders>
              <w:right w:val="dashSmallGap" w:sz="4" w:space="0" w:color="auto"/>
            </w:tcBorders>
          </w:tcPr>
          <w:p w:rsidR="009E47DE" w:rsidRPr="00DE2282" w:rsidRDefault="009E47DE" w:rsidP="009E47DE">
            <w:pPr>
              <w:ind w:right="-29"/>
              <w:jc w:val="center"/>
              <w:rPr>
                <w:noProof/>
                <w:sz w:val="18"/>
                <w:szCs w:val="18"/>
              </w:rPr>
            </w:pPr>
            <w:r w:rsidRPr="00DE2282">
              <w:rPr>
                <w:noProof/>
                <w:sz w:val="14"/>
              </w:rPr>
              <w:t>3 000</w:t>
            </w:r>
          </w:p>
        </w:tc>
        <w:tc>
          <w:tcPr>
            <w:tcW w:w="720" w:type="dxa"/>
            <w:tcBorders>
              <w:left w:val="dashSmallGap" w:sz="4" w:space="0" w:color="auto"/>
            </w:tcBorders>
          </w:tcPr>
          <w:p w:rsidR="009E47DE" w:rsidRPr="00DE2282" w:rsidRDefault="009E47DE" w:rsidP="009E47DE">
            <w:pPr>
              <w:ind w:right="-29"/>
              <w:jc w:val="center"/>
              <w:rPr>
                <w:noProof/>
                <w:sz w:val="18"/>
                <w:szCs w:val="18"/>
              </w:rPr>
            </w:pPr>
          </w:p>
        </w:tc>
        <w:tc>
          <w:tcPr>
            <w:tcW w:w="972" w:type="dxa"/>
            <w:gridSpan w:val="2"/>
            <w:tcBorders>
              <w:right w:val="dashSmallGap" w:sz="4" w:space="0" w:color="auto"/>
            </w:tcBorders>
          </w:tcPr>
          <w:p w:rsidR="009E47DE" w:rsidRPr="00DE2282" w:rsidRDefault="009E47DE" w:rsidP="009E47DE">
            <w:pPr>
              <w:ind w:right="-29"/>
              <w:jc w:val="center"/>
              <w:rPr>
                <w:noProof/>
                <w:sz w:val="18"/>
                <w:szCs w:val="18"/>
              </w:rPr>
            </w:pPr>
            <w:r w:rsidRPr="00DE2282">
              <w:rPr>
                <w:noProof/>
                <w:sz w:val="14"/>
              </w:rPr>
              <w:t>3 000</w:t>
            </w:r>
          </w:p>
        </w:tc>
        <w:tc>
          <w:tcPr>
            <w:tcW w:w="648" w:type="dxa"/>
            <w:tcBorders>
              <w:left w:val="dashSmallGap" w:sz="4" w:space="0" w:color="auto"/>
            </w:tcBorders>
          </w:tcPr>
          <w:p w:rsidR="009E47DE" w:rsidRPr="00DE2282" w:rsidRDefault="009E47DE" w:rsidP="009E47DE">
            <w:pPr>
              <w:ind w:right="-29"/>
              <w:jc w:val="center"/>
              <w:rPr>
                <w:noProof/>
                <w:sz w:val="18"/>
                <w:szCs w:val="18"/>
              </w:rPr>
            </w:pPr>
          </w:p>
        </w:tc>
        <w:tc>
          <w:tcPr>
            <w:tcW w:w="540" w:type="dxa"/>
            <w:tcBorders>
              <w:right w:val="dashSmallGap" w:sz="4" w:space="0" w:color="auto"/>
            </w:tcBorders>
          </w:tcPr>
          <w:p w:rsidR="009E47DE" w:rsidRPr="00DE2282" w:rsidRDefault="009E47DE" w:rsidP="009E47DE">
            <w:pPr>
              <w:ind w:right="-29"/>
              <w:jc w:val="center"/>
              <w:rPr>
                <w:noProof/>
                <w:sz w:val="18"/>
                <w:szCs w:val="18"/>
              </w:rPr>
            </w:pPr>
            <w:r w:rsidRPr="00DE2282">
              <w:rPr>
                <w:noProof/>
                <w:sz w:val="14"/>
              </w:rPr>
              <w:t>3 000</w:t>
            </w:r>
          </w:p>
        </w:tc>
        <w:tc>
          <w:tcPr>
            <w:tcW w:w="648" w:type="dxa"/>
            <w:tcBorders>
              <w:left w:val="dashSmallGap" w:sz="4" w:space="0" w:color="auto"/>
            </w:tcBorders>
          </w:tcPr>
          <w:p w:rsidR="009E47DE" w:rsidRPr="00DE2282" w:rsidRDefault="009E47DE" w:rsidP="009E47DE">
            <w:pPr>
              <w:ind w:right="-29"/>
              <w:jc w:val="center"/>
              <w:rPr>
                <w:noProof/>
                <w:sz w:val="18"/>
                <w:szCs w:val="18"/>
              </w:rPr>
            </w:pPr>
          </w:p>
        </w:tc>
        <w:tc>
          <w:tcPr>
            <w:tcW w:w="574" w:type="dxa"/>
            <w:tcBorders>
              <w:right w:val="dashSmallGap" w:sz="4" w:space="0" w:color="auto"/>
            </w:tcBorders>
          </w:tcPr>
          <w:p w:rsidR="009E47DE" w:rsidRPr="00DE2282" w:rsidRDefault="009E47DE" w:rsidP="009E47DE">
            <w:pPr>
              <w:ind w:right="-29"/>
              <w:jc w:val="center"/>
              <w:rPr>
                <w:noProof/>
                <w:sz w:val="18"/>
                <w:szCs w:val="18"/>
              </w:rPr>
            </w:pPr>
            <w:r w:rsidRPr="00DE2282">
              <w:rPr>
                <w:noProof/>
                <w:sz w:val="14"/>
              </w:rPr>
              <w:t>3 000</w:t>
            </w:r>
          </w:p>
        </w:tc>
        <w:tc>
          <w:tcPr>
            <w:tcW w:w="578" w:type="dxa"/>
            <w:tcBorders>
              <w:left w:val="dashSmallGap" w:sz="4" w:space="0" w:color="auto"/>
            </w:tcBorders>
          </w:tcPr>
          <w:p w:rsidR="009E47DE" w:rsidRPr="00DE2282" w:rsidRDefault="009E47DE" w:rsidP="009E47DE">
            <w:pPr>
              <w:ind w:right="-29"/>
              <w:jc w:val="center"/>
              <w:rPr>
                <w:noProof/>
                <w:sz w:val="16"/>
                <w:szCs w:val="16"/>
              </w:rPr>
            </w:pPr>
            <w:r w:rsidRPr="00DE2282">
              <w:rPr>
                <w:noProof/>
                <w:sz w:val="16"/>
              </w:rPr>
              <w:t>0</w:t>
            </w:r>
          </w:p>
        </w:tc>
        <w:tc>
          <w:tcPr>
            <w:tcW w:w="540" w:type="dxa"/>
            <w:tcBorders>
              <w:right w:val="dashSmallGap" w:sz="4" w:space="0" w:color="auto"/>
            </w:tcBorders>
          </w:tcPr>
          <w:p w:rsidR="009E47DE" w:rsidRPr="00DE2282" w:rsidRDefault="009E47DE" w:rsidP="009E47DE">
            <w:pPr>
              <w:ind w:right="-29"/>
              <w:jc w:val="center"/>
              <w:rPr>
                <w:noProof/>
                <w:sz w:val="14"/>
                <w:szCs w:val="14"/>
              </w:rPr>
            </w:pPr>
            <w:r w:rsidRPr="00DE2282">
              <w:rPr>
                <w:noProof/>
                <w:sz w:val="14"/>
              </w:rPr>
              <w:t>3 000</w:t>
            </w:r>
          </w:p>
        </w:tc>
        <w:tc>
          <w:tcPr>
            <w:tcW w:w="720" w:type="dxa"/>
            <w:tcBorders>
              <w:left w:val="dashSmallGap" w:sz="4" w:space="0" w:color="auto"/>
            </w:tcBorders>
          </w:tcPr>
          <w:p w:rsidR="009E47DE" w:rsidRPr="00DE2282" w:rsidRDefault="009E47DE" w:rsidP="009E47DE">
            <w:pPr>
              <w:ind w:right="-29"/>
              <w:jc w:val="center"/>
              <w:rPr>
                <w:noProof/>
                <w:sz w:val="16"/>
                <w:szCs w:val="16"/>
              </w:rPr>
            </w:pPr>
            <w:r w:rsidRPr="00DE2282">
              <w:rPr>
                <w:noProof/>
                <w:sz w:val="16"/>
              </w:rPr>
              <w:t>0</w:t>
            </w:r>
          </w:p>
        </w:tc>
        <w:tc>
          <w:tcPr>
            <w:tcW w:w="720" w:type="dxa"/>
          </w:tcPr>
          <w:p w:rsidR="009E47DE" w:rsidRPr="00DE2282" w:rsidRDefault="009E47DE" w:rsidP="009E47DE">
            <w:pPr>
              <w:ind w:right="-29"/>
              <w:jc w:val="center"/>
              <w:rPr>
                <w:noProof/>
                <w:sz w:val="16"/>
                <w:szCs w:val="16"/>
              </w:rPr>
            </w:pPr>
            <w:r w:rsidRPr="00DE2282">
              <w:rPr>
                <w:noProof/>
                <w:sz w:val="16"/>
              </w:rPr>
              <w:t>20 000</w:t>
            </w:r>
          </w:p>
        </w:tc>
        <w:tc>
          <w:tcPr>
            <w:tcW w:w="900" w:type="dxa"/>
          </w:tcPr>
          <w:p w:rsidR="009E47DE" w:rsidRPr="00DE2282" w:rsidRDefault="009E47DE" w:rsidP="009E47DE">
            <w:pPr>
              <w:ind w:right="-29"/>
              <w:jc w:val="center"/>
              <w:rPr>
                <w:noProof/>
                <w:sz w:val="16"/>
                <w:szCs w:val="16"/>
              </w:rPr>
            </w:pPr>
            <w:r w:rsidRPr="00DE2282">
              <w:rPr>
                <w:noProof/>
                <w:sz w:val="16"/>
              </w:rPr>
              <w:t>121 020</w:t>
            </w:r>
          </w:p>
        </w:tc>
      </w:tr>
      <w:tr w:rsidR="009E47DE" w:rsidRPr="00DE2282" w:rsidTr="00E17D96">
        <w:trPr>
          <w:trHeight w:hRule="exact" w:val="369"/>
          <w:jc w:val="center"/>
        </w:trPr>
        <w:tc>
          <w:tcPr>
            <w:tcW w:w="1645" w:type="dxa"/>
          </w:tcPr>
          <w:p w:rsidR="009E47DE" w:rsidRPr="00DE2282" w:rsidRDefault="009E47DE" w:rsidP="009E47DE">
            <w:pPr>
              <w:ind w:right="-29"/>
              <w:jc w:val="center"/>
              <w:rPr>
                <w:noProof/>
                <w:sz w:val="18"/>
                <w:szCs w:val="18"/>
              </w:rPr>
            </w:pPr>
            <w:r w:rsidRPr="00DE2282">
              <w:rPr>
                <w:noProof/>
                <w:sz w:val="18"/>
              </w:rPr>
              <w:t>- Resultado</w:t>
            </w:r>
          </w:p>
        </w:tc>
        <w:tc>
          <w:tcPr>
            <w:tcW w:w="498" w:type="dxa"/>
          </w:tcPr>
          <w:p w:rsidR="009E47DE" w:rsidRPr="00DE2282" w:rsidRDefault="009E47DE" w:rsidP="009E47DE">
            <w:pPr>
              <w:ind w:right="-29"/>
              <w:jc w:val="center"/>
              <w:rPr>
                <w:noProof/>
                <w:sz w:val="18"/>
                <w:szCs w:val="18"/>
              </w:rPr>
            </w:pPr>
          </w:p>
        </w:tc>
        <w:tc>
          <w:tcPr>
            <w:tcW w:w="701" w:type="dxa"/>
          </w:tcPr>
          <w:p w:rsidR="009E47DE" w:rsidRPr="00DE2282" w:rsidRDefault="009E47DE" w:rsidP="009E47DE">
            <w:pPr>
              <w:ind w:right="-29"/>
              <w:jc w:val="center"/>
              <w:rPr>
                <w:noProof/>
                <w:sz w:val="18"/>
                <w:szCs w:val="18"/>
              </w:rPr>
            </w:pPr>
          </w:p>
        </w:tc>
        <w:tc>
          <w:tcPr>
            <w:tcW w:w="504" w:type="dxa"/>
            <w:tcBorders>
              <w:right w:val="dashSmallGap" w:sz="4" w:space="0" w:color="auto"/>
            </w:tcBorders>
          </w:tcPr>
          <w:p w:rsidR="009E47DE" w:rsidRPr="00DE2282" w:rsidRDefault="009E47DE" w:rsidP="009E47DE">
            <w:pPr>
              <w:ind w:right="-29"/>
              <w:jc w:val="center"/>
              <w:rPr>
                <w:noProof/>
                <w:sz w:val="18"/>
                <w:szCs w:val="18"/>
              </w:rPr>
            </w:pPr>
          </w:p>
        </w:tc>
        <w:tc>
          <w:tcPr>
            <w:tcW w:w="720" w:type="dxa"/>
            <w:tcBorders>
              <w:left w:val="dashSmallGap" w:sz="4" w:space="0" w:color="auto"/>
            </w:tcBorders>
          </w:tcPr>
          <w:p w:rsidR="009E47DE" w:rsidRPr="00DE2282" w:rsidRDefault="009E47DE" w:rsidP="009E47DE">
            <w:pPr>
              <w:ind w:right="-29"/>
              <w:jc w:val="center"/>
              <w:rPr>
                <w:noProof/>
                <w:sz w:val="18"/>
                <w:szCs w:val="18"/>
              </w:rPr>
            </w:pPr>
          </w:p>
        </w:tc>
        <w:tc>
          <w:tcPr>
            <w:tcW w:w="540" w:type="dxa"/>
            <w:tcBorders>
              <w:right w:val="dashSmallGap" w:sz="4" w:space="0" w:color="auto"/>
            </w:tcBorders>
          </w:tcPr>
          <w:p w:rsidR="009E47DE" w:rsidRPr="00DE2282" w:rsidRDefault="009E47DE" w:rsidP="009E47DE">
            <w:pPr>
              <w:ind w:right="-29"/>
              <w:jc w:val="center"/>
              <w:rPr>
                <w:noProof/>
                <w:sz w:val="18"/>
                <w:szCs w:val="18"/>
              </w:rPr>
            </w:pPr>
          </w:p>
        </w:tc>
        <w:tc>
          <w:tcPr>
            <w:tcW w:w="720" w:type="dxa"/>
            <w:tcBorders>
              <w:left w:val="dashSmallGap" w:sz="4" w:space="0" w:color="auto"/>
            </w:tcBorders>
          </w:tcPr>
          <w:p w:rsidR="009E47DE" w:rsidRPr="00DE2282" w:rsidRDefault="009E47DE" w:rsidP="009E47DE">
            <w:pPr>
              <w:ind w:right="-29"/>
              <w:jc w:val="center"/>
              <w:rPr>
                <w:noProof/>
                <w:sz w:val="18"/>
                <w:szCs w:val="18"/>
              </w:rPr>
            </w:pPr>
          </w:p>
        </w:tc>
        <w:tc>
          <w:tcPr>
            <w:tcW w:w="720" w:type="dxa"/>
            <w:tcBorders>
              <w:right w:val="dashSmallGap" w:sz="4" w:space="0" w:color="auto"/>
            </w:tcBorders>
          </w:tcPr>
          <w:p w:rsidR="009E47DE" w:rsidRPr="00DE2282" w:rsidRDefault="009E47DE" w:rsidP="009E47DE">
            <w:pPr>
              <w:ind w:right="-29"/>
              <w:jc w:val="center"/>
              <w:rPr>
                <w:noProof/>
                <w:sz w:val="18"/>
                <w:szCs w:val="18"/>
              </w:rPr>
            </w:pPr>
          </w:p>
        </w:tc>
        <w:tc>
          <w:tcPr>
            <w:tcW w:w="720" w:type="dxa"/>
            <w:tcBorders>
              <w:left w:val="dashSmallGap" w:sz="4" w:space="0" w:color="auto"/>
            </w:tcBorders>
          </w:tcPr>
          <w:p w:rsidR="009E47DE" w:rsidRPr="00DE2282" w:rsidRDefault="009E47DE" w:rsidP="009E47DE">
            <w:pPr>
              <w:ind w:right="-29"/>
              <w:jc w:val="center"/>
              <w:rPr>
                <w:noProof/>
                <w:sz w:val="18"/>
                <w:szCs w:val="18"/>
              </w:rPr>
            </w:pPr>
          </w:p>
        </w:tc>
        <w:tc>
          <w:tcPr>
            <w:tcW w:w="972" w:type="dxa"/>
            <w:gridSpan w:val="2"/>
            <w:tcBorders>
              <w:right w:val="dashSmallGap" w:sz="4" w:space="0" w:color="auto"/>
            </w:tcBorders>
          </w:tcPr>
          <w:p w:rsidR="009E47DE" w:rsidRPr="00DE2282" w:rsidRDefault="009E47DE" w:rsidP="009E47DE">
            <w:pPr>
              <w:ind w:right="-29"/>
              <w:jc w:val="center"/>
              <w:rPr>
                <w:noProof/>
                <w:sz w:val="18"/>
                <w:szCs w:val="18"/>
              </w:rPr>
            </w:pPr>
          </w:p>
        </w:tc>
        <w:tc>
          <w:tcPr>
            <w:tcW w:w="648" w:type="dxa"/>
            <w:tcBorders>
              <w:left w:val="dashSmallGap" w:sz="4" w:space="0" w:color="auto"/>
            </w:tcBorders>
          </w:tcPr>
          <w:p w:rsidR="009E47DE" w:rsidRPr="00DE2282" w:rsidRDefault="009E47DE" w:rsidP="009E47DE">
            <w:pPr>
              <w:ind w:right="-29"/>
              <w:jc w:val="center"/>
              <w:rPr>
                <w:noProof/>
                <w:sz w:val="18"/>
                <w:szCs w:val="18"/>
              </w:rPr>
            </w:pPr>
          </w:p>
        </w:tc>
        <w:tc>
          <w:tcPr>
            <w:tcW w:w="540" w:type="dxa"/>
            <w:tcBorders>
              <w:right w:val="dashSmallGap" w:sz="4" w:space="0" w:color="auto"/>
            </w:tcBorders>
          </w:tcPr>
          <w:p w:rsidR="009E47DE" w:rsidRPr="00DE2282" w:rsidRDefault="009E47DE" w:rsidP="009E47DE">
            <w:pPr>
              <w:ind w:right="-29"/>
              <w:jc w:val="center"/>
              <w:rPr>
                <w:noProof/>
                <w:sz w:val="18"/>
                <w:szCs w:val="18"/>
              </w:rPr>
            </w:pPr>
          </w:p>
        </w:tc>
        <w:tc>
          <w:tcPr>
            <w:tcW w:w="648" w:type="dxa"/>
            <w:tcBorders>
              <w:left w:val="dashSmallGap" w:sz="4" w:space="0" w:color="auto"/>
            </w:tcBorders>
          </w:tcPr>
          <w:p w:rsidR="009E47DE" w:rsidRPr="00DE2282" w:rsidRDefault="009E47DE" w:rsidP="009E47DE">
            <w:pPr>
              <w:ind w:right="-29"/>
              <w:jc w:val="center"/>
              <w:rPr>
                <w:noProof/>
                <w:sz w:val="18"/>
                <w:szCs w:val="18"/>
              </w:rPr>
            </w:pPr>
          </w:p>
        </w:tc>
        <w:tc>
          <w:tcPr>
            <w:tcW w:w="574" w:type="dxa"/>
            <w:tcBorders>
              <w:right w:val="dashSmallGap" w:sz="4" w:space="0" w:color="auto"/>
            </w:tcBorders>
          </w:tcPr>
          <w:p w:rsidR="009E47DE" w:rsidRPr="00DE2282" w:rsidRDefault="009E47DE" w:rsidP="009E47DE">
            <w:pPr>
              <w:ind w:right="-29"/>
              <w:jc w:val="center"/>
              <w:rPr>
                <w:noProof/>
                <w:sz w:val="18"/>
                <w:szCs w:val="18"/>
              </w:rPr>
            </w:pPr>
          </w:p>
        </w:tc>
        <w:tc>
          <w:tcPr>
            <w:tcW w:w="578" w:type="dxa"/>
            <w:tcBorders>
              <w:left w:val="dashSmallGap" w:sz="4" w:space="0" w:color="auto"/>
            </w:tcBorders>
          </w:tcPr>
          <w:p w:rsidR="009E47DE" w:rsidRPr="00DE2282" w:rsidRDefault="009E47DE" w:rsidP="009E47DE">
            <w:pPr>
              <w:ind w:right="-29"/>
              <w:jc w:val="center"/>
              <w:rPr>
                <w:noProof/>
                <w:sz w:val="16"/>
                <w:szCs w:val="16"/>
              </w:rPr>
            </w:pPr>
          </w:p>
        </w:tc>
        <w:tc>
          <w:tcPr>
            <w:tcW w:w="540" w:type="dxa"/>
            <w:tcBorders>
              <w:right w:val="dashSmallGap" w:sz="4" w:space="0" w:color="auto"/>
            </w:tcBorders>
          </w:tcPr>
          <w:p w:rsidR="009E47DE" w:rsidRPr="00DE2282" w:rsidRDefault="009E47DE" w:rsidP="009E47DE">
            <w:pPr>
              <w:ind w:right="-29"/>
              <w:jc w:val="center"/>
              <w:rPr>
                <w:noProof/>
                <w:sz w:val="18"/>
                <w:szCs w:val="18"/>
              </w:rPr>
            </w:pPr>
          </w:p>
        </w:tc>
        <w:tc>
          <w:tcPr>
            <w:tcW w:w="720" w:type="dxa"/>
            <w:tcBorders>
              <w:left w:val="dashSmallGap" w:sz="4" w:space="0" w:color="auto"/>
            </w:tcBorders>
          </w:tcPr>
          <w:p w:rsidR="009E47DE" w:rsidRPr="00DE2282" w:rsidRDefault="009E47DE" w:rsidP="009E47DE">
            <w:pPr>
              <w:ind w:right="-29"/>
              <w:jc w:val="center"/>
              <w:rPr>
                <w:noProof/>
                <w:sz w:val="16"/>
                <w:szCs w:val="16"/>
              </w:rPr>
            </w:pPr>
          </w:p>
        </w:tc>
        <w:tc>
          <w:tcPr>
            <w:tcW w:w="720" w:type="dxa"/>
          </w:tcPr>
          <w:p w:rsidR="009E47DE" w:rsidRPr="00DE2282" w:rsidRDefault="009E47DE" w:rsidP="009E47DE">
            <w:pPr>
              <w:ind w:right="-29"/>
              <w:jc w:val="center"/>
              <w:rPr>
                <w:noProof/>
                <w:sz w:val="16"/>
                <w:szCs w:val="16"/>
              </w:rPr>
            </w:pPr>
          </w:p>
        </w:tc>
        <w:tc>
          <w:tcPr>
            <w:tcW w:w="900" w:type="dxa"/>
          </w:tcPr>
          <w:p w:rsidR="009E47DE" w:rsidRPr="00DE2282" w:rsidRDefault="009E47DE" w:rsidP="009E47DE">
            <w:pPr>
              <w:ind w:right="-29"/>
              <w:jc w:val="center"/>
              <w:rPr>
                <w:noProof/>
                <w:sz w:val="16"/>
                <w:szCs w:val="16"/>
              </w:rPr>
            </w:pPr>
          </w:p>
        </w:tc>
      </w:tr>
      <w:tr w:rsidR="009E47DE" w:rsidRPr="00DE2282" w:rsidTr="00E17D96">
        <w:trPr>
          <w:trHeight w:hRule="exact" w:val="369"/>
          <w:jc w:val="center"/>
        </w:trPr>
        <w:tc>
          <w:tcPr>
            <w:tcW w:w="1645" w:type="dxa"/>
          </w:tcPr>
          <w:p w:rsidR="009E47DE" w:rsidRPr="00DE2282" w:rsidRDefault="009E47DE" w:rsidP="009E47DE">
            <w:pPr>
              <w:ind w:right="-29"/>
              <w:jc w:val="center"/>
              <w:rPr>
                <w:noProof/>
                <w:sz w:val="18"/>
                <w:szCs w:val="18"/>
              </w:rPr>
            </w:pPr>
            <w:r w:rsidRPr="00DE2282">
              <w:rPr>
                <w:noProof/>
                <w:sz w:val="18"/>
              </w:rPr>
              <w:t>- Resultado</w:t>
            </w:r>
          </w:p>
        </w:tc>
        <w:tc>
          <w:tcPr>
            <w:tcW w:w="498" w:type="dxa"/>
          </w:tcPr>
          <w:p w:rsidR="009E47DE" w:rsidRPr="00DE2282" w:rsidRDefault="009E47DE" w:rsidP="009E47DE">
            <w:pPr>
              <w:ind w:right="-29"/>
              <w:jc w:val="center"/>
              <w:rPr>
                <w:noProof/>
                <w:sz w:val="18"/>
                <w:szCs w:val="18"/>
              </w:rPr>
            </w:pPr>
          </w:p>
        </w:tc>
        <w:tc>
          <w:tcPr>
            <w:tcW w:w="701" w:type="dxa"/>
          </w:tcPr>
          <w:p w:rsidR="009E47DE" w:rsidRPr="00DE2282" w:rsidRDefault="009E47DE" w:rsidP="009E47DE">
            <w:pPr>
              <w:ind w:right="-29"/>
              <w:jc w:val="center"/>
              <w:rPr>
                <w:noProof/>
                <w:sz w:val="18"/>
                <w:szCs w:val="18"/>
              </w:rPr>
            </w:pPr>
          </w:p>
        </w:tc>
        <w:tc>
          <w:tcPr>
            <w:tcW w:w="504" w:type="dxa"/>
          </w:tcPr>
          <w:p w:rsidR="009E47DE" w:rsidRPr="00DE2282" w:rsidRDefault="009E47DE" w:rsidP="009E47DE">
            <w:pPr>
              <w:ind w:right="-29"/>
              <w:jc w:val="center"/>
              <w:rPr>
                <w:noProof/>
                <w:sz w:val="18"/>
                <w:szCs w:val="18"/>
              </w:rPr>
            </w:pPr>
          </w:p>
        </w:tc>
        <w:tc>
          <w:tcPr>
            <w:tcW w:w="720" w:type="dxa"/>
          </w:tcPr>
          <w:p w:rsidR="009E47DE" w:rsidRPr="00DE2282" w:rsidRDefault="009E47DE" w:rsidP="009E47DE">
            <w:pPr>
              <w:ind w:right="-29"/>
              <w:jc w:val="center"/>
              <w:rPr>
                <w:noProof/>
                <w:sz w:val="18"/>
                <w:szCs w:val="18"/>
              </w:rPr>
            </w:pPr>
          </w:p>
        </w:tc>
        <w:tc>
          <w:tcPr>
            <w:tcW w:w="540" w:type="dxa"/>
          </w:tcPr>
          <w:p w:rsidR="009E47DE" w:rsidRPr="00DE2282" w:rsidRDefault="009E47DE" w:rsidP="009E47DE">
            <w:pPr>
              <w:ind w:right="-29"/>
              <w:jc w:val="center"/>
              <w:rPr>
                <w:noProof/>
                <w:sz w:val="18"/>
                <w:szCs w:val="18"/>
              </w:rPr>
            </w:pPr>
          </w:p>
        </w:tc>
        <w:tc>
          <w:tcPr>
            <w:tcW w:w="720" w:type="dxa"/>
          </w:tcPr>
          <w:p w:rsidR="009E47DE" w:rsidRPr="00DE2282" w:rsidRDefault="009E47DE" w:rsidP="009E47DE">
            <w:pPr>
              <w:ind w:right="-29"/>
              <w:jc w:val="center"/>
              <w:rPr>
                <w:noProof/>
                <w:sz w:val="18"/>
                <w:szCs w:val="18"/>
              </w:rPr>
            </w:pPr>
          </w:p>
        </w:tc>
        <w:tc>
          <w:tcPr>
            <w:tcW w:w="720" w:type="dxa"/>
          </w:tcPr>
          <w:p w:rsidR="009E47DE" w:rsidRPr="00DE2282" w:rsidRDefault="009E47DE" w:rsidP="009E47DE">
            <w:pPr>
              <w:ind w:right="-29"/>
              <w:jc w:val="center"/>
              <w:rPr>
                <w:noProof/>
                <w:sz w:val="18"/>
                <w:szCs w:val="18"/>
              </w:rPr>
            </w:pPr>
          </w:p>
        </w:tc>
        <w:tc>
          <w:tcPr>
            <w:tcW w:w="720" w:type="dxa"/>
          </w:tcPr>
          <w:p w:rsidR="009E47DE" w:rsidRPr="00DE2282" w:rsidRDefault="009E47DE" w:rsidP="009E47DE">
            <w:pPr>
              <w:ind w:right="-29"/>
              <w:jc w:val="center"/>
              <w:rPr>
                <w:noProof/>
                <w:sz w:val="18"/>
                <w:szCs w:val="18"/>
              </w:rPr>
            </w:pPr>
          </w:p>
        </w:tc>
        <w:tc>
          <w:tcPr>
            <w:tcW w:w="972" w:type="dxa"/>
            <w:gridSpan w:val="2"/>
          </w:tcPr>
          <w:p w:rsidR="009E47DE" w:rsidRPr="00DE2282" w:rsidRDefault="009E47DE" w:rsidP="009E47DE">
            <w:pPr>
              <w:ind w:right="-29"/>
              <w:jc w:val="center"/>
              <w:rPr>
                <w:noProof/>
                <w:sz w:val="18"/>
                <w:szCs w:val="18"/>
              </w:rPr>
            </w:pPr>
          </w:p>
        </w:tc>
        <w:tc>
          <w:tcPr>
            <w:tcW w:w="648" w:type="dxa"/>
          </w:tcPr>
          <w:p w:rsidR="009E47DE" w:rsidRPr="00DE2282" w:rsidRDefault="009E47DE" w:rsidP="009E47DE">
            <w:pPr>
              <w:ind w:right="-29"/>
              <w:jc w:val="center"/>
              <w:rPr>
                <w:noProof/>
                <w:sz w:val="18"/>
                <w:szCs w:val="18"/>
              </w:rPr>
            </w:pPr>
          </w:p>
        </w:tc>
        <w:tc>
          <w:tcPr>
            <w:tcW w:w="540" w:type="dxa"/>
          </w:tcPr>
          <w:p w:rsidR="009E47DE" w:rsidRPr="00DE2282" w:rsidRDefault="009E47DE" w:rsidP="009E47DE">
            <w:pPr>
              <w:ind w:right="-29"/>
              <w:jc w:val="center"/>
              <w:rPr>
                <w:noProof/>
                <w:sz w:val="18"/>
                <w:szCs w:val="18"/>
              </w:rPr>
            </w:pPr>
          </w:p>
        </w:tc>
        <w:tc>
          <w:tcPr>
            <w:tcW w:w="648" w:type="dxa"/>
          </w:tcPr>
          <w:p w:rsidR="009E47DE" w:rsidRPr="00DE2282" w:rsidRDefault="009E47DE" w:rsidP="009E47DE">
            <w:pPr>
              <w:ind w:right="-29"/>
              <w:jc w:val="center"/>
              <w:rPr>
                <w:noProof/>
                <w:sz w:val="18"/>
                <w:szCs w:val="18"/>
              </w:rPr>
            </w:pPr>
          </w:p>
        </w:tc>
        <w:tc>
          <w:tcPr>
            <w:tcW w:w="574" w:type="dxa"/>
          </w:tcPr>
          <w:p w:rsidR="009E47DE" w:rsidRPr="00DE2282" w:rsidRDefault="009E47DE" w:rsidP="009E47DE">
            <w:pPr>
              <w:ind w:right="-29"/>
              <w:jc w:val="center"/>
              <w:rPr>
                <w:noProof/>
                <w:sz w:val="18"/>
                <w:szCs w:val="18"/>
              </w:rPr>
            </w:pPr>
          </w:p>
        </w:tc>
        <w:tc>
          <w:tcPr>
            <w:tcW w:w="578" w:type="dxa"/>
          </w:tcPr>
          <w:p w:rsidR="009E47DE" w:rsidRPr="00DE2282" w:rsidRDefault="009E47DE" w:rsidP="009E47DE">
            <w:pPr>
              <w:ind w:right="-29"/>
              <w:jc w:val="center"/>
              <w:rPr>
                <w:noProof/>
                <w:sz w:val="16"/>
                <w:szCs w:val="16"/>
              </w:rPr>
            </w:pPr>
          </w:p>
        </w:tc>
        <w:tc>
          <w:tcPr>
            <w:tcW w:w="540" w:type="dxa"/>
          </w:tcPr>
          <w:p w:rsidR="009E47DE" w:rsidRPr="00DE2282" w:rsidRDefault="009E47DE" w:rsidP="009E47DE">
            <w:pPr>
              <w:ind w:right="-29"/>
              <w:jc w:val="center"/>
              <w:rPr>
                <w:noProof/>
                <w:sz w:val="18"/>
                <w:szCs w:val="18"/>
              </w:rPr>
            </w:pPr>
          </w:p>
        </w:tc>
        <w:tc>
          <w:tcPr>
            <w:tcW w:w="720" w:type="dxa"/>
          </w:tcPr>
          <w:p w:rsidR="009E47DE" w:rsidRPr="00DE2282" w:rsidRDefault="009E47DE" w:rsidP="009E47DE">
            <w:pPr>
              <w:ind w:right="-29"/>
              <w:jc w:val="center"/>
              <w:rPr>
                <w:noProof/>
                <w:sz w:val="16"/>
                <w:szCs w:val="16"/>
              </w:rPr>
            </w:pPr>
          </w:p>
        </w:tc>
        <w:tc>
          <w:tcPr>
            <w:tcW w:w="720" w:type="dxa"/>
          </w:tcPr>
          <w:p w:rsidR="009E47DE" w:rsidRPr="00DE2282" w:rsidRDefault="009E47DE" w:rsidP="009E47DE">
            <w:pPr>
              <w:ind w:right="-29"/>
              <w:jc w:val="center"/>
              <w:rPr>
                <w:noProof/>
                <w:sz w:val="16"/>
                <w:szCs w:val="16"/>
              </w:rPr>
            </w:pPr>
          </w:p>
        </w:tc>
        <w:tc>
          <w:tcPr>
            <w:tcW w:w="900" w:type="dxa"/>
          </w:tcPr>
          <w:p w:rsidR="009E47DE" w:rsidRPr="00DE2282" w:rsidRDefault="009E47DE" w:rsidP="009E47DE">
            <w:pPr>
              <w:ind w:right="-29"/>
              <w:jc w:val="center"/>
              <w:rPr>
                <w:noProof/>
                <w:sz w:val="16"/>
                <w:szCs w:val="16"/>
              </w:rPr>
            </w:pPr>
          </w:p>
        </w:tc>
      </w:tr>
      <w:tr w:rsidR="009E47DE" w:rsidRPr="00DE2282" w:rsidTr="00E17D96">
        <w:trPr>
          <w:trHeight w:val="77"/>
          <w:jc w:val="center"/>
        </w:trPr>
        <w:tc>
          <w:tcPr>
            <w:tcW w:w="2844" w:type="dxa"/>
            <w:gridSpan w:val="3"/>
            <w:tcBorders>
              <w:bottom w:val="single" w:sz="12" w:space="0" w:color="auto"/>
            </w:tcBorders>
            <w:vAlign w:val="center"/>
          </w:tcPr>
          <w:p w:rsidR="009E47DE" w:rsidRPr="00DE2282" w:rsidRDefault="009E47DE" w:rsidP="009E47DE">
            <w:pPr>
              <w:ind w:right="-29"/>
              <w:jc w:val="center"/>
              <w:rPr>
                <w:noProof/>
                <w:sz w:val="18"/>
                <w:szCs w:val="18"/>
              </w:rPr>
            </w:pPr>
            <w:r w:rsidRPr="00DE2282">
              <w:rPr>
                <w:noProof/>
                <w:sz w:val="18"/>
              </w:rPr>
              <w:t>Subtotal del objetivo específico n.º 1</w:t>
            </w:r>
          </w:p>
        </w:tc>
        <w:tc>
          <w:tcPr>
            <w:tcW w:w="504" w:type="dxa"/>
            <w:tcBorders>
              <w:bottom w:val="single" w:sz="12" w:space="0" w:color="auto"/>
            </w:tcBorders>
          </w:tcPr>
          <w:p w:rsidR="009E47DE" w:rsidRPr="00DE2282" w:rsidRDefault="009E47DE" w:rsidP="009E47DE">
            <w:pPr>
              <w:ind w:right="-29"/>
              <w:jc w:val="center"/>
              <w:rPr>
                <w:noProof/>
                <w:sz w:val="18"/>
                <w:szCs w:val="18"/>
              </w:rPr>
            </w:pPr>
            <w:r w:rsidRPr="00DE2282">
              <w:rPr>
                <w:noProof/>
                <w:sz w:val="14"/>
              </w:rPr>
              <w:t>2 500</w:t>
            </w:r>
          </w:p>
        </w:tc>
        <w:tc>
          <w:tcPr>
            <w:tcW w:w="720" w:type="dxa"/>
            <w:tcBorders>
              <w:bottom w:val="single" w:sz="12" w:space="0" w:color="auto"/>
            </w:tcBorders>
          </w:tcPr>
          <w:p w:rsidR="009E47DE" w:rsidRPr="00DE2282" w:rsidRDefault="009E47DE" w:rsidP="009E47DE">
            <w:pPr>
              <w:ind w:right="-29"/>
              <w:jc w:val="center"/>
              <w:rPr>
                <w:noProof/>
                <w:sz w:val="18"/>
                <w:szCs w:val="18"/>
              </w:rPr>
            </w:pPr>
            <w:r w:rsidRPr="00DE2282">
              <w:rPr>
                <w:noProof/>
                <w:sz w:val="14"/>
              </w:rPr>
              <w:t>121 020</w:t>
            </w:r>
          </w:p>
        </w:tc>
        <w:tc>
          <w:tcPr>
            <w:tcW w:w="540" w:type="dxa"/>
            <w:tcBorders>
              <w:bottom w:val="single" w:sz="12" w:space="0" w:color="auto"/>
            </w:tcBorders>
          </w:tcPr>
          <w:p w:rsidR="009E47DE" w:rsidRPr="00DE2282" w:rsidRDefault="009E47DE" w:rsidP="009E47DE">
            <w:pPr>
              <w:ind w:right="-29"/>
              <w:jc w:val="center"/>
              <w:rPr>
                <w:noProof/>
                <w:sz w:val="18"/>
                <w:szCs w:val="18"/>
              </w:rPr>
            </w:pPr>
            <w:r w:rsidRPr="00DE2282">
              <w:rPr>
                <w:noProof/>
                <w:sz w:val="14"/>
              </w:rPr>
              <w:t>2 500</w:t>
            </w:r>
          </w:p>
        </w:tc>
        <w:tc>
          <w:tcPr>
            <w:tcW w:w="720" w:type="dxa"/>
            <w:tcBorders>
              <w:bottom w:val="single" w:sz="12" w:space="0" w:color="auto"/>
            </w:tcBorders>
          </w:tcPr>
          <w:p w:rsidR="009E47DE" w:rsidRPr="00DE2282" w:rsidRDefault="009E47DE" w:rsidP="009E47DE">
            <w:pPr>
              <w:ind w:right="-29"/>
              <w:jc w:val="center"/>
              <w:rPr>
                <w:noProof/>
                <w:sz w:val="18"/>
                <w:szCs w:val="18"/>
              </w:rPr>
            </w:pPr>
          </w:p>
        </w:tc>
        <w:tc>
          <w:tcPr>
            <w:tcW w:w="720" w:type="dxa"/>
            <w:tcBorders>
              <w:bottom w:val="single" w:sz="12" w:space="0" w:color="auto"/>
            </w:tcBorders>
          </w:tcPr>
          <w:p w:rsidR="009E47DE" w:rsidRPr="00DE2282" w:rsidRDefault="009E47DE" w:rsidP="009E47DE">
            <w:pPr>
              <w:ind w:right="-29"/>
              <w:jc w:val="center"/>
              <w:rPr>
                <w:noProof/>
                <w:sz w:val="18"/>
                <w:szCs w:val="18"/>
              </w:rPr>
            </w:pPr>
            <w:r w:rsidRPr="00DE2282">
              <w:rPr>
                <w:noProof/>
                <w:sz w:val="14"/>
              </w:rPr>
              <w:t>3 000</w:t>
            </w:r>
          </w:p>
        </w:tc>
        <w:tc>
          <w:tcPr>
            <w:tcW w:w="720" w:type="dxa"/>
            <w:tcBorders>
              <w:bottom w:val="single" w:sz="12" w:space="0" w:color="auto"/>
            </w:tcBorders>
          </w:tcPr>
          <w:p w:rsidR="009E47DE" w:rsidRPr="00DE2282" w:rsidRDefault="009E47DE" w:rsidP="009E47DE">
            <w:pPr>
              <w:ind w:right="-29"/>
              <w:jc w:val="center"/>
              <w:rPr>
                <w:noProof/>
                <w:sz w:val="18"/>
                <w:szCs w:val="18"/>
              </w:rPr>
            </w:pPr>
          </w:p>
        </w:tc>
        <w:tc>
          <w:tcPr>
            <w:tcW w:w="972" w:type="dxa"/>
            <w:gridSpan w:val="2"/>
            <w:tcBorders>
              <w:bottom w:val="single" w:sz="12" w:space="0" w:color="auto"/>
            </w:tcBorders>
          </w:tcPr>
          <w:p w:rsidR="009E47DE" w:rsidRPr="00DE2282" w:rsidRDefault="009E47DE" w:rsidP="009E47DE">
            <w:pPr>
              <w:ind w:right="-29"/>
              <w:jc w:val="center"/>
              <w:rPr>
                <w:noProof/>
                <w:sz w:val="18"/>
                <w:szCs w:val="18"/>
              </w:rPr>
            </w:pPr>
            <w:r w:rsidRPr="00DE2282">
              <w:rPr>
                <w:noProof/>
                <w:sz w:val="14"/>
              </w:rPr>
              <w:t>3 000</w:t>
            </w:r>
          </w:p>
        </w:tc>
        <w:tc>
          <w:tcPr>
            <w:tcW w:w="648" w:type="dxa"/>
            <w:tcBorders>
              <w:bottom w:val="single" w:sz="12" w:space="0" w:color="auto"/>
            </w:tcBorders>
          </w:tcPr>
          <w:p w:rsidR="009E47DE" w:rsidRPr="00DE2282" w:rsidRDefault="009E47DE" w:rsidP="009E47DE">
            <w:pPr>
              <w:ind w:right="-29"/>
              <w:jc w:val="center"/>
              <w:rPr>
                <w:noProof/>
                <w:sz w:val="18"/>
                <w:szCs w:val="18"/>
              </w:rPr>
            </w:pPr>
          </w:p>
        </w:tc>
        <w:tc>
          <w:tcPr>
            <w:tcW w:w="540" w:type="dxa"/>
            <w:tcBorders>
              <w:bottom w:val="single" w:sz="12" w:space="0" w:color="auto"/>
            </w:tcBorders>
          </w:tcPr>
          <w:p w:rsidR="009E47DE" w:rsidRPr="00DE2282" w:rsidRDefault="009E47DE" w:rsidP="009E47DE">
            <w:pPr>
              <w:ind w:right="-29"/>
              <w:jc w:val="center"/>
              <w:rPr>
                <w:noProof/>
                <w:sz w:val="18"/>
                <w:szCs w:val="18"/>
              </w:rPr>
            </w:pPr>
            <w:r w:rsidRPr="00DE2282">
              <w:rPr>
                <w:noProof/>
                <w:sz w:val="14"/>
              </w:rPr>
              <w:t>3 000</w:t>
            </w:r>
          </w:p>
        </w:tc>
        <w:tc>
          <w:tcPr>
            <w:tcW w:w="648" w:type="dxa"/>
            <w:tcBorders>
              <w:bottom w:val="single" w:sz="12" w:space="0" w:color="auto"/>
            </w:tcBorders>
          </w:tcPr>
          <w:p w:rsidR="009E47DE" w:rsidRPr="00DE2282" w:rsidRDefault="009E47DE" w:rsidP="009E47DE">
            <w:pPr>
              <w:ind w:right="-29"/>
              <w:jc w:val="center"/>
              <w:rPr>
                <w:noProof/>
                <w:sz w:val="18"/>
                <w:szCs w:val="18"/>
              </w:rPr>
            </w:pPr>
          </w:p>
        </w:tc>
        <w:tc>
          <w:tcPr>
            <w:tcW w:w="574" w:type="dxa"/>
            <w:tcBorders>
              <w:bottom w:val="single" w:sz="12" w:space="0" w:color="auto"/>
            </w:tcBorders>
          </w:tcPr>
          <w:p w:rsidR="009E47DE" w:rsidRPr="00DE2282" w:rsidRDefault="009E47DE" w:rsidP="009E47DE">
            <w:pPr>
              <w:ind w:right="-29"/>
              <w:jc w:val="center"/>
              <w:rPr>
                <w:noProof/>
                <w:sz w:val="18"/>
                <w:szCs w:val="18"/>
              </w:rPr>
            </w:pPr>
            <w:r w:rsidRPr="00DE2282">
              <w:rPr>
                <w:noProof/>
                <w:sz w:val="14"/>
              </w:rPr>
              <w:t>3 000</w:t>
            </w:r>
          </w:p>
        </w:tc>
        <w:tc>
          <w:tcPr>
            <w:tcW w:w="578" w:type="dxa"/>
            <w:tcBorders>
              <w:bottom w:val="single" w:sz="12" w:space="0" w:color="auto"/>
            </w:tcBorders>
          </w:tcPr>
          <w:p w:rsidR="009E47DE" w:rsidRPr="00DE2282" w:rsidRDefault="009E47DE" w:rsidP="009E47DE">
            <w:pPr>
              <w:ind w:right="-29"/>
              <w:jc w:val="center"/>
              <w:rPr>
                <w:noProof/>
                <w:sz w:val="16"/>
                <w:szCs w:val="16"/>
              </w:rPr>
            </w:pPr>
            <w:r w:rsidRPr="00DE2282">
              <w:rPr>
                <w:noProof/>
                <w:sz w:val="16"/>
              </w:rPr>
              <w:t>0</w:t>
            </w:r>
          </w:p>
        </w:tc>
        <w:tc>
          <w:tcPr>
            <w:tcW w:w="540" w:type="dxa"/>
            <w:tcBorders>
              <w:bottom w:val="single" w:sz="12" w:space="0" w:color="auto"/>
            </w:tcBorders>
          </w:tcPr>
          <w:p w:rsidR="009E47DE" w:rsidRPr="00DE2282" w:rsidRDefault="009E47DE" w:rsidP="009E47DE">
            <w:pPr>
              <w:ind w:right="-29"/>
              <w:jc w:val="center"/>
              <w:rPr>
                <w:noProof/>
                <w:sz w:val="18"/>
                <w:szCs w:val="18"/>
              </w:rPr>
            </w:pPr>
            <w:r w:rsidRPr="00DE2282">
              <w:rPr>
                <w:noProof/>
                <w:sz w:val="14"/>
              </w:rPr>
              <w:t>3 000</w:t>
            </w:r>
          </w:p>
        </w:tc>
        <w:tc>
          <w:tcPr>
            <w:tcW w:w="720" w:type="dxa"/>
            <w:tcBorders>
              <w:bottom w:val="single" w:sz="12" w:space="0" w:color="auto"/>
            </w:tcBorders>
          </w:tcPr>
          <w:p w:rsidR="009E47DE" w:rsidRPr="00DE2282" w:rsidRDefault="009E47DE" w:rsidP="009E47DE">
            <w:pPr>
              <w:ind w:right="-29"/>
              <w:jc w:val="center"/>
              <w:rPr>
                <w:noProof/>
                <w:sz w:val="16"/>
                <w:szCs w:val="16"/>
              </w:rPr>
            </w:pPr>
            <w:r w:rsidRPr="00DE2282">
              <w:rPr>
                <w:noProof/>
                <w:sz w:val="16"/>
              </w:rPr>
              <w:t>0</w:t>
            </w:r>
          </w:p>
        </w:tc>
        <w:tc>
          <w:tcPr>
            <w:tcW w:w="720" w:type="dxa"/>
            <w:tcBorders>
              <w:bottom w:val="single" w:sz="12" w:space="0" w:color="auto"/>
            </w:tcBorders>
          </w:tcPr>
          <w:p w:rsidR="009E47DE" w:rsidRPr="00DE2282" w:rsidRDefault="009E47DE" w:rsidP="009E47DE">
            <w:pPr>
              <w:ind w:right="-29"/>
              <w:jc w:val="center"/>
              <w:rPr>
                <w:noProof/>
                <w:sz w:val="16"/>
                <w:szCs w:val="16"/>
              </w:rPr>
            </w:pPr>
          </w:p>
        </w:tc>
        <w:tc>
          <w:tcPr>
            <w:tcW w:w="900" w:type="dxa"/>
            <w:tcBorders>
              <w:bottom w:val="single" w:sz="12" w:space="0" w:color="auto"/>
            </w:tcBorders>
          </w:tcPr>
          <w:p w:rsidR="009E47DE" w:rsidRPr="00DE2282" w:rsidRDefault="009E47DE" w:rsidP="009E47DE">
            <w:pPr>
              <w:ind w:right="-29"/>
              <w:jc w:val="center"/>
              <w:rPr>
                <w:noProof/>
                <w:sz w:val="16"/>
                <w:szCs w:val="16"/>
              </w:rPr>
            </w:pPr>
          </w:p>
        </w:tc>
      </w:tr>
      <w:tr w:rsidR="009E47DE" w:rsidRPr="00DE2282" w:rsidTr="00E17D96">
        <w:trPr>
          <w:jc w:val="center"/>
        </w:trPr>
        <w:tc>
          <w:tcPr>
            <w:tcW w:w="2844" w:type="dxa"/>
            <w:gridSpan w:val="3"/>
            <w:tcBorders>
              <w:top w:val="single" w:sz="12" w:space="0" w:color="auto"/>
              <w:left w:val="single" w:sz="12" w:space="0" w:color="auto"/>
              <w:bottom w:val="single" w:sz="12" w:space="0" w:color="auto"/>
            </w:tcBorders>
            <w:vAlign w:val="center"/>
          </w:tcPr>
          <w:p w:rsidR="009E47DE" w:rsidRPr="00DE2282" w:rsidRDefault="009E47DE" w:rsidP="009E47DE">
            <w:pPr>
              <w:jc w:val="center"/>
              <w:rPr>
                <w:noProof/>
                <w:sz w:val="18"/>
                <w:szCs w:val="18"/>
              </w:rPr>
            </w:pPr>
            <w:r w:rsidRPr="00DE2282">
              <w:rPr>
                <w:b/>
                <w:noProof/>
                <w:sz w:val="18"/>
              </w:rPr>
              <w:t>TOTALES</w:t>
            </w:r>
          </w:p>
        </w:tc>
        <w:tc>
          <w:tcPr>
            <w:tcW w:w="504" w:type="dxa"/>
            <w:tcBorders>
              <w:top w:val="single" w:sz="12" w:space="0" w:color="auto"/>
              <w:bottom w:val="single" w:sz="12" w:space="0" w:color="auto"/>
            </w:tcBorders>
          </w:tcPr>
          <w:p w:rsidR="009E47DE" w:rsidRPr="00DE2282" w:rsidRDefault="009E47DE" w:rsidP="009E47DE">
            <w:pPr>
              <w:ind w:right="-29"/>
              <w:jc w:val="center"/>
              <w:rPr>
                <w:noProof/>
                <w:sz w:val="18"/>
                <w:szCs w:val="18"/>
              </w:rPr>
            </w:pPr>
            <w:r w:rsidRPr="00DE2282">
              <w:rPr>
                <w:noProof/>
                <w:sz w:val="14"/>
              </w:rPr>
              <w:t>2 500</w:t>
            </w:r>
          </w:p>
        </w:tc>
        <w:tc>
          <w:tcPr>
            <w:tcW w:w="720" w:type="dxa"/>
            <w:tcBorders>
              <w:top w:val="single" w:sz="12" w:space="0" w:color="auto"/>
              <w:bottom w:val="single" w:sz="12" w:space="0" w:color="auto"/>
            </w:tcBorders>
          </w:tcPr>
          <w:p w:rsidR="009E47DE" w:rsidRPr="00DE2282" w:rsidRDefault="009E47DE" w:rsidP="009E47DE">
            <w:pPr>
              <w:ind w:right="-29"/>
              <w:jc w:val="center"/>
              <w:rPr>
                <w:noProof/>
                <w:sz w:val="18"/>
                <w:szCs w:val="18"/>
              </w:rPr>
            </w:pPr>
            <w:r w:rsidRPr="00DE2282">
              <w:rPr>
                <w:noProof/>
                <w:sz w:val="14"/>
              </w:rPr>
              <w:t>121 020</w:t>
            </w:r>
          </w:p>
        </w:tc>
        <w:tc>
          <w:tcPr>
            <w:tcW w:w="540" w:type="dxa"/>
            <w:tcBorders>
              <w:top w:val="single" w:sz="12" w:space="0" w:color="auto"/>
              <w:bottom w:val="single" w:sz="12" w:space="0" w:color="auto"/>
            </w:tcBorders>
          </w:tcPr>
          <w:p w:rsidR="009E47DE" w:rsidRPr="00DE2282" w:rsidRDefault="009E47DE" w:rsidP="009E47DE">
            <w:pPr>
              <w:ind w:right="-29"/>
              <w:jc w:val="center"/>
              <w:rPr>
                <w:noProof/>
                <w:sz w:val="18"/>
                <w:szCs w:val="18"/>
              </w:rPr>
            </w:pPr>
            <w:r w:rsidRPr="00DE2282">
              <w:rPr>
                <w:noProof/>
                <w:sz w:val="14"/>
              </w:rPr>
              <w:t>2 500</w:t>
            </w:r>
          </w:p>
        </w:tc>
        <w:tc>
          <w:tcPr>
            <w:tcW w:w="720" w:type="dxa"/>
            <w:tcBorders>
              <w:top w:val="single" w:sz="12" w:space="0" w:color="auto"/>
              <w:bottom w:val="single" w:sz="12" w:space="0" w:color="auto"/>
            </w:tcBorders>
          </w:tcPr>
          <w:p w:rsidR="009E47DE" w:rsidRPr="00DE2282" w:rsidRDefault="009E47DE" w:rsidP="009E47DE">
            <w:pPr>
              <w:ind w:right="-29"/>
              <w:jc w:val="center"/>
              <w:rPr>
                <w:noProof/>
                <w:sz w:val="18"/>
                <w:szCs w:val="18"/>
              </w:rPr>
            </w:pPr>
          </w:p>
        </w:tc>
        <w:tc>
          <w:tcPr>
            <w:tcW w:w="720" w:type="dxa"/>
            <w:tcBorders>
              <w:top w:val="single" w:sz="12" w:space="0" w:color="auto"/>
              <w:bottom w:val="single" w:sz="12" w:space="0" w:color="auto"/>
            </w:tcBorders>
          </w:tcPr>
          <w:p w:rsidR="009E47DE" w:rsidRPr="00DE2282" w:rsidRDefault="009E47DE" w:rsidP="009E47DE">
            <w:pPr>
              <w:ind w:right="-29"/>
              <w:jc w:val="center"/>
              <w:rPr>
                <w:noProof/>
                <w:sz w:val="18"/>
                <w:szCs w:val="18"/>
              </w:rPr>
            </w:pPr>
            <w:r w:rsidRPr="00DE2282">
              <w:rPr>
                <w:noProof/>
                <w:sz w:val="14"/>
              </w:rPr>
              <w:t>3 000</w:t>
            </w:r>
          </w:p>
        </w:tc>
        <w:tc>
          <w:tcPr>
            <w:tcW w:w="720" w:type="dxa"/>
            <w:tcBorders>
              <w:top w:val="single" w:sz="12" w:space="0" w:color="auto"/>
              <w:bottom w:val="single" w:sz="12" w:space="0" w:color="auto"/>
            </w:tcBorders>
          </w:tcPr>
          <w:p w:rsidR="009E47DE" w:rsidRPr="00DE2282" w:rsidRDefault="009E47DE" w:rsidP="009E47DE">
            <w:pPr>
              <w:ind w:right="-29"/>
              <w:jc w:val="center"/>
              <w:rPr>
                <w:noProof/>
                <w:sz w:val="18"/>
                <w:szCs w:val="18"/>
              </w:rPr>
            </w:pPr>
          </w:p>
        </w:tc>
        <w:tc>
          <w:tcPr>
            <w:tcW w:w="951" w:type="dxa"/>
            <w:tcBorders>
              <w:top w:val="single" w:sz="12" w:space="0" w:color="auto"/>
              <w:bottom w:val="single" w:sz="12" w:space="0" w:color="auto"/>
            </w:tcBorders>
          </w:tcPr>
          <w:p w:rsidR="009E47DE" w:rsidRPr="00DE2282" w:rsidRDefault="009E47DE" w:rsidP="009E47DE">
            <w:pPr>
              <w:ind w:right="-29"/>
              <w:jc w:val="center"/>
              <w:rPr>
                <w:noProof/>
                <w:sz w:val="18"/>
                <w:szCs w:val="18"/>
              </w:rPr>
            </w:pPr>
            <w:r w:rsidRPr="00DE2282">
              <w:rPr>
                <w:noProof/>
                <w:sz w:val="14"/>
              </w:rPr>
              <w:t>3 000</w:t>
            </w:r>
          </w:p>
        </w:tc>
        <w:tc>
          <w:tcPr>
            <w:tcW w:w="669" w:type="dxa"/>
            <w:gridSpan w:val="2"/>
            <w:tcBorders>
              <w:top w:val="single" w:sz="12" w:space="0" w:color="auto"/>
              <w:bottom w:val="single" w:sz="12" w:space="0" w:color="auto"/>
            </w:tcBorders>
          </w:tcPr>
          <w:p w:rsidR="009E47DE" w:rsidRPr="00DE2282" w:rsidRDefault="009E47DE" w:rsidP="009E47DE">
            <w:pPr>
              <w:ind w:right="-29"/>
              <w:jc w:val="center"/>
              <w:rPr>
                <w:noProof/>
                <w:sz w:val="18"/>
                <w:szCs w:val="18"/>
              </w:rPr>
            </w:pPr>
          </w:p>
        </w:tc>
        <w:tc>
          <w:tcPr>
            <w:tcW w:w="540" w:type="dxa"/>
            <w:tcBorders>
              <w:top w:val="single" w:sz="12" w:space="0" w:color="auto"/>
              <w:bottom w:val="single" w:sz="12" w:space="0" w:color="auto"/>
            </w:tcBorders>
          </w:tcPr>
          <w:p w:rsidR="009E47DE" w:rsidRPr="00DE2282" w:rsidRDefault="009E47DE" w:rsidP="009E47DE">
            <w:pPr>
              <w:ind w:right="-29"/>
              <w:jc w:val="center"/>
              <w:rPr>
                <w:noProof/>
                <w:sz w:val="18"/>
                <w:szCs w:val="18"/>
              </w:rPr>
            </w:pPr>
            <w:r w:rsidRPr="00DE2282">
              <w:rPr>
                <w:noProof/>
                <w:sz w:val="14"/>
              </w:rPr>
              <w:t>3 000</w:t>
            </w:r>
          </w:p>
        </w:tc>
        <w:tc>
          <w:tcPr>
            <w:tcW w:w="648" w:type="dxa"/>
            <w:tcBorders>
              <w:top w:val="single" w:sz="12" w:space="0" w:color="auto"/>
              <w:bottom w:val="single" w:sz="12" w:space="0" w:color="auto"/>
            </w:tcBorders>
          </w:tcPr>
          <w:p w:rsidR="009E47DE" w:rsidRPr="00DE2282" w:rsidRDefault="009E47DE" w:rsidP="009E47DE">
            <w:pPr>
              <w:ind w:right="-29"/>
              <w:jc w:val="center"/>
              <w:rPr>
                <w:noProof/>
                <w:sz w:val="18"/>
                <w:szCs w:val="18"/>
              </w:rPr>
            </w:pPr>
          </w:p>
        </w:tc>
        <w:tc>
          <w:tcPr>
            <w:tcW w:w="574" w:type="dxa"/>
            <w:tcBorders>
              <w:top w:val="single" w:sz="12" w:space="0" w:color="auto"/>
              <w:bottom w:val="single" w:sz="12" w:space="0" w:color="auto"/>
            </w:tcBorders>
          </w:tcPr>
          <w:p w:rsidR="009E47DE" w:rsidRPr="00DE2282" w:rsidRDefault="009E47DE" w:rsidP="009E47DE">
            <w:pPr>
              <w:ind w:right="-29"/>
              <w:jc w:val="center"/>
              <w:rPr>
                <w:noProof/>
                <w:sz w:val="18"/>
                <w:szCs w:val="18"/>
              </w:rPr>
            </w:pPr>
            <w:r w:rsidRPr="00DE2282">
              <w:rPr>
                <w:noProof/>
                <w:sz w:val="14"/>
              </w:rPr>
              <w:t>3 000</w:t>
            </w:r>
          </w:p>
        </w:tc>
        <w:tc>
          <w:tcPr>
            <w:tcW w:w="578" w:type="dxa"/>
            <w:tcBorders>
              <w:top w:val="single" w:sz="12" w:space="0" w:color="auto"/>
              <w:bottom w:val="single" w:sz="12" w:space="0" w:color="auto"/>
            </w:tcBorders>
          </w:tcPr>
          <w:p w:rsidR="009E47DE" w:rsidRPr="00DE2282" w:rsidRDefault="009E47DE" w:rsidP="009E47DE">
            <w:pPr>
              <w:ind w:right="-29"/>
              <w:jc w:val="center"/>
              <w:rPr>
                <w:noProof/>
                <w:sz w:val="16"/>
                <w:szCs w:val="16"/>
              </w:rPr>
            </w:pPr>
            <w:r w:rsidRPr="00DE2282">
              <w:rPr>
                <w:noProof/>
                <w:sz w:val="16"/>
              </w:rPr>
              <w:t>0</w:t>
            </w:r>
          </w:p>
        </w:tc>
        <w:tc>
          <w:tcPr>
            <w:tcW w:w="540" w:type="dxa"/>
            <w:tcBorders>
              <w:top w:val="single" w:sz="12" w:space="0" w:color="auto"/>
              <w:bottom w:val="single" w:sz="12" w:space="0" w:color="auto"/>
            </w:tcBorders>
          </w:tcPr>
          <w:p w:rsidR="009E47DE" w:rsidRPr="00DE2282" w:rsidRDefault="009E47DE" w:rsidP="009E47DE">
            <w:pPr>
              <w:ind w:right="-29"/>
              <w:jc w:val="center"/>
              <w:rPr>
                <w:noProof/>
                <w:sz w:val="18"/>
                <w:szCs w:val="18"/>
              </w:rPr>
            </w:pPr>
            <w:r w:rsidRPr="00DE2282">
              <w:rPr>
                <w:noProof/>
                <w:sz w:val="14"/>
              </w:rPr>
              <w:t>3 000</w:t>
            </w:r>
          </w:p>
        </w:tc>
        <w:tc>
          <w:tcPr>
            <w:tcW w:w="720" w:type="dxa"/>
            <w:tcBorders>
              <w:top w:val="single" w:sz="12" w:space="0" w:color="auto"/>
              <w:bottom w:val="single" w:sz="12" w:space="0" w:color="auto"/>
            </w:tcBorders>
          </w:tcPr>
          <w:p w:rsidR="009E47DE" w:rsidRPr="00DE2282" w:rsidRDefault="009E47DE" w:rsidP="009E47DE">
            <w:pPr>
              <w:ind w:right="-29"/>
              <w:jc w:val="center"/>
              <w:rPr>
                <w:noProof/>
                <w:sz w:val="16"/>
                <w:szCs w:val="16"/>
              </w:rPr>
            </w:pPr>
            <w:r w:rsidRPr="00DE2282">
              <w:rPr>
                <w:noProof/>
                <w:sz w:val="16"/>
              </w:rPr>
              <w:t>0</w:t>
            </w:r>
          </w:p>
        </w:tc>
        <w:tc>
          <w:tcPr>
            <w:tcW w:w="720" w:type="dxa"/>
            <w:tcBorders>
              <w:top w:val="single" w:sz="12" w:space="0" w:color="auto"/>
              <w:bottom w:val="single" w:sz="12" w:space="0" w:color="auto"/>
            </w:tcBorders>
          </w:tcPr>
          <w:p w:rsidR="009E47DE" w:rsidRPr="00DE2282" w:rsidRDefault="009E47DE" w:rsidP="009E47DE">
            <w:pPr>
              <w:ind w:right="-29"/>
              <w:jc w:val="center"/>
              <w:rPr>
                <w:noProof/>
                <w:sz w:val="16"/>
                <w:szCs w:val="16"/>
              </w:rPr>
            </w:pPr>
            <w:r w:rsidRPr="00DE2282">
              <w:rPr>
                <w:noProof/>
                <w:sz w:val="16"/>
              </w:rPr>
              <w:t>20 000</w:t>
            </w:r>
          </w:p>
        </w:tc>
        <w:tc>
          <w:tcPr>
            <w:tcW w:w="900" w:type="dxa"/>
            <w:tcBorders>
              <w:top w:val="single" w:sz="12" w:space="0" w:color="auto"/>
              <w:bottom w:val="single" w:sz="12" w:space="0" w:color="auto"/>
              <w:right w:val="single" w:sz="12" w:space="0" w:color="auto"/>
            </w:tcBorders>
          </w:tcPr>
          <w:p w:rsidR="009E47DE" w:rsidRPr="00DE2282" w:rsidRDefault="009E47DE" w:rsidP="009E47DE">
            <w:pPr>
              <w:ind w:right="-29"/>
              <w:jc w:val="center"/>
              <w:rPr>
                <w:noProof/>
                <w:sz w:val="16"/>
                <w:szCs w:val="16"/>
              </w:rPr>
            </w:pPr>
            <w:r w:rsidRPr="00DE2282">
              <w:rPr>
                <w:noProof/>
                <w:sz w:val="16"/>
              </w:rPr>
              <w:t>121 020</w:t>
            </w:r>
          </w:p>
        </w:tc>
      </w:tr>
    </w:tbl>
    <w:p w:rsidR="00EB1AD0" w:rsidRPr="00DE2282" w:rsidRDefault="00EB1AD0" w:rsidP="00EB1AD0">
      <w:pPr>
        <w:rPr>
          <w:noProof/>
        </w:rPr>
        <w:sectPr w:rsidR="00EB1AD0" w:rsidRPr="00DE2282" w:rsidSect="00725663">
          <w:headerReference w:type="default" r:id="rId21"/>
          <w:footerReference w:type="default" r:id="rId22"/>
          <w:pgSz w:w="16840" w:h="11907" w:orient="landscape" w:code="9"/>
          <w:pgMar w:top="1134" w:right="1418" w:bottom="567" w:left="1418" w:header="709" w:footer="709" w:gutter="0"/>
          <w:cols w:space="708"/>
          <w:docGrid w:linePitch="360"/>
        </w:sectPr>
      </w:pPr>
    </w:p>
    <w:p w:rsidR="00EB1AD0" w:rsidRPr="00DE2282" w:rsidRDefault="00EB1AD0" w:rsidP="00EB1AD0">
      <w:pPr>
        <w:pStyle w:val="ManualHeading3"/>
        <w:rPr>
          <w:bCs/>
          <w:noProof/>
          <w:szCs w:val="24"/>
        </w:rPr>
      </w:pPr>
      <w:bookmarkStart w:id="65" w:name="_Toc514938055"/>
      <w:bookmarkStart w:id="66" w:name="_Toc520485054"/>
      <w:r w:rsidRPr="00DE2282">
        <w:rPr>
          <w:noProof/>
        </w:rPr>
        <w:t>3.2.3.</w:t>
      </w:r>
      <w:r w:rsidRPr="00DE2282">
        <w:rPr>
          <w:noProof/>
        </w:rPr>
        <w:tab/>
        <w:t>Resumen de la incidencia estimada en los créditos administrativos</w:t>
      </w:r>
      <w:bookmarkEnd w:id="65"/>
      <w:bookmarkEnd w:id="66"/>
      <w:r w:rsidRPr="00DE2282">
        <w:rPr>
          <w:noProof/>
        </w:rPr>
        <w:t xml:space="preserve"> </w:t>
      </w:r>
    </w:p>
    <w:p w:rsidR="00EB1AD0" w:rsidRPr="00DE2282" w:rsidRDefault="001538F3" w:rsidP="00EB1AD0">
      <w:pPr>
        <w:pStyle w:val="ListDash1"/>
        <w:rPr>
          <w:noProof/>
        </w:rPr>
      </w:pPr>
      <w:r w:rsidRPr="00DE2282">
        <w:rPr>
          <w:noProof/>
        </w:rPr>
        <w:sym w:font="Wingdings" w:char="F0FD"/>
      </w:r>
      <w:r w:rsidRPr="00DE2282">
        <w:rPr>
          <w:noProof/>
        </w:rPr>
        <w:tab/>
        <w:t xml:space="preserve">La propuesta/iniciativa no exige la utilización de créditos de carácter administrativo </w:t>
      </w:r>
    </w:p>
    <w:p w:rsidR="00EB1AD0" w:rsidRPr="00DE2282" w:rsidRDefault="001538F3" w:rsidP="00EB1AD0">
      <w:pPr>
        <w:pStyle w:val="ListDash1"/>
        <w:rPr>
          <w:noProof/>
        </w:rPr>
      </w:pPr>
      <w:r w:rsidRPr="00DE2282">
        <w:rPr>
          <w:noProof/>
        </w:rPr>
        <w:sym w:font="Wingdings" w:char="F0A8"/>
      </w:r>
      <w:r w:rsidRPr="00DE2282">
        <w:rPr>
          <w:noProof/>
        </w:rPr>
        <w:tab/>
        <w:t>La propuesta/iniciativa exige la utilización de créditos administrativos, tal como se explica a continuación:</w:t>
      </w:r>
    </w:p>
    <w:p w:rsidR="00EB1AD0" w:rsidRPr="00DE2282" w:rsidRDefault="00EB1AD0" w:rsidP="00EB1AD0">
      <w:pPr>
        <w:jc w:val="right"/>
        <w:rPr>
          <w:noProof/>
          <w:sz w:val="20"/>
        </w:rPr>
      </w:pPr>
      <w:r w:rsidRPr="00DE2282">
        <w:rPr>
          <w:noProof/>
          <w:sz w:val="20"/>
        </w:rPr>
        <w:t>En millones EUR (al tercer decimal)</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EB1AD0" w:rsidRPr="00DE2282" w:rsidTr="00E17D96">
        <w:trPr>
          <w:trHeight w:val="585"/>
        </w:trPr>
        <w:tc>
          <w:tcPr>
            <w:tcW w:w="1980" w:type="dxa"/>
          </w:tcPr>
          <w:p w:rsidR="00EB1AD0" w:rsidRPr="00DE2282" w:rsidRDefault="00EB1AD0" w:rsidP="00E17D96">
            <w:pPr>
              <w:spacing w:before="60" w:after="60" w:line="200" w:lineRule="exact"/>
              <w:rPr>
                <w:noProof/>
                <w:sz w:val="16"/>
                <w:szCs w:val="16"/>
              </w:rPr>
            </w:pPr>
          </w:p>
        </w:tc>
        <w:tc>
          <w:tcPr>
            <w:tcW w:w="1080" w:type="dxa"/>
            <w:vAlign w:val="center"/>
          </w:tcPr>
          <w:p w:rsidR="00EB1AD0" w:rsidRPr="00DE2282" w:rsidRDefault="00EB1AD0" w:rsidP="00E17D96">
            <w:pPr>
              <w:spacing w:before="60" w:after="60" w:line="200" w:lineRule="exact"/>
              <w:jc w:val="center"/>
              <w:rPr>
                <w:noProof/>
                <w:sz w:val="16"/>
                <w:szCs w:val="16"/>
              </w:rPr>
            </w:pPr>
            <w:r w:rsidRPr="00DE2282">
              <w:rPr>
                <w:noProof/>
                <w:sz w:val="16"/>
              </w:rPr>
              <w:t>2025</w:t>
            </w:r>
            <w:r w:rsidRPr="00DE2282">
              <w:rPr>
                <w:b/>
                <w:noProof/>
                <w:sz w:val="16"/>
              </w:rPr>
              <w:t xml:space="preserve"> </w:t>
            </w:r>
          </w:p>
        </w:tc>
        <w:tc>
          <w:tcPr>
            <w:tcW w:w="1080" w:type="dxa"/>
            <w:vAlign w:val="center"/>
          </w:tcPr>
          <w:p w:rsidR="00EB1AD0" w:rsidRPr="00DE2282" w:rsidRDefault="00EB1AD0" w:rsidP="00E17D96">
            <w:pPr>
              <w:spacing w:before="60" w:after="60" w:line="200" w:lineRule="exact"/>
              <w:jc w:val="center"/>
              <w:rPr>
                <w:noProof/>
                <w:sz w:val="16"/>
                <w:szCs w:val="16"/>
              </w:rPr>
            </w:pPr>
            <w:r w:rsidRPr="00DE2282">
              <w:rPr>
                <w:noProof/>
                <w:sz w:val="16"/>
              </w:rPr>
              <w:t>2026</w:t>
            </w:r>
          </w:p>
        </w:tc>
        <w:tc>
          <w:tcPr>
            <w:tcW w:w="1080" w:type="dxa"/>
            <w:vAlign w:val="center"/>
          </w:tcPr>
          <w:p w:rsidR="00EB1AD0" w:rsidRPr="00DE2282" w:rsidRDefault="00EB1AD0" w:rsidP="00E17D96">
            <w:pPr>
              <w:spacing w:before="60" w:after="60" w:line="200" w:lineRule="exact"/>
              <w:jc w:val="center"/>
              <w:rPr>
                <w:noProof/>
                <w:sz w:val="16"/>
                <w:szCs w:val="16"/>
              </w:rPr>
            </w:pPr>
            <w:r w:rsidRPr="00DE2282">
              <w:rPr>
                <w:noProof/>
                <w:sz w:val="16"/>
              </w:rPr>
              <w:t>2027</w:t>
            </w:r>
          </w:p>
        </w:tc>
        <w:tc>
          <w:tcPr>
            <w:tcW w:w="1080" w:type="dxa"/>
            <w:vAlign w:val="center"/>
          </w:tcPr>
          <w:p w:rsidR="00EB1AD0" w:rsidRPr="00DE2282" w:rsidRDefault="00EB1AD0" w:rsidP="00E17D96">
            <w:pPr>
              <w:spacing w:before="60" w:after="60" w:line="200" w:lineRule="exact"/>
              <w:jc w:val="center"/>
              <w:rPr>
                <w:noProof/>
                <w:sz w:val="16"/>
                <w:szCs w:val="16"/>
              </w:rPr>
            </w:pPr>
            <w:r w:rsidRPr="00DE2282">
              <w:rPr>
                <w:noProof/>
                <w:sz w:val="16"/>
              </w:rPr>
              <w:t>2028</w:t>
            </w:r>
          </w:p>
        </w:tc>
        <w:tc>
          <w:tcPr>
            <w:tcW w:w="3240" w:type="dxa"/>
            <w:vAlign w:val="center"/>
          </w:tcPr>
          <w:p w:rsidR="00EB1AD0" w:rsidRPr="00DE2282" w:rsidRDefault="00EB1AD0" w:rsidP="00E17D96">
            <w:pPr>
              <w:spacing w:line="200" w:lineRule="exact"/>
              <w:jc w:val="center"/>
              <w:rPr>
                <w:b/>
                <w:noProof/>
                <w:sz w:val="16"/>
                <w:szCs w:val="16"/>
              </w:rPr>
            </w:pPr>
            <w:r w:rsidRPr="00DE2282">
              <w:rPr>
                <w:noProof/>
                <w:sz w:val="16"/>
              </w:rPr>
              <w:t>Insertar tantos años como sea necesario para reflejar la duración de la incidencia (véase el punto 1.6)</w:t>
            </w:r>
          </w:p>
        </w:tc>
        <w:tc>
          <w:tcPr>
            <w:tcW w:w="1080" w:type="dxa"/>
            <w:vAlign w:val="center"/>
          </w:tcPr>
          <w:p w:rsidR="00EB1AD0" w:rsidRPr="00DE2282" w:rsidRDefault="00EB1AD0" w:rsidP="00E17D96">
            <w:pPr>
              <w:spacing w:before="60" w:after="60" w:line="200" w:lineRule="exact"/>
              <w:jc w:val="center"/>
              <w:rPr>
                <w:b/>
                <w:noProof/>
                <w:sz w:val="16"/>
                <w:szCs w:val="16"/>
              </w:rPr>
            </w:pPr>
            <w:r w:rsidRPr="00DE2282">
              <w:rPr>
                <w:b/>
                <w:noProof/>
                <w:sz w:val="16"/>
              </w:rPr>
              <w:t>TOTAL</w:t>
            </w:r>
          </w:p>
        </w:tc>
      </w:tr>
    </w:tbl>
    <w:p w:rsidR="00EB1AD0" w:rsidRPr="00DE2282" w:rsidRDefault="00EB1AD0" w:rsidP="00EB1AD0">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EB1AD0" w:rsidRPr="00DE2282" w:rsidTr="00E17D96">
        <w:trPr>
          <w:trHeight w:val="585"/>
        </w:trPr>
        <w:tc>
          <w:tcPr>
            <w:tcW w:w="1980" w:type="dxa"/>
            <w:shd w:val="clear" w:color="auto" w:fill="CCCCCC"/>
            <w:vAlign w:val="center"/>
          </w:tcPr>
          <w:p w:rsidR="00EB1AD0" w:rsidRPr="00DE2282" w:rsidRDefault="00EB1AD0" w:rsidP="00E17D96">
            <w:pPr>
              <w:spacing w:before="60" w:after="60" w:line="200" w:lineRule="exact"/>
              <w:jc w:val="center"/>
              <w:rPr>
                <w:b/>
                <w:noProof/>
                <w:sz w:val="16"/>
                <w:szCs w:val="16"/>
              </w:rPr>
            </w:pPr>
            <w:r w:rsidRPr="00DE2282">
              <w:rPr>
                <w:b/>
                <w:noProof/>
                <w:sz w:val="16"/>
              </w:rPr>
              <w:t>RÚBRICA 7</w:t>
            </w:r>
            <w:r w:rsidRPr="00DE2282">
              <w:rPr>
                <w:noProof/>
                <w:sz w:val="22"/>
              </w:rPr>
              <w:br/>
            </w:r>
            <w:r w:rsidRPr="00DE2282">
              <w:rPr>
                <w:b/>
                <w:noProof/>
                <w:sz w:val="16"/>
              </w:rPr>
              <w:t>del marco financiero plurianual</w:t>
            </w: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r>
      <w:tr w:rsidR="00EB1AD0" w:rsidRPr="00DE2282" w:rsidTr="00E17D96">
        <w:trPr>
          <w:trHeight w:val="585"/>
        </w:trPr>
        <w:tc>
          <w:tcPr>
            <w:tcW w:w="1980" w:type="dxa"/>
            <w:vAlign w:val="center"/>
          </w:tcPr>
          <w:p w:rsidR="00EB1AD0" w:rsidRPr="00DE2282" w:rsidRDefault="00EB1AD0" w:rsidP="00E17D96">
            <w:pPr>
              <w:spacing w:before="60" w:after="60" w:line="200" w:lineRule="exact"/>
              <w:ind w:left="72"/>
              <w:jc w:val="left"/>
              <w:rPr>
                <w:noProof/>
                <w:sz w:val="16"/>
                <w:szCs w:val="16"/>
              </w:rPr>
            </w:pPr>
            <w:r w:rsidRPr="00DE2282">
              <w:rPr>
                <w:noProof/>
                <w:sz w:val="16"/>
              </w:rPr>
              <w:t xml:space="preserve">Recursos humanos </w:t>
            </w: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r>
      <w:tr w:rsidR="00EB1AD0" w:rsidRPr="00DE2282" w:rsidTr="00E17D96">
        <w:trPr>
          <w:trHeight w:val="585"/>
        </w:trPr>
        <w:tc>
          <w:tcPr>
            <w:tcW w:w="1980" w:type="dxa"/>
            <w:vAlign w:val="center"/>
          </w:tcPr>
          <w:p w:rsidR="00EB1AD0" w:rsidRPr="00DE2282" w:rsidRDefault="00EB1AD0" w:rsidP="00E17D96">
            <w:pPr>
              <w:spacing w:before="60" w:after="60" w:line="200" w:lineRule="exact"/>
              <w:ind w:left="72"/>
              <w:jc w:val="left"/>
              <w:rPr>
                <w:noProof/>
                <w:sz w:val="16"/>
                <w:szCs w:val="16"/>
              </w:rPr>
            </w:pPr>
            <w:r w:rsidRPr="00DE2282">
              <w:rPr>
                <w:noProof/>
                <w:sz w:val="16"/>
              </w:rPr>
              <w:t xml:space="preserve">Otros gastos administrativos </w:t>
            </w: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r>
      <w:tr w:rsidR="00EB1AD0" w:rsidRPr="00DE2282" w:rsidTr="00E17D96">
        <w:trPr>
          <w:trHeight w:val="585"/>
        </w:trPr>
        <w:tc>
          <w:tcPr>
            <w:tcW w:w="1980" w:type="dxa"/>
            <w:shd w:val="clear" w:color="auto" w:fill="CCCCCC"/>
            <w:vAlign w:val="center"/>
          </w:tcPr>
          <w:p w:rsidR="00EB1AD0" w:rsidRPr="00DE2282" w:rsidRDefault="00EB1AD0" w:rsidP="00E17D96">
            <w:pPr>
              <w:spacing w:before="60" w:after="60" w:line="200" w:lineRule="exact"/>
              <w:jc w:val="center"/>
              <w:rPr>
                <w:b/>
                <w:noProof/>
                <w:sz w:val="16"/>
                <w:szCs w:val="16"/>
              </w:rPr>
            </w:pPr>
            <w:r w:rsidRPr="00DE2282">
              <w:rPr>
                <w:b/>
                <w:noProof/>
                <w:sz w:val="16"/>
              </w:rPr>
              <w:t>Subtotal de la RÚBRICA 7</w:t>
            </w:r>
            <w:r w:rsidRPr="00DE2282">
              <w:rPr>
                <w:noProof/>
                <w:sz w:val="22"/>
              </w:rPr>
              <w:br/>
            </w:r>
            <w:r w:rsidRPr="00DE2282">
              <w:rPr>
                <w:b/>
                <w:noProof/>
                <w:sz w:val="16"/>
              </w:rPr>
              <w:t xml:space="preserve">del marco financiero plurianual </w:t>
            </w: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r>
    </w:tbl>
    <w:p w:rsidR="00EB1AD0" w:rsidRPr="00DE2282" w:rsidRDefault="00EB1AD0" w:rsidP="00EB1AD0">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EB1AD0" w:rsidRPr="00DE2282" w:rsidTr="00E17D96">
        <w:trPr>
          <w:trHeight w:val="585"/>
        </w:trPr>
        <w:tc>
          <w:tcPr>
            <w:tcW w:w="1980" w:type="dxa"/>
            <w:shd w:val="clear" w:color="auto" w:fill="CCCCCC"/>
            <w:vAlign w:val="center"/>
          </w:tcPr>
          <w:p w:rsidR="00EB1AD0" w:rsidRPr="00DE2282" w:rsidRDefault="00EB1AD0" w:rsidP="00E17D96">
            <w:pPr>
              <w:spacing w:before="60" w:after="60" w:line="200" w:lineRule="exact"/>
              <w:jc w:val="center"/>
              <w:rPr>
                <w:noProof/>
                <w:sz w:val="16"/>
                <w:szCs w:val="16"/>
              </w:rPr>
            </w:pPr>
            <w:r w:rsidRPr="00DE2282">
              <w:rPr>
                <w:b/>
                <w:noProof/>
                <w:sz w:val="16"/>
              </w:rPr>
              <w:t>Al margen de la RÚBRICA 7</w:t>
            </w:r>
            <w:r w:rsidRPr="00DE2282">
              <w:rPr>
                <w:rStyle w:val="FootnoteReference"/>
                <w:b/>
                <w:noProof/>
                <w:sz w:val="16"/>
              </w:rPr>
              <w:footnoteReference w:id="35"/>
            </w:r>
            <w:r w:rsidRPr="00DE2282">
              <w:rPr>
                <w:noProof/>
                <w:sz w:val="22"/>
              </w:rPr>
              <w:br/>
            </w:r>
            <w:r w:rsidRPr="00DE2282">
              <w:rPr>
                <w:b/>
                <w:noProof/>
                <w:sz w:val="16"/>
              </w:rPr>
              <w:t xml:space="preserve">del marco financiero plurianual </w:t>
            </w:r>
          </w:p>
          <w:p w:rsidR="00EB1AD0" w:rsidRPr="00DE2282" w:rsidRDefault="00EB1AD0" w:rsidP="00E17D96">
            <w:pPr>
              <w:spacing w:before="0" w:after="0" w:line="200" w:lineRule="exact"/>
              <w:jc w:val="center"/>
              <w:rPr>
                <w:b/>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r>
      <w:tr w:rsidR="00EB1AD0" w:rsidRPr="00DE2282" w:rsidTr="00E17D96">
        <w:trPr>
          <w:trHeight w:val="585"/>
        </w:trPr>
        <w:tc>
          <w:tcPr>
            <w:tcW w:w="1980" w:type="dxa"/>
            <w:vAlign w:val="center"/>
          </w:tcPr>
          <w:p w:rsidR="00EB1AD0" w:rsidRPr="00DE2282" w:rsidRDefault="00EB1AD0" w:rsidP="00E17D96">
            <w:pPr>
              <w:spacing w:before="60" w:after="60" w:line="200" w:lineRule="exact"/>
              <w:ind w:left="72"/>
              <w:jc w:val="left"/>
              <w:rPr>
                <w:noProof/>
                <w:sz w:val="16"/>
                <w:szCs w:val="16"/>
              </w:rPr>
            </w:pPr>
            <w:r w:rsidRPr="00DE2282">
              <w:rPr>
                <w:noProof/>
                <w:sz w:val="16"/>
              </w:rPr>
              <w:t xml:space="preserve">Recursos humanos </w:t>
            </w: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r>
      <w:tr w:rsidR="00EB1AD0" w:rsidRPr="00DE2282" w:rsidTr="00E17D96">
        <w:trPr>
          <w:trHeight w:val="585"/>
        </w:trPr>
        <w:tc>
          <w:tcPr>
            <w:tcW w:w="1980" w:type="dxa"/>
            <w:vAlign w:val="center"/>
          </w:tcPr>
          <w:p w:rsidR="00EB1AD0" w:rsidRPr="00DE2282" w:rsidRDefault="00EB1AD0" w:rsidP="00E17D96">
            <w:pPr>
              <w:spacing w:before="60" w:after="60" w:line="200" w:lineRule="exact"/>
              <w:ind w:left="72"/>
              <w:jc w:val="left"/>
              <w:rPr>
                <w:noProof/>
                <w:sz w:val="16"/>
                <w:szCs w:val="16"/>
              </w:rPr>
            </w:pPr>
            <w:r w:rsidRPr="00DE2282">
              <w:rPr>
                <w:noProof/>
                <w:sz w:val="16"/>
              </w:rPr>
              <w:t>Otros gastos</w:t>
            </w:r>
            <w:r w:rsidRPr="00DE2282">
              <w:rPr>
                <w:noProof/>
                <w:sz w:val="22"/>
              </w:rPr>
              <w:br/>
            </w:r>
            <w:r w:rsidRPr="00DE2282">
              <w:rPr>
                <w:noProof/>
                <w:sz w:val="16"/>
              </w:rPr>
              <w:t>de carácter administrativo</w:t>
            </w: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r>
      <w:tr w:rsidR="00EB1AD0" w:rsidRPr="00DE2282" w:rsidTr="00E17D96">
        <w:trPr>
          <w:trHeight w:val="585"/>
        </w:trPr>
        <w:tc>
          <w:tcPr>
            <w:tcW w:w="1980" w:type="dxa"/>
            <w:shd w:val="clear" w:color="auto" w:fill="CCCCCC"/>
            <w:vAlign w:val="center"/>
          </w:tcPr>
          <w:p w:rsidR="00EB1AD0" w:rsidRPr="00DE2282" w:rsidRDefault="00EB1AD0" w:rsidP="00E17D96">
            <w:pPr>
              <w:spacing w:before="60" w:after="60" w:line="200" w:lineRule="exact"/>
              <w:jc w:val="center"/>
              <w:rPr>
                <w:b/>
                <w:noProof/>
                <w:sz w:val="16"/>
                <w:szCs w:val="16"/>
              </w:rPr>
            </w:pPr>
            <w:r w:rsidRPr="00DE2282">
              <w:rPr>
                <w:b/>
                <w:noProof/>
                <w:sz w:val="16"/>
              </w:rPr>
              <w:t>Subtotal</w:t>
            </w:r>
            <w:r w:rsidRPr="00DE2282">
              <w:rPr>
                <w:noProof/>
                <w:sz w:val="22"/>
              </w:rPr>
              <w:br/>
            </w:r>
            <w:r w:rsidRPr="00DE2282">
              <w:rPr>
                <w:b/>
                <w:noProof/>
                <w:sz w:val="16"/>
              </w:rPr>
              <w:t>al margen de la RÚBRICA 7</w:t>
            </w:r>
            <w:r w:rsidRPr="00DE2282">
              <w:rPr>
                <w:noProof/>
                <w:sz w:val="22"/>
              </w:rPr>
              <w:br/>
            </w:r>
            <w:r w:rsidRPr="00DE2282">
              <w:rPr>
                <w:b/>
                <w:noProof/>
                <w:sz w:val="16"/>
              </w:rPr>
              <w:t xml:space="preserve">del marco financiero plurianual </w:t>
            </w: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c>
          <w:tcPr>
            <w:tcW w:w="1080" w:type="dxa"/>
            <w:vAlign w:val="center"/>
          </w:tcPr>
          <w:p w:rsidR="00EB1AD0" w:rsidRPr="00DE2282" w:rsidRDefault="00EB1AD0" w:rsidP="00E17D96">
            <w:pPr>
              <w:spacing w:before="60" w:after="60" w:line="200" w:lineRule="exact"/>
              <w:jc w:val="right"/>
              <w:rPr>
                <w:b/>
                <w:noProof/>
                <w:sz w:val="16"/>
                <w:szCs w:val="16"/>
              </w:rPr>
            </w:pPr>
          </w:p>
        </w:tc>
      </w:tr>
    </w:tbl>
    <w:p w:rsidR="00EB1AD0" w:rsidRPr="00DE2282" w:rsidRDefault="00EB1AD0" w:rsidP="00EB1AD0">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EB1AD0" w:rsidRPr="00DE2282" w:rsidTr="00E17D96">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EB1AD0" w:rsidRPr="00DE2282" w:rsidRDefault="00EB1AD0" w:rsidP="00E17D96">
            <w:pPr>
              <w:spacing w:before="60" w:after="60" w:line="200" w:lineRule="exact"/>
              <w:jc w:val="center"/>
              <w:rPr>
                <w:noProof/>
                <w:sz w:val="16"/>
                <w:szCs w:val="16"/>
              </w:rPr>
            </w:pPr>
            <w:r w:rsidRPr="00DE2282">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EB1AD0" w:rsidRPr="00DE2282" w:rsidRDefault="00EB1AD0" w:rsidP="00E17D96">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EB1AD0" w:rsidRPr="00DE2282" w:rsidRDefault="00EB1AD0" w:rsidP="00E17D96">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EB1AD0" w:rsidRPr="00DE2282" w:rsidRDefault="00EB1AD0" w:rsidP="00E17D96">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EB1AD0" w:rsidRPr="00DE2282" w:rsidRDefault="00EB1AD0" w:rsidP="00E17D96">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EB1AD0" w:rsidRPr="00DE2282" w:rsidRDefault="00EB1AD0" w:rsidP="00E17D96">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EB1AD0" w:rsidRPr="00DE2282" w:rsidRDefault="00EB1AD0" w:rsidP="00E17D96">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EB1AD0" w:rsidRPr="00DE2282" w:rsidRDefault="00EB1AD0" w:rsidP="00E17D96">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rsidR="00EB1AD0" w:rsidRPr="00DE2282" w:rsidRDefault="00EB1AD0" w:rsidP="00E17D96">
            <w:pPr>
              <w:spacing w:before="60" w:after="60" w:line="200" w:lineRule="exact"/>
              <w:jc w:val="right"/>
              <w:rPr>
                <w:b/>
                <w:noProof/>
                <w:sz w:val="16"/>
                <w:szCs w:val="16"/>
              </w:rPr>
            </w:pPr>
          </w:p>
        </w:tc>
      </w:tr>
    </w:tbl>
    <w:p w:rsidR="00EB1AD0" w:rsidRPr="00DE2282" w:rsidRDefault="00EB1AD0" w:rsidP="00EB1AD0">
      <w:pPr>
        <w:rPr>
          <w:noProof/>
          <w:sz w:val="22"/>
          <w:szCs w:val="28"/>
        </w:rPr>
      </w:pPr>
      <w:r w:rsidRPr="00DE2282">
        <w:rPr>
          <w:noProof/>
          <w:sz w:val="22"/>
        </w:rPr>
        <w:t>Los créditos necesarios para recursos humanos y otros gastos de carácter administrativo se cubrirán mediante créditos de la DG ya asignados a la gestión de la acción y/o reasignados dentro de la DG.</w:t>
      </w:r>
    </w:p>
    <w:p w:rsidR="00EB1AD0" w:rsidRPr="00DE2282" w:rsidRDefault="00EB1AD0" w:rsidP="00EB1AD0">
      <w:pPr>
        <w:rPr>
          <w:noProof/>
          <w:sz w:val="18"/>
        </w:rPr>
        <w:sectPr w:rsidR="00EB1AD0" w:rsidRPr="00DE2282" w:rsidSect="00725663">
          <w:headerReference w:type="default" r:id="rId23"/>
          <w:footerReference w:type="default" r:id="rId24"/>
          <w:pgSz w:w="11907" w:h="16840"/>
          <w:pgMar w:top="1134" w:right="1418" w:bottom="1134" w:left="1418" w:header="709" w:footer="709" w:gutter="0"/>
          <w:cols w:space="708"/>
          <w:docGrid w:linePitch="360"/>
        </w:sectPr>
      </w:pPr>
    </w:p>
    <w:p w:rsidR="00EB1AD0" w:rsidRPr="00DE2282" w:rsidRDefault="00EB1AD0" w:rsidP="00EB1AD0">
      <w:pPr>
        <w:pStyle w:val="ManualHeading4"/>
        <w:rPr>
          <w:bCs/>
          <w:noProof/>
          <w:szCs w:val="24"/>
        </w:rPr>
      </w:pPr>
      <w:bookmarkStart w:id="67" w:name="_Toc82C9CE6E4E1F470F8F09B4938A67F539"/>
      <w:r w:rsidRPr="00DE2282">
        <w:rPr>
          <w:noProof/>
        </w:rPr>
        <w:t>3.2.3.1.</w:t>
      </w:r>
      <w:r w:rsidRPr="00DE2282">
        <w:rPr>
          <w:noProof/>
        </w:rPr>
        <w:tab/>
        <w:t xml:space="preserve">Necesidades estimadas de recursos humanos </w:t>
      </w:r>
      <w:bookmarkEnd w:id="67"/>
    </w:p>
    <w:p w:rsidR="00EB1AD0" w:rsidRPr="00DE2282" w:rsidRDefault="001538F3" w:rsidP="00EB1AD0">
      <w:pPr>
        <w:pStyle w:val="ListDash1"/>
        <w:rPr>
          <w:noProof/>
        </w:rPr>
      </w:pPr>
      <w:r w:rsidRPr="00DE2282">
        <w:rPr>
          <w:noProof/>
        </w:rPr>
        <w:sym w:font="Wingdings" w:char="F0FD"/>
      </w:r>
      <w:r w:rsidRPr="00DE2282">
        <w:rPr>
          <w:noProof/>
        </w:rPr>
        <w:tab/>
        <w:t xml:space="preserve">La propuesta/iniciativa no exige la utilización de recursos humanos. </w:t>
      </w:r>
    </w:p>
    <w:p w:rsidR="00EB1AD0" w:rsidRPr="00DE2282" w:rsidRDefault="001538F3" w:rsidP="00EB1AD0">
      <w:pPr>
        <w:pStyle w:val="ListDash1"/>
        <w:rPr>
          <w:noProof/>
        </w:rPr>
      </w:pPr>
      <w:r w:rsidRPr="00DE2282">
        <w:rPr>
          <w:noProof/>
        </w:rPr>
        <w:sym w:font="Wingdings" w:char="F0A8"/>
      </w:r>
      <w:r w:rsidRPr="00DE2282">
        <w:rPr>
          <w:noProof/>
        </w:rPr>
        <w:tab/>
        <w:t>La propuesta/iniciativa exige la utilización de recursos humanos, tal como se explica a continuación:</w:t>
      </w:r>
    </w:p>
    <w:p w:rsidR="00EB1AD0" w:rsidRPr="00DE2282" w:rsidRDefault="00EB1AD0" w:rsidP="00EB1AD0">
      <w:pPr>
        <w:spacing w:after="60"/>
        <w:jc w:val="right"/>
        <w:rPr>
          <w:i/>
          <w:noProof/>
          <w:sz w:val="20"/>
        </w:rPr>
      </w:pPr>
      <w:r w:rsidRPr="00DE2282">
        <w:rPr>
          <w:i/>
          <w:noProof/>
          <w:sz w:val="20"/>
        </w:rPr>
        <w:t>Estimación que debe expresarse en equivalencia a tiempo completo</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731"/>
        <w:gridCol w:w="731"/>
        <w:gridCol w:w="731"/>
        <w:gridCol w:w="731"/>
        <w:gridCol w:w="731"/>
      </w:tblGrid>
      <w:tr w:rsidR="00EB1AD0" w:rsidRPr="00DE2282" w:rsidTr="00E17D96">
        <w:trPr>
          <w:gridBefore w:val="1"/>
          <w:wBefore w:w="15" w:type="dxa"/>
          <w:trHeight w:val="289"/>
          <w:jc w:val="center"/>
        </w:trPr>
        <w:tc>
          <w:tcPr>
            <w:tcW w:w="4754" w:type="dxa"/>
            <w:gridSpan w:val="2"/>
            <w:shd w:val="clear" w:color="auto" w:fill="auto"/>
          </w:tcPr>
          <w:p w:rsidR="00EB1AD0" w:rsidRPr="00DE2282" w:rsidRDefault="00EB1AD0" w:rsidP="00E17D96">
            <w:pPr>
              <w:pStyle w:val="Text1"/>
              <w:spacing w:before="40" w:after="40"/>
              <w:ind w:left="0"/>
              <w:jc w:val="center"/>
              <w:rPr>
                <w:i/>
                <w:noProof/>
                <w:sz w:val="16"/>
                <w:szCs w:val="16"/>
              </w:rPr>
            </w:pPr>
          </w:p>
        </w:tc>
        <w:tc>
          <w:tcPr>
            <w:tcW w:w="731" w:type="dxa"/>
            <w:shd w:val="clear" w:color="auto" w:fill="auto"/>
            <w:vAlign w:val="center"/>
          </w:tcPr>
          <w:p w:rsidR="00EB1AD0" w:rsidRPr="00DE2282" w:rsidRDefault="00EB1AD0" w:rsidP="00E17D96">
            <w:pPr>
              <w:spacing w:before="20" w:after="20"/>
              <w:jc w:val="center"/>
              <w:rPr>
                <w:noProof/>
                <w:sz w:val="16"/>
                <w:szCs w:val="16"/>
              </w:rPr>
            </w:pPr>
            <w:r w:rsidRPr="00DE2282">
              <w:rPr>
                <w:noProof/>
                <w:sz w:val="16"/>
              </w:rPr>
              <w:t>2025</w:t>
            </w:r>
          </w:p>
        </w:tc>
        <w:tc>
          <w:tcPr>
            <w:tcW w:w="731" w:type="dxa"/>
            <w:shd w:val="clear" w:color="auto" w:fill="auto"/>
            <w:vAlign w:val="center"/>
          </w:tcPr>
          <w:p w:rsidR="00EB1AD0" w:rsidRPr="00DE2282" w:rsidRDefault="00EB1AD0" w:rsidP="00E17D96">
            <w:pPr>
              <w:spacing w:before="20" w:after="20"/>
              <w:jc w:val="center"/>
              <w:rPr>
                <w:noProof/>
                <w:sz w:val="16"/>
                <w:szCs w:val="16"/>
              </w:rPr>
            </w:pPr>
            <w:r w:rsidRPr="00DE2282">
              <w:rPr>
                <w:noProof/>
                <w:sz w:val="16"/>
              </w:rPr>
              <w:t>2026</w:t>
            </w:r>
          </w:p>
        </w:tc>
        <w:tc>
          <w:tcPr>
            <w:tcW w:w="731" w:type="dxa"/>
            <w:shd w:val="clear" w:color="auto" w:fill="auto"/>
            <w:vAlign w:val="center"/>
          </w:tcPr>
          <w:p w:rsidR="00EB1AD0" w:rsidRPr="00DE2282" w:rsidRDefault="00EB1AD0" w:rsidP="00E17D96">
            <w:pPr>
              <w:spacing w:before="20" w:after="20"/>
              <w:jc w:val="center"/>
              <w:rPr>
                <w:noProof/>
                <w:sz w:val="16"/>
                <w:szCs w:val="16"/>
              </w:rPr>
            </w:pPr>
            <w:r w:rsidRPr="00DE2282">
              <w:rPr>
                <w:noProof/>
                <w:sz w:val="16"/>
              </w:rPr>
              <w:t>2027</w:t>
            </w:r>
          </w:p>
        </w:tc>
        <w:tc>
          <w:tcPr>
            <w:tcW w:w="731" w:type="dxa"/>
            <w:shd w:val="clear" w:color="auto" w:fill="auto"/>
            <w:vAlign w:val="center"/>
          </w:tcPr>
          <w:p w:rsidR="00EB1AD0" w:rsidRPr="00DE2282" w:rsidRDefault="00EB1AD0" w:rsidP="00E17D96">
            <w:pPr>
              <w:spacing w:before="20" w:after="20"/>
              <w:jc w:val="center"/>
              <w:rPr>
                <w:noProof/>
                <w:sz w:val="16"/>
                <w:szCs w:val="16"/>
              </w:rPr>
            </w:pPr>
            <w:r w:rsidRPr="00DE2282">
              <w:rPr>
                <w:noProof/>
                <w:sz w:val="16"/>
              </w:rPr>
              <w:t>2028</w:t>
            </w:r>
          </w:p>
        </w:tc>
        <w:tc>
          <w:tcPr>
            <w:tcW w:w="2193" w:type="dxa"/>
            <w:gridSpan w:val="3"/>
            <w:shd w:val="clear" w:color="auto" w:fill="auto"/>
            <w:vAlign w:val="center"/>
          </w:tcPr>
          <w:p w:rsidR="00EB1AD0" w:rsidRPr="00DE2282" w:rsidRDefault="00EB1AD0" w:rsidP="00E17D96">
            <w:pPr>
              <w:jc w:val="center"/>
              <w:rPr>
                <w:b/>
                <w:noProof/>
                <w:sz w:val="16"/>
                <w:szCs w:val="16"/>
              </w:rPr>
            </w:pPr>
            <w:r w:rsidRPr="00DE2282">
              <w:rPr>
                <w:noProof/>
                <w:sz w:val="16"/>
              </w:rPr>
              <w:t>Insertar tantos años como sea necesario para reflejar la duración de la incidencia (véase el punto 1.6)</w:t>
            </w:r>
          </w:p>
        </w:tc>
      </w:tr>
      <w:tr w:rsidR="00EB1AD0" w:rsidRPr="00DE2282" w:rsidTr="00E17D96">
        <w:trPr>
          <w:gridBefore w:val="1"/>
          <w:wBefore w:w="15" w:type="dxa"/>
          <w:trHeight w:val="289"/>
          <w:jc w:val="center"/>
        </w:trPr>
        <w:tc>
          <w:tcPr>
            <w:tcW w:w="9871" w:type="dxa"/>
            <w:gridSpan w:val="9"/>
            <w:shd w:val="clear" w:color="auto" w:fill="auto"/>
          </w:tcPr>
          <w:p w:rsidR="00EB1AD0" w:rsidRPr="00DE2282" w:rsidRDefault="00EB1AD0" w:rsidP="00E17D96">
            <w:pPr>
              <w:jc w:val="left"/>
              <w:rPr>
                <w:noProof/>
                <w:sz w:val="16"/>
                <w:szCs w:val="16"/>
              </w:rPr>
            </w:pPr>
            <w:r w:rsidRPr="00DE2282">
              <w:rPr>
                <w:b/>
                <w:noProof/>
                <w:sz w:val="16"/>
              </w:rPr>
              <w:sym w:font="Wingdings" w:char="F09F"/>
            </w:r>
            <w:r w:rsidRPr="00DE2282">
              <w:rPr>
                <w:noProof/>
              </w:rPr>
              <w:t xml:space="preserve"> </w:t>
            </w:r>
            <w:r w:rsidRPr="00DE2282">
              <w:rPr>
                <w:b/>
                <w:noProof/>
                <w:sz w:val="16"/>
              </w:rPr>
              <w:t>Empleos de plantilla (funcionarios y personal temporal)</w:t>
            </w:r>
          </w:p>
        </w:tc>
      </w:tr>
      <w:tr w:rsidR="00EB1AD0" w:rsidRPr="00DE2282" w:rsidTr="00E17D96">
        <w:trPr>
          <w:gridBefore w:val="1"/>
          <w:wBefore w:w="15" w:type="dxa"/>
          <w:trHeight w:val="289"/>
          <w:jc w:val="center"/>
        </w:trPr>
        <w:tc>
          <w:tcPr>
            <w:tcW w:w="4754" w:type="dxa"/>
            <w:gridSpan w:val="2"/>
            <w:shd w:val="clear" w:color="auto" w:fill="auto"/>
            <w:vAlign w:val="center"/>
          </w:tcPr>
          <w:p w:rsidR="00EB1AD0" w:rsidRPr="00DE2282" w:rsidRDefault="00EB1AD0" w:rsidP="00E17D96">
            <w:pPr>
              <w:pStyle w:val="Text1"/>
              <w:spacing w:beforeLines="20" w:before="48" w:afterLines="20" w:after="48"/>
              <w:ind w:left="134"/>
              <w:jc w:val="left"/>
              <w:rPr>
                <w:b/>
                <w:noProof/>
                <w:sz w:val="16"/>
                <w:szCs w:val="16"/>
              </w:rPr>
            </w:pPr>
            <w:r w:rsidRPr="00DE2282">
              <w:rPr>
                <w:noProof/>
                <w:sz w:val="16"/>
              </w:rPr>
              <w:t>20 01 02 01</w:t>
            </w:r>
            <w:r w:rsidRPr="00DE2282">
              <w:rPr>
                <w:noProof/>
              </w:rPr>
              <w:t xml:space="preserve"> </w:t>
            </w:r>
            <w:r w:rsidRPr="00DE2282">
              <w:rPr>
                <w:noProof/>
                <w:sz w:val="16"/>
              </w:rPr>
              <w:t>(Sede y Oficinas de Representación de la Comisión)</w:t>
            </w: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r>
      <w:tr w:rsidR="00EB1AD0" w:rsidRPr="00DE2282" w:rsidTr="00E17D96">
        <w:trPr>
          <w:gridBefore w:val="1"/>
          <w:wBefore w:w="15" w:type="dxa"/>
          <w:trHeight w:val="289"/>
          <w:jc w:val="center"/>
        </w:trPr>
        <w:tc>
          <w:tcPr>
            <w:tcW w:w="4754" w:type="dxa"/>
            <w:gridSpan w:val="2"/>
            <w:shd w:val="clear" w:color="auto" w:fill="auto"/>
            <w:vAlign w:val="center"/>
          </w:tcPr>
          <w:p w:rsidR="00EB1AD0" w:rsidRPr="00DE2282" w:rsidRDefault="00EB1AD0" w:rsidP="00E17D96">
            <w:pPr>
              <w:pStyle w:val="Text1"/>
              <w:spacing w:beforeLines="20" w:before="48" w:afterLines="20" w:after="48"/>
              <w:ind w:left="134"/>
              <w:jc w:val="left"/>
              <w:rPr>
                <w:noProof/>
                <w:sz w:val="16"/>
              </w:rPr>
            </w:pPr>
            <w:r w:rsidRPr="00DE2282">
              <w:rPr>
                <w:noProof/>
                <w:sz w:val="16"/>
              </w:rPr>
              <w:t>20 01 02 03 (Delegaciones)</w:t>
            </w: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r>
      <w:tr w:rsidR="00EB1AD0" w:rsidRPr="00DE2282" w:rsidTr="00E17D96">
        <w:trPr>
          <w:gridBefore w:val="1"/>
          <w:wBefore w:w="15" w:type="dxa"/>
          <w:trHeight w:val="289"/>
          <w:jc w:val="center"/>
        </w:trPr>
        <w:tc>
          <w:tcPr>
            <w:tcW w:w="4754" w:type="dxa"/>
            <w:gridSpan w:val="2"/>
            <w:shd w:val="clear" w:color="auto" w:fill="auto"/>
            <w:vAlign w:val="center"/>
          </w:tcPr>
          <w:p w:rsidR="00EB1AD0" w:rsidRPr="00DE2282" w:rsidRDefault="00EB1AD0" w:rsidP="00E17D96">
            <w:pPr>
              <w:pStyle w:val="Text1"/>
              <w:spacing w:beforeLines="20" w:before="48" w:afterLines="20" w:after="48"/>
              <w:ind w:left="134"/>
              <w:jc w:val="left"/>
              <w:rPr>
                <w:noProof/>
                <w:sz w:val="16"/>
                <w:szCs w:val="16"/>
              </w:rPr>
            </w:pPr>
            <w:r w:rsidRPr="00DE2282">
              <w:rPr>
                <w:noProof/>
                <w:sz w:val="16"/>
              </w:rPr>
              <w:t>01 01 01 01</w:t>
            </w:r>
            <w:r w:rsidRPr="00DE2282">
              <w:rPr>
                <w:noProof/>
              </w:rPr>
              <w:t xml:space="preserve"> </w:t>
            </w:r>
            <w:r w:rsidRPr="00DE2282">
              <w:rPr>
                <w:noProof/>
                <w:sz w:val="16"/>
              </w:rPr>
              <w:t>(Investigación indirecta)</w:t>
            </w: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r>
      <w:tr w:rsidR="00EB1AD0" w:rsidRPr="00DE2282" w:rsidTr="00E17D96">
        <w:trPr>
          <w:gridBefore w:val="1"/>
          <w:wBefore w:w="15" w:type="dxa"/>
          <w:trHeight w:val="289"/>
          <w:jc w:val="center"/>
        </w:trPr>
        <w:tc>
          <w:tcPr>
            <w:tcW w:w="4754" w:type="dxa"/>
            <w:gridSpan w:val="2"/>
            <w:shd w:val="clear" w:color="auto" w:fill="auto"/>
            <w:vAlign w:val="center"/>
          </w:tcPr>
          <w:p w:rsidR="00EB1AD0" w:rsidRPr="00DE2282" w:rsidRDefault="00EB1AD0" w:rsidP="00E17D96">
            <w:pPr>
              <w:pStyle w:val="Text1"/>
              <w:spacing w:beforeLines="20" w:before="48" w:afterLines="20" w:after="48"/>
              <w:ind w:left="134"/>
              <w:jc w:val="left"/>
              <w:rPr>
                <w:noProof/>
                <w:sz w:val="16"/>
                <w:szCs w:val="16"/>
              </w:rPr>
            </w:pPr>
            <w:r w:rsidRPr="00DE2282">
              <w:rPr>
                <w:noProof/>
                <w:sz w:val="16"/>
              </w:rPr>
              <w:t xml:space="preserve"> 01 01 01 11 (Investigación directa)</w:t>
            </w: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r>
      <w:tr w:rsidR="00EB1AD0" w:rsidRPr="00DE2282" w:rsidTr="00E17D96">
        <w:trPr>
          <w:gridBefore w:val="1"/>
          <w:wBefore w:w="15" w:type="dxa"/>
          <w:trHeight w:val="289"/>
          <w:jc w:val="center"/>
        </w:trPr>
        <w:tc>
          <w:tcPr>
            <w:tcW w:w="4754" w:type="dxa"/>
            <w:gridSpan w:val="2"/>
            <w:shd w:val="clear" w:color="auto" w:fill="auto"/>
            <w:vAlign w:val="center"/>
          </w:tcPr>
          <w:p w:rsidR="00EB1AD0" w:rsidRPr="00DE2282" w:rsidRDefault="00EB1AD0" w:rsidP="00E17D96">
            <w:pPr>
              <w:pStyle w:val="Text1"/>
              <w:spacing w:beforeLines="20" w:before="48" w:afterLines="20" w:after="48"/>
              <w:ind w:left="134"/>
              <w:jc w:val="left"/>
              <w:rPr>
                <w:noProof/>
                <w:sz w:val="16"/>
              </w:rPr>
            </w:pPr>
            <w:r w:rsidRPr="00DE2282">
              <w:rPr>
                <w:noProof/>
                <w:sz w:val="16"/>
              </w:rPr>
              <w:t>Otras líneas presupuestarias (especificar)</w:t>
            </w: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r>
      <w:tr w:rsidR="00EB1AD0" w:rsidRPr="00DE2282" w:rsidTr="00E17D96">
        <w:trPr>
          <w:trHeight w:val="248"/>
          <w:jc w:val="center"/>
        </w:trPr>
        <w:tc>
          <w:tcPr>
            <w:tcW w:w="9886" w:type="dxa"/>
            <w:gridSpan w:val="10"/>
            <w:shd w:val="clear" w:color="auto" w:fill="auto"/>
            <w:vAlign w:val="center"/>
          </w:tcPr>
          <w:p w:rsidR="00EB1AD0" w:rsidRPr="00DE2282" w:rsidRDefault="00EB1AD0" w:rsidP="00E17D96">
            <w:pPr>
              <w:pStyle w:val="Text1"/>
              <w:spacing w:before="60" w:after="60"/>
              <w:ind w:left="0"/>
              <w:jc w:val="left"/>
              <w:rPr>
                <w:b/>
                <w:noProof/>
                <w:sz w:val="16"/>
                <w:szCs w:val="16"/>
              </w:rPr>
            </w:pPr>
            <w:r w:rsidRPr="00DE2282">
              <w:rPr>
                <w:b/>
                <w:noProof/>
                <w:sz w:val="16"/>
              </w:rPr>
              <w:sym w:font="Wingdings" w:char="F09F"/>
            </w:r>
            <w:r w:rsidRPr="00DE2282">
              <w:rPr>
                <w:noProof/>
              </w:rPr>
              <w:t xml:space="preserve"> </w:t>
            </w:r>
            <w:r w:rsidRPr="00DE2282">
              <w:rPr>
                <w:b/>
                <w:noProof/>
                <w:sz w:val="16"/>
              </w:rPr>
              <w:t>Personal externo (en equivalencia a tiempo completo: ETC)</w:t>
            </w:r>
            <w:r w:rsidRPr="00DE2282">
              <w:rPr>
                <w:rStyle w:val="FootnoteReference"/>
                <w:b/>
                <w:noProof/>
                <w:sz w:val="16"/>
              </w:rPr>
              <w:footnoteReference w:id="36"/>
            </w:r>
          </w:p>
          <w:p w:rsidR="00EB1AD0" w:rsidRPr="00DE2282" w:rsidRDefault="00EB1AD0" w:rsidP="00E17D96">
            <w:pPr>
              <w:pStyle w:val="Text1"/>
              <w:spacing w:before="0" w:after="0"/>
              <w:ind w:left="0"/>
              <w:jc w:val="left"/>
              <w:rPr>
                <w:noProof/>
                <w:sz w:val="16"/>
                <w:szCs w:val="16"/>
              </w:rPr>
            </w:pPr>
          </w:p>
        </w:tc>
      </w:tr>
      <w:tr w:rsidR="00EB1AD0" w:rsidRPr="00DE2282" w:rsidTr="00E17D96">
        <w:trPr>
          <w:gridBefore w:val="1"/>
          <w:wBefore w:w="15" w:type="dxa"/>
          <w:trHeight w:val="289"/>
          <w:jc w:val="center"/>
        </w:trPr>
        <w:tc>
          <w:tcPr>
            <w:tcW w:w="4754" w:type="dxa"/>
            <w:gridSpan w:val="2"/>
            <w:shd w:val="clear" w:color="auto" w:fill="auto"/>
            <w:vAlign w:val="center"/>
          </w:tcPr>
          <w:p w:rsidR="00EB1AD0" w:rsidRPr="00DE2282" w:rsidRDefault="00EB1AD0" w:rsidP="00E17D96">
            <w:pPr>
              <w:pStyle w:val="Text1"/>
              <w:spacing w:beforeLines="20" w:before="48" w:afterLines="20" w:after="48"/>
              <w:ind w:left="136"/>
              <w:jc w:val="left"/>
              <w:rPr>
                <w:b/>
                <w:noProof/>
                <w:sz w:val="16"/>
                <w:szCs w:val="16"/>
              </w:rPr>
            </w:pPr>
            <w:r w:rsidRPr="00DE2282">
              <w:rPr>
                <w:noProof/>
                <w:sz w:val="16"/>
              </w:rPr>
              <w:t>20 02 01</w:t>
            </w:r>
            <w:r w:rsidRPr="00DE2282">
              <w:rPr>
                <w:rFonts w:ascii="Arial Narrow" w:hAnsi="Arial Narrow"/>
                <w:noProof/>
                <w:sz w:val="20"/>
              </w:rPr>
              <w:t xml:space="preserve"> </w:t>
            </w:r>
            <w:r w:rsidRPr="00DE2282">
              <w:rPr>
                <w:noProof/>
                <w:sz w:val="16"/>
              </w:rPr>
              <w:t>(AC, ENCS, INT de la «dotación global»)</w:t>
            </w: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r>
      <w:tr w:rsidR="00EB1AD0" w:rsidRPr="00DE2282" w:rsidTr="00E17D96">
        <w:trPr>
          <w:gridBefore w:val="1"/>
          <w:wBefore w:w="15" w:type="dxa"/>
          <w:trHeight w:val="289"/>
          <w:jc w:val="center"/>
        </w:trPr>
        <w:tc>
          <w:tcPr>
            <w:tcW w:w="4754" w:type="dxa"/>
            <w:gridSpan w:val="2"/>
            <w:shd w:val="clear" w:color="auto" w:fill="auto"/>
            <w:vAlign w:val="center"/>
          </w:tcPr>
          <w:p w:rsidR="00EB1AD0" w:rsidRPr="00DE2282" w:rsidRDefault="00EB1AD0" w:rsidP="00E17D96">
            <w:pPr>
              <w:pStyle w:val="Text1"/>
              <w:spacing w:beforeLines="20" w:before="48" w:afterLines="20" w:after="48"/>
              <w:ind w:left="136"/>
              <w:jc w:val="left"/>
              <w:rPr>
                <w:noProof/>
                <w:sz w:val="16"/>
              </w:rPr>
            </w:pPr>
            <w:r w:rsidRPr="00DE2282">
              <w:rPr>
                <w:noProof/>
                <w:sz w:val="16"/>
              </w:rPr>
              <w:t>20 02 03 (AC, AL, ENCS, INT y JPD en las Delegaciones)</w:t>
            </w: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r>
      <w:tr w:rsidR="00EB1AD0" w:rsidRPr="00DE2282" w:rsidTr="00E17D96">
        <w:trPr>
          <w:gridBefore w:val="1"/>
          <w:wBefore w:w="15" w:type="dxa"/>
          <w:trHeight w:val="289"/>
          <w:jc w:val="center"/>
        </w:trPr>
        <w:tc>
          <w:tcPr>
            <w:tcW w:w="2376" w:type="dxa"/>
            <w:vMerge w:val="restart"/>
            <w:shd w:val="clear" w:color="auto" w:fill="auto"/>
            <w:vAlign w:val="center"/>
          </w:tcPr>
          <w:p w:rsidR="00EB1AD0" w:rsidRPr="00DE2282" w:rsidRDefault="00EB1AD0" w:rsidP="00E17D96">
            <w:pPr>
              <w:pStyle w:val="Text1"/>
              <w:spacing w:beforeLines="20" w:before="48" w:afterLines="20" w:after="48"/>
              <w:ind w:left="136"/>
              <w:jc w:val="left"/>
              <w:rPr>
                <w:b/>
                <w:noProof/>
                <w:sz w:val="16"/>
                <w:szCs w:val="16"/>
              </w:rPr>
            </w:pPr>
            <w:r w:rsidRPr="00DE2282">
              <w:rPr>
                <w:b/>
                <w:noProof/>
                <w:sz w:val="16"/>
              </w:rPr>
              <w:t>XX</w:t>
            </w:r>
            <w:r w:rsidRPr="00DE2282">
              <w:rPr>
                <w:noProof/>
                <w:sz w:val="16"/>
              </w:rPr>
              <w:t xml:space="preserve"> 01 xx </w:t>
            </w:r>
            <w:r w:rsidRPr="00DE2282">
              <w:rPr>
                <w:b/>
                <w:noProof/>
                <w:sz w:val="16"/>
              </w:rPr>
              <w:t xml:space="preserve">yy zz </w:t>
            </w:r>
            <w:r w:rsidRPr="00DE2282">
              <w:rPr>
                <w:b/>
                <w:i/>
                <w:noProof/>
                <w:sz w:val="16"/>
              </w:rPr>
              <w:t xml:space="preserve"> </w:t>
            </w:r>
            <w:r w:rsidRPr="00DE2282">
              <w:rPr>
                <w:rStyle w:val="FootnoteReference"/>
                <w:b/>
                <w:i/>
                <w:noProof/>
                <w:sz w:val="16"/>
              </w:rPr>
              <w:footnoteReference w:id="37"/>
            </w:r>
          </w:p>
          <w:p w:rsidR="00EB1AD0" w:rsidRPr="00DE2282" w:rsidRDefault="00EB1AD0" w:rsidP="00E17D96">
            <w:pPr>
              <w:pStyle w:val="Text1"/>
              <w:spacing w:beforeLines="20" w:before="48" w:afterLines="20" w:after="48"/>
              <w:ind w:left="136"/>
              <w:jc w:val="left"/>
              <w:rPr>
                <w:b/>
                <w:noProof/>
                <w:sz w:val="16"/>
                <w:szCs w:val="16"/>
              </w:rPr>
            </w:pPr>
          </w:p>
        </w:tc>
        <w:tc>
          <w:tcPr>
            <w:tcW w:w="2378" w:type="dxa"/>
            <w:shd w:val="clear" w:color="auto" w:fill="auto"/>
            <w:vAlign w:val="center"/>
          </w:tcPr>
          <w:p w:rsidR="00EB1AD0" w:rsidRPr="00DE2282" w:rsidRDefault="00EB1AD0" w:rsidP="00E17D96">
            <w:pPr>
              <w:pStyle w:val="Text1"/>
              <w:spacing w:beforeLines="20" w:before="48" w:afterLines="20" w:after="48"/>
              <w:ind w:left="136"/>
              <w:jc w:val="left"/>
              <w:rPr>
                <w:b/>
                <w:noProof/>
                <w:sz w:val="16"/>
                <w:szCs w:val="16"/>
              </w:rPr>
            </w:pPr>
            <w:r w:rsidRPr="00DE2282">
              <w:rPr>
                <w:noProof/>
                <w:sz w:val="16"/>
              </w:rPr>
              <w:t>- en la sede</w:t>
            </w:r>
          </w:p>
          <w:p w:rsidR="00EB1AD0" w:rsidRPr="00DE2282" w:rsidRDefault="00EB1AD0" w:rsidP="00E17D96">
            <w:pPr>
              <w:pStyle w:val="Text1"/>
              <w:spacing w:beforeLines="20" w:before="48" w:afterLines="20" w:after="48"/>
              <w:ind w:left="136"/>
              <w:jc w:val="left"/>
              <w:rPr>
                <w:b/>
                <w:noProof/>
                <w:sz w:val="16"/>
                <w:szCs w:val="16"/>
              </w:rPr>
            </w:pPr>
          </w:p>
        </w:tc>
        <w:tc>
          <w:tcPr>
            <w:tcW w:w="731" w:type="dxa"/>
            <w:shd w:val="clear" w:color="auto" w:fill="auto"/>
            <w:vAlign w:val="center"/>
          </w:tcPr>
          <w:p w:rsidR="00EB1AD0" w:rsidRPr="00DE2282" w:rsidRDefault="00EB1AD0" w:rsidP="00E17D96">
            <w:pPr>
              <w:pStyle w:val="Text1"/>
              <w:spacing w:beforeLines="20" w:before="48" w:afterLines="20" w:after="48"/>
              <w:ind w:left="0"/>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r>
      <w:tr w:rsidR="00EB1AD0" w:rsidRPr="00DE2282" w:rsidTr="00E17D96">
        <w:trPr>
          <w:gridBefore w:val="1"/>
          <w:wBefore w:w="15" w:type="dxa"/>
          <w:trHeight w:val="289"/>
          <w:jc w:val="center"/>
        </w:trPr>
        <w:tc>
          <w:tcPr>
            <w:tcW w:w="2376" w:type="dxa"/>
            <w:vMerge/>
            <w:shd w:val="clear" w:color="auto" w:fill="auto"/>
            <w:vAlign w:val="center"/>
          </w:tcPr>
          <w:p w:rsidR="00EB1AD0" w:rsidRPr="00DE2282" w:rsidRDefault="00EB1AD0" w:rsidP="00E17D96">
            <w:pPr>
              <w:pStyle w:val="Text1"/>
              <w:spacing w:beforeLines="20" w:before="48" w:afterLines="20" w:after="48"/>
              <w:ind w:left="136"/>
              <w:jc w:val="left"/>
              <w:rPr>
                <w:b/>
                <w:noProof/>
                <w:sz w:val="16"/>
                <w:szCs w:val="16"/>
              </w:rPr>
            </w:pPr>
          </w:p>
        </w:tc>
        <w:tc>
          <w:tcPr>
            <w:tcW w:w="2378" w:type="dxa"/>
            <w:shd w:val="clear" w:color="auto" w:fill="auto"/>
            <w:vAlign w:val="center"/>
          </w:tcPr>
          <w:p w:rsidR="00EB1AD0" w:rsidRPr="00DE2282" w:rsidRDefault="00EB1AD0" w:rsidP="00E17D96">
            <w:pPr>
              <w:pStyle w:val="Text1"/>
              <w:spacing w:beforeLines="20" w:before="48" w:afterLines="20" w:after="48"/>
              <w:ind w:left="136"/>
              <w:jc w:val="left"/>
              <w:rPr>
                <w:b/>
                <w:noProof/>
                <w:sz w:val="16"/>
                <w:szCs w:val="16"/>
              </w:rPr>
            </w:pPr>
            <w:r w:rsidRPr="00DE2282">
              <w:rPr>
                <w:noProof/>
                <w:sz w:val="16"/>
              </w:rPr>
              <w:t xml:space="preserve">- en las Delegaciones </w:t>
            </w:r>
          </w:p>
        </w:tc>
        <w:tc>
          <w:tcPr>
            <w:tcW w:w="731" w:type="dxa"/>
            <w:shd w:val="clear" w:color="auto" w:fill="auto"/>
            <w:vAlign w:val="center"/>
          </w:tcPr>
          <w:p w:rsidR="00EB1AD0" w:rsidRPr="00DE2282" w:rsidRDefault="00EB1AD0" w:rsidP="00E17D96">
            <w:pPr>
              <w:pStyle w:val="Text1"/>
              <w:spacing w:beforeLines="20" w:before="48" w:afterLines="20" w:after="48"/>
              <w:ind w:left="0"/>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r>
      <w:tr w:rsidR="00EB1AD0" w:rsidRPr="00DE2282" w:rsidTr="00E17D96">
        <w:trPr>
          <w:gridBefore w:val="1"/>
          <w:wBefore w:w="15" w:type="dxa"/>
          <w:trHeight w:val="289"/>
          <w:jc w:val="center"/>
        </w:trPr>
        <w:tc>
          <w:tcPr>
            <w:tcW w:w="4754" w:type="dxa"/>
            <w:gridSpan w:val="2"/>
            <w:shd w:val="clear" w:color="auto" w:fill="auto"/>
            <w:vAlign w:val="center"/>
          </w:tcPr>
          <w:p w:rsidR="00EB1AD0" w:rsidRPr="00DE2282" w:rsidRDefault="00EB1AD0" w:rsidP="00E17D96">
            <w:pPr>
              <w:pStyle w:val="Text1"/>
              <w:spacing w:beforeLines="20" w:before="48" w:afterLines="20" w:after="48"/>
              <w:ind w:left="136"/>
              <w:jc w:val="left"/>
              <w:rPr>
                <w:noProof/>
                <w:sz w:val="16"/>
                <w:szCs w:val="16"/>
              </w:rPr>
            </w:pPr>
            <w:r w:rsidRPr="00DE2282">
              <w:rPr>
                <w:noProof/>
                <w:sz w:val="16"/>
              </w:rPr>
              <w:t>01 01 01 02</w:t>
            </w:r>
            <w:r w:rsidRPr="00DE2282">
              <w:rPr>
                <w:noProof/>
              </w:rPr>
              <w:t xml:space="preserve"> </w:t>
            </w:r>
            <w:r w:rsidRPr="00DE2282">
              <w:rPr>
                <w:noProof/>
                <w:sz w:val="16"/>
              </w:rPr>
              <w:t>(AC, ENCS, INT - investigación indirecta)</w:t>
            </w: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r>
      <w:tr w:rsidR="00EB1AD0" w:rsidRPr="00DE2282" w:rsidTr="00E17D96">
        <w:trPr>
          <w:gridBefore w:val="1"/>
          <w:wBefore w:w="15" w:type="dxa"/>
          <w:trHeight w:val="289"/>
          <w:jc w:val="center"/>
        </w:trPr>
        <w:tc>
          <w:tcPr>
            <w:tcW w:w="4754" w:type="dxa"/>
            <w:gridSpan w:val="2"/>
            <w:shd w:val="clear" w:color="auto" w:fill="auto"/>
            <w:vAlign w:val="center"/>
          </w:tcPr>
          <w:p w:rsidR="00EB1AD0" w:rsidRPr="00DE2282" w:rsidRDefault="00EB1AD0" w:rsidP="00E17D96">
            <w:pPr>
              <w:pStyle w:val="Text1"/>
              <w:spacing w:beforeLines="20" w:before="48" w:afterLines="20" w:after="48"/>
              <w:ind w:left="136"/>
              <w:jc w:val="left"/>
              <w:rPr>
                <w:noProof/>
                <w:sz w:val="16"/>
                <w:szCs w:val="16"/>
              </w:rPr>
            </w:pPr>
            <w:r w:rsidRPr="00DE2282">
              <w:rPr>
                <w:noProof/>
                <w:sz w:val="16"/>
              </w:rPr>
              <w:t xml:space="preserve"> 01 01 01 12 (AC, ENCS, INT - investigación directa)</w:t>
            </w: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r>
      <w:tr w:rsidR="00EB1AD0" w:rsidRPr="00DE2282" w:rsidTr="00E17D96">
        <w:trPr>
          <w:gridBefore w:val="1"/>
          <w:wBefore w:w="15" w:type="dxa"/>
          <w:trHeight w:val="289"/>
          <w:jc w:val="center"/>
        </w:trPr>
        <w:tc>
          <w:tcPr>
            <w:tcW w:w="4754" w:type="dxa"/>
            <w:gridSpan w:val="2"/>
            <w:shd w:val="clear" w:color="auto" w:fill="auto"/>
            <w:vAlign w:val="center"/>
          </w:tcPr>
          <w:p w:rsidR="00EB1AD0" w:rsidRPr="00DE2282" w:rsidRDefault="00EB1AD0" w:rsidP="00E17D96">
            <w:pPr>
              <w:pStyle w:val="Text1"/>
              <w:spacing w:beforeLines="20" w:before="48" w:afterLines="20" w:after="48"/>
              <w:ind w:left="136"/>
              <w:jc w:val="left"/>
              <w:rPr>
                <w:noProof/>
                <w:sz w:val="16"/>
              </w:rPr>
            </w:pPr>
            <w:r w:rsidRPr="00DE2282">
              <w:rPr>
                <w:noProof/>
                <w:sz w:val="16"/>
              </w:rPr>
              <w:t>Otras líneas presupuestarias (especificar)</w:t>
            </w: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c>
          <w:tcPr>
            <w:tcW w:w="731" w:type="dxa"/>
            <w:shd w:val="clear" w:color="auto" w:fill="auto"/>
            <w:vAlign w:val="center"/>
          </w:tcPr>
          <w:p w:rsidR="00EB1AD0" w:rsidRPr="00DE2282" w:rsidRDefault="00EB1AD0" w:rsidP="00E17D96">
            <w:pPr>
              <w:spacing w:beforeLines="20" w:before="48" w:afterLines="20" w:after="48"/>
              <w:jc w:val="center"/>
              <w:rPr>
                <w:noProof/>
                <w:sz w:val="16"/>
                <w:szCs w:val="16"/>
              </w:rPr>
            </w:pPr>
          </w:p>
        </w:tc>
      </w:tr>
      <w:tr w:rsidR="00EB1AD0" w:rsidRPr="00DE2282" w:rsidTr="00E17D96">
        <w:trPr>
          <w:gridBefore w:val="1"/>
          <w:wBefore w:w="15" w:type="dxa"/>
          <w:trHeight w:val="289"/>
          <w:jc w:val="center"/>
        </w:trPr>
        <w:tc>
          <w:tcPr>
            <w:tcW w:w="4754" w:type="dxa"/>
            <w:gridSpan w:val="2"/>
            <w:tcBorders>
              <w:top w:val="double" w:sz="4" w:space="0" w:color="auto"/>
            </w:tcBorders>
            <w:shd w:val="clear" w:color="auto" w:fill="auto"/>
            <w:vAlign w:val="center"/>
          </w:tcPr>
          <w:p w:rsidR="00EB1AD0" w:rsidRPr="00DE2282" w:rsidRDefault="00EB1AD0" w:rsidP="00E17D96">
            <w:pPr>
              <w:pStyle w:val="Text1"/>
              <w:spacing w:beforeLines="20" w:before="48" w:afterLines="20" w:after="48"/>
              <w:ind w:left="136"/>
              <w:jc w:val="left"/>
              <w:rPr>
                <w:noProof/>
                <w:sz w:val="16"/>
                <w:szCs w:val="16"/>
              </w:rPr>
            </w:pPr>
            <w:r w:rsidRPr="00DE2282">
              <w:rPr>
                <w:b/>
                <w:noProof/>
                <w:sz w:val="16"/>
              </w:rPr>
              <w:t>TOTAL</w:t>
            </w:r>
          </w:p>
        </w:tc>
        <w:tc>
          <w:tcPr>
            <w:tcW w:w="731" w:type="dxa"/>
            <w:tcBorders>
              <w:top w:val="double" w:sz="4" w:space="0" w:color="auto"/>
            </w:tcBorders>
            <w:shd w:val="clear" w:color="auto" w:fill="auto"/>
            <w:vAlign w:val="center"/>
          </w:tcPr>
          <w:p w:rsidR="00EB1AD0" w:rsidRPr="00DE2282" w:rsidRDefault="00EB1AD0" w:rsidP="00E17D96">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rsidR="00EB1AD0" w:rsidRPr="00DE2282" w:rsidRDefault="00EB1AD0" w:rsidP="00E17D96">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rsidR="00EB1AD0" w:rsidRPr="00DE2282" w:rsidRDefault="00EB1AD0" w:rsidP="00E17D96">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rsidR="00EB1AD0" w:rsidRPr="00DE2282" w:rsidRDefault="00EB1AD0" w:rsidP="00E17D96">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rsidR="00EB1AD0" w:rsidRPr="00DE2282" w:rsidRDefault="00EB1AD0" w:rsidP="00E17D96">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rsidR="00EB1AD0" w:rsidRPr="00DE2282" w:rsidRDefault="00EB1AD0" w:rsidP="00E17D96">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rsidR="00EB1AD0" w:rsidRPr="00DE2282" w:rsidRDefault="00EB1AD0" w:rsidP="00E17D96">
            <w:pPr>
              <w:spacing w:beforeLines="20" w:before="48" w:afterLines="20" w:after="48"/>
              <w:jc w:val="center"/>
              <w:rPr>
                <w:b/>
                <w:noProof/>
                <w:sz w:val="16"/>
                <w:szCs w:val="16"/>
              </w:rPr>
            </w:pPr>
          </w:p>
        </w:tc>
      </w:tr>
    </w:tbl>
    <w:p w:rsidR="00EB1AD0" w:rsidRPr="00DE2282" w:rsidRDefault="00EB1AD0" w:rsidP="00EB1AD0">
      <w:pPr>
        <w:pStyle w:val="Text1"/>
        <w:spacing w:before="60" w:after="60"/>
        <w:ind w:left="851"/>
        <w:rPr>
          <w:noProof/>
          <w:sz w:val="18"/>
          <w:szCs w:val="18"/>
        </w:rPr>
      </w:pPr>
      <w:r w:rsidRPr="00DE2282">
        <w:rPr>
          <w:b/>
          <w:noProof/>
          <w:sz w:val="18"/>
        </w:rPr>
        <w:t>06</w:t>
      </w:r>
      <w:r w:rsidRPr="00DE2282">
        <w:rPr>
          <w:noProof/>
          <w:sz w:val="18"/>
        </w:rPr>
        <w:t xml:space="preserve"> es la política o título en cuestión.</w:t>
      </w:r>
    </w:p>
    <w:p w:rsidR="00EB1AD0" w:rsidRPr="00DE2282" w:rsidRDefault="00EB1AD0" w:rsidP="00EB1AD0">
      <w:pPr>
        <w:pStyle w:val="Text1"/>
        <w:rPr>
          <w:noProof/>
          <w:sz w:val="18"/>
          <w:szCs w:val="18"/>
        </w:rPr>
      </w:pPr>
      <w:r w:rsidRPr="00DE2282">
        <w:rPr>
          <w:noProof/>
          <w:sz w:val="18"/>
        </w:rPr>
        <w:t>Las necesidades en materia de recursos humanos las cubrirá el personal de la DG ya destinado a la gestión de la acción y/o reasignado dentro de la DG.</w:t>
      </w:r>
    </w:p>
    <w:p w:rsidR="00EB1AD0" w:rsidRPr="00DE2282" w:rsidRDefault="00EB1AD0" w:rsidP="00EB1AD0">
      <w:pPr>
        <w:rPr>
          <w:noProof/>
          <w:sz w:val="20"/>
        </w:rPr>
      </w:pPr>
      <w:r w:rsidRPr="00DE2282">
        <w:rPr>
          <w:noProof/>
          <w:sz w:val="20"/>
        </w:rPr>
        <w:t>Descripción de las tareas que deben llevarse a cabo:</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EB1AD0" w:rsidRPr="00DE2282" w:rsidTr="00E17D96">
        <w:tc>
          <w:tcPr>
            <w:tcW w:w="3240" w:type="dxa"/>
          </w:tcPr>
          <w:p w:rsidR="00EB1AD0" w:rsidRPr="00DE2282" w:rsidRDefault="00EB1AD0" w:rsidP="00E17D96">
            <w:pPr>
              <w:rPr>
                <w:noProof/>
                <w:sz w:val="20"/>
              </w:rPr>
            </w:pPr>
            <w:r w:rsidRPr="00DE2282">
              <w:rPr>
                <w:noProof/>
                <w:sz w:val="20"/>
              </w:rPr>
              <w:t>Funcionarios y agentes temporales</w:t>
            </w:r>
          </w:p>
        </w:tc>
        <w:tc>
          <w:tcPr>
            <w:tcW w:w="7200" w:type="dxa"/>
          </w:tcPr>
          <w:p w:rsidR="00EB1AD0" w:rsidRPr="00DE2282" w:rsidRDefault="00EB1AD0" w:rsidP="00E17D96">
            <w:pPr>
              <w:rPr>
                <w:noProof/>
                <w:sz w:val="20"/>
              </w:rPr>
            </w:pPr>
            <w:r w:rsidRPr="00DE2282">
              <w:rPr>
                <w:noProof/>
              </w:rPr>
              <w:t>.</w:t>
            </w:r>
          </w:p>
        </w:tc>
      </w:tr>
      <w:tr w:rsidR="00EB1AD0" w:rsidRPr="00DE2282" w:rsidTr="00E17D96">
        <w:tc>
          <w:tcPr>
            <w:tcW w:w="3240" w:type="dxa"/>
          </w:tcPr>
          <w:p w:rsidR="00EB1AD0" w:rsidRPr="00DE2282" w:rsidRDefault="00EB1AD0" w:rsidP="00E17D96">
            <w:pPr>
              <w:spacing w:before="60" w:after="60"/>
              <w:rPr>
                <w:noProof/>
                <w:sz w:val="20"/>
              </w:rPr>
            </w:pPr>
            <w:r w:rsidRPr="00DE2282">
              <w:rPr>
                <w:noProof/>
                <w:sz w:val="20"/>
              </w:rPr>
              <w:t>Personal externo</w:t>
            </w:r>
          </w:p>
        </w:tc>
        <w:tc>
          <w:tcPr>
            <w:tcW w:w="7200" w:type="dxa"/>
          </w:tcPr>
          <w:p w:rsidR="00EB1AD0" w:rsidRPr="00DE2282" w:rsidRDefault="00EB1AD0" w:rsidP="00E17D96">
            <w:pPr>
              <w:rPr>
                <w:noProof/>
                <w:sz w:val="20"/>
              </w:rPr>
            </w:pPr>
          </w:p>
        </w:tc>
      </w:tr>
    </w:tbl>
    <w:p w:rsidR="00EB1AD0" w:rsidRPr="00DE2282" w:rsidRDefault="00EB1AD0" w:rsidP="00EB1AD0">
      <w:pPr>
        <w:rPr>
          <w:noProof/>
        </w:rPr>
        <w:sectPr w:rsidR="00EB1AD0" w:rsidRPr="00DE2282" w:rsidSect="00725663">
          <w:pgSz w:w="11907" w:h="16840"/>
          <w:pgMar w:top="1134" w:right="1418" w:bottom="1134" w:left="1418" w:header="709" w:footer="709" w:gutter="0"/>
          <w:cols w:space="708"/>
          <w:docGrid w:linePitch="360"/>
        </w:sectPr>
      </w:pPr>
    </w:p>
    <w:p w:rsidR="00EB1AD0" w:rsidRPr="00DE2282" w:rsidRDefault="00EB1AD0" w:rsidP="00EB1AD0">
      <w:pPr>
        <w:pStyle w:val="ManualHeading3"/>
        <w:rPr>
          <w:noProof/>
        </w:rPr>
      </w:pPr>
      <w:bookmarkStart w:id="68" w:name="_Toc514938056"/>
      <w:bookmarkStart w:id="69" w:name="_Toc520485055"/>
      <w:r w:rsidRPr="00DE2282">
        <w:rPr>
          <w:noProof/>
        </w:rPr>
        <w:t>3.2.4.</w:t>
      </w:r>
      <w:r w:rsidRPr="00DE2282">
        <w:rPr>
          <w:noProof/>
        </w:rPr>
        <w:tab/>
        <w:t>Compatibilidad con el marco financiero plurianual vigente</w:t>
      </w:r>
      <w:bookmarkEnd w:id="68"/>
      <w:bookmarkEnd w:id="69"/>
      <w:r w:rsidRPr="00DE2282">
        <w:rPr>
          <w:noProof/>
        </w:rPr>
        <w:t xml:space="preserve"> </w:t>
      </w:r>
    </w:p>
    <w:p w:rsidR="00EB1AD0" w:rsidRPr="00DE2282" w:rsidRDefault="00EB1AD0" w:rsidP="00EB1AD0">
      <w:pPr>
        <w:pStyle w:val="Text1"/>
        <w:rPr>
          <w:noProof/>
        </w:rPr>
      </w:pPr>
      <w:r w:rsidRPr="00DE2282">
        <w:rPr>
          <w:noProof/>
        </w:rPr>
        <w:t>La propuesta/iniciativa:</w:t>
      </w:r>
    </w:p>
    <w:p w:rsidR="00EB1AD0" w:rsidRPr="00DE2282" w:rsidRDefault="00EB1AD0" w:rsidP="00EB1AD0">
      <w:pPr>
        <w:pStyle w:val="ListDash1"/>
        <w:rPr>
          <w:noProof/>
        </w:rPr>
      </w:pPr>
      <w:r w:rsidRPr="00DE2282">
        <w:rPr>
          <w:noProof/>
        </w:rPr>
        <w:sym w:font="Wingdings" w:char="F0A8"/>
      </w:r>
      <w:r w:rsidRPr="00DE2282">
        <w:rPr>
          <w:noProof/>
        </w:rPr>
        <w:tab/>
        <w:t>puede ser financiada en su totalidad mediante una reasignación dentro de la rúbrica correspondiente del marco financiero plurianual (MFP).</w:t>
      </w:r>
    </w:p>
    <w:p w:rsidR="00EB1AD0" w:rsidRPr="00DE2282" w:rsidRDefault="00EB1AD0" w:rsidP="00EB1AD0">
      <w:pPr>
        <w:pStyle w:val="ListDash1"/>
        <w:rPr>
          <w:noProof/>
        </w:rPr>
      </w:pPr>
      <w:r w:rsidRPr="00DE2282">
        <w:rPr>
          <w:noProof/>
        </w:rPr>
        <w:sym w:font="Wingdings" w:char="F0FD"/>
      </w:r>
      <w:r w:rsidRPr="00DE2282">
        <w:rPr>
          <w:noProof/>
        </w:rPr>
        <w:tab/>
      </w:r>
      <w:bookmarkStart w:id="70" w:name="_Hlk154050688"/>
      <w:r w:rsidRPr="00DE2282">
        <w:rPr>
          <w:noProof/>
        </w:rPr>
        <w:t>requiere el uso de los márgenes no asignados con cargo a la rúbrica correspondiente del MFP o el uso de instrumentos especiales tal como se definen en el Reglamento del MFP.</w:t>
      </w:r>
    </w:p>
    <w:p w:rsidR="00EB1AD0" w:rsidRPr="00DE2282" w:rsidRDefault="00EB1AD0" w:rsidP="00EB1AD0">
      <w:pPr>
        <w:pStyle w:val="ListDash1"/>
        <w:rPr>
          <w:noProof/>
        </w:rPr>
      </w:pPr>
      <w:r w:rsidRPr="00DE2282">
        <w:rPr>
          <w:noProof/>
          <w:sz w:val="20"/>
        </w:rPr>
        <w:t>Esto habrá de determinarse en el momento de la finalización de la propuesta de la Comisión de proyecto de presupuesto para 2025 y será objeto de negociaciones entre el Consejo y el Parlamento Europeo.</w:t>
      </w:r>
    </w:p>
    <w:bookmarkEnd w:id="70"/>
    <w:p w:rsidR="00EB1AD0" w:rsidRPr="00DE2282" w:rsidRDefault="00EB1AD0" w:rsidP="00EB1AD0">
      <w:pPr>
        <w:pStyle w:val="ListDash1"/>
        <w:rPr>
          <w:noProof/>
        </w:rPr>
      </w:pPr>
      <w:r w:rsidRPr="00DE2282">
        <w:rPr>
          <w:noProof/>
        </w:rPr>
        <w:sym w:font="Wingdings" w:char="F0A8"/>
      </w:r>
      <w:r w:rsidRPr="00DE2282">
        <w:rPr>
          <w:noProof/>
        </w:rPr>
        <w:tab/>
        <w:t>requiere una revisión del MFP.</w:t>
      </w:r>
    </w:p>
    <w:p w:rsidR="00EB1AD0" w:rsidRPr="00DE2282" w:rsidRDefault="00EB1AD0" w:rsidP="00EB1AD0">
      <w:pPr>
        <w:pStyle w:val="ManualHeading3"/>
        <w:rPr>
          <w:bCs/>
          <w:noProof/>
          <w:szCs w:val="24"/>
        </w:rPr>
      </w:pPr>
      <w:bookmarkStart w:id="71" w:name="_Toc514938058"/>
      <w:bookmarkStart w:id="72" w:name="_Toc520485056"/>
      <w:r w:rsidRPr="00DE2282">
        <w:rPr>
          <w:noProof/>
        </w:rPr>
        <w:t>3.2.5.</w:t>
      </w:r>
      <w:r w:rsidRPr="00DE2282">
        <w:rPr>
          <w:noProof/>
        </w:rPr>
        <w:tab/>
        <w:t>Contribución de terceros</w:t>
      </w:r>
      <w:bookmarkEnd w:id="71"/>
      <w:bookmarkEnd w:id="72"/>
      <w:r w:rsidRPr="00DE2282">
        <w:rPr>
          <w:noProof/>
        </w:rPr>
        <w:t xml:space="preserve"> </w:t>
      </w:r>
    </w:p>
    <w:p w:rsidR="00EB1AD0" w:rsidRPr="00DE2282" w:rsidRDefault="00EB1AD0" w:rsidP="00EB1AD0">
      <w:pPr>
        <w:pStyle w:val="Text1"/>
        <w:rPr>
          <w:noProof/>
        </w:rPr>
      </w:pPr>
      <w:r w:rsidRPr="00DE2282">
        <w:rPr>
          <w:noProof/>
        </w:rPr>
        <w:t>La propuesta/iniciativa:</w:t>
      </w:r>
    </w:p>
    <w:p w:rsidR="00EB1AD0" w:rsidRPr="00DE2282" w:rsidRDefault="00EB1AD0" w:rsidP="00EB1AD0">
      <w:pPr>
        <w:pStyle w:val="ListDash1"/>
        <w:rPr>
          <w:noProof/>
        </w:rPr>
      </w:pPr>
      <w:r w:rsidRPr="00DE2282">
        <w:rPr>
          <w:noProof/>
        </w:rPr>
        <w:sym w:font="Wingdings" w:char="F0FD"/>
      </w:r>
      <w:r w:rsidRPr="00DE2282">
        <w:rPr>
          <w:noProof/>
        </w:rPr>
        <w:tab/>
        <w:t>no prevé la cofinanciación por terceros</w:t>
      </w:r>
    </w:p>
    <w:p w:rsidR="00EB1AD0" w:rsidRPr="00DE2282" w:rsidRDefault="00EB1AD0" w:rsidP="00EB1AD0">
      <w:pPr>
        <w:pStyle w:val="ListDash1"/>
        <w:rPr>
          <w:noProof/>
        </w:rPr>
      </w:pPr>
      <w:r w:rsidRPr="00DE2282">
        <w:rPr>
          <w:noProof/>
        </w:rPr>
        <w:sym w:font="Wingdings" w:char="F0A8"/>
      </w:r>
      <w:r w:rsidRPr="00DE2282">
        <w:rPr>
          <w:noProof/>
        </w:rPr>
        <w:tab/>
        <w:t>prevé la cofinanciación por terceros que se estima a continuación:</w:t>
      </w:r>
    </w:p>
    <w:p w:rsidR="00EB1AD0" w:rsidRPr="00DE2282" w:rsidRDefault="00EB1AD0" w:rsidP="00EB1AD0">
      <w:pPr>
        <w:pStyle w:val="ManualHeading2"/>
        <w:rPr>
          <w:bCs/>
          <w:noProof/>
          <w:szCs w:val="24"/>
        </w:rPr>
      </w:pPr>
      <w:bookmarkStart w:id="73" w:name="_Toc514938059"/>
      <w:bookmarkStart w:id="74" w:name="_Toc520485057"/>
      <w:r w:rsidRPr="00DE2282">
        <w:rPr>
          <w:noProof/>
        </w:rPr>
        <w:t>3.3.</w:t>
      </w:r>
      <w:r w:rsidRPr="00DE2282">
        <w:rPr>
          <w:noProof/>
        </w:rPr>
        <w:tab/>
        <w:t>Incidencia estimada en los ingresos</w:t>
      </w:r>
      <w:bookmarkEnd w:id="73"/>
      <w:bookmarkEnd w:id="74"/>
      <w:r w:rsidRPr="00DE2282">
        <w:rPr>
          <w:noProof/>
        </w:rPr>
        <w:t xml:space="preserve"> </w:t>
      </w:r>
    </w:p>
    <w:p w:rsidR="00EB1AD0" w:rsidRPr="00DE2282" w:rsidRDefault="00EB1AD0" w:rsidP="00EB1AD0">
      <w:pPr>
        <w:pStyle w:val="ListDash1"/>
        <w:rPr>
          <w:noProof/>
        </w:rPr>
      </w:pPr>
      <w:r w:rsidRPr="00DE2282">
        <w:rPr>
          <w:noProof/>
        </w:rPr>
        <w:sym w:font="Wingdings" w:char="F0FD"/>
      </w:r>
      <w:r w:rsidRPr="00DE2282">
        <w:rPr>
          <w:noProof/>
        </w:rPr>
        <w:tab/>
        <w:t>La propuesta/iniciativa no tiene incidencia financiera en los ingresos.</w:t>
      </w:r>
    </w:p>
    <w:p w:rsidR="00EB1AD0" w:rsidRPr="00DE2282" w:rsidRDefault="00EB1AD0" w:rsidP="00EB1AD0">
      <w:pPr>
        <w:pStyle w:val="ListDash1"/>
        <w:rPr>
          <w:noProof/>
        </w:rPr>
      </w:pPr>
      <w:r w:rsidRPr="00DE2282">
        <w:rPr>
          <w:noProof/>
        </w:rPr>
        <w:sym w:font="Wingdings" w:char="F0A8"/>
      </w:r>
      <w:r w:rsidRPr="00DE2282">
        <w:rPr>
          <w:noProof/>
        </w:rPr>
        <w:tab/>
        <w:t>La propuesta/iniciativa tiene la incidencia financiera que se indica a continuación:</w:t>
      </w:r>
    </w:p>
    <w:p w:rsidR="00EB1AD0" w:rsidRPr="00DE2282" w:rsidRDefault="00EB1AD0" w:rsidP="00EB1AD0">
      <w:pPr>
        <w:pStyle w:val="ListNumberLevel3"/>
        <w:rPr>
          <w:noProof/>
        </w:rPr>
      </w:pPr>
      <w:r w:rsidRPr="00DE2282">
        <w:rPr>
          <w:noProof/>
        </w:rPr>
        <w:sym w:font="Wingdings" w:char="F0A8"/>
      </w:r>
      <w:r w:rsidRPr="00DE2282">
        <w:rPr>
          <w:noProof/>
        </w:rPr>
        <w:tab/>
        <w:t xml:space="preserve">en los recursos propios </w:t>
      </w:r>
    </w:p>
    <w:p w:rsidR="00EB1AD0" w:rsidRPr="00DE2282" w:rsidRDefault="00EB1AD0" w:rsidP="00EB1AD0">
      <w:pPr>
        <w:pStyle w:val="ListNumberLevel3"/>
        <w:rPr>
          <w:noProof/>
        </w:rPr>
      </w:pPr>
      <w:r w:rsidRPr="00DE2282">
        <w:rPr>
          <w:noProof/>
        </w:rPr>
        <w:sym w:font="Wingdings" w:char="F0A8"/>
      </w:r>
      <w:r w:rsidRPr="00DE2282">
        <w:rPr>
          <w:noProof/>
        </w:rPr>
        <w:tab/>
        <w:t>en otros ingresos</w:t>
      </w:r>
    </w:p>
    <w:p w:rsidR="00EB1AD0" w:rsidRPr="00DE2282" w:rsidRDefault="00EB1AD0" w:rsidP="00EB1AD0">
      <w:pPr>
        <w:pStyle w:val="ListNumberLevel3"/>
        <w:rPr>
          <w:noProof/>
        </w:rPr>
      </w:pPr>
      <w:r w:rsidRPr="00DE2282">
        <w:rPr>
          <w:noProof/>
        </w:rPr>
        <w:t xml:space="preserve">indicar si los ingresos se asignan a líneas de gasto </w:t>
      </w:r>
      <w:r w:rsidRPr="00DE2282">
        <w:rPr>
          <w:noProof/>
        </w:rPr>
        <w:sym w:font="Wingdings" w:char="F0A8"/>
      </w:r>
      <w:r w:rsidRPr="00DE2282">
        <w:rPr>
          <w:noProof/>
        </w:rPr>
        <w:tab/>
      </w:r>
    </w:p>
    <w:p w:rsidR="00F6016C" w:rsidRPr="00DE2282" w:rsidRDefault="00F6016C" w:rsidP="00E66861">
      <w:pPr>
        <w:spacing w:before="0" w:after="200" w:line="276" w:lineRule="auto"/>
        <w:ind w:left="360"/>
        <w:jc w:val="right"/>
        <w:rPr>
          <w:noProof/>
        </w:rPr>
      </w:pPr>
    </w:p>
    <w:sectPr w:rsidR="00F6016C" w:rsidRPr="00DE2282" w:rsidSect="00725663">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DD7" w:rsidRDefault="00717DD7" w:rsidP="00EA33FF">
      <w:pPr>
        <w:spacing w:before="0" w:after="0"/>
      </w:pPr>
      <w:r>
        <w:separator/>
      </w:r>
    </w:p>
  </w:endnote>
  <w:endnote w:type="continuationSeparator" w:id="0">
    <w:p w:rsidR="00717DD7" w:rsidRDefault="00717DD7" w:rsidP="00EA33FF">
      <w:pPr>
        <w:spacing w:before="0" w:after="0"/>
      </w:pPr>
      <w:r>
        <w:continuationSeparator/>
      </w:r>
    </w:p>
  </w:endnote>
  <w:endnote w:type="continuationNotice" w:id="1">
    <w:p w:rsidR="00717DD7" w:rsidRDefault="00717DD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663" w:rsidRPr="00725663" w:rsidRDefault="00725663" w:rsidP="00725663">
    <w:pPr>
      <w:pStyle w:val="Footer"/>
      <w:rPr>
        <w:rFonts w:ascii="Arial" w:hAnsi="Arial" w:cs="Arial"/>
        <w:b/>
        <w:sz w:val="48"/>
      </w:rPr>
    </w:pPr>
    <w:r w:rsidRPr="00725663">
      <w:rPr>
        <w:rFonts w:ascii="Arial" w:hAnsi="Arial" w:cs="Arial"/>
        <w:b/>
        <w:sz w:val="48"/>
      </w:rPr>
      <w:t>ES</w:t>
    </w:r>
    <w:r w:rsidRPr="00725663">
      <w:rPr>
        <w:rFonts w:ascii="Arial" w:hAnsi="Arial" w:cs="Arial"/>
        <w:b/>
        <w:sz w:val="48"/>
      </w:rPr>
      <w:tab/>
    </w:r>
    <w:r w:rsidRPr="00725663">
      <w:rPr>
        <w:rFonts w:ascii="Arial" w:hAnsi="Arial" w:cs="Arial"/>
        <w:b/>
        <w:sz w:val="48"/>
      </w:rPr>
      <w:tab/>
    </w:r>
    <w:r w:rsidRPr="00725663">
      <w:tab/>
    </w:r>
    <w:r w:rsidRPr="00725663">
      <w:rPr>
        <w:rFonts w:ascii="Arial" w:hAnsi="Arial" w:cs="Arial"/>
        <w:b/>
        <w:sz w:val="48"/>
      </w:rPr>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663" w:rsidRPr="00725663" w:rsidRDefault="00725663" w:rsidP="00725663">
    <w:pPr>
      <w:pStyle w:val="Footer"/>
      <w:rPr>
        <w:rFonts w:ascii="Arial" w:hAnsi="Arial" w:cs="Arial"/>
        <w:b/>
        <w:sz w:val="48"/>
      </w:rPr>
    </w:pPr>
    <w:r w:rsidRPr="00725663">
      <w:rPr>
        <w:rFonts w:ascii="Arial" w:hAnsi="Arial" w:cs="Arial"/>
        <w:b/>
        <w:sz w:val="48"/>
      </w:rPr>
      <w:t>ES</w:t>
    </w:r>
    <w:r w:rsidRPr="00725663">
      <w:rPr>
        <w:rFonts w:ascii="Arial" w:hAnsi="Arial" w:cs="Arial"/>
        <w:b/>
        <w:sz w:val="48"/>
      </w:rPr>
      <w:tab/>
    </w:r>
    <w:r w:rsidRPr="00725663">
      <w:rPr>
        <w:rFonts w:ascii="Arial" w:hAnsi="Arial" w:cs="Arial"/>
        <w:b/>
        <w:sz w:val="48"/>
      </w:rPr>
      <w:tab/>
    </w:r>
    <w:r w:rsidRPr="00725663">
      <w:tab/>
    </w:r>
    <w:r w:rsidRPr="00725663">
      <w:rPr>
        <w:rFonts w:ascii="Arial" w:hAnsi="Arial" w:cs="Arial"/>
        <w:b/>
        <w:sz w:val="48"/>
      </w:rPr>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663" w:rsidRDefault="007256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663" w:rsidRPr="00725663" w:rsidRDefault="00725663" w:rsidP="00725663">
    <w:pPr>
      <w:pStyle w:val="Footer"/>
      <w:rPr>
        <w:rFonts w:ascii="Arial" w:hAnsi="Arial" w:cs="Arial"/>
        <w:b/>
        <w:sz w:val="48"/>
      </w:rPr>
    </w:pPr>
    <w:r w:rsidRPr="00725663">
      <w:rPr>
        <w:rFonts w:ascii="Arial" w:hAnsi="Arial" w:cs="Arial"/>
        <w:b/>
        <w:sz w:val="48"/>
      </w:rPr>
      <w:t>ES</w:t>
    </w:r>
    <w:r w:rsidRPr="00725663">
      <w:rPr>
        <w:rFonts w:ascii="Arial" w:hAnsi="Arial" w:cs="Arial"/>
        <w:b/>
        <w:sz w:val="48"/>
      </w:rPr>
      <w:tab/>
    </w:r>
    <w:r>
      <w:fldChar w:fldCharType="begin"/>
    </w:r>
    <w:r>
      <w:instrText xml:space="preserve"> PAGE  \* MERGEFORMAT </w:instrText>
    </w:r>
    <w:r>
      <w:fldChar w:fldCharType="separate"/>
    </w:r>
    <w:r w:rsidR="00ED71CA">
      <w:rPr>
        <w:noProof/>
      </w:rPr>
      <w:t>13</w:t>
    </w:r>
    <w:r>
      <w:fldChar w:fldCharType="end"/>
    </w:r>
    <w:r>
      <w:tab/>
    </w:r>
    <w:r w:rsidRPr="00725663">
      <w:tab/>
    </w:r>
    <w:r w:rsidRPr="00725663">
      <w:rPr>
        <w:rFonts w:ascii="Arial" w:hAnsi="Arial" w:cs="Arial"/>
        <w:b/>
        <w:sz w:val="48"/>
      </w:rPr>
      <w:t>ES</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663" w:rsidRDefault="00725663" w:rsidP="0072566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663" w:rsidRPr="00725663" w:rsidRDefault="00725663" w:rsidP="00725663">
    <w:pPr>
      <w:pStyle w:val="FooterLandscape"/>
      <w:rPr>
        <w:rFonts w:ascii="Arial" w:hAnsi="Arial" w:cs="Arial"/>
        <w:b/>
        <w:sz w:val="48"/>
      </w:rPr>
    </w:pPr>
    <w:r w:rsidRPr="00725663">
      <w:rPr>
        <w:rFonts w:ascii="Arial" w:hAnsi="Arial" w:cs="Arial"/>
        <w:b/>
        <w:sz w:val="48"/>
      </w:rPr>
      <w:t>ES</w:t>
    </w:r>
    <w:r w:rsidRPr="0072566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25663">
      <w:tab/>
    </w:r>
    <w:r w:rsidRPr="00725663">
      <w:rPr>
        <w:rFonts w:ascii="Arial" w:hAnsi="Arial" w:cs="Arial"/>
        <w:b/>
        <w:sz w:val="48"/>
      </w:rPr>
      <w:t>ES</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663" w:rsidRPr="00725663" w:rsidRDefault="00725663" w:rsidP="00725663">
    <w:pPr>
      <w:pStyle w:val="Footer"/>
      <w:rPr>
        <w:rFonts w:ascii="Arial" w:hAnsi="Arial" w:cs="Arial"/>
        <w:b/>
        <w:sz w:val="48"/>
      </w:rPr>
    </w:pPr>
    <w:r w:rsidRPr="00725663">
      <w:rPr>
        <w:rFonts w:ascii="Arial" w:hAnsi="Arial" w:cs="Arial"/>
        <w:b/>
        <w:sz w:val="48"/>
      </w:rPr>
      <w:t>ES</w:t>
    </w:r>
    <w:r w:rsidRPr="0072566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25663">
      <w:tab/>
    </w:r>
    <w:r w:rsidRPr="00725663">
      <w:rPr>
        <w:rFonts w:ascii="Arial" w:hAnsi="Arial" w:cs="Arial"/>
        <w:b/>
        <w:sz w:val="48"/>
      </w:rPr>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DD7" w:rsidRDefault="00717DD7" w:rsidP="00EA33FF">
      <w:pPr>
        <w:spacing w:before="0" w:after="0"/>
      </w:pPr>
      <w:r>
        <w:separator/>
      </w:r>
    </w:p>
  </w:footnote>
  <w:footnote w:type="continuationSeparator" w:id="0">
    <w:p w:rsidR="00717DD7" w:rsidRDefault="00717DD7" w:rsidP="00EA33FF">
      <w:pPr>
        <w:spacing w:before="0" w:after="0"/>
      </w:pPr>
      <w:r>
        <w:continuationSeparator/>
      </w:r>
    </w:p>
  </w:footnote>
  <w:footnote w:type="continuationNotice" w:id="1">
    <w:p w:rsidR="00717DD7" w:rsidRDefault="00717DD7">
      <w:pPr>
        <w:spacing w:before="0" w:after="0"/>
      </w:pPr>
    </w:p>
  </w:footnote>
  <w:footnote w:id="2">
    <w:p w:rsidR="000D208A" w:rsidRPr="00267B3D" w:rsidRDefault="000D208A">
      <w:pPr>
        <w:pStyle w:val="FootnoteText"/>
        <w:rPr>
          <w:lang w:val="es-ES"/>
        </w:rPr>
      </w:pPr>
      <w:r>
        <w:rPr>
          <w:rStyle w:val="FootnoteReference"/>
        </w:rPr>
        <w:footnoteRef/>
      </w:r>
      <w:r w:rsidRPr="00267B3D">
        <w:rPr>
          <w:lang w:val="es-ES"/>
        </w:rPr>
        <w:tab/>
        <w:t>A finales de 2023.</w:t>
      </w:r>
    </w:p>
  </w:footnote>
  <w:footnote w:id="3">
    <w:p w:rsidR="00C85859" w:rsidRPr="00267B3D" w:rsidRDefault="00C85859" w:rsidP="00C85859">
      <w:pPr>
        <w:pStyle w:val="FootnoteText"/>
        <w:rPr>
          <w:lang w:val="es-ES"/>
        </w:rPr>
      </w:pPr>
      <w:r>
        <w:rPr>
          <w:rStyle w:val="FootnoteReference"/>
        </w:rPr>
        <w:footnoteRef/>
      </w:r>
      <w:r w:rsidRPr="00267B3D">
        <w:rPr>
          <w:lang w:val="es-ES"/>
        </w:rPr>
        <w:tab/>
        <w:t>Albania, Armenia, Azerbaiyán, Bielorrusia (acceso a los recursos del BERD suspendido desde marzo de 2022), Bosnia y Herzegovina, Bulgaria, Croacia, Chipre, República Checa, Egipto, Estonia, Georgia, Grecia, Hungría, Jordania, Kazajistán, Kosovo, República Kirguisa, Letonia, Líbano, Lituania, Moldavia, Mongolia, Montenegro, Marruecos, Macedonia del Norte, Polonia, Rumanía, Rusia (no hay nuevas operaciones desde 2014 y el acceso a los recursos del BERD se ha suspendido desde marzo de 2022), Serbia, República Eslovaca, Eslovenia, Tayikistán, Túnez, Turkmenistán, Turquía, Ucrania, Uzbekistán.</w:t>
      </w:r>
    </w:p>
  </w:footnote>
  <w:footnote w:id="4">
    <w:p w:rsidR="00C85859" w:rsidRPr="00267B3D" w:rsidRDefault="00C85859" w:rsidP="00C85859">
      <w:pPr>
        <w:pStyle w:val="FootnoteText"/>
        <w:rPr>
          <w:lang w:val="es-ES"/>
        </w:rPr>
      </w:pPr>
      <w:r>
        <w:rPr>
          <w:rStyle w:val="FootnoteReference"/>
        </w:rPr>
        <w:footnoteRef/>
      </w:r>
      <w:r w:rsidRPr="00267B3D">
        <w:rPr>
          <w:lang w:val="es-ES"/>
        </w:rPr>
        <w:tab/>
        <w:t>De conformidad con el artículo 8.3 del Convenio constitutivo del BERD, el 1 de abril de 2022 se suspendió el acceso de la Federación de Rusia y de Bielorrusia a los recursos del BERD.</w:t>
      </w:r>
    </w:p>
  </w:footnote>
  <w:footnote w:id="5">
    <w:p w:rsidR="00C85859" w:rsidRPr="00267B3D" w:rsidRDefault="00C85859" w:rsidP="00C85859">
      <w:pPr>
        <w:pStyle w:val="FootnoteText"/>
        <w:rPr>
          <w:lang w:val="es-ES"/>
        </w:rPr>
      </w:pPr>
      <w:r>
        <w:rPr>
          <w:rStyle w:val="FootnoteReference"/>
        </w:rPr>
        <w:footnoteRef/>
      </w:r>
      <w:r w:rsidRPr="00267B3D">
        <w:rPr>
          <w:lang w:val="es-ES"/>
        </w:rPr>
        <w:tab/>
        <w:t>DO L 372 de 31.12.1990, p. 1.</w:t>
      </w:r>
    </w:p>
  </w:footnote>
  <w:footnote w:id="6">
    <w:p w:rsidR="00C85859" w:rsidRPr="00267B3D" w:rsidRDefault="00C85859" w:rsidP="00C85859">
      <w:pPr>
        <w:pStyle w:val="FootnoteText"/>
        <w:rPr>
          <w:lang w:val="es-ES"/>
        </w:rPr>
      </w:pPr>
      <w:r>
        <w:rPr>
          <w:rStyle w:val="FootnoteReference"/>
        </w:rPr>
        <w:footnoteRef/>
      </w:r>
      <w:r w:rsidRPr="00267B3D">
        <w:rPr>
          <w:lang w:val="es-ES"/>
        </w:rPr>
        <w:tab/>
        <w:t>De conformidad con la Decisión 90/674/CEE del Consejo, de 19 de noviembre de 1990, la Unión está representada por la Comisión en el BERD.</w:t>
      </w:r>
    </w:p>
  </w:footnote>
  <w:footnote w:id="7">
    <w:p w:rsidR="00C85859" w:rsidRPr="00267B3D" w:rsidRDefault="00C85859" w:rsidP="00C85859">
      <w:pPr>
        <w:pStyle w:val="FootnoteText"/>
        <w:rPr>
          <w:lang w:val="es-ES"/>
        </w:rPr>
      </w:pPr>
      <w:r>
        <w:rPr>
          <w:rStyle w:val="FootnoteReference"/>
        </w:rPr>
        <w:footnoteRef/>
      </w:r>
      <w:r w:rsidRPr="00267B3D">
        <w:rPr>
          <w:lang w:val="es-ES"/>
        </w:rPr>
        <w:tab/>
        <w:t>Este importe estaba compuesto por 157,5 millones EUR de capital desembolsado y 442,5 millones EUR de capital suscrito no desembolsado.</w:t>
      </w:r>
    </w:p>
  </w:footnote>
  <w:footnote w:id="8">
    <w:p w:rsidR="00C85859" w:rsidRPr="00267B3D" w:rsidRDefault="00C85859" w:rsidP="00C85859">
      <w:pPr>
        <w:pStyle w:val="FootnoteText"/>
        <w:rPr>
          <w:lang w:val="es-ES"/>
        </w:rPr>
      </w:pPr>
      <w:r>
        <w:rPr>
          <w:rStyle w:val="FootnoteReference"/>
        </w:rPr>
        <w:footnoteRef/>
      </w:r>
      <w:r w:rsidRPr="00267B3D">
        <w:rPr>
          <w:lang w:val="es-ES"/>
        </w:rPr>
        <w:tab/>
        <w:t>DO L 57 de 26.2.1997, p. 4.</w:t>
      </w:r>
    </w:p>
  </w:footnote>
  <w:footnote w:id="9">
    <w:p w:rsidR="00C85859" w:rsidRPr="00267B3D" w:rsidRDefault="00C85859" w:rsidP="00C85859">
      <w:pPr>
        <w:pStyle w:val="FootnoteText"/>
        <w:rPr>
          <w:lang w:val="es-ES"/>
        </w:rPr>
      </w:pPr>
      <w:r>
        <w:rPr>
          <w:rStyle w:val="FootnoteReference"/>
        </w:rPr>
        <w:footnoteRef/>
      </w:r>
      <w:r w:rsidRPr="00267B3D">
        <w:rPr>
          <w:lang w:val="es-ES"/>
        </w:rPr>
        <w:tab/>
        <w:t>DO L 313 de 26.11.2011, p. 1.</w:t>
      </w:r>
    </w:p>
  </w:footnote>
  <w:footnote w:id="10">
    <w:p w:rsidR="00D02738" w:rsidRPr="00267B3D" w:rsidRDefault="00D02738">
      <w:pPr>
        <w:pStyle w:val="FootnoteText"/>
        <w:rPr>
          <w:lang w:val="es-ES"/>
        </w:rPr>
      </w:pPr>
      <w:r>
        <w:rPr>
          <w:rStyle w:val="FootnoteReference"/>
        </w:rPr>
        <w:footnoteRef/>
      </w:r>
      <w:r w:rsidRPr="00267B3D">
        <w:rPr>
          <w:lang w:val="es-ES"/>
        </w:rPr>
        <w:tab/>
      </w:r>
      <w:hyperlink r:id="rId1" w:history="1">
        <w:r w:rsidRPr="00267B3D">
          <w:rPr>
            <w:rStyle w:val="Hyperlink"/>
            <w:lang w:val="es-ES"/>
          </w:rPr>
          <w:t>Resolución 265</w:t>
        </w:r>
      </w:hyperlink>
      <w:r w:rsidRPr="00267B3D">
        <w:rPr>
          <w:lang w:val="es-ES"/>
        </w:rPr>
        <w:t>.</w:t>
      </w:r>
    </w:p>
  </w:footnote>
  <w:footnote w:id="11">
    <w:p w:rsidR="005F53EB" w:rsidRPr="00267B3D" w:rsidRDefault="005F53EB">
      <w:pPr>
        <w:pStyle w:val="FootnoteText"/>
        <w:rPr>
          <w:lang w:val="es-ES"/>
        </w:rPr>
      </w:pPr>
      <w:r>
        <w:rPr>
          <w:rStyle w:val="FootnoteReference"/>
        </w:rPr>
        <w:footnoteRef/>
      </w:r>
      <w:r w:rsidRPr="00267B3D">
        <w:rPr>
          <w:lang w:val="es-ES"/>
        </w:rPr>
        <w:tab/>
      </w:r>
      <w:hyperlink r:id="rId2" w:history="1">
        <w:r w:rsidRPr="00267B3D">
          <w:rPr>
            <w:rStyle w:val="Hyperlink"/>
            <w:lang w:val="es-ES"/>
          </w:rPr>
          <w:t>Resolución 259</w:t>
        </w:r>
      </w:hyperlink>
      <w:r w:rsidRPr="00267B3D">
        <w:rPr>
          <w:lang w:val="es-ES"/>
        </w:rPr>
        <w:t xml:space="preserve">. </w:t>
      </w:r>
    </w:p>
  </w:footnote>
  <w:footnote w:id="12">
    <w:p w:rsidR="007F12AE" w:rsidRPr="00267B3D" w:rsidRDefault="007F12AE" w:rsidP="00FC2D10">
      <w:pPr>
        <w:pStyle w:val="FootnoteText"/>
        <w:rPr>
          <w:lang w:val="es-ES"/>
        </w:rPr>
      </w:pPr>
      <w:r>
        <w:rPr>
          <w:rStyle w:val="FootnoteReference"/>
        </w:rPr>
        <w:footnoteRef/>
      </w:r>
      <w:r w:rsidRPr="00267B3D">
        <w:rPr>
          <w:lang w:val="es-ES"/>
        </w:rPr>
        <w:tab/>
        <w:t xml:space="preserve">Para que la modificación del artículo 1 surta efecto, será necesario que la apoyen 3/4 de los miembros del BERD, incluidos al menos dos países beneficiarios, que representen 4/5 de los votos totales.  </w:t>
      </w:r>
    </w:p>
  </w:footnote>
  <w:footnote w:id="13">
    <w:p w:rsidR="005F53EB" w:rsidRPr="00267B3D" w:rsidRDefault="005F53EB">
      <w:pPr>
        <w:pStyle w:val="FootnoteText"/>
        <w:rPr>
          <w:lang w:val="es-ES"/>
        </w:rPr>
      </w:pPr>
      <w:r>
        <w:rPr>
          <w:rStyle w:val="FootnoteReference"/>
        </w:rPr>
        <w:footnoteRef/>
      </w:r>
      <w:r w:rsidRPr="00267B3D">
        <w:rPr>
          <w:lang w:val="es-ES"/>
        </w:rPr>
        <w:tab/>
      </w:r>
      <w:hyperlink r:id="rId3" w:history="1">
        <w:r w:rsidRPr="00267B3D">
          <w:rPr>
            <w:rStyle w:val="Hyperlink"/>
            <w:lang w:val="es-ES"/>
          </w:rPr>
          <w:t>Resolución 260</w:t>
        </w:r>
      </w:hyperlink>
      <w:r w:rsidRPr="00267B3D">
        <w:rPr>
          <w:lang w:val="es-ES"/>
        </w:rPr>
        <w:t>.</w:t>
      </w:r>
    </w:p>
  </w:footnote>
  <w:footnote w:id="14">
    <w:p w:rsidR="007F12AE" w:rsidRPr="00267B3D" w:rsidRDefault="007F12AE" w:rsidP="00FC2D10">
      <w:pPr>
        <w:pStyle w:val="FootnoteText"/>
        <w:rPr>
          <w:lang w:val="es-ES"/>
        </w:rPr>
      </w:pPr>
      <w:r>
        <w:rPr>
          <w:rStyle w:val="FootnoteReference"/>
        </w:rPr>
        <w:footnoteRef/>
      </w:r>
      <w:r w:rsidRPr="00267B3D">
        <w:rPr>
          <w:lang w:val="es-ES"/>
        </w:rPr>
        <w:tab/>
        <w:t>Para que la modificación del artículo 12.1 surta efecto, será necesario que la apoyen al menos 3/5 de los miembros del BERD que representen al menos el 85 % de los votos totales.</w:t>
      </w:r>
    </w:p>
    <w:p w:rsidR="007F12AE" w:rsidRPr="00267B3D" w:rsidRDefault="007F12AE">
      <w:pPr>
        <w:pStyle w:val="FootnoteText"/>
        <w:rPr>
          <w:lang w:val="es-ES"/>
        </w:rPr>
      </w:pPr>
    </w:p>
  </w:footnote>
  <w:footnote w:id="15">
    <w:p w:rsidR="00E94B68" w:rsidRPr="00267B3D" w:rsidRDefault="00E94B68" w:rsidP="00E94B68">
      <w:pPr>
        <w:pStyle w:val="FootnoteText"/>
        <w:rPr>
          <w:lang w:val="es-ES"/>
        </w:rPr>
      </w:pPr>
      <w:r>
        <w:rPr>
          <w:rStyle w:val="FootnoteReference"/>
        </w:rPr>
        <w:footnoteRef/>
      </w:r>
      <w:r w:rsidRPr="00267B3D">
        <w:rPr>
          <w:lang w:val="es-ES"/>
        </w:rPr>
        <w:tab/>
      </w:r>
      <w:r w:rsidRPr="00267B3D">
        <w:rPr>
          <w:i/>
          <w:lang w:val="es-ES"/>
        </w:rPr>
        <w:t>DO L 193 de 30.7.2018, p. 1</w:t>
      </w:r>
      <w:r w:rsidRPr="00267B3D">
        <w:rPr>
          <w:lang w:val="es-ES"/>
        </w:rPr>
        <w:t>.</w:t>
      </w:r>
    </w:p>
  </w:footnote>
  <w:footnote w:id="16">
    <w:p w:rsidR="007748DF" w:rsidRPr="00267B3D" w:rsidRDefault="007748DF">
      <w:pPr>
        <w:pStyle w:val="FootnoteText"/>
        <w:rPr>
          <w:lang w:val="es-ES"/>
        </w:rPr>
      </w:pPr>
      <w:r>
        <w:rPr>
          <w:rStyle w:val="FootnoteReference"/>
        </w:rPr>
        <w:footnoteRef/>
      </w:r>
      <w:r w:rsidRPr="00267B3D">
        <w:rPr>
          <w:lang w:val="es-ES"/>
        </w:rPr>
        <w:tab/>
        <w:t>El 23 de octubre de 2023, el BERD anunció que se había alcanzado el objetivo de movilizar 3 000 millones EUR de financiación en la economía real ucraniana.</w:t>
      </w:r>
    </w:p>
  </w:footnote>
  <w:footnote w:id="17">
    <w:p w:rsidR="00EC2053" w:rsidRPr="00267B3D" w:rsidRDefault="00EC2053" w:rsidP="00EC2053">
      <w:pPr>
        <w:pStyle w:val="FootnoteText"/>
        <w:rPr>
          <w:lang w:val="es-ES"/>
        </w:rPr>
      </w:pPr>
      <w:r>
        <w:rPr>
          <w:rStyle w:val="FootnoteReference"/>
        </w:rPr>
        <w:footnoteRef/>
      </w:r>
      <w:r w:rsidRPr="00267B3D">
        <w:rPr>
          <w:lang w:val="es-ES"/>
        </w:rPr>
        <w:tab/>
        <w:t>El capital del BERD se incrementó en 1996 para permitir el aumento de las operaciones del Banco en las regiones en las que operaba inicialmente en consonancia con su mandato de transición, mientras que la ampliación de capital en 2011 se acordó en respuesta a la crisis financiera de 2008 y a la necesidad, reconocida por los accionistas del Banco, de intensificar la actividad de este para contribuir a promover y apoyar la recuperación en su región.</w:t>
      </w:r>
    </w:p>
  </w:footnote>
  <w:footnote w:id="18">
    <w:p w:rsidR="00D02738" w:rsidRPr="00267B3D" w:rsidRDefault="00D02738">
      <w:pPr>
        <w:pStyle w:val="FootnoteText"/>
        <w:rPr>
          <w:lang w:val="es-ES"/>
        </w:rPr>
      </w:pPr>
      <w:r>
        <w:rPr>
          <w:rStyle w:val="FootnoteReference"/>
        </w:rPr>
        <w:footnoteRef/>
      </w:r>
      <w:r w:rsidRPr="00267B3D">
        <w:rPr>
          <w:lang w:val="es-ES"/>
        </w:rPr>
        <w:tab/>
      </w:r>
      <w:hyperlink r:id="rId4" w:history="1">
        <w:r w:rsidRPr="00267B3D">
          <w:rPr>
            <w:rStyle w:val="Hyperlink"/>
            <w:lang w:val="es-ES"/>
          </w:rPr>
          <w:t>Resolución 265</w:t>
        </w:r>
      </w:hyperlink>
      <w:r w:rsidRPr="00267B3D">
        <w:rPr>
          <w:lang w:val="es-ES"/>
        </w:rPr>
        <w:t>.</w:t>
      </w:r>
    </w:p>
  </w:footnote>
  <w:footnote w:id="19">
    <w:p w:rsidR="00B459B0" w:rsidRPr="00267B3D" w:rsidRDefault="00B459B0">
      <w:pPr>
        <w:pStyle w:val="FootnoteText"/>
        <w:rPr>
          <w:lang w:val="es-ES"/>
        </w:rPr>
      </w:pPr>
      <w:r>
        <w:rPr>
          <w:rStyle w:val="FootnoteReference"/>
        </w:rPr>
        <w:footnoteRef/>
      </w:r>
      <w:r w:rsidRPr="00267B3D">
        <w:rPr>
          <w:lang w:val="es-ES"/>
        </w:rPr>
        <w:tab/>
      </w:r>
      <w:hyperlink r:id="rId5" w:history="1">
        <w:r w:rsidRPr="00267B3D">
          <w:rPr>
            <w:rStyle w:val="Hyperlink"/>
            <w:lang w:val="es-ES"/>
          </w:rPr>
          <w:t>Resolución 259</w:t>
        </w:r>
      </w:hyperlink>
      <w:r w:rsidRPr="00267B3D">
        <w:rPr>
          <w:lang w:val="es-ES"/>
        </w:rPr>
        <w:t>.</w:t>
      </w:r>
    </w:p>
  </w:footnote>
  <w:footnote w:id="20">
    <w:p w:rsidR="007476C4" w:rsidRPr="00267B3D" w:rsidRDefault="007476C4" w:rsidP="007476C4">
      <w:pPr>
        <w:pStyle w:val="FootnoteText"/>
        <w:rPr>
          <w:lang w:val="es-ES"/>
        </w:rPr>
      </w:pPr>
      <w:r>
        <w:rPr>
          <w:rStyle w:val="FootnoteReference"/>
        </w:rPr>
        <w:footnoteRef/>
      </w:r>
      <w:r w:rsidRPr="00267B3D">
        <w:rPr>
          <w:lang w:val="es-ES"/>
        </w:rPr>
        <w:tab/>
        <w:t xml:space="preserve">Benín, Costa de Marfil, Ghana, Kenia, Nigeria y Senegal, siempre que soliciten la condición de países beneficiarios del BERD y dicha solicitud sea aprobada. </w:t>
      </w:r>
    </w:p>
  </w:footnote>
  <w:footnote w:id="21">
    <w:p w:rsidR="00B459B0" w:rsidRPr="00267B3D" w:rsidRDefault="00B459B0">
      <w:pPr>
        <w:pStyle w:val="FootnoteText"/>
        <w:rPr>
          <w:lang w:val="es-ES"/>
        </w:rPr>
      </w:pPr>
      <w:r>
        <w:rPr>
          <w:rStyle w:val="FootnoteReference"/>
        </w:rPr>
        <w:footnoteRef/>
      </w:r>
      <w:r w:rsidRPr="00267B3D">
        <w:rPr>
          <w:lang w:val="es-ES"/>
        </w:rPr>
        <w:tab/>
      </w:r>
      <w:hyperlink r:id="rId6" w:history="1">
        <w:r w:rsidRPr="00267B3D">
          <w:rPr>
            <w:rStyle w:val="Hyperlink"/>
            <w:lang w:val="es-ES"/>
          </w:rPr>
          <w:t>Resolución 260</w:t>
        </w:r>
      </w:hyperlink>
      <w:r w:rsidRPr="00267B3D">
        <w:rPr>
          <w:lang w:val="es-ES"/>
        </w:rPr>
        <w:t>.</w:t>
      </w:r>
    </w:p>
  </w:footnote>
  <w:footnote w:id="22">
    <w:p w:rsidR="00EB1AD0" w:rsidRPr="00267B3D" w:rsidRDefault="00EB1AD0" w:rsidP="00EB1AD0">
      <w:pPr>
        <w:pStyle w:val="FootnoteText"/>
        <w:rPr>
          <w:szCs w:val="24"/>
          <w:lang w:val="es-ES"/>
        </w:rPr>
      </w:pPr>
      <w:r>
        <w:rPr>
          <w:rStyle w:val="FootnoteReference"/>
        </w:rPr>
        <w:footnoteRef/>
      </w:r>
      <w:r w:rsidRPr="00267B3D">
        <w:rPr>
          <w:lang w:val="es-ES"/>
        </w:rPr>
        <w:tab/>
        <w:t>Tal como se contempla en el artículo 58, apartado 2, letras a) o b), del Reglamento Financiero.</w:t>
      </w:r>
    </w:p>
  </w:footnote>
  <w:footnote w:id="23">
    <w:p w:rsidR="00EB1AD0" w:rsidRPr="00267B3D" w:rsidRDefault="00EB1AD0" w:rsidP="00EB1AD0">
      <w:pPr>
        <w:pStyle w:val="FootnoteText"/>
        <w:rPr>
          <w:lang w:val="es-ES"/>
        </w:rPr>
      </w:pPr>
      <w:r>
        <w:rPr>
          <w:rStyle w:val="FootnoteReference"/>
        </w:rPr>
        <w:footnoteRef/>
      </w:r>
      <w:r w:rsidRPr="00267B3D">
        <w:rPr>
          <w:lang w:val="es-ES"/>
        </w:rPr>
        <w:tab/>
        <w:t>Las posibles repercusiones financieras para los años posteriores a 2027 se entienden sin perjuicio del Reglamento sobre el marco financiero plurianual posterior a 2027.</w:t>
      </w:r>
    </w:p>
  </w:footnote>
  <w:footnote w:id="24">
    <w:p w:rsidR="00EB1AD0" w:rsidRPr="00267B3D" w:rsidRDefault="00EB1AD0" w:rsidP="00EB1AD0">
      <w:pPr>
        <w:pStyle w:val="FootnoteText"/>
        <w:jc w:val="left"/>
        <w:rPr>
          <w:szCs w:val="24"/>
          <w:lang w:val="es-ES"/>
        </w:rPr>
      </w:pPr>
      <w:r>
        <w:rPr>
          <w:rStyle w:val="FootnoteReference"/>
        </w:rPr>
        <w:footnoteRef/>
      </w:r>
      <w:r w:rsidRPr="00267B3D">
        <w:rPr>
          <w:lang w:val="es-ES"/>
        </w:rPr>
        <w:tab/>
        <w:t>Los detalles sobre los métodos de ejecución presupuestaria y las referencias al Reglamento Financiero pueden consultarse en el sitio BUDGpedia.</w:t>
      </w:r>
    </w:p>
  </w:footnote>
  <w:footnote w:id="25">
    <w:p w:rsidR="00EB1AD0" w:rsidRPr="00267B3D" w:rsidRDefault="00EB1AD0" w:rsidP="00EB1AD0">
      <w:pPr>
        <w:pStyle w:val="FootnoteText"/>
        <w:rPr>
          <w:szCs w:val="24"/>
          <w:lang w:val="es-ES"/>
        </w:rPr>
      </w:pPr>
      <w:r>
        <w:rPr>
          <w:rStyle w:val="FootnoteReference"/>
        </w:rPr>
        <w:footnoteRef/>
      </w:r>
      <w:r w:rsidRPr="00267B3D">
        <w:rPr>
          <w:lang w:val="es-ES"/>
        </w:rPr>
        <w:tab/>
        <w:t>CD = créditos disociados / CND = créditos no disociados.</w:t>
      </w:r>
    </w:p>
  </w:footnote>
  <w:footnote w:id="26">
    <w:p w:rsidR="00EB1AD0" w:rsidRPr="00267B3D" w:rsidRDefault="00EB1AD0" w:rsidP="00EB1AD0">
      <w:pPr>
        <w:pStyle w:val="FootnoteText"/>
        <w:rPr>
          <w:szCs w:val="24"/>
          <w:lang w:val="es-ES"/>
        </w:rPr>
      </w:pPr>
      <w:r>
        <w:rPr>
          <w:rStyle w:val="FootnoteReference"/>
        </w:rPr>
        <w:footnoteRef/>
      </w:r>
      <w:r w:rsidRPr="00267B3D">
        <w:rPr>
          <w:lang w:val="es-ES"/>
        </w:rPr>
        <w:tab/>
        <w:t xml:space="preserve">AELC: Asociación Europea de Libre Comercio. </w:t>
      </w:r>
    </w:p>
  </w:footnote>
  <w:footnote w:id="27">
    <w:p w:rsidR="00EB1AD0" w:rsidRPr="00267B3D" w:rsidRDefault="00EB1AD0" w:rsidP="00EB1AD0">
      <w:pPr>
        <w:pStyle w:val="FootnoteText"/>
        <w:rPr>
          <w:szCs w:val="24"/>
          <w:lang w:val="es-ES"/>
        </w:rPr>
      </w:pPr>
      <w:r>
        <w:rPr>
          <w:rStyle w:val="FootnoteReference"/>
        </w:rPr>
        <w:footnoteRef/>
      </w:r>
      <w:r w:rsidRPr="00267B3D">
        <w:rPr>
          <w:lang w:val="es-ES"/>
        </w:rPr>
        <w:tab/>
        <w:t>Países candidatos y, en su caso, candidatos potenciales de los Balcanes Occidentales.</w:t>
      </w:r>
    </w:p>
  </w:footnote>
  <w:footnote w:id="28">
    <w:p w:rsidR="00EB1AD0" w:rsidRPr="00267B3D" w:rsidRDefault="00EB1AD0" w:rsidP="00EB1AD0">
      <w:pPr>
        <w:pStyle w:val="FootnoteText"/>
        <w:rPr>
          <w:sz w:val="18"/>
          <w:szCs w:val="18"/>
          <w:lang w:val="es-ES"/>
        </w:rPr>
      </w:pPr>
      <w:r>
        <w:rPr>
          <w:rStyle w:val="FootnoteReference"/>
        </w:rPr>
        <w:footnoteRef/>
      </w:r>
      <w:r w:rsidRPr="00267B3D">
        <w:rPr>
          <w:lang w:val="es-ES"/>
        </w:rPr>
        <w:tab/>
      </w:r>
      <w:r w:rsidRPr="00267B3D">
        <w:rPr>
          <w:sz w:val="18"/>
          <w:lang w:val="es-ES"/>
        </w:rPr>
        <w:t>El año N es el año de comienzo de la ejecución de la propuesta/iniciativa. Sustitúyase «N» por el primer año de ejecución previsto (por ejemplo: 2021). Igual para los años siguientes.</w:t>
      </w:r>
    </w:p>
  </w:footnote>
  <w:footnote w:id="29">
    <w:p w:rsidR="00EB1AD0" w:rsidRPr="00267B3D" w:rsidRDefault="00EB1AD0" w:rsidP="00EB1AD0">
      <w:pPr>
        <w:pStyle w:val="FootnoteText"/>
        <w:rPr>
          <w:lang w:val="es-ES"/>
        </w:rPr>
      </w:pPr>
      <w:r>
        <w:rPr>
          <w:rStyle w:val="FootnoteReference"/>
        </w:rPr>
        <w:footnoteRef/>
      </w:r>
      <w:bookmarkStart w:id="62" w:name="_Hlk151634426"/>
      <w:r w:rsidRPr="00267B3D">
        <w:rPr>
          <w:lang w:val="es-ES"/>
        </w:rPr>
        <w:tab/>
      </w:r>
      <w:r w:rsidRPr="00267B3D">
        <w:rPr>
          <w:sz w:val="18"/>
          <w:lang w:val="es-ES"/>
        </w:rPr>
        <w:t>Las posibles repercusiones presupuestarias para los ejercicios posteriores a 2027 son indicativas y solo se presentan a título informativo, sin prejuzgar el acuerdo sobre el Reglamento del marco financiero plurianual posterior a 2027</w:t>
      </w:r>
      <w:bookmarkEnd w:id="62"/>
      <w:r w:rsidRPr="00267B3D">
        <w:rPr>
          <w:sz w:val="18"/>
          <w:lang w:val="es-ES"/>
        </w:rPr>
        <w:t>.</w:t>
      </w:r>
    </w:p>
  </w:footnote>
  <w:footnote w:id="30">
    <w:p w:rsidR="00EB1AD0" w:rsidRPr="00267B3D" w:rsidRDefault="00EB1AD0" w:rsidP="00EB1AD0">
      <w:pPr>
        <w:pStyle w:val="FootnoteText"/>
        <w:rPr>
          <w:sz w:val="18"/>
          <w:szCs w:val="18"/>
          <w:lang w:val="es-ES"/>
        </w:rPr>
      </w:pPr>
      <w:r>
        <w:rPr>
          <w:rStyle w:val="FootnoteReference"/>
        </w:rPr>
        <w:footnoteRef/>
      </w:r>
      <w:r w:rsidRPr="00267B3D">
        <w:rPr>
          <w:lang w:val="es-ES"/>
        </w:rPr>
        <w:tab/>
      </w:r>
      <w:r w:rsidRPr="00267B3D">
        <w:rPr>
          <w:sz w:val="18"/>
          <w:lang w:val="es-ES"/>
        </w:rPr>
        <w:t>Según la nomenclatura presupuestaria oficial.</w:t>
      </w:r>
    </w:p>
  </w:footnote>
  <w:footnote w:id="31">
    <w:p w:rsidR="00EB1AD0" w:rsidRPr="00267B3D" w:rsidRDefault="00EB1AD0" w:rsidP="00EB1AD0">
      <w:pPr>
        <w:pStyle w:val="FootnoteText"/>
        <w:rPr>
          <w:szCs w:val="24"/>
          <w:lang w:val="es-ES"/>
        </w:rPr>
      </w:pPr>
      <w:r>
        <w:rPr>
          <w:rStyle w:val="FootnoteReference"/>
        </w:rPr>
        <w:footnoteRef/>
      </w:r>
      <w:r w:rsidRPr="00267B3D">
        <w:rPr>
          <w:lang w:val="es-ES"/>
        </w:rPr>
        <w:tab/>
      </w:r>
      <w:r w:rsidRPr="00267B3D">
        <w:rPr>
          <w:sz w:val="18"/>
          <w:lang w:val="es-ES"/>
        </w:rPr>
        <w:t>Asistencia técnica y/o administrativa y gastos de apoyo a la ejecución de programas o acciones de la UE (antiguas líneas «BA»), investigación indirecta, investigación directa.</w:t>
      </w:r>
    </w:p>
  </w:footnote>
  <w:footnote w:id="32">
    <w:p w:rsidR="00EB1AD0" w:rsidRPr="00267B3D" w:rsidRDefault="00EB1AD0" w:rsidP="00EB1AD0">
      <w:pPr>
        <w:pStyle w:val="FootnoteText"/>
        <w:rPr>
          <w:szCs w:val="24"/>
          <w:lang w:val="es-ES"/>
        </w:rPr>
      </w:pPr>
      <w:r>
        <w:rPr>
          <w:rStyle w:val="FootnoteReference"/>
        </w:rPr>
        <w:footnoteRef/>
      </w:r>
      <w:r w:rsidRPr="00267B3D">
        <w:rPr>
          <w:lang w:val="es-ES"/>
        </w:rPr>
        <w:tab/>
      </w:r>
      <w:r w:rsidRPr="00267B3D">
        <w:rPr>
          <w:sz w:val="18"/>
          <w:lang w:val="es-ES"/>
        </w:rPr>
        <w:t>El año N es el año de comienzo de la ejecución de la propuesta/iniciativa. Sustitúyase «N» por el primer año de ejecución previsto (por ejemplo: 2021). Igual para los años siguientes.</w:t>
      </w:r>
    </w:p>
  </w:footnote>
  <w:footnote w:id="33">
    <w:p w:rsidR="009E47DE" w:rsidRPr="00267B3D" w:rsidRDefault="009E47DE" w:rsidP="00EB1AD0">
      <w:pPr>
        <w:pStyle w:val="FootnoteText"/>
        <w:rPr>
          <w:szCs w:val="24"/>
          <w:lang w:val="es-ES"/>
        </w:rPr>
      </w:pPr>
      <w:r>
        <w:rPr>
          <w:rStyle w:val="FootnoteReference"/>
        </w:rPr>
        <w:footnoteRef/>
      </w:r>
      <w:r w:rsidRPr="00267B3D">
        <w:rPr>
          <w:lang w:val="es-ES"/>
        </w:rPr>
        <w:tab/>
        <w:t>Los resultados son los productos y servicios que van a suministrarse (por ejemplo, número de intercambios de estudiantes financiados, kilómetros de carreteras construidos, etc.).</w:t>
      </w:r>
    </w:p>
  </w:footnote>
  <w:footnote w:id="34">
    <w:p w:rsidR="009E47DE" w:rsidRPr="00267B3D" w:rsidRDefault="009E47DE" w:rsidP="00EB1AD0">
      <w:pPr>
        <w:pStyle w:val="FootnoteText"/>
        <w:rPr>
          <w:szCs w:val="24"/>
          <w:lang w:val="es-ES"/>
        </w:rPr>
      </w:pPr>
      <w:r>
        <w:rPr>
          <w:rStyle w:val="FootnoteReference"/>
        </w:rPr>
        <w:footnoteRef/>
      </w:r>
      <w:r w:rsidRPr="00267B3D">
        <w:rPr>
          <w:lang w:val="es-ES"/>
        </w:rPr>
        <w:tab/>
        <w:t xml:space="preserve">Tal como se describe en el punto 1.4.2. «Objetivo(s) específico(s)…» </w:t>
      </w:r>
    </w:p>
  </w:footnote>
  <w:footnote w:id="35">
    <w:p w:rsidR="00EB1AD0" w:rsidRPr="00267B3D" w:rsidRDefault="00EB1AD0" w:rsidP="00EB1AD0">
      <w:pPr>
        <w:pStyle w:val="FootnoteText"/>
        <w:rPr>
          <w:szCs w:val="24"/>
          <w:lang w:val="es-ES"/>
        </w:rPr>
      </w:pPr>
      <w:r>
        <w:rPr>
          <w:rStyle w:val="FootnoteReference"/>
        </w:rPr>
        <w:footnoteRef/>
      </w:r>
      <w:r w:rsidRPr="00267B3D">
        <w:rPr>
          <w:lang w:val="es-ES"/>
        </w:rPr>
        <w:tab/>
      </w:r>
      <w:r w:rsidRPr="00267B3D">
        <w:rPr>
          <w:sz w:val="18"/>
          <w:lang w:val="es-ES"/>
        </w:rPr>
        <w:t>Asistencia técnica y/o administrativa y gastos de apoyo a la ejecución de programas o acciones de la UE (antiguas líneas «BA»), investigación indirecta, investigación directa.</w:t>
      </w:r>
    </w:p>
  </w:footnote>
  <w:footnote w:id="36">
    <w:p w:rsidR="00EB1AD0" w:rsidRPr="00267B3D" w:rsidRDefault="00EB1AD0" w:rsidP="00EB1AD0">
      <w:pPr>
        <w:pStyle w:val="FootnoteText"/>
        <w:rPr>
          <w:szCs w:val="24"/>
          <w:lang w:val="es-ES"/>
        </w:rPr>
      </w:pPr>
      <w:r>
        <w:rPr>
          <w:rStyle w:val="FootnoteReference"/>
        </w:rPr>
        <w:footnoteRef/>
      </w:r>
      <w:r w:rsidRPr="00267B3D">
        <w:rPr>
          <w:lang w:val="es-ES"/>
        </w:rPr>
        <w:tab/>
        <w:t>AC = agente contractual; AL = agente local; ENCS = experto nacional en comisión de servicios; INT = personal de empresas de trabajo temporal («</w:t>
      </w:r>
      <w:r w:rsidRPr="00267B3D">
        <w:rPr>
          <w:i/>
          <w:iCs/>
          <w:lang w:val="es-ES"/>
        </w:rPr>
        <w:t>intérimaires</w:t>
      </w:r>
      <w:r w:rsidRPr="00267B3D">
        <w:rPr>
          <w:lang w:val="es-ES"/>
        </w:rPr>
        <w:t xml:space="preserve">»); JPD = joven profesional en delegación. </w:t>
      </w:r>
    </w:p>
  </w:footnote>
  <w:footnote w:id="37">
    <w:p w:rsidR="00EB1AD0" w:rsidRPr="00267B3D" w:rsidRDefault="00EB1AD0" w:rsidP="00EB1AD0">
      <w:pPr>
        <w:pStyle w:val="FootnoteText"/>
        <w:rPr>
          <w:szCs w:val="24"/>
          <w:lang w:val="es-ES"/>
        </w:rPr>
      </w:pPr>
      <w:r>
        <w:rPr>
          <w:rStyle w:val="FootnoteReference"/>
        </w:rPr>
        <w:footnoteRef/>
      </w:r>
      <w:r w:rsidRPr="00267B3D">
        <w:rPr>
          <w:lang w:val="es-ES"/>
        </w:rPr>
        <w:tab/>
        <w:t>Subtecho para el personal externo con cargo a créditos de operaciones (antiguas líneas «BA»).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663" w:rsidRDefault="007256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663" w:rsidRDefault="00725663" w:rsidP="007256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663" w:rsidRPr="00725663" w:rsidRDefault="00725663" w:rsidP="00725663">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663" w:rsidRPr="00725663" w:rsidRDefault="00725663" w:rsidP="007256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2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6"/>
  </w:num>
  <w:num w:numId="7">
    <w:abstractNumId w:val="23"/>
  </w:num>
  <w:num w:numId="8">
    <w:abstractNumId w:val="27"/>
  </w:num>
  <w:num w:numId="9">
    <w:abstractNumId w:val="28"/>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29"/>
    <w:lvlOverride w:ilvl="0">
      <w:startOverride w:val="1"/>
    </w:lvlOverride>
  </w:num>
  <w:num w:numId="17">
    <w:abstractNumId w:val="20"/>
    <w:lvlOverride w:ilvl="0">
      <w:startOverride w:val="1"/>
    </w:lvlOverride>
  </w:num>
  <w:num w:numId="18">
    <w:abstractNumId w:val="22"/>
  </w:num>
  <w:num w:numId="19">
    <w:abstractNumId w:val="11"/>
  </w:num>
  <w:num w:numId="20">
    <w:abstractNumId w:val="25"/>
  </w:num>
  <w:num w:numId="21">
    <w:abstractNumId w:val="6"/>
  </w:num>
  <w:num w:numId="22">
    <w:abstractNumId w:val="12"/>
  </w:num>
  <w:num w:numId="23">
    <w:abstractNumId w:val="13"/>
  </w:num>
  <w:num w:numId="24">
    <w:abstractNumId w:val="4"/>
  </w:num>
  <w:num w:numId="25">
    <w:abstractNumId w:val="24"/>
  </w:num>
  <w:num w:numId="26">
    <w:abstractNumId w:val="3"/>
  </w:num>
  <w:num w:numId="27">
    <w:abstractNumId w:val="14"/>
  </w:num>
  <w:num w:numId="28">
    <w:abstractNumId w:val="20"/>
  </w:num>
  <w:num w:numId="29">
    <w:abstractNumId w:val="21"/>
  </w:num>
  <w:num w:numId="30">
    <w:abstractNumId w:val="5"/>
  </w:num>
  <w:num w:numId="31">
    <w:abstractNumId w:val="18"/>
  </w:num>
  <w:num w:numId="32">
    <w:abstractNumId w:val="29"/>
  </w:num>
  <w:num w:numId="33">
    <w:abstractNumId w:val="22"/>
  </w:num>
  <w:num w:numId="34">
    <w:abstractNumId w:val="11"/>
  </w:num>
  <w:num w:numId="35">
    <w:abstractNumId w:val="25"/>
  </w:num>
  <w:num w:numId="36">
    <w:abstractNumId w:val="6"/>
  </w:num>
  <w:num w:numId="37">
    <w:abstractNumId w:val="12"/>
  </w:num>
  <w:num w:numId="38">
    <w:abstractNumId w:val="13"/>
  </w:num>
  <w:num w:numId="39">
    <w:abstractNumId w:val="4"/>
  </w:num>
  <w:num w:numId="40">
    <w:abstractNumId w:val="24"/>
  </w:num>
  <w:num w:numId="41">
    <w:abstractNumId w:val="3"/>
  </w:num>
  <w:num w:numId="42">
    <w:abstractNumId w:val="14"/>
  </w:num>
  <w:num w:numId="43">
    <w:abstractNumId w:val="20"/>
  </w:num>
  <w:num w:numId="44">
    <w:abstractNumId w:val="21"/>
  </w:num>
  <w:num w:numId="45">
    <w:abstractNumId w:val="5"/>
  </w:num>
  <w:num w:numId="46">
    <w:abstractNumId w:val="18"/>
  </w:num>
  <w:num w:numId="47">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4-02-01 16:40: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C60C26A-330C-461E-B185-A455BF750031"/>
    <w:docVar w:name="LW_COVERPAGE_TYPE" w:val="1"/>
    <w:docVar w:name="LW_CROSSREFERENCE" w:val="&lt;UNUSED&gt;"/>
    <w:docVar w:name="LW_DocType" w:val="COM"/>
    <w:docVar w:name="LW_EMISSION" w:val="22.1.2024"/>
    <w:docVar w:name="LW_EMISSION_ISODATE" w:val="2024-01-22"/>
    <w:docVar w:name="LW_EMISSION_LOCATION" w:val="BRX"/>
    <w:docVar w:name="LW_EMISSION_PREFIX" w:val="Brusela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ES"/>
    <w:docVar w:name="LW_LEVEL_OF_SENSITIVITY" w:val="Standard treatment"/>
    <w:docVar w:name="LW_NOM.INST" w:val="COMISIÓN EUROPEA"/>
    <w:docVar w:name="LW_NOM.INST_JOINTDOC" w:val="&lt;EMPTY&gt;"/>
    <w:docVar w:name="LW_PART_NBR" w:val="1"/>
    <w:docVar w:name="LW_PART_NBR_TOTAL" w:val="1"/>
    <w:docVar w:name="LW_REF.II.NEW.CP" w:val="COD"/>
    <w:docVar w:name="LW_REF.II.NEW.CP_NUMBER" w:val="0019"/>
    <w:docVar w:name="LW_REF.II.NEW.CP_YEAR" w:val="2024"/>
    <w:docVar w:name="LW_REF.INST.NEW" w:val="COM"/>
    <w:docVar w:name="LW_REF.INST.NEW_ADOPTED" w:val="final"/>
    <w:docVar w:name="LW_REF.INST.NEW_TEXT" w:val="(2024) 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esta de"/>
    <w:docVar w:name="LW_SUPERTITRE" w:val="&lt;UNUSED&gt;"/>
    <w:docVar w:name="LW_TITRE.OBJ.CP" w:val="relativa a la suscripción por la Unión Europea de acciones adicionales en el capital del Banco Europeo de Reconstrucción y Desarrollo (BERD) y por la que se modifica el Convenio constitutivo del BERD en lo que se refiere a la ampliación del ámbito geográfico de las operaciones del BERD al África subsahariana y a Irak de manera limitada y progresiva y a la supresión de la limitación estatutaria del capital para operaciones ordinarias"/>
    <w:docVar w:name="LW_TYPE.DOC.CP" w:val="DECISIÓN DEL PARLAMENTO EUROPEO Y DEL CONSEJO"/>
    <w:docVar w:name="LwApiVersions" w:val="LW4CoDe 1.24.4.0; LW 9.0, Build 20240125"/>
  </w:docVars>
  <w:rsids>
    <w:rsidRoot w:val="00EA33FF"/>
    <w:rsid w:val="000007B5"/>
    <w:rsid w:val="00002103"/>
    <w:rsid w:val="0000216F"/>
    <w:rsid w:val="00002E9C"/>
    <w:rsid w:val="00005AE3"/>
    <w:rsid w:val="00007383"/>
    <w:rsid w:val="00012A1C"/>
    <w:rsid w:val="00012EE2"/>
    <w:rsid w:val="00013EBC"/>
    <w:rsid w:val="000142F8"/>
    <w:rsid w:val="00015342"/>
    <w:rsid w:val="0002113F"/>
    <w:rsid w:val="0002189F"/>
    <w:rsid w:val="00021C81"/>
    <w:rsid w:val="00024F04"/>
    <w:rsid w:val="00027601"/>
    <w:rsid w:val="00031A8E"/>
    <w:rsid w:val="00034AD5"/>
    <w:rsid w:val="00036963"/>
    <w:rsid w:val="000369BA"/>
    <w:rsid w:val="0004502D"/>
    <w:rsid w:val="00051568"/>
    <w:rsid w:val="00052E64"/>
    <w:rsid w:val="00064D6C"/>
    <w:rsid w:val="00077EFA"/>
    <w:rsid w:val="000807F3"/>
    <w:rsid w:val="00080D8E"/>
    <w:rsid w:val="0008203E"/>
    <w:rsid w:val="00086932"/>
    <w:rsid w:val="000900A0"/>
    <w:rsid w:val="000969B2"/>
    <w:rsid w:val="00097976"/>
    <w:rsid w:val="000A0778"/>
    <w:rsid w:val="000A1377"/>
    <w:rsid w:val="000A1BF9"/>
    <w:rsid w:val="000A2BE6"/>
    <w:rsid w:val="000B0862"/>
    <w:rsid w:val="000B6479"/>
    <w:rsid w:val="000B76F9"/>
    <w:rsid w:val="000B7CCB"/>
    <w:rsid w:val="000C78D6"/>
    <w:rsid w:val="000D0CD4"/>
    <w:rsid w:val="000D0DF4"/>
    <w:rsid w:val="000D0FA9"/>
    <w:rsid w:val="000D17F6"/>
    <w:rsid w:val="000D208A"/>
    <w:rsid w:val="000D5B57"/>
    <w:rsid w:val="000D5D04"/>
    <w:rsid w:val="000E1C28"/>
    <w:rsid w:val="000E2983"/>
    <w:rsid w:val="000E33A5"/>
    <w:rsid w:val="000E4D51"/>
    <w:rsid w:val="000E7359"/>
    <w:rsid w:val="000F13D9"/>
    <w:rsid w:val="000F2190"/>
    <w:rsid w:val="000F25B3"/>
    <w:rsid w:val="000F6500"/>
    <w:rsid w:val="000F6AB9"/>
    <w:rsid w:val="001004BC"/>
    <w:rsid w:val="001034DB"/>
    <w:rsid w:val="00105360"/>
    <w:rsid w:val="001065F5"/>
    <w:rsid w:val="0011449C"/>
    <w:rsid w:val="001238EF"/>
    <w:rsid w:val="00133CDC"/>
    <w:rsid w:val="00140A7C"/>
    <w:rsid w:val="00146374"/>
    <w:rsid w:val="001512B8"/>
    <w:rsid w:val="001534F6"/>
    <w:rsid w:val="00153705"/>
    <w:rsid w:val="001538F3"/>
    <w:rsid w:val="0015766C"/>
    <w:rsid w:val="00160B78"/>
    <w:rsid w:val="00161708"/>
    <w:rsid w:val="0016266C"/>
    <w:rsid w:val="00172672"/>
    <w:rsid w:val="001763C0"/>
    <w:rsid w:val="001775CE"/>
    <w:rsid w:val="00182B3B"/>
    <w:rsid w:val="001839B5"/>
    <w:rsid w:val="00185980"/>
    <w:rsid w:val="001866ED"/>
    <w:rsid w:val="00186B49"/>
    <w:rsid w:val="00186B8B"/>
    <w:rsid w:val="00187771"/>
    <w:rsid w:val="00192904"/>
    <w:rsid w:val="0019742E"/>
    <w:rsid w:val="00197613"/>
    <w:rsid w:val="001A12DB"/>
    <w:rsid w:val="001B59C6"/>
    <w:rsid w:val="001B632E"/>
    <w:rsid w:val="001C1AE6"/>
    <w:rsid w:val="001D3015"/>
    <w:rsid w:val="001D6EE8"/>
    <w:rsid w:val="001D782A"/>
    <w:rsid w:val="001F308F"/>
    <w:rsid w:val="001F343D"/>
    <w:rsid w:val="001F5A16"/>
    <w:rsid w:val="00214096"/>
    <w:rsid w:val="00215E7D"/>
    <w:rsid w:val="0021735A"/>
    <w:rsid w:val="002218A5"/>
    <w:rsid w:val="00233DC7"/>
    <w:rsid w:val="002367A1"/>
    <w:rsid w:val="00247779"/>
    <w:rsid w:val="00256B92"/>
    <w:rsid w:val="00256EEA"/>
    <w:rsid w:val="0026428A"/>
    <w:rsid w:val="00265B89"/>
    <w:rsid w:val="00265EAE"/>
    <w:rsid w:val="00267B3D"/>
    <w:rsid w:val="002706AA"/>
    <w:rsid w:val="002735CC"/>
    <w:rsid w:val="002740D9"/>
    <w:rsid w:val="00274814"/>
    <w:rsid w:val="0027558B"/>
    <w:rsid w:val="00280BB7"/>
    <w:rsid w:val="00281BED"/>
    <w:rsid w:val="00285BEE"/>
    <w:rsid w:val="002862DF"/>
    <w:rsid w:val="00290A68"/>
    <w:rsid w:val="00293D7B"/>
    <w:rsid w:val="0029533F"/>
    <w:rsid w:val="002A175E"/>
    <w:rsid w:val="002A3C2F"/>
    <w:rsid w:val="002A57BB"/>
    <w:rsid w:val="002B12A5"/>
    <w:rsid w:val="002B30AF"/>
    <w:rsid w:val="002B35EC"/>
    <w:rsid w:val="002B49A7"/>
    <w:rsid w:val="002B5758"/>
    <w:rsid w:val="002C7606"/>
    <w:rsid w:val="002D75AA"/>
    <w:rsid w:val="002D7A50"/>
    <w:rsid w:val="002E4639"/>
    <w:rsid w:val="002E7B18"/>
    <w:rsid w:val="002F1F48"/>
    <w:rsid w:val="0030280C"/>
    <w:rsid w:val="0031004F"/>
    <w:rsid w:val="00310109"/>
    <w:rsid w:val="003126BA"/>
    <w:rsid w:val="00312874"/>
    <w:rsid w:val="003146C1"/>
    <w:rsid w:val="0031476A"/>
    <w:rsid w:val="0032249A"/>
    <w:rsid w:val="0032599B"/>
    <w:rsid w:val="00326CB1"/>
    <w:rsid w:val="00326E71"/>
    <w:rsid w:val="00327113"/>
    <w:rsid w:val="0032746F"/>
    <w:rsid w:val="0033344A"/>
    <w:rsid w:val="00341348"/>
    <w:rsid w:val="00345F7D"/>
    <w:rsid w:val="00347960"/>
    <w:rsid w:val="00352D87"/>
    <w:rsid w:val="00360A7D"/>
    <w:rsid w:val="003633F3"/>
    <w:rsid w:val="00367C95"/>
    <w:rsid w:val="00371E69"/>
    <w:rsid w:val="00377053"/>
    <w:rsid w:val="0037747F"/>
    <w:rsid w:val="00382992"/>
    <w:rsid w:val="003A096E"/>
    <w:rsid w:val="003A1FD3"/>
    <w:rsid w:val="003A6BB8"/>
    <w:rsid w:val="003B23E0"/>
    <w:rsid w:val="003B40BB"/>
    <w:rsid w:val="003D20A3"/>
    <w:rsid w:val="003D37D6"/>
    <w:rsid w:val="003F3A1A"/>
    <w:rsid w:val="003F5B64"/>
    <w:rsid w:val="00401F92"/>
    <w:rsid w:val="00405BFC"/>
    <w:rsid w:val="00407051"/>
    <w:rsid w:val="004108B2"/>
    <w:rsid w:val="00412DAC"/>
    <w:rsid w:val="00412F03"/>
    <w:rsid w:val="00413D15"/>
    <w:rsid w:val="00416DBA"/>
    <w:rsid w:val="004177D4"/>
    <w:rsid w:val="00420707"/>
    <w:rsid w:val="0042192D"/>
    <w:rsid w:val="00421D83"/>
    <w:rsid w:val="0042395C"/>
    <w:rsid w:val="00425970"/>
    <w:rsid w:val="0042648E"/>
    <w:rsid w:val="00426A26"/>
    <w:rsid w:val="00435147"/>
    <w:rsid w:val="00435228"/>
    <w:rsid w:val="00435F3F"/>
    <w:rsid w:val="004364C3"/>
    <w:rsid w:val="00441ACB"/>
    <w:rsid w:val="0044610D"/>
    <w:rsid w:val="004548F7"/>
    <w:rsid w:val="00454C55"/>
    <w:rsid w:val="00465FB7"/>
    <w:rsid w:val="00466983"/>
    <w:rsid w:val="00487965"/>
    <w:rsid w:val="0049121E"/>
    <w:rsid w:val="00491C29"/>
    <w:rsid w:val="0049243E"/>
    <w:rsid w:val="004936D2"/>
    <w:rsid w:val="004A06AE"/>
    <w:rsid w:val="004A4E2A"/>
    <w:rsid w:val="004B248C"/>
    <w:rsid w:val="004D4FBB"/>
    <w:rsid w:val="004D5D7A"/>
    <w:rsid w:val="004E0403"/>
    <w:rsid w:val="004E3C11"/>
    <w:rsid w:val="004E5FD2"/>
    <w:rsid w:val="004E7D19"/>
    <w:rsid w:val="004F1DB2"/>
    <w:rsid w:val="004F2714"/>
    <w:rsid w:val="004F4DA3"/>
    <w:rsid w:val="004F5BC5"/>
    <w:rsid w:val="004F6A5E"/>
    <w:rsid w:val="004F78F3"/>
    <w:rsid w:val="005013D9"/>
    <w:rsid w:val="00502EAE"/>
    <w:rsid w:val="00505AB1"/>
    <w:rsid w:val="00507F8C"/>
    <w:rsid w:val="00521F38"/>
    <w:rsid w:val="0052311A"/>
    <w:rsid w:val="005233D1"/>
    <w:rsid w:val="00523AB4"/>
    <w:rsid w:val="005369B1"/>
    <w:rsid w:val="00540838"/>
    <w:rsid w:val="00545232"/>
    <w:rsid w:val="0054533C"/>
    <w:rsid w:val="00545993"/>
    <w:rsid w:val="00545A5B"/>
    <w:rsid w:val="005465D4"/>
    <w:rsid w:val="00557800"/>
    <w:rsid w:val="0056110E"/>
    <w:rsid w:val="00567ECE"/>
    <w:rsid w:val="005737E4"/>
    <w:rsid w:val="00575676"/>
    <w:rsid w:val="00587E2B"/>
    <w:rsid w:val="005A3248"/>
    <w:rsid w:val="005A49E6"/>
    <w:rsid w:val="005B1E52"/>
    <w:rsid w:val="005B1EB6"/>
    <w:rsid w:val="005B21F1"/>
    <w:rsid w:val="005C2CFF"/>
    <w:rsid w:val="005C5105"/>
    <w:rsid w:val="005C6B56"/>
    <w:rsid w:val="005C71B2"/>
    <w:rsid w:val="005D6F9D"/>
    <w:rsid w:val="005E0723"/>
    <w:rsid w:val="005E1613"/>
    <w:rsid w:val="005E29B0"/>
    <w:rsid w:val="005F4E93"/>
    <w:rsid w:val="005F53EB"/>
    <w:rsid w:val="005F5841"/>
    <w:rsid w:val="005F6181"/>
    <w:rsid w:val="0060039C"/>
    <w:rsid w:val="00601C2D"/>
    <w:rsid w:val="0060608A"/>
    <w:rsid w:val="00607D98"/>
    <w:rsid w:val="00613F00"/>
    <w:rsid w:val="0062091B"/>
    <w:rsid w:val="00620A75"/>
    <w:rsid w:val="00621635"/>
    <w:rsid w:val="00623468"/>
    <w:rsid w:val="006256A9"/>
    <w:rsid w:val="0062657F"/>
    <w:rsid w:val="00627865"/>
    <w:rsid w:val="0063070C"/>
    <w:rsid w:val="00630BD5"/>
    <w:rsid w:val="00633820"/>
    <w:rsid w:val="00635F1A"/>
    <w:rsid w:val="00652342"/>
    <w:rsid w:val="00654101"/>
    <w:rsid w:val="00655209"/>
    <w:rsid w:val="00661459"/>
    <w:rsid w:val="00663512"/>
    <w:rsid w:val="006661FD"/>
    <w:rsid w:val="00673824"/>
    <w:rsid w:val="00675BFE"/>
    <w:rsid w:val="0067723B"/>
    <w:rsid w:val="00677C34"/>
    <w:rsid w:val="006832D1"/>
    <w:rsid w:val="00684C75"/>
    <w:rsid w:val="006876DA"/>
    <w:rsid w:val="0069497F"/>
    <w:rsid w:val="00696E8B"/>
    <w:rsid w:val="006A3AB7"/>
    <w:rsid w:val="006A4631"/>
    <w:rsid w:val="006A4CD6"/>
    <w:rsid w:val="006A58BA"/>
    <w:rsid w:val="006A5FD2"/>
    <w:rsid w:val="006B1C43"/>
    <w:rsid w:val="006B4ED8"/>
    <w:rsid w:val="006B51E0"/>
    <w:rsid w:val="006C3487"/>
    <w:rsid w:val="006D457C"/>
    <w:rsid w:val="006D5452"/>
    <w:rsid w:val="006D5A0A"/>
    <w:rsid w:val="006D71A9"/>
    <w:rsid w:val="006E19DA"/>
    <w:rsid w:val="006E2824"/>
    <w:rsid w:val="006E3A51"/>
    <w:rsid w:val="006F4575"/>
    <w:rsid w:val="006F54DB"/>
    <w:rsid w:val="006F5DC5"/>
    <w:rsid w:val="006F6BEB"/>
    <w:rsid w:val="007010D1"/>
    <w:rsid w:val="00710EEC"/>
    <w:rsid w:val="00717DD7"/>
    <w:rsid w:val="00725663"/>
    <w:rsid w:val="00727E48"/>
    <w:rsid w:val="00730D4D"/>
    <w:rsid w:val="007319F0"/>
    <w:rsid w:val="00735BB2"/>
    <w:rsid w:val="007476C4"/>
    <w:rsid w:val="007510B3"/>
    <w:rsid w:val="00751C62"/>
    <w:rsid w:val="00763041"/>
    <w:rsid w:val="007649F4"/>
    <w:rsid w:val="00765CDC"/>
    <w:rsid w:val="00766FD1"/>
    <w:rsid w:val="00773331"/>
    <w:rsid w:val="00773428"/>
    <w:rsid w:val="007748DF"/>
    <w:rsid w:val="007758D4"/>
    <w:rsid w:val="00776969"/>
    <w:rsid w:val="00777298"/>
    <w:rsid w:val="00780855"/>
    <w:rsid w:val="00783863"/>
    <w:rsid w:val="00790819"/>
    <w:rsid w:val="00792866"/>
    <w:rsid w:val="007932EF"/>
    <w:rsid w:val="0079452C"/>
    <w:rsid w:val="00794FAC"/>
    <w:rsid w:val="007A1D27"/>
    <w:rsid w:val="007A3C5F"/>
    <w:rsid w:val="007A48DE"/>
    <w:rsid w:val="007A65DF"/>
    <w:rsid w:val="007B2E41"/>
    <w:rsid w:val="007B5668"/>
    <w:rsid w:val="007C43C1"/>
    <w:rsid w:val="007C7ECF"/>
    <w:rsid w:val="007D51B3"/>
    <w:rsid w:val="007E05B0"/>
    <w:rsid w:val="007E0E80"/>
    <w:rsid w:val="007E1688"/>
    <w:rsid w:val="007E48DC"/>
    <w:rsid w:val="007E6F6D"/>
    <w:rsid w:val="007F12AE"/>
    <w:rsid w:val="007F3236"/>
    <w:rsid w:val="007F62B7"/>
    <w:rsid w:val="007F6A18"/>
    <w:rsid w:val="00801F06"/>
    <w:rsid w:val="00803430"/>
    <w:rsid w:val="00804C4E"/>
    <w:rsid w:val="008161FD"/>
    <w:rsid w:val="008216BB"/>
    <w:rsid w:val="00822BCF"/>
    <w:rsid w:val="008251D5"/>
    <w:rsid w:val="00826E44"/>
    <w:rsid w:val="00827E4C"/>
    <w:rsid w:val="00831BFF"/>
    <w:rsid w:val="00832038"/>
    <w:rsid w:val="00834242"/>
    <w:rsid w:val="0083509D"/>
    <w:rsid w:val="00835960"/>
    <w:rsid w:val="008411EC"/>
    <w:rsid w:val="008448EC"/>
    <w:rsid w:val="00854ABF"/>
    <w:rsid w:val="0086381E"/>
    <w:rsid w:val="00872138"/>
    <w:rsid w:val="00874D22"/>
    <w:rsid w:val="008773C6"/>
    <w:rsid w:val="008808BF"/>
    <w:rsid w:val="00891FBE"/>
    <w:rsid w:val="00896765"/>
    <w:rsid w:val="00897722"/>
    <w:rsid w:val="00897E96"/>
    <w:rsid w:val="00897F7F"/>
    <w:rsid w:val="008A2914"/>
    <w:rsid w:val="008B6B14"/>
    <w:rsid w:val="008C102E"/>
    <w:rsid w:val="008D1869"/>
    <w:rsid w:val="008D33EA"/>
    <w:rsid w:val="008E4D8E"/>
    <w:rsid w:val="008E61B2"/>
    <w:rsid w:val="008E68EE"/>
    <w:rsid w:val="008F1E1A"/>
    <w:rsid w:val="00902EF3"/>
    <w:rsid w:val="00905C2B"/>
    <w:rsid w:val="00905F09"/>
    <w:rsid w:val="00906A3C"/>
    <w:rsid w:val="00914DFD"/>
    <w:rsid w:val="00915FA1"/>
    <w:rsid w:val="009160A1"/>
    <w:rsid w:val="0091793E"/>
    <w:rsid w:val="0092080A"/>
    <w:rsid w:val="00920BCF"/>
    <w:rsid w:val="00921717"/>
    <w:rsid w:val="009254CC"/>
    <w:rsid w:val="00925D5A"/>
    <w:rsid w:val="00926C1E"/>
    <w:rsid w:val="00927E0C"/>
    <w:rsid w:val="009348FE"/>
    <w:rsid w:val="0094323D"/>
    <w:rsid w:val="00943630"/>
    <w:rsid w:val="00944CED"/>
    <w:rsid w:val="00944E13"/>
    <w:rsid w:val="00945042"/>
    <w:rsid w:val="00947829"/>
    <w:rsid w:val="00947FA7"/>
    <w:rsid w:val="00953A11"/>
    <w:rsid w:val="00956B86"/>
    <w:rsid w:val="00957EBB"/>
    <w:rsid w:val="0096135C"/>
    <w:rsid w:val="0096729A"/>
    <w:rsid w:val="009678F9"/>
    <w:rsid w:val="0097214B"/>
    <w:rsid w:val="00974329"/>
    <w:rsid w:val="0097581B"/>
    <w:rsid w:val="00982FC7"/>
    <w:rsid w:val="00986622"/>
    <w:rsid w:val="0099030A"/>
    <w:rsid w:val="009A161B"/>
    <w:rsid w:val="009A3034"/>
    <w:rsid w:val="009A64AE"/>
    <w:rsid w:val="009B5459"/>
    <w:rsid w:val="009C1B95"/>
    <w:rsid w:val="009C4FCF"/>
    <w:rsid w:val="009C62F9"/>
    <w:rsid w:val="009D063E"/>
    <w:rsid w:val="009D1DFF"/>
    <w:rsid w:val="009D29F0"/>
    <w:rsid w:val="009D6CF7"/>
    <w:rsid w:val="009E47DE"/>
    <w:rsid w:val="009E78EC"/>
    <w:rsid w:val="009F5831"/>
    <w:rsid w:val="009F5EB0"/>
    <w:rsid w:val="009F7797"/>
    <w:rsid w:val="00A02595"/>
    <w:rsid w:val="00A03EB1"/>
    <w:rsid w:val="00A156A0"/>
    <w:rsid w:val="00A1596C"/>
    <w:rsid w:val="00A21B44"/>
    <w:rsid w:val="00A263FB"/>
    <w:rsid w:val="00A26CCB"/>
    <w:rsid w:val="00A330E2"/>
    <w:rsid w:val="00A35616"/>
    <w:rsid w:val="00A45C95"/>
    <w:rsid w:val="00A523CB"/>
    <w:rsid w:val="00A658B7"/>
    <w:rsid w:val="00A72976"/>
    <w:rsid w:val="00A80271"/>
    <w:rsid w:val="00A804C6"/>
    <w:rsid w:val="00A8456F"/>
    <w:rsid w:val="00AA1329"/>
    <w:rsid w:val="00AA1800"/>
    <w:rsid w:val="00AA3383"/>
    <w:rsid w:val="00AB076F"/>
    <w:rsid w:val="00AB33A4"/>
    <w:rsid w:val="00AB630E"/>
    <w:rsid w:val="00AB7514"/>
    <w:rsid w:val="00AC0118"/>
    <w:rsid w:val="00AC2E78"/>
    <w:rsid w:val="00AC66C5"/>
    <w:rsid w:val="00AD0941"/>
    <w:rsid w:val="00AD0EC0"/>
    <w:rsid w:val="00AD18E8"/>
    <w:rsid w:val="00AD2675"/>
    <w:rsid w:val="00AD3A43"/>
    <w:rsid w:val="00AE08B2"/>
    <w:rsid w:val="00AE1F2D"/>
    <w:rsid w:val="00AE6406"/>
    <w:rsid w:val="00AF441A"/>
    <w:rsid w:val="00AF7B8E"/>
    <w:rsid w:val="00B11E57"/>
    <w:rsid w:val="00B211F6"/>
    <w:rsid w:val="00B23014"/>
    <w:rsid w:val="00B243B2"/>
    <w:rsid w:val="00B354C6"/>
    <w:rsid w:val="00B36E5E"/>
    <w:rsid w:val="00B4112E"/>
    <w:rsid w:val="00B43876"/>
    <w:rsid w:val="00B4550C"/>
    <w:rsid w:val="00B459B0"/>
    <w:rsid w:val="00B45AE0"/>
    <w:rsid w:val="00B560B0"/>
    <w:rsid w:val="00B604EC"/>
    <w:rsid w:val="00B60D9E"/>
    <w:rsid w:val="00B66C19"/>
    <w:rsid w:val="00B70EEB"/>
    <w:rsid w:val="00B72436"/>
    <w:rsid w:val="00B72C34"/>
    <w:rsid w:val="00B72EE7"/>
    <w:rsid w:val="00B7337B"/>
    <w:rsid w:val="00B81170"/>
    <w:rsid w:val="00B83D55"/>
    <w:rsid w:val="00B84691"/>
    <w:rsid w:val="00B91DD6"/>
    <w:rsid w:val="00B95FEC"/>
    <w:rsid w:val="00BB6C06"/>
    <w:rsid w:val="00BC0EE7"/>
    <w:rsid w:val="00BC137A"/>
    <w:rsid w:val="00BC2F57"/>
    <w:rsid w:val="00BC3647"/>
    <w:rsid w:val="00BC5C6F"/>
    <w:rsid w:val="00BD1D1C"/>
    <w:rsid w:val="00BD4F9C"/>
    <w:rsid w:val="00BD68A1"/>
    <w:rsid w:val="00BD7F94"/>
    <w:rsid w:val="00BE3331"/>
    <w:rsid w:val="00BE60CA"/>
    <w:rsid w:val="00BE6487"/>
    <w:rsid w:val="00BE6BAF"/>
    <w:rsid w:val="00BE700B"/>
    <w:rsid w:val="00BE700F"/>
    <w:rsid w:val="00C01EB4"/>
    <w:rsid w:val="00C05ACE"/>
    <w:rsid w:val="00C0770A"/>
    <w:rsid w:val="00C12301"/>
    <w:rsid w:val="00C128AC"/>
    <w:rsid w:val="00C150F7"/>
    <w:rsid w:val="00C22051"/>
    <w:rsid w:val="00C4134A"/>
    <w:rsid w:val="00C447CB"/>
    <w:rsid w:val="00C45952"/>
    <w:rsid w:val="00C4681A"/>
    <w:rsid w:val="00C576A3"/>
    <w:rsid w:val="00C609F9"/>
    <w:rsid w:val="00C612E5"/>
    <w:rsid w:val="00C677F5"/>
    <w:rsid w:val="00C72162"/>
    <w:rsid w:val="00C7316B"/>
    <w:rsid w:val="00C7473D"/>
    <w:rsid w:val="00C84154"/>
    <w:rsid w:val="00C84582"/>
    <w:rsid w:val="00C84EC9"/>
    <w:rsid w:val="00C85859"/>
    <w:rsid w:val="00C86D7C"/>
    <w:rsid w:val="00CA0663"/>
    <w:rsid w:val="00CA386E"/>
    <w:rsid w:val="00CA66AD"/>
    <w:rsid w:val="00CA6C87"/>
    <w:rsid w:val="00CB4447"/>
    <w:rsid w:val="00CC574E"/>
    <w:rsid w:val="00CD07CD"/>
    <w:rsid w:val="00CD1133"/>
    <w:rsid w:val="00CD47C9"/>
    <w:rsid w:val="00CD7F1E"/>
    <w:rsid w:val="00CE34B4"/>
    <w:rsid w:val="00CE40E2"/>
    <w:rsid w:val="00CE43F9"/>
    <w:rsid w:val="00CE5970"/>
    <w:rsid w:val="00CF6440"/>
    <w:rsid w:val="00D01390"/>
    <w:rsid w:val="00D02738"/>
    <w:rsid w:val="00D038D1"/>
    <w:rsid w:val="00D057ED"/>
    <w:rsid w:val="00D079A2"/>
    <w:rsid w:val="00D12636"/>
    <w:rsid w:val="00D12A03"/>
    <w:rsid w:val="00D20381"/>
    <w:rsid w:val="00D23E03"/>
    <w:rsid w:val="00D248A0"/>
    <w:rsid w:val="00D273EF"/>
    <w:rsid w:val="00D30CE5"/>
    <w:rsid w:val="00D3274B"/>
    <w:rsid w:val="00D368CF"/>
    <w:rsid w:val="00D43A56"/>
    <w:rsid w:val="00D4715F"/>
    <w:rsid w:val="00D5052C"/>
    <w:rsid w:val="00D5492F"/>
    <w:rsid w:val="00D54BB1"/>
    <w:rsid w:val="00D56265"/>
    <w:rsid w:val="00D57CBF"/>
    <w:rsid w:val="00D659C4"/>
    <w:rsid w:val="00D71231"/>
    <w:rsid w:val="00D81AF2"/>
    <w:rsid w:val="00D87677"/>
    <w:rsid w:val="00D94887"/>
    <w:rsid w:val="00D97BE6"/>
    <w:rsid w:val="00DA09B0"/>
    <w:rsid w:val="00DA1E1C"/>
    <w:rsid w:val="00DA53C3"/>
    <w:rsid w:val="00DA59CE"/>
    <w:rsid w:val="00DB47B7"/>
    <w:rsid w:val="00DC094A"/>
    <w:rsid w:val="00DC0BC9"/>
    <w:rsid w:val="00DD3956"/>
    <w:rsid w:val="00DD6B45"/>
    <w:rsid w:val="00DE1D51"/>
    <w:rsid w:val="00DE2282"/>
    <w:rsid w:val="00DF1509"/>
    <w:rsid w:val="00DF5013"/>
    <w:rsid w:val="00E0197A"/>
    <w:rsid w:val="00E05AAE"/>
    <w:rsid w:val="00E063AF"/>
    <w:rsid w:val="00E07346"/>
    <w:rsid w:val="00E1359A"/>
    <w:rsid w:val="00E15826"/>
    <w:rsid w:val="00E15F07"/>
    <w:rsid w:val="00E234DC"/>
    <w:rsid w:val="00E25688"/>
    <w:rsid w:val="00E27DE5"/>
    <w:rsid w:val="00E30295"/>
    <w:rsid w:val="00E31735"/>
    <w:rsid w:val="00E346C1"/>
    <w:rsid w:val="00E3481E"/>
    <w:rsid w:val="00E35C0E"/>
    <w:rsid w:val="00E362D0"/>
    <w:rsid w:val="00E439AE"/>
    <w:rsid w:val="00E43F74"/>
    <w:rsid w:val="00E44BF8"/>
    <w:rsid w:val="00E501FA"/>
    <w:rsid w:val="00E50F31"/>
    <w:rsid w:val="00E52270"/>
    <w:rsid w:val="00E53483"/>
    <w:rsid w:val="00E61BC6"/>
    <w:rsid w:val="00E65527"/>
    <w:rsid w:val="00E657F2"/>
    <w:rsid w:val="00E66690"/>
    <w:rsid w:val="00E66861"/>
    <w:rsid w:val="00E7273E"/>
    <w:rsid w:val="00E74EC7"/>
    <w:rsid w:val="00E7759F"/>
    <w:rsid w:val="00E77B01"/>
    <w:rsid w:val="00E81D66"/>
    <w:rsid w:val="00E825D8"/>
    <w:rsid w:val="00E8506B"/>
    <w:rsid w:val="00E85606"/>
    <w:rsid w:val="00E9199C"/>
    <w:rsid w:val="00E9282A"/>
    <w:rsid w:val="00E93A3B"/>
    <w:rsid w:val="00E94605"/>
    <w:rsid w:val="00E94B68"/>
    <w:rsid w:val="00E951E3"/>
    <w:rsid w:val="00EA0984"/>
    <w:rsid w:val="00EA282C"/>
    <w:rsid w:val="00EA33FF"/>
    <w:rsid w:val="00EA3FC0"/>
    <w:rsid w:val="00EB1AD0"/>
    <w:rsid w:val="00EB4C6A"/>
    <w:rsid w:val="00EB711A"/>
    <w:rsid w:val="00EC2053"/>
    <w:rsid w:val="00EC45C7"/>
    <w:rsid w:val="00EC4611"/>
    <w:rsid w:val="00EC7005"/>
    <w:rsid w:val="00ED1AB9"/>
    <w:rsid w:val="00ED71CA"/>
    <w:rsid w:val="00ED7467"/>
    <w:rsid w:val="00EE0158"/>
    <w:rsid w:val="00EE374C"/>
    <w:rsid w:val="00EE4FC3"/>
    <w:rsid w:val="00EE6703"/>
    <w:rsid w:val="00EE6B6B"/>
    <w:rsid w:val="00EE7D93"/>
    <w:rsid w:val="00EF3C86"/>
    <w:rsid w:val="00EF5BC6"/>
    <w:rsid w:val="00F00402"/>
    <w:rsid w:val="00F104F7"/>
    <w:rsid w:val="00F15974"/>
    <w:rsid w:val="00F16243"/>
    <w:rsid w:val="00F219A3"/>
    <w:rsid w:val="00F328FF"/>
    <w:rsid w:val="00F362AF"/>
    <w:rsid w:val="00F41474"/>
    <w:rsid w:val="00F479BE"/>
    <w:rsid w:val="00F47CC1"/>
    <w:rsid w:val="00F6016C"/>
    <w:rsid w:val="00F61E09"/>
    <w:rsid w:val="00F67A33"/>
    <w:rsid w:val="00F74FBF"/>
    <w:rsid w:val="00F86449"/>
    <w:rsid w:val="00F876AB"/>
    <w:rsid w:val="00F927E5"/>
    <w:rsid w:val="00FA0723"/>
    <w:rsid w:val="00FA310E"/>
    <w:rsid w:val="00FA7229"/>
    <w:rsid w:val="00FB076F"/>
    <w:rsid w:val="00FC0F1D"/>
    <w:rsid w:val="00FC2D10"/>
    <w:rsid w:val="00FC38F8"/>
    <w:rsid w:val="00FC4646"/>
    <w:rsid w:val="00FD0B83"/>
    <w:rsid w:val="00FD2302"/>
    <w:rsid w:val="00FD3DB3"/>
    <w:rsid w:val="00FD534C"/>
    <w:rsid w:val="00FD6876"/>
    <w:rsid w:val="00FE7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799F022-2D6B-4CC4-B0CF-49CC16889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s-ES_tradnl"/>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EA33FF"/>
    <w:pPr>
      <w:numPr>
        <w:numId w:val="2"/>
      </w:numPr>
    </w:pPr>
    <w:rPr>
      <w:rFonts w:eastAsia="Times New Roman"/>
      <w:lang w:eastAsia="de-DE"/>
    </w:rPr>
  </w:style>
  <w:style w:type="paragraph" w:styleId="ListNumber">
    <w:name w:val="List Number"/>
    <w:basedOn w:val="Normal"/>
    <w:rsid w:val="00EA33FF"/>
    <w:pPr>
      <w:numPr>
        <w:numId w:val="6"/>
      </w:numPr>
    </w:pPr>
    <w:rPr>
      <w:rFonts w:eastAsia="Times New Roman"/>
      <w:lang w:eastAsia="de-DE"/>
    </w:rPr>
  </w:style>
  <w:style w:type="paragraph" w:customStyle="1" w:styleId="ListBullet1">
    <w:name w:val="List Bullet 1"/>
    <w:basedOn w:val="Normal"/>
    <w:rsid w:val="00EA33FF"/>
    <w:pPr>
      <w:numPr>
        <w:numId w:val="1"/>
      </w:numPr>
    </w:pPr>
    <w:rPr>
      <w:rFonts w:eastAsia="Times New Roman"/>
      <w:lang w:eastAsia="de-DE"/>
    </w:rPr>
  </w:style>
  <w:style w:type="paragraph" w:customStyle="1" w:styleId="ListDash">
    <w:name w:val="List Dash"/>
    <w:basedOn w:val="Normal"/>
    <w:rsid w:val="00EA33FF"/>
    <w:pPr>
      <w:numPr>
        <w:numId w:val="3"/>
      </w:numPr>
    </w:pPr>
    <w:rPr>
      <w:rFonts w:eastAsia="Times New Roman"/>
      <w:lang w:eastAsia="de-DE"/>
    </w:rPr>
  </w:style>
  <w:style w:type="paragraph" w:customStyle="1" w:styleId="ListDash1">
    <w:name w:val="List Dash 1"/>
    <w:basedOn w:val="Normal"/>
    <w:rsid w:val="00EA33FF"/>
    <w:pPr>
      <w:numPr>
        <w:numId w:val="4"/>
      </w:numPr>
    </w:pPr>
    <w:rPr>
      <w:rFonts w:eastAsia="Times New Roman"/>
      <w:lang w:eastAsia="de-DE"/>
    </w:rPr>
  </w:style>
  <w:style w:type="paragraph" w:customStyle="1" w:styleId="ListDash2">
    <w:name w:val="List Dash 2"/>
    <w:basedOn w:val="Normal"/>
    <w:rsid w:val="00EA33FF"/>
    <w:pPr>
      <w:numPr>
        <w:numId w:val="5"/>
      </w:numPr>
    </w:pPr>
    <w:rPr>
      <w:rFonts w:eastAsia="Times New Roman"/>
      <w:lang w:eastAsia="de-DE"/>
    </w:rPr>
  </w:style>
  <w:style w:type="paragraph" w:customStyle="1" w:styleId="ListNumberLevel2">
    <w:name w:val="List Number (Level 2)"/>
    <w:basedOn w:val="Normal"/>
    <w:rsid w:val="00EA33FF"/>
    <w:pPr>
      <w:tabs>
        <w:tab w:val="num" w:pos="1417"/>
      </w:tabs>
      <w:ind w:left="1417" w:hanging="708"/>
    </w:pPr>
    <w:rPr>
      <w:rFonts w:eastAsia="Times New Roman"/>
      <w:lang w:eastAsia="de-DE"/>
    </w:rPr>
  </w:style>
  <w:style w:type="paragraph" w:customStyle="1" w:styleId="ListNumberLevel3">
    <w:name w:val="List Number (Level 3)"/>
    <w:basedOn w:val="Normal"/>
    <w:rsid w:val="00EA33FF"/>
    <w:pPr>
      <w:tabs>
        <w:tab w:val="num" w:pos="2126"/>
      </w:tabs>
      <w:ind w:left="2126" w:hanging="709"/>
    </w:pPr>
    <w:rPr>
      <w:rFonts w:eastAsia="Times New Roman"/>
      <w:lang w:eastAsia="de-DE"/>
    </w:rPr>
  </w:style>
  <w:style w:type="paragraph" w:customStyle="1" w:styleId="ListNumberLevel4">
    <w:name w:val="List Number (Level 4)"/>
    <w:basedOn w:val="Normal"/>
    <w:rsid w:val="00EA33FF"/>
    <w:pPr>
      <w:numPr>
        <w:ilvl w:val="3"/>
        <w:numId w:val="6"/>
      </w:numPr>
    </w:pPr>
    <w:rPr>
      <w:rFonts w:eastAsia="Times New Roman"/>
      <w:lang w:eastAsia="de-DE"/>
    </w:rPr>
  </w:style>
  <w:style w:type="table" w:styleId="TableGrid">
    <w:name w:val="Table Grid"/>
    <w:basedOn w:val="TableNormal"/>
    <w:rsid w:val="00EA33FF"/>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A33FF"/>
    <w:rPr>
      <w:color w:val="0000FF"/>
      <w:u w:val="single"/>
    </w:rPr>
  </w:style>
  <w:style w:type="paragraph" w:styleId="ListBullet">
    <w:name w:val="List Bullet"/>
    <w:basedOn w:val="Normal"/>
    <w:rsid w:val="00EA33FF"/>
    <w:pPr>
      <w:numPr>
        <w:numId w:val="7"/>
      </w:numPr>
    </w:pPr>
    <w:rPr>
      <w:rFonts w:eastAsia="Times New Roman"/>
      <w:lang w:val="es-ES" w:eastAsia="en-GB"/>
    </w:rPr>
  </w:style>
  <w:style w:type="paragraph" w:styleId="ListBullet2">
    <w:name w:val="List Bullet 2"/>
    <w:basedOn w:val="Normal"/>
    <w:rsid w:val="00EA33FF"/>
    <w:pPr>
      <w:numPr>
        <w:numId w:val="8"/>
      </w:numPr>
    </w:pPr>
    <w:rPr>
      <w:rFonts w:eastAsia="Times New Roman"/>
      <w:lang w:val="es-ES" w:eastAsia="en-GB"/>
    </w:rPr>
  </w:style>
  <w:style w:type="paragraph" w:styleId="ListBullet3">
    <w:name w:val="List Bullet 3"/>
    <w:basedOn w:val="Normal"/>
    <w:rsid w:val="00EA33FF"/>
    <w:pPr>
      <w:numPr>
        <w:numId w:val="9"/>
      </w:numPr>
    </w:pPr>
    <w:rPr>
      <w:rFonts w:eastAsia="Times New Roman"/>
      <w:lang w:val="es-ES" w:eastAsia="en-GB"/>
    </w:rPr>
  </w:style>
  <w:style w:type="paragraph" w:styleId="ListNumber2">
    <w:name w:val="List Number 2"/>
    <w:basedOn w:val="Normal"/>
    <w:rsid w:val="00EA33FF"/>
    <w:pPr>
      <w:numPr>
        <w:numId w:val="13"/>
      </w:numPr>
    </w:pPr>
    <w:rPr>
      <w:rFonts w:eastAsia="Times New Roman"/>
      <w:lang w:val="es-ES" w:eastAsia="en-GB"/>
    </w:rPr>
  </w:style>
  <w:style w:type="paragraph" w:styleId="ListNumber3">
    <w:name w:val="List Number 3"/>
    <w:basedOn w:val="Normal"/>
    <w:rsid w:val="00EA33FF"/>
    <w:pPr>
      <w:numPr>
        <w:numId w:val="14"/>
      </w:numPr>
    </w:pPr>
    <w:rPr>
      <w:rFonts w:eastAsia="Times New Roman"/>
      <w:lang w:val="es-ES" w:eastAsia="en-GB"/>
    </w:rPr>
  </w:style>
  <w:style w:type="paragraph" w:styleId="ListNumber4">
    <w:name w:val="List Number 4"/>
    <w:basedOn w:val="Normal"/>
    <w:rsid w:val="00EA33FF"/>
    <w:pPr>
      <w:numPr>
        <w:numId w:val="15"/>
      </w:numPr>
    </w:pPr>
    <w:rPr>
      <w:rFonts w:eastAsia="Times New Roman"/>
      <w:lang w:val="es-ES" w:eastAsia="en-GB"/>
    </w:rPr>
  </w:style>
  <w:style w:type="paragraph" w:customStyle="1" w:styleId="ListDash3">
    <w:name w:val="List Dash 3"/>
    <w:basedOn w:val="Normal"/>
    <w:rsid w:val="00EA33FF"/>
    <w:pPr>
      <w:numPr>
        <w:numId w:val="10"/>
      </w:numPr>
    </w:pPr>
    <w:rPr>
      <w:rFonts w:eastAsia="Times New Roman"/>
      <w:lang w:val="es-ES" w:eastAsia="en-GB"/>
    </w:rPr>
  </w:style>
  <w:style w:type="paragraph" w:customStyle="1" w:styleId="ListDash4">
    <w:name w:val="List Dash 4"/>
    <w:basedOn w:val="Normal"/>
    <w:rsid w:val="00EA33FF"/>
    <w:pPr>
      <w:numPr>
        <w:numId w:val="11"/>
      </w:numPr>
    </w:pPr>
    <w:rPr>
      <w:rFonts w:eastAsia="Times New Roman"/>
      <w:lang w:val="es-ES" w:eastAsia="en-GB"/>
    </w:rPr>
  </w:style>
  <w:style w:type="paragraph" w:customStyle="1" w:styleId="ListNumber1">
    <w:name w:val="List Number 1"/>
    <w:basedOn w:val="Text1"/>
    <w:rsid w:val="00EA33FF"/>
    <w:pPr>
      <w:numPr>
        <w:numId w:val="12"/>
      </w:numPr>
    </w:pPr>
    <w:rPr>
      <w:rFonts w:eastAsia="Times New Roman"/>
      <w:lang w:val="es-ES" w:eastAsia="en-GB"/>
    </w:rPr>
  </w:style>
  <w:style w:type="paragraph" w:customStyle="1" w:styleId="ListNumber1Level2">
    <w:name w:val="List Number 1 (Level 2)"/>
    <w:basedOn w:val="Text1"/>
    <w:rsid w:val="00EA33FF"/>
    <w:pPr>
      <w:numPr>
        <w:ilvl w:val="1"/>
        <w:numId w:val="12"/>
      </w:numPr>
    </w:pPr>
    <w:rPr>
      <w:rFonts w:eastAsia="Times New Roman"/>
      <w:lang w:val="es-ES" w:eastAsia="en-GB"/>
    </w:rPr>
  </w:style>
  <w:style w:type="paragraph" w:customStyle="1" w:styleId="ListNumber2Level2">
    <w:name w:val="List Number 2 (Level 2)"/>
    <w:basedOn w:val="Text2"/>
    <w:rsid w:val="00EA33FF"/>
    <w:pPr>
      <w:numPr>
        <w:ilvl w:val="1"/>
        <w:numId w:val="13"/>
      </w:numPr>
    </w:pPr>
    <w:rPr>
      <w:rFonts w:eastAsia="Times New Roman"/>
      <w:lang w:val="es-ES" w:eastAsia="en-GB"/>
    </w:rPr>
  </w:style>
  <w:style w:type="paragraph" w:customStyle="1" w:styleId="ListNumber3Level2">
    <w:name w:val="List Number 3 (Level 2)"/>
    <w:basedOn w:val="Text3"/>
    <w:rsid w:val="00EA33FF"/>
    <w:pPr>
      <w:numPr>
        <w:ilvl w:val="1"/>
        <w:numId w:val="14"/>
      </w:numPr>
    </w:pPr>
    <w:rPr>
      <w:rFonts w:eastAsia="Times New Roman"/>
      <w:lang w:val="es-ES" w:eastAsia="en-GB"/>
    </w:rPr>
  </w:style>
  <w:style w:type="paragraph" w:customStyle="1" w:styleId="ListNumber4Level2">
    <w:name w:val="List Number 4 (Level 2)"/>
    <w:basedOn w:val="Text4"/>
    <w:rsid w:val="00EA33FF"/>
    <w:pPr>
      <w:numPr>
        <w:ilvl w:val="1"/>
        <w:numId w:val="15"/>
      </w:numPr>
    </w:pPr>
    <w:rPr>
      <w:rFonts w:eastAsia="Times New Roman"/>
      <w:lang w:val="es-ES" w:eastAsia="en-GB"/>
    </w:rPr>
  </w:style>
  <w:style w:type="paragraph" w:customStyle="1" w:styleId="ListNumber1Level3">
    <w:name w:val="List Number 1 (Level 3)"/>
    <w:basedOn w:val="Text1"/>
    <w:rsid w:val="00EA33FF"/>
    <w:pPr>
      <w:numPr>
        <w:ilvl w:val="2"/>
        <w:numId w:val="12"/>
      </w:numPr>
    </w:pPr>
    <w:rPr>
      <w:rFonts w:eastAsia="Times New Roman"/>
      <w:lang w:val="es-ES" w:eastAsia="en-GB"/>
    </w:rPr>
  </w:style>
  <w:style w:type="paragraph" w:customStyle="1" w:styleId="ListNumber2Level3">
    <w:name w:val="List Number 2 (Level 3)"/>
    <w:basedOn w:val="Text2"/>
    <w:rsid w:val="00EA33FF"/>
    <w:pPr>
      <w:numPr>
        <w:ilvl w:val="2"/>
        <w:numId w:val="13"/>
      </w:numPr>
    </w:pPr>
    <w:rPr>
      <w:rFonts w:eastAsia="Times New Roman"/>
      <w:lang w:val="es-ES" w:eastAsia="en-GB"/>
    </w:rPr>
  </w:style>
  <w:style w:type="paragraph" w:customStyle="1" w:styleId="ListNumber3Level3">
    <w:name w:val="List Number 3 (Level 3)"/>
    <w:basedOn w:val="Text3"/>
    <w:rsid w:val="00EA33FF"/>
    <w:pPr>
      <w:numPr>
        <w:ilvl w:val="2"/>
        <w:numId w:val="14"/>
      </w:numPr>
    </w:pPr>
    <w:rPr>
      <w:rFonts w:eastAsia="Times New Roman"/>
      <w:lang w:val="es-ES" w:eastAsia="en-GB"/>
    </w:rPr>
  </w:style>
  <w:style w:type="paragraph" w:customStyle="1" w:styleId="ListNumber4Level3">
    <w:name w:val="List Number 4 (Level 3)"/>
    <w:basedOn w:val="Text4"/>
    <w:rsid w:val="00EA33FF"/>
    <w:pPr>
      <w:numPr>
        <w:ilvl w:val="2"/>
        <w:numId w:val="15"/>
      </w:numPr>
    </w:pPr>
    <w:rPr>
      <w:rFonts w:eastAsia="Times New Roman"/>
      <w:lang w:val="es-ES" w:eastAsia="en-GB"/>
    </w:rPr>
  </w:style>
  <w:style w:type="paragraph" w:customStyle="1" w:styleId="ListNumber1Level4">
    <w:name w:val="List Number 1 (Level 4)"/>
    <w:basedOn w:val="Text1"/>
    <w:rsid w:val="00EA33FF"/>
    <w:pPr>
      <w:numPr>
        <w:ilvl w:val="3"/>
        <w:numId w:val="12"/>
      </w:numPr>
    </w:pPr>
    <w:rPr>
      <w:rFonts w:eastAsia="Times New Roman"/>
      <w:lang w:val="es-ES" w:eastAsia="en-GB"/>
    </w:rPr>
  </w:style>
  <w:style w:type="paragraph" w:customStyle="1" w:styleId="ListNumber2Level4">
    <w:name w:val="List Number 2 (Level 4)"/>
    <w:basedOn w:val="Text2"/>
    <w:rsid w:val="00EA33FF"/>
    <w:pPr>
      <w:numPr>
        <w:ilvl w:val="3"/>
        <w:numId w:val="13"/>
      </w:numPr>
    </w:pPr>
    <w:rPr>
      <w:rFonts w:eastAsia="Times New Roman"/>
      <w:lang w:val="es-ES" w:eastAsia="en-GB"/>
    </w:rPr>
  </w:style>
  <w:style w:type="paragraph" w:customStyle="1" w:styleId="ListNumber3Level4">
    <w:name w:val="List Number 3 (Level 4)"/>
    <w:basedOn w:val="Text3"/>
    <w:rsid w:val="00EA33FF"/>
    <w:pPr>
      <w:numPr>
        <w:ilvl w:val="3"/>
        <w:numId w:val="14"/>
      </w:numPr>
    </w:pPr>
    <w:rPr>
      <w:rFonts w:eastAsia="Times New Roman"/>
      <w:lang w:val="es-ES" w:eastAsia="en-GB"/>
    </w:rPr>
  </w:style>
  <w:style w:type="paragraph" w:customStyle="1" w:styleId="ListNumber4Level4">
    <w:name w:val="List Number 4 (Level 4)"/>
    <w:basedOn w:val="Text4"/>
    <w:rsid w:val="00EA33FF"/>
    <w:pPr>
      <w:numPr>
        <w:ilvl w:val="3"/>
        <w:numId w:val="15"/>
      </w:numPr>
    </w:pPr>
    <w:rPr>
      <w:rFonts w:eastAsia="Times New Roman"/>
      <w:lang w:val="es-ES" w:eastAsia="en-GB"/>
    </w:rPr>
  </w:style>
  <w:style w:type="paragraph" w:customStyle="1" w:styleId="Annexetitreacte">
    <w:name w:val="Annexe titre (acte)"/>
    <w:basedOn w:val="Normal"/>
    <w:next w:val="Normal"/>
    <w:rsid w:val="00EA33FF"/>
    <w:pPr>
      <w:jc w:val="center"/>
    </w:pPr>
    <w:rPr>
      <w:rFonts w:eastAsia="Times New Roman"/>
      <w:b/>
      <w:u w:val="single"/>
      <w:lang w:val="es-ES" w:eastAsia="en-GB"/>
    </w:rPr>
  </w:style>
  <w:style w:type="paragraph" w:customStyle="1" w:styleId="Annexetitreexposglobal">
    <w:name w:val="Annexe titre (exposé global)"/>
    <w:basedOn w:val="Normal"/>
    <w:next w:val="Normal"/>
    <w:rsid w:val="00EA33FF"/>
    <w:pPr>
      <w:jc w:val="center"/>
    </w:pPr>
    <w:rPr>
      <w:rFonts w:eastAsia="Times New Roman"/>
      <w:b/>
      <w:u w:val="single"/>
      <w:lang w:val="es-ES" w:eastAsia="en-GB"/>
    </w:rPr>
  </w:style>
  <w:style w:type="paragraph" w:customStyle="1" w:styleId="Annexetitrefichefinacte">
    <w:name w:val="Annexe titre (fiche fin. acte)"/>
    <w:basedOn w:val="Normal"/>
    <w:next w:val="Normal"/>
    <w:rsid w:val="00EA33FF"/>
    <w:pPr>
      <w:jc w:val="center"/>
    </w:pPr>
    <w:rPr>
      <w:rFonts w:eastAsia="Times New Roman"/>
      <w:b/>
      <w:u w:val="single"/>
      <w:lang w:val="es-ES" w:eastAsia="en-GB"/>
    </w:rPr>
  </w:style>
  <w:style w:type="paragraph" w:customStyle="1" w:styleId="Annexetitrefichefinglobale">
    <w:name w:val="Annexe titre (fiche fin. globale)"/>
    <w:basedOn w:val="Normal"/>
    <w:next w:val="Normal"/>
    <w:rsid w:val="00EA33FF"/>
    <w:pPr>
      <w:jc w:val="center"/>
    </w:pPr>
    <w:rPr>
      <w:rFonts w:eastAsia="Times New Roman"/>
      <w:b/>
      <w:u w:val="single"/>
      <w:lang w:val="es-ES" w:eastAsia="en-GB"/>
    </w:rPr>
  </w:style>
  <w:style w:type="paragraph" w:customStyle="1" w:styleId="Annexetitreglobale">
    <w:name w:val="Annexe titre (globale)"/>
    <w:basedOn w:val="Normal"/>
    <w:next w:val="Normal"/>
    <w:rsid w:val="00EA33FF"/>
    <w:pPr>
      <w:jc w:val="center"/>
    </w:pPr>
    <w:rPr>
      <w:rFonts w:eastAsia="Times New Roman"/>
      <w:b/>
      <w:u w:val="single"/>
      <w:lang w:val="es-ES" w:eastAsia="en-GB"/>
    </w:rPr>
  </w:style>
  <w:style w:type="paragraph" w:customStyle="1" w:styleId="Exposdesmotifstitreglobal">
    <w:name w:val="Exposé des motifs titre (global)"/>
    <w:basedOn w:val="Normal"/>
    <w:next w:val="Normal"/>
    <w:rsid w:val="00EA33FF"/>
    <w:pPr>
      <w:jc w:val="center"/>
    </w:pPr>
    <w:rPr>
      <w:rFonts w:eastAsia="Times New Roman"/>
      <w:b/>
      <w:u w:val="single"/>
      <w:lang w:val="es-ES" w:eastAsia="en-GB"/>
    </w:rPr>
  </w:style>
  <w:style w:type="paragraph" w:customStyle="1" w:styleId="Langueoriginale">
    <w:name w:val="Langue originale"/>
    <w:basedOn w:val="Normal"/>
    <w:rsid w:val="00EA33FF"/>
    <w:pPr>
      <w:spacing w:before="360"/>
      <w:jc w:val="center"/>
    </w:pPr>
    <w:rPr>
      <w:rFonts w:eastAsia="Times New Roman"/>
      <w:caps/>
      <w:lang w:val="es-ES" w:eastAsia="en-GB"/>
    </w:rPr>
  </w:style>
  <w:style w:type="paragraph" w:customStyle="1" w:styleId="Phrasefinale">
    <w:name w:val="Phrase finale"/>
    <w:basedOn w:val="Normal"/>
    <w:next w:val="Normal"/>
    <w:rsid w:val="00EA33FF"/>
    <w:pPr>
      <w:spacing w:before="360" w:after="0"/>
      <w:jc w:val="center"/>
    </w:pPr>
    <w:rPr>
      <w:rFonts w:eastAsia="Times New Roman"/>
      <w:lang w:val="es-ES" w:eastAsia="en-GB"/>
    </w:rPr>
  </w:style>
  <w:style w:type="paragraph" w:customStyle="1" w:styleId="Prliminairetitre">
    <w:name w:val="Préliminaire titre"/>
    <w:basedOn w:val="Normal"/>
    <w:next w:val="Normal"/>
    <w:rsid w:val="00EA33FF"/>
    <w:pPr>
      <w:spacing w:before="360" w:after="360"/>
      <w:jc w:val="center"/>
    </w:pPr>
    <w:rPr>
      <w:rFonts w:eastAsia="Times New Roman"/>
      <w:b/>
      <w:lang w:val="es-ES" w:eastAsia="en-GB"/>
    </w:rPr>
  </w:style>
  <w:style w:type="paragraph" w:customStyle="1" w:styleId="Prliminairetype">
    <w:name w:val="Préliminaire type"/>
    <w:basedOn w:val="Normal"/>
    <w:next w:val="Normal"/>
    <w:rsid w:val="00EA33FF"/>
    <w:pPr>
      <w:spacing w:before="360" w:after="0"/>
      <w:jc w:val="center"/>
    </w:pPr>
    <w:rPr>
      <w:rFonts w:eastAsia="Times New Roman"/>
      <w:b/>
      <w:lang w:val="es-ES" w:eastAsia="en-GB"/>
    </w:rPr>
  </w:style>
  <w:style w:type="paragraph" w:customStyle="1" w:styleId="Rfrenceinstitutionelle">
    <w:name w:val="Référence institutionelle"/>
    <w:basedOn w:val="Normal"/>
    <w:next w:val="Statut"/>
    <w:rsid w:val="00EA33FF"/>
    <w:pPr>
      <w:spacing w:before="0" w:after="240"/>
      <w:ind w:left="5103"/>
      <w:jc w:val="left"/>
    </w:pPr>
    <w:rPr>
      <w:rFonts w:eastAsia="Times New Roman"/>
      <w:lang w:val="es-ES" w:eastAsia="en-GB"/>
    </w:rPr>
  </w:style>
  <w:style w:type="paragraph" w:customStyle="1" w:styleId="Rfrenceinterinstitutionelle">
    <w:name w:val="Référence interinstitutionelle"/>
    <w:basedOn w:val="Normal"/>
    <w:next w:val="Statut"/>
    <w:rsid w:val="00EA33FF"/>
    <w:pPr>
      <w:spacing w:before="0" w:after="0"/>
      <w:ind w:left="5103"/>
      <w:jc w:val="left"/>
    </w:pPr>
    <w:rPr>
      <w:rFonts w:eastAsia="Times New Roman"/>
      <w:lang w:val="es-ES" w:eastAsia="en-GB"/>
    </w:rPr>
  </w:style>
  <w:style w:type="paragraph" w:customStyle="1" w:styleId="Rfrenceinterinstitutionelleprliminaire">
    <w:name w:val="Référence interinstitutionelle (préliminaire)"/>
    <w:basedOn w:val="Normal"/>
    <w:next w:val="Normal"/>
    <w:rsid w:val="00EA33FF"/>
    <w:pPr>
      <w:spacing w:before="0" w:after="0"/>
      <w:ind w:left="5103"/>
      <w:jc w:val="left"/>
    </w:pPr>
    <w:rPr>
      <w:rFonts w:eastAsia="Times New Roman"/>
      <w:lang w:val="es-ES" w:eastAsia="en-GB"/>
    </w:rPr>
  </w:style>
  <w:style w:type="paragraph" w:customStyle="1" w:styleId="Sous-titreobjetprliminaire">
    <w:name w:val="Sous-titre objet (préliminaire)"/>
    <w:basedOn w:val="Normal"/>
    <w:rsid w:val="00EA33FF"/>
    <w:pPr>
      <w:spacing w:before="0" w:after="0"/>
      <w:jc w:val="center"/>
    </w:pPr>
    <w:rPr>
      <w:rFonts w:eastAsia="Times New Roman"/>
      <w:b/>
      <w:lang w:val="es-ES" w:eastAsia="en-GB"/>
    </w:rPr>
  </w:style>
  <w:style w:type="paragraph" w:customStyle="1" w:styleId="Statutprliminaire">
    <w:name w:val="Statut (préliminaire)"/>
    <w:basedOn w:val="Normal"/>
    <w:next w:val="Normal"/>
    <w:rsid w:val="00EA33FF"/>
    <w:pPr>
      <w:spacing w:before="360" w:after="0"/>
      <w:jc w:val="center"/>
    </w:pPr>
    <w:rPr>
      <w:rFonts w:eastAsia="Times New Roman"/>
      <w:lang w:val="es-ES" w:eastAsia="en-GB"/>
    </w:rPr>
  </w:style>
  <w:style w:type="paragraph" w:customStyle="1" w:styleId="Titreobjetprliminaire">
    <w:name w:val="Titre objet (préliminaire)"/>
    <w:basedOn w:val="Normal"/>
    <w:next w:val="Normal"/>
    <w:rsid w:val="00EA33FF"/>
    <w:pPr>
      <w:spacing w:before="360" w:after="360"/>
      <w:jc w:val="center"/>
    </w:pPr>
    <w:rPr>
      <w:rFonts w:eastAsia="Times New Roman"/>
      <w:b/>
      <w:lang w:val="es-ES" w:eastAsia="en-GB"/>
    </w:rPr>
  </w:style>
  <w:style w:type="paragraph" w:customStyle="1" w:styleId="Typedudocumentprliminaire">
    <w:name w:val="Type du document (préliminaire)"/>
    <w:basedOn w:val="Normal"/>
    <w:next w:val="Normal"/>
    <w:rsid w:val="00EA33FF"/>
    <w:pPr>
      <w:spacing w:before="360" w:after="0"/>
      <w:jc w:val="center"/>
    </w:pPr>
    <w:rPr>
      <w:rFonts w:eastAsia="Times New Roman"/>
      <w:b/>
      <w:lang w:val="es-ES" w:eastAsia="en-GB"/>
    </w:rPr>
  </w:style>
  <w:style w:type="paragraph" w:customStyle="1" w:styleId="Fichefinancirestandardtitre">
    <w:name w:val="Fiche financière (standard) titre"/>
    <w:basedOn w:val="Normal"/>
    <w:next w:val="Normal"/>
    <w:rsid w:val="00EA33FF"/>
    <w:pPr>
      <w:jc w:val="center"/>
    </w:pPr>
    <w:rPr>
      <w:rFonts w:eastAsia="Times New Roman"/>
      <w:b/>
      <w:u w:val="single"/>
      <w:lang w:val="es-ES" w:eastAsia="en-GB"/>
    </w:rPr>
  </w:style>
  <w:style w:type="paragraph" w:customStyle="1" w:styleId="Fichefinancirestandardtitreacte">
    <w:name w:val="Fiche financière (standard) titre (acte)"/>
    <w:basedOn w:val="Normal"/>
    <w:next w:val="Normal"/>
    <w:rsid w:val="00EA33FF"/>
    <w:pPr>
      <w:jc w:val="center"/>
    </w:pPr>
    <w:rPr>
      <w:rFonts w:eastAsia="Times New Roman"/>
      <w:b/>
      <w:u w:val="single"/>
      <w:lang w:val="es-ES" w:eastAsia="en-GB"/>
    </w:rPr>
  </w:style>
  <w:style w:type="paragraph" w:customStyle="1" w:styleId="Fichefinanciretravailtitre">
    <w:name w:val="Fiche financière (travail) titre"/>
    <w:basedOn w:val="Normal"/>
    <w:next w:val="Normal"/>
    <w:rsid w:val="00EA33FF"/>
    <w:pPr>
      <w:jc w:val="center"/>
    </w:pPr>
    <w:rPr>
      <w:rFonts w:eastAsia="Times New Roman"/>
      <w:b/>
      <w:u w:val="single"/>
      <w:lang w:val="es-ES" w:eastAsia="en-GB"/>
    </w:rPr>
  </w:style>
  <w:style w:type="paragraph" w:customStyle="1" w:styleId="Fichefinanciretravailtitreacte">
    <w:name w:val="Fiche financière (travail) titre (acte)"/>
    <w:basedOn w:val="Normal"/>
    <w:next w:val="Normal"/>
    <w:rsid w:val="00EA33FF"/>
    <w:pPr>
      <w:jc w:val="center"/>
    </w:pPr>
    <w:rPr>
      <w:rFonts w:eastAsia="Times New Roman"/>
      <w:b/>
      <w:u w:val="single"/>
      <w:lang w:val="es-ES" w:eastAsia="en-GB"/>
    </w:rPr>
  </w:style>
  <w:style w:type="paragraph" w:customStyle="1" w:styleId="Fichefinancireattributiontitre">
    <w:name w:val="Fiche financière (attribution) titre"/>
    <w:basedOn w:val="Normal"/>
    <w:next w:val="Normal"/>
    <w:rsid w:val="00EA33FF"/>
    <w:pPr>
      <w:jc w:val="center"/>
    </w:pPr>
    <w:rPr>
      <w:rFonts w:eastAsia="Times New Roman"/>
      <w:b/>
      <w:u w:val="single"/>
      <w:lang w:val="es-ES" w:eastAsia="en-GB"/>
    </w:rPr>
  </w:style>
  <w:style w:type="paragraph" w:customStyle="1" w:styleId="Fichefinancireattributiontitreacte">
    <w:name w:val="Fiche financière (attribution) titre (acte)"/>
    <w:basedOn w:val="Normal"/>
    <w:next w:val="Normal"/>
    <w:rsid w:val="00EA33FF"/>
    <w:pPr>
      <w:jc w:val="center"/>
    </w:pPr>
    <w:rPr>
      <w:rFonts w:eastAsia="Times New Roman"/>
      <w:b/>
      <w:u w:val="single"/>
      <w:lang w:val="es-ES" w:eastAsia="en-GB"/>
    </w:rPr>
  </w:style>
  <w:style w:type="character" w:styleId="CommentReference">
    <w:name w:val="annotation reference"/>
    <w:rsid w:val="00EA33FF"/>
    <w:rPr>
      <w:rFonts w:cs="Times New Roman"/>
      <w:sz w:val="16"/>
      <w:szCs w:val="16"/>
    </w:rPr>
  </w:style>
  <w:style w:type="paragraph" w:styleId="CommentText">
    <w:name w:val="annotation text"/>
    <w:basedOn w:val="Normal"/>
    <w:link w:val="CommentTextChar"/>
    <w:rsid w:val="00EA33FF"/>
    <w:rPr>
      <w:rFonts w:eastAsia="Times New Roman"/>
      <w:sz w:val="20"/>
      <w:szCs w:val="20"/>
      <w:lang w:val="es-ES" w:eastAsia="en-GB"/>
    </w:rPr>
  </w:style>
  <w:style w:type="character" w:customStyle="1" w:styleId="CommentTextChar">
    <w:name w:val="Comment Text Char"/>
    <w:basedOn w:val="DefaultParagraphFont"/>
    <w:link w:val="CommentText"/>
    <w:rsid w:val="00EA33FF"/>
    <w:rPr>
      <w:rFonts w:ascii="Times New Roman" w:eastAsia="Times New Roman" w:hAnsi="Times New Roman" w:cs="Times New Roman"/>
      <w:sz w:val="20"/>
      <w:szCs w:val="20"/>
      <w:lang w:val="es-ES" w:eastAsia="en-GB"/>
    </w:rPr>
  </w:style>
  <w:style w:type="paragraph" w:styleId="CommentSubject">
    <w:name w:val="annotation subject"/>
    <w:basedOn w:val="CommentText"/>
    <w:next w:val="CommentText"/>
    <w:link w:val="CommentSubjectChar"/>
    <w:rsid w:val="00EA33FF"/>
    <w:rPr>
      <w:b/>
      <w:bCs/>
    </w:rPr>
  </w:style>
  <w:style w:type="character" w:customStyle="1" w:styleId="CommentSubjectChar">
    <w:name w:val="Comment Subject Char"/>
    <w:basedOn w:val="CommentTextChar"/>
    <w:link w:val="CommentSubject"/>
    <w:rsid w:val="00EA33FF"/>
    <w:rPr>
      <w:rFonts w:ascii="Times New Roman" w:eastAsia="Times New Roman" w:hAnsi="Times New Roman" w:cs="Times New Roman"/>
      <w:b/>
      <w:bCs/>
      <w:sz w:val="20"/>
      <w:szCs w:val="20"/>
      <w:lang w:val="es-ES" w:eastAsia="en-GB"/>
    </w:rPr>
  </w:style>
  <w:style w:type="paragraph" w:styleId="BalloonText">
    <w:name w:val="Balloon Text"/>
    <w:basedOn w:val="Normal"/>
    <w:link w:val="BalloonTextChar"/>
    <w:rsid w:val="00EA33FF"/>
    <w:rPr>
      <w:rFonts w:ascii="Tahoma" w:eastAsia="Times New Roman" w:hAnsi="Tahoma" w:cs="Tahoma"/>
      <w:sz w:val="16"/>
      <w:szCs w:val="16"/>
      <w:lang w:val="es-ES" w:eastAsia="en-GB"/>
    </w:rPr>
  </w:style>
  <w:style w:type="character" w:customStyle="1" w:styleId="BalloonTextChar">
    <w:name w:val="Balloon Text Char"/>
    <w:basedOn w:val="DefaultParagraphFont"/>
    <w:link w:val="BalloonText"/>
    <w:rsid w:val="00EA33FF"/>
    <w:rPr>
      <w:rFonts w:ascii="Tahoma" w:eastAsia="Times New Roman" w:hAnsi="Tahoma" w:cs="Tahoma"/>
      <w:sz w:val="16"/>
      <w:szCs w:val="16"/>
      <w:lang w:val="es-ES" w:eastAsia="en-GB"/>
    </w:rPr>
  </w:style>
  <w:style w:type="paragraph" w:styleId="Caption">
    <w:name w:val="caption"/>
    <w:basedOn w:val="Normal"/>
    <w:next w:val="Normal"/>
    <w:qFormat/>
    <w:rsid w:val="00EA33FF"/>
    <w:rPr>
      <w:rFonts w:eastAsia="Times New Roman"/>
      <w:b/>
      <w:bCs/>
      <w:sz w:val="20"/>
      <w:szCs w:val="20"/>
      <w:lang w:val="es-ES" w:eastAsia="en-GB"/>
    </w:rPr>
  </w:style>
  <w:style w:type="paragraph" w:styleId="TableofFigures">
    <w:name w:val="table of figures"/>
    <w:basedOn w:val="Normal"/>
    <w:next w:val="Normal"/>
    <w:rsid w:val="00EA33FF"/>
    <w:rPr>
      <w:rFonts w:eastAsia="Times New Roman"/>
      <w:lang w:val="es-ES" w:eastAsia="en-GB"/>
    </w:rPr>
  </w:style>
  <w:style w:type="character" w:styleId="PageNumber">
    <w:name w:val="page number"/>
    <w:rsid w:val="00EA33FF"/>
  </w:style>
  <w:style w:type="character" w:customStyle="1" w:styleId="tw4winMark">
    <w:name w:val="tw4winMark"/>
    <w:rsid w:val="00EA33FF"/>
    <w:rPr>
      <w:vanish/>
      <w:color w:val="800080"/>
      <w:vertAlign w:val="subscript"/>
    </w:rPr>
  </w:style>
  <w:style w:type="character" w:styleId="FollowedHyperlink">
    <w:name w:val="FollowedHyperlink"/>
    <w:rsid w:val="00EA33FF"/>
    <w:rPr>
      <w:color w:val="800080"/>
      <w:u w:val="single"/>
    </w:rPr>
  </w:style>
  <w:style w:type="paragraph" w:customStyle="1" w:styleId="Sous-titreobjet">
    <w:name w:val="Sous-titre objet"/>
    <w:basedOn w:val="Normal"/>
    <w:rsid w:val="00EA33FF"/>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EA33FF"/>
  </w:style>
  <w:style w:type="paragraph" w:styleId="Revision">
    <w:name w:val="Revision"/>
    <w:hidden/>
    <w:uiPriority w:val="99"/>
    <w:semiHidden/>
    <w:rsid w:val="00EA33FF"/>
    <w:rPr>
      <w:rFonts w:ascii="Calibri" w:eastAsia="Calibri" w:hAnsi="Calibri" w:cs="Times New Roman"/>
      <w:sz w:val="24"/>
      <w:lang w:eastAsia="en-GB"/>
    </w:rPr>
  </w:style>
  <w:style w:type="paragraph" w:customStyle="1" w:styleId="FooterCoverPage">
    <w:name w:val="Footer Cover Page"/>
    <w:basedOn w:val="Normal"/>
    <w:link w:val="FooterCoverPageChar"/>
    <w:rsid w:val="00EA33FF"/>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EA33FF"/>
    <w:rPr>
      <w:rFonts w:ascii="Times New Roman" w:hAnsi="Times New Roman" w:cs="Times New Roman"/>
      <w:b/>
      <w:sz w:val="28"/>
      <w:lang w:val="es-ES"/>
    </w:rPr>
  </w:style>
  <w:style w:type="character" w:customStyle="1" w:styleId="FooterCoverPageChar">
    <w:name w:val="Footer Cover Page Char"/>
    <w:link w:val="FooterCoverPage"/>
    <w:rsid w:val="00EA33FF"/>
    <w:rPr>
      <w:rFonts w:ascii="Times New Roman" w:eastAsia="Calibri" w:hAnsi="Times New Roman" w:cs="Times New Roman"/>
      <w:sz w:val="24"/>
      <w:lang w:val="es-ES" w:eastAsia="en-GB"/>
    </w:rPr>
  </w:style>
  <w:style w:type="paragraph" w:customStyle="1" w:styleId="HeaderCoverPage">
    <w:name w:val="Header Cover Page"/>
    <w:basedOn w:val="Normal"/>
    <w:link w:val="HeaderCoverPageChar"/>
    <w:rsid w:val="00EA33FF"/>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EA33FF"/>
    <w:rPr>
      <w:rFonts w:ascii="Times New Roman" w:eastAsia="Calibri" w:hAnsi="Times New Roman" w:cs="Times New Roman"/>
      <w:sz w:val="24"/>
      <w:lang w:val="es-ES" w:eastAsia="en-GB"/>
    </w:rPr>
  </w:style>
  <w:style w:type="character" w:customStyle="1" w:styleId="FooterSensitivityChar">
    <w:name w:val="Footer Sensitivity Char"/>
    <w:rsid w:val="00EA33FF"/>
    <w:rPr>
      <w:rFonts w:ascii="Times New Roman" w:hAnsi="Times New Roman" w:cs="Times New Roman"/>
      <w:b/>
      <w:sz w:val="32"/>
      <w:lang w:val="es-ES"/>
    </w:rPr>
  </w:style>
  <w:style w:type="character" w:customStyle="1" w:styleId="HeaderSensitivityChar">
    <w:name w:val="Header Sensitivity Char"/>
    <w:rsid w:val="00EA33FF"/>
    <w:rPr>
      <w:rFonts w:ascii="Times New Roman" w:hAnsi="Times New Roman" w:cs="Times New Roman"/>
      <w:b/>
      <w:sz w:val="32"/>
      <w:lang w:val="es-ES"/>
    </w:rPr>
  </w:style>
  <w:style w:type="character" w:customStyle="1" w:styleId="HeaderSensitivityRightChar">
    <w:name w:val="Header Sensitivity Right Char"/>
    <w:rsid w:val="00EA33FF"/>
    <w:rPr>
      <w:rFonts w:ascii="Times New Roman" w:hAnsi="Times New Roman" w:cs="Times New Roman"/>
      <w:sz w:val="28"/>
      <w:lang w:val="es-ES"/>
    </w:rPr>
  </w:style>
  <w:style w:type="paragraph" w:styleId="ListParagraph">
    <w:name w:val="List Paragraph"/>
    <w:basedOn w:val="Normal"/>
    <w:uiPriority w:val="34"/>
    <w:qFormat/>
    <w:rsid w:val="00A330E2"/>
    <w:pPr>
      <w:ind w:left="720"/>
      <w:contextualSpacing/>
    </w:pPr>
  </w:style>
  <w:style w:type="paragraph" w:customStyle="1" w:styleId="ti-art">
    <w:name w:val="ti-art"/>
    <w:basedOn w:val="Normal"/>
    <w:rsid w:val="00326CB1"/>
    <w:pPr>
      <w:spacing w:before="100" w:beforeAutospacing="1" w:after="100" w:afterAutospacing="1"/>
      <w:jc w:val="left"/>
    </w:pPr>
    <w:rPr>
      <w:rFonts w:eastAsia="Times New Roman"/>
      <w:szCs w:val="24"/>
      <w:lang w:val="es-ES" w:eastAsia="en-IE"/>
    </w:rPr>
  </w:style>
  <w:style w:type="paragraph" w:customStyle="1" w:styleId="Normal1">
    <w:name w:val="Normal1"/>
    <w:basedOn w:val="Normal"/>
    <w:rsid w:val="00326CB1"/>
    <w:pPr>
      <w:spacing w:before="100" w:beforeAutospacing="1" w:after="100" w:afterAutospacing="1"/>
      <w:jc w:val="left"/>
    </w:pPr>
    <w:rPr>
      <w:rFonts w:eastAsia="Times New Roman"/>
      <w:szCs w:val="24"/>
      <w:lang w:val="es-ES" w:eastAsia="en-IE"/>
    </w:rPr>
  </w:style>
  <w:style w:type="character" w:styleId="Emphasis">
    <w:name w:val="Emphasis"/>
    <w:basedOn w:val="DefaultParagraphFont"/>
    <w:uiPriority w:val="20"/>
    <w:qFormat/>
    <w:rsid w:val="0011449C"/>
    <w:rPr>
      <w:i/>
      <w:iCs/>
    </w:rPr>
  </w:style>
  <w:style w:type="character" w:customStyle="1" w:styleId="UnresolvedMention">
    <w:name w:val="Unresolved Mention"/>
    <w:basedOn w:val="DefaultParagraphFont"/>
    <w:uiPriority w:val="99"/>
    <w:semiHidden/>
    <w:unhideWhenUsed/>
    <w:rsid w:val="005F53EB"/>
    <w:rPr>
      <w:color w:val="605E5C"/>
      <w:shd w:val="clear" w:color="auto" w:fill="E1DFDD"/>
    </w:rPr>
  </w:style>
  <w:style w:type="character" w:customStyle="1" w:styleId="HeaderChar">
    <w:name w:val="Header Char"/>
    <w:basedOn w:val="DefaultParagraphFont"/>
    <w:link w:val="Header"/>
    <w:uiPriority w:val="99"/>
    <w:rsid w:val="00725663"/>
    <w:rPr>
      <w:rFonts w:ascii="Times New Roman" w:hAnsi="Times New Roman" w:cs="Times New Roman"/>
      <w:sz w:val="24"/>
      <w:lang w:val="es-ES_tradnl"/>
    </w:rPr>
  </w:style>
  <w:style w:type="character" w:customStyle="1" w:styleId="FooterChar">
    <w:name w:val="Footer Char"/>
    <w:basedOn w:val="DefaultParagraphFont"/>
    <w:link w:val="Footer"/>
    <w:uiPriority w:val="99"/>
    <w:rsid w:val="00725663"/>
    <w:rPr>
      <w:rFonts w:ascii="Times New Roman" w:hAnsi="Times New Roman" w:cs="Times New Roman"/>
      <w:sz w:val="24"/>
      <w:lang w:val="es-ES_trad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2566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25663"/>
    <w:pPr>
      <w:spacing w:before="0"/>
      <w:jc w:val="right"/>
    </w:pPr>
    <w:rPr>
      <w:sz w:val="28"/>
    </w:rPr>
  </w:style>
  <w:style w:type="paragraph" w:customStyle="1" w:styleId="FooterSensitivity">
    <w:name w:val="Footer Sensitivity"/>
    <w:basedOn w:val="Normal"/>
    <w:rsid w:val="0072566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725663"/>
    <w:pPr>
      <w:tabs>
        <w:tab w:val="center" w:pos="4535"/>
        <w:tab w:val="right" w:pos="9071"/>
      </w:tabs>
      <w:spacing w:before="0"/>
    </w:pPr>
  </w:style>
  <w:style w:type="paragraph" w:customStyle="1" w:styleId="HeaderLandscape">
    <w:name w:val="HeaderLandscape"/>
    <w:basedOn w:val="Normal"/>
    <w:rsid w:val="00725663"/>
    <w:pPr>
      <w:tabs>
        <w:tab w:val="center" w:pos="7285"/>
        <w:tab w:val="right" w:pos="14003"/>
      </w:tabs>
      <w:spacing w:before="0"/>
    </w:pPr>
  </w:style>
  <w:style w:type="paragraph" w:styleId="Footer">
    <w:name w:val="footer"/>
    <w:basedOn w:val="Normal"/>
    <w:link w:val="FooterChar"/>
    <w:uiPriority w:val="99"/>
    <w:unhideWhenUsed/>
    <w:rsid w:val="0072566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2566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27067">
      <w:bodyDiv w:val="1"/>
      <w:marLeft w:val="0"/>
      <w:marRight w:val="0"/>
      <w:marTop w:val="0"/>
      <w:marBottom w:val="0"/>
      <w:divBdr>
        <w:top w:val="none" w:sz="0" w:space="0" w:color="auto"/>
        <w:left w:val="none" w:sz="0" w:space="0" w:color="auto"/>
        <w:bottom w:val="none" w:sz="0" w:space="0" w:color="auto"/>
        <w:right w:val="none" w:sz="0" w:space="0" w:color="auto"/>
      </w:divBdr>
    </w:div>
    <w:div w:id="390663860">
      <w:bodyDiv w:val="1"/>
      <w:marLeft w:val="0"/>
      <w:marRight w:val="0"/>
      <w:marTop w:val="0"/>
      <w:marBottom w:val="0"/>
      <w:divBdr>
        <w:top w:val="none" w:sz="0" w:space="0" w:color="auto"/>
        <w:left w:val="none" w:sz="0" w:space="0" w:color="auto"/>
        <w:bottom w:val="none" w:sz="0" w:space="0" w:color="auto"/>
        <w:right w:val="none" w:sz="0" w:space="0" w:color="auto"/>
      </w:divBdr>
    </w:div>
    <w:div w:id="815145307">
      <w:bodyDiv w:val="1"/>
      <w:marLeft w:val="0"/>
      <w:marRight w:val="0"/>
      <w:marTop w:val="0"/>
      <w:marBottom w:val="0"/>
      <w:divBdr>
        <w:top w:val="none" w:sz="0" w:space="0" w:color="auto"/>
        <w:left w:val="none" w:sz="0" w:space="0" w:color="auto"/>
        <w:bottom w:val="none" w:sz="0" w:space="0" w:color="auto"/>
        <w:right w:val="none" w:sz="0" w:space="0" w:color="auto"/>
      </w:divBdr>
    </w:div>
    <w:div w:id="1332873066">
      <w:bodyDiv w:val="1"/>
      <w:marLeft w:val="0"/>
      <w:marRight w:val="0"/>
      <w:marTop w:val="0"/>
      <w:marBottom w:val="0"/>
      <w:divBdr>
        <w:top w:val="none" w:sz="0" w:space="0" w:color="auto"/>
        <w:left w:val="none" w:sz="0" w:space="0" w:color="auto"/>
        <w:bottom w:val="none" w:sz="0" w:space="0" w:color="auto"/>
        <w:right w:val="none" w:sz="0" w:space="0" w:color="auto"/>
      </w:divBdr>
    </w:div>
    <w:div w:id="1489633941">
      <w:bodyDiv w:val="1"/>
      <w:marLeft w:val="0"/>
      <w:marRight w:val="0"/>
      <w:marTop w:val="0"/>
      <w:marBottom w:val="0"/>
      <w:divBdr>
        <w:top w:val="none" w:sz="0" w:space="0" w:color="auto"/>
        <w:left w:val="none" w:sz="0" w:space="0" w:color="auto"/>
        <w:bottom w:val="none" w:sz="0" w:space="0" w:color="auto"/>
        <w:right w:val="none" w:sz="0" w:space="0" w:color="auto"/>
      </w:divBdr>
    </w:div>
    <w:div w:id="1593931650">
      <w:bodyDiv w:val="1"/>
      <w:marLeft w:val="0"/>
      <w:marRight w:val="0"/>
      <w:marTop w:val="0"/>
      <w:marBottom w:val="0"/>
      <w:divBdr>
        <w:top w:val="none" w:sz="0" w:space="0" w:color="auto"/>
        <w:left w:val="none" w:sz="0" w:space="0" w:color="auto"/>
        <w:bottom w:val="none" w:sz="0" w:space="0" w:color="auto"/>
        <w:right w:val="none" w:sz="0" w:space="0" w:color="auto"/>
      </w:divBdr>
    </w:div>
    <w:div w:id="1702052103">
      <w:bodyDiv w:val="1"/>
      <w:marLeft w:val="0"/>
      <w:marRight w:val="0"/>
      <w:marTop w:val="0"/>
      <w:marBottom w:val="0"/>
      <w:divBdr>
        <w:top w:val="none" w:sz="0" w:space="0" w:color="auto"/>
        <w:left w:val="none" w:sz="0" w:space="0" w:color="auto"/>
        <w:bottom w:val="none" w:sz="0" w:space="0" w:color="auto"/>
        <w:right w:val="none" w:sz="0" w:space="0" w:color="auto"/>
      </w:divBdr>
    </w:div>
    <w:div w:id="1719888373">
      <w:bodyDiv w:val="1"/>
      <w:marLeft w:val="0"/>
      <w:marRight w:val="0"/>
      <w:marTop w:val="0"/>
      <w:marBottom w:val="0"/>
      <w:divBdr>
        <w:top w:val="none" w:sz="0" w:space="0" w:color="auto"/>
        <w:left w:val="none" w:sz="0" w:space="0" w:color="auto"/>
        <w:bottom w:val="none" w:sz="0" w:space="0" w:color="auto"/>
        <w:right w:val="none" w:sz="0" w:space="0" w:color="auto"/>
      </w:divBdr>
    </w:div>
    <w:div w:id="1845897749">
      <w:bodyDiv w:val="1"/>
      <w:marLeft w:val="0"/>
      <w:marRight w:val="0"/>
      <w:marTop w:val="0"/>
      <w:marBottom w:val="0"/>
      <w:divBdr>
        <w:top w:val="none" w:sz="0" w:space="0" w:color="auto"/>
        <w:left w:val="none" w:sz="0" w:space="0" w:color="auto"/>
        <w:bottom w:val="none" w:sz="0" w:space="0" w:color="auto"/>
        <w:right w:val="none" w:sz="0" w:space="0" w:color="auto"/>
      </w:divBdr>
    </w:div>
    <w:div w:id="190147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myintracomm.ec.europa.eu/corp/budget/financial-rules/legal-framework/internal-rules/Documents/2022-5-legislative-financial-statement-annex-en.doc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ebrd.com/documents/osg/limited-and-incremental-expansion-of-ebrd-geographic-scope.pdf" TargetMode="External"/><Relationship Id="rId2" Type="http://schemas.openxmlformats.org/officeDocument/2006/relationships/hyperlink" Target="file:///\\NET1.cec.eu.int\offline\082\aspegma\My%20Documents\ebrd.com\expansion-ebrd-geographic-scope.pdf" TargetMode="External"/><Relationship Id="rId1" Type="http://schemas.openxmlformats.org/officeDocument/2006/relationships/hyperlink" Target="https://www.ebrd.com/capital-increase-resolution.pdf" TargetMode="External"/><Relationship Id="rId6" Type="http://schemas.openxmlformats.org/officeDocument/2006/relationships/hyperlink" Target="https://www.ebrd.com/documents/osg/limited-and-incremental-expansion-of-ebrd-geographic-scope.pdf" TargetMode="External"/><Relationship Id="rId5" Type="http://schemas.openxmlformats.org/officeDocument/2006/relationships/hyperlink" Target="file:///\\NET1.cec.eu.int\offline\082\aspegma\My%20Documents\ebrd.com\expansion-ebrd-geographic-scope.pdf" TargetMode="External"/><Relationship Id="rId4" Type="http://schemas.openxmlformats.org/officeDocument/2006/relationships/hyperlink" Target="https://www.ebrd.com/capital-increase-resolutio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19" ma:contentTypeDescription="Create a new document in this library." ma:contentTypeScope="" ma:versionID="2d7ca50ab0fd944688bf7a513d960f31">
  <xsd:schema xmlns:xsd="http://www.w3.org/2001/XMLSchema" xmlns:xs="http://www.w3.org/2001/XMLSchema" xmlns:p="http://schemas.microsoft.com/office/2006/metadata/properties" xmlns:ns2="http://schemas.microsoft.com/sharepoint/v3/fields" xmlns:ns3="144c03d0-0f03-451f-9d46-5279004462a4" targetNamespace="http://schemas.microsoft.com/office/2006/metadata/properties" ma:root="true" ma:fieldsID="d5b5bd5ca145d117eddb7b8ba59277b5" ns2:_="" ns3:_="">
    <xsd:import namespace="http://schemas.microsoft.com/sharepoint/v3/fields"/>
    <xsd:import namespace="144c03d0-0f03-451f-9d46-5279004462a4"/>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B8E9DEAEFB414DAE5EC193F8A440AF" ma:contentTypeVersion="3" ma:contentTypeDescription="Create a new document." ma:contentTypeScope="" ma:versionID="4dc1c448264913ffe56b46c5647fa511">
  <xsd:schema xmlns:xsd="http://www.w3.org/2001/XMLSchema" xmlns:xs="http://www.w3.org/2001/XMLSchema" xmlns:p="http://schemas.microsoft.com/office/2006/metadata/properties" xmlns:ns3="3e74049f-b8a9-4e32-b231-e16b3efc928a" targetNamespace="http://schemas.microsoft.com/office/2006/metadata/properties" ma:root="true" ma:fieldsID="5f4f5c4db0a94c12f8b491d6fb8caa82" ns3:_="">
    <xsd:import namespace="3e74049f-b8a9-4e32-b231-e16b3efc928a"/>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4049f-b8a9-4e32-b231-e16b3efc92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4271C-7EBC-4D34-BED9-8F162C019230}">
  <ds:schemaRefs>
    <ds:schemaRef ds:uri="http://schemas.microsoft.com/office/2006/metadata/properties"/>
    <ds:schemaRef ds:uri="http://schemas.microsoft.com/office/infopath/2007/PartnerControls"/>
    <ds:schemaRef ds:uri="144c03d0-0f03-451f-9d46-5279004462a4"/>
    <ds:schemaRef ds:uri="http://schemas.microsoft.com/sharepoint/v3/fields"/>
  </ds:schemaRefs>
</ds:datastoreItem>
</file>

<file path=customXml/itemProps2.xml><?xml version="1.0" encoding="utf-8"?>
<ds:datastoreItem xmlns:ds="http://schemas.openxmlformats.org/officeDocument/2006/customXml" ds:itemID="{1BA20F1A-F232-4A59-BFED-BA487B2B3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662378-E45A-4233-90FE-59DA1E8B46F3}">
  <ds:schemaRefs>
    <ds:schemaRef ds:uri="http://schemas.microsoft.com/sharepoint/v3/contenttype/forms"/>
  </ds:schemaRefs>
</ds:datastoreItem>
</file>

<file path=customXml/itemProps4.xml><?xml version="1.0" encoding="utf-8"?>
<ds:datastoreItem xmlns:ds="http://schemas.openxmlformats.org/officeDocument/2006/customXml" ds:itemID="{1A1FD245-F5E3-48DD-A18F-977420E16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74049f-b8a9-4e32-b231-e16b3efc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46EB040-CD66-4930-B6E0-4DDB46094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30</TotalTime>
  <Pages>13</Pages>
  <Words>9960</Words>
  <Characters>56776</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24</cp:revision>
  <cp:lastPrinted>2023-11-23T17:42:00Z</cp:lastPrinted>
  <dcterms:created xsi:type="dcterms:W3CDTF">2024-01-16T09:38:00Z</dcterms:created>
  <dcterms:modified xsi:type="dcterms:W3CDTF">2024-02-01T15:40:00Z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2023-10-13T08:49:56Z</vt:lpwstr>
  </property>
  <property fmtid="{D5CDD505-2E9C-101B-9397-08002B2CF9AE}" pid="12" name="MSIP_Label_6bd9ddd1-4d20-43f6-abfa-fc3c07406f94_Method">
    <vt:lpwstr>Privileged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544010de-0af0-4ebc-aed7-a2a9d582b4b5</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DQCStatus">
    <vt:lpwstr>Green (DQC version 03)</vt:lpwstr>
  </property>
  <property name="OP_sanitized" fmtid="{D5CDD505-2E9C-101B-9397-08002B2CF9AE}" pid="19">
    <vt:lpwstr>True</vt:lpwstr>
  </property>
</Properties>
</file>