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FA1AD" w14:textId="0DB80AF7" w:rsidR="006E3D85" w:rsidRPr="009C296B" w:rsidRDefault="00B10741" w:rsidP="00B10741">
      <w:pPr>
        <w:pStyle w:val="Pagedecouverture"/>
        <w:rPr>
          <w:noProof/>
        </w:rPr>
      </w:pPr>
      <w:bookmarkStart w:id="0" w:name="LW_BM_COVERPAGE"/>
      <w:r>
        <w:rPr>
          <w:noProof/>
        </w:rPr>
        <w:pict w14:anchorId="6501A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85E5677-C78C-4565-B356-BA9181BE2F27" style="width:455.25pt;height:324pt">
            <v:imagedata r:id="rId7" o:title=""/>
          </v:shape>
        </w:pict>
      </w:r>
    </w:p>
    <w:bookmarkEnd w:id="0"/>
    <w:p w14:paraId="71A2B309" w14:textId="77777777" w:rsidR="006E3D85" w:rsidRPr="009C296B" w:rsidRDefault="006E3D85" w:rsidP="006E3D85">
      <w:pPr>
        <w:rPr>
          <w:noProof/>
        </w:rPr>
        <w:sectPr w:rsidR="006E3D85" w:rsidRPr="009C296B" w:rsidSect="00B10741">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6BC16720" w14:textId="2FB0EB30" w:rsidR="006E3D85" w:rsidRPr="009C296B" w:rsidRDefault="006E3D85" w:rsidP="006E3D85">
      <w:pPr>
        <w:jc w:val="both"/>
        <w:rPr>
          <w:rFonts w:ascii="Times New Roman" w:hAnsi="Times New Roman"/>
          <w:noProof/>
          <w:sz w:val="24"/>
        </w:rPr>
      </w:pPr>
      <w:bookmarkStart w:id="1" w:name="_GoBack"/>
      <w:bookmarkEnd w:id="1"/>
      <w:r>
        <w:rPr>
          <w:rFonts w:ascii="Times New Roman" w:hAnsi="Times New Roman"/>
          <w:noProof/>
          <w:sz w:val="24"/>
        </w:rPr>
        <w:lastRenderedPageBreak/>
        <w:t xml:space="preserve">Este </w:t>
      </w:r>
      <w:bookmarkStart w:id="2" w:name="_Hlk156728730"/>
      <w:r>
        <w:rPr>
          <w:rFonts w:ascii="Times New Roman" w:hAnsi="Times New Roman"/>
          <w:noProof/>
          <w:sz w:val="24"/>
        </w:rPr>
        <w:t>informe presenta las principales conclusiones de la evaluación de 2024 de las agencias de la UE Eurofound, Cedefop, ETF y EU-OSHA para el período 2017-2022.</w:t>
      </w:r>
    </w:p>
    <w:p w14:paraId="759E2E22" w14:textId="313B529A" w:rsidR="006E3D85" w:rsidRPr="009C296B" w:rsidRDefault="006E3D85" w:rsidP="006E3D85">
      <w:pPr>
        <w:jc w:val="both"/>
        <w:rPr>
          <w:rFonts w:ascii="Times New Roman" w:hAnsi="Times New Roman"/>
          <w:noProof/>
          <w:sz w:val="24"/>
        </w:rPr>
      </w:pPr>
      <w:r>
        <w:rPr>
          <w:rFonts w:ascii="Times New Roman" w:hAnsi="Times New Roman"/>
          <w:noProof/>
          <w:sz w:val="24"/>
        </w:rPr>
        <w:t>La Comisión Europea puso en marcha la evaluación de las cuatro agencias en 2022. En consonancia con las directrices de la Comisión para la mejora de la legislación, en la evaluación se examinaron la eficacia, la eficiencia, la pertinencia, la coherencia y la complementariedad de las agencias y el valor añadido de la UE.</w:t>
      </w:r>
    </w:p>
    <w:p w14:paraId="505CC3C3" w14:textId="4BDCA055" w:rsidR="006E3D85" w:rsidRPr="009C296B" w:rsidRDefault="006E3D85" w:rsidP="006E3D85">
      <w:pPr>
        <w:jc w:val="both"/>
        <w:rPr>
          <w:rFonts w:ascii="Times New Roman" w:hAnsi="Times New Roman"/>
          <w:b/>
          <w:noProof/>
          <w:sz w:val="24"/>
        </w:rPr>
      </w:pPr>
      <w:r>
        <w:rPr>
          <w:rFonts w:ascii="Times New Roman" w:hAnsi="Times New Roman"/>
          <w:b/>
          <w:noProof/>
          <w:sz w:val="24"/>
        </w:rPr>
        <w:t>I. ANTECEDENTES Y CONTENIDO</w:t>
      </w:r>
    </w:p>
    <w:p w14:paraId="11CF01F5" w14:textId="6F303C2D" w:rsidR="006E3D85" w:rsidRPr="009C296B" w:rsidRDefault="006E3D85" w:rsidP="006E3D85">
      <w:pPr>
        <w:jc w:val="both"/>
        <w:rPr>
          <w:rFonts w:ascii="Times New Roman" w:hAnsi="Times New Roman"/>
          <w:noProof/>
          <w:sz w:val="24"/>
        </w:rPr>
      </w:pPr>
      <w:r>
        <w:rPr>
          <w:rFonts w:ascii="Times New Roman" w:hAnsi="Times New Roman"/>
          <w:noProof/>
          <w:sz w:val="24"/>
        </w:rPr>
        <w:t xml:space="preserve">La evaluación se centró en cuatro agencias descentralizadas de la UE que trabajan en el ámbito de la política de empleo y asuntos sociales, a saber: </w:t>
      </w:r>
      <w:bookmarkStart w:id="3" w:name="_Hlk156803382"/>
      <w:r>
        <w:rPr>
          <w:rFonts w:ascii="Times New Roman" w:hAnsi="Times New Roman"/>
          <w:noProof/>
          <w:sz w:val="24"/>
        </w:rPr>
        <w:t>la Fundación Europea para la Mejora de las Condiciones de Vida y de Trabajo (</w:t>
      </w:r>
      <w:r>
        <w:rPr>
          <w:rFonts w:ascii="Times New Roman" w:hAnsi="Times New Roman"/>
          <w:noProof/>
          <w:sz w:val="24"/>
          <w:u w:val="single"/>
        </w:rPr>
        <w:t>Eurofound</w:t>
      </w:r>
      <w:r>
        <w:rPr>
          <w:rFonts w:ascii="Times New Roman" w:hAnsi="Times New Roman"/>
          <w:noProof/>
          <w:sz w:val="24"/>
        </w:rPr>
        <w:t>); el Centro Europeo para el Desarrollo de la Formación Profesional (</w:t>
      </w:r>
      <w:r>
        <w:rPr>
          <w:rFonts w:ascii="Times New Roman" w:hAnsi="Times New Roman"/>
          <w:noProof/>
          <w:sz w:val="24"/>
          <w:u w:val="single"/>
        </w:rPr>
        <w:t>Cedefop</w:t>
      </w:r>
      <w:r>
        <w:rPr>
          <w:rFonts w:ascii="Times New Roman" w:hAnsi="Times New Roman"/>
          <w:noProof/>
          <w:sz w:val="24"/>
        </w:rPr>
        <w:t>); la Fundación Europea de Formación (</w:t>
      </w:r>
      <w:r>
        <w:rPr>
          <w:rFonts w:ascii="Times New Roman" w:hAnsi="Times New Roman"/>
          <w:noProof/>
          <w:sz w:val="24"/>
          <w:u w:val="single"/>
        </w:rPr>
        <w:t>ETF</w:t>
      </w:r>
      <w:r>
        <w:rPr>
          <w:rFonts w:ascii="Times New Roman" w:hAnsi="Times New Roman"/>
          <w:noProof/>
          <w:sz w:val="24"/>
        </w:rPr>
        <w:t>); y la Agencia Europea para la Seguridad y la Salud en el Trabajo (</w:t>
      </w:r>
      <w:r>
        <w:rPr>
          <w:rFonts w:ascii="Times New Roman" w:hAnsi="Times New Roman"/>
          <w:noProof/>
          <w:sz w:val="24"/>
          <w:u w:val="single"/>
        </w:rPr>
        <w:t>EU-OSHA</w:t>
      </w:r>
      <w:r>
        <w:rPr>
          <w:rFonts w:ascii="Times New Roman" w:hAnsi="Times New Roman"/>
          <w:noProof/>
          <w:sz w:val="24"/>
        </w:rPr>
        <w:t>).</w:t>
      </w:r>
      <w:bookmarkEnd w:id="3"/>
      <w:r>
        <w:rPr>
          <w:rFonts w:ascii="Times New Roman" w:hAnsi="Times New Roman"/>
          <w:noProof/>
          <w:sz w:val="24"/>
        </w:rPr>
        <w:t xml:space="preserve"> La Autoridad Laboral Europea (ALE) no forma parte de esta evaluación, debido a su fase inicial de desarrollo y a su evaluación en curso de 2024, tal como se establece en su Reglamento de base.</w:t>
      </w:r>
    </w:p>
    <w:p w14:paraId="4D8ADFFB" w14:textId="241CD158" w:rsidR="006E3D85" w:rsidRPr="009C296B" w:rsidRDefault="006E3D85" w:rsidP="006E3D85">
      <w:pPr>
        <w:jc w:val="both"/>
        <w:rPr>
          <w:rFonts w:ascii="Times New Roman" w:hAnsi="Times New Roman"/>
          <w:noProof/>
          <w:sz w:val="24"/>
        </w:rPr>
      </w:pPr>
      <w:r>
        <w:rPr>
          <w:rFonts w:ascii="Times New Roman" w:hAnsi="Times New Roman"/>
          <w:noProof/>
          <w:sz w:val="24"/>
        </w:rPr>
        <w:t>El principal objetivo de las cuatro agencias es generar conocimientos y contribuir al proceso político en sus respectivos ámbitos de actividad. Con arreglo a sus respectivos Reglamentos de base:</w:t>
      </w:r>
    </w:p>
    <w:p w14:paraId="63BF8110" w14:textId="19C830A1" w:rsidR="006E3D85" w:rsidRPr="009C296B" w:rsidRDefault="006E3D85" w:rsidP="006E3D85">
      <w:pPr>
        <w:ind w:left="720"/>
        <w:jc w:val="both"/>
        <w:rPr>
          <w:rFonts w:ascii="Times New Roman" w:hAnsi="Times New Roman"/>
          <w:noProof/>
          <w:sz w:val="24"/>
        </w:rPr>
      </w:pPr>
      <w:r>
        <w:rPr>
          <w:rFonts w:ascii="Times New Roman" w:hAnsi="Times New Roman"/>
          <w:noProof/>
          <w:sz w:val="24"/>
        </w:rPr>
        <w:t xml:space="preserve">1) </w:t>
      </w:r>
      <w:r>
        <w:rPr>
          <w:rFonts w:ascii="Times New Roman" w:hAnsi="Times New Roman"/>
          <w:b/>
          <w:noProof/>
          <w:sz w:val="24"/>
          <w:u w:val="single"/>
        </w:rPr>
        <w:t>Eurofound</w:t>
      </w:r>
      <w:r>
        <w:rPr>
          <w:rFonts w:ascii="Times New Roman" w:hAnsi="Times New Roman"/>
          <w:noProof/>
          <w:sz w:val="24"/>
        </w:rPr>
        <w:t xml:space="preserve"> tiene por objeto realizar investigaciones y compartir conocimientos en materia de empleo, relaciones laborales, condiciones de vida y condiciones de trabajo, para contribuir al objetivo de elaborar y aplicar políticas destinadas a mejorar dichas condiciones.</w:t>
      </w:r>
    </w:p>
    <w:p w14:paraId="44C73DB2" w14:textId="557D5111" w:rsidR="006E3D85" w:rsidRPr="009C296B" w:rsidRDefault="006E3D85" w:rsidP="006E3D85">
      <w:pPr>
        <w:ind w:left="720"/>
        <w:jc w:val="both"/>
        <w:rPr>
          <w:rFonts w:ascii="Times New Roman" w:hAnsi="Times New Roman"/>
          <w:noProof/>
          <w:sz w:val="24"/>
        </w:rPr>
      </w:pPr>
      <w:r>
        <w:rPr>
          <w:rFonts w:ascii="Times New Roman" w:hAnsi="Times New Roman"/>
          <w:noProof/>
          <w:sz w:val="24"/>
        </w:rPr>
        <w:t xml:space="preserve">2) El </w:t>
      </w:r>
      <w:r>
        <w:rPr>
          <w:rFonts w:ascii="Times New Roman" w:hAnsi="Times New Roman"/>
          <w:b/>
          <w:noProof/>
          <w:sz w:val="24"/>
          <w:u w:val="single"/>
        </w:rPr>
        <w:t>Cedefop</w:t>
      </w:r>
      <w:r>
        <w:rPr>
          <w:rFonts w:ascii="Times New Roman" w:hAnsi="Times New Roman"/>
          <w:noProof/>
          <w:sz w:val="24"/>
        </w:rPr>
        <w:t xml:space="preserve"> tiene por objeto apoyar la promoción, el desarrollo y la aplicación de políticas de la UE de alta calidad y basadas en datos contrastados en materia de educación y formación profesionales (EFP), capacidades y cualificaciones.</w:t>
      </w:r>
    </w:p>
    <w:p w14:paraId="2A96AB4F" w14:textId="12B9374D" w:rsidR="006E3D85" w:rsidRPr="009C296B" w:rsidRDefault="006E3D85" w:rsidP="006E3D85">
      <w:pPr>
        <w:ind w:left="720"/>
        <w:jc w:val="both"/>
        <w:rPr>
          <w:rFonts w:ascii="Times New Roman" w:hAnsi="Times New Roman"/>
          <w:noProof/>
          <w:sz w:val="24"/>
        </w:rPr>
      </w:pPr>
      <w:r>
        <w:rPr>
          <w:rFonts w:ascii="Times New Roman" w:hAnsi="Times New Roman"/>
          <w:noProof/>
          <w:sz w:val="24"/>
        </w:rPr>
        <w:t xml:space="preserve">3) La </w:t>
      </w:r>
      <w:r>
        <w:rPr>
          <w:rFonts w:ascii="Times New Roman" w:hAnsi="Times New Roman"/>
          <w:b/>
          <w:noProof/>
          <w:sz w:val="24"/>
          <w:u w:val="single"/>
        </w:rPr>
        <w:t>ETF</w:t>
      </w:r>
      <w:r>
        <w:rPr>
          <w:rFonts w:ascii="Times New Roman" w:hAnsi="Times New Roman"/>
          <w:noProof/>
          <w:sz w:val="24"/>
        </w:rPr>
        <w:t xml:space="preserve"> pretende contribuir, en el contexto de las políticas de relaciones exteriores de la UE, al desarrollo del capital humano de los países asociados mediante la mejora de la EFP y los sistemas de aprendizaje permanente.</w:t>
      </w:r>
    </w:p>
    <w:p w14:paraId="7136C0C6" w14:textId="311A8473" w:rsidR="006E3D85" w:rsidRPr="009C296B" w:rsidRDefault="006E3D85" w:rsidP="006E3D85">
      <w:pPr>
        <w:ind w:left="720"/>
        <w:jc w:val="both"/>
        <w:rPr>
          <w:rFonts w:ascii="Times New Roman" w:hAnsi="Times New Roman"/>
          <w:noProof/>
          <w:sz w:val="24"/>
        </w:rPr>
      </w:pPr>
      <w:r>
        <w:rPr>
          <w:rFonts w:ascii="Times New Roman" w:hAnsi="Times New Roman"/>
          <w:noProof/>
          <w:sz w:val="24"/>
        </w:rPr>
        <w:t xml:space="preserve">4) La </w:t>
      </w:r>
      <w:r>
        <w:rPr>
          <w:rFonts w:ascii="Times New Roman" w:hAnsi="Times New Roman"/>
          <w:b/>
          <w:noProof/>
          <w:sz w:val="24"/>
          <w:u w:val="single"/>
        </w:rPr>
        <w:t>EU-OSHA</w:t>
      </w:r>
      <w:r>
        <w:rPr>
          <w:rFonts w:ascii="Times New Roman" w:hAnsi="Times New Roman"/>
          <w:noProof/>
          <w:sz w:val="24"/>
        </w:rPr>
        <w:t xml:space="preserve"> tiene por objeto proporcionar información, análisis y herramientas fiables y pertinentes para promover conocimientos técnicos, sensibilizar y compartir información y buenas prácticas en materia de salud y seguridad en el trabajo.</w:t>
      </w:r>
    </w:p>
    <w:p w14:paraId="5C8E6C48" w14:textId="48979749" w:rsidR="006E3D85" w:rsidRPr="009C296B" w:rsidRDefault="006E3D85" w:rsidP="006E3D85">
      <w:pPr>
        <w:jc w:val="both"/>
        <w:rPr>
          <w:rFonts w:ascii="Times New Roman" w:hAnsi="Times New Roman"/>
          <w:noProof/>
          <w:sz w:val="24"/>
        </w:rPr>
      </w:pPr>
      <w:r>
        <w:rPr>
          <w:rFonts w:ascii="Times New Roman" w:hAnsi="Times New Roman"/>
          <w:noProof/>
          <w:sz w:val="24"/>
        </w:rPr>
        <w:t>El objetivo general de esta evaluación era examinar los resultados individuales de las agencias en el período 2017-2022 y determinar posibles sinergias y mejoras de la eficiencia.</w:t>
      </w:r>
    </w:p>
    <w:p w14:paraId="5EDCE5D7" w14:textId="76EAB178" w:rsidR="006E3D85" w:rsidRPr="009C296B" w:rsidRDefault="006E3D85" w:rsidP="006E3D85">
      <w:pPr>
        <w:jc w:val="both"/>
        <w:rPr>
          <w:rFonts w:ascii="Times New Roman" w:hAnsi="Times New Roman"/>
          <w:b/>
          <w:noProof/>
          <w:sz w:val="24"/>
        </w:rPr>
      </w:pPr>
      <w:r>
        <w:rPr>
          <w:rFonts w:ascii="Times New Roman" w:hAnsi="Times New Roman"/>
          <w:b/>
          <w:noProof/>
          <w:sz w:val="24"/>
        </w:rPr>
        <w:t xml:space="preserve">II. CONCLUSIONES PRINCIPALES </w:t>
      </w:r>
    </w:p>
    <w:bookmarkEnd w:id="2"/>
    <w:p w14:paraId="5B6A4138" w14:textId="77777777" w:rsidR="006E3D85" w:rsidRPr="009C296B" w:rsidRDefault="006E3D85" w:rsidP="006E3D85">
      <w:pPr>
        <w:jc w:val="both"/>
        <w:rPr>
          <w:rFonts w:ascii="Times New Roman" w:hAnsi="Times New Roman"/>
          <w:noProof/>
          <w:sz w:val="24"/>
          <w:u w:val="single"/>
        </w:rPr>
      </w:pPr>
      <w:r>
        <w:rPr>
          <w:rFonts w:ascii="Times New Roman" w:hAnsi="Times New Roman"/>
          <w:b/>
          <w:noProof/>
          <w:sz w:val="24"/>
          <w:u w:val="single"/>
        </w:rPr>
        <w:t>II.1. Eficacia</w:t>
      </w:r>
    </w:p>
    <w:p w14:paraId="1654F290" w14:textId="7741932A" w:rsidR="006E3D85" w:rsidRPr="009C296B" w:rsidRDefault="006E3D85" w:rsidP="006E3D85">
      <w:pPr>
        <w:jc w:val="both"/>
        <w:rPr>
          <w:rFonts w:ascii="Times New Roman" w:hAnsi="Times New Roman"/>
          <w:noProof/>
          <w:sz w:val="24"/>
        </w:rPr>
      </w:pPr>
      <w:bookmarkStart w:id="4" w:name="_Hlk156825838"/>
      <w:r>
        <w:rPr>
          <w:rFonts w:ascii="Times New Roman" w:hAnsi="Times New Roman"/>
          <w:noProof/>
          <w:sz w:val="24"/>
        </w:rPr>
        <w:t xml:space="preserve">Las cuatro agencias funcionaron eficazmente durante el período de evaluación 2017-2022 y </w:t>
      </w:r>
      <w:r>
        <w:rPr>
          <w:rFonts w:ascii="Times New Roman" w:hAnsi="Times New Roman"/>
          <w:b/>
          <w:noProof/>
          <w:sz w:val="24"/>
        </w:rPr>
        <w:t>alcanzaron en gran medida muchos de sus objetivos</w:t>
      </w:r>
      <w:r>
        <w:rPr>
          <w:rFonts w:ascii="Times New Roman" w:hAnsi="Times New Roman"/>
          <w:noProof/>
          <w:sz w:val="24"/>
        </w:rPr>
        <w:t>. No obstante, hay margen de mejora en determinados ámbitos, como se destaca en la sección III, sobre las experiencias extraídas.</w:t>
      </w:r>
    </w:p>
    <w:bookmarkEnd w:id="4"/>
    <w:p w14:paraId="53EA4365" w14:textId="2207DCAE" w:rsidR="006E3D85" w:rsidRPr="009C296B" w:rsidRDefault="006E3D85" w:rsidP="006E3D85">
      <w:pPr>
        <w:jc w:val="both"/>
        <w:rPr>
          <w:rFonts w:ascii="Times New Roman" w:hAnsi="Times New Roman"/>
          <w:noProof/>
          <w:sz w:val="24"/>
        </w:rPr>
      </w:pPr>
      <w:r>
        <w:rPr>
          <w:rFonts w:ascii="Times New Roman" w:hAnsi="Times New Roman"/>
          <w:noProof/>
          <w:sz w:val="24"/>
        </w:rPr>
        <w:lastRenderedPageBreak/>
        <w:t xml:space="preserve">Las cuatro agencias </w:t>
      </w:r>
      <w:r>
        <w:rPr>
          <w:rFonts w:ascii="Times New Roman" w:hAnsi="Times New Roman"/>
          <w:b/>
          <w:noProof/>
          <w:sz w:val="24"/>
        </w:rPr>
        <w:t>ejecutaron satisfactoriamente sus programas de trabajo</w:t>
      </w:r>
      <w:r>
        <w:rPr>
          <w:rFonts w:ascii="Times New Roman" w:hAnsi="Times New Roman"/>
          <w:noProof/>
          <w:sz w:val="24"/>
        </w:rPr>
        <w:t xml:space="preserve"> a pesar de las limitaciones presupuestarias y de personal. La calidad de los resultados de las agencias y la utilización de dichos resultados por las partes interesadas fueron elevadas. Estos resultados </w:t>
      </w:r>
      <w:r>
        <w:rPr>
          <w:rFonts w:ascii="Times New Roman" w:hAnsi="Times New Roman"/>
          <w:b/>
          <w:noProof/>
          <w:sz w:val="24"/>
        </w:rPr>
        <w:t>orientaron a los responsables políticos de la UE (así como a los de los países asociados de la ETF)</w:t>
      </w:r>
      <w:r>
        <w:rPr>
          <w:rFonts w:ascii="Times New Roman" w:hAnsi="Times New Roman"/>
          <w:noProof/>
          <w:sz w:val="24"/>
        </w:rPr>
        <w:t xml:space="preserve"> y contribuyeron a la elaboración de las políticas de la UE y a su ejecución en los Estados miembros de la UE.</w:t>
      </w:r>
    </w:p>
    <w:p w14:paraId="2148EDDE" w14:textId="5D0DEC34" w:rsidR="007F395B" w:rsidRPr="007F395B" w:rsidRDefault="006E3D85" w:rsidP="007F395B">
      <w:pPr>
        <w:jc w:val="both"/>
        <w:rPr>
          <w:rFonts w:ascii="Times New Roman" w:hAnsi="Times New Roman" w:cs="Times New Roman"/>
          <w:noProof/>
          <w:sz w:val="24"/>
          <w:szCs w:val="24"/>
        </w:rPr>
      </w:pPr>
      <w:r>
        <w:rPr>
          <w:rFonts w:ascii="Times New Roman" w:hAnsi="Times New Roman"/>
          <w:noProof/>
          <w:sz w:val="24"/>
        </w:rPr>
        <w:t xml:space="preserve">Las agencias </w:t>
      </w:r>
      <w:r>
        <w:rPr>
          <w:rFonts w:ascii="Times New Roman" w:hAnsi="Times New Roman"/>
          <w:b/>
          <w:noProof/>
          <w:sz w:val="24"/>
        </w:rPr>
        <w:t>mostraron su capacidad para adaptarse a circunstancias difíciles.</w:t>
      </w:r>
      <w:r>
        <w:rPr>
          <w:rFonts w:ascii="Times New Roman" w:hAnsi="Times New Roman"/>
          <w:noProof/>
          <w:sz w:val="24"/>
        </w:rPr>
        <w:t xml:space="preserve"> Han respondido de forma satisfactoria, en el marco de sus mandatos, a acontecimientos imprevistos; por ejemplo, han apoyado la respuesta de la UE a la pandemia de COVID-19 y la guerra de agresión de Rusia contra Ucrania. Revisaron sus procesos internos y su enfoque temático, y produjeron resultados pertinentes y efectivos en respuesta a estos acontecimientos, a fin de ayudar a las partes interesadas a hacer frente a los nuevos retos. Además, han incorporado cada vez más consideraciones climáticas y medioambientales a sus actividades para garantizar que sus resultados contribuyan a objetivos de sostenibilidad más amplios. </w:t>
      </w:r>
    </w:p>
    <w:p w14:paraId="71D0FAC7" w14:textId="60F29C1C" w:rsidR="006E3D85" w:rsidRPr="009C296B" w:rsidRDefault="006E3D85" w:rsidP="006E3D85">
      <w:pPr>
        <w:jc w:val="both"/>
        <w:rPr>
          <w:rFonts w:ascii="Times New Roman" w:hAnsi="Times New Roman"/>
          <w:noProof/>
          <w:sz w:val="24"/>
        </w:rPr>
      </w:pPr>
      <w:r>
        <w:rPr>
          <w:rFonts w:ascii="Times New Roman" w:hAnsi="Times New Roman"/>
          <w:noProof/>
          <w:sz w:val="24"/>
        </w:rPr>
        <w:t>Aunque las agencias han mejorado sus actividades de comunicación y difusión (por ejemplo, a través de un mayor uso de los medios sociales y una mayor presencia en ellos), la evaluación puso de relieve que había margen de mejora en este ámbito.</w:t>
      </w:r>
    </w:p>
    <w:p w14:paraId="7931A431" w14:textId="77777777"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II.2. Eficiencia</w:t>
      </w:r>
    </w:p>
    <w:p w14:paraId="0074EE68" w14:textId="49DEAE31" w:rsidR="006E3D85" w:rsidRPr="009C296B" w:rsidRDefault="005B0CE9" w:rsidP="006E3D85">
      <w:pPr>
        <w:jc w:val="both"/>
        <w:rPr>
          <w:rFonts w:ascii="Times New Roman" w:hAnsi="Times New Roman"/>
          <w:noProof/>
          <w:sz w:val="24"/>
        </w:rPr>
      </w:pPr>
      <w:r>
        <w:rPr>
          <w:rFonts w:ascii="Times New Roman" w:hAnsi="Times New Roman"/>
          <w:b/>
          <w:noProof/>
          <w:sz w:val="24"/>
        </w:rPr>
        <w:t>En general, las cuatro agencias fueron eficaces en cuanto a los costes</w:t>
      </w:r>
      <w:r>
        <w:rPr>
          <w:rFonts w:ascii="Times New Roman" w:hAnsi="Times New Roman"/>
          <w:noProof/>
          <w:sz w:val="24"/>
        </w:rPr>
        <w:t>. Lograron la mayoría de sus objetivos de ejecución, al tiempo que se redujeron los costes y se mantuvo la calidad de su trabajo.</w:t>
      </w:r>
    </w:p>
    <w:p w14:paraId="20EAAFF9" w14:textId="30F7AC97" w:rsidR="006E3D85" w:rsidRPr="009C296B" w:rsidRDefault="006E3D85" w:rsidP="006E3D85">
      <w:pPr>
        <w:jc w:val="both"/>
        <w:rPr>
          <w:rFonts w:ascii="Times New Roman" w:hAnsi="Times New Roman"/>
          <w:noProof/>
          <w:sz w:val="24"/>
        </w:rPr>
      </w:pPr>
      <w:r>
        <w:rPr>
          <w:rFonts w:ascii="Times New Roman" w:hAnsi="Times New Roman"/>
          <w:b/>
          <w:noProof/>
          <w:sz w:val="24"/>
        </w:rPr>
        <w:t>Las agencias adoptaron distintas medidas de ahorro de costes para mejorar la relación coste/eficacia</w:t>
      </w:r>
      <w:r>
        <w:rPr>
          <w:rFonts w:ascii="Times New Roman" w:hAnsi="Times New Roman"/>
          <w:noProof/>
          <w:sz w:val="24"/>
        </w:rPr>
        <w:t xml:space="preserve"> (por ejemplo, servicios de contratación y contabilidad compartidos, determinación de resultados en los que pueden compartirse los costes e inversión en medidas que generen ahorros a largo plazo). El aumento de la digitalización durante la pandemia de COVID-19 también contribuyó al ahorro de costes.</w:t>
      </w:r>
    </w:p>
    <w:p w14:paraId="666DB308" w14:textId="023EE762" w:rsidR="006E3D85" w:rsidRPr="009C296B" w:rsidRDefault="006E3D85" w:rsidP="006E3D85">
      <w:pPr>
        <w:jc w:val="both"/>
        <w:rPr>
          <w:rFonts w:ascii="Times New Roman" w:hAnsi="Times New Roman"/>
          <w:b/>
          <w:noProof/>
          <w:sz w:val="24"/>
        </w:rPr>
      </w:pPr>
      <w:r>
        <w:rPr>
          <w:rFonts w:ascii="Times New Roman" w:hAnsi="Times New Roman"/>
          <w:noProof/>
          <w:sz w:val="24"/>
        </w:rPr>
        <w:t xml:space="preserve">Sin embargo, </w:t>
      </w:r>
      <w:r>
        <w:rPr>
          <w:rFonts w:ascii="Times New Roman" w:hAnsi="Times New Roman"/>
          <w:b/>
          <w:noProof/>
          <w:sz w:val="24"/>
        </w:rPr>
        <w:t>las cuatro agencias tienen potencial para</w:t>
      </w:r>
      <w:r>
        <w:rPr>
          <w:rFonts w:ascii="Times New Roman" w:hAnsi="Times New Roman"/>
          <w:noProof/>
          <w:sz w:val="24"/>
        </w:rPr>
        <w:t>:</w:t>
      </w:r>
    </w:p>
    <w:p w14:paraId="197A1B81" w14:textId="326CF97A" w:rsidR="006E3D85" w:rsidRPr="009C296B" w:rsidRDefault="006E3D85" w:rsidP="007F395B">
      <w:pPr>
        <w:jc w:val="both"/>
        <w:rPr>
          <w:rFonts w:ascii="Times New Roman" w:hAnsi="Times New Roman"/>
          <w:noProof/>
          <w:sz w:val="24"/>
        </w:rPr>
      </w:pPr>
      <w:r>
        <w:rPr>
          <w:rFonts w:ascii="Times New Roman" w:hAnsi="Times New Roman"/>
          <w:noProof/>
          <w:sz w:val="24"/>
        </w:rPr>
        <w:t xml:space="preserve">a) </w:t>
      </w:r>
      <w:r>
        <w:rPr>
          <w:rFonts w:ascii="Times New Roman" w:hAnsi="Times New Roman"/>
          <w:i/>
          <w:noProof/>
          <w:sz w:val="24"/>
        </w:rPr>
        <w:t>seguir reduciendo la carga administrativa y simplificando los procesos</w:t>
      </w:r>
      <w:r>
        <w:rPr>
          <w:rFonts w:ascii="Times New Roman" w:hAnsi="Times New Roman"/>
          <w:noProof/>
          <w:sz w:val="24"/>
        </w:rPr>
        <w:t>. Esto podría lograrse, por ejemplo, mediante el fomento de una mayor cooperación entre agencias (por ejemplo, creando nuevas oportunidades de contratación conjunta y estableciendo oportunidades de cooperación en los ámbitos de la investigación y las encuestas).</w:t>
      </w:r>
    </w:p>
    <w:p w14:paraId="7C7DDAB5" w14:textId="4BBB23A9" w:rsidR="006E3D85" w:rsidRPr="009C296B" w:rsidRDefault="006E3D85" w:rsidP="00B621B1">
      <w:pPr>
        <w:jc w:val="both"/>
        <w:rPr>
          <w:rFonts w:ascii="Times New Roman" w:hAnsi="Times New Roman"/>
          <w:b/>
          <w:noProof/>
          <w:sz w:val="24"/>
        </w:rPr>
      </w:pPr>
      <w:r>
        <w:rPr>
          <w:rFonts w:ascii="Times New Roman" w:hAnsi="Times New Roman"/>
          <w:noProof/>
          <w:sz w:val="24"/>
        </w:rPr>
        <w:t xml:space="preserve">b) </w:t>
      </w:r>
      <w:r>
        <w:rPr>
          <w:rFonts w:ascii="Times New Roman" w:hAnsi="Times New Roman"/>
          <w:i/>
          <w:noProof/>
          <w:sz w:val="24"/>
        </w:rPr>
        <w:t>seguir mejorando los sistemas de seguimiento</w:t>
      </w:r>
      <w:r>
        <w:rPr>
          <w:rFonts w:ascii="Times New Roman" w:hAnsi="Times New Roman"/>
          <w:noProof/>
          <w:sz w:val="24"/>
        </w:rPr>
        <w:t xml:space="preserve"> para medir mejor el alcance de éxito. Esto podría incluir el establecimiento de indicadores clave de rendimiento adecuados con objetivos, la elaboración de indicadores comunes entre las agencias y el aumento del seguimiento de los resultados a nivel nacional.</w:t>
      </w:r>
    </w:p>
    <w:p w14:paraId="033C5076" w14:textId="0B63135E" w:rsidR="006E3D85" w:rsidRPr="009C296B" w:rsidRDefault="006E3D85" w:rsidP="006E3D85">
      <w:pPr>
        <w:jc w:val="both"/>
        <w:rPr>
          <w:rFonts w:ascii="Times New Roman" w:hAnsi="Times New Roman"/>
          <w:noProof/>
          <w:sz w:val="24"/>
        </w:rPr>
      </w:pPr>
      <w:r>
        <w:rPr>
          <w:rFonts w:ascii="Times New Roman" w:hAnsi="Times New Roman"/>
          <w:noProof/>
          <w:sz w:val="24"/>
        </w:rPr>
        <w:lastRenderedPageBreak/>
        <w:t xml:space="preserve">La </w:t>
      </w:r>
      <w:bookmarkStart w:id="5" w:name="_Hlk177630189"/>
      <w:r>
        <w:rPr>
          <w:rFonts w:ascii="Times New Roman" w:hAnsi="Times New Roman"/>
          <w:noProof/>
          <w:sz w:val="24"/>
        </w:rPr>
        <w:t>gobernanza</w:t>
      </w:r>
      <w:bookmarkEnd w:id="5"/>
      <w:r>
        <w:rPr>
          <w:rFonts w:ascii="Times New Roman" w:hAnsi="Times New Roman"/>
          <w:noProof/>
          <w:sz w:val="24"/>
        </w:rPr>
        <w:t xml:space="preserve"> de las agencias tripartitas</w:t>
      </w:r>
      <w:r w:rsidR="006546B0" w:rsidRPr="009C296B">
        <w:rPr>
          <w:rStyle w:val="FootnoteReference"/>
          <w:rFonts w:ascii="Times New Roman" w:hAnsi="Times New Roman"/>
          <w:noProof/>
          <w:sz w:val="24"/>
        </w:rPr>
        <w:footnoteReference w:id="2"/>
      </w:r>
      <w:r>
        <w:rPr>
          <w:rFonts w:ascii="Times New Roman" w:hAnsi="Times New Roman"/>
          <w:noProof/>
          <w:sz w:val="24"/>
        </w:rPr>
        <w:t xml:space="preserve"> ofrece importantes ventajas, pero también crea algunas ineficiencias. Ofrece ventajas como la representación, la dirección estratégica y el intercambio de conocimientos facilitados por representantes gubernamentales y de los interlocutores sociales de todos los Estados miembros de la UE. Al mismo tiempo, debido a su mayor tamaño, los consejos de administración de las agencias tienen unos costes de funcionamiento relativamente elevados, las reuniones tienden a ser largas y difíciles de dirigir, la toma de decisiones puede resultar complicada y su gestión general puede resultar engorrosa.</w:t>
      </w:r>
    </w:p>
    <w:p w14:paraId="3BE77856" w14:textId="77777777"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II.3. Coherencia</w:t>
      </w:r>
    </w:p>
    <w:p w14:paraId="3A00614C" w14:textId="1CE7987E" w:rsidR="006E3D85" w:rsidRPr="009C296B" w:rsidRDefault="006E3D85" w:rsidP="006E3D85">
      <w:pPr>
        <w:jc w:val="both"/>
        <w:rPr>
          <w:rFonts w:ascii="Times New Roman" w:hAnsi="Times New Roman"/>
          <w:b/>
          <w:noProof/>
          <w:sz w:val="24"/>
        </w:rPr>
      </w:pPr>
      <w:r>
        <w:rPr>
          <w:rFonts w:ascii="Times New Roman" w:hAnsi="Times New Roman"/>
          <w:b/>
          <w:noProof/>
          <w:sz w:val="24"/>
        </w:rPr>
        <w:t>La cooperación entre las cuatro agencias se ha vuelto más activa, lo que ha permitido producir más resultados conjuntos, y el número de temas cubiertos ha aumentado.</w:t>
      </w:r>
      <w:r>
        <w:rPr>
          <w:rFonts w:ascii="Times New Roman" w:hAnsi="Times New Roman"/>
          <w:noProof/>
          <w:sz w:val="24"/>
        </w:rPr>
        <w:t xml:space="preserve"> Si bien las cuatro agencias trabajan en el ámbito del empleo y los asuntos sociales, la estrecha cooperación ha evitado la duplicación de actividades, ya que las agencias han complementado su trabajo en lugar de duplicarlo. En la evaluación actual no se ha encontrado ningún ejemplo de duplicación de actividades. </w:t>
      </w:r>
      <w:r>
        <w:rPr>
          <w:rFonts w:ascii="Times New Roman" w:hAnsi="Times New Roman"/>
          <w:b/>
          <w:noProof/>
          <w:sz w:val="24"/>
        </w:rPr>
        <w:t>La cooperación ha dado lugar a un mayor grado de coherencia entre las agencias.</w:t>
      </w:r>
    </w:p>
    <w:p w14:paraId="20206683" w14:textId="5B7B6665" w:rsidR="005642E4" w:rsidRPr="00B621B1" w:rsidRDefault="006E3D85" w:rsidP="005642E4">
      <w:pPr>
        <w:jc w:val="both"/>
        <w:rPr>
          <w:rFonts w:ascii="Times New Roman" w:hAnsi="Times New Roman"/>
          <w:noProof/>
          <w:sz w:val="24"/>
        </w:rPr>
      </w:pPr>
      <w:r>
        <w:rPr>
          <w:rFonts w:ascii="Times New Roman" w:hAnsi="Times New Roman"/>
          <w:noProof/>
          <w:sz w:val="24"/>
        </w:rPr>
        <w:t xml:space="preserve">Las conclusiones </w:t>
      </w:r>
      <w:bookmarkStart w:id="6" w:name="_Hlk168049523"/>
      <w:r>
        <w:rPr>
          <w:rFonts w:ascii="Times New Roman" w:hAnsi="Times New Roman"/>
          <w:noProof/>
          <w:sz w:val="24"/>
        </w:rPr>
        <w:t>de la evaluación anterior relativas a una posible fusión entre las cuatro agencias siguen siendo válidas. Aunque las agencias tienen algunos ámbitos de trabajo comunes, se ha logrado evitar la duplicación de actividades. Las opciones de fusión representan escenarios de alto riesgo que reflejan dificultades para equilibrar los efectos positivos y negativos, y la eficiencia puede mejorarse mediante una mayor cooperación.</w:t>
      </w:r>
    </w:p>
    <w:bookmarkEnd w:id="6"/>
    <w:p w14:paraId="3CDABFD6" w14:textId="77C53188" w:rsidR="006E3D85" w:rsidRPr="009C296B" w:rsidRDefault="0057339C" w:rsidP="006E3D85">
      <w:pPr>
        <w:jc w:val="both"/>
        <w:rPr>
          <w:rFonts w:ascii="Times New Roman" w:hAnsi="Times New Roman"/>
          <w:noProof/>
          <w:sz w:val="24"/>
        </w:rPr>
      </w:pPr>
      <w:r>
        <w:rPr>
          <w:rFonts w:ascii="Times New Roman" w:hAnsi="Times New Roman"/>
          <w:noProof/>
          <w:sz w:val="24"/>
        </w:rPr>
        <w:t>La estrecha colaboración ha permitido que el trabajo de las cuatro agencias se ajuste perfectamente a las políticas de la UE y a las prioridades de la DG Empleo, Asuntos Sociales e Inclusión (DG EMPL) de la Comisión, aunque aún podría haber una cooperación más estrecha. Las cuatro agencias también han desarrollado una mayor cooperación con otras agencias descentralizadas de la UE y organizaciones internacionales pertinentes.</w:t>
      </w:r>
    </w:p>
    <w:p w14:paraId="2EFE5A7F" w14:textId="77777777"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II.4. Valor añadido de la UE</w:t>
      </w:r>
    </w:p>
    <w:p w14:paraId="6EE2873C" w14:textId="630A2983" w:rsidR="006E3D85" w:rsidRPr="009C296B" w:rsidRDefault="006E3D85" w:rsidP="006E3D85">
      <w:pPr>
        <w:jc w:val="both"/>
        <w:rPr>
          <w:rFonts w:ascii="Times New Roman" w:hAnsi="Times New Roman"/>
          <w:noProof/>
          <w:sz w:val="24"/>
        </w:rPr>
      </w:pPr>
      <w:r>
        <w:rPr>
          <w:rFonts w:ascii="Times New Roman" w:hAnsi="Times New Roman"/>
          <w:b/>
          <w:noProof/>
          <w:sz w:val="24"/>
        </w:rPr>
        <w:t>Las cuatro agencias generaron valor añadido de la UE</w:t>
      </w:r>
      <w:r>
        <w:rPr>
          <w:rFonts w:ascii="Times New Roman" w:hAnsi="Times New Roman"/>
          <w:noProof/>
          <w:sz w:val="24"/>
        </w:rPr>
        <w:t xml:space="preserve"> de acuerdo con el mandato de cada una de ellas.</w:t>
      </w:r>
    </w:p>
    <w:p w14:paraId="036B057B" w14:textId="3B9FA4E3" w:rsidR="006E3D85" w:rsidRPr="009C296B" w:rsidRDefault="006E3D85" w:rsidP="006E3D85">
      <w:pPr>
        <w:jc w:val="both"/>
        <w:rPr>
          <w:rFonts w:ascii="Times New Roman" w:hAnsi="Times New Roman"/>
          <w:noProof/>
          <w:sz w:val="24"/>
        </w:rPr>
      </w:pPr>
      <w:r>
        <w:rPr>
          <w:rFonts w:ascii="Times New Roman" w:hAnsi="Times New Roman"/>
          <w:noProof/>
          <w:sz w:val="24"/>
        </w:rPr>
        <w:t>Las partes interesadas agradecieron especialmente el valor añadido de la UE en cuanto a la calidad de la información producida, los conocimientos temáticos específicos no disponibles en ningún otro lugar y la dimensión UE de las publicaciones, encuestas y datos, así como la atención específica a las necesidades estratégicas de la UE.</w:t>
      </w:r>
    </w:p>
    <w:p w14:paraId="3BBDFCC0" w14:textId="3C3BA95E" w:rsidR="006E3D85" w:rsidRPr="009C296B" w:rsidRDefault="006E3D85" w:rsidP="006E3D85">
      <w:pPr>
        <w:jc w:val="both"/>
        <w:rPr>
          <w:rFonts w:ascii="Times New Roman" w:hAnsi="Times New Roman"/>
          <w:noProof/>
          <w:sz w:val="24"/>
        </w:rPr>
      </w:pPr>
      <w:r>
        <w:rPr>
          <w:rFonts w:ascii="Times New Roman" w:hAnsi="Times New Roman"/>
          <w:noProof/>
          <w:sz w:val="24"/>
        </w:rPr>
        <w:t>En general, la mayoría de las partes interesadas indicaron que el trabajo de las agencias sería difícil de sustituir y que la interrupción de sus actividades afectaría negativamente a su trabajo.</w:t>
      </w:r>
    </w:p>
    <w:p w14:paraId="02962D04" w14:textId="77777777"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II.5. Pertinencia</w:t>
      </w:r>
    </w:p>
    <w:p w14:paraId="5649AF12" w14:textId="6892DF9D" w:rsidR="006E3D85" w:rsidRPr="009C296B" w:rsidRDefault="006E3D85" w:rsidP="006E3D85">
      <w:pPr>
        <w:jc w:val="both"/>
        <w:rPr>
          <w:rFonts w:ascii="Times New Roman" w:hAnsi="Times New Roman"/>
          <w:noProof/>
          <w:sz w:val="24"/>
        </w:rPr>
      </w:pPr>
      <w:r>
        <w:rPr>
          <w:rFonts w:ascii="Times New Roman" w:hAnsi="Times New Roman"/>
          <w:b/>
          <w:noProof/>
          <w:sz w:val="24"/>
        </w:rPr>
        <w:lastRenderedPageBreak/>
        <w:t>Las actividades, objetivos y mandatos de las agencias fueron muy pertinentes y respondieron tanto a las necesidades estratégicas de la UE como a las necesidades de las partes interesadas.</w:t>
      </w:r>
      <w:r>
        <w:rPr>
          <w:rFonts w:ascii="Times New Roman" w:hAnsi="Times New Roman"/>
          <w:noProof/>
          <w:sz w:val="24"/>
        </w:rPr>
        <w:t xml:space="preserve"> Las políticas y áreas prioritarias de la UE quedaron reflejadas en los principales documentos de programación, y el trabajo de las agencias fue utilizado a menudo por las partes interesadas.</w:t>
      </w:r>
    </w:p>
    <w:p w14:paraId="63CE1D5B" w14:textId="4D7BC1CA" w:rsidR="006E3D85" w:rsidRPr="009C296B" w:rsidRDefault="006E3D85" w:rsidP="006E3D85">
      <w:pPr>
        <w:jc w:val="both"/>
        <w:rPr>
          <w:rFonts w:ascii="Times New Roman" w:hAnsi="Times New Roman"/>
          <w:noProof/>
          <w:sz w:val="24"/>
        </w:rPr>
      </w:pPr>
      <w:r>
        <w:rPr>
          <w:rFonts w:ascii="Times New Roman" w:hAnsi="Times New Roman"/>
          <w:noProof/>
          <w:sz w:val="24"/>
        </w:rPr>
        <w:t>Las agencias también lograron conservar su pertinencia mediante la realización de trabajos sobre la pandemia de COVID-19 y el apoyo a la actuación de la UE en respuesta a la guerra de agresión de Rusia contra Ucrania.</w:t>
      </w:r>
      <w:bookmarkStart w:id="7" w:name="_Hlk156807825"/>
    </w:p>
    <w:p w14:paraId="75491867" w14:textId="1FC64631" w:rsidR="006E3D85" w:rsidRPr="009C296B" w:rsidRDefault="006E3D85" w:rsidP="006E3D85">
      <w:pPr>
        <w:jc w:val="both"/>
        <w:rPr>
          <w:rFonts w:ascii="Times New Roman" w:hAnsi="Times New Roman"/>
          <w:noProof/>
          <w:sz w:val="24"/>
        </w:rPr>
      </w:pPr>
      <w:r>
        <w:rPr>
          <w:rFonts w:ascii="Times New Roman" w:hAnsi="Times New Roman"/>
          <w:noProof/>
          <w:sz w:val="24"/>
        </w:rPr>
        <w:t>Las agencias también respondieron de manera rápida y abierta a las recomendaciones de las auditorías.</w:t>
      </w:r>
    </w:p>
    <w:bookmarkEnd w:id="7"/>
    <w:p w14:paraId="103A1A49" w14:textId="76A76A5D" w:rsidR="006E3D85" w:rsidRPr="009C296B" w:rsidRDefault="006E3D85" w:rsidP="006E3D85">
      <w:pPr>
        <w:jc w:val="both"/>
        <w:rPr>
          <w:rFonts w:ascii="Times New Roman" w:hAnsi="Times New Roman"/>
          <w:b/>
          <w:noProof/>
          <w:sz w:val="24"/>
        </w:rPr>
      </w:pPr>
      <w:r>
        <w:rPr>
          <w:rFonts w:ascii="Times New Roman" w:hAnsi="Times New Roman"/>
          <w:b/>
          <w:noProof/>
          <w:sz w:val="24"/>
        </w:rPr>
        <w:t>III. ENSEÑANZAS EXTRAÍDAS</w:t>
      </w:r>
    </w:p>
    <w:p w14:paraId="200F2788" w14:textId="29CD6C37" w:rsidR="006E3D85" w:rsidRPr="009C296B" w:rsidRDefault="006E3D85" w:rsidP="006E3D85">
      <w:pPr>
        <w:jc w:val="both"/>
        <w:rPr>
          <w:rFonts w:ascii="Times New Roman" w:hAnsi="Times New Roman"/>
          <w:noProof/>
          <w:sz w:val="24"/>
        </w:rPr>
      </w:pPr>
      <w:r>
        <w:rPr>
          <w:rFonts w:ascii="Times New Roman" w:hAnsi="Times New Roman"/>
          <w:noProof/>
          <w:sz w:val="24"/>
        </w:rPr>
        <w:t>La evaluación recogió las enseñanzas extraídas con respecto a las cuatro agencias y a las agencias individuales.</w:t>
      </w:r>
    </w:p>
    <w:p w14:paraId="006C4B0D" w14:textId="3FE87844"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III.1 Enseñanzas extraídas generales para todas las agencias</w:t>
      </w:r>
    </w:p>
    <w:p w14:paraId="5587DF81" w14:textId="545A931B" w:rsidR="006E3D85" w:rsidRPr="009C296B" w:rsidRDefault="006E3D85" w:rsidP="006E3D85">
      <w:pPr>
        <w:jc w:val="both"/>
        <w:rPr>
          <w:rFonts w:ascii="Times New Roman" w:hAnsi="Times New Roman"/>
          <w:i/>
          <w:noProof/>
          <w:sz w:val="24"/>
          <w:u w:val="single"/>
        </w:rPr>
      </w:pPr>
      <w:r>
        <w:rPr>
          <w:rFonts w:ascii="Times New Roman" w:hAnsi="Times New Roman"/>
          <w:i/>
          <w:noProof/>
          <w:sz w:val="24"/>
          <w:u w:val="single"/>
        </w:rPr>
        <w:t>Eficacia</w:t>
      </w:r>
    </w:p>
    <w:p w14:paraId="58963107" w14:textId="30C25B7E" w:rsidR="006E3D85" w:rsidRPr="009C296B" w:rsidRDefault="006E3D85" w:rsidP="006E3D85">
      <w:pPr>
        <w:jc w:val="both"/>
        <w:rPr>
          <w:rFonts w:ascii="Times New Roman" w:hAnsi="Times New Roman"/>
          <w:noProof/>
          <w:sz w:val="24"/>
        </w:rPr>
      </w:pPr>
      <w:r>
        <w:rPr>
          <w:rFonts w:ascii="Times New Roman" w:hAnsi="Times New Roman"/>
          <w:noProof/>
          <w:sz w:val="24"/>
        </w:rPr>
        <w:t>Aunque la utilización y la calidad del trabajo de las agencias son elevadas, la comunicación y la divulgación podrían mejorarse aún más, por ejemplo, a través de un mayor compromiso a nivel nacional y la producción de resultados más personalizados.</w:t>
      </w:r>
    </w:p>
    <w:p w14:paraId="14E3C4B2" w14:textId="77777777" w:rsidR="006E3D85" w:rsidRPr="009C296B" w:rsidRDefault="006E3D85" w:rsidP="006E3D85">
      <w:pPr>
        <w:jc w:val="both"/>
        <w:rPr>
          <w:rFonts w:ascii="Times New Roman" w:hAnsi="Times New Roman"/>
          <w:i/>
          <w:noProof/>
          <w:sz w:val="24"/>
          <w:u w:val="single"/>
        </w:rPr>
      </w:pPr>
      <w:r>
        <w:rPr>
          <w:rFonts w:ascii="Times New Roman" w:hAnsi="Times New Roman"/>
          <w:i/>
          <w:noProof/>
          <w:sz w:val="24"/>
          <w:u w:val="single"/>
        </w:rPr>
        <w:t>Eficiencia</w:t>
      </w:r>
    </w:p>
    <w:p w14:paraId="00FD8A67" w14:textId="2B3CB09D" w:rsidR="006E3D85" w:rsidRPr="009C296B" w:rsidRDefault="006E3D85" w:rsidP="006E3D85">
      <w:pPr>
        <w:jc w:val="both"/>
        <w:rPr>
          <w:rFonts w:ascii="Times New Roman" w:hAnsi="Times New Roman"/>
          <w:noProof/>
          <w:sz w:val="24"/>
        </w:rPr>
      </w:pPr>
      <w:r>
        <w:rPr>
          <w:rFonts w:ascii="Times New Roman" w:hAnsi="Times New Roman"/>
          <w:noProof/>
          <w:sz w:val="24"/>
        </w:rPr>
        <w:t>Hay margen para aumentar la eficiencia por diversos medios. La priorización del trabajo, la simplificación de los procesos internos y el aumento de las reuniones híbridas o en línea, siempre que sea posible, podrían ser de gran ayuda.</w:t>
      </w:r>
    </w:p>
    <w:p w14:paraId="19B34B91" w14:textId="5E87E48E" w:rsidR="006E3D85" w:rsidRPr="009C296B" w:rsidRDefault="006E3D85" w:rsidP="006E3D85">
      <w:pPr>
        <w:jc w:val="both"/>
        <w:rPr>
          <w:rFonts w:ascii="Times New Roman" w:hAnsi="Times New Roman"/>
          <w:noProof/>
          <w:sz w:val="24"/>
        </w:rPr>
      </w:pPr>
      <w:r>
        <w:rPr>
          <w:rFonts w:ascii="Times New Roman" w:hAnsi="Times New Roman"/>
          <w:noProof/>
          <w:sz w:val="24"/>
        </w:rPr>
        <w:t>Además, si bien los mecanismos de control son eficaces y, en general, eficientes, la simplificación podría reducir la carga administrativa. Los sistemas de seguimiento, especialmente los indicadores clave de rendimiento, podrían mejorar considerablemente para medir con precisión la eficacia de las intervenciones de las agencias. Esto podría lograrse mediante la definición de objetivos SMART, la fijación sistemática de metas para todos los indicadores clave de rendimiento, el abordaje de las lagunas de datos, una mayor armonización de los indicadores en todas las agencias y la mejora del seguimiento de los resultados a nivel nacional.</w:t>
      </w:r>
    </w:p>
    <w:p w14:paraId="0E66AB5C" w14:textId="3739E917" w:rsidR="006E3D85" w:rsidRPr="009C296B" w:rsidRDefault="006E3D85" w:rsidP="006E3D85">
      <w:pPr>
        <w:jc w:val="both"/>
        <w:rPr>
          <w:rFonts w:ascii="Times New Roman" w:hAnsi="Times New Roman"/>
          <w:noProof/>
          <w:sz w:val="24"/>
        </w:rPr>
      </w:pPr>
      <w:r>
        <w:rPr>
          <w:rFonts w:ascii="Times New Roman" w:hAnsi="Times New Roman"/>
          <w:noProof/>
          <w:sz w:val="24"/>
        </w:rPr>
        <w:t xml:space="preserve">Eurofound, el Cedefop y la EU-OSHA podrían estudiar cómo abordar el equilibrio entre las necesidades de investigación y las restricciones presupuestarias, por ejemplo, mediante la </w:t>
      </w:r>
      <w:r>
        <w:rPr>
          <w:rFonts w:ascii="Times New Roman" w:hAnsi="Times New Roman"/>
          <w:i/>
          <w:noProof/>
          <w:sz w:val="24"/>
        </w:rPr>
        <w:t>financiación extrapresupuestaria</w:t>
      </w:r>
      <w:r>
        <w:rPr>
          <w:rFonts w:ascii="Times New Roman" w:hAnsi="Times New Roman"/>
          <w:noProof/>
          <w:sz w:val="24"/>
        </w:rPr>
        <w:t>, como hizo con éxito la ETF.</w:t>
      </w:r>
    </w:p>
    <w:p w14:paraId="10809A45" w14:textId="77777777" w:rsidR="006E3D85" w:rsidRPr="009C296B" w:rsidRDefault="006E3D85" w:rsidP="006E3D85">
      <w:pPr>
        <w:jc w:val="both"/>
        <w:rPr>
          <w:rFonts w:ascii="Times New Roman" w:hAnsi="Times New Roman"/>
          <w:i/>
          <w:noProof/>
          <w:sz w:val="24"/>
          <w:u w:val="single"/>
        </w:rPr>
      </w:pPr>
      <w:r>
        <w:rPr>
          <w:rFonts w:ascii="Times New Roman" w:hAnsi="Times New Roman"/>
          <w:i/>
          <w:noProof/>
          <w:sz w:val="24"/>
          <w:u w:val="single"/>
        </w:rPr>
        <w:t>Coherencia</w:t>
      </w:r>
    </w:p>
    <w:p w14:paraId="18AA0CBA" w14:textId="77777777" w:rsidR="00A941BB" w:rsidRPr="002E7F6F" w:rsidRDefault="00A941BB" w:rsidP="00A941BB">
      <w:pPr>
        <w:jc w:val="both"/>
        <w:rPr>
          <w:rFonts w:ascii="Times New Roman" w:hAnsi="Times New Roman"/>
          <w:noProof/>
          <w:sz w:val="24"/>
        </w:rPr>
      </w:pPr>
      <w:r>
        <w:rPr>
          <w:rFonts w:ascii="Times New Roman" w:hAnsi="Times New Roman"/>
          <w:noProof/>
          <w:sz w:val="24"/>
        </w:rPr>
        <w:t xml:space="preserve">La cooperación entre las agencias y la DG EMPL podría reforzarse aún más, en particular en los ámbitos temáticos pertinentes y a nivel operativo. </w:t>
      </w:r>
    </w:p>
    <w:p w14:paraId="30AB0EB7" w14:textId="76B5A3B4" w:rsidR="006E3D85" w:rsidRPr="002E7F6F" w:rsidRDefault="006E3D85" w:rsidP="006E3D85">
      <w:pPr>
        <w:jc w:val="both"/>
        <w:rPr>
          <w:rFonts w:ascii="Times New Roman" w:hAnsi="Times New Roman"/>
          <w:noProof/>
          <w:sz w:val="24"/>
        </w:rPr>
      </w:pPr>
      <w:r>
        <w:rPr>
          <w:rFonts w:ascii="Times New Roman" w:hAnsi="Times New Roman"/>
          <w:noProof/>
          <w:sz w:val="24"/>
        </w:rPr>
        <w:lastRenderedPageBreak/>
        <w:t>Las agencias podrían seguir estudiando la posibilidad de compartir servicios e instalaciones. La cooperación entre ellos en la labor política podría desarrollarse más y también podría beneficiarse de los debates con la Comisión sobre los ámbitos en los que la cooperación aporta el mayor valor añadido de la UE.</w:t>
      </w:r>
    </w:p>
    <w:p w14:paraId="2D6042CF" w14:textId="27DF5738" w:rsidR="006E3D85" w:rsidRPr="009C296B" w:rsidRDefault="006E3D85" w:rsidP="006E3D85">
      <w:pPr>
        <w:jc w:val="both"/>
        <w:rPr>
          <w:rFonts w:ascii="Times New Roman" w:hAnsi="Times New Roman"/>
          <w:noProof/>
          <w:sz w:val="24"/>
        </w:rPr>
      </w:pPr>
      <w:r>
        <w:rPr>
          <w:rFonts w:ascii="Times New Roman" w:hAnsi="Times New Roman"/>
          <w:noProof/>
          <w:sz w:val="24"/>
        </w:rPr>
        <w:t>En el caso de las previsiones sobre las capacidades y de la escasez de mano de obra, podría ser necesaria una mejor coordinación entre el Cedefop, Eurofound y la ALE para evitar duplicaciones y garantizar la exhaustividad y la coherencia, y al mismo tiempo debe considerarse el desarrollo de productos conjuntos en este ámbito.</w:t>
      </w:r>
    </w:p>
    <w:p w14:paraId="5D62172E" w14:textId="6D954644" w:rsidR="005323EC" w:rsidRPr="00B621B1" w:rsidRDefault="006E3D85" w:rsidP="005323EC">
      <w:pPr>
        <w:jc w:val="both"/>
        <w:rPr>
          <w:rFonts w:ascii="Times New Roman" w:hAnsi="Times New Roman" w:cs="Times New Roman"/>
          <w:strike/>
          <w:noProof/>
          <w:sz w:val="24"/>
          <w:szCs w:val="24"/>
        </w:rPr>
      </w:pPr>
      <w:r>
        <w:rPr>
          <w:rFonts w:ascii="Times New Roman" w:hAnsi="Times New Roman"/>
          <w:noProof/>
          <w:sz w:val="24"/>
        </w:rPr>
        <w:t>Las agencias podrían explorar un enfoque conjunto para colaborar con las partes interesadas nacionales y comparar sus experiencias.</w:t>
      </w:r>
    </w:p>
    <w:p w14:paraId="692BBB7C" w14:textId="77777777" w:rsidR="006E3D85" w:rsidRPr="009C296B" w:rsidRDefault="006E3D85" w:rsidP="006E3D85">
      <w:pPr>
        <w:jc w:val="both"/>
        <w:rPr>
          <w:rFonts w:ascii="Times New Roman" w:hAnsi="Times New Roman"/>
          <w:noProof/>
          <w:sz w:val="24"/>
          <w:u w:val="single"/>
        </w:rPr>
      </w:pPr>
      <w:r>
        <w:rPr>
          <w:rFonts w:ascii="Times New Roman" w:hAnsi="Times New Roman"/>
          <w:noProof/>
          <w:sz w:val="24"/>
          <w:u w:val="single"/>
        </w:rPr>
        <w:t>Valor añadido de la UE</w:t>
      </w:r>
    </w:p>
    <w:p w14:paraId="4DC46C32" w14:textId="0333E189" w:rsidR="006E3D85" w:rsidRPr="009C296B" w:rsidRDefault="006E3D85" w:rsidP="006E3D85">
      <w:pPr>
        <w:jc w:val="both"/>
        <w:rPr>
          <w:rFonts w:ascii="Times New Roman" w:hAnsi="Times New Roman"/>
          <w:noProof/>
          <w:sz w:val="24"/>
        </w:rPr>
      </w:pPr>
      <w:r>
        <w:rPr>
          <w:rFonts w:ascii="Times New Roman" w:hAnsi="Times New Roman"/>
          <w:noProof/>
          <w:sz w:val="24"/>
        </w:rPr>
        <w:t>Para aumentar aún más su valor añadido, las agencias podrían reforzar su visibilidad entre otras partes interesadas, como organizaciones no gubernamentales (ONG), e impulsar la divulgación del trabajo de las agencias.</w:t>
      </w:r>
    </w:p>
    <w:p w14:paraId="0377A671" w14:textId="77777777" w:rsidR="006E3D85" w:rsidRPr="009C296B" w:rsidRDefault="006E3D85" w:rsidP="006E3D85">
      <w:pPr>
        <w:jc w:val="both"/>
        <w:rPr>
          <w:rFonts w:ascii="Times New Roman" w:hAnsi="Times New Roman"/>
          <w:i/>
          <w:noProof/>
          <w:sz w:val="24"/>
          <w:u w:val="single"/>
        </w:rPr>
      </w:pPr>
      <w:r>
        <w:rPr>
          <w:rFonts w:ascii="Times New Roman" w:hAnsi="Times New Roman"/>
          <w:i/>
          <w:noProof/>
          <w:sz w:val="24"/>
          <w:u w:val="single"/>
        </w:rPr>
        <w:t>Pertinencia</w:t>
      </w:r>
    </w:p>
    <w:p w14:paraId="2038DC39" w14:textId="2BE87293" w:rsidR="006E3D85" w:rsidRPr="009C296B" w:rsidRDefault="006E3D85" w:rsidP="006E3D85">
      <w:pPr>
        <w:jc w:val="both"/>
        <w:rPr>
          <w:rFonts w:ascii="Times New Roman" w:hAnsi="Times New Roman"/>
          <w:noProof/>
          <w:sz w:val="24"/>
        </w:rPr>
      </w:pPr>
      <w:r>
        <w:rPr>
          <w:rFonts w:ascii="Times New Roman" w:hAnsi="Times New Roman"/>
          <w:noProof/>
          <w:sz w:val="24"/>
        </w:rPr>
        <w:t>Se consideró que los mandatos de las agencias eran pertinentes. Sin embargo, aunque ya trabajan en las «megatendencias» (por ejemplo, las transiciones digital y ecológica y el cambio demográfico), podrían centrarse más en las implicaciones del envejecimiento de la población.</w:t>
      </w:r>
    </w:p>
    <w:p w14:paraId="40653FC3" w14:textId="4906FAD9" w:rsidR="006E3D85" w:rsidRPr="009C296B" w:rsidRDefault="006E3D85" w:rsidP="006E3D85">
      <w:pPr>
        <w:jc w:val="both"/>
        <w:rPr>
          <w:rFonts w:ascii="Times New Roman" w:hAnsi="Times New Roman"/>
          <w:b/>
          <w:noProof/>
          <w:sz w:val="24"/>
        </w:rPr>
      </w:pPr>
      <w:r>
        <w:rPr>
          <w:rFonts w:ascii="Times New Roman" w:hAnsi="Times New Roman"/>
          <w:b/>
          <w:noProof/>
          <w:sz w:val="24"/>
        </w:rPr>
        <w:t>III.2. ENSEÑANZAS EXTRAÍDAS POR AGENCIA</w:t>
      </w:r>
    </w:p>
    <w:p w14:paraId="074BF981" w14:textId="77777777"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Eurofound</w:t>
      </w:r>
    </w:p>
    <w:p w14:paraId="08AF7F4A" w14:textId="2BD2317F" w:rsidR="006E3D85" w:rsidRPr="009C296B" w:rsidRDefault="006E3D85" w:rsidP="006E3D85">
      <w:pPr>
        <w:jc w:val="both"/>
        <w:rPr>
          <w:rFonts w:ascii="Times New Roman" w:hAnsi="Times New Roman"/>
          <w:noProof/>
          <w:sz w:val="24"/>
        </w:rPr>
      </w:pPr>
      <w:bookmarkStart w:id="8" w:name="_Hlk156826467"/>
      <w:r>
        <w:rPr>
          <w:rFonts w:ascii="Times New Roman" w:hAnsi="Times New Roman"/>
          <w:noProof/>
          <w:sz w:val="24"/>
        </w:rPr>
        <w:t>Eurofound podría utilizar más contenidos interactivos y visuales en formatos digitales. Podría proporcionar más orientación metodológica a las partes interesadas, además de aumentar la participación de estas en sus servicios y actividades.</w:t>
      </w:r>
    </w:p>
    <w:p w14:paraId="73E55B52" w14:textId="39C1A6BC" w:rsidR="00A603AC" w:rsidRPr="009C296B" w:rsidRDefault="006E3D85" w:rsidP="00A21D5D">
      <w:pPr>
        <w:jc w:val="both"/>
        <w:rPr>
          <w:rFonts w:ascii="Times New Roman" w:hAnsi="Times New Roman"/>
          <w:noProof/>
          <w:sz w:val="24"/>
        </w:rPr>
      </w:pPr>
      <w:r>
        <w:rPr>
          <w:rFonts w:ascii="Times New Roman" w:hAnsi="Times New Roman"/>
          <w:noProof/>
          <w:sz w:val="24"/>
        </w:rPr>
        <w:t>Eurofound también podría seguir reflexionando sobre la relación coste/calidad entre los métodos de encuestas en línea y presenciales</w:t>
      </w:r>
      <w:bookmarkStart w:id="9" w:name="_Hlk167984543"/>
      <w:r>
        <w:rPr>
          <w:rFonts w:ascii="Times New Roman" w:hAnsi="Times New Roman"/>
          <w:noProof/>
          <w:sz w:val="24"/>
        </w:rPr>
        <w:t xml:space="preserve">. Junto </w:t>
      </w:r>
      <w:bookmarkStart w:id="10" w:name="_Hlk167984479"/>
      <w:r>
        <w:rPr>
          <w:rFonts w:ascii="Times New Roman" w:hAnsi="Times New Roman"/>
          <w:noProof/>
          <w:sz w:val="24"/>
        </w:rPr>
        <w:t>con la Comisión y los interlocutores sociales, Eurofound podría revisar el enfoque sobre la realización de estudios de representatividad</w:t>
      </w:r>
      <w:bookmarkEnd w:id="9"/>
      <w:bookmarkEnd w:id="10"/>
      <w:r>
        <w:rPr>
          <w:rFonts w:ascii="Times New Roman" w:hAnsi="Times New Roman"/>
          <w:noProof/>
          <w:sz w:val="24"/>
        </w:rPr>
        <w:t xml:space="preserve">, como también se menciona en la </w:t>
      </w:r>
      <w:hyperlink r:id="rId14" w:history="1">
        <w:r>
          <w:rPr>
            <w:rStyle w:val="Hyperlink"/>
            <w:rFonts w:ascii="Times New Roman" w:hAnsi="Times New Roman"/>
            <w:noProof/>
            <w:sz w:val="24"/>
          </w:rPr>
          <w:t>Comunicación de la Comisión de 2023 sobre el refuerzo del diálogo social</w:t>
        </w:r>
      </w:hyperlink>
      <w:r>
        <w:rPr>
          <w:rFonts w:ascii="Times New Roman" w:hAnsi="Times New Roman"/>
          <w:noProof/>
          <w:sz w:val="24"/>
        </w:rPr>
        <w:t>.</w:t>
      </w:r>
    </w:p>
    <w:p w14:paraId="4FB300EA" w14:textId="27FE3436" w:rsidR="006E3D85" w:rsidRPr="009C296B" w:rsidRDefault="00DA50A6" w:rsidP="006E3D85">
      <w:pPr>
        <w:jc w:val="both"/>
        <w:rPr>
          <w:rFonts w:ascii="Times New Roman" w:hAnsi="Times New Roman"/>
          <w:noProof/>
          <w:sz w:val="24"/>
        </w:rPr>
      </w:pPr>
      <w:r>
        <w:rPr>
          <w:rFonts w:ascii="Times New Roman" w:hAnsi="Times New Roman"/>
          <w:noProof/>
          <w:sz w:val="24"/>
        </w:rPr>
        <w:t>También podrían emplearse directrices formales y un enfoque más sistemático para seguir mejorando la formación del personal.</w:t>
      </w:r>
    </w:p>
    <w:bookmarkEnd w:id="8"/>
    <w:p w14:paraId="2136F258" w14:textId="084A1B9B"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Cedefop</w:t>
      </w:r>
    </w:p>
    <w:p w14:paraId="7F3668B7" w14:textId="3E21C088" w:rsidR="00C272D6" w:rsidRDefault="00C272D6" w:rsidP="00C272D6">
      <w:pPr>
        <w:jc w:val="both"/>
        <w:rPr>
          <w:rFonts w:ascii="Times New Roman" w:hAnsi="Times New Roman"/>
          <w:noProof/>
          <w:sz w:val="24"/>
        </w:rPr>
      </w:pPr>
      <w:r>
        <w:rPr>
          <w:rFonts w:ascii="Times New Roman" w:hAnsi="Times New Roman"/>
          <w:noProof/>
          <w:sz w:val="24"/>
        </w:rPr>
        <w:t>Los acuerdos de trabajo del Consejo de Administración del Cedefop podrían beneficiarse de una revisión para aumentar la eficiencia</w:t>
      </w:r>
      <w:r>
        <w:rPr>
          <w:noProof/>
        </w:rPr>
        <w:t xml:space="preserve"> </w:t>
      </w:r>
      <w:r>
        <w:rPr>
          <w:rFonts w:ascii="Times New Roman" w:hAnsi="Times New Roman"/>
          <w:noProof/>
          <w:sz w:val="24"/>
        </w:rPr>
        <w:t xml:space="preserve">y la eficacia, incluida una orientación más clara de los puntos del orden del día hacia temas políticos en lugar de asuntos administrativos. </w:t>
      </w:r>
    </w:p>
    <w:p w14:paraId="4A377C99" w14:textId="2FE3FC4C" w:rsidR="00146673" w:rsidRDefault="00146673" w:rsidP="00146673">
      <w:pPr>
        <w:jc w:val="both"/>
        <w:rPr>
          <w:rFonts w:ascii="Times New Roman" w:hAnsi="Times New Roman"/>
          <w:noProof/>
          <w:sz w:val="24"/>
        </w:rPr>
      </w:pPr>
      <w:r>
        <w:rPr>
          <w:rFonts w:ascii="Times New Roman" w:hAnsi="Times New Roman"/>
          <w:noProof/>
          <w:sz w:val="24"/>
        </w:rPr>
        <w:lastRenderedPageBreak/>
        <w:t>El Cedefop podría cooperar y alinearse con otras agencias en materia de indicadores clave de rendimiento e introducir un indicador clave de rendimiento sobre una ejecución cuantitativa del programa de trabajo que se notificaría en los informes anuales de las agencias.</w:t>
      </w:r>
    </w:p>
    <w:p w14:paraId="44A2A1D9" w14:textId="292ED235" w:rsidR="00862430" w:rsidRDefault="00862430" w:rsidP="00862430">
      <w:pPr>
        <w:jc w:val="both"/>
        <w:rPr>
          <w:rFonts w:ascii="Times New Roman" w:hAnsi="Times New Roman" w:cs="Times New Roman"/>
          <w:noProof/>
          <w:sz w:val="24"/>
          <w:szCs w:val="24"/>
        </w:rPr>
      </w:pPr>
      <w:r>
        <w:rPr>
          <w:rFonts w:ascii="Times New Roman" w:hAnsi="Times New Roman"/>
          <w:noProof/>
          <w:sz w:val="24"/>
        </w:rPr>
        <w:t>El Cedefop podría plantearse dar más posibilidades a las partes interesadas ajenas al Consejo de Administración de aportar información sobre sus actividades (por ejemplo, proveedores de EFP) y de estudiar cómo hacer que sus servicios se correspondan en mayor medida con las necesidades de sus partes interesadas.</w:t>
      </w:r>
    </w:p>
    <w:p w14:paraId="4AF3AD9F" w14:textId="77777777" w:rsidR="00C272D6" w:rsidRPr="009C296B" w:rsidRDefault="00C272D6" w:rsidP="006E3D85">
      <w:pPr>
        <w:jc w:val="both"/>
        <w:rPr>
          <w:rFonts w:ascii="Times New Roman" w:hAnsi="Times New Roman"/>
          <w:noProof/>
          <w:sz w:val="24"/>
        </w:rPr>
      </w:pPr>
    </w:p>
    <w:p w14:paraId="7DBD8351" w14:textId="065F7EE2"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ETF</w:t>
      </w:r>
    </w:p>
    <w:p w14:paraId="6A63AE1D" w14:textId="594BB20D" w:rsidR="006E3D85" w:rsidRPr="009C296B" w:rsidRDefault="00F708CB" w:rsidP="006E3D85">
      <w:pPr>
        <w:jc w:val="both"/>
        <w:rPr>
          <w:rFonts w:ascii="Times New Roman" w:hAnsi="Times New Roman"/>
          <w:noProof/>
          <w:sz w:val="24"/>
        </w:rPr>
      </w:pPr>
      <w:r>
        <w:rPr>
          <w:rFonts w:ascii="Times New Roman" w:hAnsi="Times New Roman"/>
          <w:noProof/>
          <w:sz w:val="24"/>
        </w:rPr>
        <w:t>La ETF podría adaptar aún más su apoyo a las necesidades de los países asociados y a las de las partes interesadas, en particular las empresas y los interlocutores sociales. Esto podría lograrse mediante encuestas sobre satisfacción del usuario. La ETF también podría reflexionar sobre cómo dar un mejor apoyo a los países asociados que no participan en la vertiente voluntaria del Proceso de Turín (seguimiento en profundidad en todo el sistema de los progresos en el ámbito de la EFP).</w:t>
      </w:r>
    </w:p>
    <w:p w14:paraId="0D1B79C3" w14:textId="285B5D35" w:rsidR="006E3D85" w:rsidRPr="009C296B" w:rsidRDefault="00F708CB" w:rsidP="006E3D85">
      <w:pPr>
        <w:jc w:val="both"/>
        <w:rPr>
          <w:rFonts w:ascii="Times New Roman" w:hAnsi="Times New Roman"/>
          <w:noProof/>
          <w:sz w:val="24"/>
        </w:rPr>
      </w:pPr>
      <w:r>
        <w:rPr>
          <w:rFonts w:ascii="Times New Roman" w:hAnsi="Times New Roman"/>
          <w:noProof/>
          <w:sz w:val="24"/>
        </w:rPr>
        <w:t>La cooperación con la Comisión podría perfeccionarse mediante el desarrollo de un enfoque conjunto a largo plazo para centrar los esfuerzos y los recursos en las áreas de mayor impacto y necesidad. La ETF podría seguir cooperando con el Instituto Europeo de la Igualdad de Género (EIGE) en materia de igualdad de género, y con la ALE en los ámbitos pertinentes. La ETF también podría desarrollar la cooperación con agentes internacionales del desarrollo del capital humano.</w:t>
      </w:r>
    </w:p>
    <w:p w14:paraId="721ADE8A" w14:textId="4395C592" w:rsidR="006E3D85" w:rsidRPr="009C296B" w:rsidRDefault="00F708CB" w:rsidP="006E3D85">
      <w:pPr>
        <w:jc w:val="both"/>
        <w:rPr>
          <w:rFonts w:ascii="Times New Roman" w:hAnsi="Times New Roman"/>
          <w:noProof/>
          <w:sz w:val="24"/>
        </w:rPr>
      </w:pPr>
      <w:r>
        <w:rPr>
          <w:rFonts w:ascii="Times New Roman" w:hAnsi="Times New Roman"/>
          <w:noProof/>
          <w:sz w:val="24"/>
        </w:rPr>
        <w:t>Asimismo, la ETF podría trabajar para mejorar el equilibrio geográfico y de género entre su personal y buscar formas de mejorar el seguimiento de sus resultados.</w:t>
      </w:r>
    </w:p>
    <w:p w14:paraId="0BD856E3" w14:textId="77777777" w:rsidR="006E3D85" w:rsidRPr="009C296B" w:rsidRDefault="006E3D85" w:rsidP="006E3D85">
      <w:pPr>
        <w:jc w:val="both"/>
        <w:rPr>
          <w:rFonts w:ascii="Times New Roman" w:hAnsi="Times New Roman"/>
          <w:b/>
          <w:noProof/>
          <w:sz w:val="24"/>
          <w:u w:val="single"/>
        </w:rPr>
      </w:pPr>
      <w:r>
        <w:rPr>
          <w:rFonts w:ascii="Times New Roman" w:hAnsi="Times New Roman"/>
          <w:b/>
          <w:noProof/>
          <w:sz w:val="24"/>
          <w:u w:val="single"/>
        </w:rPr>
        <w:t>EU-OSHA</w:t>
      </w:r>
    </w:p>
    <w:p w14:paraId="0589F499" w14:textId="76B5FC8A" w:rsidR="006E3D85" w:rsidRPr="009C296B" w:rsidRDefault="006E3D85" w:rsidP="006E3D85">
      <w:pPr>
        <w:jc w:val="both"/>
        <w:rPr>
          <w:rFonts w:ascii="Times New Roman" w:hAnsi="Times New Roman"/>
          <w:noProof/>
          <w:sz w:val="24"/>
        </w:rPr>
      </w:pPr>
      <w:r>
        <w:rPr>
          <w:rFonts w:ascii="Times New Roman" w:hAnsi="Times New Roman"/>
          <w:noProof/>
          <w:sz w:val="24"/>
        </w:rPr>
        <w:t xml:space="preserve">La EU-OSHA podría perfeccionar su labor en varios ámbitos específicos y con distintos públicos destinatarios. También podría aumentar su repercusión estudiando </w:t>
      </w:r>
      <w:bookmarkStart w:id="11" w:name="_Hlk156811849"/>
      <w:r>
        <w:rPr>
          <w:rFonts w:ascii="Times New Roman" w:hAnsi="Times New Roman"/>
          <w:noProof/>
          <w:sz w:val="24"/>
        </w:rPr>
        <w:t>la forma de seguir apoyando a los países menos avanzados en materia de seguridad e higiene en el trabajo.</w:t>
      </w:r>
    </w:p>
    <w:p w14:paraId="1879328E" w14:textId="40DAA366" w:rsidR="006E3D85" w:rsidRPr="009C296B" w:rsidRDefault="00125DF5" w:rsidP="006E3D85">
      <w:pPr>
        <w:jc w:val="both"/>
        <w:rPr>
          <w:rFonts w:ascii="Times New Roman" w:hAnsi="Times New Roman"/>
          <w:noProof/>
          <w:sz w:val="24"/>
        </w:rPr>
      </w:pPr>
      <w:r>
        <w:rPr>
          <w:rFonts w:ascii="Times New Roman" w:hAnsi="Times New Roman"/>
          <w:noProof/>
          <w:sz w:val="24"/>
        </w:rPr>
        <w:t>La EU-OSHA podría desarrollar aún más su cooperación con la Comisión, intensificar los esfuerzos para compartir los resultados de las investigaciones en las publicaciones de la Comisión y aumentar la visibilidad de su trabajo a través de la Red Europea para las Empresas de la DG GROW de la Comisión.</w:t>
      </w:r>
    </w:p>
    <w:p w14:paraId="2686E686" w14:textId="01FA525E" w:rsidR="00A80FDA" w:rsidRPr="009C296B" w:rsidRDefault="00125DF5">
      <w:pPr>
        <w:rPr>
          <w:noProof/>
        </w:rPr>
      </w:pPr>
      <w:r>
        <w:rPr>
          <w:rFonts w:ascii="Times New Roman" w:hAnsi="Times New Roman"/>
          <w:noProof/>
          <w:sz w:val="24"/>
        </w:rPr>
        <w:t>La EU-OSHA también podría reforzar su cooperación con las otras tres agencias incluidas en la evaluación y con la ALE. Asimismo, podría mejorar varios procesos internos específicos para aumentar la eficacia en cuanto a los costes, sobre todo en relación con la traducción y la contratación.</w:t>
      </w:r>
      <w:bookmarkEnd w:id="11"/>
    </w:p>
    <w:sectPr w:rsidR="00A80FDA" w:rsidRPr="009C296B" w:rsidSect="006E3D8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13898" w14:textId="77777777" w:rsidR="00064C0B" w:rsidRPr="00664412" w:rsidRDefault="00064C0B" w:rsidP="006E3D85">
      <w:pPr>
        <w:spacing w:after="0" w:line="240" w:lineRule="auto"/>
      </w:pPr>
      <w:r w:rsidRPr="00664412">
        <w:separator/>
      </w:r>
    </w:p>
  </w:endnote>
  <w:endnote w:type="continuationSeparator" w:id="0">
    <w:p w14:paraId="69C6DC4B" w14:textId="77777777" w:rsidR="00064C0B" w:rsidRPr="00664412" w:rsidRDefault="00064C0B" w:rsidP="006E3D85">
      <w:pPr>
        <w:spacing w:after="0" w:line="240" w:lineRule="auto"/>
      </w:pPr>
      <w:r w:rsidRPr="00664412">
        <w:continuationSeparator/>
      </w:r>
    </w:p>
  </w:endnote>
  <w:endnote w:type="continuationNotice" w:id="1">
    <w:p w14:paraId="09E2BC7C" w14:textId="77777777" w:rsidR="00064C0B" w:rsidRDefault="00064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915A1" w14:textId="24830B04" w:rsidR="00B10741" w:rsidRPr="00B10741" w:rsidRDefault="00B10741" w:rsidP="00B10741">
    <w:pPr>
      <w:pStyle w:val="FooterCoverPage"/>
      <w:rPr>
        <w:rFonts w:ascii="Arial" w:hAnsi="Arial" w:cs="Arial"/>
        <w:b/>
        <w:sz w:val="48"/>
      </w:rPr>
    </w:pPr>
    <w:r w:rsidRPr="00B10741">
      <w:rPr>
        <w:rFonts w:ascii="Arial" w:hAnsi="Arial" w:cs="Arial"/>
        <w:b/>
        <w:sz w:val="48"/>
      </w:rPr>
      <w:t>ES</w:t>
    </w:r>
    <w:r w:rsidRPr="00B10741">
      <w:rPr>
        <w:rFonts w:ascii="Arial" w:hAnsi="Arial" w:cs="Arial"/>
        <w:b/>
        <w:sz w:val="48"/>
      </w:rPr>
      <w:tab/>
    </w:r>
    <w:r w:rsidRPr="00B10741">
      <w:rPr>
        <w:rFonts w:ascii="Arial" w:hAnsi="Arial" w:cs="Arial"/>
        <w:b/>
        <w:sz w:val="48"/>
      </w:rPr>
      <w:tab/>
    </w:r>
    <w:r w:rsidRPr="00B10741">
      <w:tab/>
    </w:r>
    <w:r w:rsidRPr="00B10741">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BB5B" w14:textId="051CF0D5" w:rsidR="00B10741" w:rsidRPr="00B10741" w:rsidRDefault="00B10741" w:rsidP="00B10741">
    <w:pPr>
      <w:pStyle w:val="FooterCoverPage"/>
      <w:rPr>
        <w:rFonts w:ascii="Arial" w:hAnsi="Arial" w:cs="Arial"/>
        <w:b/>
        <w:sz w:val="48"/>
      </w:rPr>
    </w:pPr>
    <w:r w:rsidRPr="00B10741">
      <w:rPr>
        <w:rFonts w:ascii="Arial" w:hAnsi="Arial" w:cs="Arial"/>
        <w:b/>
        <w:sz w:val="48"/>
      </w:rPr>
      <w:t>ES</w:t>
    </w:r>
    <w:r w:rsidRPr="00B10741">
      <w:rPr>
        <w:rFonts w:ascii="Arial" w:hAnsi="Arial" w:cs="Arial"/>
        <w:b/>
        <w:sz w:val="48"/>
      </w:rPr>
      <w:tab/>
    </w:r>
    <w:r w:rsidRPr="00B10741">
      <w:rPr>
        <w:rFonts w:ascii="Arial" w:hAnsi="Arial" w:cs="Arial"/>
        <w:b/>
        <w:sz w:val="48"/>
      </w:rPr>
      <w:tab/>
    </w:r>
    <w:r w:rsidRPr="00B10741">
      <w:tab/>
    </w:r>
    <w:r w:rsidRPr="00B10741">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EA2F" w14:textId="77777777" w:rsidR="00B10741" w:rsidRPr="00B10741" w:rsidRDefault="00B10741" w:rsidP="00B1074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361E" w14:textId="77777777" w:rsidR="006E3D85" w:rsidRPr="00664412" w:rsidRDefault="006E3D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57003"/>
      <w:docPartObj>
        <w:docPartGallery w:val="Page Numbers (Bottom of Page)"/>
        <w:docPartUnique/>
      </w:docPartObj>
    </w:sdtPr>
    <w:sdtEndPr/>
    <w:sdtContent>
      <w:p w14:paraId="6A1DE7D5" w14:textId="0403E9D8" w:rsidR="006E3D85" w:rsidRPr="00664412" w:rsidRDefault="006E3D85">
        <w:pPr>
          <w:pStyle w:val="Footer"/>
          <w:jc w:val="right"/>
        </w:pPr>
        <w:r w:rsidRPr="00664412">
          <w:fldChar w:fldCharType="begin"/>
        </w:r>
        <w:r w:rsidRPr="00664412">
          <w:instrText xml:space="preserve"> PAGE   \* MERGEFORMAT </w:instrText>
        </w:r>
        <w:r w:rsidRPr="00664412">
          <w:fldChar w:fldCharType="separate"/>
        </w:r>
        <w:r w:rsidR="00B10741">
          <w:rPr>
            <w:noProof/>
          </w:rPr>
          <w:t>1</w:t>
        </w:r>
        <w:r w:rsidRPr="00664412">
          <w:fldChar w:fldCharType="end"/>
        </w:r>
      </w:p>
    </w:sdtContent>
  </w:sdt>
  <w:p w14:paraId="11B29B11" w14:textId="77777777" w:rsidR="006E3D85" w:rsidRPr="00664412" w:rsidRDefault="006E3D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85A1" w14:textId="77777777" w:rsidR="006E3D85" w:rsidRPr="00664412" w:rsidRDefault="006E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EE83E" w14:textId="77777777" w:rsidR="00064C0B" w:rsidRPr="00664412" w:rsidRDefault="00064C0B" w:rsidP="006E3D85">
      <w:pPr>
        <w:spacing w:after="0" w:line="240" w:lineRule="auto"/>
      </w:pPr>
      <w:r w:rsidRPr="00664412">
        <w:separator/>
      </w:r>
    </w:p>
  </w:footnote>
  <w:footnote w:type="continuationSeparator" w:id="0">
    <w:p w14:paraId="1B3A8464" w14:textId="77777777" w:rsidR="00064C0B" w:rsidRPr="00664412" w:rsidRDefault="00064C0B" w:rsidP="006E3D85">
      <w:pPr>
        <w:spacing w:after="0" w:line="240" w:lineRule="auto"/>
      </w:pPr>
      <w:r w:rsidRPr="00664412">
        <w:continuationSeparator/>
      </w:r>
    </w:p>
  </w:footnote>
  <w:footnote w:type="continuationNotice" w:id="1">
    <w:p w14:paraId="22ECECBD" w14:textId="77777777" w:rsidR="00064C0B" w:rsidRDefault="00064C0B">
      <w:pPr>
        <w:spacing w:after="0" w:line="240" w:lineRule="auto"/>
      </w:pPr>
    </w:p>
  </w:footnote>
  <w:footnote w:id="2">
    <w:p w14:paraId="087712F0" w14:textId="2B2D51CB" w:rsidR="006546B0" w:rsidRPr="009C296B" w:rsidRDefault="006546B0">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El Cedefop, Eurofound, la EU-OSHA.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66AA" w14:textId="77777777" w:rsidR="00B10741" w:rsidRPr="00B10741" w:rsidRDefault="00B10741" w:rsidP="00B1074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0AA98" w14:textId="77777777" w:rsidR="00B10741" w:rsidRPr="00B10741" w:rsidRDefault="00B10741" w:rsidP="00B1074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656C9" w14:textId="77777777" w:rsidR="00B10741" w:rsidRPr="00B10741" w:rsidRDefault="00B10741" w:rsidP="00B1074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B010" w14:textId="77777777" w:rsidR="006E3D85" w:rsidRPr="00664412" w:rsidRDefault="006E3D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FE0D" w14:textId="77777777" w:rsidR="006E3D85" w:rsidRPr="00664412" w:rsidRDefault="006E3D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6E314" w14:textId="77777777" w:rsidR="006E3D85" w:rsidRPr="00664412" w:rsidRDefault="006E3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EPKit_DocumentHasBeenSaved" w:val="true"/>
    <w:docVar w:name="LW_CORRIGENDUM" w:val="&lt;UNUSED&gt;"/>
    <w:docVar w:name="LW_COVERPAGE_EXISTS" w:val="True"/>
    <w:docVar w:name="LW_COVERPAGE_GUID" w:val="A85E5677-C78C-4565-B356-BA9181BE2F27"/>
    <w:docVar w:name="LW_COVERPAGE_TYPE" w:val="1"/>
    <w:docVar w:name="LW_CROSSREFERENCE" w:val="{SWD(2024) 222 final}"/>
    <w:docVar w:name="LW_DocType" w:val="NORMAL"/>
    <w:docVar w:name="LW_EMISSION" w:val="27.9.2024"/>
    <w:docVar w:name="LW_EMISSION_ISODATE" w:val="2024-09-27"/>
    <w:docVar w:name="LW_EMISSION_LOCATION" w:val="BRX"/>
    <w:docVar w:name="LW_EMISSION_PREFIX" w:val="Bruselas, "/>
    <w:docVar w:name="LW_EMISSION_SUFFIX" w:val=" "/>
    <w:docVar w:name="LW_ID_DOCTYPE_NONLW" w:val="CP-007"/>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4) 41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valuación de las agencias de la UE Eurofound, Cedefop, ETF y EU-OSHA"/>
    <w:docVar w:name="LW_TYPE.DOC.CP" w:val="INFORME DE LA COMISIÓN AL PARLAMENTO EUROPEO, AL CONSEJO Y AL COMITÉ ECONÓMICO Y SOCIAL EUROPEO"/>
    <w:docVar w:name="LwApiVersions" w:val="LW4CoDe 1.24.5.0; LW 9.0, Build 20240221"/>
    <w:docVar w:name="Stamp" w:val="\\dossiers.dgt.cec.eu.int\dossiers\EMPL\EMPL-2024-01361\EMPL-2024-01361-00-01-EN-EDT-00.202407051649258504279.DOCX"/>
  </w:docVars>
  <w:rsids>
    <w:rsidRoot w:val="006E3D85"/>
    <w:rsid w:val="00003113"/>
    <w:rsid w:val="00011B00"/>
    <w:rsid w:val="00012C03"/>
    <w:rsid w:val="00016D66"/>
    <w:rsid w:val="000402FC"/>
    <w:rsid w:val="00064C0B"/>
    <w:rsid w:val="000745CC"/>
    <w:rsid w:val="00074E15"/>
    <w:rsid w:val="000774D8"/>
    <w:rsid w:val="00093CB6"/>
    <w:rsid w:val="000A3E1B"/>
    <w:rsid w:val="000A7803"/>
    <w:rsid w:val="000C111C"/>
    <w:rsid w:val="000F1890"/>
    <w:rsid w:val="000F5879"/>
    <w:rsid w:val="00100AD8"/>
    <w:rsid w:val="00106C8A"/>
    <w:rsid w:val="001172BE"/>
    <w:rsid w:val="00125DF5"/>
    <w:rsid w:val="001279C9"/>
    <w:rsid w:val="00132663"/>
    <w:rsid w:val="001401F4"/>
    <w:rsid w:val="00145083"/>
    <w:rsid w:val="00146673"/>
    <w:rsid w:val="001468BB"/>
    <w:rsid w:val="00154F3C"/>
    <w:rsid w:val="001566F5"/>
    <w:rsid w:val="001575EA"/>
    <w:rsid w:val="0018337A"/>
    <w:rsid w:val="00197931"/>
    <w:rsid w:val="001A2CA2"/>
    <w:rsid w:val="001B22B9"/>
    <w:rsid w:val="001C35A2"/>
    <w:rsid w:val="001E2BA3"/>
    <w:rsid w:val="001E573E"/>
    <w:rsid w:val="00201D97"/>
    <w:rsid w:val="0022251A"/>
    <w:rsid w:val="002239EC"/>
    <w:rsid w:val="0022690F"/>
    <w:rsid w:val="0024596D"/>
    <w:rsid w:val="00247E9C"/>
    <w:rsid w:val="00253BF0"/>
    <w:rsid w:val="00253DB4"/>
    <w:rsid w:val="00254122"/>
    <w:rsid w:val="00266C93"/>
    <w:rsid w:val="00281A28"/>
    <w:rsid w:val="002A58DC"/>
    <w:rsid w:val="002A743E"/>
    <w:rsid w:val="002B719B"/>
    <w:rsid w:val="002E7F6F"/>
    <w:rsid w:val="002F1D4F"/>
    <w:rsid w:val="002F3893"/>
    <w:rsid w:val="002F7326"/>
    <w:rsid w:val="00312ADE"/>
    <w:rsid w:val="00322461"/>
    <w:rsid w:val="003339BF"/>
    <w:rsid w:val="00337DFC"/>
    <w:rsid w:val="00345EC0"/>
    <w:rsid w:val="00356925"/>
    <w:rsid w:val="00376227"/>
    <w:rsid w:val="003804B2"/>
    <w:rsid w:val="00386DAD"/>
    <w:rsid w:val="00392552"/>
    <w:rsid w:val="00397690"/>
    <w:rsid w:val="003A4A8D"/>
    <w:rsid w:val="003A58D9"/>
    <w:rsid w:val="003B7D77"/>
    <w:rsid w:val="003E218B"/>
    <w:rsid w:val="003F262A"/>
    <w:rsid w:val="003F2F28"/>
    <w:rsid w:val="00402266"/>
    <w:rsid w:val="00426B00"/>
    <w:rsid w:val="0043301D"/>
    <w:rsid w:val="00447B09"/>
    <w:rsid w:val="00450436"/>
    <w:rsid w:val="0046660A"/>
    <w:rsid w:val="00473DAA"/>
    <w:rsid w:val="00492253"/>
    <w:rsid w:val="00496A39"/>
    <w:rsid w:val="004B26A4"/>
    <w:rsid w:val="004D6D99"/>
    <w:rsid w:val="004E501C"/>
    <w:rsid w:val="004F7772"/>
    <w:rsid w:val="00500DF2"/>
    <w:rsid w:val="00507C6F"/>
    <w:rsid w:val="005323EC"/>
    <w:rsid w:val="00534FB1"/>
    <w:rsid w:val="0054637A"/>
    <w:rsid w:val="0054714D"/>
    <w:rsid w:val="005509B7"/>
    <w:rsid w:val="005575C2"/>
    <w:rsid w:val="005642E4"/>
    <w:rsid w:val="0057339C"/>
    <w:rsid w:val="00575937"/>
    <w:rsid w:val="0057655A"/>
    <w:rsid w:val="00582A92"/>
    <w:rsid w:val="00593320"/>
    <w:rsid w:val="005A5055"/>
    <w:rsid w:val="005A74B7"/>
    <w:rsid w:val="005B0059"/>
    <w:rsid w:val="005B0CE9"/>
    <w:rsid w:val="005B6F4A"/>
    <w:rsid w:val="005C2751"/>
    <w:rsid w:val="005C4682"/>
    <w:rsid w:val="005C6E69"/>
    <w:rsid w:val="005D2C5F"/>
    <w:rsid w:val="005D608E"/>
    <w:rsid w:val="005F7AFB"/>
    <w:rsid w:val="00600214"/>
    <w:rsid w:val="006013C7"/>
    <w:rsid w:val="00604F3A"/>
    <w:rsid w:val="00621FB3"/>
    <w:rsid w:val="006546B0"/>
    <w:rsid w:val="00664412"/>
    <w:rsid w:val="00674DD9"/>
    <w:rsid w:val="006972FF"/>
    <w:rsid w:val="006A4F7D"/>
    <w:rsid w:val="006C06DC"/>
    <w:rsid w:val="006C17BC"/>
    <w:rsid w:val="006E204F"/>
    <w:rsid w:val="006E3D85"/>
    <w:rsid w:val="006E4920"/>
    <w:rsid w:val="006E6C62"/>
    <w:rsid w:val="006F1176"/>
    <w:rsid w:val="007337B2"/>
    <w:rsid w:val="0074137D"/>
    <w:rsid w:val="00741C5D"/>
    <w:rsid w:val="00772E79"/>
    <w:rsid w:val="0078311B"/>
    <w:rsid w:val="00792D53"/>
    <w:rsid w:val="007B4018"/>
    <w:rsid w:val="007C2441"/>
    <w:rsid w:val="007D4EF1"/>
    <w:rsid w:val="007E14D4"/>
    <w:rsid w:val="007E5991"/>
    <w:rsid w:val="007F395B"/>
    <w:rsid w:val="0080248F"/>
    <w:rsid w:val="00812464"/>
    <w:rsid w:val="00825AB2"/>
    <w:rsid w:val="00834AA8"/>
    <w:rsid w:val="00836845"/>
    <w:rsid w:val="0084227D"/>
    <w:rsid w:val="008429C2"/>
    <w:rsid w:val="00844AC5"/>
    <w:rsid w:val="008466BD"/>
    <w:rsid w:val="00850D6F"/>
    <w:rsid w:val="00861029"/>
    <w:rsid w:val="00862430"/>
    <w:rsid w:val="00865119"/>
    <w:rsid w:val="00870C8E"/>
    <w:rsid w:val="00870F61"/>
    <w:rsid w:val="008737E9"/>
    <w:rsid w:val="00883512"/>
    <w:rsid w:val="00886BF1"/>
    <w:rsid w:val="0088742E"/>
    <w:rsid w:val="008A2E3B"/>
    <w:rsid w:val="008B0D12"/>
    <w:rsid w:val="008C2F1E"/>
    <w:rsid w:val="008C35B1"/>
    <w:rsid w:val="008D7E42"/>
    <w:rsid w:val="008F6A22"/>
    <w:rsid w:val="0090773F"/>
    <w:rsid w:val="009121D9"/>
    <w:rsid w:val="00937D2E"/>
    <w:rsid w:val="00940EA1"/>
    <w:rsid w:val="009445D4"/>
    <w:rsid w:val="00946014"/>
    <w:rsid w:val="0095229C"/>
    <w:rsid w:val="00952F7C"/>
    <w:rsid w:val="00957990"/>
    <w:rsid w:val="00962BA6"/>
    <w:rsid w:val="00975F9D"/>
    <w:rsid w:val="00984A14"/>
    <w:rsid w:val="00991F21"/>
    <w:rsid w:val="009A10F3"/>
    <w:rsid w:val="009A5569"/>
    <w:rsid w:val="009A5E7A"/>
    <w:rsid w:val="009B0FD9"/>
    <w:rsid w:val="009C0F67"/>
    <w:rsid w:val="009C296B"/>
    <w:rsid w:val="009C77A7"/>
    <w:rsid w:val="009E3EB0"/>
    <w:rsid w:val="00A0592E"/>
    <w:rsid w:val="00A059ED"/>
    <w:rsid w:val="00A20828"/>
    <w:rsid w:val="00A217C9"/>
    <w:rsid w:val="00A21D5D"/>
    <w:rsid w:val="00A26B63"/>
    <w:rsid w:val="00A26D23"/>
    <w:rsid w:val="00A3224F"/>
    <w:rsid w:val="00A378E6"/>
    <w:rsid w:val="00A523E2"/>
    <w:rsid w:val="00A55F10"/>
    <w:rsid w:val="00A5639D"/>
    <w:rsid w:val="00A603AC"/>
    <w:rsid w:val="00A80FDA"/>
    <w:rsid w:val="00A930E5"/>
    <w:rsid w:val="00A933F5"/>
    <w:rsid w:val="00A941BB"/>
    <w:rsid w:val="00AA3BAE"/>
    <w:rsid w:val="00AA59A7"/>
    <w:rsid w:val="00AB7E3B"/>
    <w:rsid w:val="00AC11DD"/>
    <w:rsid w:val="00AE7BA4"/>
    <w:rsid w:val="00AF55E9"/>
    <w:rsid w:val="00AF63E8"/>
    <w:rsid w:val="00AF76A2"/>
    <w:rsid w:val="00B04DFF"/>
    <w:rsid w:val="00B07E5E"/>
    <w:rsid w:val="00B10741"/>
    <w:rsid w:val="00B208E1"/>
    <w:rsid w:val="00B30B43"/>
    <w:rsid w:val="00B32E18"/>
    <w:rsid w:val="00B40487"/>
    <w:rsid w:val="00B405DD"/>
    <w:rsid w:val="00B4129E"/>
    <w:rsid w:val="00B54F6C"/>
    <w:rsid w:val="00B621B1"/>
    <w:rsid w:val="00B65A73"/>
    <w:rsid w:val="00B83581"/>
    <w:rsid w:val="00BA6C02"/>
    <w:rsid w:val="00BB3BAD"/>
    <w:rsid w:val="00BC4439"/>
    <w:rsid w:val="00BC4A88"/>
    <w:rsid w:val="00BE1CFC"/>
    <w:rsid w:val="00BE1DCD"/>
    <w:rsid w:val="00C272D6"/>
    <w:rsid w:val="00C32308"/>
    <w:rsid w:val="00C6497A"/>
    <w:rsid w:val="00C70845"/>
    <w:rsid w:val="00C71164"/>
    <w:rsid w:val="00C72C41"/>
    <w:rsid w:val="00CB08F4"/>
    <w:rsid w:val="00CB38DB"/>
    <w:rsid w:val="00CB6881"/>
    <w:rsid w:val="00CB739D"/>
    <w:rsid w:val="00CC2630"/>
    <w:rsid w:val="00CC26BE"/>
    <w:rsid w:val="00CC7BD9"/>
    <w:rsid w:val="00CD64C5"/>
    <w:rsid w:val="00CE01FC"/>
    <w:rsid w:val="00D27820"/>
    <w:rsid w:val="00D3277B"/>
    <w:rsid w:val="00D4083B"/>
    <w:rsid w:val="00D52FE2"/>
    <w:rsid w:val="00D64338"/>
    <w:rsid w:val="00D71F9B"/>
    <w:rsid w:val="00D86F97"/>
    <w:rsid w:val="00DA50A6"/>
    <w:rsid w:val="00DA776F"/>
    <w:rsid w:val="00DC5DE4"/>
    <w:rsid w:val="00DD1068"/>
    <w:rsid w:val="00DD3B42"/>
    <w:rsid w:val="00DF4B60"/>
    <w:rsid w:val="00DF73D5"/>
    <w:rsid w:val="00E13444"/>
    <w:rsid w:val="00E16EC8"/>
    <w:rsid w:val="00E33782"/>
    <w:rsid w:val="00E37E5C"/>
    <w:rsid w:val="00E74E97"/>
    <w:rsid w:val="00E828F1"/>
    <w:rsid w:val="00E87E9C"/>
    <w:rsid w:val="00E967D3"/>
    <w:rsid w:val="00E97F48"/>
    <w:rsid w:val="00EB1AB6"/>
    <w:rsid w:val="00EB4250"/>
    <w:rsid w:val="00EC3296"/>
    <w:rsid w:val="00EC3888"/>
    <w:rsid w:val="00EE4FEC"/>
    <w:rsid w:val="00F0128D"/>
    <w:rsid w:val="00F04069"/>
    <w:rsid w:val="00F269EE"/>
    <w:rsid w:val="00F37CED"/>
    <w:rsid w:val="00F41C5E"/>
    <w:rsid w:val="00F43C3C"/>
    <w:rsid w:val="00F45598"/>
    <w:rsid w:val="00F523D3"/>
    <w:rsid w:val="00F611C9"/>
    <w:rsid w:val="00F708CB"/>
    <w:rsid w:val="00F7441A"/>
    <w:rsid w:val="00F76D9A"/>
    <w:rsid w:val="00F779C5"/>
    <w:rsid w:val="00F866D8"/>
    <w:rsid w:val="00F87A9C"/>
    <w:rsid w:val="00F93ADE"/>
    <w:rsid w:val="00FB7639"/>
    <w:rsid w:val="00FC0E99"/>
    <w:rsid w:val="00FD26AF"/>
    <w:rsid w:val="00FD3845"/>
    <w:rsid w:val="00FE4D0B"/>
    <w:rsid w:val="00FF463A"/>
    <w:rsid w:val="0922B41D"/>
    <w:rsid w:val="1127B5D2"/>
    <w:rsid w:val="12366EC1"/>
    <w:rsid w:val="16F2A1C2"/>
    <w:rsid w:val="17CA697C"/>
    <w:rsid w:val="1E06A01B"/>
    <w:rsid w:val="1FF0CDE6"/>
    <w:rsid w:val="205D2022"/>
    <w:rsid w:val="29B6E0BA"/>
    <w:rsid w:val="2B631035"/>
    <w:rsid w:val="2C991C96"/>
    <w:rsid w:val="2DD2E8AB"/>
    <w:rsid w:val="33828245"/>
    <w:rsid w:val="440D6739"/>
    <w:rsid w:val="44559D07"/>
    <w:rsid w:val="4C653826"/>
    <w:rsid w:val="4CE2BFD8"/>
    <w:rsid w:val="542DCC76"/>
    <w:rsid w:val="54779536"/>
    <w:rsid w:val="5C5CE695"/>
    <w:rsid w:val="666A5253"/>
    <w:rsid w:val="66D0B510"/>
    <w:rsid w:val="67B0E960"/>
    <w:rsid w:val="71DFA96D"/>
    <w:rsid w:val="76ADCB1B"/>
    <w:rsid w:val="78F66600"/>
    <w:rsid w:val="7ABDF9D9"/>
    <w:rsid w:val="7C9348A2"/>
    <w:rsid w:val="7CB6E5D0"/>
    <w:rsid w:val="7D13D994"/>
    <w:rsid w:val="7FEC08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6ACCDA"/>
  <w15:chartTrackingRefBased/>
  <w15:docId w15:val="{C264A0E6-B87D-4993-9651-28A58F61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6E3D85"/>
    <w:rPr>
      <w:color w:val="0000FF"/>
      <w:shd w:val="clear" w:color="auto" w:fill="auto"/>
    </w:rPr>
  </w:style>
  <w:style w:type="paragraph" w:styleId="Header">
    <w:name w:val="header"/>
    <w:basedOn w:val="Normal"/>
    <w:link w:val="HeaderChar"/>
    <w:uiPriority w:val="99"/>
    <w:unhideWhenUsed/>
    <w:rsid w:val="006E3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D85"/>
    <w:rPr>
      <w:lang w:val="es-ES"/>
    </w:rPr>
  </w:style>
  <w:style w:type="paragraph" w:styleId="Footer">
    <w:name w:val="footer"/>
    <w:basedOn w:val="Normal"/>
    <w:link w:val="FooterChar"/>
    <w:uiPriority w:val="99"/>
    <w:unhideWhenUsed/>
    <w:rsid w:val="006E3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D85"/>
    <w:rPr>
      <w:lang w:val="es-ES"/>
    </w:rPr>
  </w:style>
  <w:style w:type="paragraph" w:customStyle="1" w:styleId="Pagedecouverture">
    <w:name w:val="Page de couverture"/>
    <w:basedOn w:val="Normal"/>
    <w:next w:val="Normal"/>
    <w:rsid w:val="006E3D85"/>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rsid w:val="006E3D8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E3D85"/>
    <w:rPr>
      <w:rFonts w:ascii="Times New Roman" w:hAnsi="Times New Roman" w:cs="Times New Roman"/>
      <w:sz w:val="24"/>
    </w:rPr>
  </w:style>
  <w:style w:type="paragraph" w:customStyle="1" w:styleId="FooterSensitivity">
    <w:name w:val="Footer Sensitivity"/>
    <w:basedOn w:val="Normal"/>
    <w:link w:val="FooterSensitivityChar"/>
    <w:rsid w:val="006E3D8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E3D85"/>
    <w:rPr>
      <w:rFonts w:ascii="Times New Roman" w:hAnsi="Times New Roman" w:cs="Times New Roman"/>
      <w:b/>
      <w:sz w:val="32"/>
    </w:rPr>
  </w:style>
  <w:style w:type="paragraph" w:customStyle="1" w:styleId="HeaderCoverPage">
    <w:name w:val="Header Cover Page"/>
    <w:basedOn w:val="Normal"/>
    <w:link w:val="HeaderCoverPageChar"/>
    <w:rsid w:val="006E3D8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E3D85"/>
    <w:rPr>
      <w:rFonts w:ascii="Times New Roman" w:hAnsi="Times New Roman" w:cs="Times New Roman"/>
      <w:sz w:val="24"/>
    </w:rPr>
  </w:style>
  <w:style w:type="paragraph" w:customStyle="1" w:styleId="HeaderSensitivity">
    <w:name w:val="Header Sensitivity"/>
    <w:basedOn w:val="Normal"/>
    <w:link w:val="HeaderSensitivityChar"/>
    <w:rsid w:val="006E3D8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E3D85"/>
    <w:rPr>
      <w:rFonts w:ascii="Times New Roman" w:hAnsi="Times New Roman" w:cs="Times New Roman"/>
      <w:b/>
      <w:sz w:val="32"/>
    </w:rPr>
  </w:style>
  <w:style w:type="paragraph" w:customStyle="1" w:styleId="HeaderSensitivityRight">
    <w:name w:val="Header Sensitivity Right"/>
    <w:basedOn w:val="Normal"/>
    <w:link w:val="HeaderSensitivityRightChar"/>
    <w:rsid w:val="006E3D8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E3D85"/>
    <w:rPr>
      <w:rFonts w:ascii="Times New Roman" w:hAnsi="Times New Roman" w:cs="Times New Roman"/>
      <w:sz w:val="28"/>
    </w:rPr>
  </w:style>
  <w:style w:type="paragraph" w:styleId="Revision">
    <w:name w:val="Revision"/>
    <w:hidden/>
    <w:uiPriority w:val="99"/>
    <w:semiHidden/>
    <w:rsid w:val="003F2F28"/>
    <w:pPr>
      <w:spacing w:after="0" w:line="240" w:lineRule="auto"/>
    </w:pPr>
  </w:style>
  <w:style w:type="character" w:styleId="CommentReference">
    <w:name w:val="annotation reference"/>
    <w:basedOn w:val="DefaultParagraphFont"/>
    <w:uiPriority w:val="99"/>
    <w:semiHidden/>
    <w:unhideWhenUsed/>
    <w:rsid w:val="00E97F48"/>
    <w:rPr>
      <w:sz w:val="16"/>
      <w:szCs w:val="16"/>
    </w:rPr>
  </w:style>
  <w:style w:type="paragraph" w:styleId="CommentText">
    <w:name w:val="annotation text"/>
    <w:basedOn w:val="Normal"/>
    <w:link w:val="CommentTextChar"/>
    <w:uiPriority w:val="99"/>
    <w:unhideWhenUsed/>
    <w:rsid w:val="00E97F48"/>
    <w:pPr>
      <w:spacing w:line="240" w:lineRule="auto"/>
    </w:pPr>
    <w:rPr>
      <w:sz w:val="20"/>
      <w:szCs w:val="20"/>
    </w:rPr>
  </w:style>
  <w:style w:type="character" w:customStyle="1" w:styleId="CommentTextChar">
    <w:name w:val="Comment Text Char"/>
    <w:basedOn w:val="DefaultParagraphFont"/>
    <w:link w:val="CommentText"/>
    <w:uiPriority w:val="99"/>
    <w:rsid w:val="00E97F48"/>
    <w:rPr>
      <w:sz w:val="20"/>
      <w:szCs w:val="20"/>
      <w:lang w:val="es-ES"/>
    </w:rPr>
  </w:style>
  <w:style w:type="paragraph" w:styleId="CommentSubject">
    <w:name w:val="annotation subject"/>
    <w:basedOn w:val="CommentText"/>
    <w:next w:val="CommentText"/>
    <w:link w:val="CommentSubjectChar"/>
    <w:uiPriority w:val="99"/>
    <w:semiHidden/>
    <w:unhideWhenUsed/>
    <w:rsid w:val="00E97F48"/>
    <w:rPr>
      <w:b/>
      <w:bCs/>
    </w:rPr>
  </w:style>
  <w:style w:type="character" w:customStyle="1" w:styleId="CommentSubjectChar">
    <w:name w:val="Comment Subject Char"/>
    <w:basedOn w:val="CommentTextChar"/>
    <w:link w:val="CommentSubject"/>
    <w:uiPriority w:val="99"/>
    <w:semiHidden/>
    <w:rsid w:val="00E97F48"/>
    <w:rPr>
      <w:b/>
      <w:bCs/>
      <w:sz w:val="20"/>
      <w:szCs w:val="20"/>
      <w:lang w:val="es-ES"/>
    </w:rPr>
  </w:style>
  <w:style w:type="paragraph" w:styleId="FootnoteText">
    <w:name w:val="footnote text"/>
    <w:basedOn w:val="Normal"/>
    <w:uiPriority w:val="99"/>
    <w:semiHidden/>
    <w:unhideWhenUsed/>
    <w:rsid w:val="006546B0"/>
    <w:pPr>
      <w:spacing w:after="0" w:line="240" w:lineRule="auto"/>
    </w:pPr>
    <w:rPr>
      <w:sz w:val="20"/>
      <w:szCs w:val="20"/>
    </w:rPr>
  </w:style>
  <w:style w:type="character" w:customStyle="1" w:styleId="FootnoteTextChar">
    <w:name w:val="Footnote Text Char"/>
    <w:basedOn w:val="DefaultParagraphFont"/>
    <w:uiPriority w:val="99"/>
    <w:semiHidden/>
    <w:rsid w:val="006546B0"/>
    <w:rPr>
      <w:sz w:val="20"/>
      <w:szCs w:val="20"/>
      <w:lang w:val="es-ES"/>
    </w:rPr>
  </w:style>
  <w:style w:type="character" w:styleId="FootnoteReference">
    <w:name w:val="footnote reference"/>
    <w:basedOn w:val="DefaultParagraphFont"/>
    <w:uiPriority w:val="99"/>
    <w:semiHidden/>
    <w:unhideWhenUsed/>
    <w:rsid w:val="006546B0"/>
    <w:rPr>
      <w:vertAlign w:val="superscript"/>
    </w:rPr>
  </w:style>
  <w:style w:type="character" w:styleId="Hyperlink">
    <w:name w:val="Hyperlink"/>
    <w:basedOn w:val="DefaultParagraphFont"/>
    <w:uiPriority w:val="99"/>
    <w:unhideWhenUsed/>
    <w:rsid w:val="00A5639D"/>
    <w:rPr>
      <w:color w:val="0563C1" w:themeColor="hyperlink"/>
      <w:u w:val="single"/>
    </w:rPr>
  </w:style>
  <w:style w:type="character" w:customStyle="1" w:styleId="UnresolvedMention1">
    <w:name w:val="Unresolved Mention1"/>
    <w:basedOn w:val="DefaultParagraphFont"/>
    <w:uiPriority w:val="99"/>
    <w:semiHidden/>
    <w:unhideWhenUsed/>
    <w:rsid w:val="00A5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60014">
      <w:bodyDiv w:val="1"/>
      <w:marLeft w:val="0"/>
      <w:marRight w:val="0"/>
      <w:marTop w:val="0"/>
      <w:marBottom w:val="0"/>
      <w:divBdr>
        <w:top w:val="none" w:sz="0" w:space="0" w:color="auto"/>
        <w:left w:val="none" w:sz="0" w:space="0" w:color="auto"/>
        <w:bottom w:val="none" w:sz="0" w:space="0" w:color="auto"/>
        <w:right w:val="none" w:sz="0" w:space="0" w:color="auto"/>
      </w:divBdr>
    </w:div>
    <w:div w:id="18902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ur-lex.europa.eu/legal-content/ES/TXT/PDF/?uri=CELEX:52023DC00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E4674-FEB0-4DE7-92ED-DAF2BA9B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2024-05-30T08:16:00Z</cp:lastPrinted>
  <dcterms:created xsi:type="dcterms:W3CDTF">2024-09-24T16:15:00Z</dcterms:created>
  <dcterms:modified xsi:type="dcterms:W3CDTF">2024-09-27T08:04:00Z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2024-01-31T11:48:05Z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dad3654c-9c87-47c7-9505-44f06eb127e0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CP-007</vt:lpwstr>
  </property>
  <property fmtid="{D5CDD505-2E9C-101B-9397-08002B2CF9AE}" pid="14" name="Last edited using">
    <vt:lpwstr>LW 9.0, Build 20230317</vt:lpwstr>
  </property>
  <property fmtid="{D5CDD505-2E9C-101B-9397-08002B2CF9AE}" pid="15" name="Created using">
    <vt:lpwstr>LW 9.0, Build 20230317</vt:lpwstr>
  </property>
  <property name="OP_sanitized" fmtid="{D5CDD505-2E9C-101B-9397-08002B2CF9AE}" pid="16">
    <vt:lpwstr>True</vt:lpwstr>
  </property>
</Properties>
</file>