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484C" w14:textId="18C5E777" w:rsidR="00145727" w:rsidRDefault="00AE4C1F" w:rsidP="00AE4C1F">
      <w:pPr>
        <w:pStyle w:val="Pagedecouverture"/>
        <w:rPr>
          <w:noProof/>
        </w:rPr>
      </w:pPr>
      <w:bookmarkStart w:id="0" w:name="LW_BM_COVERPAGE"/>
      <w:r>
        <w:rPr>
          <w:noProof/>
        </w:rPr>
        <w:pict w14:anchorId="322EB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B480FF4-0B70-4E7A-830F-E948CE9595C2" style="width:455.25pt;height:310.5pt">
            <v:imagedata r:id="rId8" o:title=""/>
          </v:shape>
        </w:pict>
      </w:r>
    </w:p>
    <w:bookmarkEnd w:id="0"/>
    <w:p w14:paraId="7765569C" w14:textId="77777777" w:rsidR="00145727" w:rsidRDefault="00145727" w:rsidP="00145727">
      <w:pPr>
        <w:rPr>
          <w:noProof/>
        </w:rPr>
        <w:sectPr w:rsidR="00145727" w:rsidSect="00AE4C1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5B8980F" w14:textId="77777777" w:rsidR="00912308" w:rsidRPr="00BF0E29" w:rsidRDefault="00912308" w:rsidP="00653B60">
      <w:pPr>
        <w:pStyle w:val="ListParagraph"/>
        <w:numPr>
          <w:ilvl w:val="0"/>
          <w:numId w:val="1"/>
        </w:numPr>
        <w:spacing w:after="200"/>
        <w:ind w:left="357" w:hanging="357"/>
        <w:jc w:val="both"/>
        <w:rPr>
          <w:b/>
          <w:noProof/>
          <w:szCs w:val="20"/>
        </w:rPr>
      </w:pPr>
      <w:bookmarkStart w:id="1" w:name="_GoBack"/>
      <w:bookmarkEnd w:id="1"/>
      <w:r>
        <w:rPr>
          <w:b/>
          <w:smallCaps/>
          <w:noProof/>
        </w:rPr>
        <w:lastRenderedPageBreak/>
        <w:t>Introducción</w:t>
      </w:r>
    </w:p>
    <w:p w14:paraId="15AE34D2" w14:textId="77777777" w:rsidR="00912308" w:rsidRPr="005719E1" w:rsidRDefault="00912308"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En un contexto mundial caracterizado por una escalada de las tensiones geopolíticas y el consiguiente aumento de la fragmentación de las cadenas de suministro mundiales, la Unión Europea se enfrenta al reto de diversificar y sustituir las fuentes de suministro de materias primas fundamentales y energía limpia. Asimismo, debe reforzar su propia capacidad de soberanía tecnológica en estrecha relación con socios fiables, garantizando así su autonomía estratégica abierta.</w:t>
      </w:r>
    </w:p>
    <w:p w14:paraId="572D06B3" w14:textId="77777777" w:rsidR="003536D5" w:rsidRDefault="006F3F8A"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El Plan Industrial del Pacto Verde</w:t>
      </w:r>
      <w:r>
        <w:rPr>
          <w:rStyle w:val="FootnoteReference"/>
          <w:rFonts w:ascii="Times New Roman" w:hAnsi="Times New Roman" w:cs="Times New Roman"/>
          <w:noProof/>
          <w:sz w:val="24"/>
          <w:szCs w:val="24"/>
          <w:lang w:val="en-US"/>
        </w:rPr>
        <w:footnoteReference w:id="1"/>
      </w:r>
      <w:r>
        <w:rPr>
          <w:rFonts w:ascii="Times New Roman" w:hAnsi="Times New Roman"/>
          <w:noProof/>
          <w:sz w:val="24"/>
        </w:rPr>
        <w:t xml:space="preserve"> reconoce la necesidad de aumentar enormemente el desarrollo tecnológico, la fabricación y la instalación de productos de cero emisiones netas y el suministro energético en la próxima década. Europa es líder en innovación y cuenta con científicos e investigadores destacados a nivel mundial. Sobre la base de estos puntos fuertes, la Comisión colabora con sus socios para desarrollar y desplegar tecnologías de cero emisiones netas, con un enfoque abierto pero asertivo. </w:t>
      </w:r>
    </w:p>
    <w:p w14:paraId="7566D385" w14:textId="77777777" w:rsidR="003B098A" w:rsidRDefault="00912308"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En su Comunicación sobre el enfoque global para la investigación y la innovación (I+i)</w:t>
      </w:r>
      <w:r>
        <w:rPr>
          <w:rStyle w:val="FootnoteReference"/>
          <w:rFonts w:ascii="Times New Roman" w:hAnsi="Times New Roman" w:cs="Times New Roman"/>
          <w:noProof/>
          <w:sz w:val="24"/>
          <w:szCs w:val="24"/>
        </w:rPr>
        <w:footnoteReference w:id="2"/>
      </w:r>
      <w:r>
        <w:rPr>
          <w:rFonts w:ascii="Times New Roman" w:hAnsi="Times New Roman"/>
          <w:noProof/>
          <w:sz w:val="24"/>
        </w:rPr>
        <w:t>, la Comisión presentó una estrategia para profundizar la cooperación internacional en materia de I+i basada en la apertura y el respeto de los derechos y valores fundamentales. El Consejo ha reafirmado el compromiso de la UE con la apertura en la cooperación internacional en materia de I+i, buscando al mismo tiempo la igualdad de condiciones y una apertura recíproca equilibrada</w:t>
      </w:r>
      <w:r>
        <w:rPr>
          <w:rStyle w:val="FootnoteReference"/>
          <w:rFonts w:ascii="Times New Roman" w:hAnsi="Times New Roman" w:cs="Times New Roman"/>
          <w:noProof/>
          <w:sz w:val="24"/>
          <w:szCs w:val="24"/>
        </w:rPr>
        <w:footnoteReference w:id="3"/>
      </w:r>
      <w:r>
        <w:rPr>
          <w:rFonts w:ascii="Times New Roman" w:hAnsi="Times New Roman"/>
          <w:noProof/>
          <w:sz w:val="24"/>
        </w:rPr>
        <w:t>, y el Parlamento Europeo ha hecho hincapié en la necesidad de desarrollar una cooperación multilateral basada en normas, en la que la I+i debe desempeñar un papel clave</w:t>
      </w:r>
      <w:r>
        <w:rPr>
          <w:rStyle w:val="FootnoteReference"/>
          <w:rFonts w:ascii="Times New Roman" w:hAnsi="Times New Roman" w:cs="Times New Roman"/>
          <w:noProof/>
          <w:sz w:val="24"/>
          <w:szCs w:val="24"/>
        </w:rPr>
        <w:footnoteReference w:id="4"/>
      </w:r>
      <w:r>
        <w:rPr>
          <w:rFonts w:ascii="Times New Roman" w:hAnsi="Times New Roman"/>
          <w:noProof/>
          <w:sz w:val="24"/>
        </w:rPr>
        <w:t>.</w:t>
      </w:r>
    </w:p>
    <w:p w14:paraId="04CD9500" w14:textId="77777777" w:rsidR="002D125A" w:rsidRDefault="007D2476"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La Comunicación sobre el enfoque global se aplica modulando la cooperación bilateral con los distintos países, buscando una apertura recíproca y la igualdad de condiciones. Al mismo tiempo, la Comunicación apoya las asociaciones multilaterales para ofrecer nuevas soluciones a los retos mundiales y aumentar la resiliencia de la UE. La estrategia de la UE para impulsar la inversión a escala mundial en digitalización, clima y energía, transporte, salud, educación e investigación es fundamental para la Global Gateway</w:t>
      </w:r>
      <w:r>
        <w:rPr>
          <w:rStyle w:val="FootnoteReference"/>
          <w:rFonts w:ascii="Times New Roman" w:hAnsi="Times New Roman" w:cs="Times New Roman"/>
          <w:noProof/>
          <w:sz w:val="24"/>
          <w:szCs w:val="24"/>
        </w:rPr>
        <w:footnoteReference w:id="5"/>
      </w:r>
      <w:r>
        <w:rPr>
          <w:rFonts w:ascii="Times New Roman" w:hAnsi="Times New Roman"/>
          <w:noProof/>
          <w:sz w:val="24"/>
        </w:rPr>
        <w:t>.</w:t>
      </w:r>
    </w:p>
    <w:p w14:paraId="5DD9C1E4" w14:textId="77777777" w:rsidR="00602CA9" w:rsidRDefault="002D125A"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El presente documento es el primer informe bienal en el que se hace balance de los progresos hacia los objetivos de la Comunicación sobre el enfoque global. El informe ofrece una instantánea de la posición de la UE en la cooperación internacional en materia de I+i en ámbitos temáticos. Además, incluye una reflexión sobre la diplomacia científica para seguir integrando el enfoque global para la I+i en la política exterior y de seguridad de la UE</w:t>
      </w:r>
      <w:r>
        <w:rPr>
          <w:rStyle w:val="FootnoteReference"/>
          <w:rFonts w:ascii="Times New Roman" w:hAnsi="Times New Roman" w:cs="Times New Roman"/>
          <w:noProof/>
          <w:sz w:val="24"/>
          <w:szCs w:val="24"/>
        </w:rPr>
        <w:footnoteReference w:id="6"/>
      </w:r>
      <w:r>
        <w:rPr>
          <w:rFonts w:ascii="Times New Roman" w:hAnsi="Times New Roman"/>
          <w:noProof/>
          <w:sz w:val="24"/>
        </w:rPr>
        <w:t>.</w:t>
      </w:r>
    </w:p>
    <w:p w14:paraId="05F03E12" w14:textId="77777777" w:rsidR="0087419C" w:rsidRPr="007F740E" w:rsidRDefault="0087419C" w:rsidP="00653B60">
      <w:pPr>
        <w:pStyle w:val="ListParagraph"/>
        <w:numPr>
          <w:ilvl w:val="0"/>
          <w:numId w:val="1"/>
        </w:numPr>
        <w:spacing w:after="200"/>
        <w:ind w:left="357" w:hanging="357"/>
        <w:jc w:val="both"/>
        <w:rPr>
          <w:b/>
          <w:smallCaps/>
          <w:noProof/>
          <w:szCs w:val="20"/>
        </w:rPr>
      </w:pPr>
      <w:r>
        <w:rPr>
          <w:b/>
          <w:smallCaps/>
          <w:noProof/>
        </w:rPr>
        <w:t>Reafirmar el compromiso de la UE con la apertura internacional y los valores fundamentales en materia de investigación e innovación</w:t>
      </w:r>
    </w:p>
    <w:tbl>
      <w:tblPr>
        <w:tblStyle w:val="TableGrid"/>
        <w:tblW w:w="0" w:type="auto"/>
        <w:shd w:val="clear" w:color="auto" w:fill="D9D9D9" w:themeFill="background1" w:themeFillShade="D9"/>
        <w:tblLook w:val="04A0" w:firstRow="1" w:lastRow="0" w:firstColumn="1" w:lastColumn="0" w:noHBand="0" w:noVBand="1"/>
      </w:tblPr>
      <w:tblGrid>
        <w:gridCol w:w="9242"/>
      </w:tblGrid>
      <w:tr w:rsidR="0087419C" w14:paraId="341738CA" w14:textId="77777777" w:rsidTr="006A788E">
        <w:tc>
          <w:tcPr>
            <w:tcW w:w="9242" w:type="dxa"/>
            <w:shd w:val="clear" w:color="auto" w:fill="D9D9D9" w:themeFill="background1" w:themeFillShade="D9"/>
          </w:tcPr>
          <w:p w14:paraId="6C89DDC7" w14:textId="77777777" w:rsidR="0087419C" w:rsidRDefault="0004035B"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UE desarrolló un conjunto común de </w:t>
            </w:r>
            <w:r>
              <w:rPr>
                <w:rFonts w:ascii="Times New Roman" w:hAnsi="Times New Roman"/>
                <w:b/>
                <w:noProof/>
                <w:sz w:val="24"/>
              </w:rPr>
              <w:t>principios y valores para la I+i</w:t>
            </w:r>
            <w:r>
              <w:rPr>
                <w:rFonts w:ascii="Times New Roman" w:hAnsi="Times New Roman"/>
                <w:noProof/>
                <w:sz w:val="24"/>
              </w:rPr>
              <w:t xml:space="preserve"> y puso en marcha </w:t>
            </w:r>
            <w:r>
              <w:rPr>
                <w:rFonts w:ascii="Times New Roman" w:hAnsi="Times New Roman"/>
                <w:b/>
                <w:noProof/>
                <w:sz w:val="24"/>
              </w:rPr>
              <w:t>un diálogo multilateral con países socios y foros internacionales</w:t>
            </w:r>
            <w:r>
              <w:rPr>
                <w:rFonts w:ascii="Times New Roman" w:hAnsi="Times New Roman"/>
                <w:noProof/>
                <w:sz w:val="24"/>
              </w:rPr>
              <w:t xml:space="preserve"> sobre estos valores y principios.</w:t>
            </w:r>
          </w:p>
          <w:p w14:paraId="000DFFB3" w14:textId="77777777" w:rsidR="00BE147A" w:rsidRPr="00877A94" w:rsidRDefault="00BE147A" w:rsidP="00CB7558">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UE reafirmó su compromiso de dar ejemplo para </w:t>
            </w:r>
            <w:r>
              <w:rPr>
                <w:rFonts w:ascii="Times New Roman" w:hAnsi="Times New Roman"/>
                <w:b/>
                <w:noProof/>
                <w:sz w:val="24"/>
              </w:rPr>
              <w:t>mantener la apertura</w:t>
            </w:r>
            <w:r>
              <w:rPr>
                <w:rFonts w:ascii="Times New Roman" w:hAnsi="Times New Roman"/>
                <w:noProof/>
                <w:sz w:val="24"/>
              </w:rPr>
              <w:t xml:space="preserve"> en la cooperación internacional en materia de I+i, estableciendo al mismo tiempo medidas restrictivas cuando sea necesario, y aplicó con éxito nuevas disposiciones para la </w:t>
            </w:r>
            <w:r>
              <w:rPr>
                <w:rFonts w:ascii="Times New Roman" w:hAnsi="Times New Roman"/>
                <w:b/>
                <w:noProof/>
                <w:sz w:val="24"/>
              </w:rPr>
              <w:t>asociación de terceros países a Horizonte Europa</w:t>
            </w:r>
            <w:r>
              <w:rPr>
                <w:rFonts w:ascii="Times New Roman" w:hAnsi="Times New Roman"/>
                <w:noProof/>
                <w:sz w:val="24"/>
              </w:rPr>
              <w:t>.</w:t>
            </w:r>
          </w:p>
        </w:tc>
      </w:tr>
    </w:tbl>
    <w:p w14:paraId="79EA7127" w14:textId="77777777" w:rsidR="006925C6" w:rsidRPr="006925C6" w:rsidRDefault="006925C6" w:rsidP="00653B60">
      <w:pPr>
        <w:pStyle w:val="ListParagraph"/>
        <w:spacing w:before="120" w:after="200"/>
        <w:ind w:left="788" w:hanging="431"/>
        <w:jc w:val="both"/>
        <w:rPr>
          <w:b/>
          <w:bCs/>
          <w:noProof/>
        </w:rPr>
      </w:pPr>
      <w:r>
        <w:rPr>
          <w:b/>
          <w:noProof/>
        </w:rPr>
        <w:t>2.1. Valores y principios de la cooperación internacional en materia de I+i</w:t>
      </w:r>
    </w:p>
    <w:p w14:paraId="3203CF7E" w14:textId="77777777" w:rsidR="006A788E" w:rsidRPr="00C47951" w:rsidRDefault="006A788E"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La Comunicación sobre el enfoque global afirma que los valores y principios fundamentales que sustentan la cooperación internacional en materia de I+i deben debatirse con los socios internacionales a través de un diálogo multilateral. Este enfoque fue refrendado por el Consejo en tres conjuntos de conclusiones relacionadas con la I+i</w:t>
      </w:r>
      <w:r>
        <w:rPr>
          <w:rStyle w:val="FootnoteReference"/>
          <w:rFonts w:ascii="Times New Roman" w:hAnsi="Times New Roman" w:cs="Times New Roman"/>
          <w:noProof/>
          <w:sz w:val="24"/>
          <w:szCs w:val="24"/>
        </w:rPr>
        <w:footnoteReference w:id="7"/>
      </w:r>
      <w:r>
        <w:rPr>
          <w:rFonts w:ascii="Times New Roman" w:hAnsi="Times New Roman"/>
          <w:noProof/>
          <w:sz w:val="24"/>
        </w:rPr>
        <w:t>, así como por la Declaración de Marsella</w:t>
      </w:r>
      <w:r>
        <w:rPr>
          <w:rStyle w:val="FootnoteReference"/>
          <w:rFonts w:ascii="Times New Roman" w:hAnsi="Times New Roman" w:cs="Times New Roman"/>
          <w:noProof/>
          <w:sz w:val="24"/>
          <w:szCs w:val="24"/>
        </w:rPr>
        <w:footnoteReference w:id="8"/>
      </w:r>
      <w:r>
        <w:rPr>
          <w:rFonts w:ascii="Times New Roman" w:hAnsi="Times New Roman"/>
          <w:noProof/>
          <w:sz w:val="24"/>
        </w:rPr>
        <w:t xml:space="preserve"> sobre cooperación internacional en materia de I+i. La Comisión organizó la </w:t>
      </w:r>
      <w:r>
        <w:rPr>
          <w:rFonts w:ascii="Times New Roman" w:hAnsi="Times New Roman"/>
          <w:b/>
          <w:noProof/>
          <w:sz w:val="24"/>
        </w:rPr>
        <w:t>reunión inaugural del</w:t>
      </w:r>
      <w:r>
        <w:rPr>
          <w:rFonts w:ascii="Times New Roman" w:hAnsi="Times New Roman"/>
          <w:noProof/>
          <w:sz w:val="24"/>
        </w:rPr>
        <w:t xml:space="preserve"> </w:t>
      </w:r>
      <w:r>
        <w:rPr>
          <w:rFonts w:ascii="Times New Roman" w:hAnsi="Times New Roman"/>
          <w:b/>
          <w:noProof/>
          <w:sz w:val="24"/>
        </w:rPr>
        <w:t>diálogo multilateral</w:t>
      </w:r>
      <w:r>
        <w:rPr>
          <w:rFonts w:ascii="Times New Roman" w:hAnsi="Times New Roman"/>
          <w:noProof/>
          <w:sz w:val="24"/>
        </w:rPr>
        <w:t xml:space="preserve"> en formato virtual, que se llevó a cabo el 8 de julio de 2022 y a la que asistieron representantes de cuarenta y seis países</w:t>
      </w:r>
      <w:r>
        <w:rPr>
          <w:rStyle w:val="FootnoteReference"/>
          <w:rFonts w:ascii="Times New Roman" w:hAnsi="Times New Roman" w:cs="Times New Roman"/>
          <w:noProof/>
          <w:sz w:val="24"/>
          <w:szCs w:val="24"/>
        </w:rPr>
        <w:footnoteReference w:id="9"/>
      </w:r>
      <w:r>
        <w:rPr>
          <w:rFonts w:ascii="Times New Roman" w:hAnsi="Times New Roman"/>
          <w:noProof/>
          <w:sz w:val="24"/>
        </w:rPr>
        <w:t xml:space="preserve"> y varias organizaciones internacionales y organizaciones de partes interesadas europeas.</w:t>
      </w:r>
    </w:p>
    <w:p w14:paraId="573BE505" w14:textId="77777777" w:rsidR="0087419C" w:rsidRPr="00C47951" w:rsidRDefault="0087419C"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El diálogo se está </w:t>
      </w:r>
      <w:r>
        <w:rPr>
          <w:rFonts w:ascii="Times New Roman" w:hAnsi="Times New Roman"/>
          <w:b/>
          <w:noProof/>
          <w:sz w:val="24"/>
        </w:rPr>
        <w:t>llevando a cabo a través de talleres</w:t>
      </w:r>
      <w:r>
        <w:rPr>
          <w:rFonts w:ascii="Times New Roman" w:hAnsi="Times New Roman"/>
          <w:noProof/>
          <w:sz w:val="24"/>
        </w:rPr>
        <w:t xml:space="preserve"> centrados en los valores y principios de la I+i</w:t>
      </w:r>
      <w:r>
        <w:rPr>
          <w:rStyle w:val="FootnoteReference"/>
          <w:rFonts w:ascii="Times New Roman" w:hAnsi="Times New Roman" w:cs="Times New Roman"/>
          <w:noProof/>
          <w:sz w:val="24"/>
          <w:szCs w:val="24"/>
        </w:rPr>
        <w:footnoteReference w:id="10"/>
      </w:r>
      <w:r>
        <w:rPr>
          <w:rFonts w:ascii="Times New Roman" w:hAnsi="Times New Roman"/>
          <w:noProof/>
          <w:sz w:val="24"/>
        </w:rPr>
        <w:t>, en los que se debatirá terminología común, se intercambiarán experiencias sobre la aplicación práctica y se definirán buenas prácticas. En los debates se analiza y desarrolla el Pacto de I+i en Europa</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y el trabajo realizado en foros internacionales como el G7, el G20, el Consejo Mundial de Investigación, la OCDE y la UNESCO. Los resultados de los talleres se consolidarán mediante reuniones de evaluación, celebradas a lo largo de 2023, y un acto ministerial en 2024, con la participación prevista de representantes de los países y organizaciones implicados en el diálogo multilateral. </w:t>
      </w:r>
    </w:p>
    <w:p w14:paraId="2FCDDF43" w14:textId="77777777" w:rsidR="00131447" w:rsidRDefault="003C11E2"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UE también ha estado especialmente activa en la defensa de la </w:t>
      </w:r>
      <w:r>
        <w:rPr>
          <w:rFonts w:ascii="Times New Roman" w:hAnsi="Times New Roman"/>
          <w:b/>
          <w:noProof/>
          <w:sz w:val="24"/>
        </w:rPr>
        <w:t>libertad académica</w:t>
      </w:r>
      <w:r>
        <w:rPr>
          <w:rFonts w:ascii="Times New Roman" w:hAnsi="Times New Roman"/>
          <w:noProof/>
          <w:sz w:val="24"/>
        </w:rPr>
        <w:t>, en particular por medio del proyecto Inspireurope+, financiado a través de las acciones Marie Skłodowska-Curie en el marco de Horizonte Europa. El proyecto tiene por objeto facilitar la cooperación transnacional reforzando y difundiendo buenas prácticas para apoyar a los investigadores en situación de riesgo, debido, por ejemplo, a las consecuencias de la pandemia de COVID-19, la toma forzada del control de Afganistán por el régimen talibán de facto o la represión interna o la salida forzosa de Rusia como consecuencia de su oposición a la guerra de agresión de este país contra Ucrania</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w:t>
      </w:r>
    </w:p>
    <w:p w14:paraId="07FADD24" w14:textId="77777777" w:rsidR="0087419C" w:rsidRDefault="0087419C"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UE está liderando la promoción y adopción de prácticas de </w:t>
      </w:r>
      <w:r>
        <w:rPr>
          <w:rFonts w:ascii="Times New Roman" w:hAnsi="Times New Roman"/>
          <w:b/>
          <w:noProof/>
          <w:sz w:val="24"/>
        </w:rPr>
        <w:t>ciencia abierta</w:t>
      </w:r>
      <w:r>
        <w:rPr>
          <w:rFonts w:ascii="Times New Roman" w:hAnsi="Times New Roman"/>
          <w:noProof/>
          <w:sz w:val="24"/>
        </w:rPr>
        <w:t xml:space="preserve"> a través de iniciativas de colaboración internacional, como la Nube Europea de la Ciencia Abierta. Esta iniciativa también participa en la cooperación birregional y bilateral, como la exploración de posibles vínculos con la Plataforma Africana de la Ciencia Abierta. La UE contribuye asimismo a la armonización y colaboración internacionales en el ámbito de la ciencia abierta mediante la copresidencia de un grupo de trabajo específico del G7. Sigue siendo necesaria una mayor armonización internacional de las políticas, normas y acciones para el intercambio abierto de conocimientos científicos y datos de investigación, y para establecer los principios que guían los cambios en la evaluación de la investigación, por ejemplo en el marco de la Coalición para el Avance de la Evaluación de la Investigación.</w:t>
      </w:r>
    </w:p>
    <w:p w14:paraId="3E0272B6" w14:textId="77777777" w:rsidR="00650EAB" w:rsidRDefault="00066D62" w:rsidP="00152025">
      <w:pPr>
        <w:spacing w:after="120" w:line="276" w:lineRule="auto"/>
        <w:jc w:val="both"/>
        <w:rPr>
          <w:rFonts w:ascii="Times New Roman" w:hAnsi="Times New Roman" w:cs="Times New Roman"/>
          <w:bCs/>
          <w:noProof/>
          <w:sz w:val="24"/>
          <w:szCs w:val="24"/>
        </w:rPr>
      </w:pPr>
      <w:r>
        <w:rPr>
          <w:rStyle w:val="markedcontent"/>
          <w:rFonts w:ascii="Times New Roman" w:hAnsi="Times New Roman"/>
          <w:noProof/>
          <w:sz w:val="24"/>
        </w:rPr>
        <w:t xml:space="preserve">Hoy en día, la </w:t>
      </w:r>
      <w:r>
        <w:rPr>
          <w:rStyle w:val="markedcontent"/>
          <w:rFonts w:ascii="Times New Roman" w:hAnsi="Times New Roman"/>
          <w:b/>
          <w:noProof/>
          <w:sz w:val="24"/>
        </w:rPr>
        <w:t>diplomacia científica</w:t>
      </w:r>
      <w:r>
        <w:rPr>
          <w:rStyle w:val="FootnoteReference"/>
          <w:rFonts w:ascii="Times New Roman" w:hAnsi="Times New Roman" w:cs="Times New Roman"/>
          <w:noProof/>
          <w:sz w:val="24"/>
          <w:szCs w:val="24"/>
          <w:lang w:val="en-US"/>
        </w:rPr>
        <w:footnoteReference w:id="13"/>
      </w:r>
      <w:r>
        <w:rPr>
          <w:rStyle w:val="markedcontent"/>
          <w:rFonts w:ascii="Times New Roman" w:hAnsi="Times New Roman"/>
          <w:b/>
          <w:noProof/>
          <w:sz w:val="24"/>
        </w:rPr>
        <w:t xml:space="preserve"> </w:t>
      </w:r>
      <w:r>
        <w:rPr>
          <w:rStyle w:val="markedcontent"/>
          <w:rFonts w:ascii="Times New Roman" w:hAnsi="Times New Roman"/>
          <w:noProof/>
          <w:sz w:val="24"/>
        </w:rPr>
        <w:t>desempeña un papel cada vez más importante</w:t>
      </w:r>
      <w:r>
        <w:rPr>
          <w:rFonts w:ascii="Times New Roman" w:hAnsi="Times New Roman"/>
          <w:noProof/>
          <w:sz w:val="24"/>
        </w:rPr>
        <w:t xml:space="preserve"> debido a una serie de factores como: la creciente complejidad de los retos mundiales, las presiones sobre los bienes comunes mundiales, el impacto de las tecnologías emergentes, el contexto de seguridad mundial, en particular con la guerra de agresión rusa contra Ucrania, y la </w:t>
      </w:r>
      <w:r>
        <w:rPr>
          <w:rStyle w:val="markedcontent"/>
          <w:rFonts w:ascii="Times New Roman" w:hAnsi="Times New Roman"/>
          <w:noProof/>
          <w:sz w:val="24"/>
        </w:rPr>
        <w:t>búsqueda de la autonomía estratégica abierta y la soberanía tecnológica de la UE</w:t>
      </w:r>
      <w:r>
        <w:rPr>
          <w:rFonts w:ascii="Times New Roman" w:hAnsi="Times New Roman"/>
          <w:noProof/>
          <w:sz w:val="24"/>
        </w:rPr>
        <w:t>.</w:t>
      </w:r>
      <w:r>
        <w:rPr>
          <w:rStyle w:val="markedcontent"/>
          <w:rFonts w:ascii="Times New Roman" w:hAnsi="Times New Roman"/>
          <w:noProof/>
          <w:sz w:val="24"/>
        </w:rPr>
        <w:t xml:space="preserve"> </w:t>
      </w:r>
      <w:r>
        <w:rPr>
          <w:rFonts w:ascii="Times New Roman" w:hAnsi="Times New Roman"/>
          <w:b/>
          <w:noProof/>
          <w:sz w:val="24"/>
        </w:rPr>
        <w:t>Los esfuerzos de diplomacia científica en la Unión siguen estando en gran medida descoordinados</w:t>
      </w:r>
      <w:r>
        <w:rPr>
          <w:rFonts w:ascii="Times New Roman" w:hAnsi="Times New Roman"/>
          <w:noProof/>
          <w:sz w:val="24"/>
        </w:rPr>
        <w:t xml:space="preserve"> </w:t>
      </w:r>
      <w:r>
        <w:rPr>
          <w:rFonts w:ascii="Times New Roman" w:hAnsi="Times New Roman"/>
          <w:b/>
          <w:noProof/>
          <w:sz w:val="24"/>
        </w:rPr>
        <w:t>y</w:t>
      </w:r>
      <w:r>
        <w:rPr>
          <w:rFonts w:ascii="Times New Roman" w:hAnsi="Times New Roman"/>
          <w:noProof/>
          <w:sz w:val="24"/>
        </w:rPr>
        <w:t xml:space="preserve"> </w:t>
      </w:r>
      <w:r>
        <w:rPr>
          <w:rFonts w:ascii="Times New Roman" w:hAnsi="Times New Roman"/>
          <w:b/>
          <w:noProof/>
          <w:sz w:val="24"/>
        </w:rPr>
        <w:t>carecen de sinergias y de un enfoque a escala de la UE</w:t>
      </w:r>
      <w:r>
        <w:rPr>
          <w:rStyle w:val="FootnoteReference"/>
          <w:rFonts w:ascii="Times New Roman" w:hAnsi="Times New Roman" w:cs="Times New Roman"/>
          <w:bCs/>
          <w:noProof/>
          <w:sz w:val="24"/>
          <w:szCs w:val="24"/>
        </w:rPr>
        <w:footnoteReference w:id="14"/>
      </w:r>
      <w:r>
        <w:rPr>
          <w:rStyle w:val="FootnoteReference"/>
          <w:rFonts w:ascii="Times New Roman" w:hAnsi="Times New Roman" w:cs="Times New Roman"/>
          <w:bCs/>
          <w:noProof/>
          <w:sz w:val="24"/>
          <w:szCs w:val="24"/>
          <w:vertAlign w:val="baseline"/>
        </w:rPr>
        <w:t>.</w:t>
      </w:r>
      <w:r>
        <w:rPr>
          <w:rStyle w:val="FootnoteReference"/>
          <w:rFonts w:ascii="Times New Roman" w:hAnsi="Times New Roman"/>
          <w:noProof/>
          <w:sz w:val="24"/>
          <w:vertAlign w:val="baseline"/>
        </w:rPr>
        <w:t>.</w:t>
      </w:r>
      <w:r>
        <w:rPr>
          <w:rFonts w:ascii="Times New Roman" w:hAnsi="Times New Roman"/>
          <w:noProof/>
          <w:sz w:val="24"/>
        </w:rPr>
        <w:t xml:space="preserve"> Estas deficiencias crean vulnerabilidades en un entorno geopolítico, científico y tecnológico en rápida evolución, en el que otros actores internacionales utilizan la diplomacia científica de forma mucho más específica.</w:t>
      </w:r>
    </w:p>
    <w:p w14:paraId="7EF798A3" w14:textId="77777777" w:rsidR="00650EAB" w:rsidRPr="005132AB" w:rsidRDefault="00650EAB"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En sus conclusiones sobre el enfoque global y sobre el futuro de la gobernanza del Espacio Europeo de Investigación (EEI), el Consejo pidió a la Comisión y al Servicio Europeo de Acción Exterior que desarrollaran una agenda de diplomacia científica. A partir de los debates en el seno del subgrupo del Foro EEI sobre el enfoque global y con diferentes grupos de partes interesadas, surgieron cuatro pilares de la diplomacia científica</w:t>
      </w:r>
      <w:r>
        <w:rPr>
          <w:rStyle w:val="FootnoteReference"/>
          <w:rFonts w:ascii="Times New Roman" w:hAnsi="Times New Roman" w:cs="Times New Roman"/>
          <w:noProof/>
          <w:sz w:val="24"/>
          <w:szCs w:val="24"/>
        </w:rPr>
        <w:footnoteReference w:id="15"/>
      </w:r>
      <w:r>
        <w:rPr>
          <w:rFonts w:ascii="Times New Roman" w:hAnsi="Times New Roman"/>
          <w:noProof/>
          <w:sz w:val="24"/>
        </w:rPr>
        <w:t xml:space="preserve"> y los debates continúan sobre esta base, tanto en las instituciones de la UE como con las partes interesadas pertinentes.</w:t>
      </w:r>
    </w:p>
    <w:p w14:paraId="7BA7B453" w14:textId="77777777" w:rsidR="006925C6" w:rsidRPr="006925C6" w:rsidRDefault="006925C6" w:rsidP="00152025">
      <w:pPr>
        <w:pStyle w:val="ListParagraph"/>
        <w:spacing w:after="200"/>
        <w:ind w:left="788" w:hanging="431"/>
        <w:jc w:val="both"/>
        <w:rPr>
          <w:b/>
          <w:noProof/>
        </w:rPr>
      </w:pPr>
      <w:r>
        <w:rPr>
          <w:b/>
          <w:noProof/>
        </w:rPr>
        <w:t>2.2. La dimensión internacional de Horizonte Europa y su política de asociación</w:t>
      </w:r>
    </w:p>
    <w:p w14:paraId="6BBDD1F4" w14:textId="77777777" w:rsidR="00877A94" w:rsidRPr="00A62E17" w:rsidRDefault="00877A94"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La cooperación internacional en materia de I+i es indispensable para garantizar el acceso a los talentos, los conocimientos, las infraestructuras y los mercados a escala mundial, para hacer frente de manera eficaz a los desafíos mundiales y para ejecutar los compromisos de ámbito mundial. La UE es un importante catalizador de la internacionalización de la I+i, y Horizonte Europa, el Programa Marco de Investigación e Innovación de la UE, atrae a investigadores, innovadores y empresas de uso intensivo de conocimientos</w:t>
      </w:r>
      <w:r>
        <w:rPr>
          <w:rStyle w:val="FootnoteReference"/>
          <w:rFonts w:ascii="Times New Roman" w:hAnsi="Times New Roman" w:cs="Times New Roman"/>
          <w:noProof/>
          <w:sz w:val="24"/>
          <w:szCs w:val="24"/>
        </w:rPr>
        <w:footnoteReference w:id="16"/>
      </w:r>
      <w:r>
        <w:rPr>
          <w:rFonts w:ascii="Times New Roman" w:hAnsi="Times New Roman"/>
          <w:noProof/>
          <w:sz w:val="24"/>
        </w:rPr>
        <w:t xml:space="preserve">. </w:t>
      </w:r>
    </w:p>
    <w:p w14:paraId="6C2C7CF1" w14:textId="77777777" w:rsidR="00F81B54" w:rsidRDefault="00877A94"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apertura al mundo es una característica distintiva de Horizonte Europa. Los proyectos colaborativos pueden incluir socios de todo el mundo. Salvo en algunos casos, los socios de países de renta baja y media pueden optar automáticamente a la financiación de la UE, mientras que en el caso de los países industrializados, se espera que aporten su propia financiación a los proyectos. </w:t>
      </w:r>
    </w:p>
    <w:p w14:paraId="01C21AC6" w14:textId="77777777" w:rsidR="00877A94" w:rsidRPr="00A62E17" w:rsidRDefault="00877A94"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En los dos primeros programas de trabajo bienales de Horizonte Europa (para 2021-22 y 2023-24), alrededor del 21 % de todos los temas de investigación colaborativa fomentaron activamente la cooperación internacional. También se pusieron en marcha iniciativas específicas centradas en la cooperación con África y los países del sur del Mediterráneo. Las acciones Marie Skłodowska-Curie (MSCA) son el componente más internacional de Horizonte Europa</w:t>
      </w:r>
      <w:r>
        <w:rPr>
          <w:rStyle w:val="FootnoteReference"/>
          <w:rFonts w:ascii="Times New Roman" w:hAnsi="Times New Roman" w:cs="Times New Roman"/>
          <w:noProof/>
          <w:sz w:val="24"/>
          <w:szCs w:val="24"/>
        </w:rPr>
        <w:footnoteReference w:id="17"/>
      </w:r>
      <w:r>
        <w:rPr>
          <w:rFonts w:ascii="Times New Roman" w:hAnsi="Times New Roman"/>
          <w:noProof/>
          <w:sz w:val="24"/>
        </w:rPr>
        <w:t xml:space="preserve"> y son fundamentales para establecer asociaciones internacionales entre organizaciones de I+i. Entre los investigadores individuales seleccionados en el marco de las becas posdoctorales de las acciones Marie Skłodowska-Curie, el 38 % procede de terceros países</w:t>
      </w:r>
      <w:r>
        <w:rPr>
          <w:rStyle w:val="FootnoteReference"/>
          <w:rFonts w:ascii="Times New Roman" w:hAnsi="Times New Roman" w:cs="Times New Roman"/>
          <w:noProof/>
          <w:sz w:val="24"/>
          <w:szCs w:val="24"/>
        </w:rPr>
        <w:footnoteReference w:id="18"/>
      </w:r>
      <w:r>
        <w:rPr>
          <w:rFonts w:ascii="Times New Roman" w:hAnsi="Times New Roman"/>
          <w:noProof/>
          <w:sz w:val="24"/>
        </w:rPr>
        <w:t>. Ligadas, entre otros, a los Objetivos de Desarrollo Sostenible de las Naciones Unidas, las misiones de Horizonte Europa tienen una fuerte dimensión internacional</w:t>
      </w:r>
      <w:r>
        <w:rPr>
          <w:rStyle w:val="FootnoteReference"/>
          <w:rFonts w:ascii="Times New Roman" w:hAnsi="Times New Roman" w:cs="Times New Roman"/>
          <w:noProof/>
          <w:sz w:val="24"/>
          <w:szCs w:val="24"/>
        </w:rPr>
        <w:footnoteReference w:id="19"/>
      </w:r>
      <w:r>
        <w:rPr>
          <w:rFonts w:ascii="Times New Roman" w:hAnsi="Times New Roman"/>
          <w:noProof/>
          <w:sz w:val="24"/>
        </w:rPr>
        <w:t xml:space="preserve"> (véase la sección 4).</w:t>
      </w:r>
    </w:p>
    <w:p w14:paraId="0E89BCBB" w14:textId="77777777" w:rsidR="005B46BC" w:rsidRDefault="005B46BC"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En el marco de Horizonte Europa, la UE ha seguido financiando el acceso transnacional a las infraestructuras de investigación, incluidas las gestionadas por el Centro Común de Investigación de la Comisión</w:t>
      </w:r>
      <w:r>
        <w:rPr>
          <w:rStyle w:val="FootnoteReference"/>
          <w:rFonts w:ascii="Times New Roman" w:hAnsi="Times New Roman" w:cs="Times New Roman"/>
          <w:noProof/>
          <w:sz w:val="24"/>
          <w:szCs w:val="24"/>
          <w:lang w:val="en-GB"/>
        </w:rPr>
        <w:footnoteReference w:id="20"/>
      </w:r>
      <w:r>
        <w:rPr>
          <w:rFonts w:ascii="Times New Roman" w:hAnsi="Times New Roman"/>
          <w:noProof/>
          <w:sz w:val="24"/>
        </w:rPr>
        <w:t>, para usuarios de terceros países. La UE promueve programas internacionales de acceso en el marco del Grupo de altos funcionarios del G7 encargado de las infraestructuras mundiales de investigación</w:t>
      </w:r>
      <w:r>
        <w:rPr>
          <w:rStyle w:val="FootnoteReference"/>
          <w:rFonts w:ascii="Times New Roman" w:hAnsi="Times New Roman" w:cs="Times New Roman"/>
          <w:noProof/>
          <w:sz w:val="24"/>
          <w:szCs w:val="24"/>
          <w:lang w:val="en-GB"/>
        </w:rPr>
        <w:footnoteReference w:id="21"/>
      </w:r>
      <w:r>
        <w:rPr>
          <w:rFonts w:ascii="Times New Roman" w:hAnsi="Times New Roman"/>
          <w:noProof/>
          <w:sz w:val="24"/>
        </w:rPr>
        <w:t>. En 2022, la Comisión y los Estados miembros apoyaron la Declaración de Brno</w:t>
      </w:r>
      <w:r>
        <w:rPr>
          <w:rStyle w:val="FootnoteReference"/>
          <w:rFonts w:ascii="Times New Roman" w:hAnsi="Times New Roman" w:cs="Times New Roman"/>
          <w:noProof/>
          <w:sz w:val="24"/>
          <w:szCs w:val="24"/>
          <w:lang w:val="en-GB"/>
        </w:rPr>
        <w:footnoteReference w:id="22"/>
      </w:r>
      <w:r>
        <w:rPr>
          <w:rFonts w:ascii="Times New Roman" w:hAnsi="Times New Roman"/>
          <w:noProof/>
          <w:sz w:val="24"/>
        </w:rPr>
        <w:t xml:space="preserve">, cuyo objetivo es fomentar un ecosistema mundial de infraestructuras de investigación. </w:t>
      </w:r>
    </w:p>
    <w:p w14:paraId="5519F826" w14:textId="41317507" w:rsidR="00F94B65" w:rsidRDefault="00BD7512"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Mientras que los programas marco anteriores han estado abiertos a la asociación de países vecinos de la Unión Europea, Horizonte Europa ofrece, por primera vez, la posibilidad de asociarse a terceros países situados en cualquier lugar del mundo, que tengan una buena capacidad en ciencia, tecnología e innovación</w:t>
      </w:r>
      <w:r>
        <w:rPr>
          <w:rStyle w:val="FootnoteReference"/>
          <w:rFonts w:ascii="Times New Roman" w:hAnsi="Times New Roman" w:cs="Times New Roman"/>
          <w:noProof/>
          <w:sz w:val="24"/>
          <w:szCs w:val="24"/>
          <w:lang w:val="en-GB"/>
        </w:rPr>
        <w:footnoteReference w:id="23"/>
      </w:r>
      <w:r>
        <w:rPr>
          <w:rFonts w:ascii="Times New Roman" w:hAnsi="Times New Roman"/>
          <w:noProof/>
          <w:sz w:val="24"/>
        </w:rPr>
        <w:t xml:space="preserve"> y compartan valores comunes con la UE. Nueva Zelanda es el primer país más allá de la vecindad directa de la UE con el que finalizaron las negociaciones de asociación en diciembre de 2022. Las negociaciones con Canadá están en curso y el inicio de las negociaciones con la República de Corea se anunció en la Cumbre UE-Corea de mayo de 2023. También se está estudiando la posibilidad de iniciar negociaciones con Japón. </w:t>
      </w:r>
    </w:p>
    <w:p w14:paraId="6051ACB5" w14:textId="67681E7D" w:rsidR="00877A94" w:rsidRDefault="00BF5331" w:rsidP="00D065EC">
      <w:pPr>
        <w:spacing w:after="120" w:line="276" w:lineRule="auto"/>
        <w:jc w:val="both"/>
        <w:rPr>
          <w:rFonts w:ascii="Times New Roman" w:hAnsi="Times New Roman" w:cs="Times New Roman"/>
          <w:noProof/>
          <w:sz w:val="24"/>
          <w:szCs w:val="24"/>
        </w:rPr>
      </w:pPr>
      <w:r>
        <w:rPr>
          <w:rFonts w:ascii="Times New Roman" w:hAnsi="Times New Roman"/>
          <w:noProof/>
          <w:sz w:val="24"/>
        </w:rPr>
        <w:t>En la vecindad de la UE, Horizonte Europa confirma la posibilidad de que terceros países pertenecientes a la Asociación Europea de Libre Comercio (AELC) que son miembros del Espacio Económico Europeo, países adherentes, candidatos y candidatos potenciales, así como países de la política europea de vecindad, se asocien al programa. Hasta la fecha, hay dieciséis países ya asociados al programa: Albania, Armenia, Bosnia y Herzegovina, Georgia, Islandia, Islas Feroe, Israel, Kosovo</w:t>
      </w:r>
      <w:r>
        <w:rPr>
          <w:rFonts w:ascii="Times New Roman" w:hAnsi="Times New Roman"/>
          <w:noProof/>
          <w:sz w:val="24"/>
          <w:vertAlign w:val="superscript"/>
        </w:rPr>
        <w:t>*</w:t>
      </w:r>
      <w:r>
        <w:rPr>
          <w:rFonts w:ascii="Times New Roman" w:hAnsi="Times New Roman"/>
          <w:noProof/>
          <w:sz w:val="24"/>
        </w:rPr>
        <w:t>, Macedonia del Norte, Moldavia, Montenegro, Noruega, Serbia, Túnez, Turquía y Ucrania</w:t>
      </w:r>
      <w:r>
        <w:rPr>
          <w:rStyle w:val="FootnoteReference"/>
          <w:rFonts w:ascii="Times New Roman" w:hAnsi="Times New Roman" w:cs="Times New Roman"/>
          <w:noProof/>
          <w:sz w:val="24"/>
          <w:szCs w:val="24"/>
          <w:lang w:val="en-GB"/>
        </w:rPr>
        <w:footnoteReference w:id="24"/>
      </w:r>
      <w:r>
        <w:rPr>
          <w:rFonts w:ascii="Times New Roman" w:hAnsi="Times New Roman"/>
          <w:noProof/>
          <w:sz w:val="24"/>
        </w:rPr>
        <w:t>. La UE sigue trabajando en la conclusión del proceso de asociación con el Reino Unido, y están en curso negociaciones formales con Marruecos.</w:t>
      </w:r>
    </w:p>
    <w:p w14:paraId="385B92F7" w14:textId="77777777" w:rsidR="00912308" w:rsidRPr="00AA5FBB" w:rsidRDefault="00AA5FBB" w:rsidP="00152025">
      <w:pPr>
        <w:pStyle w:val="ListParagraph"/>
        <w:numPr>
          <w:ilvl w:val="0"/>
          <w:numId w:val="1"/>
        </w:numPr>
        <w:spacing w:after="200"/>
        <w:ind w:left="357" w:hanging="357"/>
        <w:jc w:val="both"/>
        <w:rPr>
          <w:b/>
          <w:smallCaps/>
          <w:noProof/>
          <w:szCs w:val="20"/>
        </w:rPr>
      </w:pPr>
      <w:r>
        <w:rPr>
          <w:b/>
          <w:smallCaps/>
          <w:noProof/>
        </w:rPr>
        <w:t>Reequilibrar el enfoque global de la UE para la I+i: hacia el logro de la igualdad de condiciones y la reciprocidad</w:t>
      </w:r>
    </w:p>
    <w:tbl>
      <w:tblPr>
        <w:tblStyle w:val="TableGrid"/>
        <w:tblW w:w="0" w:type="auto"/>
        <w:shd w:val="clear" w:color="auto" w:fill="D9D9D9" w:themeFill="background1" w:themeFillShade="D9"/>
        <w:tblLook w:val="04A0" w:firstRow="1" w:lastRow="0" w:firstColumn="1" w:lastColumn="0" w:noHBand="0" w:noVBand="1"/>
      </w:tblPr>
      <w:tblGrid>
        <w:gridCol w:w="9242"/>
      </w:tblGrid>
      <w:tr w:rsidR="006F0374" w14:paraId="7CF8170D" w14:textId="77777777" w:rsidTr="00FA2713">
        <w:tc>
          <w:tcPr>
            <w:tcW w:w="9242" w:type="dxa"/>
            <w:shd w:val="clear" w:color="auto" w:fill="D9D9D9" w:themeFill="background1" w:themeFillShade="D9"/>
          </w:tcPr>
          <w:p w14:paraId="2C21E732" w14:textId="77777777" w:rsidR="00FA2713" w:rsidRDefault="00FA2713"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UE estableció </w:t>
            </w:r>
            <w:r>
              <w:rPr>
                <w:rFonts w:ascii="Times New Roman" w:hAnsi="Times New Roman"/>
                <w:b/>
                <w:noProof/>
                <w:sz w:val="24"/>
              </w:rPr>
              <w:t>compromisos conjuntos con socios prioritarios</w:t>
            </w:r>
            <w:r>
              <w:rPr>
                <w:rFonts w:ascii="Times New Roman" w:hAnsi="Times New Roman"/>
                <w:noProof/>
                <w:sz w:val="24"/>
              </w:rPr>
              <w:t>, como los Estados Unidos de América (EE. UU.), Canadá, Japón, la India, los países del Mediterráneo meridional y la Unión Africana, para aplicar condiciones marco diseñadas para garantizar la igualdad de condiciones y promover valores compartidos (véanse más detalles en la sección 5).</w:t>
            </w:r>
          </w:p>
          <w:p w14:paraId="2BAF3E5C" w14:textId="77777777" w:rsidR="006F0374" w:rsidRDefault="00FA2713" w:rsidP="00B1164C">
            <w:pPr>
              <w:spacing w:after="120" w:line="276" w:lineRule="auto"/>
              <w:jc w:val="both"/>
              <w:rPr>
                <w:rFonts w:ascii="Times New Roman" w:hAnsi="Times New Roman" w:cs="Times New Roman"/>
                <w:noProof/>
                <w:sz w:val="24"/>
                <w:szCs w:val="24"/>
              </w:rPr>
            </w:pPr>
            <w:r>
              <w:rPr>
                <w:rFonts w:ascii="Times New Roman" w:hAnsi="Times New Roman"/>
                <w:noProof/>
                <w:sz w:val="24"/>
              </w:rPr>
              <w:t>La Comisión aplicó el artículo 22, apartados 5 y 6, del Reglamento de Horizonte Europa</w:t>
            </w:r>
            <w:r>
              <w:rPr>
                <w:rStyle w:val="FootnoteReference"/>
                <w:rFonts w:ascii="Times New Roman" w:eastAsiaTheme="minorEastAsia" w:hAnsi="Times New Roman"/>
                <w:noProof/>
                <w:sz w:val="24"/>
                <w:szCs w:val="24"/>
                <w:lang w:eastAsia="zh-CN"/>
              </w:rPr>
              <w:footnoteReference w:id="25"/>
            </w:r>
            <w:r>
              <w:rPr>
                <w:rFonts w:ascii="Times New Roman" w:hAnsi="Times New Roman"/>
                <w:noProof/>
                <w:sz w:val="24"/>
              </w:rPr>
              <w:t xml:space="preserve"> para salvaguardar los </w:t>
            </w:r>
            <w:r>
              <w:rPr>
                <w:rFonts w:ascii="Times New Roman" w:hAnsi="Times New Roman"/>
                <w:b/>
                <w:noProof/>
                <w:sz w:val="24"/>
              </w:rPr>
              <w:t>activos estratégicos, los intereses, la autonomía o la seguridad de la UE</w:t>
            </w:r>
            <w:r>
              <w:rPr>
                <w:rFonts w:ascii="Times New Roman" w:hAnsi="Times New Roman"/>
                <w:noProof/>
                <w:sz w:val="24"/>
              </w:rPr>
              <w:t xml:space="preserve">. Elaboró directrices sobre injerencias extranjeras, principios rectores sobre la valorización del conocimiento, un </w:t>
            </w:r>
            <w:r>
              <w:rPr>
                <w:rFonts w:ascii="Times New Roman" w:hAnsi="Times New Roman"/>
                <w:b/>
                <w:noProof/>
                <w:sz w:val="24"/>
              </w:rPr>
              <w:t xml:space="preserve">código de buenas prácticas en materia de gestión de los activos intelectuales </w:t>
            </w:r>
            <w:r>
              <w:rPr>
                <w:rFonts w:ascii="Times New Roman" w:hAnsi="Times New Roman"/>
                <w:noProof/>
                <w:sz w:val="24"/>
              </w:rPr>
              <w:t xml:space="preserve">y un </w:t>
            </w:r>
            <w:r>
              <w:rPr>
                <w:rFonts w:ascii="Times New Roman" w:hAnsi="Times New Roman"/>
                <w:b/>
                <w:noProof/>
                <w:sz w:val="24"/>
              </w:rPr>
              <w:t>código de buenas prácticas en materia de normalización</w:t>
            </w:r>
            <w:r>
              <w:rPr>
                <w:rStyle w:val="FootnoteReference"/>
                <w:rFonts w:ascii="Times New Roman" w:hAnsi="Times New Roman" w:cs="Times New Roman"/>
                <w:noProof/>
                <w:sz w:val="24"/>
                <w:szCs w:val="24"/>
                <w:lang w:val="en-GB"/>
              </w:rPr>
              <w:footnoteReference w:id="26"/>
            </w:r>
            <w:r>
              <w:rPr>
                <w:rFonts w:ascii="Times New Roman" w:hAnsi="Times New Roman"/>
                <w:noProof/>
                <w:sz w:val="24"/>
              </w:rPr>
              <w:t xml:space="preserve">. </w:t>
            </w:r>
          </w:p>
        </w:tc>
      </w:tr>
    </w:tbl>
    <w:p w14:paraId="54994070" w14:textId="77777777" w:rsidR="00860A42" w:rsidRDefault="00E0113A"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La pandemia de COVID-19 y el contexto geopolítico en rápida evolución han puesto de manifiesto los graves riesgos asociados a las dependencias de la UE en varios sectores estratégicos</w:t>
      </w:r>
      <w:r>
        <w:rPr>
          <w:rFonts w:ascii="Times New Roman" w:hAnsi="Times New Roman"/>
          <w:noProof/>
          <w:sz w:val="24"/>
          <w:vertAlign w:val="superscript"/>
          <w:lang w:val="en-GB"/>
        </w:rPr>
        <w:footnoteReference w:id="27"/>
      </w:r>
      <w:r>
        <w:rPr>
          <w:rFonts w:ascii="Times New Roman" w:hAnsi="Times New Roman"/>
          <w:noProof/>
          <w:sz w:val="24"/>
        </w:rPr>
        <w:t>. Esto exige que se preste atención a la distribución de la capacidad tecnológica entre los principales agentes económicos</w:t>
      </w:r>
      <w:r>
        <w:rPr>
          <w:rStyle w:val="FootnoteReference"/>
          <w:rFonts w:ascii="Times New Roman" w:hAnsi="Times New Roman" w:cs="Times New Roman"/>
          <w:noProof/>
          <w:sz w:val="24"/>
          <w:szCs w:val="24"/>
        </w:rPr>
        <w:footnoteReference w:id="28"/>
      </w:r>
      <w:r>
        <w:rPr>
          <w:rFonts w:ascii="Times New Roman" w:hAnsi="Times New Roman"/>
          <w:noProof/>
          <w:sz w:val="24"/>
        </w:rPr>
        <w:t xml:space="preserve">. La </w:t>
      </w:r>
      <w:r>
        <w:rPr>
          <w:rFonts w:ascii="Times New Roman" w:hAnsi="Times New Roman"/>
          <w:b/>
          <w:noProof/>
          <w:sz w:val="24"/>
        </w:rPr>
        <w:t>soberanía tecnológica</w:t>
      </w:r>
      <w:r>
        <w:rPr>
          <w:rFonts w:ascii="Times New Roman" w:hAnsi="Times New Roman"/>
          <w:noProof/>
          <w:sz w:val="24"/>
        </w:rPr>
        <w:t xml:space="preserve"> requiere tanto los conocimientos científicos necesarios para crear, explotar y comprender las tecnologías críticas como el acceso a los componentes y materiales necesarios para transferir estas tecnologías del laboratorio al mercado</w:t>
      </w:r>
      <w:r>
        <w:rPr>
          <w:rStyle w:val="FootnoteReference"/>
          <w:rFonts w:ascii="Times New Roman" w:hAnsi="Times New Roman" w:cs="Times New Roman"/>
          <w:noProof/>
          <w:sz w:val="24"/>
          <w:szCs w:val="24"/>
        </w:rPr>
        <w:footnoteReference w:id="29"/>
      </w:r>
      <w:r>
        <w:rPr>
          <w:rFonts w:ascii="Times New Roman" w:hAnsi="Times New Roman"/>
          <w:noProof/>
          <w:sz w:val="24"/>
        </w:rPr>
        <w:t xml:space="preserve">. </w:t>
      </w:r>
    </w:p>
    <w:p w14:paraId="1649E620" w14:textId="051ABF2E" w:rsidR="003B1731" w:rsidRPr="003B1731" w:rsidRDefault="00737F78" w:rsidP="00152025">
      <w:pPr>
        <w:spacing w:after="120" w:line="276" w:lineRule="auto"/>
        <w:jc w:val="both"/>
        <w:rPr>
          <w:rFonts w:ascii="Times New Roman" w:eastAsiaTheme="minorEastAsia" w:hAnsi="Times New Roman"/>
          <w:noProof/>
          <w:sz w:val="24"/>
          <w:szCs w:val="24"/>
        </w:rPr>
      </w:pPr>
      <w:r>
        <w:rPr>
          <w:rFonts w:ascii="Times New Roman" w:hAnsi="Times New Roman"/>
          <w:noProof/>
          <w:sz w:val="24"/>
        </w:rPr>
        <w:t xml:space="preserve">El artículo 22, apartado 5, del Reglamento de Horizonte Europa </w:t>
      </w:r>
      <w:r>
        <w:rPr>
          <w:rFonts w:ascii="Times New Roman" w:hAnsi="Times New Roman"/>
          <w:b/>
          <w:noProof/>
          <w:sz w:val="24"/>
        </w:rPr>
        <w:t>permite limitar la participación</w:t>
      </w:r>
      <w:r>
        <w:rPr>
          <w:rFonts w:ascii="Times New Roman" w:hAnsi="Times New Roman"/>
          <w:noProof/>
          <w:sz w:val="24"/>
        </w:rPr>
        <w:t xml:space="preserve"> a las entidades jurídicas establecidas en los Estados miembros o en determinados países asociados u otros terceros países indicados en el programa de trabajo, a fin de salvaguardar los activos estratégicos, los intereses, la autonomía o la seguridad de la UE. Además, pueden aplicarse restricciones a las entidades establecidas en países admisibles pero controladas directa o indirectamente por un país no admisible o por una entidad establecida en un país no admisible. En virtud del artículo 22, apartado 5, se limitó la participación de cuarenta y nueve temas en el programa de trabajo para 2021-22 y de treinta y uno en el programa de trabajo para 2023-24, lo que representa el 4 % y el 3,5 %, respectivamente, de los presupuestos de estos programas de trabajo</w:t>
      </w:r>
      <w:r>
        <w:rPr>
          <w:rStyle w:val="FootnoteReference"/>
          <w:rFonts w:ascii="Times New Roman" w:eastAsiaTheme="minorEastAsia" w:hAnsi="Times New Roman"/>
          <w:noProof/>
          <w:sz w:val="24"/>
          <w:szCs w:val="24"/>
          <w:lang w:eastAsia="zh-CN"/>
        </w:rPr>
        <w:footnoteReference w:id="30"/>
      </w:r>
      <w:r>
        <w:rPr>
          <w:noProof/>
        </w:rPr>
        <w:t>.</w:t>
      </w:r>
      <w:r>
        <w:rPr>
          <w:rFonts w:ascii="Times New Roman" w:hAnsi="Times New Roman"/>
          <w:noProof/>
          <w:sz w:val="24"/>
        </w:rPr>
        <w:t xml:space="preserve"> Las disposiciones del artículo 22, apartado 5, se utilizaron para temas relacionados con la </w:t>
      </w:r>
      <w:r>
        <w:rPr>
          <w:rFonts w:ascii="Times New Roman" w:hAnsi="Times New Roman"/>
          <w:b/>
          <w:noProof/>
          <w:sz w:val="24"/>
        </w:rPr>
        <w:t>investigación cuántica</w:t>
      </w:r>
      <w:r>
        <w:rPr>
          <w:rFonts w:ascii="Times New Roman" w:hAnsi="Times New Roman"/>
          <w:noProof/>
          <w:sz w:val="24"/>
        </w:rPr>
        <w:t xml:space="preserve">, el </w:t>
      </w:r>
      <w:r>
        <w:rPr>
          <w:rFonts w:ascii="Times New Roman" w:hAnsi="Times New Roman"/>
          <w:b/>
          <w:noProof/>
          <w:sz w:val="24"/>
        </w:rPr>
        <w:t>espacio</w:t>
      </w:r>
      <w:r>
        <w:rPr>
          <w:rFonts w:ascii="Times New Roman" w:hAnsi="Times New Roman"/>
          <w:noProof/>
          <w:sz w:val="24"/>
        </w:rPr>
        <w:t xml:space="preserve"> y las </w:t>
      </w:r>
      <w:r>
        <w:rPr>
          <w:rFonts w:ascii="Times New Roman" w:hAnsi="Times New Roman"/>
          <w:b/>
          <w:noProof/>
          <w:sz w:val="24"/>
        </w:rPr>
        <w:t>materias primas fundamentales</w:t>
      </w:r>
      <w:r>
        <w:rPr>
          <w:rFonts w:ascii="Times New Roman" w:hAnsi="Times New Roman"/>
          <w:noProof/>
          <w:sz w:val="24"/>
        </w:rPr>
        <w:t xml:space="preserve">. La aplicación del artículo 22, apartado 5, es excepcional y está debidamente justificada. </w:t>
      </w:r>
    </w:p>
    <w:p w14:paraId="2C0E2082" w14:textId="77777777" w:rsidR="004F57F8" w:rsidRPr="00390662" w:rsidRDefault="00770AD2"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Cuando proceda y esté debidamente justificado, el artículo 22, apartado 6, del Reglamento de Horizonte Europa permite incluir </w:t>
      </w:r>
      <w:r>
        <w:rPr>
          <w:rFonts w:ascii="Times New Roman" w:hAnsi="Times New Roman"/>
          <w:b/>
          <w:noProof/>
          <w:sz w:val="24"/>
        </w:rPr>
        <w:t>criterios de admisibilidad adicionales</w:t>
      </w:r>
      <w:r>
        <w:rPr>
          <w:rFonts w:ascii="Times New Roman" w:hAnsi="Times New Roman"/>
          <w:noProof/>
          <w:sz w:val="24"/>
        </w:rPr>
        <w:t xml:space="preserve"> para tener en cuenta requisitos de actuación específicos o la naturaleza y los objetivos de la acción. La Comisión ha hecho uso de este artículo con terceros países en los que se consideró que no se habían establecido las condiciones marco que garantizaban la igualdad de condiciones en la cooperación en el ámbito de la I+i. </w:t>
      </w:r>
    </w:p>
    <w:p w14:paraId="3501EE9F" w14:textId="77777777" w:rsidR="00BC1653" w:rsidRDefault="006E0666" w:rsidP="00BC1653">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Con el fin de garantizar que las acciones llevadas a cabo en el marco de Horizonte Europa sean conformes con las normas de seguridad aplicables con arreglo al artículo 20, apartado 1, del Reglamento de Horizonte Europa, la Comisión aplicó un </w:t>
      </w:r>
      <w:r>
        <w:rPr>
          <w:rFonts w:ascii="Times New Roman" w:hAnsi="Times New Roman"/>
          <w:b/>
          <w:noProof/>
          <w:sz w:val="24"/>
        </w:rPr>
        <w:t>procedimiento de control de la seguridad</w:t>
      </w:r>
      <w:r>
        <w:rPr>
          <w:rFonts w:ascii="Times New Roman" w:hAnsi="Times New Roman"/>
          <w:noProof/>
          <w:sz w:val="24"/>
        </w:rPr>
        <w:t xml:space="preserve"> para los proyectos que implican el uso de información sensible o clasificada, o información o material sujetos a restricciones de seguridad nacional. La actual situación geopolítica ha dado lugar a una creciente demanda de procedimientos de control de seguridad para los proyectos de Horizonte Europa.</w:t>
      </w:r>
    </w:p>
    <w:p w14:paraId="262C29F9" w14:textId="77777777" w:rsidR="004B02B4" w:rsidRDefault="00275F7D" w:rsidP="00BC1653">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Comisión publicó unas directrices para </w:t>
      </w:r>
      <w:r>
        <w:rPr>
          <w:rFonts w:ascii="Times New Roman" w:hAnsi="Times New Roman"/>
          <w:b/>
          <w:noProof/>
          <w:sz w:val="24"/>
        </w:rPr>
        <w:t>luchar contra las injerencias extranjeras en la I+i</w:t>
      </w:r>
      <w:r>
        <w:rPr>
          <w:rStyle w:val="FootnoteReference"/>
          <w:rFonts w:ascii="Times New Roman" w:hAnsi="Times New Roman" w:cs="Times New Roman"/>
          <w:noProof/>
          <w:sz w:val="24"/>
          <w:szCs w:val="24"/>
        </w:rPr>
        <w:footnoteReference w:id="31"/>
      </w:r>
      <w:r>
        <w:rPr>
          <w:rFonts w:ascii="Times New Roman" w:hAnsi="Times New Roman"/>
          <w:noProof/>
          <w:sz w:val="24"/>
        </w:rPr>
        <w:t>. En ese documento se describen las mejores prácticas para apoyar a los centros de enseñanza superior y las organizaciones que realizan actividades de investigación de la UE a la hora de salvaguardar su libertad académica, su integridad y su autonomía institucional, así como sus resultados y activos de investigación. En el marco del grupo de trabajo del G7 sobre seguridad e integridad del ecosistema mundial de investigación</w:t>
      </w:r>
      <w:r>
        <w:rPr>
          <w:rStyle w:val="FootnoteReference"/>
          <w:rFonts w:ascii="Times New Roman" w:hAnsi="Times New Roman" w:cs="Times New Roman"/>
          <w:noProof/>
          <w:sz w:val="24"/>
          <w:szCs w:val="24"/>
        </w:rPr>
        <w:footnoteReference w:id="32"/>
      </w:r>
      <w:r>
        <w:rPr>
          <w:rFonts w:ascii="Times New Roman" w:hAnsi="Times New Roman"/>
          <w:noProof/>
          <w:sz w:val="24"/>
        </w:rPr>
        <w:t>, la Comisión, junto con sus socios de ideas afines, elaboró principios comunes de seguridad en el ámbito de la investigación.</w:t>
      </w:r>
    </w:p>
    <w:p w14:paraId="0752F1A1" w14:textId="77777777" w:rsidR="00DC6E57" w:rsidRPr="006C4CD5" w:rsidRDefault="00275F7D"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A fin de potenciar el valor que genera el conocimiento, el Consejo ha adoptado una Recomendación sobre los </w:t>
      </w:r>
      <w:r>
        <w:rPr>
          <w:rFonts w:ascii="Times New Roman" w:hAnsi="Times New Roman"/>
          <w:b/>
          <w:noProof/>
          <w:sz w:val="24"/>
        </w:rPr>
        <w:t>principios rectores para la valorización del conocimiento</w:t>
      </w:r>
      <w:r>
        <w:rPr>
          <w:rFonts w:ascii="Times New Roman" w:hAnsi="Times New Roman" w:cs="Times New Roman"/>
          <w:noProof/>
          <w:sz w:val="24"/>
          <w:szCs w:val="24"/>
          <w:vertAlign w:val="superscript"/>
          <w:lang w:val="en-US"/>
        </w:rPr>
        <w:footnoteReference w:id="33"/>
      </w:r>
      <w:r>
        <w:rPr>
          <w:rFonts w:ascii="Times New Roman" w:hAnsi="Times New Roman"/>
          <w:noProof/>
          <w:sz w:val="24"/>
        </w:rPr>
        <w:t xml:space="preserve">. Es necesario sensibilizar a la comunidad científica sobre la gestión de los activos intelectuales, incluidos los derechos de propiedad intelectual, para promover la utilización y difusión efectivas de conocimientos, y facilitar el acceso a los activos protegidos por la propiedad intelectual y su intercambio. Para mejorar la colaboración en materia de normas mundiales, la Comisión puede fomentar una mayor coordinación con socios de ideas afines, basándose en sus recomendaciones sobre el </w:t>
      </w:r>
      <w:r>
        <w:rPr>
          <w:rFonts w:ascii="Times New Roman" w:hAnsi="Times New Roman"/>
          <w:b/>
          <w:noProof/>
          <w:sz w:val="24"/>
        </w:rPr>
        <w:t>código de buenas prácticas en materia de gestión de los activos intelectuales</w:t>
      </w:r>
      <w:r>
        <w:rPr>
          <w:rFonts w:ascii="Times New Roman" w:hAnsi="Times New Roman"/>
          <w:noProof/>
          <w:sz w:val="24"/>
        </w:rPr>
        <w:t xml:space="preserve"> y el </w:t>
      </w:r>
      <w:r>
        <w:rPr>
          <w:rFonts w:ascii="Times New Roman" w:hAnsi="Times New Roman"/>
          <w:b/>
          <w:noProof/>
          <w:sz w:val="24"/>
        </w:rPr>
        <w:t>código de buenas prácticas en materia de normalización</w:t>
      </w:r>
      <w:r>
        <w:rPr>
          <w:rStyle w:val="FootnoteReference"/>
          <w:rFonts w:ascii="Times New Roman" w:hAnsi="Times New Roman" w:cs="Times New Roman"/>
          <w:noProof/>
          <w:sz w:val="24"/>
          <w:szCs w:val="24"/>
          <w:lang w:val="en-US"/>
        </w:rPr>
        <w:footnoteReference w:id="34"/>
      </w:r>
      <w:r>
        <w:rPr>
          <w:rFonts w:ascii="Times New Roman" w:hAnsi="Times New Roman"/>
          <w:noProof/>
          <w:sz w:val="24"/>
        </w:rPr>
        <w:t>.</w:t>
      </w:r>
    </w:p>
    <w:p w14:paraId="140C5B7F" w14:textId="77777777" w:rsidR="00912308" w:rsidRPr="00BE03AC" w:rsidRDefault="003A0591" w:rsidP="00152025">
      <w:pPr>
        <w:pStyle w:val="ListParagraph"/>
        <w:numPr>
          <w:ilvl w:val="0"/>
          <w:numId w:val="1"/>
        </w:numPr>
        <w:spacing w:after="200"/>
        <w:jc w:val="both"/>
        <w:rPr>
          <w:b/>
          <w:noProof/>
          <w:szCs w:val="20"/>
        </w:rPr>
      </w:pPr>
      <w:r>
        <w:rPr>
          <w:b/>
          <w:smallCaps/>
          <w:noProof/>
        </w:rPr>
        <w:t>Aunar esfuerzos internacionales para afrontar juntos los desafíos mundiales</w:t>
      </w:r>
    </w:p>
    <w:p w14:paraId="391EDED8" w14:textId="77777777" w:rsidR="00912308" w:rsidRPr="00BE03AC" w:rsidRDefault="003A0591" w:rsidP="00152025">
      <w:pPr>
        <w:pStyle w:val="ListParagraph"/>
        <w:numPr>
          <w:ilvl w:val="1"/>
          <w:numId w:val="1"/>
        </w:numPr>
        <w:spacing w:after="200"/>
        <w:jc w:val="both"/>
        <w:rPr>
          <w:b/>
          <w:noProof/>
          <w:szCs w:val="20"/>
        </w:rPr>
      </w:pPr>
      <w:r>
        <w:rPr>
          <w:b/>
          <w:noProof/>
        </w:rPr>
        <w:t>Dirigir los esfuerzos internacionales hacia una transición ecológica justa</w:t>
      </w:r>
    </w:p>
    <w:tbl>
      <w:tblPr>
        <w:tblStyle w:val="TableGrid"/>
        <w:tblW w:w="0" w:type="auto"/>
        <w:shd w:val="clear" w:color="auto" w:fill="D9D9D9" w:themeFill="background1" w:themeFillShade="D9"/>
        <w:tblLook w:val="04A0" w:firstRow="1" w:lastRow="0" w:firstColumn="1" w:lastColumn="0" w:noHBand="0" w:noVBand="1"/>
      </w:tblPr>
      <w:tblGrid>
        <w:gridCol w:w="9242"/>
      </w:tblGrid>
      <w:tr w:rsidR="00564CAA" w14:paraId="57F56F7D" w14:textId="77777777" w:rsidTr="00421E25">
        <w:tc>
          <w:tcPr>
            <w:tcW w:w="9242" w:type="dxa"/>
            <w:shd w:val="clear" w:color="auto" w:fill="D9D9D9" w:themeFill="background1" w:themeFillShade="D9"/>
          </w:tcPr>
          <w:p w14:paraId="7057D7C9" w14:textId="77777777" w:rsidR="00564CAA" w:rsidRDefault="00933639"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UE contribuyó a la adopción del </w:t>
            </w:r>
            <w:r>
              <w:rPr>
                <w:rFonts w:ascii="Times New Roman" w:hAnsi="Times New Roman"/>
                <w:b/>
                <w:noProof/>
                <w:sz w:val="24"/>
              </w:rPr>
              <w:t xml:space="preserve">Marco Mundial Kunming-Montreal de la Diversidad Biológica </w:t>
            </w:r>
            <w:r>
              <w:rPr>
                <w:rFonts w:ascii="Times New Roman" w:hAnsi="Times New Roman"/>
                <w:noProof/>
                <w:sz w:val="24"/>
              </w:rPr>
              <w:t xml:space="preserve">en la Conferencia de las Naciones Unidas sobre la Diversidad Biológica (COP 15) el 18 de diciembre de 2022 y al acuerdo sobre el Tratado de Alta Mar de las Naciones Unidas en la Conferencia Intergubernamental sobre la diversidad biológica marina de las zonas situadas fuera de la jurisdicción nacional el 4 de marzo de 2023. Firmó la </w:t>
            </w:r>
            <w:r>
              <w:rPr>
                <w:rFonts w:ascii="Times New Roman" w:hAnsi="Times New Roman"/>
                <w:b/>
                <w:noProof/>
                <w:sz w:val="24"/>
              </w:rPr>
              <w:t>Declaración de la Alianza de Investigación e Innovación de todo el Océano Atlántico</w:t>
            </w:r>
            <w:r>
              <w:rPr>
                <w:rFonts w:ascii="Times New Roman" w:hAnsi="Times New Roman"/>
                <w:noProof/>
                <w:sz w:val="24"/>
              </w:rPr>
              <w:t xml:space="preserve"> para fomentar la cooperación en materia de investigación oceánica en el Atlántico y la tercera </w:t>
            </w:r>
            <w:r>
              <w:rPr>
                <w:rFonts w:ascii="Times New Roman" w:hAnsi="Times New Roman"/>
                <w:b/>
                <w:noProof/>
                <w:sz w:val="24"/>
              </w:rPr>
              <w:t>declaración conjunta ministerial sobre</w:t>
            </w:r>
            <w:r>
              <w:rPr>
                <w:rFonts w:ascii="Times New Roman" w:hAnsi="Times New Roman"/>
                <w:noProof/>
                <w:sz w:val="24"/>
              </w:rPr>
              <w:t xml:space="preserve"> </w:t>
            </w:r>
            <w:r>
              <w:rPr>
                <w:rFonts w:ascii="Times New Roman" w:hAnsi="Times New Roman"/>
                <w:b/>
                <w:noProof/>
                <w:sz w:val="24"/>
              </w:rPr>
              <w:t>ciencia ártica</w:t>
            </w:r>
            <w:r>
              <w:rPr>
                <w:rFonts w:ascii="Times New Roman" w:hAnsi="Times New Roman"/>
                <w:noProof/>
                <w:sz w:val="24"/>
              </w:rPr>
              <w:t xml:space="preserve"> para seguir apoyando la investigación en el Ártico. Además, reforzó su participación en la </w:t>
            </w:r>
            <w:r>
              <w:rPr>
                <w:rFonts w:ascii="Times New Roman" w:hAnsi="Times New Roman"/>
                <w:b/>
                <w:noProof/>
                <w:sz w:val="24"/>
              </w:rPr>
              <w:t>Misión Innovación</w:t>
            </w:r>
            <w:r>
              <w:rPr>
                <w:rFonts w:ascii="Times New Roman" w:hAnsi="Times New Roman"/>
                <w:noProof/>
                <w:sz w:val="24"/>
              </w:rPr>
              <w:t xml:space="preserve"> y ha seguido promoviendo su papel de liderazgo en apoyo a la </w:t>
            </w:r>
            <w:r>
              <w:rPr>
                <w:rFonts w:ascii="Times New Roman" w:hAnsi="Times New Roman"/>
                <w:b/>
                <w:noProof/>
                <w:sz w:val="24"/>
              </w:rPr>
              <w:t>cooperación multilateral en materia de I+i</w:t>
            </w:r>
            <w:r>
              <w:rPr>
                <w:rFonts w:ascii="Times New Roman" w:hAnsi="Times New Roman"/>
                <w:noProof/>
                <w:sz w:val="24"/>
              </w:rPr>
              <w:t xml:space="preserve"> a fin de ofrecer soluciones con base científica para la gestión sostenible de la tierra, los océanos y el suelo, la agricultura y los sistemas alimentarios, la eficiencia de los recursos y la economía circular, la bioeconomía, las políticas en materia de clima, silvicultura y biodiversidad, y la observación de la Tierra. </w:t>
            </w:r>
          </w:p>
          <w:p w14:paraId="74FE399F" w14:textId="77777777" w:rsidR="00421E25" w:rsidRDefault="00421E25" w:rsidP="00391B4B">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Comisión también creó una plataforma internacional de gestión del conocimiento para compartir información sobre las normas, las directrices y las oportunidades de financiación en el marco de la </w:t>
            </w:r>
            <w:r>
              <w:rPr>
                <w:rFonts w:ascii="Times New Roman" w:hAnsi="Times New Roman"/>
                <w:b/>
                <w:noProof/>
                <w:sz w:val="24"/>
              </w:rPr>
              <w:t>iniciativa de la Nueva Bauhaus Europea</w:t>
            </w:r>
            <w:r>
              <w:rPr>
                <w:rFonts w:ascii="Times New Roman" w:hAnsi="Times New Roman"/>
                <w:noProof/>
                <w:sz w:val="24"/>
              </w:rPr>
              <w:t>.</w:t>
            </w:r>
          </w:p>
        </w:tc>
      </w:tr>
    </w:tbl>
    <w:p w14:paraId="7DC2E972" w14:textId="77777777" w:rsidR="00FE1307" w:rsidRDefault="00154542" w:rsidP="00152025">
      <w:pPr>
        <w:spacing w:after="12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Para </w:t>
      </w:r>
      <w:r>
        <w:rPr>
          <w:rFonts w:ascii="Times New Roman" w:hAnsi="Times New Roman"/>
          <w:b/>
          <w:noProof/>
          <w:sz w:val="24"/>
        </w:rPr>
        <w:t>cumplir el Pacto Verde Europeo</w:t>
      </w:r>
      <w:r>
        <w:rPr>
          <w:rFonts w:ascii="Times New Roman" w:hAnsi="Times New Roman"/>
          <w:noProof/>
          <w:sz w:val="24"/>
        </w:rPr>
        <w:t xml:space="preserve">, son fundamentales nuevos avances científicos para proteger y restaurar el capital natural, descarbonizar la economía y la industria con sustancias químicas y materiales seguros y sostenibles desde el diseño, prevenir y reducir la contaminación, modernizar nuestras infraestructuras y aumentar su resiliencia, proteger la salud y el bienestar públicos, y diseñar sistemas alimentarios y de distribución de agua sostenibles. En el marco de sus esfuerzos por fomentar una transición justa, ecológica e inclusiva que esté en consonancia con la </w:t>
      </w:r>
      <w:r>
        <w:rPr>
          <w:rFonts w:ascii="Times New Roman" w:hAnsi="Times New Roman"/>
          <w:b/>
          <w:noProof/>
          <w:sz w:val="24"/>
        </w:rPr>
        <w:t>estrategia de la Global Gateway</w:t>
      </w:r>
      <w:r>
        <w:rPr>
          <w:rStyle w:val="FootnoteReference"/>
          <w:rFonts w:ascii="Times New Roman" w:eastAsia="Times New Roman" w:hAnsi="Times New Roman" w:cs="Times New Roman"/>
          <w:b/>
          <w:noProof/>
          <w:sz w:val="24"/>
          <w:szCs w:val="24"/>
        </w:rPr>
        <w:footnoteReference w:id="35"/>
      </w:r>
      <w:r>
        <w:rPr>
          <w:rFonts w:ascii="Times New Roman" w:hAnsi="Times New Roman"/>
          <w:noProof/>
          <w:sz w:val="24"/>
        </w:rPr>
        <w:t xml:space="preserve"> y otros compromisos internacionales, la UE también apoyó a sus países socios para que accedieran a los datos medioambientales y supervisaran y notificaran los avances a través de iniciativas destinadas a fortalecer los conocimientos y las capacidades y a reforzar la interfaz ciencia-política.</w:t>
      </w:r>
    </w:p>
    <w:p w14:paraId="3982AEDA" w14:textId="77777777" w:rsidR="00421E25" w:rsidRPr="00A62E17" w:rsidRDefault="00154542"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La Comunicación conjunta sobre la gobernanza internacional de los océanos</w:t>
      </w:r>
      <w:r>
        <w:rPr>
          <w:rStyle w:val="FootnoteReference"/>
          <w:rFonts w:ascii="Times New Roman" w:hAnsi="Times New Roman" w:cs="Times New Roman"/>
          <w:noProof/>
          <w:sz w:val="24"/>
          <w:szCs w:val="24"/>
        </w:rPr>
        <w:footnoteReference w:id="36"/>
      </w:r>
      <w:r>
        <w:rPr>
          <w:rFonts w:ascii="Times New Roman" w:hAnsi="Times New Roman"/>
          <w:noProof/>
          <w:sz w:val="24"/>
        </w:rPr>
        <w:t xml:space="preserve"> subrayó la necesidad de desarrollar los conocimientos sobre los océanos para protegerlos y gestionarlos de manera sostenible. Con este objetivo en mente, la Comisión, en nombre de la UE, firmó una declaración política</w:t>
      </w:r>
      <w:r>
        <w:rPr>
          <w:rStyle w:val="FootnoteReference"/>
          <w:rFonts w:ascii="Times New Roman" w:hAnsi="Times New Roman" w:cs="Times New Roman"/>
          <w:noProof/>
          <w:sz w:val="24"/>
          <w:szCs w:val="24"/>
        </w:rPr>
        <w:footnoteReference w:id="37"/>
      </w:r>
      <w:r>
        <w:rPr>
          <w:rFonts w:ascii="Times New Roman" w:hAnsi="Times New Roman"/>
          <w:noProof/>
          <w:sz w:val="24"/>
        </w:rPr>
        <w:t xml:space="preserve"> por la que se establece la nueva </w:t>
      </w:r>
      <w:r>
        <w:rPr>
          <w:rFonts w:ascii="Times New Roman" w:hAnsi="Times New Roman"/>
          <w:b/>
          <w:noProof/>
          <w:sz w:val="24"/>
        </w:rPr>
        <w:t>Alianza de Investigación e Innovación de todo el Océano Atlántico</w:t>
      </w:r>
      <w:r>
        <w:rPr>
          <w:rFonts w:ascii="Times New Roman" w:hAnsi="Times New Roman"/>
          <w:noProof/>
          <w:sz w:val="24"/>
        </w:rPr>
        <w:t xml:space="preserve"> con Argentina, Brasil, Canadá, Cabo Verde, Estados Unidos, Marruecos y Sudáfrica. En consonancia con el alcance internacional de la misión de Horizonte Europa</w:t>
      </w:r>
      <w:r>
        <w:rPr>
          <w:rFonts w:ascii="Times New Roman" w:hAnsi="Times New Roman"/>
          <w:b/>
          <w:noProof/>
          <w:sz w:val="24"/>
        </w:rPr>
        <w:t xml:space="preserve"> «Restaurar nuestro océano y nuestras aguas de aquí a 2030»</w:t>
      </w:r>
      <w:r>
        <w:rPr>
          <w:rFonts w:ascii="Times New Roman" w:hAnsi="Times New Roman"/>
          <w:noProof/>
          <w:sz w:val="24"/>
        </w:rPr>
        <w:t xml:space="preserve">, las actividades de cooperación internacional se llevan a cabo en el marco las misiones del Faro Atlántico-Ártico y el Faro Mediterráneo, así como con los países socios del mar Negro. </w:t>
      </w:r>
    </w:p>
    <w:p w14:paraId="657AC586" w14:textId="77777777" w:rsidR="00421E25" w:rsidRPr="00A62E17" w:rsidRDefault="00F30A43"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En el marco de la </w:t>
      </w:r>
      <w:r>
        <w:rPr>
          <w:rFonts w:ascii="Times New Roman" w:hAnsi="Times New Roman"/>
          <w:b/>
          <w:noProof/>
          <w:sz w:val="24"/>
        </w:rPr>
        <w:t>Misión Innovación</w:t>
      </w:r>
      <w:r>
        <w:rPr>
          <w:rStyle w:val="FootnoteReference"/>
          <w:rFonts w:ascii="Times New Roman" w:hAnsi="Times New Roman" w:cs="Times New Roman"/>
          <w:noProof/>
          <w:sz w:val="24"/>
          <w:szCs w:val="24"/>
        </w:rPr>
        <w:footnoteReference w:id="38"/>
      </w:r>
      <w:r>
        <w:rPr>
          <w:rFonts w:ascii="Times New Roman" w:hAnsi="Times New Roman"/>
          <w:noProof/>
          <w:sz w:val="24"/>
        </w:rPr>
        <w:t>, la Comisión promovió la aceleración de la transición hacia una energía limpia en consonancia con el Pacto Verde Europeo. Al codirigir la misión «Hidrógeno limpio», la Comisión pretende aumentar la competitividad del coste del hidrógeno limpio reduciendo sus costes en todo el proceso y creando al menos cien valles de hidrógeno en todo el mundo de aquí a 2030. Con el apoyo de la misión de Horizonte Europa «Ciudades inteligentes y climáticamente neutras», la Comisión también codirige la misión «Transiciones urbanas» para trabajar con trescientas ciudades de todo el mundo a fin de reforzar sus visiones de cero emisiones netas, ampliar la acción y acelerar su aplicación.</w:t>
      </w:r>
    </w:p>
    <w:p w14:paraId="31F887D6" w14:textId="77777777" w:rsidR="00CE7FF6" w:rsidRPr="00A62E17" w:rsidRDefault="007C4416"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A nivel multilateral, la Comisión prestó un </w:t>
      </w:r>
      <w:r>
        <w:rPr>
          <w:rFonts w:ascii="Times New Roman" w:hAnsi="Times New Roman"/>
          <w:b/>
          <w:noProof/>
          <w:sz w:val="24"/>
        </w:rPr>
        <w:t>apoyo basado en datos concretos para las elaboración de políticas</w:t>
      </w:r>
      <w:r>
        <w:rPr>
          <w:rFonts w:ascii="Times New Roman" w:hAnsi="Times New Roman"/>
          <w:noProof/>
          <w:sz w:val="24"/>
        </w:rPr>
        <w:t>, configuró las agendas y contribuyó al trabajo de una serie de organizaciones, entre ellas: el Grupo de Observación de la Tierra, para hacer un mejor uso de los activos europeos de observación de la Tierra (como Copernicus); el Foro Internacional de Bioeconomía y otros foros de cooperación multilateral, sobre bioeconomía; el Grupo Intergubernamental de Expertos sobre el Cambio Climático, sobre climatología; la Plataforma Intergubernamental Científico-Normativa sobre Diversidad Biológica y Servicios de los Ecosistemas y el Convenio de las Naciones Unidas sobre la Diversidad Biológica</w:t>
      </w:r>
      <w:r>
        <w:rPr>
          <w:rStyle w:val="FootnoteReference"/>
          <w:rFonts w:ascii="Times New Roman" w:hAnsi="Times New Roman" w:cs="Times New Roman"/>
          <w:noProof/>
          <w:sz w:val="24"/>
          <w:szCs w:val="24"/>
        </w:rPr>
        <w:footnoteReference w:id="39"/>
      </w:r>
      <w:r>
        <w:rPr>
          <w:rFonts w:ascii="Times New Roman" w:hAnsi="Times New Roman"/>
          <w:noProof/>
          <w:sz w:val="24"/>
        </w:rPr>
        <w:t>, sobre biodiversidad; el Panel Internacional de Recursos y la Alianza Mundial para la Economía Circular y la Utilización Eficiente de los Recursos</w:t>
      </w:r>
      <w:r>
        <w:rPr>
          <w:rStyle w:val="FootnoteReference"/>
          <w:rFonts w:ascii="Times New Roman" w:hAnsi="Times New Roman" w:cs="Times New Roman"/>
          <w:noProof/>
          <w:sz w:val="24"/>
          <w:szCs w:val="24"/>
          <w:lang w:val="en-GB"/>
        </w:rPr>
        <w:footnoteReference w:id="40"/>
      </w:r>
      <w:r>
        <w:rPr>
          <w:rFonts w:ascii="Times New Roman" w:hAnsi="Times New Roman"/>
          <w:noProof/>
          <w:sz w:val="24"/>
        </w:rPr>
        <w:t>; la iniciativa de las Naciones Unidas sobre los sistemas alimentarios; y la Alianza Mundial sobre los Suelos de las Naciones Unidas a través de la misión de Horizonte Europa «Un pacto sobre el suelo para Europa».</w:t>
      </w:r>
    </w:p>
    <w:p w14:paraId="267FF4A3" w14:textId="77777777" w:rsidR="005408C6" w:rsidRDefault="005408C6"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En el marco de la </w:t>
      </w:r>
      <w:r>
        <w:rPr>
          <w:rFonts w:ascii="Times New Roman" w:hAnsi="Times New Roman"/>
          <w:b/>
          <w:noProof/>
          <w:sz w:val="24"/>
        </w:rPr>
        <w:t>Nueva Bauhaus Europea</w:t>
      </w:r>
      <w:r>
        <w:rPr>
          <w:rFonts w:ascii="Times New Roman" w:hAnsi="Times New Roman"/>
          <w:noProof/>
          <w:sz w:val="24"/>
        </w:rPr>
        <w:t>, la Comisión creó una plataforma internacional de gestión del conocimiento para compartir información sobre normas, directrices y oportunidades de financiación con el fin de integrar las dimensiones de sostenibilidad, inclusión y estética o calidad de la experiencia en edificios y espacios públicos. Algunas iniciativas están abiertas a entidades de terceros países que se ajusten a diferentes condiciones de participación, entre ellas: la Comunidad de la Nueva Bauhaus Europea, el Laboratorio de la Nueva Bauhaus Europea, los premios de la Nueva Bauhaus Europea y las oportunidades de financiación de la Nueva Bauhaus Europea en el marco de los programas de la UE</w:t>
      </w:r>
      <w:r>
        <w:rPr>
          <w:rStyle w:val="FootnoteReference"/>
          <w:rFonts w:ascii="Times New Roman" w:hAnsi="Times New Roman" w:cs="Times New Roman"/>
          <w:noProof/>
          <w:sz w:val="24"/>
          <w:szCs w:val="24"/>
          <w:lang w:val="en-GB"/>
        </w:rPr>
        <w:footnoteReference w:id="41"/>
      </w:r>
      <w:r>
        <w:rPr>
          <w:rFonts w:ascii="Times New Roman" w:hAnsi="Times New Roman"/>
          <w:noProof/>
          <w:sz w:val="24"/>
        </w:rPr>
        <w:t>.</w:t>
      </w:r>
    </w:p>
    <w:p w14:paraId="15D8C72B" w14:textId="77777777" w:rsidR="00912308" w:rsidRPr="00BE03AC" w:rsidRDefault="003A0591" w:rsidP="00152025">
      <w:pPr>
        <w:pStyle w:val="ListParagraph"/>
        <w:numPr>
          <w:ilvl w:val="1"/>
          <w:numId w:val="1"/>
        </w:numPr>
        <w:spacing w:after="200"/>
        <w:ind w:left="788" w:hanging="431"/>
        <w:jc w:val="both"/>
        <w:rPr>
          <w:b/>
          <w:noProof/>
          <w:szCs w:val="20"/>
        </w:rPr>
      </w:pPr>
      <w:r>
        <w:rPr>
          <w:b/>
          <w:noProof/>
        </w:rPr>
        <w:t>Promover la transición digital</w:t>
      </w:r>
    </w:p>
    <w:tbl>
      <w:tblPr>
        <w:tblStyle w:val="TableGrid"/>
        <w:tblW w:w="0" w:type="auto"/>
        <w:shd w:val="clear" w:color="auto" w:fill="D9D9D9" w:themeFill="background1" w:themeFillShade="D9"/>
        <w:tblLook w:val="04A0" w:firstRow="1" w:lastRow="0" w:firstColumn="1" w:lastColumn="0" w:noHBand="0" w:noVBand="1"/>
      </w:tblPr>
      <w:tblGrid>
        <w:gridCol w:w="9242"/>
      </w:tblGrid>
      <w:tr w:rsidR="00C3554D" w14:paraId="72604F3C" w14:textId="77777777" w:rsidTr="002A1524">
        <w:tc>
          <w:tcPr>
            <w:tcW w:w="9242" w:type="dxa"/>
            <w:shd w:val="clear" w:color="auto" w:fill="D9D9D9" w:themeFill="background1" w:themeFillShade="D9"/>
          </w:tcPr>
          <w:p w14:paraId="385D67B5" w14:textId="77777777" w:rsidR="00C3554D" w:rsidRDefault="00C3554D" w:rsidP="001525BB">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UE reforzó las actividades de investigación conjuntas, en particular en </w:t>
            </w:r>
            <w:r>
              <w:rPr>
                <w:rFonts w:ascii="Times New Roman" w:hAnsi="Times New Roman"/>
                <w:b/>
                <w:noProof/>
                <w:sz w:val="24"/>
              </w:rPr>
              <w:t>tecnologías digitales clave</w:t>
            </w:r>
            <w:r>
              <w:rPr>
                <w:rFonts w:ascii="Times New Roman" w:hAnsi="Times New Roman"/>
                <w:noProof/>
                <w:sz w:val="24"/>
              </w:rPr>
              <w:t xml:space="preserve"> y en </w:t>
            </w:r>
            <w:r>
              <w:rPr>
                <w:rFonts w:ascii="Times New Roman" w:hAnsi="Times New Roman"/>
                <w:b/>
                <w:noProof/>
                <w:sz w:val="24"/>
              </w:rPr>
              <w:t>redes y servicios inteligentes</w:t>
            </w:r>
            <w:r>
              <w:rPr>
                <w:rFonts w:ascii="Times New Roman" w:hAnsi="Times New Roman"/>
                <w:noProof/>
                <w:sz w:val="24"/>
              </w:rPr>
              <w:t>, también con la adopción del acto de base único por el que se establecen las empresas comunes en el marco de Horizonte Europa</w:t>
            </w:r>
            <w:r>
              <w:rPr>
                <w:rStyle w:val="FootnoteReference"/>
                <w:rFonts w:ascii="Times New Roman" w:hAnsi="Times New Roman" w:cs="Times New Roman"/>
                <w:noProof/>
                <w:sz w:val="24"/>
                <w:szCs w:val="24"/>
              </w:rPr>
              <w:footnoteReference w:id="42"/>
            </w:r>
            <w:r>
              <w:rPr>
                <w:rFonts w:ascii="Times New Roman" w:hAnsi="Times New Roman"/>
                <w:noProof/>
                <w:sz w:val="24"/>
              </w:rPr>
              <w:t xml:space="preserve">. Además, la UE desarrolló </w:t>
            </w:r>
            <w:r>
              <w:rPr>
                <w:rFonts w:ascii="Times New Roman" w:hAnsi="Times New Roman"/>
                <w:b/>
                <w:noProof/>
                <w:sz w:val="24"/>
              </w:rPr>
              <w:t>asociaciones digitales internacionales</w:t>
            </w:r>
            <w:r>
              <w:rPr>
                <w:rFonts w:ascii="Times New Roman" w:hAnsi="Times New Roman"/>
                <w:noProof/>
                <w:sz w:val="24"/>
              </w:rPr>
              <w:t xml:space="preserve"> con América Latina, Japón, la República de Corea y Singapur, en consonancia con la Comunicación sobre la Brújula Digital 2030</w:t>
            </w:r>
            <w:r>
              <w:rPr>
                <w:rStyle w:val="FootnoteReference"/>
                <w:rFonts w:ascii="Times New Roman" w:hAnsi="Times New Roman" w:cs="Times New Roman"/>
                <w:noProof/>
                <w:sz w:val="24"/>
                <w:szCs w:val="24"/>
              </w:rPr>
              <w:footnoteReference w:id="43"/>
            </w:r>
            <w:r>
              <w:rPr>
                <w:rFonts w:ascii="Times New Roman" w:hAnsi="Times New Roman"/>
                <w:noProof/>
                <w:sz w:val="24"/>
              </w:rPr>
              <w:t xml:space="preserve"> (véase también la sección 5).</w:t>
            </w:r>
          </w:p>
        </w:tc>
      </w:tr>
    </w:tbl>
    <w:p w14:paraId="73CCB1BF" w14:textId="77777777" w:rsidR="0082115E" w:rsidRDefault="00CF6FBE"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UE es fuerte en investigación y desarrollo industriales, en particular en los sectores del automóvil, las tecnologías de la información y la comunicación, y la salud, y tiene una sólida tradición en la investigación cuántica y la robótica. Si bien la UE cuenta con sólidas competencias en la fabricación y los materiales avanzados, es necesario </w:t>
      </w:r>
      <w:r>
        <w:rPr>
          <w:rFonts w:ascii="Times New Roman" w:hAnsi="Times New Roman"/>
          <w:b/>
          <w:noProof/>
          <w:sz w:val="24"/>
        </w:rPr>
        <w:t>reducir las dependencias estratégicas en ámbitos tecnológicos y cadenas de valor clave</w:t>
      </w:r>
      <w:r>
        <w:rPr>
          <w:rFonts w:ascii="Times New Roman" w:hAnsi="Times New Roman"/>
          <w:noProof/>
          <w:sz w:val="24"/>
        </w:rPr>
        <w:t>, como la inteligencia artificial, la inteligencia de datos, la computación en nube, la ciberseguridad, las comunicaciones seguras, la robótica y la microelectrónica. La regulación, la gobernanza y la normalización de las tecnologías digitales serán indispensables para maximizar las oportunidades digitales, reduciendo al mismo tiempo los retos o amenazas que plantean</w:t>
      </w:r>
      <w:r>
        <w:rPr>
          <w:rStyle w:val="FootnoteReference"/>
          <w:rFonts w:ascii="Times New Roman" w:hAnsi="Times New Roman" w:cs="Times New Roman"/>
          <w:noProof/>
          <w:sz w:val="24"/>
          <w:szCs w:val="24"/>
        </w:rPr>
        <w:footnoteReference w:id="44"/>
      </w:r>
      <w:r>
        <w:rPr>
          <w:rFonts w:ascii="Times New Roman" w:hAnsi="Times New Roman"/>
          <w:noProof/>
          <w:sz w:val="24"/>
        </w:rPr>
        <w:t xml:space="preserve">. </w:t>
      </w:r>
    </w:p>
    <w:p w14:paraId="0ECBDD75" w14:textId="77777777" w:rsidR="00BE03AC" w:rsidRPr="005D0B28" w:rsidRDefault="00C45E30"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UE apoya a los países emergentes y en desarrollo, con especial atención en África, fomentando la conectividad digital mediante </w:t>
      </w:r>
      <w:r>
        <w:rPr>
          <w:rFonts w:ascii="Times New Roman" w:hAnsi="Times New Roman"/>
          <w:b/>
          <w:noProof/>
          <w:sz w:val="24"/>
        </w:rPr>
        <w:t xml:space="preserve">paquetes de economía digital </w:t>
      </w:r>
      <w:r>
        <w:rPr>
          <w:rFonts w:ascii="Times New Roman" w:hAnsi="Times New Roman"/>
          <w:noProof/>
          <w:sz w:val="24"/>
        </w:rPr>
        <w:t>financiados a través de</w:t>
      </w:r>
      <w:r>
        <w:rPr>
          <w:rFonts w:ascii="Times New Roman" w:hAnsi="Times New Roman"/>
          <w:b/>
          <w:noProof/>
          <w:sz w:val="24"/>
        </w:rPr>
        <w:t xml:space="preserve"> iniciativas del Equipo Europa</w:t>
      </w:r>
      <w:r>
        <w:rPr>
          <w:rStyle w:val="FootnoteReference"/>
          <w:rFonts w:ascii="Times New Roman" w:hAnsi="Times New Roman" w:cs="Times New Roman"/>
          <w:noProof/>
          <w:sz w:val="24"/>
          <w:szCs w:val="24"/>
        </w:rPr>
        <w:footnoteReference w:id="45"/>
      </w:r>
      <w:r>
        <w:rPr>
          <w:rFonts w:ascii="Times New Roman" w:hAnsi="Times New Roman"/>
          <w:noProof/>
          <w:sz w:val="24"/>
        </w:rPr>
        <w:t>. Estos paquetes están diseñados para promover un modelo de desarrollo digital centrado en el ser humano. La UE también ha aumentado su apoyo al</w:t>
      </w:r>
      <w:r>
        <w:rPr>
          <w:rFonts w:ascii="Times New Roman" w:hAnsi="Times New Roman"/>
          <w:b/>
          <w:noProof/>
          <w:sz w:val="24"/>
        </w:rPr>
        <w:t xml:space="preserve"> despliegue de la banda ancha y los proyectos de conectividad </w:t>
      </w:r>
      <w:r>
        <w:rPr>
          <w:rFonts w:ascii="Times New Roman" w:hAnsi="Times New Roman"/>
          <w:noProof/>
          <w:sz w:val="24"/>
        </w:rPr>
        <w:t>y ha creado centros de datos regionales para la prestación de servicios espaciales en</w:t>
      </w:r>
      <w:r>
        <w:rPr>
          <w:rFonts w:ascii="Times New Roman" w:hAnsi="Times New Roman"/>
          <w:b/>
          <w:noProof/>
          <w:sz w:val="24"/>
        </w:rPr>
        <w:t xml:space="preserve"> África, América Latina y el Caribe y Asia</w:t>
      </w:r>
      <w:r>
        <w:rPr>
          <w:rFonts w:ascii="Times New Roman" w:hAnsi="Times New Roman"/>
          <w:noProof/>
          <w:sz w:val="24"/>
        </w:rPr>
        <w:t>, en consonancia con la estrategia de la Global Gateway</w:t>
      </w:r>
      <w:r>
        <w:rPr>
          <w:rStyle w:val="FootnoteReference"/>
          <w:rFonts w:ascii="Times New Roman" w:hAnsi="Times New Roman" w:cs="Times New Roman"/>
          <w:noProof/>
          <w:sz w:val="24"/>
          <w:szCs w:val="24"/>
        </w:rPr>
        <w:footnoteReference w:id="46"/>
      </w:r>
      <w:r>
        <w:rPr>
          <w:rFonts w:ascii="Times New Roman" w:hAnsi="Times New Roman"/>
          <w:noProof/>
          <w:sz w:val="24"/>
        </w:rPr>
        <w:t>. Además, se lograron avances en la creación de sucursales regionales de la plataforma Digitalización para el Desarrollo (D4D)</w:t>
      </w:r>
      <w:r>
        <w:rPr>
          <w:rStyle w:val="FootnoteReference"/>
          <w:rFonts w:ascii="Times New Roman" w:hAnsi="Times New Roman" w:cs="Times New Roman"/>
          <w:noProof/>
          <w:sz w:val="24"/>
          <w:szCs w:val="24"/>
          <w:lang w:val="en-GB"/>
        </w:rPr>
        <w:footnoteReference w:id="47"/>
      </w:r>
      <w:r>
        <w:rPr>
          <w:rFonts w:ascii="Times New Roman" w:hAnsi="Times New Roman"/>
          <w:noProof/>
          <w:sz w:val="24"/>
        </w:rPr>
        <w:t>, en particular en África, América Latina y el Caribe, y en las regiones de Asia y el Pacífico. Con la puesta en marcha, en 2023, de la Alianza Digital con los Estados de América Latina y el Caribe, la UE reforzó la asociación digital birregional para abordar la brecha digital y lograr una transformación digital inclusiva en la región.</w:t>
      </w:r>
    </w:p>
    <w:p w14:paraId="3DFB88BA" w14:textId="77777777" w:rsidR="00C45E30" w:rsidRDefault="00E633D2"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Mediante el establecimiento de asociaciones y coaliciones con países de ideas afines, la UE puede configurar normas tecnológicas internacionales éticas, seguras e inclusivas</w:t>
      </w:r>
      <w:r>
        <w:rPr>
          <w:rStyle w:val="FootnoteReference"/>
          <w:rFonts w:ascii="Times New Roman" w:hAnsi="Times New Roman" w:cs="Times New Roman"/>
          <w:noProof/>
          <w:sz w:val="24"/>
          <w:szCs w:val="24"/>
        </w:rPr>
        <w:footnoteReference w:id="48"/>
      </w:r>
      <w:r>
        <w:rPr>
          <w:rFonts w:ascii="Times New Roman" w:hAnsi="Times New Roman"/>
          <w:noProof/>
          <w:sz w:val="24"/>
        </w:rPr>
        <w:t xml:space="preserve">. </w:t>
      </w:r>
      <w:r>
        <w:rPr>
          <w:rFonts w:ascii="Times New Roman" w:hAnsi="Times New Roman"/>
          <w:b/>
          <w:noProof/>
          <w:sz w:val="24"/>
        </w:rPr>
        <w:t>La UE ha sido un referente mundial</w:t>
      </w:r>
      <w:r>
        <w:rPr>
          <w:rFonts w:ascii="Times New Roman" w:hAnsi="Times New Roman"/>
          <w:noProof/>
          <w:sz w:val="24"/>
        </w:rPr>
        <w:t xml:space="preserve"> </w:t>
      </w:r>
      <w:r>
        <w:rPr>
          <w:rFonts w:ascii="Times New Roman" w:hAnsi="Times New Roman"/>
          <w:b/>
          <w:noProof/>
          <w:sz w:val="24"/>
        </w:rPr>
        <w:t xml:space="preserve">en los debates internacionales </w:t>
      </w:r>
      <w:r>
        <w:rPr>
          <w:rFonts w:ascii="Times New Roman" w:hAnsi="Times New Roman"/>
          <w:noProof/>
          <w:sz w:val="24"/>
        </w:rPr>
        <w:t>sobre protección de datos (Reglamento General de Protección de Datos, Ley de Gobernanza de Datos), sobre la economía de plataformas (Ley de Servicios Digitales, Ley de Mercados Digitales), sobre una inteligencia artificial fiable centrada en el ser humano (Ley de Inteligencia Artificial) y sobre los derechos y libertades en línea (Ley de Libertad de los Medios de Comunicación, Declaración sobre el Futuro de Internet, Declaración Europea sobre los Derechos y Principios Digitales). Ha negociado en organismos multilaterales</w:t>
      </w:r>
      <w:r>
        <w:rPr>
          <w:rStyle w:val="FootnoteReference"/>
          <w:rFonts w:ascii="Times New Roman" w:hAnsi="Times New Roman" w:cs="Times New Roman"/>
          <w:noProof/>
          <w:sz w:val="24"/>
          <w:szCs w:val="24"/>
        </w:rPr>
        <w:footnoteReference w:id="49"/>
      </w:r>
      <w:r>
        <w:rPr>
          <w:rFonts w:ascii="Times New Roman" w:hAnsi="Times New Roman"/>
          <w:noProof/>
          <w:sz w:val="24"/>
        </w:rPr>
        <w:t xml:space="preserve"> para mejorar el funcionamiento de la economía digital a escala mundial y proyectar los valores de la UE en todo el mundo.</w:t>
      </w:r>
      <w:r>
        <w:rPr>
          <w:noProof/>
        </w:rPr>
        <w:t xml:space="preserve"> </w:t>
      </w:r>
      <w:r>
        <w:rPr>
          <w:rFonts w:ascii="Times New Roman" w:hAnsi="Times New Roman"/>
          <w:noProof/>
          <w:sz w:val="24"/>
        </w:rPr>
        <w:t xml:space="preserve">Promueve un ciberespacio mundial, abierto, estable y seguro basado en el respeto del Derecho internacional </w:t>
      </w:r>
      <w:bookmarkStart w:id="3" w:name="footnoteref103"/>
      <w:bookmarkEnd w:id="3"/>
      <w:r>
        <w:rPr>
          <w:rFonts w:ascii="Times New Roman" w:hAnsi="Times New Roman"/>
          <w:noProof/>
          <w:sz w:val="24"/>
        </w:rPr>
        <w:t>y de normas, reglas y principios no vinculantes de comportamiento responsable de los Estados</w:t>
      </w:r>
      <w:r>
        <w:rPr>
          <w:noProof/>
        </w:rPr>
        <w:t>.</w:t>
      </w:r>
    </w:p>
    <w:p w14:paraId="75B91C63" w14:textId="77777777" w:rsidR="00912308" w:rsidRPr="00DD05A2" w:rsidRDefault="00CF3795" w:rsidP="00152025">
      <w:pPr>
        <w:pStyle w:val="ListParagraph"/>
        <w:numPr>
          <w:ilvl w:val="1"/>
          <w:numId w:val="1"/>
        </w:numPr>
        <w:spacing w:after="200"/>
        <w:ind w:left="788" w:hanging="431"/>
        <w:jc w:val="both"/>
        <w:rPr>
          <w:b/>
          <w:noProof/>
          <w:szCs w:val="20"/>
        </w:rPr>
      </w:pPr>
      <w:r>
        <w:rPr>
          <w:b/>
          <w:noProof/>
        </w:rPr>
        <w:t>Reforzar la cooperación sobre la salud mundial</w:t>
      </w:r>
    </w:p>
    <w:tbl>
      <w:tblPr>
        <w:tblStyle w:val="TableGrid"/>
        <w:tblW w:w="0" w:type="auto"/>
        <w:shd w:val="clear" w:color="auto" w:fill="D9D9D9" w:themeFill="background1" w:themeFillShade="D9"/>
        <w:tblLook w:val="04A0" w:firstRow="1" w:lastRow="0" w:firstColumn="1" w:lastColumn="0" w:noHBand="0" w:noVBand="1"/>
      </w:tblPr>
      <w:tblGrid>
        <w:gridCol w:w="9242"/>
      </w:tblGrid>
      <w:tr w:rsidR="00AB0832" w14:paraId="24B7E097" w14:textId="77777777" w:rsidTr="002A1524">
        <w:tc>
          <w:tcPr>
            <w:tcW w:w="9242" w:type="dxa"/>
            <w:shd w:val="clear" w:color="auto" w:fill="D9D9D9" w:themeFill="background1" w:themeFillShade="D9"/>
          </w:tcPr>
          <w:p w14:paraId="5982F37B" w14:textId="77777777" w:rsidR="00AB0832" w:rsidRDefault="00AB0832"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Comisión adoptó la </w:t>
            </w:r>
            <w:r>
              <w:rPr>
                <w:rFonts w:ascii="Times New Roman" w:hAnsi="Times New Roman"/>
                <w:b/>
                <w:noProof/>
                <w:sz w:val="24"/>
              </w:rPr>
              <w:t>Estrategia mundial de la UE en materia de salud</w:t>
            </w:r>
            <w:r>
              <w:rPr>
                <w:rFonts w:ascii="Times New Roman" w:hAnsi="Times New Roman"/>
                <w:noProof/>
                <w:sz w:val="24"/>
              </w:rPr>
              <w:t xml:space="preserve"> y el primer </w:t>
            </w:r>
            <w:r>
              <w:rPr>
                <w:rFonts w:ascii="Times New Roman" w:hAnsi="Times New Roman"/>
                <w:b/>
                <w:noProof/>
                <w:sz w:val="24"/>
              </w:rPr>
              <w:t>informe sobre el estado de preparación sanitaria</w:t>
            </w:r>
            <w:r>
              <w:rPr>
                <w:rFonts w:ascii="Times New Roman" w:hAnsi="Times New Roman"/>
                <w:noProof/>
                <w:sz w:val="24"/>
              </w:rPr>
              <w:t>, contribuyendo así a la agenda a medio y largo plazo en materia de seguridad y preparación sanitaria y reforzando el sistema sanitario.</w:t>
            </w:r>
          </w:p>
          <w:p w14:paraId="0FC396B8" w14:textId="77777777" w:rsidR="00AB0832" w:rsidRDefault="00AB0832"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Comisión promovió la coordinación internacional de los ensayos de plataformas europeas financiados por la UE a través del Comité de Coordinación de Ensayos. Siguió cooperando con el </w:t>
            </w:r>
            <w:r>
              <w:rPr>
                <w:rFonts w:ascii="Times New Roman" w:hAnsi="Times New Roman"/>
                <w:b/>
                <w:noProof/>
                <w:sz w:val="24"/>
              </w:rPr>
              <w:t>Acelerador del acceso a las herramientas contra la COVID-19</w:t>
            </w:r>
            <w:r>
              <w:rPr>
                <w:rFonts w:ascii="Times New Roman" w:hAnsi="Times New Roman"/>
                <w:noProof/>
                <w:sz w:val="24"/>
              </w:rPr>
              <w:t xml:space="preserve"> (ACT-A), financió investigaciones sobre la COVID-19 y otras enfermedades infecciosas y apoyó la </w:t>
            </w:r>
            <w:r>
              <w:rPr>
                <w:rFonts w:ascii="Times New Roman" w:hAnsi="Times New Roman"/>
                <w:b/>
                <w:noProof/>
                <w:sz w:val="24"/>
              </w:rPr>
              <w:t>Coalición para la Promoción de Innovaciones en pro de la Preparación ante Epidemias</w:t>
            </w:r>
            <w:r>
              <w:rPr>
                <w:rFonts w:ascii="Times New Roman" w:hAnsi="Times New Roman"/>
                <w:noProof/>
                <w:sz w:val="24"/>
              </w:rPr>
              <w:t xml:space="preserve"> (CEPI).</w:t>
            </w:r>
          </w:p>
          <w:p w14:paraId="5D79CCEF" w14:textId="77777777" w:rsidR="00244BBB" w:rsidRDefault="00226A4F"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UE estableció el tercer programa de la </w:t>
            </w:r>
            <w:r>
              <w:rPr>
                <w:rFonts w:ascii="Times New Roman" w:hAnsi="Times New Roman"/>
                <w:b/>
                <w:noProof/>
                <w:sz w:val="24"/>
              </w:rPr>
              <w:t>Cooperación de los países europeos y de los países en desarrollo sobre ensayos clínicos</w:t>
            </w:r>
            <w:r>
              <w:rPr>
                <w:rFonts w:ascii="Times New Roman" w:hAnsi="Times New Roman"/>
                <w:noProof/>
                <w:sz w:val="24"/>
              </w:rPr>
              <w:t xml:space="preserve"> (EDCTP) como empresa común en el marco de Horizonte Europa, para hacer frente a las enfermedades infecciosas y las emergencias de salud pública en el África subsahariana.</w:t>
            </w:r>
          </w:p>
        </w:tc>
      </w:tr>
    </w:tbl>
    <w:p w14:paraId="3D2FCCAF" w14:textId="77777777" w:rsidR="00DD05A2" w:rsidRDefault="00C45E30"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w:t>
      </w:r>
      <w:r>
        <w:rPr>
          <w:rFonts w:ascii="Times New Roman" w:hAnsi="Times New Roman"/>
          <w:b/>
          <w:noProof/>
          <w:sz w:val="24"/>
        </w:rPr>
        <w:t>Estrategia mundial de la UE en materia de salud</w:t>
      </w:r>
      <w:r>
        <w:rPr>
          <w:rStyle w:val="FootnoteReference"/>
          <w:rFonts w:ascii="Times New Roman" w:hAnsi="Times New Roman" w:cs="Times New Roman"/>
          <w:noProof/>
          <w:sz w:val="24"/>
          <w:szCs w:val="24"/>
        </w:rPr>
        <w:footnoteReference w:id="50"/>
      </w:r>
      <w:r>
        <w:rPr>
          <w:rFonts w:ascii="Times New Roman" w:hAnsi="Times New Roman"/>
          <w:noProof/>
          <w:sz w:val="24"/>
        </w:rPr>
        <w:t xml:space="preserve"> considera que la I+i, junto con la digitalización y una mano de obra cualificada, son factores clave para mejorar la salud. Esta estrategia iba acompañada del primer informe sobre el estado de la preparación sanitaria</w:t>
      </w:r>
      <w:r>
        <w:rPr>
          <w:rStyle w:val="FootnoteReference"/>
          <w:rFonts w:ascii="Times New Roman" w:hAnsi="Times New Roman" w:cs="Times New Roman"/>
          <w:noProof/>
          <w:sz w:val="24"/>
          <w:szCs w:val="24"/>
        </w:rPr>
        <w:footnoteReference w:id="51"/>
      </w:r>
      <w:r>
        <w:rPr>
          <w:rFonts w:ascii="Times New Roman" w:hAnsi="Times New Roman"/>
          <w:noProof/>
          <w:sz w:val="24"/>
        </w:rPr>
        <w:t xml:space="preserve">, que pone de relieve los avances realizados en los ámbitos de la </w:t>
      </w:r>
      <w:r>
        <w:rPr>
          <w:rFonts w:ascii="Times New Roman" w:hAnsi="Times New Roman"/>
          <w:b/>
          <w:noProof/>
          <w:sz w:val="24"/>
        </w:rPr>
        <w:t>preparación y la respuesta</w:t>
      </w:r>
      <w:r>
        <w:rPr>
          <w:rFonts w:ascii="Times New Roman" w:hAnsi="Times New Roman"/>
          <w:noProof/>
          <w:sz w:val="24"/>
        </w:rPr>
        <w:t>, incluida la cooperación internacional en materia de I+i, desde el inicio de la pandemia de COVID-19, poniendo el foco, sobre todo, en las contramedidas médicas.</w:t>
      </w:r>
    </w:p>
    <w:p w14:paraId="6DCC2884" w14:textId="77777777" w:rsidR="00DD05A2" w:rsidRDefault="00C45E30"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La Comisión prosiguió su cooperación con</w:t>
      </w:r>
      <w:r>
        <w:rPr>
          <w:rFonts w:ascii="Times New Roman" w:hAnsi="Times New Roman"/>
          <w:b/>
          <w:noProof/>
          <w:sz w:val="24"/>
        </w:rPr>
        <w:t xml:space="preserve"> </w:t>
      </w:r>
      <w:r>
        <w:rPr>
          <w:rFonts w:ascii="Times New Roman" w:hAnsi="Times New Roman"/>
          <w:noProof/>
          <w:sz w:val="24"/>
        </w:rPr>
        <w:t>el</w:t>
      </w:r>
      <w:r>
        <w:rPr>
          <w:rFonts w:ascii="Times New Roman" w:hAnsi="Times New Roman"/>
          <w:b/>
          <w:noProof/>
          <w:sz w:val="24"/>
        </w:rPr>
        <w:t xml:space="preserve"> Acelerador del acceso a las herramientas contra la COVID-19 (ACT-A)</w:t>
      </w:r>
      <w:r>
        <w:rPr>
          <w:rStyle w:val="FootnoteReference"/>
          <w:rFonts w:ascii="Times New Roman" w:hAnsi="Times New Roman" w:cs="Times New Roman"/>
          <w:noProof/>
          <w:sz w:val="24"/>
          <w:szCs w:val="24"/>
          <w:lang w:val="en-GB"/>
        </w:rPr>
        <w:footnoteReference w:id="52"/>
      </w:r>
      <w:r>
        <w:rPr>
          <w:rFonts w:ascii="Times New Roman" w:hAnsi="Times New Roman"/>
          <w:b/>
          <w:noProof/>
          <w:sz w:val="24"/>
        </w:rPr>
        <w:t xml:space="preserve"> </w:t>
      </w:r>
      <w:r>
        <w:rPr>
          <w:rFonts w:ascii="Times New Roman" w:hAnsi="Times New Roman"/>
          <w:noProof/>
          <w:sz w:val="24"/>
        </w:rPr>
        <w:t>y con organizaciones internacionales afines de financiación de I+i en el ámbito de la salud, dentro y fuera de Europa, a través de asociaciones europeas y alianzas internacionales</w:t>
      </w:r>
      <w:r>
        <w:rPr>
          <w:rStyle w:val="FootnoteReference"/>
          <w:rFonts w:ascii="Times New Roman" w:hAnsi="Times New Roman" w:cs="Times New Roman"/>
          <w:noProof/>
          <w:sz w:val="24"/>
          <w:szCs w:val="24"/>
        </w:rPr>
        <w:footnoteReference w:id="53"/>
      </w:r>
      <w:r>
        <w:rPr>
          <w:rFonts w:ascii="Times New Roman" w:hAnsi="Times New Roman"/>
          <w:noProof/>
          <w:sz w:val="24"/>
        </w:rPr>
        <w:t>. Intensificó los preparativos para crear nuevas asociaciones europeas con socios internacionales</w:t>
      </w:r>
      <w:r>
        <w:rPr>
          <w:rStyle w:val="FootnoteReference"/>
          <w:rFonts w:ascii="Times New Roman" w:hAnsi="Times New Roman" w:cs="Times New Roman"/>
          <w:noProof/>
          <w:sz w:val="24"/>
          <w:szCs w:val="24"/>
        </w:rPr>
        <w:footnoteReference w:id="54"/>
      </w:r>
      <w:r>
        <w:rPr>
          <w:rFonts w:ascii="Times New Roman" w:hAnsi="Times New Roman"/>
          <w:noProof/>
          <w:sz w:val="24"/>
        </w:rPr>
        <w:t xml:space="preserve"> y siguió apoyando los compromisos internacionales a nivel regional, como la iniciativa EU-Africa PerMed entre la UE y los países africanos</w:t>
      </w:r>
      <w:r>
        <w:rPr>
          <w:rStyle w:val="FootnoteReference"/>
          <w:rFonts w:ascii="Times New Roman" w:hAnsi="Times New Roman" w:cs="Times New Roman"/>
          <w:noProof/>
          <w:sz w:val="24"/>
          <w:szCs w:val="24"/>
        </w:rPr>
        <w:footnoteReference w:id="55"/>
      </w:r>
      <w:r>
        <w:rPr>
          <w:rFonts w:ascii="Times New Roman" w:hAnsi="Times New Roman"/>
          <w:noProof/>
          <w:sz w:val="24"/>
        </w:rPr>
        <w:t>.</w:t>
      </w:r>
    </w:p>
    <w:p w14:paraId="4C3B5314" w14:textId="195C52CA" w:rsidR="007E3F55" w:rsidRDefault="009E7183" w:rsidP="00152025">
      <w:pPr>
        <w:spacing w:after="120" w:line="276" w:lineRule="auto"/>
        <w:jc w:val="both"/>
        <w:rPr>
          <w:rFonts w:ascii="Times New Roman" w:eastAsia="Times New Roman" w:hAnsi="Times New Roman" w:cs="Times New Roman"/>
          <w:b/>
          <w:noProof/>
          <w:sz w:val="24"/>
          <w:szCs w:val="20"/>
        </w:rPr>
      </w:pPr>
      <w:r>
        <w:rPr>
          <w:rFonts w:ascii="Times New Roman" w:hAnsi="Times New Roman"/>
          <w:noProof/>
          <w:sz w:val="24"/>
        </w:rPr>
        <w:t xml:space="preserve">El programa «Salud Mundial EDCTP 3» es el tercer programa de la </w:t>
      </w:r>
      <w:r>
        <w:rPr>
          <w:rFonts w:ascii="Times New Roman" w:hAnsi="Times New Roman"/>
          <w:b/>
          <w:noProof/>
          <w:sz w:val="24"/>
        </w:rPr>
        <w:t>Cooperación de los países europeos y de los países en desarrollo sobre ensayos clínicos</w:t>
      </w:r>
      <w:r>
        <w:rPr>
          <w:rFonts w:ascii="Times New Roman" w:hAnsi="Times New Roman"/>
          <w:noProof/>
          <w:sz w:val="24"/>
        </w:rPr>
        <w:t xml:space="preserve"> y se establece como empresa común en el marco de Horizonte Europa</w:t>
      </w:r>
      <w:r>
        <w:rPr>
          <w:rStyle w:val="FootnoteReference"/>
          <w:rFonts w:ascii="Times New Roman" w:hAnsi="Times New Roman" w:cs="Times New Roman"/>
          <w:noProof/>
          <w:sz w:val="24"/>
          <w:szCs w:val="24"/>
        </w:rPr>
        <w:footnoteReference w:id="56"/>
      </w:r>
      <w:r>
        <w:rPr>
          <w:rFonts w:ascii="Times New Roman" w:hAnsi="Times New Roman"/>
          <w:noProof/>
          <w:sz w:val="24"/>
        </w:rPr>
        <w:t>.</w:t>
      </w:r>
      <w:r>
        <w:rPr>
          <w:rFonts w:ascii="Times New Roman" w:hAnsi="Times New Roman"/>
          <w:noProof/>
        </w:rPr>
        <w:t xml:space="preserve"> </w:t>
      </w:r>
      <w:r>
        <w:rPr>
          <w:rFonts w:ascii="Times New Roman" w:hAnsi="Times New Roman"/>
          <w:noProof/>
          <w:sz w:val="24"/>
        </w:rPr>
        <w:t>Esta empresa común, que cuenta con un creciente número de miembros (actualmente quince países europeos y veinticinco países africanos), tiene por objeto acelerar el desarrollo clínico de productos de tecnología sanitaria nuevos o mejorados para la detección, el tratamiento y la prevención de enfermedades desatendidas y relacionadas con la pobreza, en particular las enfermedades (re)emergentes, en el África subsahariana.</w:t>
      </w:r>
      <w:r>
        <w:rPr>
          <w:noProof/>
        </w:rPr>
        <w:t xml:space="preserve"> </w:t>
      </w:r>
      <w:r>
        <w:rPr>
          <w:rFonts w:ascii="Times New Roman" w:hAnsi="Times New Roman"/>
          <w:noProof/>
          <w:sz w:val="24"/>
        </w:rPr>
        <w:t>Todas las subvenciones del programa «Salud Mundial EDCTP 3» exigen que los beneficiarios garanticen que los productos o servicios desarrollados gracias a estudios clínicos estén disponibles y sean asequibles y accesibles al público en condiciones justas y razonables.</w:t>
      </w:r>
    </w:p>
    <w:p w14:paraId="1AEEFB50" w14:textId="77777777" w:rsidR="00912308" w:rsidRPr="00910F11" w:rsidRDefault="00CF3795" w:rsidP="00887969">
      <w:pPr>
        <w:pStyle w:val="ListParagraph"/>
        <w:numPr>
          <w:ilvl w:val="1"/>
          <w:numId w:val="1"/>
        </w:numPr>
        <w:spacing w:after="240"/>
        <w:jc w:val="both"/>
        <w:rPr>
          <w:b/>
          <w:noProof/>
          <w:szCs w:val="20"/>
        </w:rPr>
      </w:pPr>
      <w:r>
        <w:rPr>
          <w:b/>
          <w:noProof/>
        </w:rPr>
        <w:t>Fomentar la innovación</w:t>
      </w:r>
    </w:p>
    <w:p w14:paraId="5D2BE5C1" w14:textId="77777777" w:rsidR="00DA4A5B" w:rsidRDefault="007E3F55"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La Comunicación sobre el enfoque global reconoce la importancia de la cooperación internacional en materia de innovación y promueve asociaciones internacionales de innovación provechosas para todos con países y regiones que ofrecen una apertura recíproca al espíritu emprendedor y la inversión, por ejemplo con las partes interesadas de los Estados Unidos (Silicon Valley) y África (Agenda de Innovación UA-UE).</w:t>
      </w:r>
    </w:p>
    <w:p w14:paraId="781A1811" w14:textId="77777777" w:rsidR="00BE024B" w:rsidRDefault="00BE024B"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dimensión internacional de la </w:t>
      </w:r>
      <w:r>
        <w:rPr>
          <w:rFonts w:ascii="Times New Roman" w:hAnsi="Times New Roman"/>
          <w:b/>
          <w:noProof/>
          <w:sz w:val="24"/>
        </w:rPr>
        <w:t>Nueva Agenda Europea de Innovación</w:t>
      </w:r>
      <w:r>
        <w:rPr>
          <w:rStyle w:val="FootnoteReference"/>
          <w:rFonts w:ascii="Times New Roman" w:hAnsi="Times New Roman" w:cs="Times New Roman"/>
          <w:noProof/>
          <w:sz w:val="24"/>
          <w:szCs w:val="24"/>
        </w:rPr>
        <w:footnoteReference w:id="57"/>
      </w:r>
      <w:r>
        <w:rPr>
          <w:rFonts w:ascii="Times New Roman" w:hAnsi="Times New Roman"/>
          <w:noProof/>
          <w:sz w:val="24"/>
        </w:rPr>
        <w:t xml:space="preserve"> contribuye a fomentar, atraer y retener el talento en todo el mundo y a implicar a socios internacionales clave en la aplicación de las iniciativas pertinentes. Esto requiere un marco mejorado para atraer a empresarios extranjeros, incluido un trato más favorable del capital propio, procedimientos simplificados de cotización, más capital disponible de los inversores institucionales y más oportunidades para las mujeres en la inversión de capital riesgo. </w:t>
      </w:r>
    </w:p>
    <w:p w14:paraId="1C1A4727" w14:textId="77777777" w:rsidR="003E271A" w:rsidRDefault="00963A19"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El alcance mundial de la UE en materia de innovación se ve reforzado por las actividades del Instituto Europeo de Innovación y Tecnología (EIT), que ha actualizado recientemente su marco estratégico</w:t>
      </w:r>
      <w:r>
        <w:rPr>
          <w:rStyle w:val="FootnoteReference"/>
          <w:rFonts w:ascii="Times New Roman" w:hAnsi="Times New Roman" w:cs="Times New Roman"/>
          <w:noProof/>
          <w:sz w:val="24"/>
          <w:szCs w:val="24"/>
        </w:rPr>
        <w:footnoteReference w:id="58"/>
      </w:r>
      <w:r>
        <w:rPr>
          <w:rFonts w:ascii="Times New Roman" w:hAnsi="Times New Roman"/>
          <w:noProof/>
          <w:sz w:val="24"/>
        </w:rPr>
        <w:t xml:space="preserve"> para adaptarlo a la Comunicación sobre el enfoque global. Al mismo tiempo, el Consejo Europeo de Innovación está promoviendo su programa de ferias comerciales en el extranjero, que ayuda a sus beneficiarios a promover su estrategia de comercialización en los mercados extranjeros y a aprovechar las oportunidades de negocio en las ferias comerciales internacionales más populares.</w:t>
      </w:r>
    </w:p>
    <w:p w14:paraId="37286A20" w14:textId="77777777" w:rsidR="00912308" w:rsidRPr="007C762A" w:rsidRDefault="00645415" w:rsidP="00152025">
      <w:pPr>
        <w:pStyle w:val="ListParagraph"/>
        <w:numPr>
          <w:ilvl w:val="0"/>
          <w:numId w:val="1"/>
        </w:numPr>
        <w:spacing w:after="200"/>
        <w:ind w:left="357" w:hanging="357"/>
        <w:jc w:val="both"/>
        <w:rPr>
          <w:b/>
          <w:noProof/>
          <w:szCs w:val="20"/>
        </w:rPr>
      </w:pPr>
      <w:r>
        <w:rPr>
          <w:b/>
          <w:smallCaps/>
          <w:noProof/>
        </w:rPr>
        <w:t>Modular la cooperación con países y regiones prioritarios</w:t>
      </w:r>
    </w:p>
    <w:tbl>
      <w:tblPr>
        <w:tblStyle w:val="TableGrid"/>
        <w:tblW w:w="0" w:type="auto"/>
        <w:shd w:val="clear" w:color="auto" w:fill="D9D9D9" w:themeFill="background1" w:themeFillShade="D9"/>
        <w:tblLook w:val="04A0" w:firstRow="1" w:lastRow="0" w:firstColumn="1" w:lastColumn="0" w:noHBand="0" w:noVBand="1"/>
      </w:tblPr>
      <w:tblGrid>
        <w:gridCol w:w="9242"/>
      </w:tblGrid>
      <w:tr w:rsidR="007C762A" w14:paraId="03872DD6" w14:textId="77777777" w:rsidTr="002A1524">
        <w:tc>
          <w:tcPr>
            <w:tcW w:w="9242" w:type="dxa"/>
            <w:shd w:val="clear" w:color="auto" w:fill="D9D9D9" w:themeFill="background1" w:themeFillShade="D9"/>
          </w:tcPr>
          <w:p w14:paraId="247C27FE" w14:textId="77777777" w:rsidR="007C762A" w:rsidRDefault="00B25EA3"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Más del 20 % de los temas del programa Horizonte Europa </w:t>
            </w:r>
            <w:r>
              <w:rPr>
                <w:rFonts w:ascii="Times New Roman" w:hAnsi="Times New Roman"/>
                <w:b/>
                <w:noProof/>
                <w:sz w:val="24"/>
              </w:rPr>
              <w:t>se centraron específicamente en la cooperación internacional</w:t>
            </w:r>
            <w:r>
              <w:rPr>
                <w:rFonts w:ascii="Times New Roman" w:hAnsi="Times New Roman"/>
                <w:noProof/>
                <w:sz w:val="24"/>
              </w:rPr>
              <w:t xml:space="preserve">, fomentando las </w:t>
            </w:r>
            <w:r>
              <w:rPr>
                <w:rFonts w:ascii="Times New Roman" w:hAnsi="Times New Roman"/>
                <w:b/>
                <w:noProof/>
                <w:sz w:val="24"/>
              </w:rPr>
              <w:t>sinergias con otros programas de la UE</w:t>
            </w:r>
            <w:r>
              <w:rPr>
                <w:rFonts w:ascii="Times New Roman" w:hAnsi="Times New Roman"/>
                <w:noProof/>
                <w:sz w:val="24"/>
              </w:rPr>
              <w:t>, en particular el Instrumento de Vecindad, Desarrollo y Cooperación Internacional (IVCDCI).</w:t>
            </w:r>
          </w:p>
          <w:p w14:paraId="4A16F0FF" w14:textId="43708D4A" w:rsidR="00B25EA3" w:rsidRDefault="00B25EA3"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Debido a las consecuencias de la guerra de agresión de Rusia contra Ucrania, la Comisión se centró en </w:t>
            </w:r>
            <w:r>
              <w:rPr>
                <w:rFonts w:ascii="Times New Roman" w:hAnsi="Times New Roman"/>
                <w:b/>
                <w:noProof/>
                <w:sz w:val="24"/>
              </w:rPr>
              <w:t>medidas de apoyo específicas para Ucrania</w:t>
            </w:r>
            <w:r>
              <w:rPr>
                <w:rFonts w:ascii="Times New Roman" w:hAnsi="Times New Roman"/>
                <w:noProof/>
                <w:sz w:val="24"/>
              </w:rPr>
              <w:t xml:space="preserve"> y facilitó su participación en Horizonte Europa y Euratom, en particular con la creación de una oficina de Horizonte Europa en Kiev. El Acuerdo de Cooperación científica y tecnológica entre la UE y Ucrania se renovó en 2022, haciéndolo efectivo desde el 8 de noviembre de 2019 por un período de cinco años.</w:t>
            </w:r>
          </w:p>
          <w:p w14:paraId="6D28498A" w14:textId="77777777" w:rsidR="00B25EA3" w:rsidRDefault="00B25EA3"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Por primera vez, todos los socios de los </w:t>
            </w:r>
            <w:r>
              <w:rPr>
                <w:rFonts w:ascii="Times New Roman" w:hAnsi="Times New Roman"/>
                <w:b/>
                <w:noProof/>
                <w:sz w:val="24"/>
              </w:rPr>
              <w:t>Balcanes Occidentales</w:t>
            </w:r>
            <w:r>
              <w:rPr>
                <w:rFonts w:ascii="Times New Roman" w:hAnsi="Times New Roman"/>
                <w:noProof/>
                <w:sz w:val="24"/>
              </w:rPr>
              <w:t xml:space="preserve"> están asociados a Horizonte Europa. Las relaciones se centran en la aplicación de la agenda de los Balcanes Occidentales en materia de innovación, investigación, cultura, educación, juventud y deporte</w:t>
            </w:r>
            <w:r>
              <w:rPr>
                <w:rStyle w:val="FootnoteReference"/>
                <w:rFonts w:ascii="Times New Roman" w:hAnsi="Times New Roman" w:cs="Times New Roman"/>
                <w:noProof/>
                <w:sz w:val="24"/>
                <w:szCs w:val="24"/>
              </w:rPr>
              <w:footnoteReference w:id="59"/>
            </w:r>
            <w:r>
              <w:rPr>
                <w:rFonts w:ascii="Times New Roman" w:hAnsi="Times New Roman"/>
                <w:noProof/>
                <w:sz w:val="24"/>
              </w:rPr>
              <w:t>.</w:t>
            </w:r>
          </w:p>
          <w:p w14:paraId="3D9A2A58" w14:textId="77777777" w:rsidR="00CE7457" w:rsidRDefault="00B25EA3"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Sobre la base de los debates actuales acerca de la </w:t>
            </w:r>
            <w:r>
              <w:rPr>
                <w:rFonts w:ascii="Times New Roman" w:hAnsi="Times New Roman"/>
                <w:b/>
                <w:noProof/>
                <w:sz w:val="24"/>
              </w:rPr>
              <w:t>hoja de ruta conjunta UE-China sobre el futuro de la cooperación en materia de ciencia, tecnología e innovación</w:t>
            </w:r>
            <w:r>
              <w:rPr>
                <w:rFonts w:ascii="Times New Roman" w:hAnsi="Times New Roman"/>
                <w:noProof/>
                <w:sz w:val="24"/>
              </w:rPr>
              <w:t>, la UE y China cooperarán en dos iniciativas emblemáticas de investigación en ámbitos de interés mutuo, al tiempo que aplican un enfoque restringido a las acciones relacionadas con la innovación.</w:t>
            </w:r>
          </w:p>
          <w:p w14:paraId="5E574B82" w14:textId="77777777" w:rsidR="00BF3D4A" w:rsidRDefault="00FE0AB4"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Junto con la Unión Africana (UA), la UE ha elaborado un proyecto de </w:t>
            </w:r>
            <w:r>
              <w:rPr>
                <w:rFonts w:ascii="Times New Roman" w:hAnsi="Times New Roman"/>
                <w:b/>
                <w:noProof/>
                <w:sz w:val="24"/>
              </w:rPr>
              <w:t>Agenda de Innovación conjunta UA-UE</w:t>
            </w:r>
            <w:r>
              <w:rPr>
                <w:rFonts w:ascii="Times New Roman" w:hAnsi="Times New Roman"/>
                <w:noProof/>
                <w:sz w:val="24"/>
              </w:rPr>
              <w:t xml:space="preserve"> y ha refrendado la declaración ministerial de la </w:t>
            </w:r>
            <w:r>
              <w:rPr>
                <w:rFonts w:ascii="Times New Roman" w:hAnsi="Times New Roman"/>
                <w:b/>
                <w:noProof/>
                <w:sz w:val="24"/>
              </w:rPr>
              <w:t>Unión por el Mediterráneo</w:t>
            </w:r>
            <w:r>
              <w:rPr>
                <w:rFonts w:ascii="Times New Roman" w:hAnsi="Times New Roman"/>
                <w:noProof/>
                <w:sz w:val="24"/>
              </w:rPr>
              <w:t>. En el marco de Horizonte Europa, la UE puso en marcha una «Iniciativa África» y una «Iniciativa Mediterránea», cada una con una inversión total de la UE de alrededor de 300 millones EUR.</w:t>
            </w:r>
          </w:p>
          <w:p w14:paraId="55F89663" w14:textId="1BAF9A46" w:rsidR="00BF3D4A" w:rsidRPr="00BF3D4A" w:rsidRDefault="00BF3D4A"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UE ha intensificado las relaciones bilaterales con los </w:t>
            </w:r>
            <w:r>
              <w:rPr>
                <w:rFonts w:ascii="Times New Roman" w:hAnsi="Times New Roman"/>
                <w:b/>
                <w:noProof/>
                <w:sz w:val="24"/>
              </w:rPr>
              <w:t>Estados Unidos</w:t>
            </w:r>
            <w:r>
              <w:rPr>
                <w:rFonts w:ascii="Times New Roman" w:hAnsi="Times New Roman"/>
                <w:noProof/>
                <w:sz w:val="24"/>
              </w:rPr>
              <w:t xml:space="preserve"> a través del Consejo UE-EE. UU. de Comercio y Tecnología; con </w:t>
            </w:r>
            <w:r>
              <w:rPr>
                <w:rFonts w:ascii="Times New Roman" w:hAnsi="Times New Roman"/>
                <w:b/>
                <w:noProof/>
                <w:sz w:val="24"/>
              </w:rPr>
              <w:t>Canadá, Nueva Zelanda</w:t>
            </w:r>
            <w:r>
              <w:rPr>
                <w:rFonts w:ascii="Times New Roman" w:hAnsi="Times New Roman"/>
                <w:noProof/>
                <w:sz w:val="24"/>
              </w:rPr>
              <w:t xml:space="preserve"> y la </w:t>
            </w:r>
            <w:r>
              <w:rPr>
                <w:rFonts w:ascii="Times New Roman" w:hAnsi="Times New Roman"/>
                <w:b/>
                <w:noProof/>
                <w:sz w:val="24"/>
              </w:rPr>
              <w:t>República de Corea</w:t>
            </w:r>
            <w:r>
              <w:rPr>
                <w:rFonts w:ascii="Times New Roman" w:hAnsi="Times New Roman"/>
                <w:noProof/>
                <w:sz w:val="24"/>
              </w:rPr>
              <w:t xml:space="preserve">, en particular a través de negociaciones de asociación a Horizonte Europa; con </w:t>
            </w:r>
            <w:r>
              <w:rPr>
                <w:rFonts w:ascii="Times New Roman" w:hAnsi="Times New Roman"/>
                <w:b/>
                <w:noProof/>
                <w:sz w:val="24"/>
              </w:rPr>
              <w:t>Japón</w:t>
            </w:r>
            <w:r>
              <w:rPr>
                <w:rFonts w:ascii="Times New Roman" w:hAnsi="Times New Roman"/>
                <w:noProof/>
                <w:sz w:val="24"/>
              </w:rPr>
              <w:t xml:space="preserve">, también en el contexto de la Presidencia japonesa del G7 en 2023, y con la </w:t>
            </w:r>
            <w:r>
              <w:rPr>
                <w:rFonts w:ascii="Times New Roman" w:hAnsi="Times New Roman"/>
                <w:b/>
                <w:noProof/>
                <w:sz w:val="24"/>
              </w:rPr>
              <w:t>India</w:t>
            </w:r>
            <w:r>
              <w:rPr>
                <w:rFonts w:ascii="Times New Roman" w:hAnsi="Times New Roman"/>
                <w:noProof/>
                <w:sz w:val="24"/>
              </w:rPr>
              <w:t>, con la puesta en marcha del Consejo UE-India de Comercio y Tecnología.</w:t>
            </w:r>
          </w:p>
          <w:p w14:paraId="3CAE3DD7" w14:textId="77777777" w:rsidR="006A74AF" w:rsidRDefault="00BF3D4A" w:rsidP="00C314A2">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Comisión ha seguido aplicando la </w:t>
            </w:r>
            <w:r>
              <w:rPr>
                <w:rFonts w:ascii="Times New Roman" w:hAnsi="Times New Roman"/>
                <w:b/>
                <w:noProof/>
                <w:sz w:val="24"/>
              </w:rPr>
              <w:t>Hoja de Ruta Estratégica CELAC</w:t>
            </w:r>
            <w:r>
              <w:rPr>
                <w:rStyle w:val="FootnoteReference"/>
                <w:rFonts w:ascii="Times New Roman" w:hAnsi="Times New Roman" w:cs="Times New Roman"/>
                <w:noProof/>
                <w:sz w:val="24"/>
                <w:szCs w:val="24"/>
                <w:lang w:val="en-GB"/>
              </w:rPr>
              <w:footnoteReference w:id="60"/>
            </w:r>
            <w:r>
              <w:rPr>
                <w:rFonts w:ascii="Times New Roman" w:hAnsi="Times New Roman"/>
                <w:b/>
                <w:noProof/>
                <w:sz w:val="24"/>
              </w:rPr>
              <w:t>-UE sobre ciencia, tecnología e innovación para 2021-2023</w:t>
            </w:r>
            <w:r>
              <w:rPr>
                <w:rFonts w:ascii="Times New Roman" w:hAnsi="Times New Roman"/>
                <w:noProof/>
                <w:sz w:val="24"/>
              </w:rPr>
              <w:t xml:space="preserve"> y debatirá la futura cooperación en el segundo semestre de 2023. La UE también ha aprobado un plan de acción para 2023-2027 para la ejecución de la </w:t>
            </w:r>
            <w:r>
              <w:rPr>
                <w:rFonts w:ascii="Times New Roman" w:hAnsi="Times New Roman"/>
                <w:b/>
                <w:noProof/>
                <w:sz w:val="24"/>
              </w:rPr>
              <w:t>asociación estratégica ASEAN-UE</w:t>
            </w:r>
            <w:r>
              <w:rPr>
                <w:rFonts w:ascii="Times New Roman" w:hAnsi="Times New Roman"/>
                <w:noProof/>
                <w:sz w:val="24"/>
              </w:rPr>
              <w:t xml:space="preserve"> y se ha comprometido a promover la cooperación en la </w:t>
            </w:r>
            <w:r>
              <w:rPr>
                <w:rFonts w:ascii="Times New Roman" w:hAnsi="Times New Roman"/>
                <w:b/>
                <w:noProof/>
                <w:sz w:val="24"/>
              </w:rPr>
              <w:t>región indopacífica</w:t>
            </w:r>
            <w:r>
              <w:rPr>
                <w:rFonts w:ascii="Times New Roman" w:hAnsi="Times New Roman"/>
                <w:noProof/>
                <w:sz w:val="24"/>
              </w:rPr>
              <w:t>, en particular con Australia, Nueva Zelanda, la República de Corea y Singapur.</w:t>
            </w:r>
          </w:p>
        </w:tc>
      </w:tr>
    </w:tbl>
    <w:p w14:paraId="73F61E37" w14:textId="77777777" w:rsidR="00DD4D13" w:rsidRPr="006A74AF" w:rsidRDefault="00DD4D13" w:rsidP="00152025">
      <w:pPr>
        <w:pStyle w:val="ListParagraph"/>
        <w:numPr>
          <w:ilvl w:val="1"/>
          <w:numId w:val="1"/>
        </w:numPr>
        <w:spacing w:before="120" w:after="200" w:line="276" w:lineRule="auto"/>
        <w:ind w:left="788" w:hanging="431"/>
        <w:jc w:val="both"/>
        <w:rPr>
          <w:b/>
          <w:noProof/>
        </w:rPr>
      </w:pPr>
      <w:r>
        <w:rPr>
          <w:b/>
          <w:noProof/>
        </w:rPr>
        <w:t>Fortalecer la cooperación con terceros países industrializados y con economías emergentes</w:t>
      </w:r>
    </w:p>
    <w:p w14:paraId="43F21C04" w14:textId="77777777" w:rsidR="00642B13" w:rsidRPr="00BF3D4A" w:rsidRDefault="00642B13"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cooperación con los </w:t>
      </w:r>
      <w:r>
        <w:rPr>
          <w:rFonts w:ascii="Times New Roman" w:hAnsi="Times New Roman"/>
          <w:b/>
          <w:noProof/>
          <w:sz w:val="24"/>
        </w:rPr>
        <w:t>Estados Unidos</w:t>
      </w:r>
      <w:r>
        <w:rPr>
          <w:rFonts w:ascii="Times New Roman" w:hAnsi="Times New Roman"/>
          <w:noProof/>
          <w:sz w:val="24"/>
        </w:rPr>
        <w:t xml:space="preserve"> se ha reforzado considerablemente en consonancia con la ambición establecida en la Comunicación sobre el enfoque global y en la Comunicación conjunta «Una nueva agenda UE-EE.UU. para el cambio mundial»</w:t>
      </w:r>
      <w:r>
        <w:rPr>
          <w:rStyle w:val="FootnoteReference"/>
          <w:rFonts w:ascii="Times New Roman" w:hAnsi="Times New Roman" w:cs="Times New Roman"/>
          <w:noProof/>
          <w:sz w:val="24"/>
          <w:szCs w:val="24"/>
        </w:rPr>
        <w:footnoteReference w:id="61"/>
      </w:r>
      <w:r>
        <w:rPr>
          <w:rFonts w:ascii="Times New Roman" w:hAnsi="Times New Roman"/>
          <w:noProof/>
          <w:sz w:val="24"/>
        </w:rPr>
        <w:t xml:space="preserve">. La cumbre UE-EE.UU. de junio de 2021 puso en marcha formalmente el Consejo UE-EE. UU. de Comercio y Tecnología, que dio lugar a líneas de trabajo nuevas y activas en el establecimiento de normas, la inteligencia cuántica y artificial y la investigación en relación con el clima y las tecnologías limpias. Una línea de trabajo activo sobre la electromovilidad y la interoperabilidad con redes inteligentes en el marco del grupo de trabajo del Consejo UE-EE. UU. de Comercio y Tecnología sobre el clima y las tecnologías limpias elaboró recomendaciones para la infraestructura pública de recarga de la movilidad eléctrica. </w:t>
      </w:r>
    </w:p>
    <w:p w14:paraId="3A299EFE" w14:textId="77777777" w:rsidR="00A1674E" w:rsidRPr="00A1674E" w:rsidRDefault="00CB4498"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En consonancia con el enfoque polifacético de la Comunicación conjunta «UE-China: Una perspectiva estratégica»</w:t>
      </w:r>
      <w:r>
        <w:rPr>
          <w:rStyle w:val="FootnoteReference"/>
          <w:rFonts w:ascii="Times New Roman" w:hAnsi="Times New Roman" w:cs="Times New Roman"/>
          <w:noProof/>
          <w:sz w:val="24"/>
          <w:szCs w:val="24"/>
        </w:rPr>
        <w:footnoteReference w:id="62"/>
      </w:r>
      <w:r>
        <w:rPr>
          <w:rFonts w:ascii="Times New Roman" w:hAnsi="Times New Roman"/>
          <w:noProof/>
          <w:sz w:val="24"/>
        </w:rPr>
        <w:t xml:space="preserve">, la Comisión ha intensificado aún más sus esfuerzos para recalibrar la </w:t>
      </w:r>
      <w:r>
        <w:rPr>
          <w:rFonts w:ascii="Times New Roman" w:hAnsi="Times New Roman"/>
          <w:b/>
          <w:noProof/>
          <w:sz w:val="24"/>
        </w:rPr>
        <w:t>cooperación en materia de I+i con</w:t>
      </w:r>
      <w:r>
        <w:rPr>
          <w:rFonts w:ascii="Times New Roman" w:hAnsi="Times New Roman"/>
          <w:noProof/>
          <w:sz w:val="24"/>
        </w:rPr>
        <w:t xml:space="preserve"> </w:t>
      </w:r>
      <w:r>
        <w:rPr>
          <w:rFonts w:ascii="Times New Roman" w:hAnsi="Times New Roman"/>
          <w:b/>
          <w:noProof/>
          <w:sz w:val="24"/>
        </w:rPr>
        <w:t>China</w:t>
      </w:r>
      <w:r>
        <w:rPr>
          <w:rFonts w:ascii="Times New Roman" w:hAnsi="Times New Roman"/>
          <w:noProof/>
          <w:sz w:val="24"/>
        </w:rPr>
        <w:t>. Se está debatiendo una hoja de ruta conjunta UE-China sobre el futuro de la cooperación en materia de ciencia, tecnología e innovación, incluido un conjunto de condiciones marco. El alcance de la cooperación entre la UE y China en materia de I+i refleja el hecho de que la rivalidad sistémica ha ganado importancia y que los debates sobre la hoja de ruta están dando resultados positivos en las condiciones marco relacionadas con la investigación</w:t>
      </w:r>
      <w:r>
        <w:rPr>
          <w:rStyle w:val="FootnoteReference"/>
          <w:rFonts w:ascii="Times New Roman" w:hAnsi="Times New Roman" w:cs="Times New Roman"/>
          <w:noProof/>
          <w:sz w:val="24"/>
          <w:szCs w:val="24"/>
        </w:rPr>
        <w:footnoteReference w:id="63"/>
      </w:r>
      <w:r>
        <w:rPr>
          <w:rFonts w:ascii="Times New Roman" w:hAnsi="Times New Roman"/>
          <w:noProof/>
          <w:sz w:val="24"/>
        </w:rPr>
        <w:t>, pero no se han producido avances en las condiciones marco relacionadas con la innovación</w:t>
      </w:r>
      <w:r>
        <w:rPr>
          <w:rStyle w:val="FootnoteReference"/>
          <w:rFonts w:ascii="Times New Roman" w:hAnsi="Times New Roman" w:cs="Times New Roman"/>
          <w:noProof/>
          <w:sz w:val="24"/>
          <w:szCs w:val="24"/>
        </w:rPr>
        <w:footnoteReference w:id="64"/>
      </w:r>
      <w:r>
        <w:rPr>
          <w:noProof/>
        </w:rPr>
        <w:t>.</w:t>
      </w:r>
      <w:r>
        <w:rPr>
          <w:rFonts w:ascii="Times New Roman" w:hAnsi="Times New Roman"/>
          <w:noProof/>
          <w:sz w:val="24"/>
        </w:rPr>
        <w:t xml:space="preserve"> Por consiguiente, en el </w:t>
      </w:r>
      <w:r>
        <w:rPr>
          <w:rFonts w:ascii="Times New Roman" w:hAnsi="Times New Roman"/>
          <w:b/>
          <w:noProof/>
          <w:sz w:val="24"/>
        </w:rPr>
        <w:t>programa de trabajo de Horizonte Europa para 2023-2024</w:t>
      </w:r>
      <w:r>
        <w:rPr>
          <w:rFonts w:ascii="Times New Roman" w:hAnsi="Times New Roman"/>
          <w:noProof/>
          <w:sz w:val="24"/>
        </w:rPr>
        <w:t>, la cooperación entre la UE y China en materia de I+i continúa a través de dos iniciativas emblemáticas de investigación, una sobre alimentación, agricultura y biotecnología, y otra sobre cambio climático y biodiversidad. Sin embargo, dada la gran preocupación respecto al uso de la propiedad intelectual en el marco de Horizonte Europa,</w:t>
      </w:r>
      <w:r>
        <w:rPr>
          <w:rFonts w:ascii="Times New Roman" w:hAnsi="Times New Roman"/>
          <w:noProof/>
          <w:sz w:val="24"/>
          <w:vertAlign w:val="superscript"/>
        </w:rPr>
        <w:t xml:space="preserve"> </w:t>
      </w:r>
      <w:r>
        <w:rPr>
          <w:rFonts w:ascii="Times New Roman" w:hAnsi="Times New Roman"/>
          <w:noProof/>
          <w:sz w:val="24"/>
        </w:rPr>
        <w:t>se ha aplicado el artículo 22, apartado 6, del Reglamento de Horizonte Europa para impedir la participación de entidades chinas en acciones de innovación</w:t>
      </w:r>
      <w:r>
        <w:rPr>
          <w:rStyle w:val="FootnoteReference"/>
          <w:rFonts w:ascii="Times New Roman" w:hAnsi="Times New Roman" w:cs="Times New Roman"/>
          <w:noProof/>
          <w:sz w:val="24"/>
          <w:szCs w:val="24"/>
        </w:rPr>
        <w:footnoteReference w:id="65"/>
      </w:r>
      <w:r>
        <w:rPr>
          <w:rFonts w:ascii="Times New Roman" w:hAnsi="Times New Roman"/>
          <w:noProof/>
          <w:sz w:val="24"/>
        </w:rPr>
        <w:t xml:space="preserve">. </w:t>
      </w:r>
    </w:p>
    <w:p w14:paraId="69C5526F" w14:textId="77777777" w:rsidR="006E6022" w:rsidRPr="00B8225D" w:rsidRDefault="00D30893"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Con </w:t>
      </w:r>
      <w:r>
        <w:rPr>
          <w:rFonts w:ascii="Times New Roman" w:hAnsi="Times New Roman"/>
          <w:b/>
          <w:noProof/>
          <w:sz w:val="24"/>
        </w:rPr>
        <w:t>Canadá</w:t>
      </w:r>
      <w:r>
        <w:rPr>
          <w:rFonts w:ascii="Times New Roman" w:hAnsi="Times New Roman"/>
          <w:noProof/>
          <w:sz w:val="24"/>
        </w:rPr>
        <w:t xml:space="preserve">, </w:t>
      </w:r>
      <w:r>
        <w:rPr>
          <w:rFonts w:ascii="Times New Roman" w:hAnsi="Times New Roman"/>
          <w:b/>
          <w:noProof/>
          <w:sz w:val="24"/>
        </w:rPr>
        <w:t>Australia</w:t>
      </w:r>
      <w:r>
        <w:rPr>
          <w:rFonts w:ascii="Times New Roman" w:hAnsi="Times New Roman"/>
          <w:noProof/>
          <w:sz w:val="24"/>
        </w:rPr>
        <w:t xml:space="preserve"> y </w:t>
      </w:r>
      <w:r>
        <w:rPr>
          <w:rFonts w:ascii="Times New Roman" w:hAnsi="Times New Roman"/>
          <w:b/>
          <w:noProof/>
          <w:sz w:val="24"/>
        </w:rPr>
        <w:t>Nueva Zelanda</w:t>
      </w:r>
      <w:r>
        <w:rPr>
          <w:rFonts w:ascii="Times New Roman" w:hAnsi="Times New Roman"/>
          <w:noProof/>
          <w:sz w:val="24"/>
        </w:rPr>
        <w:t>, la cooperación continuó en ámbitos de prioridad mutua, como la salud y las transiciones ecológica y digital. En consonancia con la estrategia de la UE para la cooperación con la región indopacífica, la Comisión ha celebrado asociaciones digitales internacionales</w:t>
      </w:r>
      <w:r>
        <w:rPr>
          <w:rStyle w:val="FootnoteReference"/>
          <w:rFonts w:ascii="Times New Roman" w:hAnsi="Times New Roman" w:cs="Times New Roman"/>
          <w:noProof/>
          <w:sz w:val="24"/>
          <w:szCs w:val="24"/>
          <w:lang w:val="en-GB"/>
        </w:rPr>
        <w:footnoteReference w:id="66"/>
      </w:r>
      <w:r>
        <w:rPr>
          <w:rFonts w:ascii="Times New Roman" w:hAnsi="Times New Roman"/>
          <w:noProof/>
          <w:sz w:val="24"/>
        </w:rPr>
        <w:t xml:space="preserve"> con </w:t>
      </w:r>
      <w:r>
        <w:rPr>
          <w:rFonts w:ascii="Times New Roman" w:hAnsi="Times New Roman"/>
          <w:b/>
          <w:noProof/>
          <w:sz w:val="24"/>
        </w:rPr>
        <w:t>Japón</w:t>
      </w:r>
      <w:r>
        <w:rPr>
          <w:rFonts w:ascii="Times New Roman" w:hAnsi="Times New Roman"/>
          <w:noProof/>
          <w:sz w:val="24"/>
        </w:rPr>
        <w:t xml:space="preserve">, la </w:t>
      </w:r>
      <w:r>
        <w:rPr>
          <w:rFonts w:ascii="Times New Roman" w:hAnsi="Times New Roman"/>
          <w:b/>
          <w:noProof/>
          <w:sz w:val="24"/>
        </w:rPr>
        <w:t>República de Corea</w:t>
      </w:r>
      <w:r>
        <w:rPr>
          <w:rFonts w:ascii="Times New Roman" w:hAnsi="Times New Roman"/>
          <w:noProof/>
          <w:sz w:val="24"/>
        </w:rPr>
        <w:t xml:space="preserve"> y </w:t>
      </w:r>
      <w:r>
        <w:rPr>
          <w:rFonts w:ascii="Times New Roman" w:hAnsi="Times New Roman"/>
          <w:b/>
          <w:noProof/>
          <w:sz w:val="24"/>
        </w:rPr>
        <w:t>Singapur</w:t>
      </w:r>
      <w:r>
        <w:rPr>
          <w:rFonts w:ascii="Times New Roman" w:hAnsi="Times New Roman"/>
          <w:noProof/>
          <w:sz w:val="24"/>
        </w:rPr>
        <w:t xml:space="preserve">. La cooperación con la </w:t>
      </w:r>
      <w:r>
        <w:rPr>
          <w:rFonts w:ascii="Times New Roman" w:hAnsi="Times New Roman"/>
          <w:b/>
          <w:noProof/>
          <w:sz w:val="24"/>
        </w:rPr>
        <w:t>India</w:t>
      </w:r>
      <w:r>
        <w:rPr>
          <w:rFonts w:ascii="Times New Roman" w:hAnsi="Times New Roman"/>
          <w:noProof/>
          <w:sz w:val="24"/>
        </w:rPr>
        <w:t xml:space="preserve"> ha cobrado impulso con la puesta en marcha del Consejo UE-India de Comercio y Tecnología</w:t>
      </w:r>
      <w:r>
        <w:rPr>
          <w:rStyle w:val="FootnoteReference"/>
          <w:rFonts w:ascii="Times New Roman" w:hAnsi="Times New Roman" w:cs="Times New Roman"/>
          <w:noProof/>
          <w:sz w:val="24"/>
          <w:szCs w:val="24"/>
        </w:rPr>
        <w:footnoteReference w:id="67"/>
      </w:r>
      <w:r>
        <w:rPr>
          <w:rFonts w:ascii="Times New Roman" w:hAnsi="Times New Roman"/>
          <w:noProof/>
          <w:sz w:val="24"/>
        </w:rPr>
        <w:t xml:space="preserve">, que se centrará en las tecnologías digitales, ecológicas y energéticas limpias, así como en el comercio y las cadenas de valor resilientes. La India también ha acordado establecer un mecanismo de cofinanciación para temas específicos del programa de trabajo de Horizonte Europa para 2023-24. </w:t>
      </w:r>
    </w:p>
    <w:p w14:paraId="51F85632" w14:textId="77777777" w:rsidR="00103EEE" w:rsidRPr="006A74AF" w:rsidRDefault="00642B13" w:rsidP="00152025">
      <w:pPr>
        <w:spacing w:after="120" w:line="276" w:lineRule="auto"/>
        <w:jc w:val="both"/>
        <w:rPr>
          <w:rFonts w:ascii="Times New Roman" w:hAnsi="Times New Roman" w:cs="Times New Roman"/>
          <w:bCs/>
          <w:noProof/>
          <w:sz w:val="24"/>
          <w:szCs w:val="24"/>
        </w:rPr>
      </w:pPr>
      <w:r>
        <w:rPr>
          <w:rFonts w:ascii="Times New Roman" w:hAnsi="Times New Roman"/>
          <w:noProof/>
          <w:sz w:val="24"/>
        </w:rPr>
        <w:t xml:space="preserve">En el marco de la cooperación entre la </w:t>
      </w:r>
      <w:r>
        <w:rPr>
          <w:rFonts w:ascii="Times New Roman" w:hAnsi="Times New Roman"/>
          <w:b/>
          <w:noProof/>
          <w:sz w:val="24"/>
        </w:rPr>
        <w:t xml:space="preserve">UE y Brasil </w:t>
      </w:r>
      <w:r>
        <w:rPr>
          <w:rFonts w:ascii="Times New Roman" w:hAnsi="Times New Roman"/>
          <w:noProof/>
          <w:sz w:val="24"/>
        </w:rPr>
        <w:t xml:space="preserve">en el ámbito de la I+i, se renovó por cinco años el acuerdo científico y tecnológico bilateral y se firmó un acuerdo administrativo con tres organismos brasileños de financiación de la investigación destinado a establecer un mecanismo de cofinanciación para las entidades brasileñas que participan en Horizonte Europa. La cooperación bilateral entre la </w:t>
      </w:r>
      <w:r>
        <w:rPr>
          <w:rFonts w:ascii="Times New Roman" w:hAnsi="Times New Roman"/>
          <w:b/>
          <w:noProof/>
          <w:sz w:val="24"/>
        </w:rPr>
        <w:t xml:space="preserve">UE y México </w:t>
      </w:r>
      <w:r>
        <w:rPr>
          <w:rFonts w:ascii="Times New Roman" w:hAnsi="Times New Roman"/>
          <w:noProof/>
          <w:sz w:val="24"/>
        </w:rPr>
        <w:t xml:space="preserve">permitió la puesta en marcha de «Puerta Horizonte Europa-México», que apoya y cofinancia la participación mexicana en Horizonte Europa, y se espera que en 2023 se firme un acuerdo administrativo con </w:t>
      </w:r>
      <w:r>
        <w:rPr>
          <w:rFonts w:ascii="Times New Roman" w:hAnsi="Times New Roman"/>
          <w:b/>
          <w:noProof/>
          <w:sz w:val="24"/>
        </w:rPr>
        <w:t>Argentina</w:t>
      </w:r>
      <w:r>
        <w:rPr>
          <w:rFonts w:ascii="Times New Roman" w:hAnsi="Times New Roman"/>
          <w:noProof/>
          <w:sz w:val="24"/>
        </w:rPr>
        <w:t xml:space="preserve"> sobre Copernicus. El acuerdo bilateral de cooperación científica y tecnológica entre la </w:t>
      </w:r>
      <w:r>
        <w:rPr>
          <w:rFonts w:ascii="Times New Roman" w:hAnsi="Times New Roman"/>
          <w:b/>
          <w:noProof/>
          <w:sz w:val="24"/>
        </w:rPr>
        <w:t xml:space="preserve">UE y Chile </w:t>
      </w:r>
      <w:r>
        <w:rPr>
          <w:rFonts w:ascii="Times New Roman" w:hAnsi="Times New Roman"/>
          <w:noProof/>
          <w:sz w:val="24"/>
        </w:rPr>
        <w:t>se renovó</w:t>
      </w:r>
      <w:r>
        <w:rPr>
          <w:rFonts w:ascii="Times New Roman" w:hAnsi="Times New Roman"/>
          <w:b/>
          <w:noProof/>
          <w:sz w:val="24"/>
        </w:rPr>
        <w:t xml:space="preserve"> </w:t>
      </w:r>
      <w:r>
        <w:rPr>
          <w:rFonts w:ascii="Times New Roman" w:hAnsi="Times New Roman"/>
          <w:noProof/>
          <w:sz w:val="24"/>
        </w:rPr>
        <w:t xml:space="preserve">tácitamente hasta 2027. </w:t>
      </w:r>
    </w:p>
    <w:p w14:paraId="3F0FAF41" w14:textId="77777777" w:rsidR="00DD4D13" w:rsidRPr="00C2549D" w:rsidRDefault="00DD4D13" w:rsidP="00887969">
      <w:pPr>
        <w:pStyle w:val="ListParagraph"/>
        <w:numPr>
          <w:ilvl w:val="1"/>
          <w:numId w:val="1"/>
        </w:numPr>
        <w:spacing w:after="200" w:line="276" w:lineRule="auto"/>
        <w:ind w:left="788" w:hanging="431"/>
        <w:jc w:val="both"/>
        <w:rPr>
          <w:b/>
          <w:noProof/>
          <w:szCs w:val="20"/>
        </w:rPr>
      </w:pPr>
      <w:r>
        <w:rPr>
          <w:b/>
          <w:noProof/>
        </w:rPr>
        <w:t>Integrar la cooperación en los países vecinos de la UE</w:t>
      </w:r>
    </w:p>
    <w:p w14:paraId="57C32A74" w14:textId="77777777" w:rsidR="00DD4D13" w:rsidRPr="00EC3DA2" w:rsidRDefault="00DF4264" w:rsidP="00152025">
      <w:pPr>
        <w:spacing w:after="120" w:line="276" w:lineRule="auto"/>
        <w:jc w:val="both"/>
        <w:rPr>
          <w:rFonts w:ascii="Times New Roman" w:hAnsi="Times New Roman" w:cs="Times New Roman"/>
          <w:noProof/>
          <w:sz w:val="24"/>
          <w:szCs w:val="24"/>
          <w:highlight w:val="yellow"/>
        </w:rPr>
      </w:pPr>
      <w:r>
        <w:rPr>
          <w:rFonts w:ascii="Times New Roman" w:hAnsi="Times New Roman"/>
          <w:noProof/>
          <w:sz w:val="24"/>
        </w:rPr>
        <w:t xml:space="preserve">La aplicación de la agenda de los </w:t>
      </w:r>
      <w:r>
        <w:rPr>
          <w:rFonts w:ascii="Times New Roman" w:hAnsi="Times New Roman"/>
          <w:b/>
          <w:noProof/>
          <w:sz w:val="24"/>
        </w:rPr>
        <w:t xml:space="preserve">Balcanes Occidentales </w:t>
      </w:r>
      <w:r>
        <w:rPr>
          <w:rFonts w:ascii="Times New Roman" w:hAnsi="Times New Roman"/>
          <w:noProof/>
          <w:sz w:val="24"/>
        </w:rPr>
        <w:t>en materia de innovación, investigación, cultura, educación, juventud y deporte progresó adecuadamente. El programa tiene por objeto promover la excelencia científica y reformar los sistemas educativos de la región, creando oportunidades para los jóvenes y ayudando a prevenir la fuga de cerebros. Por primera vez, todos los socios de los Balcanes Occidentales están asociados a Horizonte Europa.</w:t>
      </w:r>
    </w:p>
    <w:p w14:paraId="754075CF" w14:textId="77777777" w:rsidR="00EC3DA2" w:rsidRPr="007D1D6C" w:rsidRDefault="007D1D6C"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En la primera conferencia ministerial de la Unión por el Mediterráneo sobre la I+i, se aprobaron tres hojas de ruta de I+i sobre salud, cambio climático y energías renovables</w:t>
      </w:r>
      <w:r>
        <w:rPr>
          <w:rStyle w:val="FootnoteReference"/>
          <w:rFonts w:ascii="Times New Roman" w:hAnsi="Times New Roman" w:cs="Times New Roman"/>
          <w:noProof/>
          <w:sz w:val="24"/>
          <w:szCs w:val="24"/>
        </w:rPr>
        <w:footnoteReference w:id="68"/>
      </w:r>
      <w:r>
        <w:rPr>
          <w:rFonts w:ascii="Times New Roman" w:hAnsi="Times New Roman"/>
          <w:noProof/>
          <w:sz w:val="24"/>
        </w:rPr>
        <w:t xml:space="preserve">. El programa de trabajo de Horizonte Europa para 2023-24 puso en marcha la «Iniciativa Mediterránea», que se centra en el cambio climático y las energías renovables, y el fomento de la participación de entidades establecidas en los </w:t>
      </w:r>
      <w:r>
        <w:rPr>
          <w:rFonts w:ascii="Times New Roman" w:hAnsi="Times New Roman"/>
          <w:b/>
          <w:noProof/>
          <w:sz w:val="24"/>
        </w:rPr>
        <w:t>países del sur del Mediterráneo</w:t>
      </w:r>
      <w:r>
        <w:rPr>
          <w:rFonts w:ascii="Times New Roman" w:hAnsi="Times New Roman"/>
          <w:noProof/>
          <w:sz w:val="24"/>
        </w:rPr>
        <w:t>. La cooperación en materia de I+i prosigue a través del proyecto Faro Mediterráneo de la misión de Horizonte Europa «Restaurar nuestro océano y nuestras aguas de aquí a 2030», la iniciativa BlueMed, la Asociación para la economía azul sostenible y la Asociación para la Investigación e Innovación en la Región Mediterránea (PRIMA)</w:t>
      </w:r>
      <w:r>
        <w:rPr>
          <w:rStyle w:val="FootnoteReference"/>
          <w:rFonts w:ascii="Times New Roman" w:hAnsi="Times New Roman" w:cs="Times New Roman"/>
          <w:noProof/>
          <w:sz w:val="24"/>
          <w:szCs w:val="24"/>
          <w:lang w:val="en-GB"/>
        </w:rPr>
        <w:footnoteReference w:id="69"/>
      </w:r>
      <w:r>
        <w:rPr>
          <w:rFonts w:ascii="Times New Roman" w:hAnsi="Times New Roman"/>
          <w:noProof/>
          <w:sz w:val="24"/>
        </w:rPr>
        <w:t>.</w:t>
      </w:r>
    </w:p>
    <w:p w14:paraId="44F485F4" w14:textId="77777777" w:rsidR="00741BF2" w:rsidRPr="00741BF2" w:rsidRDefault="00741BF2"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A la luz de la guerra de agresión de Rusia contra Ucrania, la </w:t>
      </w:r>
      <w:r>
        <w:rPr>
          <w:rFonts w:ascii="Times New Roman" w:hAnsi="Times New Roman"/>
          <w:b/>
          <w:noProof/>
          <w:sz w:val="24"/>
        </w:rPr>
        <w:t>cooperación regional de la Asociación Oriental en materia de I+i</w:t>
      </w:r>
      <w:r>
        <w:rPr>
          <w:rFonts w:ascii="Times New Roman" w:hAnsi="Times New Roman"/>
          <w:noProof/>
          <w:sz w:val="24"/>
        </w:rPr>
        <w:t xml:space="preserve"> ha demostrado ser más importante que nunca para promover en la región los valores y principios de la I+i. La dimensión de la I+i de la Asociación Oriental tiene por objeto impulsar las capacidades de innovación de los países socios integrándolos más en los sistemas de I+i de la UE, habida cuenta de la perspectiva europea de Georgia, Moldavia y Ucrania.</w:t>
      </w:r>
    </w:p>
    <w:p w14:paraId="73C3AFF0" w14:textId="4FE923F4" w:rsidR="00293439" w:rsidRPr="00EC0B2B" w:rsidRDefault="003D3E24"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Continúa la cooperación en materia de I+i con </w:t>
      </w:r>
      <w:r>
        <w:rPr>
          <w:rFonts w:ascii="Times New Roman" w:hAnsi="Times New Roman"/>
          <w:b/>
          <w:noProof/>
          <w:sz w:val="24"/>
        </w:rPr>
        <w:t>Suiza</w:t>
      </w:r>
      <w:r>
        <w:rPr>
          <w:rFonts w:ascii="Times New Roman" w:hAnsi="Times New Roman"/>
          <w:noProof/>
          <w:sz w:val="24"/>
        </w:rPr>
        <w:t xml:space="preserve"> y el </w:t>
      </w:r>
      <w:r>
        <w:rPr>
          <w:rFonts w:ascii="Times New Roman" w:hAnsi="Times New Roman"/>
          <w:b/>
          <w:noProof/>
          <w:sz w:val="24"/>
        </w:rPr>
        <w:t>Reino Unido</w:t>
      </w:r>
      <w:r>
        <w:rPr>
          <w:rFonts w:ascii="Times New Roman" w:hAnsi="Times New Roman"/>
          <w:noProof/>
          <w:sz w:val="24"/>
        </w:rPr>
        <w:t xml:space="preserve">. En este último caso, las oportunidades de cooperación aumentarían aún más tras la conclusión de su proceso de asociación a Horizonte Europa. </w:t>
      </w:r>
    </w:p>
    <w:p w14:paraId="35418346" w14:textId="77777777" w:rsidR="00912308" w:rsidRPr="00C2549D" w:rsidRDefault="000C598C" w:rsidP="00887969">
      <w:pPr>
        <w:pStyle w:val="ListParagraph"/>
        <w:numPr>
          <w:ilvl w:val="1"/>
          <w:numId w:val="1"/>
        </w:numPr>
        <w:spacing w:after="200" w:line="276" w:lineRule="auto"/>
        <w:ind w:left="788" w:hanging="431"/>
        <w:jc w:val="both"/>
        <w:rPr>
          <w:b/>
          <w:noProof/>
          <w:szCs w:val="20"/>
        </w:rPr>
      </w:pPr>
      <w:r>
        <w:rPr>
          <w:b/>
          <w:noProof/>
        </w:rPr>
        <w:t>Profundizar las asociaciones de la UE con África, América Latina y el Caribe y el Sudeste Asiático</w:t>
      </w:r>
    </w:p>
    <w:p w14:paraId="2D55DC4A" w14:textId="62FC6C87" w:rsidR="002672C2" w:rsidRPr="00A62E17" w:rsidRDefault="002672C2"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Comisión ha cumplido su compromiso de impulsar el apoyo a la cooperación con África en el ámbito de la I+i mediante el desarrollo de un proyecto de </w:t>
      </w:r>
      <w:r>
        <w:rPr>
          <w:rFonts w:ascii="Times New Roman" w:hAnsi="Times New Roman"/>
          <w:b/>
          <w:noProof/>
          <w:sz w:val="24"/>
        </w:rPr>
        <w:t>Agenda conjunta de Innovación UA-UE</w:t>
      </w:r>
      <w:r>
        <w:rPr>
          <w:rFonts w:ascii="Times New Roman" w:hAnsi="Times New Roman"/>
          <w:noProof/>
          <w:sz w:val="24"/>
        </w:rPr>
        <w:t xml:space="preserve"> junto con la Comisión de la Unión Africana (UA) y los Estados miembros. Esta agenda se reconoció en la declaración final de la sexta cumbre de jefes de Estado y de Gobierno de la UA y de la UE, celebrada en febrero de 2022, se debatió en un diálogo con las partes interesadas en noviembre de 2022 y fue refrendada en una reunión de altos funcionarios el 4 de mayo de 2023. Tras el éxito de la «Iniciativa África» en el marco del programa de trabajo de Horizonte Europa para 2021-22, la Comisión ha adoptado la nueva «Iniciativa África II» en el marco del programa de trabajo de Horizonte Europa para 2023-24</w:t>
      </w:r>
      <w:r>
        <w:rPr>
          <w:rStyle w:val="FootnoteReference"/>
          <w:rFonts w:ascii="Times New Roman" w:hAnsi="Times New Roman" w:cs="Times New Roman"/>
          <w:noProof/>
          <w:sz w:val="24"/>
          <w:szCs w:val="24"/>
        </w:rPr>
        <w:footnoteReference w:id="70"/>
      </w:r>
      <w:r>
        <w:rPr>
          <w:rFonts w:ascii="Times New Roman" w:hAnsi="Times New Roman"/>
          <w:noProof/>
          <w:sz w:val="24"/>
        </w:rPr>
        <w:t>. Además, la Comisión puso en marcha la iniciativa «Africa Knowledge Platform» (Plataforma de Conocimientos sobre África)</w:t>
      </w:r>
      <w:r>
        <w:rPr>
          <w:rStyle w:val="FootnoteReference"/>
          <w:rFonts w:ascii="Times New Roman" w:hAnsi="Times New Roman" w:cs="Times New Roman"/>
          <w:noProof/>
          <w:sz w:val="24"/>
          <w:szCs w:val="24"/>
        </w:rPr>
        <w:footnoteReference w:id="71"/>
      </w:r>
      <w:r>
        <w:rPr>
          <w:rFonts w:ascii="Times New Roman" w:hAnsi="Times New Roman"/>
          <w:noProof/>
          <w:sz w:val="24"/>
        </w:rPr>
        <w:t>, una pasarela de datos e información sobre el desarrollo social, económico y medioambiental en África, cuyo fin es apoyar un análisis integrado para la elaboración de políticas.</w:t>
      </w:r>
    </w:p>
    <w:p w14:paraId="51F0BDC7" w14:textId="3E1519D6" w:rsidR="00FD656F" w:rsidRDefault="00FD656F"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El </w:t>
      </w:r>
      <w:r>
        <w:rPr>
          <w:rFonts w:ascii="Times New Roman" w:hAnsi="Times New Roman"/>
          <w:b/>
          <w:noProof/>
          <w:sz w:val="24"/>
        </w:rPr>
        <w:t>paquete de inversión África-Europa de la Global Gateway</w:t>
      </w:r>
      <w:r>
        <w:rPr>
          <w:rFonts w:ascii="Times New Roman" w:hAnsi="Times New Roman"/>
          <w:noProof/>
          <w:sz w:val="24"/>
        </w:rPr>
        <w:t>, que se anunció en la mencionada sexta cumbre de la UA y la UE, apoya la Agenda de Innovación UA-UE, los centros regionales de excelencia sobre la transición ecológica en el África subsahariana, la observación de la Tierra y las tecnologías espaciales, y las inversiones en educación y conectividad digital</w:t>
      </w:r>
      <w:r>
        <w:rPr>
          <w:rStyle w:val="FootnoteReference"/>
          <w:rFonts w:ascii="Times New Roman" w:hAnsi="Times New Roman" w:cs="Times New Roman"/>
          <w:noProof/>
          <w:sz w:val="24"/>
          <w:szCs w:val="24"/>
        </w:rPr>
        <w:footnoteReference w:id="72"/>
      </w:r>
      <w:r>
        <w:rPr>
          <w:rFonts w:ascii="Times New Roman" w:hAnsi="Times New Roman"/>
          <w:noProof/>
          <w:sz w:val="24"/>
        </w:rPr>
        <w:t>. Se están desarrollando iniciativas emblemáticas en consonancia con las prioridades del IVCDCI</w:t>
      </w:r>
      <w:r>
        <w:rPr>
          <w:rStyle w:val="FootnoteReference"/>
          <w:rFonts w:ascii="Times New Roman" w:hAnsi="Times New Roman" w:cs="Times New Roman"/>
          <w:noProof/>
          <w:sz w:val="24"/>
          <w:szCs w:val="24"/>
        </w:rPr>
        <w:footnoteReference w:id="73"/>
      </w:r>
      <w:r>
        <w:rPr>
          <w:rFonts w:ascii="Times New Roman" w:hAnsi="Times New Roman"/>
          <w:noProof/>
          <w:sz w:val="24"/>
        </w:rPr>
        <w:t>, como la iniciativa emblemática de datos UE-UA, el puente de innovación digital entre África y Europa, la pasarela EurAfrica para conectar las costas de África y la futura red de cables de fibra óptica para mejorar las infraestructuras digitales regionales en África occidental, oriental y meridional. Otros ejemplos son las iniciativas del Equipo Europa sobre fabricación y acceso a medicamentos, vacunas y tecnologías sanitarias; sobre la salud y los derechos sexuales y reproductivos en el África subsahariana; sobre seguridad sanitaria / «Una sola salud»; y sobre sanidad digital y centros de sanidad pública.</w:t>
      </w:r>
    </w:p>
    <w:p w14:paraId="1BAD4C4B" w14:textId="77777777" w:rsidR="00717009" w:rsidRPr="00717009" w:rsidRDefault="00AA48ED"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En el caso de la </w:t>
      </w:r>
      <w:r>
        <w:rPr>
          <w:rFonts w:ascii="Times New Roman" w:hAnsi="Times New Roman"/>
          <w:b/>
          <w:noProof/>
          <w:sz w:val="24"/>
        </w:rPr>
        <w:t>Comunidad de Estados Latinoamericanos y Caribeños (CELAC)</w:t>
      </w:r>
      <w:r>
        <w:rPr>
          <w:rFonts w:ascii="Times New Roman" w:hAnsi="Times New Roman"/>
          <w:noProof/>
          <w:sz w:val="24"/>
        </w:rPr>
        <w:t>, la atención se ha centrado en la aplicación de la Hoja de Ruta Estratégica CELAC-UE sobre ciencia, tecnología e innovación para el período 2021-2023</w:t>
      </w:r>
      <w:r>
        <w:rPr>
          <w:rStyle w:val="FootnoteReference"/>
          <w:rFonts w:ascii="Times New Roman" w:hAnsi="Times New Roman" w:cs="Times New Roman"/>
          <w:noProof/>
          <w:sz w:val="24"/>
          <w:szCs w:val="24"/>
        </w:rPr>
        <w:footnoteReference w:id="74"/>
      </w:r>
      <w:r>
        <w:rPr>
          <w:rFonts w:ascii="Times New Roman" w:hAnsi="Times New Roman"/>
          <w:noProof/>
          <w:sz w:val="24"/>
        </w:rPr>
        <w:t>. La primera Cumbre UE-CELAC de Jefes de Estado y de Gobierno en ocho años tendrá lugar el 17 y 18 de julio de 2023 y posteriormente se llevará a cabo una reunión de altos funcionarios de la iniciativa conjunta UE-CELAC sobre I+i en el segundo semestre de 2023, que allanará el camino para una reunión ministerial sobre investigación e innovación.</w:t>
      </w:r>
    </w:p>
    <w:p w14:paraId="62549A48" w14:textId="77777777" w:rsidR="00DB38D4" w:rsidRPr="00242EC9" w:rsidRDefault="00D013CA" w:rsidP="00152025">
      <w:pPr>
        <w:spacing w:after="120" w:line="276" w:lineRule="auto"/>
        <w:jc w:val="both"/>
        <w:rPr>
          <w:rFonts w:ascii="Times New Roman" w:hAnsi="Times New Roman" w:cs="Times New Roman"/>
          <w:bCs/>
          <w:noProof/>
          <w:sz w:val="24"/>
          <w:szCs w:val="24"/>
        </w:rPr>
      </w:pPr>
      <w:r>
        <w:rPr>
          <w:rFonts w:ascii="Times New Roman" w:hAnsi="Times New Roman"/>
          <w:noProof/>
          <w:sz w:val="24"/>
        </w:rPr>
        <w:t>La declaración conjunta de líderes</w:t>
      </w:r>
      <w:r>
        <w:rPr>
          <w:rStyle w:val="FootnoteReference"/>
          <w:rFonts w:ascii="Times New Roman" w:hAnsi="Times New Roman" w:cs="Times New Roman"/>
          <w:bCs/>
          <w:noProof/>
          <w:sz w:val="24"/>
          <w:szCs w:val="24"/>
        </w:rPr>
        <w:footnoteReference w:id="75"/>
      </w:r>
      <w:r>
        <w:rPr>
          <w:rFonts w:ascii="Times New Roman" w:hAnsi="Times New Roman"/>
          <w:noProof/>
          <w:sz w:val="24"/>
        </w:rPr>
        <w:t xml:space="preserve"> en la </w:t>
      </w:r>
      <w:r>
        <w:rPr>
          <w:rFonts w:ascii="Times New Roman" w:hAnsi="Times New Roman"/>
          <w:b/>
          <w:noProof/>
          <w:sz w:val="24"/>
        </w:rPr>
        <w:t>Cumbre conmemorativa UE-ASEAN</w:t>
      </w:r>
      <w:r>
        <w:rPr>
          <w:rFonts w:ascii="Times New Roman" w:hAnsi="Times New Roman"/>
          <w:noProof/>
          <w:sz w:val="24"/>
        </w:rPr>
        <w:t xml:space="preserve"> de 14 de diciembre de 2022 instó a profundizar la colaboración en los ámbitos de educación, ciencia, tecnología e innovación. Además, aprobó el Plan de Acción 2023-2027 para aplicar las asociaciones estratégicas ASEAN-UE</w:t>
      </w:r>
      <w:r>
        <w:rPr>
          <w:rStyle w:val="FootnoteReference"/>
          <w:rFonts w:ascii="Times New Roman" w:hAnsi="Times New Roman" w:cs="Times New Roman"/>
          <w:bCs/>
          <w:noProof/>
          <w:sz w:val="24"/>
          <w:szCs w:val="24"/>
        </w:rPr>
        <w:footnoteReference w:id="76"/>
      </w:r>
      <w:r>
        <w:rPr>
          <w:rFonts w:ascii="Times New Roman" w:hAnsi="Times New Roman"/>
          <w:noProof/>
          <w:sz w:val="24"/>
        </w:rPr>
        <w:t>, que destaca las tecnologías verdes, el espacio y las zonas marinas como prioridades para la cooperación en el ámbito de la I+i. La UE ha anunciado la puesta en marcha de un paquete de inversión de 10 000 millones EUR en el marco de la Global Gateway en la región de la ASEAN a través del enfoque del Equipo Europa, que contribuye a los objetivos de la UE en la región indopacífica.</w:t>
      </w:r>
    </w:p>
    <w:p w14:paraId="62AFAF78" w14:textId="77777777" w:rsidR="00DB38D4" w:rsidRPr="00C2549D" w:rsidRDefault="00DB38D4" w:rsidP="00152025">
      <w:pPr>
        <w:pStyle w:val="ListParagraph"/>
        <w:numPr>
          <w:ilvl w:val="1"/>
          <w:numId w:val="1"/>
        </w:numPr>
        <w:spacing w:after="200"/>
        <w:ind w:left="788" w:hanging="431"/>
        <w:jc w:val="both"/>
        <w:rPr>
          <w:b/>
          <w:noProof/>
          <w:szCs w:val="20"/>
        </w:rPr>
      </w:pPr>
      <w:r>
        <w:rPr>
          <w:b/>
          <w:noProof/>
        </w:rPr>
        <w:t>Consecuencias de la guerra de agresión rusa contra Ucrania</w:t>
      </w:r>
    </w:p>
    <w:p w14:paraId="08EB7D57" w14:textId="77777777" w:rsidR="00BF6870" w:rsidRPr="00BF6870" w:rsidRDefault="00B7432F"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La guerra de agresión rusa contra Ucrania constituye una violación del Derecho internacional, que socava la seguridad y la estabilidad europeas y mundiales. La</w:t>
      </w:r>
      <w:r>
        <w:rPr>
          <w:rFonts w:ascii="Times New Roman" w:hAnsi="Times New Roman"/>
          <w:b/>
          <w:noProof/>
          <w:sz w:val="24"/>
        </w:rPr>
        <w:t xml:space="preserve"> UE decidió no seguir cooperando en I+i con las entidades rusas</w:t>
      </w:r>
      <w:r>
        <w:rPr>
          <w:rFonts w:ascii="Times New Roman" w:hAnsi="Times New Roman"/>
          <w:noProof/>
          <w:sz w:val="24"/>
        </w:rPr>
        <w:t>. Se puso fin a la participación de entidades públicas rusas en proyectos en curso o futuros</w:t>
      </w:r>
      <w:r>
        <w:rPr>
          <w:rFonts w:ascii="Times New Roman" w:hAnsi="Times New Roman" w:cs="Times New Roman"/>
          <w:noProof/>
          <w:sz w:val="24"/>
          <w:szCs w:val="24"/>
          <w:vertAlign w:val="superscript"/>
        </w:rPr>
        <w:footnoteReference w:id="77"/>
      </w:r>
      <w:r>
        <w:rPr>
          <w:rFonts w:ascii="Times New Roman" w:hAnsi="Times New Roman"/>
          <w:noProof/>
          <w:sz w:val="24"/>
        </w:rPr>
        <w:t xml:space="preserve">. Las sanciones y medidas excluyen a las entidades jurídicas establecidas en Rusia, Bielorrusia o en territorios de Ucrania no controlados por el Gobierno de participar en el programa en modo alguno. No obstante, las personas físicas establecidas en Rusia, Bielorrusia o en territorios ucranianos no controlados por el Gobierno podrán seguir participando en las acciones Marie Skłodowska-Curie, lo que permitirá mantener </w:t>
      </w:r>
      <w:r>
        <w:rPr>
          <w:rFonts w:ascii="Times New Roman" w:hAnsi="Times New Roman"/>
          <w:b/>
          <w:noProof/>
          <w:sz w:val="24"/>
        </w:rPr>
        <w:t xml:space="preserve">contactos interpersonales </w:t>
      </w:r>
      <w:r>
        <w:rPr>
          <w:rFonts w:ascii="Times New Roman" w:hAnsi="Times New Roman"/>
          <w:noProof/>
          <w:sz w:val="24"/>
        </w:rPr>
        <w:t>con la comunidad científica rusa y bielorrusa. En este contexto, se reconoce la situación de los científicos rusos y bielorrusos que se encuentran en dificultades por oponerse a la guerra o al régimen, en consonancia con el comunicado de los ministros de Ciencia del G7, de junio de 2022</w:t>
      </w:r>
      <w:r>
        <w:rPr>
          <w:rStyle w:val="FootnoteReference"/>
          <w:rFonts w:ascii="Times New Roman" w:hAnsi="Times New Roman" w:cs="Times New Roman"/>
          <w:noProof/>
          <w:sz w:val="24"/>
          <w:szCs w:val="24"/>
        </w:rPr>
        <w:footnoteReference w:id="78"/>
      </w:r>
      <w:r>
        <w:rPr>
          <w:rFonts w:ascii="Times New Roman" w:hAnsi="Times New Roman"/>
          <w:noProof/>
          <w:sz w:val="24"/>
        </w:rPr>
        <w:t>.</w:t>
      </w:r>
    </w:p>
    <w:p w14:paraId="4D3437EA" w14:textId="64029E3B" w:rsidR="00FD656F" w:rsidRPr="00B14753" w:rsidRDefault="00791DB2" w:rsidP="00152025">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La Comisión se centró en el </w:t>
      </w:r>
      <w:r>
        <w:rPr>
          <w:rFonts w:ascii="Times New Roman" w:hAnsi="Times New Roman"/>
          <w:b/>
          <w:noProof/>
          <w:sz w:val="24"/>
        </w:rPr>
        <w:t>establecimiento de medidas de apoyo específicas para Ucrania</w:t>
      </w:r>
      <w:r>
        <w:rPr>
          <w:rStyle w:val="FootnoteReference"/>
          <w:rFonts w:ascii="Times New Roman" w:hAnsi="Times New Roman" w:cs="Times New Roman"/>
          <w:noProof/>
          <w:sz w:val="24"/>
          <w:szCs w:val="24"/>
        </w:rPr>
        <w:footnoteReference w:id="79"/>
      </w:r>
      <w:r>
        <w:rPr>
          <w:rFonts w:ascii="Times New Roman" w:hAnsi="Times New Roman"/>
          <w:noProof/>
          <w:sz w:val="24"/>
        </w:rPr>
        <w:t xml:space="preserve"> y facilitó la participación de Ucrania en las convocatorias de Horizonte Europa y Euratom. Un programa de becas específico, MSCA4Ukraine, apoya a los investigadores desplazados de Ucrania y les permite continuar sus actividades de investigación en la UE. El acuerdo de cooperación científica y tecnológica entre la UE y Ucrania se renovó en 2022 por cinco años con efecto retroactivo a partir del 8 de noviembre de 2019. En consonancia con la evolución del contexto político, la Comisión seguirá coordinándose con los Estados miembros y defenderá el papel de la I+i en los marcos políticos y operativos vinculados a la recuperación y la reconstrucción de Ucrania, como también se destaca en el comunicado de los ministros de Ciencia y Tecnología del G7 de mayo de 2023</w:t>
      </w:r>
      <w:r>
        <w:rPr>
          <w:rFonts w:ascii="Times New Roman" w:hAnsi="Times New Roman" w:cs="Times New Roman"/>
          <w:noProof/>
          <w:sz w:val="24"/>
          <w:szCs w:val="24"/>
          <w:vertAlign w:val="superscript"/>
        </w:rPr>
        <w:footnoteReference w:id="80"/>
      </w:r>
      <w:r>
        <w:rPr>
          <w:rFonts w:ascii="Times New Roman" w:hAnsi="Times New Roman"/>
          <w:noProof/>
          <w:sz w:val="24"/>
        </w:rPr>
        <w:t>.</w:t>
      </w:r>
    </w:p>
    <w:p w14:paraId="6751E685" w14:textId="77777777" w:rsidR="00912308" w:rsidRPr="006A74AF" w:rsidRDefault="00912308" w:rsidP="00347019">
      <w:pPr>
        <w:pStyle w:val="ListParagraph"/>
        <w:numPr>
          <w:ilvl w:val="0"/>
          <w:numId w:val="1"/>
        </w:numPr>
        <w:spacing w:after="200"/>
        <w:ind w:left="357" w:hanging="357"/>
        <w:jc w:val="both"/>
        <w:rPr>
          <w:b/>
          <w:smallCaps/>
          <w:noProof/>
          <w:szCs w:val="20"/>
        </w:rPr>
      </w:pPr>
      <w:r>
        <w:rPr>
          <w:b/>
          <w:smallCaps/>
          <w:noProof/>
        </w:rPr>
        <w:t>Conclusiones</w:t>
      </w:r>
    </w:p>
    <w:p w14:paraId="4C056657" w14:textId="77777777" w:rsidR="0088238E" w:rsidRDefault="003170CE" w:rsidP="00347019">
      <w:pPr>
        <w:spacing w:after="120" w:line="276" w:lineRule="auto"/>
        <w:jc w:val="both"/>
        <w:rPr>
          <w:noProof/>
        </w:rPr>
      </w:pPr>
      <w:r>
        <w:rPr>
          <w:rFonts w:ascii="Times New Roman" w:hAnsi="Times New Roman"/>
          <w:noProof/>
          <w:sz w:val="24"/>
        </w:rPr>
        <w:t xml:space="preserve">El presente primer informe bienal sobre la aplicación del Enfoque Global para la I+i demuestra que la UE ha realizado progresos significativos en la ejecución de las acciones definidas en la Comunicación sobre el enfoque global, así como en el fortalecimiento de la posición de Europa en el mundo. La UE preservó la apertura en la cooperación internacional en materia de I+i y promovió un diálogo multilateral sobre valores y principios. Aplicó con éxito las nuevas disposiciones relativas a la asociación de terceros países a Horizonte Europa. La UE elaboró compromisos conjuntos con socios internacionales, contribuyendo a configurar la gobernanza mundial. Salvaguardó firmemente sus activos estratégicos, intereses, autonomía y seguridad, mejorando al mismo tiempo su autonomía estratégica abierta. La UE utilizó su papel de liderazgo en la promoción de la cooperación multilateral en materia de I+i a fin de ofrecer soluciones con base científica para promover las transiciones ecológica y digital justas y la seguridad sanitaria y la preparación y la respuesta ante las crisis, desarrollando al mismo tiempo asociaciones internacionales para reducir las dependencias estratégicas en ámbitos tecnológicos y cadenas de valor clave. Estableció asociaciones internacionales para la innovación con países y regiones que ofrecen una apertura recíproca al espíritu emprendedor y la inversión. </w:t>
      </w:r>
    </w:p>
    <w:p w14:paraId="0633F246" w14:textId="77777777" w:rsidR="002B5087" w:rsidRPr="009267CC" w:rsidRDefault="00941055" w:rsidP="00D443B8">
      <w:pPr>
        <w:spacing w:after="120" w:line="276" w:lineRule="auto"/>
        <w:jc w:val="both"/>
        <w:rPr>
          <w:rFonts w:ascii="Times New Roman" w:hAnsi="Times New Roman" w:cs="Times New Roman"/>
          <w:noProof/>
          <w:sz w:val="24"/>
          <w:szCs w:val="24"/>
        </w:rPr>
      </w:pPr>
      <w:r>
        <w:rPr>
          <w:rFonts w:ascii="Times New Roman" w:hAnsi="Times New Roman"/>
          <w:noProof/>
          <w:sz w:val="24"/>
        </w:rPr>
        <w:t>En el contexto de un entorno geopolítico complejo que evoluciona de manera dinámica y se ve agravado por la guerra de agresión rusa contra Ucrania, el enfoque global para la I+i ha demostrado su eficacia y pertinencia y sigue siendo el marco estratégico adecuado para la cooperación internacional en materia de I+i. La ciencia y la tecnología desempeñan un papel cada vez más importante en la política exterior. Deben buscarse más sinergias con la acción exterior de la UE, en particular con la Global Gateway. Además, debe estudiarse la posibilidad de seguir reflexionando sobre la forma de promover la diplomacia científica en Europa. Por último, la Comisión seguirá supervisando la aplicación de la Comunicación sobre el enfoque global e informará al Consejo y al Parlamento Europeo en el segundo informe bienal previsto para 2025.</w:t>
      </w:r>
    </w:p>
    <w:sectPr w:rsidR="002B5087" w:rsidRPr="009267CC" w:rsidSect="00C7070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2C77B" w14:textId="77777777" w:rsidR="00C36494" w:rsidRDefault="00C36494" w:rsidP="00C7070C">
      <w:pPr>
        <w:spacing w:after="0" w:line="240" w:lineRule="auto"/>
      </w:pPr>
      <w:r>
        <w:separator/>
      </w:r>
    </w:p>
  </w:endnote>
  <w:endnote w:type="continuationSeparator" w:id="0">
    <w:p w14:paraId="04F9AAC5" w14:textId="77777777" w:rsidR="00C36494" w:rsidRDefault="00C36494" w:rsidP="00C7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127FC" w14:textId="77777777" w:rsidR="00AE4C1F" w:rsidRPr="00AE4C1F" w:rsidRDefault="00AE4C1F" w:rsidP="00AE4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61BD1" w14:textId="63AC61BD" w:rsidR="008B46B4" w:rsidRPr="00AE4C1F" w:rsidRDefault="00AE4C1F" w:rsidP="00AE4C1F">
    <w:pPr>
      <w:pStyle w:val="FooterCoverPage"/>
      <w:rPr>
        <w:rFonts w:ascii="Arial" w:hAnsi="Arial" w:cs="Arial"/>
        <w:b/>
        <w:sz w:val="48"/>
      </w:rPr>
    </w:pPr>
    <w:r w:rsidRPr="00AE4C1F">
      <w:rPr>
        <w:rFonts w:ascii="Arial" w:hAnsi="Arial" w:cs="Arial"/>
        <w:b/>
        <w:sz w:val="48"/>
      </w:rPr>
      <w:t>ES</w:t>
    </w:r>
    <w:r w:rsidRPr="00AE4C1F">
      <w:rPr>
        <w:rFonts w:ascii="Arial" w:hAnsi="Arial" w:cs="Arial"/>
        <w:b/>
        <w:sz w:val="48"/>
      </w:rPr>
      <w:tab/>
    </w:r>
    <w:r w:rsidRPr="00AE4C1F">
      <w:rPr>
        <w:rFonts w:ascii="Arial" w:hAnsi="Arial" w:cs="Arial"/>
        <w:b/>
        <w:sz w:val="48"/>
      </w:rPr>
      <w:tab/>
    </w:r>
    <w:r w:rsidRPr="00AE4C1F">
      <w:tab/>
    </w:r>
    <w:r w:rsidRPr="00AE4C1F">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C0FB" w14:textId="77777777" w:rsidR="00AE4C1F" w:rsidRPr="00AE4C1F" w:rsidRDefault="00AE4C1F" w:rsidP="00AE4C1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72DCC" w14:textId="77777777" w:rsidR="00287EB1" w:rsidRDefault="00287E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AA31" w14:textId="77F0C4D7" w:rsidR="00287EB1" w:rsidRPr="00504C3E" w:rsidRDefault="00287EB1">
    <w:pPr>
      <w:pStyle w:val="Footer"/>
      <w:jc w:val="center"/>
      <w:rPr>
        <w:rFonts w:ascii="Times New Roman" w:hAnsi="Times New Roman" w:cs="Times New Roman"/>
        <w:caps/>
        <w:noProof/>
        <w:color w:val="5B9BD5" w:themeColor="accent1"/>
      </w:rPr>
    </w:pPr>
    <w:r>
      <w:rPr>
        <w:rFonts w:ascii="Times New Roman" w:hAnsi="Times New Roman" w:cs="Times New Roman"/>
        <w:caps/>
        <w:color w:val="5B9BD5" w:themeColor="accent1"/>
      </w:rPr>
      <w:fldChar w:fldCharType="begin"/>
    </w:r>
    <w:r>
      <w:rPr>
        <w:rFonts w:ascii="Times New Roman" w:hAnsi="Times New Roman" w:cs="Times New Roman"/>
        <w:caps/>
        <w:color w:val="5B9BD5" w:themeColor="accent1"/>
      </w:rPr>
      <w:instrText xml:space="preserve"> PAGE   \* MERGEFORMAT </w:instrText>
    </w:r>
    <w:r>
      <w:rPr>
        <w:rFonts w:ascii="Times New Roman" w:hAnsi="Times New Roman" w:cs="Times New Roman"/>
        <w:caps/>
        <w:color w:val="5B9BD5" w:themeColor="accent1"/>
      </w:rPr>
      <w:fldChar w:fldCharType="separate"/>
    </w:r>
    <w:r w:rsidR="00AE4C1F">
      <w:rPr>
        <w:rFonts w:ascii="Times New Roman" w:hAnsi="Times New Roman" w:cs="Times New Roman"/>
        <w:caps/>
        <w:noProof/>
        <w:color w:val="5B9BD5" w:themeColor="accent1"/>
      </w:rPr>
      <w:t>1</w:t>
    </w:r>
    <w:r>
      <w:rPr>
        <w:rFonts w:ascii="Times New Roman" w:hAnsi="Times New Roman" w:cs="Times New Roman"/>
        <w:caps/>
        <w:color w:val="5B9BD5" w:themeColor="accent1"/>
      </w:rPr>
      <w:fldChar w:fldCharType="end"/>
    </w:r>
  </w:p>
  <w:p w14:paraId="0581D380" w14:textId="77777777" w:rsidR="00287EB1" w:rsidRDefault="00287E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A4A49" w14:textId="77777777" w:rsidR="00287EB1" w:rsidRDefault="00287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9D59E" w14:textId="77777777" w:rsidR="00C36494" w:rsidRDefault="00C36494" w:rsidP="00C7070C">
      <w:pPr>
        <w:spacing w:after="0" w:line="240" w:lineRule="auto"/>
      </w:pPr>
      <w:r>
        <w:separator/>
      </w:r>
    </w:p>
  </w:footnote>
  <w:footnote w:type="continuationSeparator" w:id="0">
    <w:p w14:paraId="4BCD55A1" w14:textId="77777777" w:rsidR="00C36494" w:rsidRDefault="00C36494" w:rsidP="00C7070C">
      <w:pPr>
        <w:spacing w:after="0" w:line="240" w:lineRule="auto"/>
      </w:pPr>
      <w:r>
        <w:continuationSeparator/>
      </w:r>
    </w:p>
  </w:footnote>
  <w:footnote w:id="1">
    <w:p w14:paraId="1113B181" w14:textId="77777777" w:rsidR="00287EB1" w:rsidRPr="00BD1C54" w:rsidRDefault="00287EB1" w:rsidP="009C770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COM(2023) 62 final.</w:t>
      </w:r>
    </w:p>
  </w:footnote>
  <w:footnote w:id="2">
    <w:p w14:paraId="3B8D5198"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252 final.</w:t>
      </w:r>
    </w:p>
  </w:footnote>
  <w:footnote w:id="3">
    <w:p w14:paraId="378002BF"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Conclusiones del Consejo sobre el enfoque global para la investigación y la innovación, de 28.9.2021, documento 12301/21.</w:t>
      </w:r>
    </w:p>
  </w:footnote>
  <w:footnote w:id="4">
    <w:p w14:paraId="44F61AA6"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Resolución sobre un enfoque global para la investigación y la innovación, 6 de abril de 2022, 2021/3001 (RSP).</w:t>
      </w:r>
    </w:p>
  </w:footnote>
  <w:footnote w:id="5">
    <w:p w14:paraId="3069342A" w14:textId="77777777" w:rsidR="00287EB1" w:rsidRPr="007D2476" w:rsidRDefault="00287E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Comunicación conjunta al Parlamento Europeo, el Consejo, el Comité Económico y Social Europeo, el Comité de las Regiones y el Banco Europeo de Inversiones titulada «La Pasarela Mundial», JOIN(2021) 30 final</w:t>
      </w:r>
      <w:r>
        <w:t>.</w:t>
      </w:r>
    </w:p>
  </w:footnote>
  <w:footnote w:id="6">
    <w:p w14:paraId="4F02EB46"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Véase el punto 34 de las Conclusiones del Consejo sobre el enfoque global para la investigación y la innovación.</w:t>
      </w:r>
    </w:p>
  </w:footnote>
  <w:footnote w:id="7">
    <w:p w14:paraId="3E08C93A" w14:textId="77777777" w:rsidR="00287EB1" w:rsidRPr="006C4CD5" w:rsidRDefault="00287EB1" w:rsidP="007849E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Conclusiones del Consejo sobre el enfoque global para la investigación y la innovación, de 28.9.2021, documento 12301/21; sobre el futuro de la gobernanza del Espacio Europeo de Investigación (EEI), de 26.11.2021, documento 14308/21; y sobre los principios y valores de la cooperación internacional en materia de I+i, de 10.6.2022, documento 10125/22.</w:t>
      </w:r>
    </w:p>
  </w:footnote>
  <w:footnote w:id="8">
    <w:p w14:paraId="721C8604" w14:textId="77777777" w:rsidR="00287EB1" w:rsidRPr="006925C6" w:rsidRDefault="00287EB1" w:rsidP="007849E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8 de marzo de 2021 se celebró la Conferencia de Marsella sobre el enfoque global para la I+i organizada en el marco de la Presidencia francesa del Consejo. Dio lugar a la adopción de la </w:t>
      </w:r>
      <w:hyperlink r:id="rId1" w:history="1">
        <w:r>
          <w:rPr>
            <w:rStyle w:val="Hyperlink"/>
            <w:rFonts w:ascii="Times New Roman" w:hAnsi="Times New Roman"/>
          </w:rPr>
          <w:t>Declaración de la Presidencia sobre la cooperación internacional en materia de I+i</w:t>
        </w:r>
      </w:hyperlink>
      <w:r>
        <w:rPr>
          <w:rFonts w:ascii="Times New Roman" w:hAnsi="Times New Roman"/>
        </w:rPr>
        <w:t>.</w:t>
      </w:r>
    </w:p>
  </w:footnote>
  <w:footnote w:id="9">
    <w:p w14:paraId="4B4E4063" w14:textId="77777777" w:rsidR="00287EB1" w:rsidRPr="00B055BF"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Los Estados miembros de la UE, los países asociados a Horizonte Europa y los países con un acuerdo de cooperación científica y tecnológica con la UE. </w:t>
      </w:r>
    </w:p>
  </w:footnote>
  <w:footnote w:id="10">
    <w:p w14:paraId="1408F667" w14:textId="77777777" w:rsidR="00287EB1" w:rsidRPr="0017637D" w:rsidRDefault="00287EB1" w:rsidP="0017637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Estos valores y principios son los establecidos en las Conclusiones del Consejo de 10 de junio de 2022, documento 10125/22. Los talleres se diseñan y organizan conjuntamente con los Estados miembros o los socios internacionales y las organizaciones de partes interesadas, en estrecha cooperación con el subgrupo del Foro EEI sobre el enfoque global.</w:t>
      </w:r>
    </w:p>
  </w:footnote>
  <w:footnote w:id="11">
    <w:p w14:paraId="36E17821" w14:textId="77777777" w:rsidR="00287EB1" w:rsidRPr="00FF145A" w:rsidRDefault="00287E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Recomendación (UE) 2021/2122 del Consejo, de 26 de noviembre de 2021, sobre un Pacto de Investigación e Innovación en Europa.</w:t>
      </w:r>
    </w:p>
  </w:footnote>
  <w:footnote w:id="12">
    <w:p w14:paraId="02CA5200" w14:textId="77777777" w:rsidR="00287EB1" w:rsidRPr="008E1B33"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 mayor información, véase: </w:t>
      </w:r>
      <w:hyperlink r:id="rId2" w:history="1">
        <w:r>
          <w:rPr>
            <w:rStyle w:val="Hyperlink"/>
            <w:rFonts w:ascii="Times New Roman" w:hAnsi="Times New Roman"/>
          </w:rPr>
          <w:t>Inspireurope+</w:t>
        </w:r>
      </w:hyperlink>
      <w:r>
        <w:rPr>
          <w:rStyle w:val="Hyperlink"/>
          <w:rFonts w:ascii="Times New Roman" w:hAnsi="Times New Roman"/>
        </w:rPr>
        <w:t>.</w:t>
      </w:r>
      <w:r>
        <w:t xml:space="preserve"> </w:t>
      </w:r>
    </w:p>
  </w:footnote>
  <w:footnote w:id="13">
    <w:p w14:paraId="26B86C78" w14:textId="77777777" w:rsidR="00287EB1" w:rsidRPr="008E1B33" w:rsidRDefault="00287EB1" w:rsidP="00066D6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markedcontent"/>
          <w:rFonts w:ascii="Times New Roman" w:hAnsi="Times New Roman"/>
        </w:rPr>
        <w:t>En este contexto, por diplomacia científica se entiende el uso directo o indirecto de la ciencia y los datos y la cooperación científicos para promover objetivos diplomáticos. Este término incluye la ciencia, la tecnología, la ingeniería y las matemáticas, así como las ciencias sociales y las humanidades.</w:t>
      </w:r>
    </w:p>
  </w:footnote>
  <w:footnote w:id="14">
    <w:p w14:paraId="0C26005B" w14:textId="77777777" w:rsidR="00287EB1" w:rsidRPr="008E1B33" w:rsidRDefault="00287EB1" w:rsidP="0004035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Tools for an EU Science Diplomacy, Luxembourg</w:t>
      </w:r>
      <w:r>
        <w:rPr>
          <w:rFonts w:ascii="Times New Roman" w:hAnsi="Times New Roman"/>
        </w:rPr>
        <w:t xml:space="preserve"> [«Instrumentos para una diplomacia científica de la UE», documento en inglés], Oficina de Publicaciones de la Unión Europea, 2017.</w:t>
      </w:r>
    </w:p>
  </w:footnote>
  <w:footnote w:id="15">
    <w:p w14:paraId="28E8557D" w14:textId="77777777" w:rsidR="00A61DF9" w:rsidRPr="00A61DF9" w:rsidRDefault="00A61DF9" w:rsidP="00A61DF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Utilizar la diplomacia científica para hacer frente a los retos geopolíticos en un mundo fragmentado y multipolar; hacer que la diplomacia europea sea más estratégica, eficaz y resiliente a través de datos científicos y de la previsión; reforzar la diplomacia científica en las delegaciones y embajadas de la UE y de los Estados miembros y fomentar el alcance mundial de la diplomacia científica; y desarrollar las capacidades en el ámbito de la diplomacia científica europea.</w:t>
      </w:r>
    </w:p>
  </w:footnote>
  <w:footnote w:id="16">
    <w:p w14:paraId="74245940"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Comisión Europea, </w:t>
      </w:r>
      <w:r>
        <w:rPr>
          <w:rFonts w:ascii="Times New Roman" w:hAnsi="Times New Roman"/>
          <w:i/>
        </w:rPr>
        <w:t>Impact assessment accompanying the proposal for a Regulation of the European Parliament and of the Council establishing Horizon Europe – the Framework Programme for Research and Innovation, laying down its rules for participation and dissemination</w:t>
      </w:r>
      <w:r>
        <w:rPr>
          <w:rFonts w:ascii="Times New Roman" w:hAnsi="Times New Roman"/>
        </w:rPr>
        <w:t xml:space="preserve"> [«Evaluación de impacto que acompaña a la propuesta de Reglamento del Parlamento Europeo y del Consejo por el que se crea el Programa Marco de Investigación e Innovación “Horizonte Europa” y se establecen sus normas de participación y difusión», documento en inglés], SWD(2018) 307</w:t>
      </w:r>
      <w:r>
        <w:t>.</w:t>
      </w:r>
    </w:p>
  </w:footnote>
  <w:footnote w:id="17">
    <w:p w14:paraId="3180D8F9" w14:textId="77777777" w:rsidR="00287EB1" w:rsidRPr="00843CF0" w:rsidRDefault="00287EB1" w:rsidP="00843CF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Las acciones Marie Skłodowska-Curie representan alrededor del 50 % de la participación total de organizaciones de terceros países en Horizonte Europa. En muchos países, más del 50 % de su participación total en proyectos de Horizonte Europa se lleva cabo a través de las acciones Marie Skłodowska-Curie: Estados Unidos (77,5 %); Argentina (76,5 %), Indonesia, Singapur y Nueva Zelanda (75 %); Japón (66,7 %); Australia (62,2 %); Chile (57,1 %); Canadá (54,1 %).</w:t>
      </w:r>
    </w:p>
  </w:footnote>
  <w:footnote w:id="18">
    <w:p w14:paraId="37109183" w14:textId="77777777" w:rsidR="00287EB1" w:rsidRPr="00234A78" w:rsidRDefault="00287EB1" w:rsidP="00234A7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Esta información se basa en los primeros datos de Horizonte Europa. Además, la Comisión también ha puesto en marcha una acción específica para fomentar la cooperación internacional en las acciones Marie Skłodowska-Curie (</w:t>
      </w:r>
      <w:hyperlink r:id="rId3" w:history="1">
        <w:r>
          <w:rPr>
            <w:rStyle w:val="Hyperlink"/>
            <w:rFonts w:ascii="Times New Roman" w:hAnsi="Times New Roman"/>
          </w:rPr>
          <w:t>MSCAdvocacy</w:t>
        </w:r>
      </w:hyperlink>
      <w:r>
        <w:rPr>
          <w:rStyle w:val="Hyperlink"/>
          <w:rFonts w:ascii="Times New Roman" w:hAnsi="Times New Roman"/>
        </w:rPr>
        <w:t>)</w:t>
      </w:r>
      <w:r>
        <w:rPr>
          <w:rFonts w:ascii="Times New Roman" w:hAnsi="Times New Roman"/>
        </w:rPr>
        <w:t>, evaluando, por ejemplo, las condiciones marco para la cooperación en el ámbito de la formación y la movilidad de los investigadores con países que tienen un acuerdo bilateral de cooperación científica y tecnológica en vigor con la UE.</w:t>
      </w:r>
    </w:p>
  </w:footnote>
  <w:footnote w:id="19">
    <w:p w14:paraId="11AB2C41" w14:textId="77777777" w:rsidR="00287EB1" w:rsidRPr="00A970F6" w:rsidRDefault="00287EB1" w:rsidP="0074625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Reglamento </w:t>
      </w:r>
      <w:r>
        <w:rPr>
          <w:rFonts w:ascii="Times New Roman" w:hAnsi="Times New Roman"/>
          <w:color w:val="000000"/>
          <w:shd w:val="clear" w:color="auto" w:fill="FFFFFF"/>
        </w:rPr>
        <w:t xml:space="preserve">(UE) 2021/695 del Parlamento Europeo y del Consejo, de 28 de abril de 2021, por el que se crea </w:t>
      </w:r>
      <w:r>
        <w:rPr>
          <w:rFonts w:ascii="Times New Roman" w:hAnsi="Times New Roman"/>
        </w:rPr>
        <w:t>el Programa Marco de Investigación e Innovación «Horizonte Europa», se establecen sus normas de participación y difusión, y se derogan los Reglamentos (UE) n.º 1290/2013 y (UE) n.º 1291/2013, véase el artículo 8.</w:t>
      </w:r>
    </w:p>
  </w:footnote>
  <w:footnote w:id="20">
    <w:p w14:paraId="6ECD6F09" w14:textId="77777777" w:rsidR="006C22CB" w:rsidRPr="00087113" w:rsidRDefault="006C22CB" w:rsidP="006C22CB">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Véase: </w:t>
      </w:r>
      <w:hyperlink r:id="rId4" w:history="1">
        <w:r>
          <w:rPr>
            <w:rStyle w:val="Hyperlink"/>
            <w:rFonts w:ascii="Times New Roman" w:hAnsi="Times New Roman"/>
            <w:i/>
          </w:rPr>
          <w:t>Open access to JRC Research Infrastructures</w:t>
        </w:r>
        <w:r>
          <w:rPr>
            <w:rStyle w:val="Hyperlink"/>
            <w:rFonts w:ascii="Times New Roman" w:hAnsi="Times New Roman"/>
          </w:rPr>
          <w:t xml:space="preserve"> [Acceso abierto a las infraestructuras de investigación del JRC, información en inglés] (europa.eu)</w:t>
        </w:r>
      </w:hyperlink>
      <w:r>
        <w:t>.</w:t>
      </w:r>
    </w:p>
  </w:footnote>
  <w:footnote w:id="21">
    <w:p w14:paraId="5A2999AA" w14:textId="77777777" w:rsidR="00287EB1" w:rsidRPr="008E1B33" w:rsidRDefault="00287EB1" w:rsidP="002F5B4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i/>
          </w:rPr>
          <w:t>GSO – Group of Senior Officials (GSO) on global Research Infrastructures</w:t>
        </w:r>
        <w:r>
          <w:rPr>
            <w:rStyle w:val="Hyperlink"/>
            <w:rFonts w:ascii="Times New Roman" w:hAnsi="Times New Roman"/>
          </w:rPr>
          <w:t xml:space="preserve"> [«Grupo de altos funcionarios encargado de las infraestructuras mundiales de investigación», documento en inglés] (gsogri.org).</w:t>
        </w:r>
      </w:hyperlink>
    </w:p>
  </w:footnote>
  <w:footnote w:id="22">
    <w:p w14:paraId="08F8F018" w14:textId="77777777" w:rsidR="00287EB1" w:rsidRPr="008E1B33" w:rsidRDefault="00287EB1" w:rsidP="002F5B4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i/>
          </w:rPr>
          <w:t>Brno Declaration on Fostering a Global Ecosystem of Research Infrastructures</w:t>
        </w:r>
        <w:r>
          <w:rPr>
            <w:rStyle w:val="Hyperlink"/>
            <w:rFonts w:ascii="Times New Roman" w:hAnsi="Times New Roman"/>
          </w:rPr>
          <w:t xml:space="preserve"> [«Declaración de Brno sobre el fomento de un ecosistema mundial de infraestructuras de investigación», documento en inglés] (icri2022.cz)</w:t>
        </w:r>
      </w:hyperlink>
      <w:r>
        <w:t>.</w:t>
      </w:r>
    </w:p>
  </w:footnote>
  <w:footnote w:id="23">
    <w:p w14:paraId="3FA47F12" w14:textId="2B78F01A" w:rsidR="00287EB1" w:rsidRDefault="00287EB1" w:rsidP="009C6ED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 hace referencia a los terceros países que cumplen los criterios establecidos en el artículo 16, apartado 1, letra d), del Reglamento </w:t>
      </w:r>
      <w:r>
        <w:rPr>
          <w:rFonts w:ascii="Times New Roman" w:hAnsi="Times New Roman"/>
          <w:color w:val="000000"/>
          <w:shd w:val="clear" w:color="auto" w:fill="FFFFFF"/>
        </w:rPr>
        <w:t xml:space="preserve">(UE) 2021/695, de 28 de abril de 2021, por el que se crea el Programa Marco de Investigación e Innovación </w:t>
      </w:r>
      <w:r>
        <w:rPr>
          <w:rFonts w:ascii="Times New Roman" w:hAnsi="Times New Roman"/>
        </w:rPr>
        <w:t>«Horizonte Europa».</w:t>
      </w:r>
    </w:p>
    <w:p w14:paraId="6793E381" w14:textId="599FE2B2" w:rsidR="00287EB1" w:rsidRPr="008E1B33" w:rsidRDefault="00287EB1" w:rsidP="009C6EDA">
      <w:pPr>
        <w:pStyle w:val="FootnoteText"/>
        <w:jc w:val="both"/>
        <w:rPr>
          <w:rFonts w:ascii="Times New Roman" w:hAnsi="Times New Roman" w:cs="Times New Roman"/>
        </w:rPr>
      </w:pPr>
      <w:r>
        <w:rPr>
          <w:rStyle w:val="FootnoteReference"/>
          <w:rFonts w:ascii="Times New Roman" w:hAnsi="Times New Roman"/>
        </w:rPr>
        <w:t>*</w:t>
      </w:r>
      <w:r>
        <w:rPr>
          <w:rFonts w:ascii="Times New Roman" w:hAnsi="Times New Roman"/>
        </w:rPr>
        <w:t xml:space="preserve"> Esta denominación se entiende sin perjuicio de las posiciones sobre su estatuto y está en consonancia con la Resolución 1244 (1999) del Consejo de Seguridad de las Naciones Unidas y con la Opinión de la Corte Internacional de Justicia sobre la declaración de independencia de Kosovo.</w:t>
      </w:r>
    </w:p>
  </w:footnote>
  <w:footnote w:id="24">
    <w:p w14:paraId="60BAF760" w14:textId="77777777" w:rsidR="00D065EC" w:rsidRPr="00D065EC" w:rsidRDefault="00D065EC" w:rsidP="00D065E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Ucrania también está asociada al Programa de Investigación y Formación de Euratom.</w:t>
      </w:r>
    </w:p>
  </w:footnote>
  <w:footnote w:id="25">
    <w:p w14:paraId="2F8BC94B" w14:textId="77777777" w:rsidR="00287EB1" w:rsidRPr="009E7FDC" w:rsidRDefault="00287EB1" w:rsidP="00860A4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Reglamento </w:t>
      </w:r>
      <w:r>
        <w:rPr>
          <w:rFonts w:ascii="Times New Roman" w:hAnsi="Times New Roman"/>
          <w:shd w:val="clear" w:color="auto" w:fill="FFFFFF"/>
        </w:rPr>
        <w:t xml:space="preserve">(UE) 2021/695, de 28 de abril de 2021, por el que se crea el Programa Marco de Investigación e Innovación </w:t>
      </w:r>
      <w:r>
        <w:rPr>
          <w:rFonts w:ascii="Times New Roman" w:hAnsi="Times New Roman"/>
        </w:rPr>
        <w:t>«Horizonte Europa».</w:t>
      </w:r>
    </w:p>
  </w:footnote>
  <w:footnote w:id="26">
    <w:p w14:paraId="20B61EA3" w14:textId="77777777" w:rsidR="00287EB1" w:rsidRPr="009E7FDC" w:rsidRDefault="00287E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hd w:val="clear" w:color="auto" w:fill="FFFFFF"/>
        </w:rPr>
        <w:t>Recomendación (UE) 2023/498 de la Comisión, de 1 de marzo de 2023, relativa a un Código de buenas prácticas en materia de normalización en el Espacio Europeo de Investigación, y Recomendación (UE) 2023/499 de la Comisión, de 1 de marzo de 2023, relativa a un Código de buenas prácticas en materia de gestión de los activos intelectuales para la valorización del conocimiento en el Espacio Europeo de Investigación.</w:t>
      </w:r>
    </w:p>
  </w:footnote>
  <w:footnote w:id="27">
    <w:p w14:paraId="05C20545"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Véase, entre otros: </w:t>
      </w:r>
      <w:hyperlink r:id="rId7" w:history="1">
        <w:r>
          <w:rPr>
            <w:rStyle w:val="Hyperlink"/>
            <w:rFonts w:ascii="Times New Roman" w:hAnsi="Times New Roman"/>
            <w:i/>
          </w:rPr>
          <w:t>EU research and innovation and the invasion of Ukraine:</w:t>
        </w:r>
      </w:hyperlink>
      <w:hyperlink r:id="rId8" w:history="1">
        <w:r>
          <w:rPr>
            <w:rStyle w:val="Hyperlink"/>
            <w:rFonts w:ascii="Times New Roman" w:hAnsi="Times New Roman"/>
          </w:rPr>
          <w:t xml:space="preserve"> </w:t>
        </w:r>
        <w:r>
          <w:rPr>
            <w:rStyle w:val="Hyperlink"/>
            <w:rFonts w:ascii="Times New Roman" w:hAnsi="Times New Roman"/>
            <w:i/>
          </w:rPr>
          <w:t>Main channels of impact</w:t>
        </w:r>
        <w:r>
          <w:rPr>
            <w:rStyle w:val="Hyperlink"/>
            <w:rFonts w:ascii="Times New Roman" w:hAnsi="Times New Roman"/>
          </w:rPr>
          <w:t xml:space="preserve"> (europa.eu) [«La investigación e innovación en la UE y la invasión de Ucrania: principales vías de impacto», documento en inglés]</w:t>
        </w:r>
      </w:hyperlink>
      <w:r>
        <w:t>.</w:t>
      </w:r>
    </w:p>
  </w:footnote>
  <w:footnote w:id="28">
    <w:p w14:paraId="7F50E86D"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Crespi, F., Caravella, S., Menghini, M. y Salvatori, C. (2021). </w:t>
      </w:r>
      <w:r>
        <w:rPr>
          <w:rFonts w:ascii="Times New Roman" w:hAnsi="Times New Roman"/>
          <w:i/>
        </w:rPr>
        <w:t>European Technological Sovereignty:</w:t>
      </w:r>
      <w:r>
        <w:rPr>
          <w:rFonts w:ascii="Times New Roman" w:hAnsi="Times New Roman"/>
        </w:rPr>
        <w:t xml:space="preserve"> </w:t>
      </w:r>
      <w:r>
        <w:rPr>
          <w:rFonts w:ascii="Times New Roman" w:hAnsi="Times New Roman"/>
          <w:i/>
        </w:rPr>
        <w:t>An emerging framework for policy strategy.</w:t>
      </w:r>
      <w:r>
        <w:rPr>
          <w:rFonts w:ascii="Times New Roman" w:hAnsi="Times New Roman"/>
        </w:rPr>
        <w:t xml:space="preserve"> [«Soberanía tecnológica europea: un marco emergente para la estrategia política», documento en inglés]. </w:t>
      </w:r>
      <w:r>
        <w:rPr>
          <w:rFonts w:ascii="Times New Roman" w:hAnsi="Times New Roman"/>
          <w:i/>
        </w:rPr>
        <w:t>Intereconomics</w:t>
      </w:r>
      <w:r>
        <w:rPr>
          <w:rFonts w:ascii="Times New Roman" w:hAnsi="Times New Roman"/>
        </w:rPr>
        <w:t>, 56(6), 348-354.</w:t>
      </w:r>
    </w:p>
  </w:footnote>
  <w:footnote w:id="29">
    <w:p w14:paraId="5DF19EEC" w14:textId="77777777" w:rsidR="00287EB1" w:rsidRPr="00863948"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Edler, J., Blind, K., y Frietsch, R. (2020). </w:t>
      </w:r>
      <w:r>
        <w:rPr>
          <w:rFonts w:ascii="Times New Roman" w:hAnsi="Times New Roman"/>
          <w:i/>
        </w:rPr>
        <w:t>Technological Sovereignty:</w:t>
      </w:r>
      <w:r>
        <w:rPr>
          <w:rFonts w:ascii="Times New Roman" w:hAnsi="Times New Roman"/>
        </w:rPr>
        <w:t xml:space="preserve"> </w:t>
      </w:r>
      <w:r>
        <w:rPr>
          <w:rFonts w:ascii="Times New Roman" w:hAnsi="Times New Roman"/>
          <w:i/>
        </w:rPr>
        <w:t>From Demand to Concept</w:t>
      </w:r>
      <w:r>
        <w:rPr>
          <w:rFonts w:ascii="Times New Roman" w:hAnsi="Times New Roman"/>
        </w:rPr>
        <w:t xml:space="preserve"> [«Soberanía tecnológica: de la demanda al concepto», documento en inglés]. Disponible en: </w:t>
      </w:r>
      <w:hyperlink r:id="rId9" w:history="1">
        <w:r>
          <w:rPr>
            <w:rStyle w:val="Hyperlink"/>
            <w:rFonts w:ascii="Times New Roman" w:hAnsi="Times New Roman"/>
          </w:rPr>
          <w:t>https://www.isi.fraunhofer.de/en/presse/2020/presseinfo-11-Technologiesouveraenitaet.html</w:t>
        </w:r>
      </w:hyperlink>
      <w:r>
        <w:rPr>
          <w:rFonts w:ascii="Times New Roman" w:hAnsi="Times New Roman"/>
        </w:rPr>
        <w:t>.</w:t>
      </w:r>
    </w:p>
  </w:footnote>
  <w:footnote w:id="30">
    <w:p w14:paraId="7932EDD5" w14:textId="77777777" w:rsidR="00BC5FD0" w:rsidRDefault="00BC5FD0"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Además, la Empresa Común de Informática de Alto Rendimiento Europea (EuroHPC) hizo uso del artículo 22, apartado 5, en una acción de su programa de trabajo para 2023, en otra acción de su programa de trabajo para 2022 y en dos acciones de su programa de trabajo para 2021.</w:t>
      </w:r>
    </w:p>
  </w:footnote>
  <w:footnote w:id="31">
    <w:p w14:paraId="196A7E94" w14:textId="77777777" w:rsidR="00BC5FD0" w:rsidRDefault="00BC5FD0" w:rsidP="006C4CD5">
      <w:pPr>
        <w:pStyle w:val="FootnoteText"/>
        <w:jc w:val="both"/>
        <w:rPr>
          <w:rFonts w:ascii="Times New Roman" w:hAnsi="Times New Roman" w:cs="Times New Roman"/>
        </w:rPr>
      </w:pPr>
    </w:p>
    <w:p w14:paraId="2D22BFEF" w14:textId="4A8C089B"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Comisión Europea, </w:t>
      </w:r>
      <w:r>
        <w:rPr>
          <w:rFonts w:ascii="Times New Roman" w:hAnsi="Times New Roman"/>
          <w:i/>
        </w:rPr>
        <w:t>Tackling R&amp;I Foreign Interference</w:t>
      </w:r>
      <w:r>
        <w:rPr>
          <w:rFonts w:ascii="Times New Roman" w:hAnsi="Times New Roman"/>
        </w:rPr>
        <w:t xml:space="preserve"> [«Luchar contra las injerencias extranjeras en el ámbito de la I+i», documento en inglés], 14 de enero de 2022. Esto también se está abordando en el trabajo de la red de conocimientos de la UE sobre China.</w:t>
      </w:r>
    </w:p>
  </w:footnote>
  <w:footnote w:id="32">
    <w:p w14:paraId="2929FF6E"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Grupo de trabajo del G7 sobre seguridad e integridad del ecosistema mundial de investigación, </w:t>
      </w:r>
      <w:r>
        <w:rPr>
          <w:rFonts w:ascii="Times New Roman" w:hAnsi="Times New Roman"/>
          <w:i/>
        </w:rPr>
        <w:t>Common values and principles on research security and research integrity</w:t>
      </w:r>
      <w:r>
        <w:rPr>
          <w:rFonts w:ascii="Times New Roman" w:hAnsi="Times New Roman"/>
        </w:rPr>
        <w:t xml:space="preserve"> [«Valores y principios comunes sobre la seguridad y la integridad de las investigaciones», documento en inglés], junio de 2022.</w:t>
      </w:r>
    </w:p>
  </w:footnote>
  <w:footnote w:id="33">
    <w:p w14:paraId="4B38DD00" w14:textId="77777777" w:rsidR="00287EB1" w:rsidRPr="00BC5054"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Recomendación (UE) 2022/2415 del Consejo, de 2 de diciembre de 2022, sobre los principios rectores para la valorización del conocimiento.</w:t>
      </w:r>
    </w:p>
  </w:footnote>
  <w:footnote w:id="34">
    <w:p w14:paraId="5F83321F" w14:textId="77777777" w:rsidR="00287EB1" w:rsidRPr="006F4AF1" w:rsidRDefault="00287E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Por ejemplo, la colaboración internacional sobre las normas Eurocódigos para la ingeniería estructural permite mejorar la capacidad reguladora y la calidad de las infraestructuras.</w:t>
      </w:r>
    </w:p>
  </w:footnote>
  <w:footnote w:id="35">
    <w:p w14:paraId="4726C965" w14:textId="77777777" w:rsidR="00287EB1" w:rsidRPr="009165AF" w:rsidRDefault="00287EB1" w:rsidP="001F56A1">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Comunicación conjunta al Parlamento Europeo, el Consejo, el Comité Económico y Social Europeo, el Comité de las Regiones y el Banco Europeo de Inversiones titulada «La Pasarela Mundial», JOIN(2021) 30 final.</w:t>
      </w:r>
    </w:p>
  </w:footnote>
  <w:footnote w:id="36">
    <w:p w14:paraId="36090461" w14:textId="1AB80653" w:rsidR="00287EB1" w:rsidRPr="00087113"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Comunicación conjunta al Parlamento Europeo, al Consejo, al Comité Económico y Social Europeo y al Comité de las Regiones «Establecer el rumbo para un planeta azul sostenible. Comunicación Conjunta relativa a la Agenda de la UE de Gobernanza Internacional de los Océanos», JOIN(2022) 28 final.</w:t>
      </w:r>
    </w:p>
  </w:footnote>
  <w:footnote w:id="37">
    <w:p w14:paraId="12F9CB2B" w14:textId="77777777" w:rsidR="00287EB1" w:rsidRPr="00087113"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 w:history="1">
        <w:r>
          <w:rPr>
            <w:rStyle w:val="Hyperlink"/>
            <w:rFonts w:ascii="Times New Roman" w:hAnsi="Times New Roman"/>
          </w:rPr>
          <w:t>SKM_80822071310280 (allatlantic2022.com)</w:t>
        </w:r>
      </w:hyperlink>
      <w:r>
        <w:t>.</w:t>
      </w:r>
    </w:p>
  </w:footnote>
  <w:footnote w:id="38">
    <w:p w14:paraId="13F3E081" w14:textId="77777777" w:rsidR="00287EB1" w:rsidRPr="00087113"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Misión Innovación es un foro internacional clave que reúne a los países responsables del 90 % de la financiación pública de la innovación para la energía.</w:t>
      </w:r>
    </w:p>
  </w:footnote>
  <w:footnote w:id="39">
    <w:p w14:paraId="0DF86AF7" w14:textId="77777777" w:rsidR="00287EB1" w:rsidRPr="00087113"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Comisión también apoyará la creación de un servicio de apoyo al conocimiento mundial.</w:t>
      </w:r>
    </w:p>
  </w:footnote>
  <w:footnote w:id="40">
    <w:p w14:paraId="0E2C3EC1" w14:textId="77777777" w:rsidR="00287EB1" w:rsidRPr="00933639"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la 5.ª Asamblea de las Naciones Unidas sobre el Medio Ambiente, se aprobó una resolución histórica que allanaba el camino para un acuerdo mundial jurídicamente vinculante sobre la contaminación por plásticos.</w:t>
      </w:r>
    </w:p>
  </w:footnote>
  <w:footnote w:id="41">
    <w:p w14:paraId="52702E5B" w14:textId="77777777" w:rsidR="00287EB1" w:rsidRPr="00087113"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 w:history="1">
        <w:r>
          <w:rPr>
            <w:rStyle w:val="Hyperlink"/>
            <w:rFonts w:ascii="Times New Roman" w:hAnsi="Times New Roman"/>
            <w:i/>
          </w:rPr>
          <w:t>New European Bauhaus:</w:t>
        </w:r>
      </w:hyperlink>
      <w:hyperlink r:id="rId12" w:history="1">
        <w:r>
          <w:rPr>
            <w:rStyle w:val="Hyperlink"/>
            <w:rFonts w:ascii="Times New Roman" w:hAnsi="Times New Roman"/>
          </w:rPr>
          <w:t xml:space="preserve"> </w:t>
        </w:r>
        <w:r>
          <w:rPr>
            <w:rStyle w:val="Hyperlink"/>
            <w:rFonts w:ascii="Times New Roman" w:hAnsi="Times New Roman"/>
            <w:i/>
          </w:rPr>
          <w:t>beautiful, sustainable, together</w:t>
        </w:r>
        <w:r>
          <w:rPr>
            <w:rStyle w:val="Hyperlink"/>
            <w:rFonts w:ascii="Times New Roman" w:hAnsi="Times New Roman"/>
          </w:rPr>
          <w:t xml:space="preserve"> [Nueva Bauhaus Europea: hermosa, sostenible, juntos, información en inglés].</w:t>
        </w:r>
      </w:hyperlink>
      <w:hyperlink r:id="rId13" w:history="1">
        <w:r>
          <w:rPr>
            <w:rStyle w:val="Hyperlink"/>
            <w:rFonts w:ascii="Times New Roman" w:hAnsi="Times New Roman"/>
          </w:rPr>
          <w:t xml:space="preserve"> (europa.eu)</w:t>
        </w:r>
      </w:hyperlink>
      <w:r>
        <w:t>.</w:t>
      </w:r>
    </w:p>
  </w:footnote>
  <w:footnote w:id="42">
    <w:p w14:paraId="34AF3466" w14:textId="77777777" w:rsidR="00287EB1" w:rsidRPr="00087113"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Reglamento (UE) 2021/2085 del Consejo, de 19 de noviembre de 2021, por el que se establecen las empresas comunes en el marco de Horizonte Europa y se derogan los Reglamentos (CE) n.º 219/2007, (UE) n.º 557/2014, (UE) n.º 558/2014, (UE) n.º 559/2014, (UE) n.º 560/2014, (UE) n.º 561/2014 y (UE) n.º 642/2014 (DO L 427 de 30.11.2021, p. 17).</w:t>
      </w:r>
    </w:p>
  </w:footnote>
  <w:footnote w:id="43">
    <w:p w14:paraId="4079F0A4" w14:textId="77777777" w:rsidR="00287EB1" w:rsidRPr="00087113"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Comunicación de la Comisión al Parlamento Europeo, al Consejo, al Comité Económico y Social Europeo y al Comité de las Regiones titulada «Brújula Digital 2030: el enfoque de Europa para el Decenio Digital», COM(2021) 118 final.</w:t>
      </w:r>
    </w:p>
  </w:footnote>
  <w:footnote w:id="44">
    <w:p w14:paraId="21119746" w14:textId="77777777" w:rsidR="00287EB1" w:rsidRPr="00087113" w:rsidRDefault="00287EB1" w:rsidP="00B7024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Cagnin, C., Muench, S., Scapolo, F., Störmer, E., Vesnic-Alujevic, L. </w:t>
      </w:r>
      <w:r>
        <w:rPr>
          <w:rFonts w:ascii="Times New Roman" w:hAnsi="Times New Roman"/>
          <w:i/>
        </w:rPr>
        <w:t>Shaping and securing the EU’s open strategic autonomy by 2040 and beyond</w:t>
      </w:r>
      <w:r>
        <w:rPr>
          <w:rFonts w:ascii="Times New Roman" w:hAnsi="Times New Roman"/>
        </w:rPr>
        <w:t xml:space="preserve"> [«Configurar y garantizar la autonomía estratégica abierta de la UE para 2040 y posteriormente», documento en inglés]</w:t>
      </w:r>
      <w:r>
        <w:t>.</w:t>
      </w:r>
      <w:r>
        <w:rPr>
          <w:rFonts w:ascii="Times New Roman" w:hAnsi="Times New Roman"/>
        </w:rPr>
        <w:t xml:space="preserve"> Oficina de Publicaciones de la Unión Europea, Luxemburgo, 2021.</w:t>
      </w:r>
    </w:p>
  </w:footnote>
  <w:footnote w:id="45">
    <w:p w14:paraId="3AE52E26" w14:textId="77777777" w:rsidR="00287EB1" w:rsidRPr="00087113"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iniciativa Equipo Europa combina recursos de la UE, los Estados miembros, las instituciones financieras y el sector privado.</w:t>
      </w:r>
    </w:p>
  </w:footnote>
  <w:footnote w:id="46">
    <w:p w14:paraId="052839DB" w14:textId="77777777" w:rsidR="00287EB1" w:rsidRPr="00C41A74"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expansión del programa BELLA [Building the Europe Links with Latin America (Construyendo el vínculo de Europa con América Latina)] y los centros Copernicus en los países latinoamericanos y Filipinas son ejemplos claros.</w:t>
      </w:r>
    </w:p>
  </w:footnote>
  <w:footnote w:id="47">
    <w:p w14:paraId="7340360F" w14:textId="77777777" w:rsidR="00287EB1" w:rsidRPr="00570B00"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2" w:name="_Hlk136953567"/>
      <w:r>
        <w:fldChar w:fldCharType="begin"/>
      </w:r>
      <w:r>
        <w:instrText xml:space="preserve"> HYPERLINK "https://d4dhub.eu/" </w:instrText>
      </w:r>
      <w:r>
        <w:fldChar w:fldCharType="separate"/>
      </w:r>
      <w:r>
        <w:rPr>
          <w:rStyle w:val="Hyperlink"/>
          <w:rFonts w:ascii="Times New Roman" w:hAnsi="Times New Roman"/>
        </w:rPr>
        <w:t>https://d4dhub.eu/</w:t>
      </w:r>
      <w:r>
        <w:rPr>
          <w:rStyle w:val="Hyperlink"/>
          <w:rFonts w:ascii="Times New Roman" w:hAnsi="Times New Roman" w:cs="Times New Roman"/>
        </w:rPr>
        <w:fldChar w:fldCharType="end"/>
      </w:r>
      <w:bookmarkEnd w:id="2"/>
    </w:p>
  </w:footnote>
  <w:footnote w:id="48">
    <w:p w14:paraId="0166E3CD" w14:textId="77777777" w:rsidR="00287EB1" w:rsidRPr="0074625D" w:rsidRDefault="00287EB1" w:rsidP="000871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Conclusiones del Consejo sobre la diplomacia digital de la UE, documento 11406/22.</w:t>
      </w:r>
    </w:p>
  </w:footnote>
  <w:footnote w:id="49">
    <w:p w14:paraId="633DD6CF" w14:textId="77777777" w:rsidR="00287EB1" w:rsidRPr="006C4CD5"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Por ejemplo, G7, G20, OCDE, Unión Internacional de Telecomunicaciones, Organización Internacional de Normalización, Comisión Electrotécnica Internacional, Instituto de Ingenieros Eléctricos y Electrónicos.</w:t>
      </w:r>
    </w:p>
  </w:footnote>
  <w:footnote w:id="50">
    <w:p w14:paraId="5666AAE6" w14:textId="77777777" w:rsidR="00287EB1" w:rsidRPr="008E1B33" w:rsidRDefault="00287EB1" w:rsidP="008E1B33">
      <w:pPr>
        <w:pStyle w:val="FootnoteText"/>
        <w:jc w:val="both"/>
        <w:rPr>
          <w:rFonts w:ascii="Times New Roman" w:hAnsi="Times New Roman" w:cs="Times New Roman"/>
        </w:rPr>
      </w:pPr>
      <w:r>
        <w:rPr>
          <w:rStyle w:val="FootnoteReference"/>
          <w:rFonts w:ascii="Times New Roman" w:hAnsi="Times New Roman" w:cs="Times New Roman"/>
        </w:rPr>
        <w:footnoteRef/>
      </w:r>
      <w:hyperlink r:id="rId14" w:history="1">
        <w:r>
          <w:rPr>
            <w:rStyle w:val="Hyperlink"/>
            <w:rFonts w:ascii="Times New Roman" w:hAnsi="Times New Roman"/>
          </w:rPr>
          <w:t>https://ec.europa.eu/commission/presscorner/detail/es/ip_22_7153</w:t>
        </w:r>
      </w:hyperlink>
      <w:r>
        <w:t>.</w:t>
      </w:r>
    </w:p>
  </w:footnote>
  <w:footnote w:id="51">
    <w:p w14:paraId="3BB72DD8" w14:textId="77777777" w:rsidR="00287EB1" w:rsidRPr="008E1B33" w:rsidRDefault="00287EB1" w:rsidP="008E1B33">
      <w:pPr>
        <w:pStyle w:val="FootnoteText"/>
        <w:jc w:val="both"/>
        <w:rPr>
          <w:rFonts w:ascii="Times New Roman" w:hAnsi="Times New Roman" w:cs="Times New Roman"/>
        </w:rPr>
      </w:pPr>
      <w:r>
        <w:rPr>
          <w:rStyle w:val="FootnoteReference"/>
          <w:rFonts w:ascii="Times New Roman" w:hAnsi="Times New Roman" w:cs="Times New Roman"/>
        </w:rPr>
        <w:footnoteRef/>
      </w:r>
      <w:hyperlink r:id="rId15" w:history="1">
        <w:r>
          <w:rPr>
            <w:rStyle w:val="Hyperlink"/>
            <w:rFonts w:ascii="Times New Roman" w:hAnsi="Times New Roman"/>
          </w:rPr>
          <w:t>https://ec.europa.eu/commission/presscorner/detail/es/ip_22_7154</w:t>
        </w:r>
      </w:hyperlink>
      <w:r>
        <w:t>.</w:t>
      </w:r>
    </w:p>
  </w:footnote>
  <w:footnote w:id="52">
    <w:p w14:paraId="7D668DB5" w14:textId="77777777" w:rsidR="00287EB1" w:rsidRPr="00451230" w:rsidRDefault="00287EB1" w:rsidP="005A546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https://www.who.int/publications/m/item/act-accelerator-outcomes-report--2020-22</w:t>
        </w:r>
      </w:hyperlink>
      <w:r>
        <w:t>.</w:t>
      </w:r>
      <w:r>
        <w:rPr>
          <w:rFonts w:ascii="Times New Roman" w:hAnsi="Times New Roman"/>
        </w:rPr>
        <w:t xml:space="preserve"> </w:t>
      </w:r>
    </w:p>
  </w:footnote>
  <w:footnote w:id="53">
    <w:p w14:paraId="62575B94" w14:textId="77777777" w:rsidR="00287EB1" w:rsidRPr="002675D4" w:rsidRDefault="00287EB1" w:rsidP="005A546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particular: la red informal de la organización Heads of International health Research Organisations (Directores de Organizaciones Internacionales de Investigación en materia de Salud); la Colaboración Mundial en Investigación para la Preparación frente a Enfermedades Infecciosas; la Alianza Mundial sobre Enfermedades Crónicas, el Consorcio Internacional de Investigación de Enfermedades Raras y el Consorcio Internacional de Medicina Personalizada. Asimismo, la Comisión apoyó la Iniciativa de Inteligencia Epidémica de Código Abierto (EIOS).</w:t>
      </w:r>
    </w:p>
  </w:footnote>
  <w:footnote w:id="54">
    <w:p w14:paraId="4C611C4C" w14:textId="77777777" w:rsidR="00287EB1" w:rsidRPr="002675D4" w:rsidRDefault="00287EB1" w:rsidP="005A546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Estas incluyen: la Iniciativa de Programación Conjunta en materia de resistencia a los antimicrobianos y una nueva futura asociación europea en materia de resistencia a los antimicrobianos; la Iniciativa Conjunta de Programación sobre enfermedades neurodegenerativas, el Programa Conjunto Europeo de Enfermedades Raras y una futura asociación europea en materia de enfermedades raras.</w:t>
      </w:r>
    </w:p>
  </w:footnote>
  <w:footnote w:id="55">
    <w:p w14:paraId="44878027" w14:textId="77777777" w:rsidR="00287EB1" w:rsidRPr="00451230" w:rsidRDefault="00287EB1" w:rsidP="005A546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w:t>
      </w:r>
      <w:hyperlink r:id="rId17" w:history="1">
        <w:r>
          <w:rPr>
            <w:rStyle w:val="Hyperlink"/>
            <w:rFonts w:ascii="Times New Roman" w:hAnsi="Times New Roman"/>
          </w:rPr>
          <w:t>proyecto EU-Africa PerMed</w:t>
        </w:r>
      </w:hyperlink>
      <w:r>
        <w:rPr>
          <w:rFonts w:ascii="Times New Roman" w:hAnsi="Times New Roman"/>
        </w:rPr>
        <w:t xml:space="preserve"> tiene por objeto establecer vínculos entre Europa y África en el ámbito de la medicina personalizada.</w:t>
      </w:r>
    </w:p>
  </w:footnote>
  <w:footnote w:id="56">
    <w:p w14:paraId="1D4C2B44" w14:textId="425D0DF0"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rPr>
        <w:t xml:space="preserve"> https://www.globalhealth-edctp3.eu/</w:t>
      </w:r>
    </w:p>
  </w:footnote>
  <w:footnote w:id="57">
    <w:p w14:paraId="0E24940B"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Comunicación de la Comisión al Parlamento Europeo, al Consejo, al Comité Económico y Social Europeo y al Comité de las Regiones titulada «Nueva Agenda Europea de Innovación», COM(2022) 332 final.</w:t>
      </w:r>
    </w:p>
  </w:footnote>
  <w:footnote w:id="58">
    <w:p w14:paraId="2C501049" w14:textId="77777777" w:rsidR="00287EB1" w:rsidRPr="00DC5C44" w:rsidRDefault="00287EB1">
      <w:pPr>
        <w:pStyle w:val="FootnoteText"/>
        <w:rPr>
          <w:rFonts w:ascii="Times New Roman" w:hAnsi="Times New Roman" w:cs="Times New Roman"/>
          <w:lang w:val="en-GB"/>
        </w:rPr>
      </w:pPr>
      <w:r>
        <w:rPr>
          <w:rStyle w:val="FootnoteReference"/>
          <w:rFonts w:ascii="Times New Roman" w:hAnsi="Times New Roman" w:cs="Times New Roman"/>
        </w:rPr>
        <w:footnoteRef/>
      </w:r>
      <w:r w:rsidRPr="00DC5C44">
        <w:rPr>
          <w:rFonts w:ascii="Times New Roman" w:hAnsi="Times New Roman"/>
          <w:lang w:val="en-GB"/>
        </w:rPr>
        <w:t xml:space="preserve"> </w:t>
      </w:r>
      <w:hyperlink r:id="rId18" w:history="1">
        <w:r w:rsidRPr="00DC5C44">
          <w:rPr>
            <w:rStyle w:val="Hyperlink"/>
            <w:rFonts w:ascii="Times New Roman" w:hAnsi="Times New Roman"/>
            <w:lang w:val="en-GB"/>
          </w:rPr>
          <w:t>20190605-gb57-17-strategic_framework_for_eit_community_global_outreach_activities.pdf (europa.eu)</w:t>
        </w:r>
      </w:hyperlink>
      <w:r w:rsidRPr="00DC5C44">
        <w:rPr>
          <w:lang w:val="en-GB"/>
        </w:rPr>
        <w:t>.</w:t>
      </w:r>
    </w:p>
  </w:footnote>
  <w:footnote w:id="59">
    <w:p w14:paraId="168D9365" w14:textId="77777777" w:rsidR="00287EB1" w:rsidRPr="006C4CD5" w:rsidRDefault="00287EB1" w:rsidP="00B25EA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i/>
          </w:rPr>
          <w:t>EU and the Western Balkans launch a joint strategy to strengthen cooperation in innovation, research, education, culture, youth and sport</w:t>
        </w:r>
        <w:r>
          <w:rPr>
            <w:rStyle w:val="Hyperlink"/>
            <w:rFonts w:ascii="Times New Roman" w:hAnsi="Times New Roman"/>
          </w:rPr>
          <w:t xml:space="preserve"> [La UE y los Balcanes Occidentales ponen en marcha una estrategia conjunta para reforzar la cooperación en materia de innovación, investigación, educación, cultura, juventud y deporte, información en inglés] (europa.eu)</w:t>
        </w:r>
      </w:hyperlink>
      <w:r>
        <w:t>.</w:t>
      </w:r>
    </w:p>
  </w:footnote>
  <w:footnote w:id="60">
    <w:p w14:paraId="505C391F" w14:textId="77777777" w:rsidR="00287EB1" w:rsidRPr="004C4D9D" w:rsidRDefault="00287E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CELAC es la Comunidad de Estados Latinoamericanos y Caribeños.</w:t>
      </w:r>
    </w:p>
  </w:footnote>
  <w:footnote w:id="61">
    <w:p w14:paraId="7D083346"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Comunicación conjunta al Parlamento Europeo, al Consejo Europeo y al Consejo «Una nueva agenda UE-EE.UU. para el cambio mundial», JOIN(2020) 22 final.</w:t>
      </w:r>
    </w:p>
  </w:footnote>
  <w:footnote w:id="62">
    <w:p w14:paraId="3EA3FC8A"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Comunicación Conjunta al Parlamento Europeo, al Consejo Europeo y al Consejo, «UE-China: Una perspectiva estratégica», JOIN(2019) 5 final.</w:t>
      </w:r>
    </w:p>
  </w:footnote>
  <w:footnote w:id="63">
    <w:p w14:paraId="341C1A91" w14:textId="77777777" w:rsidR="00287EB1" w:rsidRPr="006C4CD5"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Entre ellas figuran la ciencia abierta, la ética y la integridad de la investigación, la movilidad de los investigadores y la igualdad de género en la I+i.</w:t>
      </w:r>
    </w:p>
  </w:footnote>
  <w:footnote w:id="64">
    <w:p w14:paraId="3533FDC0" w14:textId="77777777" w:rsidR="00287EB1" w:rsidRPr="006C4CD5"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Entre ellas figuran los derechos de propiedad intelectual, la investigación prenormativa, la evaluación de la conformidad y la normalización, el acceso a la contratación pública y unos marcos reguladores justos y transparentes.</w:t>
      </w:r>
    </w:p>
  </w:footnote>
  <w:footnote w:id="65">
    <w:p w14:paraId="269A76C2"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Las acciones de innovación son acciones con un alto nivel de desarrollo tecnológico y más cercanas al mercado.</w:t>
      </w:r>
    </w:p>
  </w:footnote>
  <w:footnote w:id="66">
    <w:p w14:paraId="0ECAB94F"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Los temas clave que se incluyen en el ámbito de cada asociación son los siguientes: resiliencia de la cadena de suministro de semiconductores; 5G/6G; ciberseguridad; regulación de las plataformas, los datos y la IA; comercio digital; identidad digital y firmas digitales; colmar la brecha de capacidades digitales e inclusión digital.</w:t>
      </w:r>
    </w:p>
  </w:footnote>
  <w:footnote w:id="67">
    <w:p w14:paraId="1233D475"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0" w:history="1">
        <w:r>
          <w:rPr>
            <w:rStyle w:val="Hyperlink"/>
            <w:rFonts w:ascii="Times New Roman" w:hAnsi="Times New Roman"/>
          </w:rPr>
          <w:t>UE-India:</w:t>
        </w:r>
      </w:hyperlink>
      <w:hyperlink r:id="rId21" w:history="1">
        <w:r>
          <w:rPr>
            <w:rStyle w:val="Hyperlink"/>
            <w:rFonts w:ascii="Times New Roman" w:hAnsi="Times New Roman"/>
          </w:rPr>
          <w:t xml:space="preserve"> nuevo Consejo de Comercio y Tecnología (europa.eu)</w:t>
        </w:r>
      </w:hyperlink>
      <w:r>
        <w:t xml:space="preserve">. </w:t>
      </w:r>
    </w:p>
  </w:footnote>
  <w:footnote w:id="68">
    <w:p w14:paraId="696A4E4A" w14:textId="77777777" w:rsidR="00287EB1" w:rsidRPr="00DC5C44" w:rsidRDefault="00287EB1" w:rsidP="007D1D6C">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sidRPr="00DC5C44">
        <w:rPr>
          <w:rFonts w:ascii="Times New Roman" w:hAnsi="Times New Roman"/>
          <w:lang w:val="en-GB"/>
        </w:rPr>
        <w:t xml:space="preserve"> </w:t>
      </w:r>
      <w:hyperlink r:id="rId22" w:history="1">
        <w:r w:rsidRPr="00DC5C44">
          <w:rPr>
            <w:rStyle w:val="Hyperlink"/>
            <w:rFonts w:ascii="Times New Roman" w:hAnsi="Times New Roman"/>
            <w:lang w:val="en-GB"/>
          </w:rPr>
          <w:t>UfM-Ministerial-Declaration-RI-EN-270622.pdf (ufmsecretariat.org)</w:t>
        </w:r>
      </w:hyperlink>
      <w:r w:rsidRPr="00DC5C44">
        <w:rPr>
          <w:lang w:val="en-GB"/>
        </w:rPr>
        <w:t>.</w:t>
      </w:r>
    </w:p>
  </w:footnote>
  <w:footnote w:id="69">
    <w:p w14:paraId="2E4A5928" w14:textId="77777777" w:rsidR="00287EB1" w:rsidRPr="00DC5C44" w:rsidRDefault="00287EB1" w:rsidP="006C4CD5">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sidRPr="00DC5C44">
        <w:rPr>
          <w:rFonts w:ascii="Times New Roman" w:hAnsi="Times New Roman"/>
          <w:lang w:val="en-GB"/>
        </w:rPr>
        <w:t xml:space="preserve"> Véanse, respectivamente: </w:t>
      </w:r>
      <w:hyperlink r:id="rId23" w:history="1">
        <w:r w:rsidRPr="00DC5C44">
          <w:rPr>
            <w:rStyle w:val="Hyperlink"/>
            <w:rFonts w:ascii="Times New Roman" w:hAnsi="Times New Roman"/>
            <w:lang w:val="en-GB"/>
          </w:rPr>
          <w:t>http://www.bluemed-initiative.eu/</w:t>
        </w:r>
      </w:hyperlink>
      <w:r w:rsidRPr="00DC5C44">
        <w:rPr>
          <w:rFonts w:ascii="Times New Roman" w:hAnsi="Times New Roman"/>
          <w:lang w:val="en-GB"/>
        </w:rPr>
        <w:t xml:space="preserve">, </w:t>
      </w:r>
      <w:hyperlink r:id="rId24" w:history="1">
        <w:r w:rsidRPr="00DC5C44">
          <w:rPr>
            <w:rStyle w:val="Hyperlink"/>
            <w:rFonts w:ascii="Times New Roman" w:hAnsi="Times New Roman"/>
            <w:lang w:val="en-GB"/>
          </w:rPr>
          <w:t>https://bluepartnership.eu/</w:t>
        </w:r>
      </w:hyperlink>
      <w:r w:rsidRPr="00DC5C44">
        <w:rPr>
          <w:rStyle w:val="Hyperlink"/>
          <w:rFonts w:ascii="Times New Roman" w:hAnsi="Times New Roman"/>
          <w:color w:val="auto"/>
          <w:u w:val="none"/>
          <w:lang w:val="en-GB"/>
        </w:rPr>
        <w:t xml:space="preserve"> y </w:t>
      </w:r>
      <w:hyperlink r:id="rId25" w:history="1">
        <w:r w:rsidRPr="00DC5C44">
          <w:rPr>
            <w:rStyle w:val="Hyperlink"/>
            <w:rFonts w:ascii="Times New Roman" w:hAnsi="Times New Roman"/>
            <w:lang w:val="en-GB"/>
          </w:rPr>
          <w:t>PRIMA:</w:t>
        </w:r>
      </w:hyperlink>
      <w:hyperlink r:id="rId26" w:history="1">
        <w:r w:rsidRPr="00DC5C44">
          <w:rPr>
            <w:rStyle w:val="Hyperlink"/>
            <w:rFonts w:ascii="Times New Roman" w:hAnsi="Times New Roman"/>
            <w:lang w:val="en-GB"/>
          </w:rPr>
          <w:t xml:space="preserve"> Partnership for Research &amp; Innovation in the Mediterranean area (prima-med.org)</w:t>
        </w:r>
      </w:hyperlink>
      <w:r w:rsidRPr="00DC5C44">
        <w:rPr>
          <w:lang w:val="en-GB"/>
        </w:rPr>
        <w:t>.</w:t>
      </w:r>
    </w:p>
  </w:footnote>
  <w:footnote w:id="70">
    <w:p w14:paraId="754B1910" w14:textId="77777777" w:rsidR="00287EB1" w:rsidRPr="00B47325" w:rsidRDefault="00287EB1" w:rsidP="00B4732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Por ejemplo, la Comisión continuó el desarrollo de la asociación conjunta a largo plazo para la investigación y la innovación UE-Unión Africana en materia de energías renovables y amplió su ámbito de aplicación al hidrógeno renovable.</w:t>
      </w:r>
    </w:p>
  </w:footnote>
  <w:footnote w:id="71">
    <w:p w14:paraId="5D0D6A3B" w14:textId="77777777" w:rsidR="00287EB1" w:rsidRPr="00DC5C44" w:rsidRDefault="00287EB1">
      <w:pPr>
        <w:pStyle w:val="FootnoteText"/>
        <w:rPr>
          <w:rFonts w:ascii="Times New Roman" w:hAnsi="Times New Roman" w:cs="Times New Roman"/>
          <w:lang w:val="en-GB"/>
        </w:rPr>
      </w:pPr>
      <w:r>
        <w:rPr>
          <w:rStyle w:val="FootnoteReference"/>
          <w:rFonts w:ascii="Times New Roman" w:hAnsi="Times New Roman" w:cs="Times New Roman"/>
        </w:rPr>
        <w:footnoteRef/>
      </w:r>
      <w:r w:rsidRPr="00DC5C44">
        <w:rPr>
          <w:rFonts w:ascii="Times New Roman" w:hAnsi="Times New Roman"/>
          <w:lang w:val="en-GB"/>
        </w:rPr>
        <w:t xml:space="preserve"> </w:t>
      </w:r>
      <w:hyperlink r:id="rId27" w:history="1">
        <w:r w:rsidRPr="00DC5C44">
          <w:rPr>
            <w:rStyle w:val="Hyperlink"/>
            <w:rFonts w:ascii="Times New Roman" w:hAnsi="Times New Roman"/>
            <w:lang w:val="en-GB"/>
          </w:rPr>
          <w:t>Africa Knowledge Platform (europa.eu)</w:t>
        </w:r>
      </w:hyperlink>
      <w:r w:rsidRPr="00DC5C44">
        <w:rPr>
          <w:lang w:val="en-GB"/>
        </w:rPr>
        <w:t>.</w:t>
      </w:r>
    </w:p>
  </w:footnote>
  <w:footnote w:id="72">
    <w:p w14:paraId="66B1372B" w14:textId="77777777" w:rsidR="00287EB1" w:rsidRPr="006C4CD5"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conectividad digital se centra en conectar Europa y África a través de cables submarinos, las regiones africanas a través de redes troncales de fibra óptica y las regiones sin servicio a través de la comunicación por satélite, y en apoyar los ecosistemas de innovación digital en la región.</w:t>
      </w:r>
    </w:p>
  </w:footnote>
  <w:footnote w:id="73">
    <w:p w14:paraId="379E4F61" w14:textId="77777777" w:rsidR="00287EB1" w:rsidRPr="008E1B33"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hd w:val="clear" w:color="auto" w:fill="FFFFFF"/>
        </w:rPr>
        <w:t>Reglamento (UE) 2021/947 del Parlamento Europeo y del Consejo, de 9 de junio de 2021, por el que se establece el Instrumento de Vecindad, Desarrollo y Cooperación Internacional - Europa Global.</w:t>
      </w:r>
    </w:p>
  </w:footnote>
  <w:footnote w:id="74">
    <w:p w14:paraId="4F57FF26" w14:textId="77777777" w:rsidR="00287EB1" w:rsidRPr="00FF145A" w:rsidRDefault="00287EB1" w:rsidP="0041698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8" w:history="1">
        <w:r>
          <w:rPr>
            <w:rStyle w:val="Hyperlink"/>
            <w:rFonts w:ascii="Times New Roman" w:hAnsi="Times New Roman"/>
            <w:i/>
          </w:rPr>
          <w:t>EU-CELAC 2021-2023 Strategic Roadmap</w:t>
        </w:r>
        <w:r>
          <w:rPr>
            <w:rStyle w:val="Hyperlink"/>
            <w:rFonts w:ascii="Times New Roman" w:hAnsi="Times New Roman"/>
          </w:rPr>
          <w:t xml:space="preserve"> [Hoja de ruta estratégica UE-CELAC para 2021-2023, información en inglés]</w:t>
        </w:r>
      </w:hyperlink>
      <w:r>
        <w:t>.</w:t>
      </w:r>
    </w:p>
  </w:footnote>
  <w:footnote w:id="75">
    <w:p w14:paraId="7DE43682" w14:textId="77777777" w:rsidR="00287EB1" w:rsidRPr="00DC5C44" w:rsidRDefault="00287EB1" w:rsidP="006C4CD5">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sidRPr="00DC5C44">
        <w:rPr>
          <w:rFonts w:ascii="Times New Roman" w:hAnsi="Times New Roman"/>
          <w:lang w:val="en-GB"/>
        </w:rPr>
        <w:t xml:space="preserve"> </w:t>
      </w:r>
      <w:hyperlink r:id="rId29" w:history="1">
        <w:r w:rsidRPr="00DC5C44">
          <w:rPr>
            <w:rStyle w:val="Hyperlink"/>
            <w:rFonts w:ascii="Times New Roman" w:hAnsi="Times New Roman"/>
            <w:lang w:val="en-GB"/>
          </w:rPr>
          <w:t>eu-asean-leaders-statement.pdf (europa.eu)</w:t>
        </w:r>
      </w:hyperlink>
      <w:r w:rsidRPr="00DC5C44">
        <w:rPr>
          <w:lang w:val="en-GB"/>
        </w:rPr>
        <w:t>.</w:t>
      </w:r>
    </w:p>
  </w:footnote>
  <w:footnote w:id="76">
    <w:p w14:paraId="370C1409" w14:textId="77777777" w:rsidR="00287EB1" w:rsidRPr="00DC5C44" w:rsidRDefault="00287EB1" w:rsidP="006C4CD5">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sidRPr="00DC5C44">
        <w:rPr>
          <w:rFonts w:ascii="Times New Roman" w:hAnsi="Times New Roman"/>
          <w:lang w:val="en-GB"/>
        </w:rPr>
        <w:t xml:space="preserve"> </w:t>
      </w:r>
      <w:hyperlink r:id="rId30" w:history="1">
        <w:r w:rsidRPr="00DC5C44">
          <w:rPr>
            <w:rStyle w:val="Hyperlink"/>
            <w:rFonts w:ascii="Times New Roman" w:hAnsi="Times New Roman"/>
            <w:lang w:val="en-GB"/>
          </w:rPr>
          <w:t>Plan of Action to Implement the ASEAN-EU Strategic Partnership (2023-2027).pdf (europa.eu)</w:t>
        </w:r>
      </w:hyperlink>
      <w:r w:rsidRPr="00DC5C44">
        <w:rPr>
          <w:lang w:val="en-GB"/>
        </w:rPr>
        <w:t>.</w:t>
      </w:r>
    </w:p>
  </w:footnote>
  <w:footnote w:id="77">
    <w:p w14:paraId="65696C04" w14:textId="77777777" w:rsidR="00287EB1" w:rsidRPr="00D608F6" w:rsidRDefault="00287EB1" w:rsidP="006C4CD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 puso fin a 117 participaciones de entidades rusas (públicas o relacionadas con el sector público) principalmente sobre la base del quinto paquete de sanciones, véase el artículo 5 </w:t>
      </w:r>
      <w:r>
        <w:rPr>
          <w:rFonts w:ascii="Times New Roman" w:hAnsi="Times New Roman"/>
          <w:i/>
        </w:rPr>
        <w:t>terdecies</w:t>
      </w:r>
      <w:r>
        <w:rPr>
          <w:rFonts w:ascii="Times New Roman" w:hAnsi="Times New Roman"/>
        </w:rPr>
        <w:t xml:space="preserve"> del Reglamento (UE) n.º 833/2014 del Consejo, de 31 de julio de 2014, relativo a medidas restrictivas motivadas por acciones de Rusia que desestabilizan la situación en Ucrania (DO L 229 de 31.7.2014, p. 1). Este artículo prevé algunas excepciones, por ejemplo en el ámbito de la cooperación espacial y nuclear. En 2022 se dieron por terminadas treinta y siete participaciones de entidades bielorrusas en Horizonte Europa, sobre la base del </w:t>
      </w:r>
      <w:hyperlink r:id="rId31" w:anchor=":~:text=COUNCIL%20REGULATION%20%28EU%29%202021%2F1986%20of%2015%20November%202021,European%20Union%2C%20and%20in%20particular%20Article%20215%20thereof%2C" w:history="1">
        <w:r>
          <w:rPr>
            <w:rStyle w:val="Hyperlink"/>
            <w:rFonts w:ascii="Times New Roman" w:hAnsi="Times New Roman"/>
          </w:rPr>
          <w:t>Reglamento (UE) 2021/1986 del Consejo, de 15 de noviembre de 2021, por el que se modifica el Reglamento (CE) n.º 765/2006, relativo a la adopción de medidas restrictivas con respecto a Bielorrusia</w:t>
        </w:r>
      </w:hyperlink>
      <w:r>
        <w:rPr>
          <w:rFonts w:ascii="Times New Roman" w:hAnsi="Times New Roman"/>
        </w:rPr>
        <w:t>.</w:t>
      </w:r>
    </w:p>
  </w:footnote>
  <w:footnote w:id="78">
    <w:p w14:paraId="1861D1FD" w14:textId="77777777" w:rsidR="00287EB1" w:rsidRPr="00DC5C44" w:rsidRDefault="00287EB1">
      <w:pPr>
        <w:pStyle w:val="FootnoteText"/>
        <w:rPr>
          <w:rFonts w:ascii="Times New Roman" w:hAnsi="Times New Roman" w:cs="Times New Roman"/>
          <w:lang w:val="en-GB"/>
        </w:rPr>
      </w:pPr>
      <w:r>
        <w:rPr>
          <w:rStyle w:val="FootnoteReference"/>
          <w:rFonts w:ascii="Times New Roman" w:hAnsi="Times New Roman" w:cs="Times New Roman"/>
        </w:rPr>
        <w:footnoteRef/>
      </w:r>
      <w:r w:rsidRPr="00DC5C44">
        <w:rPr>
          <w:rFonts w:ascii="Times New Roman" w:hAnsi="Times New Roman"/>
          <w:lang w:val="en-GB"/>
        </w:rPr>
        <w:t xml:space="preserve"> </w:t>
      </w:r>
      <w:hyperlink r:id="rId32" w:history="1">
        <w:r w:rsidRPr="00DC5C44">
          <w:rPr>
            <w:rStyle w:val="Hyperlink"/>
            <w:rFonts w:ascii="Times New Roman" w:hAnsi="Times New Roman"/>
            <w:lang w:val="en-GB"/>
          </w:rPr>
          <w:t>Microsoft Word - G7 Science Ministers Declaration_20220613 (bundesregierung.de)</w:t>
        </w:r>
      </w:hyperlink>
      <w:r w:rsidRPr="00DC5C44">
        <w:rPr>
          <w:lang w:val="en-GB"/>
        </w:rPr>
        <w:t>.</w:t>
      </w:r>
    </w:p>
  </w:footnote>
  <w:footnote w:id="79">
    <w:p w14:paraId="7BC18609" w14:textId="77777777" w:rsidR="00287EB1" w:rsidRPr="00863948" w:rsidRDefault="00287EB1" w:rsidP="007E2A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3" w:history="1">
        <w:r>
          <w:rPr>
            <w:rStyle w:val="Hyperlink"/>
            <w:rFonts w:ascii="Times New Roman" w:hAnsi="Times New Roman"/>
          </w:rPr>
          <w:t>ERA4Ukraine</w:t>
        </w:r>
      </w:hyperlink>
      <w:r>
        <w:rPr>
          <w:rFonts w:ascii="Times New Roman" w:hAnsi="Times New Roman"/>
        </w:rPr>
        <w:t xml:space="preserve"> ofrece una visión general de todas las acciones existentes a nivel europeo y nacional, por ejemplo, </w:t>
      </w:r>
      <w:hyperlink r:id="rId34" w:history="1">
        <w:r>
          <w:rPr>
            <w:rStyle w:val="Hyperlink"/>
            <w:rFonts w:ascii="Times New Roman" w:hAnsi="Times New Roman"/>
          </w:rPr>
          <w:t>MSCA4Ukraine</w:t>
        </w:r>
      </w:hyperlink>
      <w:r>
        <w:rPr>
          <w:rStyle w:val="Hyperlink"/>
          <w:rFonts w:ascii="Times New Roman" w:hAnsi="Times New Roman"/>
        </w:rPr>
        <w:t xml:space="preserve">, </w:t>
      </w:r>
      <w:hyperlink r:id="rId35" w:history="1">
        <w:r>
          <w:rPr>
            <w:rStyle w:val="Hyperlink"/>
            <w:rFonts w:ascii="Times New Roman" w:hAnsi="Times New Roman"/>
          </w:rPr>
          <w:t>ofertas de empleo del CEI</w:t>
        </w:r>
      </w:hyperlink>
      <w:r>
        <w:rPr>
          <w:rStyle w:val="Hyperlink"/>
          <w:rFonts w:ascii="Times New Roman" w:hAnsi="Times New Roman"/>
        </w:rPr>
        <w:t xml:space="preserve"> y el programa de becas JRC-EUI (Instituto Universitario Europeo)</w:t>
      </w:r>
      <w:r>
        <w:rPr>
          <w:rFonts w:ascii="Times New Roman" w:hAnsi="Times New Roman"/>
        </w:rPr>
        <w:t>.</w:t>
      </w:r>
    </w:p>
  </w:footnote>
  <w:footnote w:id="80">
    <w:p w14:paraId="084355EB" w14:textId="77777777" w:rsidR="007E5BB5" w:rsidRPr="00B14753" w:rsidRDefault="007E5BB5" w:rsidP="007E5BB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6" w:history="1">
        <w:r>
          <w:rPr>
            <w:rStyle w:val="Hyperlink"/>
            <w:rFonts w:ascii="Times New Roman" w:hAnsi="Times New Roman"/>
          </w:rPr>
          <w:t>https://www8.cao.go.jp/cstp/kokusaiteki/g7_2023/230513_g7_communique.pdf</w:t>
        </w:r>
      </w:hyperlink>
      <w:r>
        <w:t>.</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658B" w14:textId="77777777" w:rsidR="00AE4C1F" w:rsidRPr="00AE4C1F" w:rsidRDefault="00AE4C1F" w:rsidP="00AE4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AA3BC" w14:textId="77777777" w:rsidR="00AE4C1F" w:rsidRPr="00AE4C1F" w:rsidRDefault="00AE4C1F" w:rsidP="00AE4C1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68EEA" w14:textId="77777777" w:rsidR="00AE4C1F" w:rsidRPr="00AE4C1F" w:rsidRDefault="00AE4C1F" w:rsidP="00AE4C1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CBEF" w14:textId="77777777" w:rsidR="00287EB1" w:rsidRDefault="00287E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909E" w14:textId="77777777" w:rsidR="00287EB1" w:rsidRDefault="00287E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9798B" w14:textId="77777777" w:rsidR="00287EB1" w:rsidRDefault="00287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BC5"/>
    <w:multiLevelType w:val="hybridMultilevel"/>
    <w:tmpl w:val="6414CC44"/>
    <w:lvl w:ilvl="0" w:tplc="28522B16">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A57D6E"/>
    <w:multiLevelType w:val="hybridMultilevel"/>
    <w:tmpl w:val="649087EE"/>
    <w:lvl w:ilvl="0" w:tplc="18090001">
      <w:start w:val="1"/>
      <w:numFmt w:val="bullet"/>
      <w:lvlText w:val=""/>
      <w:lvlJc w:val="left"/>
      <w:pPr>
        <w:ind w:left="360" w:hanging="360"/>
      </w:pPr>
      <w:rPr>
        <w:rFonts w:ascii="Symbol" w:hAnsi="Symbol" w:hint="default"/>
        <w:b w:val="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5DC5DD1"/>
    <w:multiLevelType w:val="hybridMultilevel"/>
    <w:tmpl w:val="B412A338"/>
    <w:lvl w:ilvl="0" w:tplc="18090001">
      <w:start w:val="1"/>
      <w:numFmt w:val="bullet"/>
      <w:lvlText w:val=""/>
      <w:lvlJc w:val="left"/>
      <w:pPr>
        <w:ind w:left="360" w:hanging="360"/>
      </w:pPr>
      <w:rPr>
        <w:rFonts w:ascii="Symbol" w:hAnsi="Symbol" w:hint="default"/>
        <w:b w:val="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DC428FC"/>
    <w:multiLevelType w:val="hybridMultilevel"/>
    <w:tmpl w:val="F23C82FE"/>
    <w:lvl w:ilvl="0" w:tplc="18090001">
      <w:start w:val="1"/>
      <w:numFmt w:val="bullet"/>
      <w:lvlText w:val=""/>
      <w:lvlJc w:val="left"/>
      <w:pPr>
        <w:ind w:left="360" w:hanging="360"/>
      </w:pPr>
      <w:rPr>
        <w:rFonts w:ascii="Symbol" w:hAnsi="Symbol"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FC30831"/>
    <w:multiLevelType w:val="multilevel"/>
    <w:tmpl w:val="718A4B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B23583"/>
    <w:multiLevelType w:val="hybridMultilevel"/>
    <w:tmpl w:val="E328FA34"/>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24A5874"/>
    <w:multiLevelType w:val="hybridMultilevel"/>
    <w:tmpl w:val="292247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2B018DE"/>
    <w:multiLevelType w:val="hybridMultilevel"/>
    <w:tmpl w:val="DADE04A8"/>
    <w:lvl w:ilvl="0" w:tplc="EA846214">
      <w:start w:val="1"/>
      <w:numFmt w:val="decimal"/>
      <w:lvlText w:val="%1."/>
      <w:lvlJc w:val="left"/>
      <w:pPr>
        <w:ind w:left="720" w:hanging="360"/>
      </w:pPr>
      <w:rPr>
        <w:rFonts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B0F3A38"/>
    <w:multiLevelType w:val="hybridMultilevel"/>
    <w:tmpl w:val="F438A5E6"/>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5BC9081F"/>
    <w:multiLevelType w:val="hybridMultilevel"/>
    <w:tmpl w:val="A426E5C6"/>
    <w:lvl w:ilvl="0" w:tplc="F6187FE2">
      <w:start w:val="22"/>
      <w:numFmt w:val="bullet"/>
      <w:lvlText w:val=""/>
      <w:lvlJc w:val="left"/>
      <w:pPr>
        <w:ind w:left="720" w:hanging="360"/>
      </w:pPr>
      <w:rPr>
        <w:rFonts w:ascii="Wingdings" w:eastAsia="Calibri" w:hAnsi="Wingdings"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66BC0D35"/>
    <w:multiLevelType w:val="multilevel"/>
    <w:tmpl w:val="9E50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0757B"/>
    <w:multiLevelType w:val="hybridMultilevel"/>
    <w:tmpl w:val="73DE89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A7123E1"/>
    <w:multiLevelType w:val="hybridMultilevel"/>
    <w:tmpl w:val="5F500A6A"/>
    <w:lvl w:ilvl="0" w:tplc="18090001">
      <w:start w:val="1"/>
      <w:numFmt w:val="bullet"/>
      <w:lvlText w:val=""/>
      <w:lvlJc w:val="left"/>
      <w:pPr>
        <w:ind w:left="-1080" w:hanging="360"/>
      </w:pPr>
      <w:rPr>
        <w:rFonts w:ascii="Symbol" w:hAnsi="Symbol" w:hint="default"/>
        <w:b w:val="0"/>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num w:numId="1">
    <w:abstractNumId w:val="4"/>
  </w:num>
  <w:num w:numId="2">
    <w:abstractNumId w:val="8"/>
  </w:num>
  <w:num w:numId="3">
    <w:abstractNumId w:val="0"/>
  </w:num>
  <w:num w:numId="4">
    <w:abstractNumId w:val="11"/>
  </w:num>
  <w:num w:numId="5">
    <w:abstractNumId w:val="9"/>
  </w:num>
  <w:num w:numId="6">
    <w:abstractNumId w:val="7"/>
  </w:num>
  <w:num w:numId="7">
    <w:abstractNumId w:val="5"/>
  </w:num>
  <w:num w:numId="8">
    <w:abstractNumId w:val="12"/>
  </w:num>
  <w:num w:numId="9">
    <w:abstractNumId w:val="1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de-AT" w:vendorID="64" w:dllVersion="6"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0" w:nlCheck="1" w:checkStyle="0"/>
  <w:activeWritingStyle w:appName="MSWord" w:lang="es-ES" w:vendorID="64" w:dllVersion="131078" w:nlCheck="1" w:checkStyle="0"/>
  <w:activeWritingStyle w:appName="MSWord" w:lang="en-GB" w:vendorID="64" w:dllVersion="131078" w:nlCheck="1" w:checkStyle="1"/>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B480FF4-0B70-4E7A-830F-E948CE9595C2"/>
    <w:docVar w:name="LW_COVERPAGE_TYPE" w:val="1"/>
    <w:docVar w:name="LW_CROSSREFERENCE" w:val="&lt;UNUSED&gt;"/>
    <w:docVar w:name="LW_DocType" w:val="NORMAL"/>
    <w:docVar w:name="LW_EMISSION" w:val="29.6.2023"/>
    <w:docVar w:name="LW_EMISSION_ISODATE" w:val="2023-06-29"/>
    <w:docVar w:name="LW_EMISSION_LOCATION" w:val="BRX"/>
    <w:docVar w:name="LW_EMISSION_PREFIX" w:val="Bruselas, "/>
    <w:docVar w:name="LW_EMISSION_SUFFIX" w:val=" "/>
    <w:docVar w:name="LW_ID_DOCTYPE_NONLW" w:val="CP-005"/>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3) 3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imer informe bienal sobre la aplicación del enfoque global para la investigación y la innovación"/>
    <w:docVar w:name="LW_TYPE.DOC.CP" w:val="INFORME DE LA COMISIÓN AL CONSEJO Y AL PARLAMENTO EUROPEO"/>
    <w:docVar w:name="LwApiVersions" w:val="LW4CoDe 1.23.2.0; LW 8.0, Build 20211117"/>
  </w:docVars>
  <w:rsids>
    <w:rsidRoot w:val="00C7070C"/>
    <w:rsid w:val="000030E3"/>
    <w:rsid w:val="000044F3"/>
    <w:rsid w:val="00006DB0"/>
    <w:rsid w:val="000111C2"/>
    <w:rsid w:val="0001173D"/>
    <w:rsid w:val="00015D61"/>
    <w:rsid w:val="00015D93"/>
    <w:rsid w:val="0002165B"/>
    <w:rsid w:val="00025B7A"/>
    <w:rsid w:val="00026784"/>
    <w:rsid w:val="000353ED"/>
    <w:rsid w:val="0004035B"/>
    <w:rsid w:val="0004084E"/>
    <w:rsid w:val="00042C73"/>
    <w:rsid w:val="000441BA"/>
    <w:rsid w:val="000508C5"/>
    <w:rsid w:val="00062F3E"/>
    <w:rsid w:val="00065650"/>
    <w:rsid w:val="00066D62"/>
    <w:rsid w:val="00066FAC"/>
    <w:rsid w:val="00070C64"/>
    <w:rsid w:val="00071977"/>
    <w:rsid w:val="00074C36"/>
    <w:rsid w:val="000757CF"/>
    <w:rsid w:val="00077239"/>
    <w:rsid w:val="000774B4"/>
    <w:rsid w:val="000852C8"/>
    <w:rsid w:val="00087113"/>
    <w:rsid w:val="00087D58"/>
    <w:rsid w:val="00092166"/>
    <w:rsid w:val="00094212"/>
    <w:rsid w:val="00095A77"/>
    <w:rsid w:val="00096114"/>
    <w:rsid w:val="000970B7"/>
    <w:rsid w:val="000A2F9C"/>
    <w:rsid w:val="000A554C"/>
    <w:rsid w:val="000B0EFD"/>
    <w:rsid w:val="000B3A16"/>
    <w:rsid w:val="000B6DF6"/>
    <w:rsid w:val="000B7ADD"/>
    <w:rsid w:val="000C598C"/>
    <w:rsid w:val="000C5E90"/>
    <w:rsid w:val="000D2580"/>
    <w:rsid w:val="000D6C2F"/>
    <w:rsid w:val="000E764B"/>
    <w:rsid w:val="00100CE7"/>
    <w:rsid w:val="00103EEE"/>
    <w:rsid w:val="00105A54"/>
    <w:rsid w:val="001116EB"/>
    <w:rsid w:val="00114D37"/>
    <w:rsid w:val="00115345"/>
    <w:rsid w:val="0012024F"/>
    <w:rsid w:val="0012056C"/>
    <w:rsid w:val="001215EB"/>
    <w:rsid w:val="00130767"/>
    <w:rsid w:val="00131447"/>
    <w:rsid w:val="001324FC"/>
    <w:rsid w:val="00134810"/>
    <w:rsid w:val="00135EBA"/>
    <w:rsid w:val="00142424"/>
    <w:rsid w:val="001430DA"/>
    <w:rsid w:val="00143246"/>
    <w:rsid w:val="00145727"/>
    <w:rsid w:val="00152025"/>
    <w:rsid w:val="001525BB"/>
    <w:rsid w:val="00154542"/>
    <w:rsid w:val="00157CD4"/>
    <w:rsid w:val="00162552"/>
    <w:rsid w:val="001654E1"/>
    <w:rsid w:val="00167A43"/>
    <w:rsid w:val="0017637D"/>
    <w:rsid w:val="001771EA"/>
    <w:rsid w:val="001778E3"/>
    <w:rsid w:val="001805D4"/>
    <w:rsid w:val="00180B00"/>
    <w:rsid w:val="001826AA"/>
    <w:rsid w:val="0018348E"/>
    <w:rsid w:val="001844A6"/>
    <w:rsid w:val="00190A88"/>
    <w:rsid w:val="0019258A"/>
    <w:rsid w:val="00193FF4"/>
    <w:rsid w:val="0019785F"/>
    <w:rsid w:val="001A124F"/>
    <w:rsid w:val="001B004C"/>
    <w:rsid w:val="001B3735"/>
    <w:rsid w:val="001B7468"/>
    <w:rsid w:val="001B7C69"/>
    <w:rsid w:val="001C4BC1"/>
    <w:rsid w:val="001C7831"/>
    <w:rsid w:val="001D3E19"/>
    <w:rsid w:val="001E176E"/>
    <w:rsid w:val="001E6C88"/>
    <w:rsid w:val="001F3712"/>
    <w:rsid w:val="001F5241"/>
    <w:rsid w:val="001F56A1"/>
    <w:rsid w:val="00200B08"/>
    <w:rsid w:val="0021323F"/>
    <w:rsid w:val="00214D00"/>
    <w:rsid w:val="002234B3"/>
    <w:rsid w:val="00224C7E"/>
    <w:rsid w:val="00226A4F"/>
    <w:rsid w:val="00234A78"/>
    <w:rsid w:val="002370C2"/>
    <w:rsid w:val="00241328"/>
    <w:rsid w:val="0024190D"/>
    <w:rsid w:val="00242EC9"/>
    <w:rsid w:val="00244BBB"/>
    <w:rsid w:val="0025154F"/>
    <w:rsid w:val="00251592"/>
    <w:rsid w:val="00265094"/>
    <w:rsid w:val="002672C2"/>
    <w:rsid w:val="0027595E"/>
    <w:rsid w:val="00275F7D"/>
    <w:rsid w:val="00285234"/>
    <w:rsid w:val="002866EA"/>
    <w:rsid w:val="00287EB1"/>
    <w:rsid w:val="00293439"/>
    <w:rsid w:val="002A1524"/>
    <w:rsid w:val="002A2FC0"/>
    <w:rsid w:val="002A3C2A"/>
    <w:rsid w:val="002A408B"/>
    <w:rsid w:val="002A40CC"/>
    <w:rsid w:val="002A46D8"/>
    <w:rsid w:val="002A4D62"/>
    <w:rsid w:val="002A63A6"/>
    <w:rsid w:val="002B1F52"/>
    <w:rsid w:val="002B29F1"/>
    <w:rsid w:val="002B5087"/>
    <w:rsid w:val="002C3E72"/>
    <w:rsid w:val="002D125A"/>
    <w:rsid w:val="002D190E"/>
    <w:rsid w:val="002D2392"/>
    <w:rsid w:val="002D39B7"/>
    <w:rsid w:val="002D6AF6"/>
    <w:rsid w:val="002E5296"/>
    <w:rsid w:val="002E5BCF"/>
    <w:rsid w:val="002F5B44"/>
    <w:rsid w:val="002F7EDC"/>
    <w:rsid w:val="00302D47"/>
    <w:rsid w:val="0030583A"/>
    <w:rsid w:val="003106C9"/>
    <w:rsid w:val="003129E5"/>
    <w:rsid w:val="003170CE"/>
    <w:rsid w:val="0032020D"/>
    <w:rsid w:val="00325AC1"/>
    <w:rsid w:val="0032670B"/>
    <w:rsid w:val="003274D2"/>
    <w:rsid w:val="00327E28"/>
    <w:rsid w:val="00334BDC"/>
    <w:rsid w:val="00344FE8"/>
    <w:rsid w:val="0034663D"/>
    <w:rsid w:val="00347019"/>
    <w:rsid w:val="00350112"/>
    <w:rsid w:val="003536D5"/>
    <w:rsid w:val="00353B26"/>
    <w:rsid w:val="00360024"/>
    <w:rsid w:val="00362F55"/>
    <w:rsid w:val="00374305"/>
    <w:rsid w:val="00390662"/>
    <w:rsid w:val="00391B4B"/>
    <w:rsid w:val="00393D2A"/>
    <w:rsid w:val="003A0591"/>
    <w:rsid w:val="003A0C38"/>
    <w:rsid w:val="003A6DAD"/>
    <w:rsid w:val="003A757F"/>
    <w:rsid w:val="003B098A"/>
    <w:rsid w:val="003B1731"/>
    <w:rsid w:val="003B3D5C"/>
    <w:rsid w:val="003C11E2"/>
    <w:rsid w:val="003C16B9"/>
    <w:rsid w:val="003C398C"/>
    <w:rsid w:val="003C3E89"/>
    <w:rsid w:val="003D0753"/>
    <w:rsid w:val="003D16D3"/>
    <w:rsid w:val="003D191E"/>
    <w:rsid w:val="003D3E24"/>
    <w:rsid w:val="003D4458"/>
    <w:rsid w:val="003E1169"/>
    <w:rsid w:val="003E271A"/>
    <w:rsid w:val="003F2878"/>
    <w:rsid w:val="003F6498"/>
    <w:rsid w:val="0041280E"/>
    <w:rsid w:val="00414185"/>
    <w:rsid w:val="00416988"/>
    <w:rsid w:val="00421E25"/>
    <w:rsid w:val="00436C2C"/>
    <w:rsid w:val="0044340D"/>
    <w:rsid w:val="0044762C"/>
    <w:rsid w:val="00447AED"/>
    <w:rsid w:val="004507DE"/>
    <w:rsid w:val="00454986"/>
    <w:rsid w:val="004550BF"/>
    <w:rsid w:val="00461A3C"/>
    <w:rsid w:val="00461D5E"/>
    <w:rsid w:val="004632E4"/>
    <w:rsid w:val="0047068B"/>
    <w:rsid w:val="00471D87"/>
    <w:rsid w:val="00473875"/>
    <w:rsid w:val="00476C9E"/>
    <w:rsid w:val="00477ACB"/>
    <w:rsid w:val="00483731"/>
    <w:rsid w:val="004852DE"/>
    <w:rsid w:val="004859B2"/>
    <w:rsid w:val="00487C24"/>
    <w:rsid w:val="00492DA7"/>
    <w:rsid w:val="004940A8"/>
    <w:rsid w:val="00497C0B"/>
    <w:rsid w:val="004A235C"/>
    <w:rsid w:val="004A4484"/>
    <w:rsid w:val="004A6CAC"/>
    <w:rsid w:val="004B02B4"/>
    <w:rsid w:val="004B031E"/>
    <w:rsid w:val="004B6148"/>
    <w:rsid w:val="004B6770"/>
    <w:rsid w:val="004C2A4B"/>
    <w:rsid w:val="004C3452"/>
    <w:rsid w:val="004C4D9D"/>
    <w:rsid w:val="004C70B1"/>
    <w:rsid w:val="004D1795"/>
    <w:rsid w:val="004D1D43"/>
    <w:rsid w:val="004D64A2"/>
    <w:rsid w:val="004D685B"/>
    <w:rsid w:val="004E3346"/>
    <w:rsid w:val="004E459D"/>
    <w:rsid w:val="004F42F9"/>
    <w:rsid w:val="004F4F42"/>
    <w:rsid w:val="004F57F8"/>
    <w:rsid w:val="00503C44"/>
    <w:rsid w:val="005047D5"/>
    <w:rsid w:val="00504C3E"/>
    <w:rsid w:val="00505372"/>
    <w:rsid w:val="00506738"/>
    <w:rsid w:val="005132AB"/>
    <w:rsid w:val="00514497"/>
    <w:rsid w:val="00522D3F"/>
    <w:rsid w:val="00525B98"/>
    <w:rsid w:val="005334DC"/>
    <w:rsid w:val="005359BA"/>
    <w:rsid w:val="005378C3"/>
    <w:rsid w:val="005408C6"/>
    <w:rsid w:val="005504D9"/>
    <w:rsid w:val="00551B1A"/>
    <w:rsid w:val="005547E8"/>
    <w:rsid w:val="00564CAA"/>
    <w:rsid w:val="00565220"/>
    <w:rsid w:val="00570B00"/>
    <w:rsid w:val="00570CB2"/>
    <w:rsid w:val="005719E1"/>
    <w:rsid w:val="00571DF9"/>
    <w:rsid w:val="00572792"/>
    <w:rsid w:val="005739FC"/>
    <w:rsid w:val="00580F2E"/>
    <w:rsid w:val="00582ECE"/>
    <w:rsid w:val="00585692"/>
    <w:rsid w:val="005857DD"/>
    <w:rsid w:val="00586609"/>
    <w:rsid w:val="00587A8F"/>
    <w:rsid w:val="00592428"/>
    <w:rsid w:val="00592990"/>
    <w:rsid w:val="00593271"/>
    <w:rsid w:val="005962CA"/>
    <w:rsid w:val="00596D67"/>
    <w:rsid w:val="005A042B"/>
    <w:rsid w:val="005A0695"/>
    <w:rsid w:val="005A07DC"/>
    <w:rsid w:val="005A1A70"/>
    <w:rsid w:val="005A5469"/>
    <w:rsid w:val="005A749E"/>
    <w:rsid w:val="005B3A38"/>
    <w:rsid w:val="005B46BC"/>
    <w:rsid w:val="005B71F0"/>
    <w:rsid w:val="005C093B"/>
    <w:rsid w:val="005C5936"/>
    <w:rsid w:val="005D0B28"/>
    <w:rsid w:val="005D423D"/>
    <w:rsid w:val="005D44CE"/>
    <w:rsid w:val="005E2DFB"/>
    <w:rsid w:val="005F27B8"/>
    <w:rsid w:val="0060207C"/>
    <w:rsid w:val="00602CA9"/>
    <w:rsid w:val="00612ECD"/>
    <w:rsid w:val="00613947"/>
    <w:rsid w:val="0061601A"/>
    <w:rsid w:val="00621E38"/>
    <w:rsid w:val="00630D00"/>
    <w:rsid w:val="006400CC"/>
    <w:rsid w:val="00641212"/>
    <w:rsid w:val="0064137A"/>
    <w:rsid w:val="00642B13"/>
    <w:rsid w:val="00644D74"/>
    <w:rsid w:val="00645415"/>
    <w:rsid w:val="00650EAB"/>
    <w:rsid w:val="006511C6"/>
    <w:rsid w:val="0065341E"/>
    <w:rsid w:val="006536AB"/>
    <w:rsid w:val="00653B60"/>
    <w:rsid w:val="006543C1"/>
    <w:rsid w:val="00655B1A"/>
    <w:rsid w:val="00663557"/>
    <w:rsid w:val="006670C2"/>
    <w:rsid w:val="00667F89"/>
    <w:rsid w:val="00675E1F"/>
    <w:rsid w:val="00687F31"/>
    <w:rsid w:val="00691B21"/>
    <w:rsid w:val="006925C6"/>
    <w:rsid w:val="00695D3A"/>
    <w:rsid w:val="006971A9"/>
    <w:rsid w:val="006A32CE"/>
    <w:rsid w:val="006A575D"/>
    <w:rsid w:val="006A74AF"/>
    <w:rsid w:val="006A788E"/>
    <w:rsid w:val="006B4770"/>
    <w:rsid w:val="006B4B58"/>
    <w:rsid w:val="006B58A9"/>
    <w:rsid w:val="006C22CB"/>
    <w:rsid w:val="006C4CD5"/>
    <w:rsid w:val="006C528F"/>
    <w:rsid w:val="006D1460"/>
    <w:rsid w:val="006D2D02"/>
    <w:rsid w:val="006D3327"/>
    <w:rsid w:val="006D56AA"/>
    <w:rsid w:val="006E0666"/>
    <w:rsid w:val="006E163B"/>
    <w:rsid w:val="006E6022"/>
    <w:rsid w:val="006F00D4"/>
    <w:rsid w:val="006F0374"/>
    <w:rsid w:val="006F3F8A"/>
    <w:rsid w:val="006F474D"/>
    <w:rsid w:val="006F4AF1"/>
    <w:rsid w:val="006F5892"/>
    <w:rsid w:val="006F7FCC"/>
    <w:rsid w:val="00701DDB"/>
    <w:rsid w:val="00702B9B"/>
    <w:rsid w:val="00703187"/>
    <w:rsid w:val="00703B51"/>
    <w:rsid w:val="00703BCE"/>
    <w:rsid w:val="007055C8"/>
    <w:rsid w:val="00712158"/>
    <w:rsid w:val="007163F8"/>
    <w:rsid w:val="00717009"/>
    <w:rsid w:val="00724234"/>
    <w:rsid w:val="0073779B"/>
    <w:rsid w:val="00737F78"/>
    <w:rsid w:val="00740A53"/>
    <w:rsid w:val="00741BF2"/>
    <w:rsid w:val="0074625D"/>
    <w:rsid w:val="0074646A"/>
    <w:rsid w:val="00750271"/>
    <w:rsid w:val="00750FC0"/>
    <w:rsid w:val="00761B13"/>
    <w:rsid w:val="00767AE2"/>
    <w:rsid w:val="00770AD2"/>
    <w:rsid w:val="007712ED"/>
    <w:rsid w:val="00777782"/>
    <w:rsid w:val="007819B4"/>
    <w:rsid w:val="00784306"/>
    <w:rsid w:val="007849E9"/>
    <w:rsid w:val="00786D6C"/>
    <w:rsid w:val="00791DB2"/>
    <w:rsid w:val="007930F0"/>
    <w:rsid w:val="0079487B"/>
    <w:rsid w:val="00796006"/>
    <w:rsid w:val="00796C40"/>
    <w:rsid w:val="007A219F"/>
    <w:rsid w:val="007A3B99"/>
    <w:rsid w:val="007A6B6C"/>
    <w:rsid w:val="007A732B"/>
    <w:rsid w:val="007A7925"/>
    <w:rsid w:val="007A7BD6"/>
    <w:rsid w:val="007C0190"/>
    <w:rsid w:val="007C0573"/>
    <w:rsid w:val="007C08FF"/>
    <w:rsid w:val="007C41CC"/>
    <w:rsid w:val="007C4416"/>
    <w:rsid w:val="007C762A"/>
    <w:rsid w:val="007D1D6C"/>
    <w:rsid w:val="007D2476"/>
    <w:rsid w:val="007D384B"/>
    <w:rsid w:val="007D7E8F"/>
    <w:rsid w:val="007E1F56"/>
    <w:rsid w:val="007E2AC6"/>
    <w:rsid w:val="007E3F55"/>
    <w:rsid w:val="007E407A"/>
    <w:rsid w:val="007E5BB5"/>
    <w:rsid w:val="007F4757"/>
    <w:rsid w:val="007F5C22"/>
    <w:rsid w:val="007F740E"/>
    <w:rsid w:val="00802E94"/>
    <w:rsid w:val="0082115E"/>
    <w:rsid w:val="0082674E"/>
    <w:rsid w:val="008319E3"/>
    <w:rsid w:val="00835396"/>
    <w:rsid w:val="00843CF0"/>
    <w:rsid w:val="00843D67"/>
    <w:rsid w:val="00847EA8"/>
    <w:rsid w:val="00850589"/>
    <w:rsid w:val="00850E35"/>
    <w:rsid w:val="008524B9"/>
    <w:rsid w:val="00854807"/>
    <w:rsid w:val="00860A42"/>
    <w:rsid w:val="00860C68"/>
    <w:rsid w:val="00861006"/>
    <w:rsid w:val="00861AFF"/>
    <w:rsid w:val="00863948"/>
    <w:rsid w:val="00864FDC"/>
    <w:rsid w:val="00865F35"/>
    <w:rsid w:val="00865F65"/>
    <w:rsid w:val="0087105A"/>
    <w:rsid w:val="0087419C"/>
    <w:rsid w:val="00877A94"/>
    <w:rsid w:val="0088238E"/>
    <w:rsid w:val="00887969"/>
    <w:rsid w:val="008914E1"/>
    <w:rsid w:val="008914E9"/>
    <w:rsid w:val="00891CDD"/>
    <w:rsid w:val="0089455A"/>
    <w:rsid w:val="00895331"/>
    <w:rsid w:val="008B0527"/>
    <w:rsid w:val="008B1606"/>
    <w:rsid w:val="008B1ABE"/>
    <w:rsid w:val="008B1FA7"/>
    <w:rsid w:val="008B46B4"/>
    <w:rsid w:val="008C2D6A"/>
    <w:rsid w:val="008C7D2E"/>
    <w:rsid w:val="008D0AAF"/>
    <w:rsid w:val="008D1D3A"/>
    <w:rsid w:val="008D257B"/>
    <w:rsid w:val="008D444A"/>
    <w:rsid w:val="008D66C8"/>
    <w:rsid w:val="008D66CA"/>
    <w:rsid w:val="008E1B33"/>
    <w:rsid w:val="008E5E7D"/>
    <w:rsid w:val="008E5F06"/>
    <w:rsid w:val="008F0B56"/>
    <w:rsid w:val="008F673F"/>
    <w:rsid w:val="00902DFE"/>
    <w:rsid w:val="00902E3C"/>
    <w:rsid w:val="00910F11"/>
    <w:rsid w:val="00912308"/>
    <w:rsid w:val="00925E91"/>
    <w:rsid w:val="0092607A"/>
    <w:rsid w:val="009267CC"/>
    <w:rsid w:val="00930E19"/>
    <w:rsid w:val="00931C52"/>
    <w:rsid w:val="00933639"/>
    <w:rsid w:val="00941055"/>
    <w:rsid w:val="009422DB"/>
    <w:rsid w:val="009455D9"/>
    <w:rsid w:val="00963A19"/>
    <w:rsid w:val="00964249"/>
    <w:rsid w:val="00964ED2"/>
    <w:rsid w:val="009812EC"/>
    <w:rsid w:val="009820AB"/>
    <w:rsid w:val="009863C1"/>
    <w:rsid w:val="00991118"/>
    <w:rsid w:val="00997941"/>
    <w:rsid w:val="009A086C"/>
    <w:rsid w:val="009A14C1"/>
    <w:rsid w:val="009B2368"/>
    <w:rsid w:val="009B75BF"/>
    <w:rsid w:val="009C2132"/>
    <w:rsid w:val="009C3E60"/>
    <w:rsid w:val="009C6EDA"/>
    <w:rsid w:val="009C770A"/>
    <w:rsid w:val="009D35AA"/>
    <w:rsid w:val="009D3B9D"/>
    <w:rsid w:val="009D68C7"/>
    <w:rsid w:val="009D7FD6"/>
    <w:rsid w:val="009E15CE"/>
    <w:rsid w:val="009E3AA3"/>
    <w:rsid w:val="009E7183"/>
    <w:rsid w:val="009E7A65"/>
    <w:rsid w:val="009E7FDC"/>
    <w:rsid w:val="009F77F4"/>
    <w:rsid w:val="00A15894"/>
    <w:rsid w:val="00A1674E"/>
    <w:rsid w:val="00A20C40"/>
    <w:rsid w:val="00A226DB"/>
    <w:rsid w:val="00A31D21"/>
    <w:rsid w:val="00A4150E"/>
    <w:rsid w:val="00A436F7"/>
    <w:rsid w:val="00A55979"/>
    <w:rsid w:val="00A55B51"/>
    <w:rsid w:val="00A562A3"/>
    <w:rsid w:val="00A5698E"/>
    <w:rsid w:val="00A61DF9"/>
    <w:rsid w:val="00A62E17"/>
    <w:rsid w:val="00A7167E"/>
    <w:rsid w:val="00A72067"/>
    <w:rsid w:val="00A805CC"/>
    <w:rsid w:val="00A8216D"/>
    <w:rsid w:val="00A9000A"/>
    <w:rsid w:val="00A970F6"/>
    <w:rsid w:val="00AA48ED"/>
    <w:rsid w:val="00AA5355"/>
    <w:rsid w:val="00AA5592"/>
    <w:rsid w:val="00AA5E91"/>
    <w:rsid w:val="00AA5FBB"/>
    <w:rsid w:val="00AA6069"/>
    <w:rsid w:val="00AA75A6"/>
    <w:rsid w:val="00AB0832"/>
    <w:rsid w:val="00AB2563"/>
    <w:rsid w:val="00AB2A54"/>
    <w:rsid w:val="00AB2CAE"/>
    <w:rsid w:val="00AC1F12"/>
    <w:rsid w:val="00AD01B5"/>
    <w:rsid w:val="00AD037C"/>
    <w:rsid w:val="00AD045E"/>
    <w:rsid w:val="00AD17F4"/>
    <w:rsid w:val="00AD3185"/>
    <w:rsid w:val="00AD4D60"/>
    <w:rsid w:val="00AD56DB"/>
    <w:rsid w:val="00AD6D16"/>
    <w:rsid w:val="00AD73EA"/>
    <w:rsid w:val="00AD75D4"/>
    <w:rsid w:val="00AE1B19"/>
    <w:rsid w:val="00AE4014"/>
    <w:rsid w:val="00AE4C1F"/>
    <w:rsid w:val="00AE525A"/>
    <w:rsid w:val="00AF0332"/>
    <w:rsid w:val="00AF3239"/>
    <w:rsid w:val="00AF4097"/>
    <w:rsid w:val="00AF7174"/>
    <w:rsid w:val="00B055BF"/>
    <w:rsid w:val="00B1164C"/>
    <w:rsid w:val="00B14753"/>
    <w:rsid w:val="00B1509E"/>
    <w:rsid w:val="00B1732A"/>
    <w:rsid w:val="00B200F9"/>
    <w:rsid w:val="00B25EA3"/>
    <w:rsid w:val="00B27840"/>
    <w:rsid w:val="00B34C5B"/>
    <w:rsid w:val="00B46972"/>
    <w:rsid w:val="00B47325"/>
    <w:rsid w:val="00B54148"/>
    <w:rsid w:val="00B555F9"/>
    <w:rsid w:val="00B67AF8"/>
    <w:rsid w:val="00B67F9E"/>
    <w:rsid w:val="00B7024C"/>
    <w:rsid w:val="00B72173"/>
    <w:rsid w:val="00B7282A"/>
    <w:rsid w:val="00B7432F"/>
    <w:rsid w:val="00B8225D"/>
    <w:rsid w:val="00B93CF4"/>
    <w:rsid w:val="00B94A9B"/>
    <w:rsid w:val="00B96BE7"/>
    <w:rsid w:val="00BA498C"/>
    <w:rsid w:val="00BA4A68"/>
    <w:rsid w:val="00BA5F71"/>
    <w:rsid w:val="00BA6BD5"/>
    <w:rsid w:val="00BB35A3"/>
    <w:rsid w:val="00BB5B08"/>
    <w:rsid w:val="00BC1653"/>
    <w:rsid w:val="00BC5054"/>
    <w:rsid w:val="00BC5B2F"/>
    <w:rsid w:val="00BC5C7A"/>
    <w:rsid w:val="00BC5FD0"/>
    <w:rsid w:val="00BC7BFD"/>
    <w:rsid w:val="00BD1C54"/>
    <w:rsid w:val="00BD31DE"/>
    <w:rsid w:val="00BD4223"/>
    <w:rsid w:val="00BD7512"/>
    <w:rsid w:val="00BE024B"/>
    <w:rsid w:val="00BE03AC"/>
    <w:rsid w:val="00BE147A"/>
    <w:rsid w:val="00BE2214"/>
    <w:rsid w:val="00BE2333"/>
    <w:rsid w:val="00BE36FE"/>
    <w:rsid w:val="00BF0149"/>
    <w:rsid w:val="00BF0E29"/>
    <w:rsid w:val="00BF2714"/>
    <w:rsid w:val="00BF3D4A"/>
    <w:rsid w:val="00BF42F5"/>
    <w:rsid w:val="00BF464F"/>
    <w:rsid w:val="00BF5331"/>
    <w:rsid w:val="00BF6870"/>
    <w:rsid w:val="00C04CEA"/>
    <w:rsid w:val="00C079B8"/>
    <w:rsid w:val="00C1093B"/>
    <w:rsid w:val="00C10B9F"/>
    <w:rsid w:val="00C10F6F"/>
    <w:rsid w:val="00C1177D"/>
    <w:rsid w:val="00C12511"/>
    <w:rsid w:val="00C15D0F"/>
    <w:rsid w:val="00C16343"/>
    <w:rsid w:val="00C167C2"/>
    <w:rsid w:val="00C174D7"/>
    <w:rsid w:val="00C17B00"/>
    <w:rsid w:val="00C17D22"/>
    <w:rsid w:val="00C2139A"/>
    <w:rsid w:val="00C239A6"/>
    <w:rsid w:val="00C2549D"/>
    <w:rsid w:val="00C262F7"/>
    <w:rsid w:val="00C31190"/>
    <w:rsid w:val="00C314A2"/>
    <w:rsid w:val="00C3554D"/>
    <w:rsid w:val="00C36494"/>
    <w:rsid w:val="00C367FB"/>
    <w:rsid w:val="00C41A74"/>
    <w:rsid w:val="00C4226B"/>
    <w:rsid w:val="00C43254"/>
    <w:rsid w:val="00C45E30"/>
    <w:rsid w:val="00C47951"/>
    <w:rsid w:val="00C51D2A"/>
    <w:rsid w:val="00C52B82"/>
    <w:rsid w:val="00C5365D"/>
    <w:rsid w:val="00C53BC1"/>
    <w:rsid w:val="00C55E5A"/>
    <w:rsid w:val="00C7070C"/>
    <w:rsid w:val="00C71DAA"/>
    <w:rsid w:val="00C7647A"/>
    <w:rsid w:val="00C77036"/>
    <w:rsid w:val="00C820E8"/>
    <w:rsid w:val="00C824F4"/>
    <w:rsid w:val="00C957C1"/>
    <w:rsid w:val="00C9641C"/>
    <w:rsid w:val="00CB218D"/>
    <w:rsid w:val="00CB405A"/>
    <w:rsid w:val="00CB4498"/>
    <w:rsid w:val="00CB7558"/>
    <w:rsid w:val="00CC0161"/>
    <w:rsid w:val="00CC0221"/>
    <w:rsid w:val="00CC2099"/>
    <w:rsid w:val="00CC5688"/>
    <w:rsid w:val="00CC5ED4"/>
    <w:rsid w:val="00CD120B"/>
    <w:rsid w:val="00CD43BF"/>
    <w:rsid w:val="00CD7A48"/>
    <w:rsid w:val="00CE0DA2"/>
    <w:rsid w:val="00CE10DF"/>
    <w:rsid w:val="00CE1F21"/>
    <w:rsid w:val="00CE5BA2"/>
    <w:rsid w:val="00CE7457"/>
    <w:rsid w:val="00CE7FF6"/>
    <w:rsid w:val="00CF0AC8"/>
    <w:rsid w:val="00CF272F"/>
    <w:rsid w:val="00CF2B83"/>
    <w:rsid w:val="00CF3795"/>
    <w:rsid w:val="00CF4518"/>
    <w:rsid w:val="00CF5545"/>
    <w:rsid w:val="00CF6FBE"/>
    <w:rsid w:val="00D013CA"/>
    <w:rsid w:val="00D02529"/>
    <w:rsid w:val="00D02B1C"/>
    <w:rsid w:val="00D0382F"/>
    <w:rsid w:val="00D05D87"/>
    <w:rsid w:val="00D065EC"/>
    <w:rsid w:val="00D06A5E"/>
    <w:rsid w:val="00D12B2E"/>
    <w:rsid w:val="00D1306F"/>
    <w:rsid w:val="00D1483B"/>
    <w:rsid w:val="00D2137B"/>
    <w:rsid w:val="00D22EF8"/>
    <w:rsid w:val="00D24AE2"/>
    <w:rsid w:val="00D30893"/>
    <w:rsid w:val="00D3703C"/>
    <w:rsid w:val="00D443B8"/>
    <w:rsid w:val="00D469A3"/>
    <w:rsid w:val="00D530CF"/>
    <w:rsid w:val="00D57047"/>
    <w:rsid w:val="00D577F5"/>
    <w:rsid w:val="00D608F6"/>
    <w:rsid w:val="00D653FD"/>
    <w:rsid w:val="00D77F5C"/>
    <w:rsid w:val="00D8367C"/>
    <w:rsid w:val="00D87B3F"/>
    <w:rsid w:val="00D91979"/>
    <w:rsid w:val="00D94276"/>
    <w:rsid w:val="00D97BF4"/>
    <w:rsid w:val="00DA2367"/>
    <w:rsid w:val="00DA4A5B"/>
    <w:rsid w:val="00DA7149"/>
    <w:rsid w:val="00DB38D4"/>
    <w:rsid w:val="00DB7A98"/>
    <w:rsid w:val="00DC07A1"/>
    <w:rsid w:val="00DC4135"/>
    <w:rsid w:val="00DC5346"/>
    <w:rsid w:val="00DC5C44"/>
    <w:rsid w:val="00DC6E57"/>
    <w:rsid w:val="00DD05A2"/>
    <w:rsid w:val="00DD06AF"/>
    <w:rsid w:val="00DD073C"/>
    <w:rsid w:val="00DD4D13"/>
    <w:rsid w:val="00DE07B2"/>
    <w:rsid w:val="00DE137A"/>
    <w:rsid w:val="00DE36B5"/>
    <w:rsid w:val="00DE3745"/>
    <w:rsid w:val="00DE479D"/>
    <w:rsid w:val="00DF3A23"/>
    <w:rsid w:val="00DF4264"/>
    <w:rsid w:val="00E0113A"/>
    <w:rsid w:val="00E1082A"/>
    <w:rsid w:val="00E12274"/>
    <w:rsid w:val="00E1257E"/>
    <w:rsid w:val="00E1461F"/>
    <w:rsid w:val="00E17418"/>
    <w:rsid w:val="00E1756A"/>
    <w:rsid w:val="00E20105"/>
    <w:rsid w:val="00E22621"/>
    <w:rsid w:val="00E27201"/>
    <w:rsid w:val="00E3073B"/>
    <w:rsid w:val="00E353D8"/>
    <w:rsid w:val="00E44A1C"/>
    <w:rsid w:val="00E46861"/>
    <w:rsid w:val="00E47A56"/>
    <w:rsid w:val="00E562E9"/>
    <w:rsid w:val="00E56551"/>
    <w:rsid w:val="00E60A91"/>
    <w:rsid w:val="00E633D2"/>
    <w:rsid w:val="00E64D4E"/>
    <w:rsid w:val="00E773AF"/>
    <w:rsid w:val="00E95968"/>
    <w:rsid w:val="00E97F02"/>
    <w:rsid w:val="00EA0142"/>
    <w:rsid w:val="00EA1F95"/>
    <w:rsid w:val="00EA1FAB"/>
    <w:rsid w:val="00EA2D89"/>
    <w:rsid w:val="00EA589E"/>
    <w:rsid w:val="00EB3707"/>
    <w:rsid w:val="00EB421B"/>
    <w:rsid w:val="00EB45C9"/>
    <w:rsid w:val="00EB5156"/>
    <w:rsid w:val="00EB6797"/>
    <w:rsid w:val="00EB7DFD"/>
    <w:rsid w:val="00EC0B2B"/>
    <w:rsid w:val="00EC1929"/>
    <w:rsid w:val="00EC256E"/>
    <w:rsid w:val="00EC3D88"/>
    <w:rsid w:val="00EC3DA2"/>
    <w:rsid w:val="00ED4768"/>
    <w:rsid w:val="00ED5806"/>
    <w:rsid w:val="00ED7839"/>
    <w:rsid w:val="00EE2A54"/>
    <w:rsid w:val="00EE4BF5"/>
    <w:rsid w:val="00EF10E1"/>
    <w:rsid w:val="00EF267A"/>
    <w:rsid w:val="00EF2A1F"/>
    <w:rsid w:val="00EF5CDD"/>
    <w:rsid w:val="00EF76BE"/>
    <w:rsid w:val="00F0720C"/>
    <w:rsid w:val="00F07D6A"/>
    <w:rsid w:val="00F102AE"/>
    <w:rsid w:val="00F119F4"/>
    <w:rsid w:val="00F135F0"/>
    <w:rsid w:val="00F15849"/>
    <w:rsid w:val="00F168A4"/>
    <w:rsid w:val="00F20952"/>
    <w:rsid w:val="00F24AB7"/>
    <w:rsid w:val="00F256BE"/>
    <w:rsid w:val="00F26F51"/>
    <w:rsid w:val="00F30A43"/>
    <w:rsid w:val="00F31147"/>
    <w:rsid w:val="00F33F21"/>
    <w:rsid w:val="00F3689B"/>
    <w:rsid w:val="00F37506"/>
    <w:rsid w:val="00F40287"/>
    <w:rsid w:val="00F43E44"/>
    <w:rsid w:val="00F444E4"/>
    <w:rsid w:val="00F47022"/>
    <w:rsid w:val="00F5339C"/>
    <w:rsid w:val="00F56D15"/>
    <w:rsid w:val="00F56F9C"/>
    <w:rsid w:val="00F745AF"/>
    <w:rsid w:val="00F74E0D"/>
    <w:rsid w:val="00F7508A"/>
    <w:rsid w:val="00F810BA"/>
    <w:rsid w:val="00F81B54"/>
    <w:rsid w:val="00F81DDF"/>
    <w:rsid w:val="00F821D2"/>
    <w:rsid w:val="00F82CAD"/>
    <w:rsid w:val="00F9204B"/>
    <w:rsid w:val="00F93B01"/>
    <w:rsid w:val="00F94B65"/>
    <w:rsid w:val="00FA2713"/>
    <w:rsid w:val="00FB06F6"/>
    <w:rsid w:val="00FB4C72"/>
    <w:rsid w:val="00FD2A53"/>
    <w:rsid w:val="00FD47EA"/>
    <w:rsid w:val="00FD51A2"/>
    <w:rsid w:val="00FD656F"/>
    <w:rsid w:val="00FD7CDC"/>
    <w:rsid w:val="00FE0789"/>
    <w:rsid w:val="00FE092F"/>
    <w:rsid w:val="00FE0AB4"/>
    <w:rsid w:val="00FE0BD1"/>
    <w:rsid w:val="00FE1307"/>
    <w:rsid w:val="00FE54FB"/>
    <w:rsid w:val="00FF0721"/>
    <w:rsid w:val="00FF145A"/>
    <w:rsid w:val="00FF484D"/>
    <w:rsid w:val="00FF71CE"/>
    <w:rsid w:val="00FF74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611BC5"/>
  <w15:chartTrackingRefBased/>
  <w15:docId w15:val="{C916BA75-E0C6-48B2-8AC5-FC4778A2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559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Ü3"/>
    <w:basedOn w:val="Heading2"/>
    <w:next w:val="Normal"/>
    <w:link w:val="Heading3Char"/>
    <w:uiPriority w:val="2"/>
    <w:unhideWhenUsed/>
    <w:qFormat/>
    <w:rsid w:val="00A55979"/>
    <w:pPr>
      <w:keepLines w:val="0"/>
      <w:spacing w:before="240" w:after="80" w:line="300" w:lineRule="auto"/>
      <w:outlineLvl w:val="2"/>
    </w:pPr>
    <w:rPr>
      <w:rFonts w:eastAsiaTheme="minorEastAsia" w:cstheme="minorBidi"/>
      <w:b/>
      <w:bCs/>
      <w:color w:val="auto"/>
      <w:sz w:val="25"/>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C7070C"/>
    <w:rPr>
      <w:color w:val="0000FF"/>
      <w:shd w:val="clear" w:color="auto" w:fill="auto"/>
    </w:rPr>
  </w:style>
  <w:style w:type="paragraph" w:styleId="Header">
    <w:name w:val="header"/>
    <w:basedOn w:val="Normal"/>
    <w:link w:val="HeaderChar"/>
    <w:uiPriority w:val="99"/>
    <w:unhideWhenUsed/>
    <w:rsid w:val="00C70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70C"/>
  </w:style>
  <w:style w:type="paragraph" w:styleId="Footer">
    <w:name w:val="footer"/>
    <w:basedOn w:val="Normal"/>
    <w:link w:val="FooterChar"/>
    <w:uiPriority w:val="99"/>
    <w:unhideWhenUsed/>
    <w:rsid w:val="00C70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70C"/>
  </w:style>
  <w:style w:type="paragraph" w:customStyle="1" w:styleId="Pagedecouverture">
    <w:name w:val="Page de couverture"/>
    <w:basedOn w:val="Normal"/>
    <w:next w:val="Normal"/>
    <w:rsid w:val="00C7070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C7070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C7070C"/>
    <w:rPr>
      <w:rFonts w:ascii="Times New Roman" w:hAnsi="Times New Roman" w:cs="Times New Roman"/>
      <w:sz w:val="24"/>
    </w:rPr>
  </w:style>
  <w:style w:type="paragraph" w:customStyle="1" w:styleId="FooterSensitivity">
    <w:name w:val="Footer Sensitivity"/>
    <w:basedOn w:val="Normal"/>
    <w:link w:val="FooterSensitivityChar"/>
    <w:rsid w:val="00C7070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C7070C"/>
    <w:rPr>
      <w:rFonts w:ascii="Times New Roman" w:hAnsi="Times New Roman" w:cs="Times New Roman"/>
      <w:b/>
      <w:sz w:val="32"/>
    </w:rPr>
  </w:style>
  <w:style w:type="paragraph" w:customStyle="1" w:styleId="HeaderCoverPage">
    <w:name w:val="Header Cover Page"/>
    <w:basedOn w:val="Normal"/>
    <w:link w:val="HeaderCoverPageChar"/>
    <w:rsid w:val="00C7070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C7070C"/>
    <w:rPr>
      <w:rFonts w:ascii="Times New Roman" w:hAnsi="Times New Roman" w:cs="Times New Roman"/>
      <w:sz w:val="24"/>
    </w:rPr>
  </w:style>
  <w:style w:type="paragraph" w:customStyle="1" w:styleId="HeaderSensitivity">
    <w:name w:val="Header Sensitivity"/>
    <w:basedOn w:val="Normal"/>
    <w:link w:val="HeaderSensitivityChar"/>
    <w:rsid w:val="00C7070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C7070C"/>
    <w:rPr>
      <w:rFonts w:ascii="Times New Roman" w:hAnsi="Times New Roman" w:cs="Times New Roman"/>
      <w:b/>
      <w:sz w:val="32"/>
    </w:rPr>
  </w:style>
  <w:style w:type="paragraph" w:customStyle="1" w:styleId="HeaderSensitivityRight">
    <w:name w:val="Header Sensitivity Right"/>
    <w:basedOn w:val="Normal"/>
    <w:link w:val="HeaderSensitivityRightChar"/>
    <w:rsid w:val="00C7070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C7070C"/>
    <w:rPr>
      <w:rFonts w:ascii="Times New Roman" w:hAnsi="Times New Roman" w:cs="Times New Roman"/>
      <w:sz w:val="28"/>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lp1"/>
    <w:basedOn w:val="Normal"/>
    <w:link w:val="ListParagraphChar"/>
    <w:uiPriority w:val="34"/>
    <w:qFormat/>
    <w:rsid w:val="00912308"/>
    <w:pPr>
      <w:spacing w:after="0"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L Char"/>
    <w:link w:val="ListParagraph"/>
    <w:uiPriority w:val="34"/>
    <w:qFormat/>
    <w:locked/>
    <w:rsid w:val="00912308"/>
    <w:rPr>
      <w:rFonts w:ascii="Times New Roman" w:eastAsia="Times New Roman" w:hAnsi="Times New Roman" w:cs="Times New Roman"/>
      <w:sz w:val="24"/>
      <w:szCs w:val="24"/>
      <w:lang w:val="es-ES" w:eastAsia="en-GB"/>
    </w:rPr>
  </w:style>
  <w:style w:type="paragraph" w:styleId="FootnoteText">
    <w:name w:val="footnote text"/>
    <w:aliases w:val="Schriftart: 9 pt,Schriftart: 10 pt,Schriftart: 8 pt,WB-Fußnotentext,fn,Footnotes,Footnote ak,Footnote text,Footnote Text Char1 Char,Footnote Text Char Char Char,Footnote Text Char2 Char Char Char,Plo,footnote text,Footnote Text Char2"/>
    <w:basedOn w:val="Normal"/>
    <w:link w:val="FootnoteTextChar"/>
    <w:uiPriority w:val="99"/>
    <w:unhideWhenUsed/>
    <w:qFormat/>
    <w:rsid w:val="009812EC"/>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tnote text Char,Footnote Text Char1 Char Char,Footnote Text Char Char Char Char,Plo Char"/>
    <w:basedOn w:val="DefaultParagraphFont"/>
    <w:link w:val="FootnoteText"/>
    <w:uiPriority w:val="99"/>
    <w:qFormat/>
    <w:rsid w:val="009812EC"/>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R11,F"/>
    <w:basedOn w:val="DefaultParagraphFont"/>
    <w:link w:val="Nota"/>
    <w:uiPriority w:val="99"/>
    <w:unhideWhenUsed/>
    <w:qFormat/>
    <w:rsid w:val="009812EC"/>
    <w:rPr>
      <w:vertAlign w:val="superscript"/>
    </w:rPr>
  </w:style>
  <w:style w:type="character" w:styleId="Hyperlink">
    <w:name w:val="Hyperlink"/>
    <w:basedOn w:val="DefaultParagraphFont"/>
    <w:uiPriority w:val="99"/>
    <w:unhideWhenUsed/>
    <w:rsid w:val="004E3346"/>
    <w:rPr>
      <w:color w:val="0000FF"/>
      <w:u w:val="single"/>
    </w:rPr>
  </w:style>
  <w:style w:type="character" w:customStyle="1" w:styleId="normaltextrun">
    <w:name w:val="normaltextrun"/>
    <w:basedOn w:val="DefaultParagraphFont"/>
    <w:rsid w:val="00BA6BD5"/>
  </w:style>
  <w:style w:type="character" w:styleId="CommentReference">
    <w:name w:val="annotation reference"/>
    <w:basedOn w:val="DefaultParagraphFont"/>
    <w:uiPriority w:val="99"/>
    <w:semiHidden/>
    <w:unhideWhenUsed/>
    <w:rsid w:val="0012024F"/>
    <w:rPr>
      <w:sz w:val="16"/>
      <w:szCs w:val="16"/>
    </w:rPr>
  </w:style>
  <w:style w:type="paragraph" w:styleId="CommentText">
    <w:name w:val="annotation text"/>
    <w:basedOn w:val="Normal"/>
    <w:link w:val="CommentTextChar"/>
    <w:uiPriority w:val="99"/>
    <w:unhideWhenUsed/>
    <w:rsid w:val="0012024F"/>
    <w:pPr>
      <w:spacing w:line="240" w:lineRule="auto"/>
    </w:pPr>
    <w:rPr>
      <w:sz w:val="20"/>
      <w:szCs w:val="20"/>
    </w:rPr>
  </w:style>
  <w:style w:type="character" w:customStyle="1" w:styleId="CommentTextChar">
    <w:name w:val="Comment Text Char"/>
    <w:basedOn w:val="DefaultParagraphFont"/>
    <w:link w:val="CommentText"/>
    <w:uiPriority w:val="99"/>
    <w:rsid w:val="0012024F"/>
    <w:rPr>
      <w:sz w:val="20"/>
      <w:szCs w:val="20"/>
    </w:rPr>
  </w:style>
  <w:style w:type="paragraph" w:styleId="CommentSubject">
    <w:name w:val="annotation subject"/>
    <w:basedOn w:val="CommentText"/>
    <w:next w:val="CommentText"/>
    <w:link w:val="CommentSubjectChar"/>
    <w:uiPriority w:val="99"/>
    <w:semiHidden/>
    <w:unhideWhenUsed/>
    <w:rsid w:val="0012024F"/>
    <w:rPr>
      <w:b/>
      <w:bCs/>
    </w:rPr>
  </w:style>
  <w:style w:type="character" w:customStyle="1" w:styleId="CommentSubjectChar">
    <w:name w:val="Comment Subject Char"/>
    <w:basedOn w:val="CommentTextChar"/>
    <w:link w:val="CommentSubject"/>
    <w:uiPriority w:val="99"/>
    <w:semiHidden/>
    <w:rsid w:val="0012024F"/>
    <w:rPr>
      <w:b/>
      <w:bCs/>
      <w:sz w:val="20"/>
      <w:szCs w:val="20"/>
    </w:rPr>
  </w:style>
  <w:style w:type="paragraph" w:styleId="BalloonText">
    <w:name w:val="Balloon Text"/>
    <w:basedOn w:val="Normal"/>
    <w:link w:val="BalloonTextChar"/>
    <w:uiPriority w:val="99"/>
    <w:semiHidden/>
    <w:unhideWhenUsed/>
    <w:rsid w:val="00120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24F"/>
    <w:rPr>
      <w:rFonts w:ascii="Segoe UI" w:hAnsi="Segoe UI" w:cs="Segoe UI"/>
      <w:sz w:val="18"/>
      <w:szCs w:val="18"/>
    </w:rPr>
  </w:style>
  <w:style w:type="character" w:styleId="FollowedHyperlink">
    <w:name w:val="FollowedHyperlink"/>
    <w:basedOn w:val="DefaultParagraphFont"/>
    <w:uiPriority w:val="99"/>
    <w:semiHidden/>
    <w:unhideWhenUsed/>
    <w:rsid w:val="00BF464F"/>
    <w:rPr>
      <w:color w:val="954F72" w:themeColor="followedHyperlink"/>
      <w:u w:val="single"/>
    </w:rPr>
  </w:style>
  <w:style w:type="character" w:customStyle="1" w:styleId="markedcontent">
    <w:name w:val="markedcontent"/>
    <w:basedOn w:val="DefaultParagraphFont"/>
    <w:rsid w:val="00592428"/>
  </w:style>
  <w:style w:type="paragraph" w:customStyle="1" w:styleId="Nota">
    <w:name w:val="Nota"/>
    <w:aliases w:val="Char1,(NECG) Footnote Reference,Appel note de bas de p,Style 6,Signature Ch"/>
    <w:basedOn w:val="Normal"/>
    <w:link w:val="FootnoteReference"/>
    <w:uiPriority w:val="99"/>
    <w:rsid w:val="00BA4A68"/>
    <w:pPr>
      <w:spacing w:line="240" w:lineRule="exact"/>
    </w:pPr>
    <w:rPr>
      <w:vertAlign w:val="superscript"/>
    </w:rPr>
  </w:style>
  <w:style w:type="paragraph" w:customStyle="1" w:styleId="Text1">
    <w:name w:val="Text 1"/>
    <w:basedOn w:val="Normal"/>
    <w:link w:val="Text1Char"/>
    <w:rsid w:val="00BA4A68"/>
    <w:pPr>
      <w:spacing w:after="240" w:line="240" w:lineRule="auto"/>
      <w:ind w:left="482"/>
      <w:jc w:val="both"/>
    </w:pPr>
    <w:rPr>
      <w:rFonts w:ascii="Times New Roman" w:eastAsia="Times New Roman" w:hAnsi="Times New Roman" w:cs="Times New Roman"/>
      <w:sz w:val="24"/>
      <w:szCs w:val="20"/>
    </w:rPr>
  </w:style>
  <w:style w:type="character" w:customStyle="1" w:styleId="Text1Char">
    <w:name w:val="Text 1 Char"/>
    <w:link w:val="Text1"/>
    <w:rsid w:val="00BA4A68"/>
    <w:rPr>
      <w:rFonts w:ascii="Times New Roman" w:eastAsia="Times New Roman" w:hAnsi="Times New Roman" w:cs="Times New Roman"/>
      <w:sz w:val="24"/>
      <w:szCs w:val="20"/>
      <w:lang w:val="es-ES"/>
    </w:rPr>
  </w:style>
  <w:style w:type="paragraph" w:styleId="NoSpacing">
    <w:name w:val="No Spacing"/>
    <w:basedOn w:val="Normal"/>
    <w:link w:val="NoSpacingChar"/>
    <w:qFormat/>
    <w:rsid w:val="00A55979"/>
    <w:pPr>
      <w:spacing w:after="0" w:line="300" w:lineRule="auto"/>
    </w:pPr>
    <w:rPr>
      <w:rFonts w:eastAsiaTheme="minorEastAsia"/>
      <w:sz w:val="24"/>
      <w:szCs w:val="24"/>
    </w:rPr>
  </w:style>
  <w:style w:type="character" w:customStyle="1" w:styleId="NoSpacingChar">
    <w:name w:val="No Spacing Char"/>
    <w:basedOn w:val="DefaultParagraphFont"/>
    <w:link w:val="NoSpacing"/>
    <w:rsid w:val="00A55979"/>
    <w:rPr>
      <w:rFonts w:eastAsiaTheme="minorEastAsia"/>
      <w:sz w:val="24"/>
      <w:szCs w:val="24"/>
      <w:lang w:val="es-ES"/>
    </w:rPr>
  </w:style>
  <w:style w:type="character" w:customStyle="1" w:styleId="Heading3Char">
    <w:name w:val="Heading 3 Char"/>
    <w:aliases w:val="Ü3 Char"/>
    <w:basedOn w:val="DefaultParagraphFont"/>
    <w:link w:val="Heading3"/>
    <w:uiPriority w:val="2"/>
    <w:rsid w:val="00A55979"/>
    <w:rPr>
      <w:rFonts w:asciiTheme="majorHAnsi" w:eastAsiaTheme="minorEastAsia" w:hAnsiTheme="majorHAnsi"/>
      <w:b/>
      <w:bCs/>
      <w:sz w:val="25"/>
      <w:lang w:val="es-ES"/>
    </w:rPr>
  </w:style>
  <w:style w:type="character" w:customStyle="1" w:styleId="Heading2Char">
    <w:name w:val="Heading 2 Char"/>
    <w:basedOn w:val="DefaultParagraphFont"/>
    <w:link w:val="Heading2"/>
    <w:uiPriority w:val="9"/>
    <w:semiHidden/>
    <w:rsid w:val="00A5597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7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08C6"/>
    <w:pPr>
      <w:spacing w:after="0" w:line="240" w:lineRule="auto"/>
    </w:pPr>
  </w:style>
  <w:style w:type="paragraph" w:styleId="NormalWeb">
    <w:name w:val="Normal (Web)"/>
    <w:basedOn w:val="Normal"/>
    <w:uiPriority w:val="99"/>
    <w:semiHidden/>
    <w:unhideWhenUsed/>
    <w:rsid w:val="0019258A"/>
    <w:pPr>
      <w:spacing w:before="100" w:beforeAutospacing="1" w:after="100" w:afterAutospacing="1" w:line="240" w:lineRule="auto"/>
    </w:pPr>
    <w:rPr>
      <w:rFonts w:ascii="Times New Roman" w:hAnsi="Times New Roman" w:cs="Times New Roman"/>
      <w:sz w:val="24"/>
      <w:szCs w:val="24"/>
      <w:lang w:eastAsia="en-IE"/>
    </w:rPr>
  </w:style>
  <w:style w:type="character" w:styleId="Strong">
    <w:name w:val="Strong"/>
    <w:basedOn w:val="DefaultParagraphFont"/>
    <w:uiPriority w:val="22"/>
    <w:qFormat/>
    <w:rsid w:val="0019258A"/>
    <w:rPr>
      <w:b/>
      <w:bCs/>
    </w:rPr>
  </w:style>
  <w:style w:type="character" w:customStyle="1" w:styleId="UnresolvedMention">
    <w:name w:val="Unresolved Mention"/>
    <w:basedOn w:val="DefaultParagraphFont"/>
    <w:uiPriority w:val="99"/>
    <w:semiHidden/>
    <w:unhideWhenUsed/>
    <w:rsid w:val="00114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78187">
      <w:bodyDiv w:val="1"/>
      <w:marLeft w:val="0"/>
      <w:marRight w:val="0"/>
      <w:marTop w:val="0"/>
      <w:marBottom w:val="0"/>
      <w:divBdr>
        <w:top w:val="none" w:sz="0" w:space="0" w:color="auto"/>
        <w:left w:val="none" w:sz="0" w:space="0" w:color="auto"/>
        <w:bottom w:val="none" w:sz="0" w:space="0" w:color="auto"/>
        <w:right w:val="none" w:sz="0" w:space="0" w:color="auto"/>
      </w:divBdr>
    </w:div>
    <w:div w:id="186215982">
      <w:bodyDiv w:val="1"/>
      <w:marLeft w:val="0"/>
      <w:marRight w:val="0"/>
      <w:marTop w:val="0"/>
      <w:marBottom w:val="0"/>
      <w:divBdr>
        <w:top w:val="none" w:sz="0" w:space="0" w:color="auto"/>
        <w:left w:val="none" w:sz="0" w:space="0" w:color="auto"/>
        <w:bottom w:val="none" w:sz="0" w:space="0" w:color="auto"/>
        <w:right w:val="none" w:sz="0" w:space="0" w:color="auto"/>
      </w:divBdr>
    </w:div>
    <w:div w:id="253591198">
      <w:bodyDiv w:val="1"/>
      <w:marLeft w:val="0"/>
      <w:marRight w:val="0"/>
      <w:marTop w:val="0"/>
      <w:marBottom w:val="0"/>
      <w:divBdr>
        <w:top w:val="none" w:sz="0" w:space="0" w:color="auto"/>
        <w:left w:val="none" w:sz="0" w:space="0" w:color="auto"/>
        <w:bottom w:val="none" w:sz="0" w:space="0" w:color="auto"/>
        <w:right w:val="none" w:sz="0" w:space="0" w:color="auto"/>
      </w:divBdr>
    </w:div>
    <w:div w:id="344326761">
      <w:bodyDiv w:val="1"/>
      <w:marLeft w:val="0"/>
      <w:marRight w:val="0"/>
      <w:marTop w:val="0"/>
      <w:marBottom w:val="0"/>
      <w:divBdr>
        <w:top w:val="none" w:sz="0" w:space="0" w:color="auto"/>
        <w:left w:val="none" w:sz="0" w:space="0" w:color="auto"/>
        <w:bottom w:val="none" w:sz="0" w:space="0" w:color="auto"/>
        <w:right w:val="none" w:sz="0" w:space="0" w:color="auto"/>
      </w:divBdr>
    </w:div>
    <w:div w:id="350188201">
      <w:bodyDiv w:val="1"/>
      <w:marLeft w:val="0"/>
      <w:marRight w:val="0"/>
      <w:marTop w:val="0"/>
      <w:marBottom w:val="0"/>
      <w:divBdr>
        <w:top w:val="none" w:sz="0" w:space="0" w:color="auto"/>
        <w:left w:val="none" w:sz="0" w:space="0" w:color="auto"/>
        <w:bottom w:val="none" w:sz="0" w:space="0" w:color="auto"/>
        <w:right w:val="none" w:sz="0" w:space="0" w:color="auto"/>
      </w:divBdr>
    </w:div>
    <w:div w:id="522548224">
      <w:bodyDiv w:val="1"/>
      <w:marLeft w:val="0"/>
      <w:marRight w:val="0"/>
      <w:marTop w:val="0"/>
      <w:marBottom w:val="0"/>
      <w:divBdr>
        <w:top w:val="none" w:sz="0" w:space="0" w:color="auto"/>
        <w:left w:val="none" w:sz="0" w:space="0" w:color="auto"/>
        <w:bottom w:val="none" w:sz="0" w:space="0" w:color="auto"/>
        <w:right w:val="none" w:sz="0" w:space="0" w:color="auto"/>
      </w:divBdr>
    </w:div>
    <w:div w:id="602568627">
      <w:bodyDiv w:val="1"/>
      <w:marLeft w:val="0"/>
      <w:marRight w:val="0"/>
      <w:marTop w:val="0"/>
      <w:marBottom w:val="0"/>
      <w:divBdr>
        <w:top w:val="none" w:sz="0" w:space="0" w:color="auto"/>
        <w:left w:val="none" w:sz="0" w:space="0" w:color="auto"/>
        <w:bottom w:val="none" w:sz="0" w:space="0" w:color="auto"/>
        <w:right w:val="none" w:sz="0" w:space="0" w:color="auto"/>
      </w:divBdr>
    </w:div>
    <w:div w:id="718550902">
      <w:bodyDiv w:val="1"/>
      <w:marLeft w:val="0"/>
      <w:marRight w:val="0"/>
      <w:marTop w:val="0"/>
      <w:marBottom w:val="0"/>
      <w:divBdr>
        <w:top w:val="none" w:sz="0" w:space="0" w:color="auto"/>
        <w:left w:val="none" w:sz="0" w:space="0" w:color="auto"/>
        <w:bottom w:val="none" w:sz="0" w:space="0" w:color="auto"/>
        <w:right w:val="none" w:sz="0" w:space="0" w:color="auto"/>
      </w:divBdr>
    </w:div>
    <w:div w:id="723142663">
      <w:bodyDiv w:val="1"/>
      <w:marLeft w:val="0"/>
      <w:marRight w:val="0"/>
      <w:marTop w:val="0"/>
      <w:marBottom w:val="0"/>
      <w:divBdr>
        <w:top w:val="none" w:sz="0" w:space="0" w:color="auto"/>
        <w:left w:val="none" w:sz="0" w:space="0" w:color="auto"/>
        <w:bottom w:val="none" w:sz="0" w:space="0" w:color="auto"/>
        <w:right w:val="none" w:sz="0" w:space="0" w:color="auto"/>
      </w:divBdr>
    </w:div>
    <w:div w:id="798717654">
      <w:bodyDiv w:val="1"/>
      <w:marLeft w:val="0"/>
      <w:marRight w:val="0"/>
      <w:marTop w:val="0"/>
      <w:marBottom w:val="0"/>
      <w:divBdr>
        <w:top w:val="none" w:sz="0" w:space="0" w:color="auto"/>
        <w:left w:val="none" w:sz="0" w:space="0" w:color="auto"/>
        <w:bottom w:val="none" w:sz="0" w:space="0" w:color="auto"/>
        <w:right w:val="none" w:sz="0" w:space="0" w:color="auto"/>
      </w:divBdr>
    </w:div>
    <w:div w:id="1019548102">
      <w:bodyDiv w:val="1"/>
      <w:marLeft w:val="0"/>
      <w:marRight w:val="0"/>
      <w:marTop w:val="0"/>
      <w:marBottom w:val="0"/>
      <w:divBdr>
        <w:top w:val="none" w:sz="0" w:space="0" w:color="auto"/>
        <w:left w:val="none" w:sz="0" w:space="0" w:color="auto"/>
        <w:bottom w:val="none" w:sz="0" w:space="0" w:color="auto"/>
        <w:right w:val="none" w:sz="0" w:space="0" w:color="auto"/>
      </w:divBdr>
    </w:div>
    <w:div w:id="1041175798">
      <w:bodyDiv w:val="1"/>
      <w:marLeft w:val="0"/>
      <w:marRight w:val="0"/>
      <w:marTop w:val="0"/>
      <w:marBottom w:val="0"/>
      <w:divBdr>
        <w:top w:val="none" w:sz="0" w:space="0" w:color="auto"/>
        <w:left w:val="none" w:sz="0" w:space="0" w:color="auto"/>
        <w:bottom w:val="none" w:sz="0" w:space="0" w:color="auto"/>
        <w:right w:val="none" w:sz="0" w:space="0" w:color="auto"/>
      </w:divBdr>
    </w:div>
    <w:div w:id="1248534764">
      <w:bodyDiv w:val="1"/>
      <w:marLeft w:val="0"/>
      <w:marRight w:val="0"/>
      <w:marTop w:val="0"/>
      <w:marBottom w:val="0"/>
      <w:divBdr>
        <w:top w:val="none" w:sz="0" w:space="0" w:color="auto"/>
        <w:left w:val="none" w:sz="0" w:space="0" w:color="auto"/>
        <w:bottom w:val="none" w:sz="0" w:space="0" w:color="auto"/>
        <w:right w:val="none" w:sz="0" w:space="0" w:color="auto"/>
      </w:divBdr>
    </w:div>
    <w:div w:id="1791513223">
      <w:bodyDiv w:val="1"/>
      <w:marLeft w:val="0"/>
      <w:marRight w:val="0"/>
      <w:marTop w:val="0"/>
      <w:marBottom w:val="0"/>
      <w:divBdr>
        <w:top w:val="none" w:sz="0" w:space="0" w:color="auto"/>
        <w:left w:val="none" w:sz="0" w:space="0" w:color="auto"/>
        <w:bottom w:val="none" w:sz="0" w:space="0" w:color="auto"/>
        <w:right w:val="none" w:sz="0" w:space="0" w:color="auto"/>
      </w:divBdr>
    </w:div>
    <w:div w:id="1810246881">
      <w:bodyDiv w:val="1"/>
      <w:marLeft w:val="0"/>
      <w:marRight w:val="0"/>
      <w:marTop w:val="0"/>
      <w:marBottom w:val="0"/>
      <w:divBdr>
        <w:top w:val="none" w:sz="0" w:space="0" w:color="auto"/>
        <w:left w:val="none" w:sz="0" w:space="0" w:color="auto"/>
        <w:bottom w:val="none" w:sz="0" w:space="0" w:color="auto"/>
        <w:right w:val="none" w:sz="0" w:space="0" w:color="auto"/>
      </w:divBdr>
    </w:div>
    <w:div w:id="1935548525">
      <w:bodyDiv w:val="1"/>
      <w:marLeft w:val="0"/>
      <w:marRight w:val="0"/>
      <w:marTop w:val="0"/>
      <w:marBottom w:val="0"/>
      <w:divBdr>
        <w:top w:val="none" w:sz="0" w:space="0" w:color="auto"/>
        <w:left w:val="none" w:sz="0" w:space="0" w:color="auto"/>
        <w:bottom w:val="none" w:sz="0" w:space="0" w:color="auto"/>
        <w:right w:val="none" w:sz="0" w:space="0" w:color="auto"/>
      </w:divBdr>
    </w:div>
    <w:div w:id="1970890644">
      <w:bodyDiv w:val="1"/>
      <w:marLeft w:val="0"/>
      <w:marRight w:val="0"/>
      <w:marTop w:val="0"/>
      <w:marBottom w:val="0"/>
      <w:divBdr>
        <w:top w:val="none" w:sz="0" w:space="0" w:color="auto"/>
        <w:left w:val="none" w:sz="0" w:space="0" w:color="auto"/>
        <w:bottom w:val="none" w:sz="0" w:space="0" w:color="auto"/>
        <w:right w:val="none" w:sz="0" w:space="0" w:color="auto"/>
      </w:divBdr>
    </w:div>
    <w:div w:id="20252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esearch-and-innovation.ec.europa.eu/knowledge-publications-tools-and-data/publications/all-publications/eu-research-and-innovation-and-invasion-ukraine-main-channels-impact_es" TargetMode="External"/><Relationship Id="rId13" Type="http://schemas.openxmlformats.org/officeDocument/2006/relationships/hyperlink" Target="https://new-european-bauhaus.europa.eu/index_es" TargetMode="External"/><Relationship Id="rId18" Type="http://schemas.openxmlformats.org/officeDocument/2006/relationships/hyperlink" Target="https://eit.europa.eu/sites/default/files/20190605-gb57-17-strategic_framework_for_eit_community_global_outreach_activities.pdf" TargetMode="External"/><Relationship Id="rId26" Type="http://schemas.openxmlformats.org/officeDocument/2006/relationships/hyperlink" Target="https://prima-med.org/" TargetMode="External"/><Relationship Id="rId3" Type="http://schemas.openxmlformats.org/officeDocument/2006/relationships/hyperlink" Target="https://www.mscadvocacy.eu/" TargetMode="External"/><Relationship Id="rId21" Type="http://schemas.openxmlformats.org/officeDocument/2006/relationships/hyperlink" Target="https://ec.europa.eu/commission/presscorner/detail/es/IP_23_596" TargetMode="External"/><Relationship Id="rId34" Type="http://schemas.openxmlformats.org/officeDocument/2006/relationships/hyperlink" Target="https://sareurope.eu/msca4ukraine/" TargetMode="External"/><Relationship Id="rId7" Type="http://schemas.openxmlformats.org/officeDocument/2006/relationships/hyperlink" Target="https://research-and-innovation.ec.europa.eu/knowledge-publications-tools-and-data/publications/all-publications/eu-research-and-innovation-and-invasion-ukraine-main-channels-impact_es" TargetMode="External"/><Relationship Id="rId12" Type="http://schemas.openxmlformats.org/officeDocument/2006/relationships/hyperlink" Target="https://new-european-bauhaus.europa.eu/index_es" TargetMode="External"/><Relationship Id="rId17" Type="http://schemas.openxmlformats.org/officeDocument/2006/relationships/hyperlink" Target="https://www.euafrica-permed.eu/" TargetMode="External"/><Relationship Id="rId25" Type="http://schemas.openxmlformats.org/officeDocument/2006/relationships/hyperlink" Target="https://prima-med.org/" TargetMode="External"/><Relationship Id="rId33" Type="http://schemas.openxmlformats.org/officeDocument/2006/relationships/hyperlink" Target="https://euraxess.ec.europa.eu/ukraine" TargetMode="External"/><Relationship Id="rId2" Type="http://schemas.openxmlformats.org/officeDocument/2006/relationships/hyperlink" Target="https://sareurope.eu/inspireurope/" TargetMode="External"/><Relationship Id="rId16" Type="http://schemas.openxmlformats.org/officeDocument/2006/relationships/hyperlink" Target="https://www.who.int/publications/m/item/act-accelerator-outcomes-report--2020-22" TargetMode="External"/><Relationship Id="rId20" Type="http://schemas.openxmlformats.org/officeDocument/2006/relationships/hyperlink" Target="https://ec.europa.eu/commission/presscorner/detail/es/IP_23_596" TargetMode="External"/><Relationship Id="rId29" Type="http://schemas.openxmlformats.org/officeDocument/2006/relationships/hyperlink" Target="https://www.consilium.europa.eu/media/60846/eu-asean-leaders-statement.pdf" TargetMode="External"/><Relationship Id="rId1" Type="http://schemas.openxmlformats.org/officeDocument/2006/relationships/hyperlink" Target="https://presidence-francaise.consilium.europa.eu/media/xi1khxzg/marseille-declaration.pdf" TargetMode="External"/><Relationship Id="rId6" Type="http://schemas.openxmlformats.org/officeDocument/2006/relationships/hyperlink" Target="https://www.icri2022.cz/post/brno-declaration-on-fostering-a-global-ecosystem-of-research-infrastructures" TargetMode="External"/><Relationship Id="rId11" Type="http://schemas.openxmlformats.org/officeDocument/2006/relationships/hyperlink" Target="https://new-european-bauhaus.europa.eu/index_es" TargetMode="External"/><Relationship Id="rId24" Type="http://schemas.openxmlformats.org/officeDocument/2006/relationships/hyperlink" Target="https://bluepartnership.eu/" TargetMode="External"/><Relationship Id="rId32" Type="http://schemas.openxmlformats.org/officeDocument/2006/relationships/hyperlink" Target="https://www.bundesregierung.de/resource/blob/974430/2052508/9ece18c0781a04503e63657902797f78/2022-06-14-g7science-ministers-data.pdf?download=1" TargetMode="External"/><Relationship Id="rId5" Type="http://schemas.openxmlformats.org/officeDocument/2006/relationships/hyperlink" Target="https://www.gsogri.org/" TargetMode="External"/><Relationship Id="rId15" Type="http://schemas.openxmlformats.org/officeDocument/2006/relationships/hyperlink" Target="https://ec.europa.eu/commission/presscorner/detail/es/ip_22_7154" TargetMode="External"/><Relationship Id="rId23" Type="http://schemas.openxmlformats.org/officeDocument/2006/relationships/hyperlink" Target="http://www.bluemed-initiative.eu/" TargetMode="External"/><Relationship Id="rId28" Type="http://schemas.openxmlformats.org/officeDocument/2006/relationships/hyperlink" Target="https://research-and-innovation.ec.europa.eu/system/files/2021-07/eu-celac_strategic-roadmap-2021-2023.pdf" TargetMode="External"/><Relationship Id="rId36" Type="http://schemas.openxmlformats.org/officeDocument/2006/relationships/hyperlink" Target="https://www8.cao.go.jp/cstp/kokusaiteki/g7_2023/230513_g7_communique.pdf" TargetMode="External"/><Relationship Id="rId10" Type="http://schemas.openxmlformats.org/officeDocument/2006/relationships/hyperlink" Target="https://allatlantic2022.com/wp-content/uploads/2022/07/All-Atlantic-Declaration-signed-7.13.2022.pdf" TargetMode="External"/><Relationship Id="rId19" Type="http://schemas.openxmlformats.org/officeDocument/2006/relationships/hyperlink" Target="https://research-and-innovation.ec.europa.eu/news/all-research-and-innovation-news/eu-and-western-balkans-launch-joint-strategy-strengthen-cooperation-innovation-research-education-2021-10-06_es" TargetMode="External"/><Relationship Id="rId31" Type="http://schemas.openxmlformats.org/officeDocument/2006/relationships/hyperlink" Target="https://eur-lex.europa.eu/legal-content/ES/TXT/HTML/?uri=CELEX:32021R1986" TargetMode="External"/><Relationship Id="rId4" Type="http://schemas.openxmlformats.org/officeDocument/2006/relationships/hyperlink" Target="https://joint-research-centre.ec.europa.eu/tools-and-laboratories/open-access-jrc-research-infrastructures_es" TargetMode="External"/><Relationship Id="rId9" Type="http://schemas.openxmlformats.org/officeDocument/2006/relationships/hyperlink" Target="https://www.isi.fraunhofer.de/en/presse/2020/presseinfo-11-Technologiesouveraenitaet.html" TargetMode="External"/><Relationship Id="rId14" Type="http://schemas.openxmlformats.org/officeDocument/2006/relationships/hyperlink" Target="https://ec.europa.eu/commission/presscorner/detail/es/ip_22_7153" TargetMode="External"/><Relationship Id="rId22" Type="http://schemas.openxmlformats.org/officeDocument/2006/relationships/hyperlink" Target="https://ufmsecretariat.org/wp-content/uploads/2022/06/UfM-Ministerial-Declaration-RI-EN-270622.pdf" TargetMode="External"/><Relationship Id="rId27" Type="http://schemas.openxmlformats.org/officeDocument/2006/relationships/hyperlink" Target="https://africa-knowledge-platform.ec.europa.eu/" TargetMode="External"/><Relationship Id="rId30" Type="http://schemas.openxmlformats.org/officeDocument/2006/relationships/hyperlink" Target="https://www.eeas.europa.eu/sites/default/files/documents/Plan%20of%20Action%20to%20Implement%20the%20ASEAN-EU%20Strategic%20Partnership%20%282023-2027%29.pdf" TargetMode="External"/><Relationship Id="rId35" Type="http://schemas.openxmlformats.org/officeDocument/2006/relationships/hyperlink" Target="https://euraxess.ec.europa.eu/ukraine/off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01ADE-251D-49BC-A4CB-2010DF00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7300</Words>
  <Characters>39353</Characters>
  <Application>Microsoft Office Word</Application>
  <DocSecurity>0</DocSecurity>
  <Lines>562</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cp:lastPrinted>2023-03-02T14:30:00Z</cp:lastPrinted>
  <dcterms:created xsi:type="dcterms:W3CDTF">2023-06-13T09:07:00Z</dcterms:created>
  <dcterms:modified xsi:type="dcterms:W3CDTF">2023-06-22T07:23:00Z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CP-005</vt:lpwstr>
  </property>
  <property fmtid="{D5CDD505-2E9C-101B-9397-08002B2CF9AE}" pid="7" name="Last edited using">
    <vt:lpwstr>LW 8.1, Build 20230124</vt:lpwstr>
  </property>
  <property fmtid="{D5CDD505-2E9C-101B-9397-08002B2CF9AE}" pid="8" name="Created using">
    <vt:lpwstr>LW 8.1, Build 20220902</vt:lpwstr>
  </property>
  <property fmtid="{D5CDD505-2E9C-101B-9397-08002B2CF9AE}" pid="9" name="MSIP_Label_6bd9ddd1-4d20-43f6-abfa-fc3c07406f94_Enabled">
    <vt:lpwstr>true</vt:lpwstr>
  </property>
  <property fmtid="{D5CDD505-2E9C-101B-9397-08002B2CF9AE}" pid="10" name="MSIP_Label_6bd9ddd1-4d20-43f6-abfa-fc3c07406f94_SetDate">
    <vt:lpwstr>2023-06-06T09:31:12Z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0a45b529-0933-4b8f-9cae-410b7d9413fe</vt:lpwstr>
  </property>
  <property fmtid="{D5CDD505-2E9C-101B-9397-08002B2CF9AE}" pid="15" name="MSIP_Label_6bd9ddd1-4d20-43f6-abfa-fc3c07406f94_ContentBits">
    <vt:lpwstr>0</vt:lpwstr>
  </property>
  <property name="OP_sanitized" fmtid="{D5CDD505-2E9C-101B-9397-08002B2CF9AE}" pid="16">
    <vt:lpwstr>True</vt:lpwstr>
  </property>
</Properties>
</file>