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A06" w:rsidRPr="000F656B" w:rsidRDefault="00045C9E" w:rsidP="00045C9E">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2E279668-BDE4-466D-9C44-08785DE98B95" style="width:455.25pt;height:355.5pt">
            <v:imagedata r:id="rId8" o:title=""/>
          </v:shape>
        </w:pict>
      </w:r>
    </w:p>
    <w:p w:rsidR="00034A06" w:rsidRPr="000F656B" w:rsidRDefault="00034A06" w:rsidP="00034A06">
      <w:pPr>
        <w:rPr>
          <w:noProof/>
        </w:rPr>
        <w:sectPr w:rsidR="00034A06" w:rsidRPr="000F656B" w:rsidSect="00045C9E">
          <w:footerReference w:type="default" r:id="rId9"/>
          <w:pgSz w:w="11907" w:h="16839"/>
          <w:pgMar w:top="1134" w:right="1417" w:bottom="1134" w:left="1417" w:header="709" w:footer="709" w:gutter="0"/>
          <w:pgNumType w:start="0"/>
          <w:cols w:space="720"/>
          <w:docGrid w:linePitch="360"/>
        </w:sectPr>
      </w:pPr>
    </w:p>
    <w:p w:rsidR="00034A06" w:rsidRPr="000F656B" w:rsidRDefault="00034A06" w:rsidP="00BB6B30">
      <w:pPr>
        <w:pStyle w:val="Exposdesmotifstitre"/>
        <w:rPr>
          <w:noProof/>
        </w:rPr>
      </w:pPr>
      <w:bookmarkStart w:id="0" w:name="_GoBack"/>
      <w:bookmarkEnd w:id="0"/>
      <w:r w:rsidRPr="000F656B">
        <w:rPr>
          <w:noProof/>
        </w:rPr>
        <w:lastRenderedPageBreak/>
        <w:t>EXPOSICIÓN DE MOTIVOS</w:t>
      </w:r>
    </w:p>
    <w:p w:rsidR="00034A06" w:rsidRPr="000F656B" w:rsidRDefault="00034A06" w:rsidP="00BB6B30">
      <w:pPr>
        <w:pStyle w:val="ManualHeading1"/>
        <w:rPr>
          <w:noProof/>
        </w:rPr>
      </w:pPr>
      <w:r w:rsidRPr="000F656B">
        <w:rPr>
          <w:noProof/>
        </w:rPr>
        <w:t>1.</w:t>
      </w:r>
      <w:r w:rsidRPr="000F656B">
        <w:rPr>
          <w:noProof/>
        </w:rPr>
        <w:tab/>
        <w:t>CONTEXTO DE LA PROPUESTA</w:t>
      </w:r>
    </w:p>
    <w:p w:rsidR="00034A06" w:rsidRPr="000F656B" w:rsidRDefault="00034A06" w:rsidP="00044058">
      <w:pPr>
        <w:pStyle w:val="ManualHeading2"/>
        <w:rPr>
          <w:rFonts w:eastAsia="Arial Unicode MS"/>
          <w:noProof/>
        </w:rPr>
      </w:pPr>
      <w:r w:rsidRPr="000F656B">
        <w:rPr>
          <w:noProof/>
          <w:color w:val="000000"/>
          <w:u w:color="000000"/>
          <w:bdr w:val="nil"/>
        </w:rPr>
        <w:t>•</w:t>
      </w:r>
      <w:r w:rsidRPr="000F656B">
        <w:rPr>
          <w:noProof/>
        </w:rPr>
        <w:tab/>
        <w:t>Razones y objetivos de la propuesta</w:t>
      </w:r>
    </w:p>
    <w:p w:rsidR="006F3290" w:rsidRPr="000F656B" w:rsidRDefault="00BC2FA6" w:rsidP="0029266A">
      <w:pPr>
        <w:pBdr>
          <w:top w:val="nil"/>
          <w:left w:val="nil"/>
          <w:bottom w:val="nil"/>
          <w:right w:val="nil"/>
          <w:between w:val="nil"/>
          <w:bar w:val="nil"/>
        </w:pBdr>
        <w:spacing w:before="0" w:after="240"/>
        <w:rPr>
          <w:noProof/>
        </w:rPr>
      </w:pPr>
      <w:r w:rsidRPr="000F656B">
        <w:rPr>
          <w:noProof/>
        </w:rPr>
        <w:t xml:space="preserve">El 23 de marzo de 2022, la Comisión Europea adoptó una propuesta legislativa para modificar los Reglamentos (UE) n.º 1303/2013 y (UE) n.º 223/2014, a fin de introducir cambios excepcionales y específicos en respuesta a la invasión de Ucrania por parte de la Federación de Rusia y al consiguiente impacto en la Unión Europea y, en particular, en varias de sus regiones orientales. </w:t>
      </w:r>
    </w:p>
    <w:p w:rsidR="00034A06" w:rsidRPr="000F656B" w:rsidRDefault="00186045" w:rsidP="0029266A">
      <w:pPr>
        <w:pBdr>
          <w:top w:val="nil"/>
          <w:left w:val="nil"/>
          <w:bottom w:val="nil"/>
          <w:right w:val="nil"/>
          <w:between w:val="nil"/>
          <w:bar w:val="nil"/>
        </w:pBdr>
        <w:spacing w:before="0" w:after="240"/>
        <w:rPr>
          <w:noProof/>
        </w:rPr>
      </w:pPr>
      <w:r w:rsidRPr="000F656B">
        <w:rPr>
          <w:noProof/>
        </w:rPr>
        <w:t>Dicha propuesta tenía por objeto proporcionar una prefinanciación inicial adicional para los programas del período 2014-2020 financiados con cargo a los fondos de la política de cohesión y al Fondo de Ayuda Europea para las Personas Más Desfavorecidas (FEAD), que se abonaría en el marco de REACT-UE, que se financia con cargo al Instrumento Europeo de Recuperación NextGenerationEU.</w:t>
      </w:r>
    </w:p>
    <w:p w:rsidR="006F3290" w:rsidRPr="000F656B" w:rsidRDefault="006F3290" w:rsidP="006F3290">
      <w:pPr>
        <w:pBdr>
          <w:top w:val="nil"/>
          <w:left w:val="nil"/>
          <w:bottom w:val="nil"/>
          <w:right w:val="nil"/>
          <w:between w:val="nil"/>
          <w:bar w:val="nil"/>
        </w:pBdr>
        <w:spacing w:before="0" w:after="240"/>
        <w:rPr>
          <w:rFonts w:eastAsia="Arial Unicode MS"/>
          <w:noProof/>
        </w:rPr>
      </w:pPr>
      <w:r w:rsidRPr="000F656B">
        <w:rPr>
          <w:noProof/>
        </w:rPr>
        <w:t xml:space="preserve">La Comisión ya había tomado medidas para ayudar a los Estados miembros a este respecto, a través de su propuesta de 8 de marzo de 2022 Acción de Cohesión para los Refugiados en Europa (CARE). </w:t>
      </w:r>
    </w:p>
    <w:p w:rsidR="006F3290" w:rsidRPr="000F656B" w:rsidRDefault="006F3290" w:rsidP="006F3290">
      <w:pPr>
        <w:pBdr>
          <w:top w:val="nil"/>
          <w:left w:val="nil"/>
          <w:bottom w:val="nil"/>
          <w:right w:val="nil"/>
          <w:between w:val="nil"/>
          <w:bar w:val="nil"/>
        </w:pBdr>
        <w:spacing w:before="0" w:after="240"/>
        <w:rPr>
          <w:rFonts w:eastAsia="Arial Unicode MS"/>
          <w:noProof/>
        </w:rPr>
      </w:pPr>
      <w:r w:rsidRPr="000F656B">
        <w:rPr>
          <w:noProof/>
        </w:rPr>
        <w:t>El Consejo Europeo, en su reunión de los días 24 y 25 de marzo de 2022, debatió la agresión militar rusa contra Ucrania y, en sus conclusiones, invitó a la Comisión «a que trabaje sobre otras propuestas para reforzar el apoyo de la UE», «de manera que pueda movilizarse con rapidez la financiación de la UE para los refugiados y para quienes los acogen».</w:t>
      </w:r>
    </w:p>
    <w:p w:rsidR="004F415C" w:rsidRPr="000F656B" w:rsidRDefault="006F3290" w:rsidP="006F3290">
      <w:pPr>
        <w:pBdr>
          <w:top w:val="nil"/>
          <w:left w:val="nil"/>
          <w:bottom w:val="nil"/>
          <w:right w:val="nil"/>
          <w:between w:val="nil"/>
          <w:bar w:val="nil"/>
        </w:pBdr>
        <w:spacing w:before="0" w:after="240"/>
        <w:rPr>
          <w:rFonts w:eastAsia="Arial Unicode MS"/>
          <w:noProof/>
        </w:rPr>
      </w:pPr>
      <w:r w:rsidRPr="000F656B">
        <w:rPr>
          <w:noProof/>
        </w:rPr>
        <w:t>En respuesta a esta invitación, la Comisión presenta esta propuesta, que modifica su propuesta legislativa de 23 de marzo de 2022. Dado que uno de los métodos más eficaces para movilizar rápidamente la financiación es utilizar «opciones de costes simplificados», que permiten una ejecución más fácil y rápida de los fondos de la política de cohesión, reduciendo al mismo tiempo la carga administrativa, la presente propuesta establece un nuevo coste unitario. Los Estados miembros pueden utilizar este nuevo coste unitario para facilitar la financiación de las necesidades básicas de las personas a las que se haya concedido protección temporal de conformidad con la Decisión de Ejecución (UE) 2022/382 del Consejo y de la ayuda a esas personas en todos los Estados miembros en los que estén presentes. El coste unitario puede utilizarse durante un máximo de trece semanas en total, a partir de la fecha de llegada de la persona a la Unión Europea.</w:t>
      </w:r>
    </w:p>
    <w:p w:rsidR="00034A06" w:rsidRPr="000F656B" w:rsidRDefault="00034A06" w:rsidP="00044058">
      <w:pPr>
        <w:pStyle w:val="ManualHeading2"/>
        <w:rPr>
          <w:rFonts w:eastAsia="Arial Unicode MS"/>
          <w:noProof/>
          <w:color w:val="000000"/>
          <w:u w:color="000000"/>
          <w:bdr w:val="nil"/>
        </w:rPr>
      </w:pPr>
      <w:r w:rsidRPr="000F656B">
        <w:rPr>
          <w:noProof/>
          <w:color w:val="000000"/>
          <w:u w:color="000000"/>
          <w:bdr w:val="nil"/>
        </w:rPr>
        <w:t>•</w:t>
      </w:r>
      <w:r w:rsidRPr="000F656B">
        <w:rPr>
          <w:noProof/>
        </w:rPr>
        <w:tab/>
        <w:t>Coherencia con las disposiciones existentes en la misma política sectorial</w:t>
      </w:r>
    </w:p>
    <w:p w:rsidR="00034A06" w:rsidRPr="000F656B" w:rsidRDefault="00BC2FA6" w:rsidP="0029266A">
      <w:pPr>
        <w:pBdr>
          <w:top w:val="nil"/>
          <w:left w:val="nil"/>
          <w:bottom w:val="nil"/>
          <w:right w:val="nil"/>
          <w:between w:val="nil"/>
          <w:bar w:val="nil"/>
        </w:pBdr>
        <w:spacing w:before="0" w:after="240"/>
        <w:rPr>
          <w:rFonts w:eastAsia="Arial Unicode MS"/>
          <w:noProof/>
        </w:rPr>
      </w:pPr>
      <w:r w:rsidRPr="000F656B">
        <w:rPr>
          <w:noProof/>
        </w:rPr>
        <w:t>La propuesta modificada es coherente con el marco jurídico general establecido para los Fondos Estructurales y de Inversión Europeos y se limita a introducir modificaciones específicas y excepcionales en los Reglamentos (UE) n.º 1303/2013 y (UE) n.º 223/2014. Además, completa la propuesta anterior de modificación de estos Reglamentos en el marco de la propuesta de CARE de la Comisión de 8 de marzo de 2022, así como todas las demás medidas destinadas a hacer frente a la actual situación sin precedentes.</w:t>
      </w:r>
    </w:p>
    <w:p w:rsidR="00034A06" w:rsidRPr="000F656B" w:rsidRDefault="00034A06" w:rsidP="00A4693B">
      <w:pPr>
        <w:pStyle w:val="ManualHeading2"/>
        <w:rPr>
          <w:rFonts w:eastAsia="Arial Unicode MS"/>
          <w:noProof/>
        </w:rPr>
      </w:pPr>
      <w:r w:rsidRPr="000F656B">
        <w:rPr>
          <w:noProof/>
          <w:color w:val="000000"/>
          <w:u w:color="000000"/>
          <w:bdr w:val="nil"/>
        </w:rPr>
        <w:t>•</w:t>
      </w:r>
      <w:r w:rsidRPr="000F656B">
        <w:rPr>
          <w:noProof/>
        </w:rPr>
        <w:tab/>
        <w:t>Coherencia con otras políticas de la Unión</w:t>
      </w:r>
    </w:p>
    <w:p w:rsidR="00034A06" w:rsidRPr="000F656B" w:rsidRDefault="00BC2FA6" w:rsidP="0029266A">
      <w:pPr>
        <w:pBdr>
          <w:top w:val="nil"/>
          <w:left w:val="nil"/>
          <w:bottom w:val="nil"/>
          <w:right w:val="nil"/>
          <w:between w:val="nil"/>
          <w:bar w:val="nil"/>
        </w:pBdr>
        <w:spacing w:before="0" w:after="240"/>
        <w:rPr>
          <w:rFonts w:eastAsia="Arial Unicode MS"/>
          <w:noProof/>
        </w:rPr>
      </w:pPr>
      <w:r w:rsidRPr="000F656B">
        <w:rPr>
          <w:noProof/>
        </w:rPr>
        <w:t>La propuesta se limita a introducir modificaciones específicas y excepcionales en los Reglamentos (UE) n.º 1303/2013 y (UE) n.º 223/2014 y mantiene la coherencia con otras políticas de la Unión.</w:t>
      </w:r>
    </w:p>
    <w:p w:rsidR="00034A06" w:rsidRPr="000F656B" w:rsidRDefault="00034A06" w:rsidP="00550536">
      <w:pPr>
        <w:pStyle w:val="ManualHeading1"/>
        <w:rPr>
          <w:noProof/>
        </w:rPr>
      </w:pPr>
      <w:r w:rsidRPr="000F656B">
        <w:rPr>
          <w:noProof/>
        </w:rPr>
        <w:t>2.</w:t>
      </w:r>
      <w:r w:rsidRPr="000F656B">
        <w:rPr>
          <w:noProof/>
        </w:rPr>
        <w:tab/>
        <w:t>BASE JURÍDICA, SUBSIDIARIEDAD Y PROPORCIONALIDAD</w:t>
      </w:r>
    </w:p>
    <w:p w:rsidR="00034A06" w:rsidRPr="000F656B" w:rsidRDefault="00034A06" w:rsidP="00A4693B">
      <w:pPr>
        <w:pStyle w:val="ManualHeading2"/>
        <w:rPr>
          <w:rFonts w:eastAsia="Arial Unicode MS"/>
          <w:noProof/>
          <w:u w:color="000000"/>
          <w:bdr w:val="nil"/>
        </w:rPr>
      </w:pPr>
      <w:r w:rsidRPr="000F656B">
        <w:rPr>
          <w:noProof/>
          <w:u w:color="000000"/>
          <w:bdr w:val="nil"/>
        </w:rPr>
        <w:t>•</w:t>
      </w:r>
      <w:r w:rsidRPr="000F656B">
        <w:rPr>
          <w:noProof/>
        </w:rPr>
        <w:tab/>
      </w:r>
      <w:r w:rsidRPr="000F656B">
        <w:rPr>
          <w:noProof/>
          <w:u w:color="000000"/>
          <w:bdr w:val="nil"/>
        </w:rPr>
        <w:t>Base jurídica</w:t>
      </w:r>
    </w:p>
    <w:p w:rsidR="00034A06" w:rsidRPr="000F656B" w:rsidRDefault="00BC2FA6" w:rsidP="00550536">
      <w:pPr>
        <w:pBdr>
          <w:top w:val="nil"/>
          <w:left w:val="nil"/>
          <w:bottom w:val="nil"/>
          <w:right w:val="nil"/>
          <w:between w:val="nil"/>
          <w:bar w:val="nil"/>
        </w:pBdr>
        <w:spacing w:before="0" w:after="240"/>
        <w:rPr>
          <w:rFonts w:eastAsia="Arial Unicode MS"/>
          <w:noProof/>
        </w:rPr>
      </w:pPr>
      <w:r w:rsidRPr="000F656B">
        <w:rPr>
          <w:noProof/>
        </w:rPr>
        <w:t>La propuesta se basa en el artículo 175, apartado 3, y en el artículo 177 del Tratado de Funcionamiento de la Unión Europea.</w:t>
      </w:r>
    </w:p>
    <w:p w:rsidR="00034A06" w:rsidRPr="000F656B" w:rsidRDefault="00034A06" w:rsidP="00A4693B">
      <w:pPr>
        <w:pStyle w:val="ManualHeading2"/>
        <w:rPr>
          <w:rFonts w:eastAsia="Arial Unicode MS"/>
          <w:noProof/>
          <w:u w:color="000000"/>
          <w:bdr w:val="nil"/>
        </w:rPr>
      </w:pPr>
      <w:r w:rsidRPr="000F656B">
        <w:rPr>
          <w:noProof/>
          <w:u w:color="000000"/>
          <w:bdr w:val="nil"/>
        </w:rPr>
        <w:t>•</w:t>
      </w:r>
      <w:r w:rsidRPr="000F656B">
        <w:rPr>
          <w:noProof/>
        </w:rPr>
        <w:tab/>
      </w:r>
      <w:r w:rsidRPr="000F656B">
        <w:rPr>
          <w:noProof/>
          <w:u w:color="000000"/>
          <w:bdr w:val="nil"/>
        </w:rPr>
        <w:t xml:space="preserve">Subsidiariedad (en caso de competencia no exclusiva) </w:t>
      </w:r>
    </w:p>
    <w:p w:rsidR="00034A06" w:rsidRPr="000F656B" w:rsidRDefault="00186045" w:rsidP="00550536">
      <w:pPr>
        <w:pBdr>
          <w:top w:val="nil"/>
          <w:left w:val="nil"/>
          <w:bottom w:val="nil"/>
          <w:right w:val="nil"/>
          <w:between w:val="nil"/>
          <w:bar w:val="nil"/>
        </w:pBdr>
        <w:spacing w:before="0" w:after="240"/>
        <w:rPr>
          <w:rFonts w:eastAsia="Arial Unicode MS"/>
          <w:noProof/>
        </w:rPr>
      </w:pPr>
      <w:r w:rsidRPr="000F656B">
        <w:rPr>
          <w:noProof/>
        </w:rPr>
        <w:t>Dado que el objetivo de hacer frente a los retos que plantea el elevadísimo número de personas que llegan huyendo de Ucrania no puede ser alcanzado de manera suficiente por los Estados miembros por sí solos y, por consiguiente, puede lograrse mejor a nivel de la Unión, esta puede disponer que se abone un importe mayor de prefinanciación en el marco de REACT-UE y establecer una opción de costes simplificados consistente en un nuevo coste unitario, de conformidad con el principio de subsidiariedad establecido en el artículo 5 del Tratado de la Unión Europea.</w:t>
      </w:r>
    </w:p>
    <w:p w:rsidR="00034A06" w:rsidRPr="000F656B" w:rsidRDefault="00034A06" w:rsidP="00A4693B">
      <w:pPr>
        <w:pStyle w:val="ManualHeading2"/>
        <w:rPr>
          <w:rFonts w:eastAsia="Arial Unicode MS"/>
          <w:noProof/>
          <w:u w:color="000000"/>
          <w:bdr w:val="nil"/>
        </w:rPr>
      </w:pPr>
      <w:r w:rsidRPr="000F656B">
        <w:rPr>
          <w:noProof/>
          <w:u w:color="000000"/>
          <w:bdr w:val="nil"/>
        </w:rPr>
        <w:t>•</w:t>
      </w:r>
      <w:r w:rsidRPr="000F656B">
        <w:rPr>
          <w:noProof/>
        </w:rPr>
        <w:tab/>
      </w:r>
      <w:r w:rsidRPr="000F656B">
        <w:rPr>
          <w:noProof/>
          <w:u w:color="000000"/>
          <w:bdr w:val="nil"/>
        </w:rPr>
        <w:t>Proporcionalidad</w:t>
      </w:r>
    </w:p>
    <w:p w:rsidR="00034A06" w:rsidRPr="000F656B" w:rsidRDefault="00186045" w:rsidP="00550536">
      <w:pPr>
        <w:pBdr>
          <w:top w:val="nil"/>
          <w:left w:val="nil"/>
          <w:bottom w:val="nil"/>
          <w:right w:val="nil"/>
          <w:between w:val="nil"/>
          <w:bar w:val="nil"/>
        </w:pBdr>
        <w:spacing w:before="0" w:after="240"/>
        <w:rPr>
          <w:rFonts w:eastAsia="Arial Unicode MS"/>
          <w:noProof/>
        </w:rPr>
      </w:pPr>
      <w:r w:rsidRPr="000F656B">
        <w:rPr>
          <w:noProof/>
        </w:rPr>
        <w:t>La propuesta constituye un cambio excepcional y específico que no va más allá de lo necesario para alcanzar el objetivo de disponer que se abone un importe mayor de prefinanciación en el marco de REACT-UE y establecer un nuevo coste unitario para financiar medidas destinadas a hacer frente a los retos migratorios resultantes de la agresión militar por parte de la Federación de Rusia y aliviar la carga correspondiente que pesa sobre los presupuestos públicos, a fin de permitir, a su vez, la movilización de inversiones en respuesta a la crisis generalizada de salud pública que afecta al crecimiento de las regiones.</w:t>
      </w:r>
    </w:p>
    <w:p w:rsidR="00034A06" w:rsidRPr="000F656B" w:rsidRDefault="00034A06" w:rsidP="00A4693B">
      <w:pPr>
        <w:pStyle w:val="ManualHeading2"/>
        <w:rPr>
          <w:rFonts w:eastAsia="Arial Unicode MS"/>
          <w:noProof/>
          <w:u w:color="000000"/>
          <w:bdr w:val="nil"/>
        </w:rPr>
      </w:pPr>
      <w:r w:rsidRPr="000F656B">
        <w:rPr>
          <w:noProof/>
          <w:u w:color="000000"/>
          <w:bdr w:val="nil"/>
        </w:rPr>
        <w:t>•</w:t>
      </w:r>
      <w:r w:rsidRPr="000F656B">
        <w:rPr>
          <w:noProof/>
        </w:rPr>
        <w:tab/>
      </w:r>
      <w:r w:rsidRPr="000F656B">
        <w:rPr>
          <w:noProof/>
          <w:u w:color="000000"/>
          <w:bdr w:val="nil"/>
        </w:rPr>
        <w:t>Elección del instrumento</w:t>
      </w:r>
    </w:p>
    <w:p w:rsidR="00034A06" w:rsidRPr="000F656B" w:rsidRDefault="00186045" w:rsidP="00550536">
      <w:pPr>
        <w:pBdr>
          <w:top w:val="nil"/>
          <w:left w:val="nil"/>
          <w:bottom w:val="nil"/>
          <w:right w:val="nil"/>
          <w:between w:val="nil"/>
          <w:bar w:val="nil"/>
        </w:pBdr>
        <w:spacing w:before="0" w:after="240"/>
        <w:rPr>
          <w:rFonts w:eastAsia="Arial Unicode MS"/>
          <w:noProof/>
        </w:rPr>
      </w:pPr>
      <w:r w:rsidRPr="000F656B">
        <w:rPr>
          <w:noProof/>
        </w:rPr>
        <w:t>Un reglamento es el instrumento adecuado para disponer que se abone un importe mayor de prefinanciación en el marco de REACT-UE y para establecer un nuevo coste unitario, medidas necesarias para hacer frente a estas circunstancias sin precedentes.</w:t>
      </w:r>
    </w:p>
    <w:p w:rsidR="00034A06" w:rsidRPr="000F656B" w:rsidRDefault="00034A06" w:rsidP="00550536">
      <w:pPr>
        <w:pStyle w:val="ManualHeading1"/>
        <w:rPr>
          <w:noProof/>
        </w:rPr>
      </w:pPr>
      <w:r w:rsidRPr="000F656B">
        <w:rPr>
          <w:noProof/>
        </w:rPr>
        <w:t>3.</w:t>
      </w:r>
      <w:r w:rsidRPr="000F656B">
        <w:rPr>
          <w:noProof/>
        </w:rPr>
        <w:tab/>
        <w:t xml:space="preserve">RESULTADOS DE LAS EVALUACIONES </w:t>
      </w:r>
      <w:r w:rsidRPr="000F656B">
        <w:rPr>
          <w:i/>
          <w:noProof/>
        </w:rPr>
        <w:t>EX POST</w:t>
      </w:r>
      <w:r w:rsidRPr="000F656B">
        <w:rPr>
          <w:noProof/>
        </w:rPr>
        <w:t>, DE LAS CONSULTAS CON LAS PARTES INTERESADAS Y DE LAS EVALUACIONES DE IMPACTO</w:t>
      </w:r>
    </w:p>
    <w:p w:rsidR="00034A06" w:rsidRPr="000F656B" w:rsidRDefault="00034A06" w:rsidP="00A4693B">
      <w:pPr>
        <w:pStyle w:val="ManualHeading2"/>
        <w:rPr>
          <w:rFonts w:eastAsia="Arial Unicode MS"/>
          <w:noProof/>
          <w:u w:color="000000"/>
          <w:bdr w:val="nil"/>
        </w:rPr>
      </w:pPr>
      <w:r w:rsidRPr="000F656B">
        <w:rPr>
          <w:noProof/>
          <w:u w:color="000000"/>
          <w:bdr w:val="nil"/>
        </w:rPr>
        <w:t>•</w:t>
      </w:r>
      <w:r w:rsidRPr="000F656B">
        <w:rPr>
          <w:noProof/>
        </w:rPr>
        <w:tab/>
      </w:r>
      <w:r w:rsidRPr="000F656B">
        <w:rPr>
          <w:noProof/>
          <w:u w:color="000000"/>
          <w:bdr w:val="nil"/>
        </w:rPr>
        <w:t xml:space="preserve">Evaluaciones </w:t>
      </w:r>
      <w:r w:rsidRPr="000F656B">
        <w:rPr>
          <w:i/>
          <w:noProof/>
          <w:u w:color="000000"/>
          <w:bdr w:val="nil"/>
        </w:rPr>
        <w:t>ex post</w:t>
      </w:r>
      <w:r w:rsidRPr="000F656B">
        <w:rPr>
          <w:noProof/>
          <w:u w:color="000000"/>
          <w:bdr w:val="nil"/>
        </w:rPr>
        <w:t xml:space="preserve"> / controles de la adecuación de la legislación existente</w:t>
      </w:r>
    </w:p>
    <w:p w:rsidR="00034A06" w:rsidRPr="000F656B" w:rsidRDefault="00186045" w:rsidP="00550536">
      <w:pPr>
        <w:pBdr>
          <w:top w:val="nil"/>
          <w:left w:val="nil"/>
          <w:bottom w:val="nil"/>
          <w:right w:val="nil"/>
          <w:between w:val="nil"/>
          <w:bar w:val="nil"/>
        </w:pBdr>
        <w:spacing w:before="0" w:after="240"/>
        <w:rPr>
          <w:rFonts w:eastAsia="Arial Unicode MS"/>
          <w:noProof/>
        </w:rPr>
      </w:pPr>
      <w:r w:rsidRPr="000F656B">
        <w:rPr>
          <w:noProof/>
        </w:rPr>
        <w:t>No aplicable</w:t>
      </w:r>
    </w:p>
    <w:p w:rsidR="00034A06" w:rsidRPr="000F656B" w:rsidRDefault="00034A06" w:rsidP="00A4693B">
      <w:pPr>
        <w:pStyle w:val="ManualHeading2"/>
        <w:rPr>
          <w:rFonts w:eastAsia="Arial Unicode MS"/>
          <w:noProof/>
          <w:u w:color="000000"/>
          <w:bdr w:val="nil"/>
        </w:rPr>
      </w:pPr>
      <w:r w:rsidRPr="000F656B">
        <w:rPr>
          <w:noProof/>
          <w:u w:color="000000"/>
          <w:bdr w:val="nil"/>
        </w:rPr>
        <w:t>•</w:t>
      </w:r>
      <w:r w:rsidRPr="000F656B">
        <w:rPr>
          <w:noProof/>
        </w:rPr>
        <w:tab/>
      </w:r>
      <w:r w:rsidRPr="000F656B">
        <w:rPr>
          <w:noProof/>
          <w:u w:color="000000"/>
          <w:bdr w:val="nil"/>
        </w:rPr>
        <w:t>Consultas con las partes interesadas</w:t>
      </w:r>
    </w:p>
    <w:p w:rsidR="00034A06" w:rsidRPr="000F656B" w:rsidRDefault="00186045" w:rsidP="00550536">
      <w:pPr>
        <w:pBdr>
          <w:top w:val="nil"/>
          <w:left w:val="nil"/>
          <w:bottom w:val="nil"/>
          <w:right w:val="nil"/>
          <w:between w:val="nil"/>
          <w:bar w:val="nil"/>
        </w:pBdr>
        <w:spacing w:before="0" w:after="240"/>
        <w:rPr>
          <w:rFonts w:eastAsia="Arial Unicode MS"/>
          <w:noProof/>
        </w:rPr>
      </w:pPr>
      <w:r w:rsidRPr="000F656B">
        <w:rPr>
          <w:noProof/>
        </w:rPr>
        <w:t>La propuesta es resultado de intercambios de alto nivel con otras instituciones y Estados miembros. No es necesario realizar una consulta pública, ya que no se necesita una evaluación de impacto.</w:t>
      </w:r>
    </w:p>
    <w:p w:rsidR="00034A06" w:rsidRPr="000F656B" w:rsidRDefault="00034A06" w:rsidP="00A4693B">
      <w:pPr>
        <w:pStyle w:val="ManualHeading2"/>
        <w:rPr>
          <w:rFonts w:eastAsia="Arial Unicode MS"/>
          <w:noProof/>
          <w:u w:color="000000"/>
          <w:bdr w:val="nil"/>
        </w:rPr>
      </w:pPr>
      <w:r w:rsidRPr="000F656B">
        <w:rPr>
          <w:noProof/>
          <w:u w:color="000000"/>
          <w:bdr w:val="nil"/>
        </w:rPr>
        <w:t>•</w:t>
      </w:r>
      <w:r w:rsidRPr="000F656B">
        <w:rPr>
          <w:noProof/>
        </w:rPr>
        <w:tab/>
      </w:r>
      <w:r w:rsidRPr="000F656B">
        <w:rPr>
          <w:noProof/>
          <w:u w:color="000000"/>
          <w:bdr w:val="nil"/>
        </w:rPr>
        <w:t>Obtención y uso de asesoramiento especializado</w:t>
      </w:r>
    </w:p>
    <w:p w:rsidR="00034A06" w:rsidRPr="000F656B" w:rsidRDefault="00186045" w:rsidP="00550536">
      <w:pPr>
        <w:pBdr>
          <w:top w:val="nil"/>
          <w:left w:val="nil"/>
          <w:bottom w:val="nil"/>
          <w:right w:val="nil"/>
          <w:between w:val="nil"/>
          <w:bar w:val="nil"/>
        </w:pBdr>
        <w:spacing w:before="0" w:after="240"/>
        <w:rPr>
          <w:rFonts w:eastAsia="Arial Unicode MS"/>
          <w:noProof/>
        </w:rPr>
      </w:pPr>
      <w:r w:rsidRPr="000F656B">
        <w:rPr>
          <w:noProof/>
        </w:rPr>
        <w:t>No aplicable</w:t>
      </w:r>
    </w:p>
    <w:p w:rsidR="00034A06" w:rsidRPr="000F656B" w:rsidRDefault="00034A06" w:rsidP="00A4693B">
      <w:pPr>
        <w:pStyle w:val="ManualHeading2"/>
        <w:rPr>
          <w:rFonts w:eastAsia="Arial Unicode MS"/>
          <w:noProof/>
          <w:u w:color="000000"/>
          <w:bdr w:val="nil"/>
        </w:rPr>
      </w:pPr>
      <w:r w:rsidRPr="000F656B">
        <w:rPr>
          <w:noProof/>
          <w:u w:color="000000"/>
          <w:bdr w:val="nil"/>
        </w:rPr>
        <w:t>•</w:t>
      </w:r>
      <w:r w:rsidRPr="000F656B">
        <w:rPr>
          <w:noProof/>
        </w:rPr>
        <w:tab/>
      </w:r>
      <w:r w:rsidRPr="000F656B">
        <w:rPr>
          <w:noProof/>
          <w:u w:color="000000"/>
          <w:bdr w:val="nil"/>
        </w:rPr>
        <w:t>Evaluación de impacto</w:t>
      </w:r>
    </w:p>
    <w:p w:rsidR="00186045" w:rsidRPr="000F656B" w:rsidRDefault="00186045" w:rsidP="00186045">
      <w:pPr>
        <w:pBdr>
          <w:top w:val="nil"/>
          <w:left w:val="nil"/>
          <w:bottom w:val="nil"/>
          <w:right w:val="nil"/>
          <w:between w:val="nil"/>
          <w:bar w:val="nil"/>
        </w:pBdr>
        <w:spacing w:before="0" w:after="240"/>
        <w:rPr>
          <w:noProof/>
        </w:rPr>
      </w:pPr>
      <w:r w:rsidRPr="000F656B">
        <w:rPr>
          <w:noProof/>
        </w:rPr>
        <w:t>Para elaborar las propuestas de Reglamentos (UE) n.º 1303/2013 y (UE) n.º 223/2014 se realizó una evaluación de impacto. El cambio específico que se va a llevar a cabo para responder a una situación crítica no requiere una nueva evaluación de impacto.</w:t>
      </w:r>
    </w:p>
    <w:p w:rsidR="00034A06" w:rsidRPr="000F656B" w:rsidRDefault="00034A06" w:rsidP="00A4693B">
      <w:pPr>
        <w:pStyle w:val="ManualHeading2"/>
        <w:rPr>
          <w:rFonts w:eastAsia="Arial Unicode MS"/>
          <w:noProof/>
          <w:u w:color="000000"/>
          <w:bdr w:val="nil"/>
        </w:rPr>
      </w:pPr>
      <w:r w:rsidRPr="000F656B">
        <w:rPr>
          <w:noProof/>
          <w:u w:color="000000"/>
          <w:bdr w:val="nil"/>
        </w:rPr>
        <w:t>•</w:t>
      </w:r>
      <w:r w:rsidRPr="000F656B">
        <w:rPr>
          <w:noProof/>
        </w:rPr>
        <w:tab/>
      </w:r>
      <w:r w:rsidRPr="000F656B">
        <w:rPr>
          <w:noProof/>
          <w:u w:color="000000"/>
          <w:bdr w:val="nil"/>
        </w:rPr>
        <w:t>Adecuación regulatoria y simplificación</w:t>
      </w:r>
    </w:p>
    <w:p w:rsidR="00186045" w:rsidRPr="000F656B" w:rsidRDefault="00186045" w:rsidP="00186045">
      <w:pPr>
        <w:rPr>
          <w:noProof/>
        </w:rPr>
      </w:pPr>
      <w:r w:rsidRPr="000F656B">
        <w:rPr>
          <w:noProof/>
        </w:rPr>
        <w:t>No aplicable</w:t>
      </w:r>
    </w:p>
    <w:p w:rsidR="00034A06" w:rsidRPr="000F656B" w:rsidRDefault="00034A06" w:rsidP="00A4693B">
      <w:pPr>
        <w:pStyle w:val="ManualHeading2"/>
        <w:rPr>
          <w:rFonts w:eastAsia="Arial Unicode MS"/>
          <w:noProof/>
          <w:u w:color="000000"/>
          <w:bdr w:val="nil"/>
        </w:rPr>
      </w:pPr>
      <w:r w:rsidRPr="000F656B">
        <w:rPr>
          <w:noProof/>
          <w:u w:color="000000"/>
          <w:bdr w:val="nil"/>
        </w:rPr>
        <w:t>•</w:t>
      </w:r>
      <w:r w:rsidRPr="000F656B">
        <w:rPr>
          <w:noProof/>
        </w:rPr>
        <w:tab/>
      </w:r>
      <w:r w:rsidRPr="000F656B">
        <w:rPr>
          <w:noProof/>
          <w:u w:color="000000"/>
          <w:bdr w:val="nil"/>
        </w:rPr>
        <w:t>Derechos fundamentales</w:t>
      </w:r>
    </w:p>
    <w:p w:rsidR="00186045" w:rsidRPr="000F656B" w:rsidRDefault="00186045" w:rsidP="00186045">
      <w:pPr>
        <w:rPr>
          <w:noProof/>
        </w:rPr>
      </w:pPr>
      <w:r w:rsidRPr="000F656B">
        <w:rPr>
          <w:noProof/>
        </w:rPr>
        <w:t>No aplicable</w:t>
      </w:r>
    </w:p>
    <w:p w:rsidR="00034A06" w:rsidRPr="000F656B" w:rsidRDefault="00034A06" w:rsidP="00550536">
      <w:pPr>
        <w:pStyle w:val="ManualHeading1"/>
        <w:rPr>
          <w:noProof/>
        </w:rPr>
      </w:pPr>
      <w:r w:rsidRPr="000F656B">
        <w:rPr>
          <w:noProof/>
        </w:rPr>
        <w:t>4.</w:t>
      </w:r>
      <w:r w:rsidRPr="000F656B">
        <w:rPr>
          <w:noProof/>
        </w:rPr>
        <w:tab/>
        <w:t>REPERCUSIONES PRESUPUESTARIAS</w:t>
      </w:r>
    </w:p>
    <w:p w:rsidR="00034A06" w:rsidRPr="000F656B" w:rsidRDefault="00186045" w:rsidP="00044058">
      <w:pPr>
        <w:pBdr>
          <w:top w:val="nil"/>
          <w:left w:val="nil"/>
          <w:bottom w:val="nil"/>
          <w:right w:val="nil"/>
          <w:between w:val="nil"/>
          <w:bar w:val="nil"/>
        </w:pBdr>
        <w:spacing w:before="0" w:after="240"/>
        <w:rPr>
          <w:noProof/>
        </w:rPr>
      </w:pPr>
      <w:r w:rsidRPr="000F656B">
        <w:rPr>
          <w:noProof/>
        </w:rPr>
        <w:t>La modificación que se propone de la propuesta de la Comisión de 23 de marzo de 2022 no implica ningún cambio en los créditos de compromiso del MFP 2021-2027.</w:t>
      </w:r>
    </w:p>
    <w:p w:rsidR="003E62BC" w:rsidRPr="000F656B" w:rsidRDefault="003E62BC" w:rsidP="00044058">
      <w:pPr>
        <w:pBdr>
          <w:top w:val="nil"/>
          <w:left w:val="nil"/>
          <w:bottom w:val="nil"/>
          <w:right w:val="nil"/>
          <w:between w:val="nil"/>
          <w:bar w:val="nil"/>
        </w:pBdr>
        <w:spacing w:before="0" w:after="240"/>
        <w:rPr>
          <w:rFonts w:eastAsia="Arial Unicode MS"/>
          <w:noProof/>
        </w:rPr>
      </w:pPr>
      <w:r w:rsidRPr="000F656B">
        <w:rPr>
          <w:noProof/>
        </w:rPr>
        <w:t>El recurso al nuevo coste unitario facilitaría la aceleración del desembolso de los fondos.</w:t>
      </w:r>
    </w:p>
    <w:p w:rsidR="00034A06" w:rsidRPr="000F656B" w:rsidRDefault="00034A06" w:rsidP="00550536">
      <w:pPr>
        <w:pStyle w:val="ManualHeading1"/>
        <w:rPr>
          <w:noProof/>
        </w:rPr>
      </w:pPr>
      <w:r w:rsidRPr="000F656B">
        <w:rPr>
          <w:noProof/>
        </w:rPr>
        <w:t>5.</w:t>
      </w:r>
      <w:r w:rsidRPr="000F656B">
        <w:rPr>
          <w:noProof/>
        </w:rPr>
        <w:tab/>
        <w:t>OTROS ELEMENTOS</w:t>
      </w:r>
    </w:p>
    <w:p w:rsidR="00034A06" w:rsidRPr="000F656B" w:rsidRDefault="00034A06" w:rsidP="00A4693B">
      <w:pPr>
        <w:pStyle w:val="ManualHeading2"/>
        <w:rPr>
          <w:rFonts w:eastAsia="Arial Unicode MS"/>
          <w:noProof/>
          <w:u w:color="000000"/>
          <w:bdr w:val="nil"/>
        </w:rPr>
      </w:pPr>
      <w:r w:rsidRPr="000F656B">
        <w:rPr>
          <w:noProof/>
          <w:u w:color="000000"/>
          <w:bdr w:val="nil"/>
        </w:rPr>
        <w:t>•</w:t>
      </w:r>
      <w:r w:rsidRPr="000F656B">
        <w:rPr>
          <w:noProof/>
        </w:rPr>
        <w:tab/>
      </w:r>
      <w:r w:rsidRPr="000F656B">
        <w:rPr>
          <w:noProof/>
          <w:u w:color="000000"/>
          <w:bdr w:val="nil"/>
        </w:rPr>
        <w:t>Planes de ejecución y modalidades de seguimiento, evaluación e información</w:t>
      </w:r>
    </w:p>
    <w:p w:rsidR="00186045" w:rsidRPr="000F656B" w:rsidRDefault="00186045" w:rsidP="00186045">
      <w:pPr>
        <w:pBdr>
          <w:top w:val="nil"/>
          <w:left w:val="nil"/>
          <w:bottom w:val="nil"/>
          <w:right w:val="nil"/>
          <w:between w:val="nil"/>
          <w:bar w:val="nil"/>
        </w:pBdr>
        <w:spacing w:before="0" w:after="240"/>
        <w:rPr>
          <w:rFonts w:eastAsia="Arial Unicode MS"/>
          <w:noProof/>
        </w:rPr>
      </w:pPr>
      <w:r w:rsidRPr="000F656B">
        <w:rPr>
          <w:noProof/>
        </w:rPr>
        <w:t>La ejecución de las medidas será objeto de seguimiento y de informes en el marco de los mecanismos generales de presentación de informes establecidos en los Reglamentos (UE) n.º 1303/2013 y (UE) n.º 223/2014.</w:t>
      </w:r>
    </w:p>
    <w:p w:rsidR="00034A06" w:rsidRPr="000F656B" w:rsidRDefault="00034A06" w:rsidP="00A4693B">
      <w:pPr>
        <w:pStyle w:val="ManualHeading2"/>
        <w:rPr>
          <w:rFonts w:eastAsia="Arial Unicode MS"/>
          <w:noProof/>
          <w:u w:color="000000"/>
          <w:bdr w:val="nil"/>
        </w:rPr>
      </w:pPr>
      <w:r w:rsidRPr="000F656B">
        <w:rPr>
          <w:noProof/>
          <w:u w:color="000000"/>
          <w:bdr w:val="nil"/>
        </w:rPr>
        <w:t>•</w:t>
      </w:r>
      <w:r w:rsidRPr="000F656B">
        <w:rPr>
          <w:noProof/>
        </w:rPr>
        <w:tab/>
      </w:r>
      <w:r w:rsidRPr="000F656B">
        <w:rPr>
          <w:noProof/>
          <w:u w:color="000000"/>
          <w:bdr w:val="nil"/>
        </w:rPr>
        <w:t>Documentos explicativos (para las Directivas)</w:t>
      </w:r>
    </w:p>
    <w:p w:rsidR="00186045" w:rsidRPr="000F656B" w:rsidRDefault="00186045" w:rsidP="00186045">
      <w:pPr>
        <w:pBdr>
          <w:top w:val="nil"/>
          <w:left w:val="nil"/>
          <w:bottom w:val="nil"/>
          <w:right w:val="nil"/>
          <w:between w:val="nil"/>
          <w:bar w:val="nil"/>
        </w:pBdr>
        <w:spacing w:before="0" w:after="240"/>
        <w:rPr>
          <w:noProof/>
        </w:rPr>
      </w:pPr>
      <w:r w:rsidRPr="000F656B">
        <w:rPr>
          <w:noProof/>
        </w:rPr>
        <w:t>No aplicable</w:t>
      </w:r>
    </w:p>
    <w:p w:rsidR="00034A06" w:rsidRPr="000F656B" w:rsidRDefault="00034A06" w:rsidP="00A4693B">
      <w:pPr>
        <w:pStyle w:val="ManualHeading2"/>
        <w:rPr>
          <w:rFonts w:eastAsia="Arial Unicode MS"/>
          <w:noProof/>
          <w:u w:color="000000"/>
          <w:bdr w:val="nil"/>
        </w:rPr>
      </w:pPr>
      <w:r w:rsidRPr="000F656B">
        <w:rPr>
          <w:noProof/>
          <w:u w:color="000000"/>
          <w:bdr w:val="nil"/>
        </w:rPr>
        <w:t>•</w:t>
      </w:r>
      <w:r w:rsidRPr="000F656B">
        <w:rPr>
          <w:noProof/>
        </w:rPr>
        <w:tab/>
      </w:r>
      <w:r w:rsidRPr="000F656B">
        <w:rPr>
          <w:noProof/>
          <w:u w:color="000000"/>
          <w:bdr w:val="nil"/>
        </w:rPr>
        <w:t>Explicación detallada de las disposiciones específicas de la propuesta</w:t>
      </w:r>
    </w:p>
    <w:p w:rsidR="00034A06" w:rsidRPr="000F656B" w:rsidRDefault="00186045" w:rsidP="00044058">
      <w:pPr>
        <w:pBdr>
          <w:top w:val="nil"/>
          <w:left w:val="nil"/>
          <w:bottom w:val="nil"/>
          <w:right w:val="nil"/>
          <w:between w:val="nil"/>
          <w:bar w:val="nil"/>
        </w:pBdr>
        <w:spacing w:before="0" w:after="240"/>
        <w:rPr>
          <w:noProof/>
        </w:rPr>
      </w:pPr>
      <w:r w:rsidRPr="000F656B">
        <w:rPr>
          <w:noProof/>
        </w:rPr>
        <w:t>La modificación que se propone de la propuesta de la Comisión de 23 de marzo de 2022 determina el establecimiento de un nuevo coste unitario para financiar medidas destinadas a hacer frente a los retos migratorios resultantes de la agresión militar por parte de la Federación de Rusia.</w:t>
      </w:r>
    </w:p>
    <w:p w:rsidR="00034A06" w:rsidRPr="000F656B" w:rsidRDefault="00034A06" w:rsidP="00F96E01">
      <w:pPr>
        <w:rPr>
          <w:noProof/>
        </w:rPr>
        <w:sectPr w:rsidR="00034A06" w:rsidRPr="000F656B" w:rsidSect="00045C9E">
          <w:footerReference w:type="default" r:id="rId10"/>
          <w:footerReference w:type="first" r:id="rId11"/>
          <w:pgSz w:w="11907" w:h="16839"/>
          <w:pgMar w:top="1134" w:right="1417" w:bottom="1134" w:left="1417" w:header="709" w:footer="709" w:gutter="0"/>
          <w:cols w:space="708"/>
          <w:docGrid w:linePitch="360"/>
        </w:sectPr>
      </w:pPr>
    </w:p>
    <w:p w:rsidR="00034A06" w:rsidRPr="000F656B" w:rsidRDefault="00F559FE" w:rsidP="00F559FE">
      <w:pPr>
        <w:pStyle w:val="Rfrenceinterinstitutionnelle"/>
        <w:rPr>
          <w:noProof/>
        </w:rPr>
      </w:pPr>
      <w:r w:rsidRPr="00F559FE">
        <w:t>2022/0096 (COD)</w:t>
      </w:r>
    </w:p>
    <w:p w:rsidR="00034A06" w:rsidRPr="000F656B" w:rsidRDefault="000F656B" w:rsidP="000F656B">
      <w:pPr>
        <w:pStyle w:val="Statut"/>
        <w:rPr>
          <w:noProof/>
        </w:rPr>
      </w:pPr>
      <w:r w:rsidRPr="000F656B">
        <w:rPr>
          <w:noProof/>
        </w:rPr>
        <w:t>Propuesta modificada de</w:t>
      </w:r>
    </w:p>
    <w:p w:rsidR="00034A06" w:rsidRPr="000F656B" w:rsidRDefault="000F656B" w:rsidP="000F656B">
      <w:pPr>
        <w:pStyle w:val="Typedudocument"/>
        <w:rPr>
          <w:noProof/>
        </w:rPr>
      </w:pPr>
      <w:r w:rsidRPr="000F656B">
        <w:rPr>
          <w:noProof/>
        </w:rPr>
        <w:t>REGLAMENTO DEL PARLAMENTO EUROPEO Y DEL CONSEJO</w:t>
      </w:r>
    </w:p>
    <w:p w:rsidR="00034A06" w:rsidRPr="000F656B" w:rsidRDefault="000F656B" w:rsidP="000F656B">
      <w:pPr>
        <w:pStyle w:val="Titreobjet"/>
        <w:rPr>
          <w:noProof/>
        </w:rPr>
      </w:pPr>
      <w:r w:rsidRPr="000F656B">
        <w:rPr>
          <w:noProof/>
        </w:rPr>
        <w:t>por el que se modifican los Reglamentos (UE) n.º 1303/2013 y (UE) n.º 223/2014 en lo que atañe al aumento de la prefinanciación procedente de los recursos REACT-UE</w:t>
      </w:r>
    </w:p>
    <w:p w:rsidR="00A356FB" w:rsidRPr="000F656B" w:rsidRDefault="00A356FB" w:rsidP="00A356FB">
      <w:pPr>
        <w:rPr>
          <w:noProof/>
        </w:rPr>
      </w:pPr>
      <w:r w:rsidRPr="000F656B">
        <w:rPr>
          <w:noProof/>
        </w:rPr>
        <w:t>La propuesta COM(2022) 145 de la Comisión se modifica como sigue:</w:t>
      </w:r>
    </w:p>
    <w:p w:rsidR="00564C3F" w:rsidRPr="000F656B" w:rsidRDefault="000F656B" w:rsidP="000F656B">
      <w:pPr>
        <w:pStyle w:val="Point0"/>
        <w:rPr>
          <w:noProof/>
        </w:rPr>
      </w:pPr>
      <w:r w:rsidRPr="000F656B">
        <w:rPr>
          <w:noProof/>
        </w:rPr>
        <w:t>1)</w:t>
      </w:r>
      <w:r w:rsidRPr="000F656B">
        <w:rPr>
          <w:noProof/>
        </w:rPr>
        <w:tab/>
      </w:r>
      <w:r w:rsidR="00564C3F" w:rsidRPr="000F656B">
        <w:rPr>
          <w:noProof/>
        </w:rPr>
        <w:t xml:space="preserve">El título se sustituye por el texto siguiente: </w:t>
      </w:r>
    </w:p>
    <w:p w:rsidR="00564C3F" w:rsidRPr="000F656B" w:rsidRDefault="00564C3F" w:rsidP="00784940">
      <w:pPr>
        <w:pStyle w:val="Text1"/>
        <w:rPr>
          <w:noProof/>
        </w:rPr>
      </w:pPr>
      <w:r w:rsidRPr="000F656B">
        <w:rPr>
          <w:noProof/>
        </w:rPr>
        <w:t>«REGLAMENTO DEL PARLAMENTO EUROPEO Y DEL CONSEJO</w:t>
      </w:r>
    </w:p>
    <w:p w:rsidR="00564C3F" w:rsidRPr="000F656B" w:rsidRDefault="00564C3F" w:rsidP="00784940">
      <w:pPr>
        <w:pStyle w:val="Text1"/>
        <w:rPr>
          <w:noProof/>
        </w:rPr>
      </w:pPr>
      <w:r w:rsidRPr="000F656B">
        <w:rPr>
          <w:noProof/>
        </w:rPr>
        <w:t>por el que se modifican los Reglamentos (UE) n.º 1303/2013 y (UE) n.º 223/2014 en lo que atañe al aumento de la prefinanciación procedente de los recursos REACT-UE y al establecimiento de un coste unitario».</w:t>
      </w:r>
    </w:p>
    <w:p w:rsidR="00A356FB" w:rsidRPr="000F656B" w:rsidRDefault="000F656B" w:rsidP="000F656B">
      <w:pPr>
        <w:pStyle w:val="Point0"/>
        <w:rPr>
          <w:noProof/>
        </w:rPr>
      </w:pPr>
      <w:r w:rsidRPr="000F656B">
        <w:rPr>
          <w:noProof/>
        </w:rPr>
        <w:t>2)</w:t>
      </w:r>
      <w:r w:rsidRPr="000F656B">
        <w:rPr>
          <w:noProof/>
        </w:rPr>
        <w:tab/>
      </w:r>
      <w:r w:rsidR="00A356FB" w:rsidRPr="000F656B">
        <w:rPr>
          <w:noProof/>
        </w:rPr>
        <w:t>Se inserta el considerando 5 </w:t>
      </w:r>
      <w:r w:rsidR="00A356FB" w:rsidRPr="000F656B">
        <w:rPr>
          <w:i/>
          <w:noProof/>
        </w:rPr>
        <w:t>bis</w:t>
      </w:r>
      <w:r w:rsidR="00A356FB" w:rsidRPr="000F656B">
        <w:rPr>
          <w:noProof/>
        </w:rPr>
        <w:t xml:space="preserve"> siguiente:</w:t>
      </w:r>
    </w:p>
    <w:p w:rsidR="00A356FB" w:rsidRPr="000F656B" w:rsidRDefault="00A356FB" w:rsidP="00784940">
      <w:pPr>
        <w:pStyle w:val="Text1"/>
        <w:rPr>
          <w:noProof/>
        </w:rPr>
      </w:pPr>
      <w:r w:rsidRPr="000F656B">
        <w:rPr>
          <w:noProof/>
        </w:rPr>
        <w:t>«Además, con el fin de simplificar el uso de los Fondos Estructurales y de Inversión Europeos y reducir la carga administrativa para las administraciones de los Estados miembros y los beneficiarios en el contexto de la respuesta a los retos migratorios resultantes de la agresión militar por parte de la Federación de Rusia, debe establecerse un coste unitario. Este coste unitario debe facilitar la financiación de las necesidades básicas de las personas a las que se haya concedido protección temporal u otra protección adecuada en el marco de la legislación nacional de conformidad con la Decisión de Ejecución (UE) 2022/382 del Consejo</w:t>
      </w:r>
      <w:r w:rsidRPr="000F656B">
        <w:rPr>
          <w:rStyle w:val="FootnoteReference"/>
          <w:noProof/>
        </w:rPr>
        <w:footnoteReference w:id="1"/>
      </w:r>
      <w:r w:rsidRPr="000F656B">
        <w:rPr>
          <w:noProof/>
        </w:rPr>
        <w:t xml:space="preserve"> y la Directiva 2001/55/CE del Consejo</w:t>
      </w:r>
      <w:r w:rsidRPr="000F656B">
        <w:rPr>
          <w:rStyle w:val="FootnoteReference"/>
          <w:noProof/>
        </w:rPr>
        <w:footnoteReference w:id="2"/>
      </w:r>
      <w:r w:rsidRPr="000F656B">
        <w:rPr>
          <w:noProof/>
        </w:rPr>
        <w:t xml:space="preserve"> y de la ayuda a esas personas en todos los Estados miembros en los que estén presentes durante las trece semanas posteriores a su llegada a la Unión Europea. De conformidad con la propuesta de la Comisión de 8 de marzo de 2022 Acción de Cohesión para los Refugiados en Europa (CARE), los Estados miembros también pueden aplicar este coste unitario al hacer uso de la posibilidad contemplada en el [artículo 98, apartado 4, del Reglamento (UE) n.º 1303/2013] de financiar tales operaciones con cargo al FEDER sobre la base de las normas aplicables al FSE, incluso cuando ello implique la utilización de recursos REACT-UE. Al hacer uso del coste unitario, los Estados miembros deben asegurarse de que cuentan con las medidas necesarias para evitar la doble financiación de los mismos costes.».</w:t>
      </w:r>
    </w:p>
    <w:p w:rsidR="00D00E4D" w:rsidRPr="000F656B" w:rsidRDefault="000F656B" w:rsidP="000F656B">
      <w:pPr>
        <w:pStyle w:val="Point0"/>
        <w:rPr>
          <w:noProof/>
        </w:rPr>
      </w:pPr>
      <w:r w:rsidRPr="000F656B">
        <w:rPr>
          <w:noProof/>
        </w:rPr>
        <w:t>3)</w:t>
      </w:r>
      <w:r w:rsidRPr="000F656B">
        <w:rPr>
          <w:noProof/>
        </w:rPr>
        <w:tab/>
      </w:r>
      <w:r w:rsidR="00D00E4D" w:rsidRPr="000F656B">
        <w:rPr>
          <w:noProof/>
        </w:rPr>
        <w:t xml:space="preserve">En el artículo 1, antes del punto 1, se inserta el punto siguiente: </w:t>
      </w:r>
    </w:p>
    <w:p w:rsidR="00A356FB" w:rsidRPr="000F656B" w:rsidRDefault="00361105" w:rsidP="00784940">
      <w:pPr>
        <w:pStyle w:val="Text1"/>
        <w:rPr>
          <w:noProof/>
        </w:rPr>
      </w:pPr>
      <w:r w:rsidRPr="000F656B">
        <w:rPr>
          <w:noProof/>
        </w:rPr>
        <w:t>«1)</w:t>
      </w:r>
      <w:r w:rsidRPr="000F656B">
        <w:rPr>
          <w:noProof/>
        </w:rPr>
        <w:tab/>
        <w:t xml:space="preserve">Se inserta el artículo 68 </w:t>
      </w:r>
      <w:r w:rsidRPr="000F656B">
        <w:rPr>
          <w:i/>
          <w:noProof/>
        </w:rPr>
        <w:t>quater</w:t>
      </w:r>
      <w:r w:rsidRPr="000F656B">
        <w:rPr>
          <w:noProof/>
        </w:rPr>
        <w:t xml:space="preserve"> siguiente: </w:t>
      </w:r>
    </w:p>
    <w:p w:rsidR="00A356FB" w:rsidRPr="000F656B" w:rsidRDefault="00A356FB" w:rsidP="00784940">
      <w:pPr>
        <w:pStyle w:val="Text1"/>
        <w:rPr>
          <w:i/>
          <w:noProof/>
        </w:rPr>
      </w:pPr>
      <w:r w:rsidRPr="000F656B">
        <w:rPr>
          <w:i/>
          <w:noProof/>
        </w:rPr>
        <w:t xml:space="preserve">Artículo 68 </w:t>
      </w:r>
      <w:r w:rsidRPr="000F656B">
        <w:rPr>
          <w:noProof/>
        </w:rPr>
        <w:t>quater</w:t>
      </w:r>
      <w:r w:rsidRPr="000F656B">
        <w:rPr>
          <w:i/>
          <w:noProof/>
        </w:rPr>
        <w:t xml:space="preserve"> </w:t>
      </w:r>
    </w:p>
    <w:p w:rsidR="00A356FB" w:rsidRPr="000F656B" w:rsidRDefault="00A356FB" w:rsidP="00784940">
      <w:pPr>
        <w:pStyle w:val="Text1"/>
        <w:rPr>
          <w:b/>
          <w:noProof/>
        </w:rPr>
      </w:pPr>
      <w:r w:rsidRPr="000F656B">
        <w:rPr>
          <w:b/>
          <w:noProof/>
        </w:rPr>
        <w:t>Coste unitario de las operaciones para hacer frente a los retos migratorios resultantes de la agresión militar por parte de la Federación de Rusia</w:t>
      </w:r>
    </w:p>
    <w:p w:rsidR="00983B22" w:rsidRPr="000F656B" w:rsidRDefault="00A356FB" w:rsidP="00784940">
      <w:pPr>
        <w:pStyle w:val="Text1"/>
        <w:rPr>
          <w:noProof/>
        </w:rPr>
      </w:pPr>
      <w:r w:rsidRPr="000F656B">
        <w:rPr>
          <w:noProof/>
        </w:rPr>
        <w:t xml:space="preserve">En relación con la ejecución de las operaciones para hacer frente a los retos migratorios resultantes de la agresión militar por parte de la Federación de Rusia, los Estados miembros podrán incluir en los gastos declarados en las solicitudes de pago un coste unitario vinculado a las necesidades básicas de las personas a las que se haya concedido protección temporal u otra protección adecuada en el marco de la legislación nacional de conformidad con la Decisión de Ejecución (UE) 2022/382 y la Directiva 2001/55/CE, ambas del Consejo, y a la ayuda a esas personas. Dicho coste unitario será de 40 EUR por semana por cada semana completa o parcial que la persona esté en el Estado miembro de que se trate. El coste unitario podrá utilizarse durante un máximo de trece semanas en total, a partir de la fecha de llegada de la persona a la Unión. </w:t>
      </w:r>
    </w:p>
    <w:p w:rsidR="00A356FB" w:rsidRPr="000F656B" w:rsidRDefault="00983B22" w:rsidP="00784940">
      <w:pPr>
        <w:pStyle w:val="Text1"/>
        <w:rPr>
          <w:noProof/>
        </w:rPr>
      </w:pPr>
      <w:r w:rsidRPr="000F656B">
        <w:rPr>
          <w:noProof/>
        </w:rPr>
        <w:t>Los importes calculados sobre esta base se considerarán ayudas públicas pagadas a los beneficiarios y gastos subvencionables a efectos de la aplicación del presente Reglamento.».</w:t>
      </w:r>
    </w:p>
    <w:p w:rsidR="00093372" w:rsidRPr="000F656B" w:rsidRDefault="000F656B" w:rsidP="000F656B">
      <w:pPr>
        <w:pStyle w:val="Point0"/>
        <w:rPr>
          <w:noProof/>
        </w:rPr>
      </w:pPr>
      <w:r w:rsidRPr="000F656B">
        <w:rPr>
          <w:noProof/>
        </w:rPr>
        <w:t>4)</w:t>
      </w:r>
      <w:r w:rsidRPr="000F656B">
        <w:rPr>
          <w:noProof/>
        </w:rPr>
        <w:tab/>
      </w:r>
      <w:r w:rsidR="00093372" w:rsidRPr="000F656B">
        <w:rPr>
          <w:noProof/>
        </w:rPr>
        <w:t>En el artículo 1, el punto 1 pasa a ser el punto 2 y el punto 2 pasa a ser el punto 3.</w:t>
      </w:r>
    </w:p>
    <w:p w:rsidR="00D00E4D" w:rsidRPr="000F656B" w:rsidRDefault="000F656B" w:rsidP="000F656B">
      <w:pPr>
        <w:pStyle w:val="Point0"/>
        <w:rPr>
          <w:noProof/>
        </w:rPr>
      </w:pPr>
      <w:r w:rsidRPr="000F656B">
        <w:rPr>
          <w:noProof/>
        </w:rPr>
        <w:t>5)</w:t>
      </w:r>
      <w:r w:rsidRPr="000F656B">
        <w:rPr>
          <w:noProof/>
        </w:rPr>
        <w:tab/>
      </w:r>
      <w:r w:rsidR="00D00E4D" w:rsidRPr="000F656B">
        <w:rPr>
          <w:noProof/>
        </w:rPr>
        <w:t xml:space="preserve">En el artículo 1, se añade el punto siguiente: </w:t>
      </w:r>
    </w:p>
    <w:p w:rsidR="00CD62A0" w:rsidRPr="000F656B" w:rsidRDefault="00361105" w:rsidP="00784940">
      <w:pPr>
        <w:pStyle w:val="Text1"/>
        <w:rPr>
          <w:noProof/>
        </w:rPr>
      </w:pPr>
      <w:r w:rsidRPr="000F656B">
        <w:rPr>
          <w:noProof/>
        </w:rPr>
        <w:t>«4)</w:t>
      </w:r>
      <w:r w:rsidRPr="000F656B">
        <w:rPr>
          <w:noProof/>
        </w:rPr>
        <w:tab/>
        <w:t>En el artículo 131, el apartado 2 se sustituye por el texto siguiente:</w:t>
      </w:r>
    </w:p>
    <w:p w:rsidR="00CD62A0" w:rsidRPr="000F656B" w:rsidRDefault="00CD62A0" w:rsidP="00784940">
      <w:pPr>
        <w:pStyle w:val="Text1"/>
        <w:rPr>
          <w:noProof/>
        </w:rPr>
      </w:pPr>
      <w:r w:rsidRPr="000F656B">
        <w:rPr>
          <w:noProof/>
        </w:rPr>
        <w:t>2. El gasto subvencionable incluido en una solicitud de pago estará documentado con facturas pagadas o documentos contables de valor probatorio equivalente, excepto si se trata de las formas de ayuda contempladas en el artículo 67, apartado 1, párrafo primero, letras b) a e), los artículos 68, 68 </w:t>
      </w:r>
      <w:r w:rsidRPr="000F656B">
        <w:rPr>
          <w:i/>
          <w:noProof/>
        </w:rPr>
        <w:t>bis</w:t>
      </w:r>
      <w:r w:rsidRPr="000F656B">
        <w:rPr>
          <w:noProof/>
        </w:rPr>
        <w:t xml:space="preserve">, 68 </w:t>
      </w:r>
      <w:r w:rsidRPr="000F656B">
        <w:rPr>
          <w:i/>
          <w:noProof/>
        </w:rPr>
        <w:t>ter</w:t>
      </w:r>
      <w:r w:rsidRPr="000F656B">
        <w:rPr>
          <w:noProof/>
        </w:rPr>
        <w:t xml:space="preserve"> y 68 </w:t>
      </w:r>
      <w:r w:rsidRPr="000F656B">
        <w:rPr>
          <w:i/>
          <w:noProof/>
        </w:rPr>
        <w:t>quater</w:t>
      </w:r>
      <w:r w:rsidRPr="000F656B">
        <w:rPr>
          <w:noProof/>
        </w:rPr>
        <w:t>, el artículo 69, apartado 1, y el artículo 109 del presente Reglamento, así como en el artículo 14 del Reglamento del FSE. Con respecto a esas formas de ayuda, los importes incluidos en una solicitud de pago serán los costes calculados en función de la base aplicable.».</w:t>
      </w:r>
    </w:p>
    <w:p w:rsidR="00034A06" w:rsidRPr="000F656B" w:rsidRDefault="00D971D0" w:rsidP="0004446C">
      <w:pPr>
        <w:pStyle w:val="Fait"/>
        <w:rPr>
          <w:noProof/>
        </w:rPr>
      </w:pPr>
      <w:r w:rsidRPr="00D971D0">
        <w:t>Hecho en Bruselas, el</w:t>
      </w:r>
    </w:p>
    <w:p w:rsidR="00034A06" w:rsidRPr="000F656B" w:rsidRDefault="00034A06" w:rsidP="0004446C">
      <w:pPr>
        <w:pStyle w:val="Institutionquisigne"/>
        <w:rPr>
          <w:noProof/>
        </w:rPr>
      </w:pPr>
      <w:r w:rsidRPr="000F656B">
        <w:rPr>
          <w:noProof/>
        </w:rPr>
        <w:t>Por el Parlamento Europeo</w:t>
      </w:r>
      <w:r w:rsidRPr="000F656B">
        <w:rPr>
          <w:noProof/>
        </w:rPr>
        <w:tab/>
        <w:t>Por el Consejo</w:t>
      </w:r>
    </w:p>
    <w:p w:rsidR="00034A06" w:rsidRPr="000F656B" w:rsidRDefault="00034A06" w:rsidP="00034A06">
      <w:pPr>
        <w:pStyle w:val="Personnequisigne"/>
        <w:rPr>
          <w:noProof/>
        </w:rPr>
      </w:pPr>
      <w:r w:rsidRPr="000F656B">
        <w:rPr>
          <w:noProof/>
        </w:rPr>
        <w:t>El Presidente / La Presidenta</w:t>
      </w:r>
      <w:r w:rsidRPr="000F656B">
        <w:rPr>
          <w:noProof/>
        </w:rPr>
        <w:tab/>
        <w:t>El Presidente / La Presidenta</w:t>
      </w:r>
    </w:p>
    <w:sectPr w:rsidR="00034A06" w:rsidRPr="000F656B" w:rsidSect="00045C9E">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867" w:rsidRDefault="00D62867" w:rsidP="00034A06">
      <w:pPr>
        <w:spacing w:before="0" w:after="0"/>
      </w:pPr>
      <w:r>
        <w:separator/>
      </w:r>
    </w:p>
  </w:endnote>
  <w:endnote w:type="continuationSeparator" w:id="0">
    <w:p w:rsidR="00D62867" w:rsidRDefault="00D62867" w:rsidP="00034A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348" w:rsidRPr="00045C9E" w:rsidRDefault="00045C9E" w:rsidP="00045C9E">
    <w:pPr>
      <w:pStyle w:val="Footer"/>
      <w:rPr>
        <w:rFonts w:ascii="Arial" w:hAnsi="Arial" w:cs="Arial"/>
        <w:b/>
        <w:sz w:val="48"/>
      </w:rPr>
    </w:pPr>
    <w:r w:rsidRPr="00045C9E">
      <w:rPr>
        <w:rFonts w:ascii="Arial" w:hAnsi="Arial" w:cs="Arial"/>
        <w:b/>
        <w:sz w:val="48"/>
      </w:rPr>
      <w:t>ES</w:t>
    </w:r>
    <w:r w:rsidRPr="00045C9E">
      <w:rPr>
        <w:rFonts w:ascii="Arial" w:hAnsi="Arial" w:cs="Arial"/>
        <w:b/>
        <w:sz w:val="48"/>
      </w:rPr>
      <w:tab/>
    </w:r>
    <w:r w:rsidRPr="00045C9E">
      <w:rPr>
        <w:rFonts w:ascii="Arial" w:hAnsi="Arial" w:cs="Arial"/>
        <w:b/>
        <w:sz w:val="48"/>
      </w:rPr>
      <w:tab/>
    </w:r>
    <w:r w:rsidRPr="00045C9E">
      <w:tab/>
    </w:r>
    <w:r w:rsidRPr="00045C9E">
      <w:rPr>
        <w:rFonts w:ascii="Arial" w:hAnsi="Arial" w:cs="Arial"/>
        <w:b/>
        <w:sz w:val="48"/>
      </w:rPr>
      <w:t>ES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C9E" w:rsidRPr="00045C9E" w:rsidRDefault="00045C9E" w:rsidP="00045C9E">
    <w:pPr>
      <w:pStyle w:val="Footer"/>
      <w:rPr>
        <w:rFonts w:ascii="Arial" w:hAnsi="Arial" w:cs="Arial"/>
        <w:b/>
        <w:sz w:val="48"/>
      </w:rPr>
    </w:pPr>
    <w:r w:rsidRPr="00045C9E">
      <w:rPr>
        <w:rFonts w:ascii="Arial" w:hAnsi="Arial" w:cs="Arial"/>
        <w:b/>
        <w:sz w:val="48"/>
      </w:rPr>
      <w:t>ES</w:t>
    </w:r>
    <w:r w:rsidRPr="00045C9E">
      <w:rPr>
        <w:rFonts w:ascii="Arial" w:hAnsi="Arial" w:cs="Arial"/>
        <w:b/>
        <w:sz w:val="48"/>
      </w:rPr>
      <w:tab/>
    </w:r>
    <w:r>
      <w:fldChar w:fldCharType="begin"/>
    </w:r>
    <w:r>
      <w:instrText xml:space="preserve"> PAGE  \* MERGEFORMAT </w:instrText>
    </w:r>
    <w:r>
      <w:fldChar w:fldCharType="separate"/>
    </w:r>
    <w:r w:rsidR="0004446C">
      <w:rPr>
        <w:noProof/>
      </w:rPr>
      <w:t>5</w:t>
    </w:r>
    <w:r>
      <w:fldChar w:fldCharType="end"/>
    </w:r>
    <w:r>
      <w:tab/>
    </w:r>
    <w:r w:rsidRPr="00045C9E">
      <w:tab/>
    </w:r>
    <w:r w:rsidRPr="00045C9E">
      <w:rPr>
        <w:rFonts w:ascii="Arial" w:hAnsi="Arial" w:cs="Arial"/>
        <w:b/>
        <w:sz w:val="48"/>
      </w:rPr>
      <w:t>ES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C9E" w:rsidRPr="00045C9E" w:rsidRDefault="00045C9E" w:rsidP="00045C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867" w:rsidRDefault="00D62867" w:rsidP="00034A06">
      <w:pPr>
        <w:spacing w:before="0" w:after="0"/>
      </w:pPr>
      <w:r>
        <w:separator/>
      </w:r>
    </w:p>
  </w:footnote>
  <w:footnote w:type="continuationSeparator" w:id="0">
    <w:p w:rsidR="00D62867" w:rsidRDefault="00D62867" w:rsidP="00034A06">
      <w:pPr>
        <w:spacing w:before="0" w:after="0"/>
      </w:pPr>
      <w:r>
        <w:continuationSeparator/>
      </w:r>
    </w:p>
  </w:footnote>
  <w:footnote w:id="1">
    <w:p w:rsidR="004C0943" w:rsidRDefault="004C0943" w:rsidP="004C0943">
      <w:pPr>
        <w:pStyle w:val="FootnoteText"/>
      </w:pPr>
      <w:r>
        <w:rPr>
          <w:rStyle w:val="FootnoteReference"/>
        </w:rPr>
        <w:footnoteRef/>
      </w:r>
      <w:r>
        <w:tab/>
        <w:t>Decisión de Ejecución (UE) 2022/382 del Consejo, de 4 de marzo de 2022, por la que se constata la existencia de una afluencia masiva de personas desplazadas procedentes de Ucrania en el sentido del artículo 5 de la Directiva 2001/55/CE y con el efecto de que se inicie la protección temporal (DO L 71 de 4.3.2022, p. 1).</w:t>
      </w:r>
    </w:p>
  </w:footnote>
  <w:footnote w:id="2">
    <w:p w:rsidR="00093372" w:rsidRPr="00093372" w:rsidRDefault="00093372">
      <w:pPr>
        <w:pStyle w:val="FootnoteText"/>
      </w:pPr>
      <w:r>
        <w:rPr>
          <w:rStyle w:val="FootnoteReference"/>
        </w:rPr>
        <w:footnoteRef/>
      </w:r>
      <w:r>
        <w:tab/>
        <w:t>Directiva 2001/55/CE del Consejo, de 20 de julio de 2001, relativa a las normas mínimas para la concesión de protección temporal en caso de afluencia masiva de personas desplazadas y a medidas de fomento de un esfuerzo equitativo entre los Estados miembros para acoger a dichas personas y asumir las consecuencias de su acogida (DO L 212 de 7.8.2001, p. 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8A4919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966DB6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884E8396"/>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08E464B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34C608D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C8A807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A14112E"/>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1156575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 w:numId="8">
    <w:abstractNumId w:val="1"/>
  </w:num>
  <w:num w:numId="9">
    <w:abstractNumId w:val="0"/>
  </w:num>
  <w:num w:numId="10">
    <w:abstractNumId w:val="19"/>
  </w:num>
  <w:num w:numId="11">
    <w:abstractNumId w:val="12"/>
  </w:num>
  <w:num w:numId="12">
    <w:abstractNumId w:val="21"/>
  </w:num>
  <w:num w:numId="13">
    <w:abstractNumId w:val="11"/>
  </w:num>
  <w:num w:numId="14">
    <w:abstractNumId w:val="13"/>
  </w:num>
  <w:num w:numId="15">
    <w:abstractNumId w:val="14"/>
  </w:num>
  <w:num w:numId="16">
    <w:abstractNumId w:val="9"/>
  </w:num>
  <w:num w:numId="17">
    <w:abstractNumId w:val="20"/>
  </w:num>
  <w:num w:numId="18">
    <w:abstractNumId w:val="8"/>
  </w:num>
  <w:num w:numId="19">
    <w:abstractNumId w:val="15"/>
  </w:num>
  <w:num w:numId="20">
    <w:abstractNumId w:val="17"/>
  </w:num>
  <w:num w:numId="21">
    <w:abstractNumId w:val="18"/>
  </w:num>
  <w:num w:numId="22">
    <w:abstractNumId w:val="10"/>
  </w:num>
  <w:num w:numId="23">
    <w:abstractNumId w:val="16"/>
  </w:num>
  <w:num w:numId="24">
    <w:abstractNumId w:val="22"/>
  </w:num>
  <w:num w:numId="25">
    <w:abstractNumId w:val="19"/>
  </w:num>
  <w:num w:numId="26">
    <w:abstractNumId w:val="12"/>
  </w:num>
  <w:num w:numId="27">
    <w:abstractNumId w:val="21"/>
  </w:num>
  <w:num w:numId="28">
    <w:abstractNumId w:val="11"/>
  </w:num>
  <w:num w:numId="29">
    <w:abstractNumId w:val="13"/>
  </w:num>
  <w:num w:numId="30">
    <w:abstractNumId w:val="14"/>
  </w:num>
  <w:num w:numId="31">
    <w:abstractNumId w:val="9"/>
  </w:num>
  <w:num w:numId="32">
    <w:abstractNumId w:val="20"/>
  </w:num>
  <w:num w:numId="33">
    <w:abstractNumId w:val="8"/>
  </w:num>
  <w:num w:numId="34">
    <w:abstractNumId w:val="15"/>
  </w:num>
  <w:num w:numId="35">
    <w:abstractNumId w:val="17"/>
  </w:num>
  <w:num w:numId="36">
    <w:abstractNumId w:val="18"/>
  </w:num>
  <w:num w:numId="37">
    <w:abstractNumId w:val="10"/>
  </w:num>
  <w:num w:numId="38">
    <w:abstractNumId w:val="16"/>
  </w:num>
  <w:num w:numId="39">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22-04-01 07:49:41"/>
    <w:docVar w:name="DQCResult_Distribution" w:val="0;0"/>
    <w:docVar w:name="DQCResult_DocumentContent" w:val="0;0"/>
    <w:docVar w:name="DQCResult_DocumentSize" w:val="0;0"/>
    <w:docVar w:name="DQCResult_InvalidFootnotes" w:val="0;0"/>
    <w:docVar w:name="DQCResult_LinkedStyles" w:val="0;0"/>
    <w:docVar w:name="DQCResult_ModifiedMarkers" w:val="0;0"/>
    <w:docVar w:name="DQCResult_ModifiedNumbering" w:val="0;0"/>
    <w:docVar w:name="DQCResult_Objects" w:val="0;0"/>
    <w:docVar w:name="DQCResult_StructureCheck" w:val="0;0"/>
    <w:docVar w:name="DQCResult_UnknownFonts" w:val="0;0"/>
    <w:docVar w:name="DQCStatus" w:val="Green"/>
    <w:docVar w:name="DQCVersion" w:val="3"/>
    <w:docVar w:name="DQCWithWarnings" w:val="0"/>
    <w:docVar w:name="LW_CORRIGENDUM" w:val="&lt;UNUSED&gt;"/>
    <w:docVar w:name="LW_COVERPAGE_EXISTS" w:val="True"/>
    <w:docVar w:name="LW_COVERPAGE_GUID" w:val="2E279668-BDE4-466D-9C44-08785DE98B95"/>
    <w:docVar w:name="LW_COVERPAGE_TYPE" w:val="1"/>
    <w:docVar w:name="LW_CROSSREFERENCE" w:val="&lt;UNUSED&gt;"/>
    <w:docVar w:name="LW_DocType" w:val="COM"/>
    <w:docVar w:name="LW_EMISSION" w:val="31.3.2022"/>
    <w:docVar w:name="LW_EMISSION_ISODATE" w:val="2022-03-31"/>
    <w:docVar w:name="LW_EMISSION_LOCATION" w:val="BRX"/>
    <w:docVar w:name="LW_EMISSION_PREFIX" w:val="Bruselas, "/>
    <w:docVar w:name="LW_EMISSION_SUFFIX" w:val=" "/>
    <w:docVar w:name="LW_ID_DOCMODEL" w:val="SJ-023"/>
    <w:docVar w:name="LW_ID_DOCSIGNATURE" w:val="SJ-023"/>
    <w:docVar w:name="LW_ID_DOCSTRUCTURE" w:val="COM/PL/MOD"/>
    <w:docVar w:name="LW_ID_DOCTYPE" w:val="SG-005"/>
    <w:docVar w:name="LW_ID_EXP.MOTIFS.NEW" w:val="EM_PL_"/>
    <w:docVar w:name="LW_ID_STATUT" w:val="SG-005"/>
    <w:docVar w:name="LW_INTERETEEE.CP" w:val="&lt;UNUSED&gt;"/>
    <w:docVar w:name="LW_LANGUE" w:val="ES"/>
    <w:docVar w:name="LW_LEVEL_OF_SENSITIVITY" w:val="Standard treatment"/>
    <w:docVar w:name="LW_NOM.INST" w:val="COMISIÓN EUROPEA"/>
    <w:docVar w:name="LW_NOM.INST_JOINTDOC" w:val="&lt;EMPTY&gt;"/>
    <w:docVar w:name="LW_PART_NBR" w:val="1"/>
    <w:docVar w:name="LW_PART_NBR_TOTAL" w:val="1"/>
    <w:docVar w:name="LW_REF.II.NEW.CP" w:val="COD"/>
    <w:docVar w:name="LW_REF.II.NEW.CP_NUMBER" w:val="0096"/>
    <w:docVar w:name="LW_REF.II.NEW.CP_YEAR" w:val="2022"/>
    <w:docVar w:name="LW_REF.INST.NEW" w:val="COM"/>
    <w:docVar w:name="LW_REF.INST.NEW_ADOPTED" w:val="final"/>
    <w:docVar w:name="LW_REF.INST.NEW_TEXT" w:val="(2022) 16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uesta modificada de"/>
    <w:docVar w:name="LW_SUPERTITRE" w:val="&lt;UNUSED&gt;"/>
    <w:docVar w:name="LW_TITRE.OBJ.CP" w:val="por el que se modifican los Reglamentos (UE) n.º 1303/2013 y (UE) n.º 223/2014 en lo que atañe al aumento de la prefinanciación procedente de los recursos REACT-UE"/>
    <w:docVar w:name="LW_TYPE.DOC.CP" w:val="REGLAMENTO DEL PARLAMENTO EUROPEO Y DEL CONSEJO"/>
    <w:docVar w:name="LwApiVersions" w:val="LW4CoDe 1.23.2.0; LW 8.0, Build 20211117"/>
  </w:docVars>
  <w:rsids>
    <w:rsidRoot w:val="00034A06"/>
    <w:rsid w:val="000347A2"/>
    <w:rsid w:val="00034A06"/>
    <w:rsid w:val="0004446C"/>
    <w:rsid w:val="00045C9E"/>
    <w:rsid w:val="00077717"/>
    <w:rsid w:val="0008310F"/>
    <w:rsid w:val="0008636A"/>
    <w:rsid w:val="00093372"/>
    <w:rsid w:val="000B1680"/>
    <w:rsid w:val="000B7A7D"/>
    <w:rsid w:val="000F656B"/>
    <w:rsid w:val="00102682"/>
    <w:rsid w:val="00152894"/>
    <w:rsid w:val="0017466F"/>
    <w:rsid w:val="00186045"/>
    <w:rsid w:val="001F3DD2"/>
    <w:rsid w:val="00217D0B"/>
    <w:rsid w:val="00224BEE"/>
    <w:rsid w:val="00276C39"/>
    <w:rsid w:val="00284106"/>
    <w:rsid w:val="002E1ACF"/>
    <w:rsid w:val="00320988"/>
    <w:rsid w:val="0035236F"/>
    <w:rsid w:val="00361105"/>
    <w:rsid w:val="00396ACD"/>
    <w:rsid w:val="003B754A"/>
    <w:rsid w:val="003E62BC"/>
    <w:rsid w:val="00420627"/>
    <w:rsid w:val="00424EF4"/>
    <w:rsid w:val="00437AA5"/>
    <w:rsid w:val="00437BEF"/>
    <w:rsid w:val="004667A7"/>
    <w:rsid w:val="004707F4"/>
    <w:rsid w:val="00492396"/>
    <w:rsid w:val="004C0943"/>
    <w:rsid w:val="004E19F9"/>
    <w:rsid w:val="004F415C"/>
    <w:rsid w:val="00517205"/>
    <w:rsid w:val="00542487"/>
    <w:rsid w:val="00550298"/>
    <w:rsid w:val="0055160F"/>
    <w:rsid w:val="00564C3F"/>
    <w:rsid w:val="00574C6D"/>
    <w:rsid w:val="00582810"/>
    <w:rsid w:val="00595540"/>
    <w:rsid w:val="0059639B"/>
    <w:rsid w:val="005B55B3"/>
    <w:rsid w:val="005B5FA6"/>
    <w:rsid w:val="005C19FA"/>
    <w:rsid w:val="006654AB"/>
    <w:rsid w:val="006B6C42"/>
    <w:rsid w:val="006D27C6"/>
    <w:rsid w:val="006F3290"/>
    <w:rsid w:val="006F7EFE"/>
    <w:rsid w:val="00717CB6"/>
    <w:rsid w:val="00784940"/>
    <w:rsid w:val="007906C3"/>
    <w:rsid w:val="007B49A0"/>
    <w:rsid w:val="007D0861"/>
    <w:rsid w:val="007E010B"/>
    <w:rsid w:val="00802FC2"/>
    <w:rsid w:val="00863DA1"/>
    <w:rsid w:val="00890746"/>
    <w:rsid w:val="008A0348"/>
    <w:rsid w:val="008D1F33"/>
    <w:rsid w:val="008E2694"/>
    <w:rsid w:val="00940731"/>
    <w:rsid w:val="00982EC6"/>
    <w:rsid w:val="00983253"/>
    <w:rsid w:val="00983B22"/>
    <w:rsid w:val="009957C5"/>
    <w:rsid w:val="00A356FB"/>
    <w:rsid w:val="00A565C7"/>
    <w:rsid w:val="00A675D2"/>
    <w:rsid w:val="00A87F73"/>
    <w:rsid w:val="00AA5728"/>
    <w:rsid w:val="00B36DD0"/>
    <w:rsid w:val="00BC2FA6"/>
    <w:rsid w:val="00C3731F"/>
    <w:rsid w:val="00C65614"/>
    <w:rsid w:val="00CC28A3"/>
    <w:rsid w:val="00CC6F5D"/>
    <w:rsid w:val="00CD62A0"/>
    <w:rsid w:val="00CE01BA"/>
    <w:rsid w:val="00CF2693"/>
    <w:rsid w:val="00D00E4D"/>
    <w:rsid w:val="00D62867"/>
    <w:rsid w:val="00D971D0"/>
    <w:rsid w:val="00DB4B20"/>
    <w:rsid w:val="00E07235"/>
    <w:rsid w:val="00E07458"/>
    <w:rsid w:val="00E33C9F"/>
    <w:rsid w:val="00E366C4"/>
    <w:rsid w:val="00E54578"/>
    <w:rsid w:val="00E979AB"/>
    <w:rsid w:val="00EC39BC"/>
    <w:rsid w:val="00EE140B"/>
    <w:rsid w:val="00EF71F2"/>
    <w:rsid w:val="00F219A4"/>
    <w:rsid w:val="00F559FE"/>
    <w:rsid w:val="00FC2396"/>
    <w:rsid w:val="00FD047C"/>
    <w:rsid w:val="00FD68BB"/>
    <w:rsid w:val="00FE4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A78B3FE1-F16D-49FB-8E22-BE1C24BBE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s-ES_tradnl"/>
    </w:rPr>
  </w:style>
  <w:style w:type="paragraph" w:styleId="Heading1">
    <w:name w:val="heading 1"/>
    <w:basedOn w:val="Normal"/>
    <w:next w:val="Text1"/>
    <w:link w:val="Heading1Char"/>
    <w:uiPriority w:val="9"/>
    <w:qFormat/>
    <w:rsid w:val="00517205"/>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517205"/>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517205"/>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rsid w:val="00517205"/>
    <w:pPr>
      <w:keepNext/>
      <w:numPr>
        <w:ilvl w:val="3"/>
        <w:numId w:val="32"/>
      </w:numPr>
      <w:outlineLvl w:val="3"/>
    </w:pPr>
    <w:rPr>
      <w:rFonts w:eastAsiaTheme="majorEastAsia"/>
      <w:bCs/>
      <w:iCs/>
    </w:rPr>
  </w:style>
  <w:style w:type="paragraph" w:styleId="Heading5">
    <w:name w:val="heading 5"/>
    <w:basedOn w:val="Normal"/>
    <w:next w:val="Text2"/>
    <w:link w:val="Heading5Char"/>
    <w:uiPriority w:val="9"/>
    <w:semiHidden/>
    <w:unhideWhenUsed/>
    <w:qFormat/>
    <w:rsid w:val="00517205"/>
    <w:pPr>
      <w:keepNext/>
      <w:numPr>
        <w:ilvl w:val="4"/>
        <w:numId w:val="32"/>
      </w:numPr>
      <w:outlineLvl w:val="4"/>
    </w:pPr>
    <w:rPr>
      <w:rFonts w:eastAsiaTheme="majorEastAsia"/>
    </w:rPr>
  </w:style>
  <w:style w:type="paragraph" w:styleId="Heading6">
    <w:name w:val="heading 6"/>
    <w:basedOn w:val="Normal"/>
    <w:next w:val="Text2"/>
    <w:link w:val="Heading6Char"/>
    <w:uiPriority w:val="9"/>
    <w:semiHidden/>
    <w:unhideWhenUsed/>
    <w:qFormat/>
    <w:rsid w:val="00517205"/>
    <w:pPr>
      <w:keepNext/>
      <w:numPr>
        <w:ilvl w:val="5"/>
        <w:numId w:val="32"/>
      </w:numPr>
      <w:outlineLvl w:val="5"/>
    </w:pPr>
    <w:rPr>
      <w:rFonts w:eastAsiaTheme="majorEastAsia"/>
      <w:iCs/>
    </w:rPr>
  </w:style>
  <w:style w:type="paragraph" w:styleId="Heading7">
    <w:name w:val="heading 7"/>
    <w:basedOn w:val="Normal"/>
    <w:next w:val="Text2"/>
    <w:link w:val="Heading7Char"/>
    <w:uiPriority w:val="9"/>
    <w:semiHidden/>
    <w:unhideWhenUsed/>
    <w:qFormat/>
    <w:rsid w:val="00517205"/>
    <w:pPr>
      <w:keepNext/>
      <w:numPr>
        <w:ilvl w:val="6"/>
        <w:numId w:val="32"/>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35236F"/>
    <w:pPr>
      <w:numPr>
        <w:numId w:val="1"/>
      </w:numPr>
      <w:contextualSpacing/>
    </w:pPr>
  </w:style>
  <w:style w:type="paragraph" w:styleId="ListBullet2">
    <w:name w:val="List Bullet 2"/>
    <w:basedOn w:val="Normal"/>
    <w:uiPriority w:val="99"/>
    <w:semiHidden/>
    <w:unhideWhenUsed/>
    <w:rsid w:val="0035236F"/>
    <w:pPr>
      <w:numPr>
        <w:numId w:val="2"/>
      </w:numPr>
      <w:contextualSpacing/>
    </w:pPr>
  </w:style>
  <w:style w:type="paragraph" w:styleId="ListBullet3">
    <w:name w:val="List Bullet 3"/>
    <w:basedOn w:val="Normal"/>
    <w:uiPriority w:val="99"/>
    <w:semiHidden/>
    <w:unhideWhenUsed/>
    <w:rsid w:val="0035236F"/>
    <w:pPr>
      <w:numPr>
        <w:numId w:val="3"/>
      </w:numPr>
      <w:contextualSpacing/>
    </w:pPr>
  </w:style>
  <w:style w:type="paragraph" w:styleId="ListBullet4">
    <w:name w:val="List Bullet 4"/>
    <w:basedOn w:val="Normal"/>
    <w:uiPriority w:val="99"/>
    <w:semiHidden/>
    <w:unhideWhenUsed/>
    <w:rsid w:val="0035236F"/>
    <w:pPr>
      <w:numPr>
        <w:numId w:val="4"/>
      </w:numPr>
      <w:contextualSpacing/>
    </w:pPr>
  </w:style>
  <w:style w:type="paragraph" w:styleId="CommentText">
    <w:name w:val="annotation text"/>
    <w:basedOn w:val="Normal"/>
    <w:link w:val="CommentTextChar"/>
    <w:uiPriority w:val="99"/>
    <w:semiHidden/>
    <w:unhideWhenUsed/>
    <w:rsid w:val="00A356FB"/>
    <w:pPr>
      <w:spacing w:before="0" w:after="200"/>
      <w:jc w:val="left"/>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356FB"/>
    <w:rPr>
      <w:sz w:val="20"/>
      <w:szCs w:val="20"/>
      <w:lang w:val="es-ES"/>
    </w:rPr>
  </w:style>
  <w:style w:type="character" w:styleId="CommentReference">
    <w:name w:val="annotation reference"/>
    <w:basedOn w:val="DefaultParagraphFont"/>
    <w:uiPriority w:val="99"/>
    <w:semiHidden/>
    <w:unhideWhenUsed/>
    <w:rsid w:val="00A356FB"/>
    <w:rPr>
      <w:sz w:val="16"/>
      <w:szCs w:val="16"/>
    </w:rPr>
  </w:style>
  <w:style w:type="paragraph" w:styleId="BalloonText">
    <w:name w:val="Balloon Text"/>
    <w:basedOn w:val="Normal"/>
    <w:link w:val="BalloonTextChar"/>
    <w:uiPriority w:val="99"/>
    <w:semiHidden/>
    <w:unhideWhenUsed/>
    <w:rsid w:val="00A356F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6FB"/>
    <w:rPr>
      <w:rFonts w:ascii="Segoe UI" w:hAnsi="Segoe UI" w:cs="Segoe UI"/>
      <w:sz w:val="18"/>
      <w:szCs w:val="18"/>
      <w:lang w:val="es-ES"/>
    </w:rPr>
  </w:style>
  <w:style w:type="paragraph" w:styleId="CommentSubject">
    <w:name w:val="annotation subject"/>
    <w:basedOn w:val="CommentText"/>
    <w:next w:val="CommentText"/>
    <w:link w:val="CommentSubjectChar"/>
    <w:uiPriority w:val="99"/>
    <w:semiHidden/>
    <w:unhideWhenUsed/>
    <w:rsid w:val="00CD62A0"/>
    <w:pPr>
      <w:spacing w:before="120" w:after="120"/>
      <w:jc w:val="both"/>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CD62A0"/>
    <w:rPr>
      <w:rFonts w:ascii="Times New Roman" w:hAnsi="Times New Roman" w:cs="Times New Roman"/>
      <w:b/>
      <w:bCs/>
      <w:sz w:val="20"/>
      <w:szCs w:val="20"/>
      <w:lang w:val="es-ES"/>
    </w:rPr>
  </w:style>
  <w:style w:type="paragraph" w:styleId="EndnoteText">
    <w:name w:val="endnote text"/>
    <w:basedOn w:val="Normal"/>
    <w:link w:val="EndnoteTextChar"/>
    <w:uiPriority w:val="99"/>
    <w:semiHidden/>
    <w:unhideWhenUsed/>
    <w:rsid w:val="004C0943"/>
    <w:pPr>
      <w:spacing w:before="0" w:after="0"/>
    </w:pPr>
    <w:rPr>
      <w:sz w:val="20"/>
      <w:szCs w:val="20"/>
    </w:rPr>
  </w:style>
  <w:style w:type="character" w:customStyle="1" w:styleId="EndnoteTextChar">
    <w:name w:val="Endnote Text Char"/>
    <w:basedOn w:val="DefaultParagraphFont"/>
    <w:link w:val="EndnoteText"/>
    <w:uiPriority w:val="99"/>
    <w:semiHidden/>
    <w:rsid w:val="004C0943"/>
    <w:rPr>
      <w:rFonts w:ascii="Times New Roman" w:hAnsi="Times New Roman" w:cs="Times New Roman"/>
      <w:sz w:val="20"/>
      <w:szCs w:val="20"/>
      <w:lang w:val="es-ES"/>
    </w:rPr>
  </w:style>
  <w:style w:type="character" w:styleId="EndnoteReference">
    <w:name w:val="endnote reference"/>
    <w:basedOn w:val="DefaultParagraphFont"/>
    <w:uiPriority w:val="99"/>
    <w:semiHidden/>
    <w:unhideWhenUsed/>
    <w:rsid w:val="004C0943"/>
    <w:rPr>
      <w:vertAlign w:val="superscript"/>
    </w:rPr>
  </w:style>
  <w:style w:type="paragraph" w:styleId="Caption">
    <w:name w:val="caption"/>
    <w:basedOn w:val="Normal"/>
    <w:next w:val="Normal"/>
    <w:uiPriority w:val="35"/>
    <w:semiHidden/>
    <w:unhideWhenUsed/>
    <w:qFormat/>
    <w:rsid w:val="008A0348"/>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8A0348"/>
    <w:pPr>
      <w:spacing w:after="0"/>
    </w:pPr>
  </w:style>
  <w:style w:type="paragraph" w:styleId="ListNumber">
    <w:name w:val="List Number"/>
    <w:basedOn w:val="Normal"/>
    <w:uiPriority w:val="99"/>
    <w:semiHidden/>
    <w:unhideWhenUsed/>
    <w:rsid w:val="008A0348"/>
    <w:pPr>
      <w:numPr>
        <w:numId w:val="6"/>
      </w:numPr>
      <w:contextualSpacing/>
    </w:pPr>
  </w:style>
  <w:style w:type="paragraph" w:styleId="ListNumber2">
    <w:name w:val="List Number 2"/>
    <w:basedOn w:val="Normal"/>
    <w:uiPriority w:val="99"/>
    <w:semiHidden/>
    <w:unhideWhenUsed/>
    <w:rsid w:val="008A0348"/>
    <w:pPr>
      <w:numPr>
        <w:numId w:val="7"/>
      </w:numPr>
      <w:contextualSpacing/>
    </w:pPr>
  </w:style>
  <w:style w:type="paragraph" w:styleId="ListNumber3">
    <w:name w:val="List Number 3"/>
    <w:basedOn w:val="Normal"/>
    <w:uiPriority w:val="99"/>
    <w:semiHidden/>
    <w:unhideWhenUsed/>
    <w:rsid w:val="008A0348"/>
    <w:pPr>
      <w:numPr>
        <w:numId w:val="8"/>
      </w:numPr>
      <w:contextualSpacing/>
    </w:pPr>
  </w:style>
  <w:style w:type="paragraph" w:styleId="ListNumber4">
    <w:name w:val="List Number 4"/>
    <w:basedOn w:val="Normal"/>
    <w:uiPriority w:val="99"/>
    <w:semiHidden/>
    <w:unhideWhenUsed/>
    <w:rsid w:val="008A0348"/>
    <w:pPr>
      <w:numPr>
        <w:numId w:val="9"/>
      </w:numPr>
      <w:contextualSpacing/>
    </w:pPr>
  </w:style>
  <w:style w:type="character" w:styleId="Hyperlink">
    <w:name w:val="Hyperlink"/>
    <w:basedOn w:val="DefaultParagraphFont"/>
    <w:uiPriority w:val="99"/>
    <w:unhideWhenUsed/>
    <w:rsid w:val="004707F4"/>
    <w:rPr>
      <w:color w:val="0000FF" w:themeColor="hyperlink"/>
      <w:u w:val="single"/>
    </w:rPr>
  </w:style>
  <w:style w:type="paragraph" w:styleId="Header">
    <w:name w:val="header"/>
    <w:basedOn w:val="Normal"/>
    <w:link w:val="HeaderChar"/>
    <w:uiPriority w:val="99"/>
    <w:unhideWhenUsed/>
    <w:rsid w:val="00045C9E"/>
    <w:pPr>
      <w:tabs>
        <w:tab w:val="center" w:pos="4535"/>
        <w:tab w:val="right" w:pos="9071"/>
      </w:tabs>
      <w:spacing w:before="0"/>
    </w:pPr>
  </w:style>
  <w:style w:type="character" w:customStyle="1" w:styleId="HeaderChar">
    <w:name w:val="Header Char"/>
    <w:basedOn w:val="DefaultParagraphFont"/>
    <w:link w:val="Header"/>
    <w:uiPriority w:val="99"/>
    <w:rsid w:val="00045C9E"/>
    <w:rPr>
      <w:rFonts w:ascii="Times New Roman" w:hAnsi="Times New Roman" w:cs="Times New Roman"/>
      <w:sz w:val="24"/>
      <w:lang w:val="es-ES_tradnl"/>
    </w:rPr>
  </w:style>
  <w:style w:type="paragraph" w:styleId="Footer">
    <w:name w:val="footer"/>
    <w:basedOn w:val="Normal"/>
    <w:link w:val="FooterChar"/>
    <w:uiPriority w:val="99"/>
    <w:unhideWhenUsed/>
    <w:rsid w:val="00045C9E"/>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045C9E"/>
    <w:rPr>
      <w:rFonts w:ascii="Times New Roman" w:hAnsi="Times New Roman" w:cs="Times New Roman"/>
      <w:sz w:val="24"/>
      <w:lang w:val="es-ES_tradnl"/>
    </w:rPr>
  </w:style>
  <w:style w:type="paragraph" w:styleId="FootnoteText">
    <w:name w:val="footnote text"/>
    <w:basedOn w:val="Normal"/>
    <w:link w:val="FootnoteTextChar"/>
    <w:uiPriority w:val="99"/>
    <w:semiHidden/>
    <w:unhideWhenUsed/>
    <w:rsid w:val="00517205"/>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517205"/>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517205"/>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sid w:val="00517205"/>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sid w:val="00517205"/>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sid w:val="00517205"/>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sid w:val="00517205"/>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sid w:val="00517205"/>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sid w:val="00517205"/>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rsid w:val="00517205"/>
    <w:pPr>
      <w:spacing w:after="240"/>
      <w:jc w:val="center"/>
    </w:pPr>
    <w:rPr>
      <w:b/>
      <w:sz w:val="28"/>
    </w:rPr>
  </w:style>
  <w:style w:type="paragraph" w:styleId="TOC1">
    <w:name w:val="toc 1"/>
    <w:basedOn w:val="Normal"/>
    <w:next w:val="Normal"/>
    <w:uiPriority w:val="39"/>
    <w:semiHidden/>
    <w:unhideWhenUsed/>
    <w:rsid w:val="00517205"/>
    <w:pPr>
      <w:tabs>
        <w:tab w:val="right" w:leader="dot" w:pos="9071"/>
      </w:tabs>
      <w:spacing w:before="60"/>
      <w:ind w:left="850" w:hanging="850"/>
      <w:jc w:val="left"/>
    </w:pPr>
  </w:style>
  <w:style w:type="paragraph" w:styleId="TOC2">
    <w:name w:val="toc 2"/>
    <w:basedOn w:val="Normal"/>
    <w:next w:val="Normal"/>
    <w:uiPriority w:val="39"/>
    <w:semiHidden/>
    <w:unhideWhenUsed/>
    <w:rsid w:val="00517205"/>
    <w:pPr>
      <w:tabs>
        <w:tab w:val="right" w:leader="dot" w:pos="9071"/>
      </w:tabs>
      <w:spacing w:before="60"/>
      <w:ind w:left="850" w:hanging="850"/>
      <w:jc w:val="left"/>
    </w:pPr>
  </w:style>
  <w:style w:type="paragraph" w:styleId="TOC3">
    <w:name w:val="toc 3"/>
    <w:basedOn w:val="Normal"/>
    <w:next w:val="Normal"/>
    <w:uiPriority w:val="39"/>
    <w:semiHidden/>
    <w:unhideWhenUsed/>
    <w:rsid w:val="00517205"/>
    <w:pPr>
      <w:tabs>
        <w:tab w:val="right" w:leader="dot" w:pos="9071"/>
      </w:tabs>
      <w:spacing w:before="60"/>
      <w:ind w:left="850" w:hanging="850"/>
      <w:jc w:val="left"/>
    </w:pPr>
  </w:style>
  <w:style w:type="paragraph" w:styleId="TOC4">
    <w:name w:val="toc 4"/>
    <w:basedOn w:val="Normal"/>
    <w:next w:val="Normal"/>
    <w:uiPriority w:val="39"/>
    <w:semiHidden/>
    <w:unhideWhenUsed/>
    <w:rsid w:val="00517205"/>
    <w:pPr>
      <w:tabs>
        <w:tab w:val="right" w:leader="dot" w:pos="9071"/>
      </w:tabs>
      <w:spacing w:before="60"/>
      <w:ind w:left="850" w:hanging="850"/>
      <w:jc w:val="left"/>
    </w:pPr>
  </w:style>
  <w:style w:type="paragraph" w:styleId="TOC5">
    <w:name w:val="toc 5"/>
    <w:basedOn w:val="Normal"/>
    <w:next w:val="Normal"/>
    <w:uiPriority w:val="39"/>
    <w:semiHidden/>
    <w:unhideWhenUsed/>
    <w:rsid w:val="00517205"/>
    <w:pPr>
      <w:tabs>
        <w:tab w:val="right" w:leader="dot" w:pos="9071"/>
      </w:tabs>
      <w:spacing w:before="300"/>
      <w:jc w:val="left"/>
    </w:pPr>
  </w:style>
  <w:style w:type="paragraph" w:styleId="TOC6">
    <w:name w:val="toc 6"/>
    <w:basedOn w:val="Normal"/>
    <w:next w:val="Normal"/>
    <w:uiPriority w:val="39"/>
    <w:semiHidden/>
    <w:unhideWhenUsed/>
    <w:rsid w:val="00517205"/>
    <w:pPr>
      <w:tabs>
        <w:tab w:val="right" w:leader="dot" w:pos="9071"/>
      </w:tabs>
      <w:spacing w:before="240"/>
      <w:jc w:val="left"/>
    </w:pPr>
  </w:style>
  <w:style w:type="paragraph" w:styleId="TOC7">
    <w:name w:val="toc 7"/>
    <w:basedOn w:val="Normal"/>
    <w:next w:val="Normal"/>
    <w:uiPriority w:val="39"/>
    <w:semiHidden/>
    <w:unhideWhenUsed/>
    <w:rsid w:val="00517205"/>
    <w:pPr>
      <w:tabs>
        <w:tab w:val="right" w:leader="dot" w:pos="9071"/>
      </w:tabs>
      <w:spacing w:before="180"/>
      <w:jc w:val="left"/>
    </w:pPr>
  </w:style>
  <w:style w:type="paragraph" w:styleId="TOC8">
    <w:name w:val="toc 8"/>
    <w:basedOn w:val="Normal"/>
    <w:next w:val="Normal"/>
    <w:uiPriority w:val="39"/>
    <w:semiHidden/>
    <w:unhideWhenUsed/>
    <w:rsid w:val="00517205"/>
    <w:pPr>
      <w:tabs>
        <w:tab w:val="right" w:leader="dot" w:pos="9071"/>
      </w:tabs>
      <w:jc w:val="left"/>
    </w:pPr>
  </w:style>
  <w:style w:type="paragraph" w:styleId="TOC9">
    <w:name w:val="toc 9"/>
    <w:basedOn w:val="Normal"/>
    <w:next w:val="Normal"/>
    <w:uiPriority w:val="39"/>
    <w:semiHidden/>
    <w:unhideWhenUsed/>
    <w:rsid w:val="00517205"/>
    <w:pPr>
      <w:tabs>
        <w:tab w:val="right" w:leader="dot" w:pos="9071"/>
      </w:tabs>
      <w:ind w:left="1417" w:hanging="1417"/>
      <w:jc w:val="left"/>
    </w:pPr>
  </w:style>
  <w:style w:type="paragraph" w:customStyle="1" w:styleId="HeaderLandscape">
    <w:name w:val="HeaderLandscape"/>
    <w:basedOn w:val="Normal"/>
    <w:rsid w:val="00045C9E"/>
    <w:pPr>
      <w:tabs>
        <w:tab w:val="center" w:pos="7285"/>
        <w:tab w:val="right" w:pos="14003"/>
      </w:tabs>
      <w:spacing w:before="0"/>
    </w:pPr>
  </w:style>
  <w:style w:type="paragraph" w:customStyle="1" w:styleId="FooterLandscape">
    <w:name w:val="FooterLandscape"/>
    <w:basedOn w:val="Normal"/>
    <w:rsid w:val="00045C9E"/>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517205"/>
    <w:rPr>
      <w:shd w:val="clear" w:color="auto" w:fill="auto"/>
      <w:vertAlign w:val="superscript"/>
    </w:rPr>
  </w:style>
  <w:style w:type="paragraph" w:customStyle="1" w:styleId="HeaderSensitivity">
    <w:name w:val="Header Sensitivity"/>
    <w:basedOn w:val="Normal"/>
    <w:rsid w:val="00045C9E"/>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045C9E"/>
    <w:pPr>
      <w:spacing w:before="0"/>
      <w:jc w:val="right"/>
    </w:pPr>
    <w:rPr>
      <w:sz w:val="28"/>
    </w:rPr>
  </w:style>
  <w:style w:type="paragraph" w:customStyle="1" w:styleId="FooterSensitivity">
    <w:name w:val="Footer Sensitivity"/>
    <w:basedOn w:val="Normal"/>
    <w:rsid w:val="00045C9E"/>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517205"/>
    <w:pPr>
      <w:ind w:left="850"/>
    </w:pPr>
  </w:style>
  <w:style w:type="paragraph" w:customStyle="1" w:styleId="Text2">
    <w:name w:val="Text 2"/>
    <w:basedOn w:val="Normal"/>
    <w:rsid w:val="00517205"/>
    <w:pPr>
      <w:ind w:left="1417"/>
    </w:pPr>
  </w:style>
  <w:style w:type="paragraph" w:customStyle="1" w:styleId="Text3">
    <w:name w:val="Text 3"/>
    <w:basedOn w:val="Normal"/>
    <w:rsid w:val="00517205"/>
    <w:pPr>
      <w:ind w:left="1984"/>
    </w:pPr>
  </w:style>
  <w:style w:type="paragraph" w:customStyle="1" w:styleId="Text4">
    <w:name w:val="Text 4"/>
    <w:basedOn w:val="Normal"/>
    <w:rsid w:val="00517205"/>
    <w:pPr>
      <w:ind w:left="2551"/>
    </w:pPr>
  </w:style>
  <w:style w:type="paragraph" w:customStyle="1" w:styleId="Text5">
    <w:name w:val="Text 5"/>
    <w:basedOn w:val="Normal"/>
    <w:rsid w:val="00517205"/>
    <w:pPr>
      <w:ind w:left="3118"/>
    </w:pPr>
  </w:style>
  <w:style w:type="paragraph" w:customStyle="1" w:styleId="Text6">
    <w:name w:val="Text 6"/>
    <w:basedOn w:val="Normal"/>
    <w:rsid w:val="00517205"/>
    <w:pPr>
      <w:ind w:left="3685"/>
    </w:pPr>
  </w:style>
  <w:style w:type="paragraph" w:customStyle="1" w:styleId="NormalCentered">
    <w:name w:val="Normal Centered"/>
    <w:basedOn w:val="Normal"/>
    <w:rsid w:val="00517205"/>
    <w:pPr>
      <w:jc w:val="center"/>
    </w:pPr>
  </w:style>
  <w:style w:type="paragraph" w:customStyle="1" w:styleId="NormalLeft">
    <w:name w:val="Normal Left"/>
    <w:basedOn w:val="Normal"/>
    <w:rsid w:val="00517205"/>
    <w:pPr>
      <w:jc w:val="left"/>
    </w:pPr>
  </w:style>
  <w:style w:type="paragraph" w:customStyle="1" w:styleId="NormalRight">
    <w:name w:val="Normal Right"/>
    <w:basedOn w:val="Normal"/>
    <w:rsid w:val="00517205"/>
    <w:pPr>
      <w:jc w:val="right"/>
    </w:pPr>
  </w:style>
  <w:style w:type="paragraph" w:customStyle="1" w:styleId="QuotedText">
    <w:name w:val="Quoted Text"/>
    <w:basedOn w:val="Normal"/>
    <w:rsid w:val="00517205"/>
    <w:pPr>
      <w:ind w:left="1417"/>
    </w:pPr>
  </w:style>
  <w:style w:type="paragraph" w:customStyle="1" w:styleId="Point0">
    <w:name w:val="Point 0"/>
    <w:basedOn w:val="Normal"/>
    <w:rsid w:val="00517205"/>
    <w:pPr>
      <w:ind w:left="850" w:hanging="850"/>
    </w:pPr>
  </w:style>
  <w:style w:type="paragraph" w:customStyle="1" w:styleId="Point1">
    <w:name w:val="Point 1"/>
    <w:basedOn w:val="Normal"/>
    <w:rsid w:val="00517205"/>
    <w:pPr>
      <w:ind w:left="1417" w:hanging="567"/>
    </w:pPr>
  </w:style>
  <w:style w:type="paragraph" w:customStyle="1" w:styleId="Point2">
    <w:name w:val="Point 2"/>
    <w:basedOn w:val="Normal"/>
    <w:rsid w:val="00517205"/>
    <w:pPr>
      <w:ind w:left="1984" w:hanging="567"/>
    </w:pPr>
  </w:style>
  <w:style w:type="paragraph" w:customStyle="1" w:styleId="Point3">
    <w:name w:val="Point 3"/>
    <w:basedOn w:val="Normal"/>
    <w:rsid w:val="00517205"/>
    <w:pPr>
      <w:ind w:left="2551" w:hanging="567"/>
    </w:pPr>
  </w:style>
  <w:style w:type="paragraph" w:customStyle="1" w:styleId="Point4">
    <w:name w:val="Point 4"/>
    <w:basedOn w:val="Normal"/>
    <w:rsid w:val="00517205"/>
    <w:pPr>
      <w:ind w:left="3118" w:hanging="567"/>
    </w:pPr>
  </w:style>
  <w:style w:type="paragraph" w:customStyle="1" w:styleId="Point5">
    <w:name w:val="Point 5"/>
    <w:basedOn w:val="Normal"/>
    <w:rsid w:val="00517205"/>
    <w:pPr>
      <w:ind w:left="3685" w:hanging="567"/>
    </w:pPr>
  </w:style>
  <w:style w:type="paragraph" w:customStyle="1" w:styleId="Tiret0">
    <w:name w:val="Tiret 0"/>
    <w:basedOn w:val="Point0"/>
    <w:rsid w:val="00517205"/>
    <w:pPr>
      <w:numPr>
        <w:numId w:val="25"/>
      </w:numPr>
    </w:pPr>
  </w:style>
  <w:style w:type="paragraph" w:customStyle="1" w:styleId="Tiret1">
    <w:name w:val="Tiret 1"/>
    <w:basedOn w:val="Point1"/>
    <w:rsid w:val="00517205"/>
    <w:pPr>
      <w:numPr>
        <w:numId w:val="26"/>
      </w:numPr>
    </w:pPr>
  </w:style>
  <w:style w:type="paragraph" w:customStyle="1" w:styleId="Tiret2">
    <w:name w:val="Tiret 2"/>
    <w:basedOn w:val="Point2"/>
    <w:rsid w:val="00517205"/>
    <w:pPr>
      <w:numPr>
        <w:numId w:val="27"/>
      </w:numPr>
    </w:pPr>
  </w:style>
  <w:style w:type="paragraph" w:customStyle="1" w:styleId="Tiret3">
    <w:name w:val="Tiret 3"/>
    <w:basedOn w:val="Point3"/>
    <w:rsid w:val="00517205"/>
    <w:pPr>
      <w:numPr>
        <w:numId w:val="28"/>
      </w:numPr>
    </w:pPr>
  </w:style>
  <w:style w:type="paragraph" w:customStyle="1" w:styleId="Tiret4">
    <w:name w:val="Tiret 4"/>
    <w:basedOn w:val="Point4"/>
    <w:rsid w:val="00517205"/>
    <w:pPr>
      <w:numPr>
        <w:numId w:val="29"/>
      </w:numPr>
    </w:pPr>
  </w:style>
  <w:style w:type="paragraph" w:customStyle="1" w:styleId="Tiret5">
    <w:name w:val="Tiret 5"/>
    <w:basedOn w:val="Point5"/>
    <w:rsid w:val="00517205"/>
    <w:pPr>
      <w:numPr>
        <w:numId w:val="30"/>
      </w:numPr>
    </w:pPr>
  </w:style>
  <w:style w:type="paragraph" w:customStyle="1" w:styleId="PointDouble0">
    <w:name w:val="PointDouble 0"/>
    <w:basedOn w:val="Normal"/>
    <w:rsid w:val="00517205"/>
    <w:pPr>
      <w:tabs>
        <w:tab w:val="left" w:pos="850"/>
      </w:tabs>
      <w:ind w:left="1417" w:hanging="1417"/>
    </w:pPr>
  </w:style>
  <w:style w:type="paragraph" w:customStyle="1" w:styleId="PointDouble1">
    <w:name w:val="PointDouble 1"/>
    <w:basedOn w:val="Normal"/>
    <w:rsid w:val="00517205"/>
    <w:pPr>
      <w:tabs>
        <w:tab w:val="left" w:pos="1417"/>
      </w:tabs>
      <w:ind w:left="1984" w:hanging="1134"/>
    </w:pPr>
  </w:style>
  <w:style w:type="paragraph" w:customStyle="1" w:styleId="PointDouble2">
    <w:name w:val="PointDouble 2"/>
    <w:basedOn w:val="Normal"/>
    <w:rsid w:val="00517205"/>
    <w:pPr>
      <w:tabs>
        <w:tab w:val="left" w:pos="1984"/>
      </w:tabs>
      <w:ind w:left="2551" w:hanging="1134"/>
    </w:pPr>
  </w:style>
  <w:style w:type="paragraph" w:customStyle="1" w:styleId="PointDouble3">
    <w:name w:val="PointDouble 3"/>
    <w:basedOn w:val="Normal"/>
    <w:rsid w:val="00517205"/>
    <w:pPr>
      <w:tabs>
        <w:tab w:val="left" w:pos="2551"/>
      </w:tabs>
      <w:ind w:left="3118" w:hanging="1134"/>
    </w:pPr>
  </w:style>
  <w:style w:type="paragraph" w:customStyle="1" w:styleId="PointDouble4">
    <w:name w:val="PointDouble 4"/>
    <w:basedOn w:val="Normal"/>
    <w:rsid w:val="00517205"/>
    <w:pPr>
      <w:tabs>
        <w:tab w:val="left" w:pos="3118"/>
      </w:tabs>
      <w:ind w:left="3685" w:hanging="1134"/>
    </w:pPr>
  </w:style>
  <w:style w:type="paragraph" w:customStyle="1" w:styleId="PointTriple0">
    <w:name w:val="PointTriple 0"/>
    <w:basedOn w:val="Normal"/>
    <w:rsid w:val="00517205"/>
    <w:pPr>
      <w:tabs>
        <w:tab w:val="left" w:pos="850"/>
        <w:tab w:val="left" w:pos="1417"/>
      </w:tabs>
      <w:ind w:left="1984" w:hanging="1984"/>
    </w:pPr>
  </w:style>
  <w:style w:type="paragraph" w:customStyle="1" w:styleId="PointTriple1">
    <w:name w:val="PointTriple 1"/>
    <w:basedOn w:val="Normal"/>
    <w:rsid w:val="00517205"/>
    <w:pPr>
      <w:tabs>
        <w:tab w:val="left" w:pos="1417"/>
        <w:tab w:val="left" w:pos="1984"/>
      </w:tabs>
      <w:ind w:left="2551" w:hanging="1701"/>
    </w:pPr>
  </w:style>
  <w:style w:type="paragraph" w:customStyle="1" w:styleId="PointTriple2">
    <w:name w:val="PointTriple 2"/>
    <w:basedOn w:val="Normal"/>
    <w:rsid w:val="00517205"/>
    <w:pPr>
      <w:tabs>
        <w:tab w:val="left" w:pos="1984"/>
        <w:tab w:val="left" w:pos="2551"/>
      </w:tabs>
      <w:ind w:left="3118" w:hanging="1701"/>
    </w:pPr>
  </w:style>
  <w:style w:type="paragraph" w:customStyle="1" w:styleId="PointTriple3">
    <w:name w:val="PointTriple 3"/>
    <w:basedOn w:val="Normal"/>
    <w:rsid w:val="00517205"/>
    <w:pPr>
      <w:tabs>
        <w:tab w:val="left" w:pos="2551"/>
        <w:tab w:val="left" w:pos="3118"/>
      </w:tabs>
      <w:ind w:left="3685" w:hanging="1701"/>
    </w:pPr>
  </w:style>
  <w:style w:type="paragraph" w:customStyle="1" w:styleId="PointTriple4">
    <w:name w:val="PointTriple 4"/>
    <w:basedOn w:val="Normal"/>
    <w:rsid w:val="00517205"/>
    <w:pPr>
      <w:tabs>
        <w:tab w:val="left" w:pos="3118"/>
        <w:tab w:val="left" w:pos="3685"/>
      </w:tabs>
      <w:ind w:left="4252" w:hanging="1701"/>
    </w:pPr>
  </w:style>
  <w:style w:type="paragraph" w:customStyle="1" w:styleId="NumPar1">
    <w:name w:val="NumPar 1"/>
    <w:basedOn w:val="Normal"/>
    <w:next w:val="Text1"/>
    <w:rsid w:val="00517205"/>
    <w:pPr>
      <w:numPr>
        <w:numId w:val="31"/>
      </w:numPr>
    </w:pPr>
  </w:style>
  <w:style w:type="paragraph" w:customStyle="1" w:styleId="NumPar2">
    <w:name w:val="NumPar 2"/>
    <w:basedOn w:val="Normal"/>
    <w:next w:val="Text1"/>
    <w:rsid w:val="00517205"/>
    <w:pPr>
      <w:numPr>
        <w:ilvl w:val="1"/>
        <w:numId w:val="31"/>
      </w:numPr>
    </w:pPr>
  </w:style>
  <w:style w:type="paragraph" w:customStyle="1" w:styleId="NumPar3">
    <w:name w:val="NumPar 3"/>
    <w:basedOn w:val="Normal"/>
    <w:next w:val="Text1"/>
    <w:rsid w:val="00517205"/>
    <w:pPr>
      <w:numPr>
        <w:ilvl w:val="2"/>
        <w:numId w:val="31"/>
      </w:numPr>
    </w:pPr>
  </w:style>
  <w:style w:type="paragraph" w:customStyle="1" w:styleId="NumPar4">
    <w:name w:val="NumPar 4"/>
    <w:basedOn w:val="Normal"/>
    <w:next w:val="Text1"/>
    <w:rsid w:val="00517205"/>
    <w:pPr>
      <w:numPr>
        <w:ilvl w:val="3"/>
        <w:numId w:val="31"/>
      </w:numPr>
    </w:pPr>
  </w:style>
  <w:style w:type="paragraph" w:customStyle="1" w:styleId="NumPar5">
    <w:name w:val="NumPar 5"/>
    <w:basedOn w:val="Normal"/>
    <w:next w:val="Text2"/>
    <w:rsid w:val="00517205"/>
    <w:pPr>
      <w:numPr>
        <w:ilvl w:val="4"/>
        <w:numId w:val="31"/>
      </w:numPr>
    </w:pPr>
  </w:style>
  <w:style w:type="paragraph" w:customStyle="1" w:styleId="NumPar6">
    <w:name w:val="NumPar 6"/>
    <w:basedOn w:val="Normal"/>
    <w:next w:val="Text2"/>
    <w:rsid w:val="00517205"/>
    <w:pPr>
      <w:numPr>
        <w:ilvl w:val="5"/>
        <w:numId w:val="31"/>
      </w:numPr>
    </w:pPr>
  </w:style>
  <w:style w:type="paragraph" w:customStyle="1" w:styleId="NumPar7">
    <w:name w:val="NumPar 7"/>
    <w:basedOn w:val="Normal"/>
    <w:next w:val="Text2"/>
    <w:rsid w:val="00517205"/>
    <w:pPr>
      <w:numPr>
        <w:ilvl w:val="6"/>
        <w:numId w:val="31"/>
      </w:numPr>
    </w:pPr>
  </w:style>
  <w:style w:type="paragraph" w:customStyle="1" w:styleId="ManualNumPar1">
    <w:name w:val="Manual NumPar 1"/>
    <w:basedOn w:val="Normal"/>
    <w:next w:val="Text1"/>
    <w:rsid w:val="00517205"/>
    <w:pPr>
      <w:ind w:left="850" w:hanging="850"/>
    </w:pPr>
  </w:style>
  <w:style w:type="paragraph" w:customStyle="1" w:styleId="ManualNumPar2">
    <w:name w:val="Manual NumPar 2"/>
    <w:basedOn w:val="Normal"/>
    <w:next w:val="Text1"/>
    <w:rsid w:val="00517205"/>
    <w:pPr>
      <w:ind w:left="850" w:hanging="850"/>
    </w:pPr>
  </w:style>
  <w:style w:type="paragraph" w:customStyle="1" w:styleId="ManualNumPar3">
    <w:name w:val="Manual NumPar 3"/>
    <w:basedOn w:val="Normal"/>
    <w:next w:val="Text1"/>
    <w:rsid w:val="00517205"/>
    <w:pPr>
      <w:ind w:left="850" w:hanging="850"/>
    </w:pPr>
  </w:style>
  <w:style w:type="paragraph" w:customStyle="1" w:styleId="ManualNumPar4">
    <w:name w:val="Manual NumPar 4"/>
    <w:basedOn w:val="Normal"/>
    <w:next w:val="Text1"/>
    <w:rsid w:val="00517205"/>
    <w:pPr>
      <w:ind w:left="850" w:hanging="850"/>
    </w:pPr>
  </w:style>
  <w:style w:type="paragraph" w:customStyle="1" w:styleId="ManualNumPar5">
    <w:name w:val="Manual NumPar 5"/>
    <w:basedOn w:val="Normal"/>
    <w:next w:val="Text2"/>
    <w:rsid w:val="00517205"/>
    <w:pPr>
      <w:ind w:left="1417" w:hanging="1417"/>
    </w:pPr>
  </w:style>
  <w:style w:type="paragraph" w:customStyle="1" w:styleId="ManualNumPar6">
    <w:name w:val="Manual NumPar 6"/>
    <w:basedOn w:val="Normal"/>
    <w:next w:val="Text2"/>
    <w:rsid w:val="00517205"/>
    <w:pPr>
      <w:ind w:left="1417" w:hanging="1417"/>
    </w:pPr>
  </w:style>
  <w:style w:type="paragraph" w:customStyle="1" w:styleId="ManualNumPar7">
    <w:name w:val="Manual NumPar 7"/>
    <w:basedOn w:val="Normal"/>
    <w:next w:val="Text2"/>
    <w:rsid w:val="00517205"/>
    <w:pPr>
      <w:ind w:left="1417" w:hanging="1417"/>
    </w:pPr>
  </w:style>
  <w:style w:type="paragraph" w:customStyle="1" w:styleId="QuotedNumPar">
    <w:name w:val="Quoted NumPar"/>
    <w:basedOn w:val="Normal"/>
    <w:rsid w:val="00517205"/>
    <w:pPr>
      <w:ind w:left="1417" w:hanging="567"/>
    </w:pPr>
  </w:style>
  <w:style w:type="paragraph" w:customStyle="1" w:styleId="ManualHeading1">
    <w:name w:val="Manual Heading 1"/>
    <w:basedOn w:val="Normal"/>
    <w:next w:val="Text1"/>
    <w:rsid w:val="00517205"/>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517205"/>
    <w:pPr>
      <w:keepNext/>
      <w:tabs>
        <w:tab w:val="left" w:pos="850"/>
      </w:tabs>
      <w:ind w:left="850" w:hanging="850"/>
      <w:outlineLvl w:val="1"/>
    </w:pPr>
    <w:rPr>
      <w:b/>
    </w:rPr>
  </w:style>
  <w:style w:type="paragraph" w:customStyle="1" w:styleId="ManualHeading3">
    <w:name w:val="Manual Heading 3"/>
    <w:basedOn w:val="Normal"/>
    <w:next w:val="Text1"/>
    <w:rsid w:val="00517205"/>
    <w:pPr>
      <w:keepNext/>
      <w:tabs>
        <w:tab w:val="left" w:pos="850"/>
      </w:tabs>
      <w:ind w:left="850" w:hanging="850"/>
      <w:outlineLvl w:val="2"/>
    </w:pPr>
    <w:rPr>
      <w:i/>
    </w:rPr>
  </w:style>
  <w:style w:type="paragraph" w:customStyle="1" w:styleId="ManualHeading4">
    <w:name w:val="Manual Heading 4"/>
    <w:basedOn w:val="Normal"/>
    <w:next w:val="Text1"/>
    <w:rsid w:val="00517205"/>
    <w:pPr>
      <w:keepNext/>
      <w:tabs>
        <w:tab w:val="left" w:pos="850"/>
      </w:tabs>
      <w:ind w:left="850" w:hanging="850"/>
      <w:outlineLvl w:val="3"/>
    </w:pPr>
  </w:style>
  <w:style w:type="paragraph" w:customStyle="1" w:styleId="ManualHeading5">
    <w:name w:val="Manual Heading 5"/>
    <w:basedOn w:val="Normal"/>
    <w:next w:val="Text2"/>
    <w:rsid w:val="00517205"/>
    <w:pPr>
      <w:keepNext/>
      <w:tabs>
        <w:tab w:val="left" w:pos="1417"/>
      </w:tabs>
      <w:ind w:left="1417" w:hanging="1417"/>
      <w:outlineLvl w:val="4"/>
    </w:pPr>
  </w:style>
  <w:style w:type="paragraph" w:customStyle="1" w:styleId="ManualHeading6">
    <w:name w:val="Manual Heading 6"/>
    <w:basedOn w:val="Normal"/>
    <w:next w:val="Text2"/>
    <w:rsid w:val="00517205"/>
    <w:pPr>
      <w:keepNext/>
      <w:tabs>
        <w:tab w:val="left" w:pos="1417"/>
      </w:tabs>
      <w:ind w:left="1417" w:hanging="1417"/>
      <w:outlineLvl w:val="5"/>
    </w:pPr>
  </w:style>
  <w:style w:type="paragraph" w:customStyle="1" w:styleId="ManualHeading7">
    <w:name w:val="Manual Heading 7"/>
    <w:basedOn w:val="Normal"/>
    <w:next w:val="Text2"/>
    <w:rsid w:val="00517205"/>
    <w:pPr>
      <w:keepNext/>
      <w:tabs>
        <w:tab w:val="left" w:pos="1417"/>
      </w:tabs>
      <w:ind w:left="1417" w:hanging="1417"/>
      <w:outlineLvl w:val="6"/>
    </w:pPr>
  </w:style>
  <w:style w:type="paragraph" w:customStyle="1" w:styleId="ChapterTitle">
    <w:name w:val="ChapterTitle"/>
    <w:basedOn w:val="Normal"/>
    <w:next w:val="Normal"/>
    <w:rsid w:val="00517205"/>
    <w:pPr>
      <w:keepNext/>
      <w:spacing w:after="360"/>
      <w:jc w:val="center"/>
    </w:pPr>
    <w:rPr>
      <w:b/>
      <w:sz w:val="32"/>
    </w:rPr>
  </w:style>
  <w:style w:type="paragraph" w:customStyle="1" w:styleId="PartTitle">
    <w:name w:val="PartTitle"/>
    <w:basedOn w:val="Normal"/>
    <w:next w:val="ChapterTitle"/>
    <w:rsid w:val="00517205"/>
    <w:pPr>
      <w:keepNext/>
      <w:pageBreakBefore/>
      <w:spacing w:after="360"/>
      <w:jc w:val="center"/>
    </w:pPr>
    <w:rPr>
      <w:b/>
      <w:sz w:val="36"/>
    </w:rPr>
  </w:style>
  <w:style w:type="paragraph" w:customStyle="1" w:styleId="SectionTitle">
    <w:name w:val="SectionTitle"/>
    <w:basedOn w:val="Normal"/>
    <w:next w:val="Heading1"/>
    <w:rsid w:val="00517205"/>
    <w:pPr>
      <w:keepNext/>
      <w:spacing w:after="360"/>
      <w:jc w:val="center"/>
    </w:pPr>
    <w:rPr>
      <w:b/>
      <w:smallCaps/>
      <w:sz w:val="28"/>
    </w:rPr>
  </w:style>
  <w:style w:type="paragraph" w:customStyle="1" w:styleId="TableTitle">
    <w:name w:val="Table Title"/>
    <w:basedOn w:val="Normal"/>
    <w:next w:val="Normal"/>
    <w:rsid w:val="00517205"/>
    <w:pPr>
      <w:jc w:val="center"/>
    </w:pPr>
    <w:rPr>
      <w:b/>
    </w:rPr>
  </w:style>
  <w:style w:type="character" w:customStyle="1" w:styleId="Marker">
    <w:name w:val="Marker"/>
    <w:basedOn w:val="DefaultParagraphFont"/>
    <w:rsid w:val="00517205"/>
    <w:rPr>
      <w:color w:val="0000FF"/>
      <w:shd w:val="clear" w:color="auto" w:fill="auto"/>
    </w:rPr>
  </w:style>
  <w:style w:type="character" w:customStyle="1" w:styleId="Marker1">
    <w:name w:val="Marker1"/>
    <w:basedOn w:val="DefaultParagraphFont"/>
    <w:rsid w:val="00517205"/>
    <w:rPr>
      <w:color w:val="008000"/>
      <w:shd w:val="clear" w:color="auto" w:fill="auto"/>
    </w:rPr>
  </w:style>
  <w:style w:type="character" w:customStyle="1" w:styleId="Marker2">
    <w:name w:val="Marker2"/>
    <w:basedOn w:val="DefaultParagraphFont"/>
    <w:rsid w:val="00517205"/>
    <w:rPr>
      <w:color w:val="FF0000"/>
      <w:shd w:val="clear" w:color="auto" w:fill="auto"/>
    </w:rPr>
  </w:style>
  <w:style w:type="paragraph" w:customStyle="1" w:styleId="Point0number">
    <w:name w:val="Point 0 (number)"/>
    <w:basedOn w:val="Normal"/>
    <w:rsid w:val="00517205"/>
    <w:pPr>
      <w:numPr>
        <w:numId w:val="33"/>
      </w:numPr>
    </w:pPr>
  </w:style>
  <w:style w:type="paragraph" w:customStyle="1" w:styleId="Point1number">
    <w:name w:val="Point 1 (number)"/>
    <w:basedOn w:val="Normal"/>
    <w:rsid w:val="00517205"/>
    <w:pPr>
      <w:numPr>
        <w:ilvl w:val="2"/>
        <w:numId w:val="33"/>
      </w:numPr>
    </w:pPr>
  </w:style>
  <w:style w:type="paragraph" w:customStyle="1" w:styleId="Point2number">
    <w:name w:val="Point 2 (number)"/>
    <w:basedOn w:val="Normal"/>
    <w:rsid w:val="00517205"/>
    <w:pPr>
      <w:numPr>
        <w:ilvl w:val="4"/>
        <w:numId w:val="33"/>
      </w:numPr>
    </w:pPr>
  </w:style>
  <w:style w:type="paragraph" w:customStyle="1" w:styleId="Point3number">
    <w:name w:val="Point 3 (number)"/>
    <w:basedOn w:val="Normal"/>
    <w:rsid w:val="00517205"/>
    <w:pPr>
      <w:numPr>
        <w:ilvl w:val="6"/>
        <w:numId w:val="33"/>
      </w:numPr>
    </w:pPr>
  </w:style>
  <w:style w:type="paragraph" w:customStyle="1" w:styleId="Point0letter">
    <w:name w:val="Point 0 (letter)"/>
    <w:basedOn w:val="Normal"/>
    <w:rsid w:val="00517205"/>
    <w:pPr>
      <w:numPr>
        <w:ilvl w:val="1"/>
        <w:numId w:val="33"/>
      </w:numPr>
    </w:pPr>
  </w:style>
  <w:style w:type="paragraph" w:customStyle="1" w:styleId="Point1letter">
    <w:name w:val="Point 1 (letter)"/>
    <w:basedOn w:val="Normal"/>
    <w:rsid w:val="00517205"/>
    <w:pPr>
      <w:numPr>
        <w:ilvl w:val="3"/>
        <w:numId w:val="33"/>
      </w:numPr>
    </w:pPr>
  </w:style>
  <w:style w:type="paragraph" w:customStyle="1" w:styleId="Point2letter">
    <w:name w:val="Point 2 (letter)"/>
    <w:basedOn w:val="Normal"/>
    <w:rsid w:val="00517205"/>
    <w:pPr>
      <w:numPr>
        <w:ilvl w:val="5"/>
        <w:numId w:val="33"/>
      </w:numPr>
    </w:pPr>
  </w:style>
  <w:style w:type="paragraph" w:customStyle="1" w:styleId="Point3letter">
    <w:name w:val="Point 3 (letter)"/>
    <w:basedOn w:val="Normal"/>
    <w:rsid w:val="00517205"/>
    <w:pPr>
      <w:numPr>
        <w:ilvl w:val="7"/>
        <w:numId w:val="33"/>
      </w:numPr>
    </w:pPr>
  </w:style>
  <w:style w:type="paragraph" w:customStyle="1" w:styleId="Point4letter">
    <w:name w:val="Point 4 (letter)"/>
    <w:basedOn w:val="Normal"/>
    <w:rsid w:val="00517205"/>
    <w:pPr>
      <w:numPr>
        <w:ilvl w:val="8"/>
        <w:numId w:val="33"/>
      </w:numPr>
    </w:pPr>
  </w:style>
  <w:style w:type="paragraph" w:customStyle="1" w:styleId="Bullet0">
    <w:name w:val="Bullet 0"/>
    <w:basedOn w:val="Normal"/>
    <w:rsid w:val="00517205"/>
    <w:pPr>
      <w:numPr>
        <w:numId w:val="34"/>
      </w:numPr>
    </w:pPr>
  </w:style>
  <w:style w:type="paragraph" w:customStyle="1" w:styleId="Bullet1">
    <w:name w:val="Bullet 1"/>
    <w:basedOn w:val="Normal"/>
    <w:rsid w:val="00517205"/>
    <w:pPr>
      <w:numPr>
        <w:numId w:val="35"/>
      </w:numPr>
    </w:pPr>
  </w:style>
  <w:style w:type="paragraph" w:customStyle="1" w:styleId="Bullet2">
    <w:name w:val="Bullet 2"/>
    <w:basedOn w:val="Normal"/>
    <w:rsid w:val="00517205"/>
    <w:pPr>
      <w:numPr>
        <w:numId w:val="36"/>
      </w:numPr>
    </w:pPr>
  </w:style>
  <w:style w:type="paragraph" w:customStyle="1" w:styleId="Bullet3">
    <w:name w:val="Bullet 3"/>
    <w:basedOn w:val="Normal"/>
    <w:rsid w:val="00517205"/>
    <w:pPr>
      <w:numPr>
        <w:numId w:val="37"/>
      </w:numPr>
    </w:pPr>
  </w:style>
  <w:style w:type="paragraph" w:customStyle="1" w:styleId="Bullet4">
    <w:name w:val="Bullet 4"/>
    <w:basedOn w:val="Normal"/>
    <w:rsid w:val="00517205"/>
    <w:pPr>
      <w:numPr>
        <w:numId w:val="38"/>
      </w:numPr>
    </w:pPr>
  </w:style>
  <w:style w:type="paragraph" w:customStyle="1" w:styleId="Langue">
    <w:name w:val="Langue"/>
    <w:basedOn w:val="Normal"/>
    <w:next w:val="Rfrenceinterne"/>
    <w:rsid w:val="00517205"/>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517205"/>
    <w:pPr>
      <w:spacing w:before="0" w:after="0"/>
      <w:jc w:val="left"/>
    </w:pPr>
    <w:rPr>
      <w:rFonts w:ascii="Arial" w:hAnsi="Arial" w:cs="Arial"/>
    </w:rPr>
  </w:style>
  <w:style w:type="paragraph" w:customStyle="1" w:styleId="Emission">
    <w:name w:val="Emission"/>
    <w:basedOn w:val="Normal"/>
    <w:next w:val="Rfrenceinstitutionnelle"/>
    <w:rsid w:val="00517205"/>
    <w:pPr>
      <w:spacing w:before="0" w:after="0"/>
      <w:ind w:left="5103"/>
      <w:jc w:val="left"/>
    </w:pPr>
  </w:style>
  <w:style w:type="paragraph" w:customStyle="1" w:styleId="Rfrenceinstitutionnelle">
    <w:name w:val="Référence institutionnelle"/>
    <w:basedOn w:val="Normal"/>
    <w:next w:val="Confidentialit"/>
    <w:rsid w:val="00517205"/>
    <w:pPr>
      <w:spacing w:before="0" w:after="240"/>
      <w:ind w:left="5103"/>
      <w:jc w:val="left"/>
    </w:pPr>
  </w:style>
  <w:style w:type="paragraph" w:customStyle="1" w:styleId="Pagedecouverture">
    <w:name w:val="Page de couverture"/>
    <w:basedOn w:val="Normal"/>
    <w:next w:val="Normal"/>
    <w:rsid w:val="00517205"/>
    <w:pPr>
      <w:spacing w:before="0" w:after="0"/>
    </w:pPr>
  </w:style>
  <w:style w:type="paragraph" w:customStyle="1" w:styleId="Declassification">
    <w:name w:val="Declassification"/>
    <w:basedOn w:val="Normal"/>
    <w:next w:val="Normal"/>
    <w:rsid w:val="00517205"/>
    <w:pPr>
      <w:spacing w:before="0" w:after="0"/>
    </w:pPr>
  </w:style>
  <w:style w:type="paragraph" w:customStyle="1" w:styleId="Disclaimer">
    <w:name w:val="Disclaimer"/>
    <w:basedOn w:val="Normal"/>
    <w:rsid w:val="00517205"/>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517205"/>
    <w:pPr>
      <w:spacing w:before="0" w:after="0" w:line="276" w:lineRule="auto"/>
      <w:ind w:left="5103"/>
      <w:jc w:val="left"/>
    </w:pPr>
    <w:rPr>
      <w:sz w:val="28"/>
    </w:rPr>
  </w:style>
  <w:style w:type="paragraph" w:customStyle="1" w:styleId="DateMarking">
    <w:name w:val="DateMarking"/>
    <w:basedOn w:val="Normal"/>
    <w:rsid w:val="00517205"/>
    <w:pPr>
      <w:spacing w:before="0" w:after="0" w:line="276" w:lineRule="auto"/>
      <w:ind w:left="5103"/>
      <w:jc w:val="left"/>
    </w:pPr>
    <w:rPr>
      <w:i/>
      <w:sz w:val="28"/>
    </w:rPr>
  </w:style>
  <w:style w:type="paragraph" w:customStyle="1" w:styleId="ReleasableTo">
    <w:name w:val="ReleasableTo"/>
    <w:basedOn w:val="Normal"/>
    <w:rsid w:val="00517205"/>
    <w:pPr>
      <w:spacing w:before="0" w:after="0" w:line="276" w:lineRule="auto"/>
      <w:ind w:left="5103"/>
      <w:jc w:val="left"/>
    </w:pPr>
    <w:rPr>
      <w:i/>
      <w:sz w:val="28"/>
    </w:rPr>
  </w:style>
  <w:style w:type="paragraph" w:customStyle="1" w:styleId="Annexetitreexpos">
    <w:name w:val="Annexe titre (exposé)"/>
    <w:basedOn w:val="Normal"/>
    <w:next w:val="Normal"/>
    <w:rsid w:val="00517205"/>
    <w:pPr>
      <w:jc w:val="center"/>
    </w:pPr>
    <w:rPr>
      <w:b/>
      <w:u w:val="single"/>
    </w:rPr>
  </w:style>
  <w:style w:type="paragraph" w:customStyle="1" w:styleId="Annexetitre">
    <w:name w:val="Annexe titre"/>
    <w:basedOn w:val="Normal"/>
    <w:next w:val="Normal"/>
    <w:rsid w:val="00517205"/>
    <w:pPr>
      <w:jc w:val="center"/>
    </w:pPr>
    <w:rPr>
      <w:b/>
      <w:u w:val="single"/>
    </w:rPr>
  </w:style>
  <w:style w:type="paragraph" w:customStyle="1" w:styleId="Annexetitrefichefinancire">
    <w:name w:val="Annexe titre (fiche financière)"/>
    <w:basedOn w:val="Normal"/>
    <w:next w:val="Normal"/>
    <w:rsid w:val="00517205"/>
    <w:pPr>
      <w:jc w:val="center"/>
    </w:pPr>
    <w:rPr>
      <w:b/>
      <w:u w:val="single"/>
    </w:rPr>
  </w:style>
  <w:style w:type="paragraph" w:customStyle="1" w:styleId="Applicationdirecte">
    <w:name w:val="Application directe"/>
    <w:basedOn w:val="Normal"/>
    <w:next w:val="Fait"/>
    <w:rsid w:val="00517205"/>
    <w:pPr>
      <w:spacing w:before="480"/>
    </w:pPr>
  </w:style>
  <w:style w:type="paragraph" w:customStyle="1" w:styleId="Avertissementtitre">
    <w:name w:val="Avertissement titre"/>
    <w:basedOn w:val="Normal"/>
    <w:next w:val="Normal"/>
    <w:rsid w:val="00517205"/>
    <w:pPr>
      <w:keepNext/>
      <w:spacing w:before="480"/>
    </w:pPr>
    <w:rPr>
      <w:u w:val="single"/>
    </w:rPr>
  </w:style>
  <w:style w:type="paragraph" w:customStyle="1" w:styleId="Confidence">
    <w:name w:val="Confidence"/>
    <w:basedOn w:val="Normal"/>
    <w:next w:val="Normal"/>
    <w:rsid w:val="00517205"/>
    <w:pPr>
      <w:spacing w:before="360"/>
      <w:jc w:val="center"/>
    </w:pPr>
  </w:style>
  <w:style w:type="paragraph" w:customStyle="1" w:styleId="Confidentialit">
    <w:name w:val="Confidentialité"/>
    <w:basedOn w:val="Normal"/>
    <w:next w:val="TypedudocumentPagedecouverture"/>
    <w:rsid w:val="00517205"/>
    <w:pPr>
      <w:spacing w:before="240" w:after="240"/>
      <w:ind w:left="5103"/>
      <w:jc w:val="left"/>
    </w:pPr>
    <w:rPr>
      <w:i/>
      <w:sz w:val="32"/>
    </w:rPr>
  </w:style>
  <w:style w:type="paragraph" w:customStyle="1" w:styleId="Considrant">
    <w:name w:val="Considérant"/>
    <w:basedOn w:val="Normal"/>
    <w:rsid w:val="00517205"/>
    <w:pPr>
      <w:numPr>
        <w:numId w:val="39"/>
      </w:numPr>
    </w:pPr>
  </w:style>
  <w:style w:type="paragraph" w:customStyle="1" w:styleId="Corrigendum">
    <w:name w:val="Corrigendum"/>
    <w:basedOn w:val="Normal"/>
    <w:next w:val="Normal"/>
    <w:rsid w:val="00517205"/>
    <w:pPr>
      <w:spacing w:before="0" w:after="240"/>
      <w:jc w:val="left"/>
    </w:pPr>
  </w:style>
  <w:style w:type="paragraph" w:customStyle="1" w:styleId="Datedadoption">
    <w:name w:val="Date d'adoption"/>
    <w:basedOn w:val="Normal"/>
    <w:next w:val="Titreobjet"/>
    <w:rsid w:val="00517205"/>
    <w:pPr>
      <w:spacing w:before="360" w:after="0"/>
      <w:jc w:val="center"/>
    </w:pPr>
    <w:rPr>
      <w:b/>
    </w:rPr>
  </w:style>
  <w:style w:type="paragraph" w:customStyle="1" w:styleId="Exposdesmotifstitre">
    <w:name w:val="Exposé des motifs titre"/>
    <w:basedOn w:val="Normal"/>
    <w:next w:val="Normal"/>
    <w:rsid w:val="00517205"/>
    <w:pPr>
      <w:jc w:val="center"/>
    </w:pPr>
    <w:rPr>
      <w:b/>
      <w:u w:val="single"/>
    </w:rPr>
  </w:style>
  <w:style w:type="paragraph" w:customStyle="1" w:styleId="Fait">
    <w:name w:val="Fait à"/>
    <w:basedOn w:val="Normal"/>
    <w:next w:val="Institutionquisigne"/>
    <w:rsid w:val="00517205"/>
    <w:pPr>
      <w:keepNext/>
      <w:spacing w:after="0"/>
    </w:pPr>
  </w:style>
  <w:style w:type="paragraph" w:customStyle="1" w:styleId="Formuledadoption">
    <w:name w:val="Formule d'adoption"/>
    <w:basedOn w:val="Normal"/>
    <w:next w:val="Titrearticle"/>
    <w:rsid w:val="00517205"/>
    <w:pPr>
      <w:keepNext/>
    </w:pPr>
  </w:style>
  <w:style w:type="paragraph" w:customStyle="1" w:styleId="Institutionquiagit">
    <w:name w:val="Institution qui agit"/>
    <w:basedOn w:val="Normal"/>
    <w:next w:val="Normal"/>
    <w:rsid w:val="00517205"/>
    <w:pPr>
      <w:keepNext/>
      <w:spacing w:before="600"/>
    </w:pPr>
  </w:style>
  <w:style w:type="paragraph" w:customStyle="1" w:styleId="Institutionquisigne">
    <w:name w:val="Institution qui signe"/>
    <w:basedOn w:val="Normal"/>
    <w:next w:val="Personnequisigne"/>
    <w:rsid w:val="00517205"/>
    <w:pPr>
      <w:keepNext/>
      <w:tabs>
        <w:tab w:val="left" w:pos="4252"/>
      </w:tabs>
      <w:spacing w:before="720" w:after="0"/>
    </w:pPr>
    <w:rPr>
      <w:i/>
    </w:rPr>
  </w:style>
  <w:style w:type="paragraph" w:customStyle="1" w:styleId="ManualConsidrant">
    <w:name w:val="Manual Considérant"/>
    <w:basedOn w:val="Normal"/>
    <w:rsid w:val="00517205"/>
    <w:pPr>
      <w:ind w:left="709" w:hanging="709"/>
    </w:pPr>
  </w:style>
  <w:style w:type="paragraph" w:customStyle="1" w:styleId="Personnequisigne">
    <w:name w:val="Personne qui signe"/>
    <w:basedOn w:val="Normal"/>
    <w:next w:val="Institutionquisigne"/>
    <w:rsid w:val="00517205"/>
    <w:pPr>
      <w:tabs>
        <w:tab w:val="left" w:pos="4252"/>
      </w:tabs>
      <w:spacing w:before="0" w:after="0"/>
      <w:jc w:val="left"/>
    </w:pPr>
    <w:rPr>
      <w:i/>
    </w:rPr>
  </w:style>
  <w:style w:type="paragraph" w:customStyle="1" w:styleId="Rfrenceinterinstitutionnelle">
    <w:name w:val="Référence interinstitutionnelle"/>
    <w:basedOn w:val="Normal"/>
    <w:next w:val="Statut"/>
    <w:rsid w:val="00517205"/>
    <w:pPr>
      <w:spacing w:before="0" w:after="0"/>
      <w:ind w:left="5103"/>
      <w:jc w:val="left"/>
    </w:pPr>
  </w:style>
  <w:style w:type="paragraph" w:customStyle="1" w:styleId="Rfrenceinterne">
    <w:name w:val="Référence interne"/>
    <w:basedOn w:val="Normal"/>
    <w:next w:val="Rfrenceinterinstitutionnelle"/>
    <w:rsid w:val="00517205"/>
    <w:pPr>
      <w:spacing w:before="0" w:after="0"/>
      <w:ind w:left="5103"/>
      <w:jc w:val="left"/>
    </w:pPr>
  </w:style>
  <w:style w:type="paragraph" w:customStyle="1" w:styleId="Statut">
    <w:name w:val="Statut"/>
    <w:basedOn w:val="Normal"/>
    <w:next w:val="Typedudocument"/>
    <w:rsid w:val="00517205"/>
    <w:pPr>
      <w:spacing w:before="360" w:after="0"/>
      <w:jc w:val="center"/>
    </w:pPr>
  </w:style>
  <w:style w:type="paragraph" w:customStyle="1" w:styleId="Titrearticle">
    <w:name w:val="Titre article"/>
    <w:basedOn w:val="Normal"/>
    <w:next w:val="Normal"/>
    <w:rsid w:val="00517205"/>
    <w:pPr>
      <w:keepNext/>
      <w:spacing w:before="360"/>
      <w:jc w:val="center"/>
    </w:pPr>
    <w:rPr>
      <w:i/>
    </w:rPr>
  </w:style>
  <w:style w:type="paragraph" w:customStyle="1" w:styleId="Titreobjet">
    <w:name w:val="Titre objet"/>
    <w:basedOn w:val="Normal"/>
    <w:next w:val="IntrtEEE"/>
    <w:rsid w:val="00517205"/>
    <w:pPr>
      <w:spacing w:before="360" w:after="360"/>
      <w:jc w:val="center"/>
    </w:pPr>
    <w:rPr>
      <w:b/>
    </w:rPr>
  </w:style>
  <w:style w:type="paragraph" w:customStyle="1" w:styleId="Typedudocument">
    <w:name w:val="Type du document"/>
    <w:basedOn w:val="Normal"/>
    <w:next w:val="Titreobjet"/>
    <w:rsid w:val="00517205"/>
    <w:pPr>
      <w:spacing w:before="360" w:after="0"/>
      <w:jc w:val="center"/>
    </w:pPr>
    <w:rPr>
      <w:b/>
    </w:rPr>
  </w:style>
  <w:style w:type="character" w:customStyle="1" w:styleId="Added">
    <w:name w:val="Added"/>
    <w:basedOn w:val="DefaultParagraphFont"/>
    <w:rsid w:val="00517205"/>
    <w:rPr>
      <w:b/>
      <w:u w:val="single"/>
      <w:shd w:val="clear" w:color="auto" w:fill="auto"/>
    </w:rPr>
  </w:style>
  <w:style w:type="character" w:customStyle="1" w:styleId="Deleted">
    <w:name w:val="Deleted"/>
    <w:basedOn w:val="DefaultParagraphFont"/>
    <w:rsid w:val="00517205"/>
    <w:rPr>
      <w:strike/>
      <w:dstrike w:val="0"/>
      <w:shd w:val="clear" w:color="auto" w:fill="auto"/>
    </w:rPr>
  </w:style>
  <w:style w:type="paragraph" w:customStyle="1" w:styleId="Address">
    <w:name w:val="Address"/>
    <w:basedOn w:val="Normal"/>
    <w:next w:val="Normal"/>
    <w:rsid w:val="00517205"/>
    <w:pPr>
      <w:keepLines/>
      <w:spacing w:line="360" w:lineRule="auto"/>
      <w:ind w:left="3402"/>
      <w:jc w:val="left"/>
    </w:pPr>
  </w:style>
  <w:style w:type="paragraph" w:customStyle="1" w:styleId="Objetexterne">
    <w:name w:val="Objet externe"/>
    <w:basedOn w:val="Normal"/>
    <w:next w:val="Normal"/>
    <w:rsid w:val="00517205"/>
    <w:rPr>
      <w:i/>
      <w:caps/>
    </w:rPr>
  </w:style>
  <w:style w:type="paragraph" w:customStyle="1" w:styleId="Supertitre">
    <w:name w:val="Supertitre"/>
    <w:basedOn w:val="Normal"/>
    <w:next w:val="Normal"/>
    <w:rsid w:val="00517205"/>
    <w:pPr>
      <w:spacing w:before="0" w:after="600"/>
      <w:jc w:val="center"/>
    </w:pPr>
    <w:rPr>
      <w:b/>
    </w:rPr>
  </w:style>
  <w:style w:type="paragraph" w:customStyle="1" w:styleId="Languesfaisantfoi">
    <w:name w:val="Langues faisant foi"/>
    <w:basedOn w:val="Normal"/>
    <w:next w:val="Normal"/>
    <w:rsid w:val="00517205"/>
    <w:pPr>
      <w:spacing w:before="360" w:after="0"/>
      <w:jc w:val="center"/>
    </w:pPr>
  </w:style>
  <w:style w:type="paragraph" w:customStyle="1" w:styleId="Rfrencecroise">
    <w:name w:val="Référence croisée"/>
    <w:basedOn w:val="Normal"/>
    <w:rsid w:val="00517205"/>
    <w:pPr>
      <w:spacing w:before="0" w:after="0"/>
      <w:jc w:val="center"/>
    </w:pPr>
  </w:style>
  <w:style w:type="paragraph" w:customStyle="1" w:styleId="Fichefinanciretitre">
    <w:name w:val="Fiche financière titre"/>
    <w:basedOn w:val="Normal"/>
    <w:next w:val="Normal"/>
    <w:rsid w:val="00517205"/>
    <w:pPr>
      <w:jc w:val="center"/>
    </w:pPr>
    <w:rPr>
      <w:b/>
      <w:u w:val="single"/>
    </w:rPr>
  </w:style>
  <w:style w:type="paragraph" w:customStyle="1" w:styleId="DatedadoptionPagedecouverture">
    <w:name w:val="Date d'adoption (Page de couverture)"/>
    <w:basedOn w:val="Datedadoption"/>
    <w:next w:val="TitreobjetPagedecouverture"/>
    <w:rsid w:val="00517205"/>
  </w:style>
  <w:style w:type="paragraph" w:customStyle="1" w:styleId="RfrenceinterinstitutionnellePagedecouverture">
    <w:name w:val="Référence interinstitutionnelle (Page de couverture)"/>
    <w:basedOn w:val="Rfrenceinterinstitutionnelle"/>
    <w:next w:val="Confidentialit"/>
    <w:rsid w:val="00517205"/>
  </w:style>
  <w:style w:type="paragraph" w:customStyle="1" w:styleId="StatutPagedecouverture">
    <w:name w:val="Statut (Page de couverture)"/>
    <w:basedOn w:val="Statut"/>
    <w:next w:val="TypedudocumentPagedecouverture"/>
    <w:rsid w:val="00517205"/>
  </w:style>
  <w:style w:type="paragraph" w:customStyle="1" w:styleId="TitreobjetPagedecouverture">
    <w:name w:val="Titre objet (Page de couverture)"/>
    <w:basedOn w:val="Titreobjet"/>
    <w:next w:val="IntrtEEEPagedecouverture"/>
    <w:rsid w:val="00517205"/>
  </w:style>
  <w:style w:type="paragraph" w:customStyle="1" w:styleId="TypedudocumentPagedecouverture">
    <w:name w:val="Type du document (Page de couverture)"/>
    <w:basedOn w:val="Typedudocument"/>
    <w:next w:val="TitreobjetPagedecouverture"/>
    <w:rsid w:val="00517205"/>
  </w:style>
  <w:style w:type="paragraph" w:customStyle="1" w:styleId="Volume">
    <w:name w:val="Volume"/>
    <w:basedOn w:val="Normal"/>
    <w:next w:val="Confidentialit"/>
    <w:rsid w:val="00517205"/>
    <w:pPr>
      <w:spacing w:before="0" w:after="240"/>
      <w:ind w:left="5103"/>
      <w:jc w:val="left"/>
    </w:pPr>
  </w:style>
  <w:style w:type="paragraph" w:customStyle="1" w:styleId="IntrtEEE">
    <w:name w:val="Intérêt EEE"/>
    <w:basedOn w:val="Languesfaisantfoi"/>
    <w:next w:val="Normal"/>
    <w:rsid w:val="00517205"/>
    <w:pPr>
      <w:spacing w:after="240"/>
    </w:pPr>
  </w:style>
  <w:style w:type="paragraph" w:customStyle="1" w:styleId="Accompagnant">
    <w:name w:val="Accompagnant"/>
    <w:basedOn w:val="Normal"/>
    <w:next w:val="Typeacteprincipal"/>
    <w:rsid w:val="00517205"/>
    <w:pPr>
      <w:spacing w:before="0" w:after="240"/>
      <w:jc w:val="center"/>
    </w:pPr>
    <w:rPr>
      <w:b/>
      <w:i/>
    </w:rPr>
  </w:style>
  <w:style w:type="paragraph" w:customStyle="1" w:styleId="Typeacteprincipal">
    <w:name w:val="Type acte principal"/>
    <w:basedOn w:val="Normal"/>
    <w:next w:val="Objetacteprincipal"/>
    <w:rsid w:val="00517205"/>
    <w:pPr>
      <w:spacing w:before="0" w:after="240"/>
      <w:jc w:val="center"/>
    </w:pPr>
    <w:rPr>
      <w:b/>
    </w:rPr>
  </w:style>
  <w:style w:type="paragraph" w:customStyle="1" w:styleId="Objetacteprincipal">
    <w:name w:val="Objet acte principal"/>
    <w:basedOn w:val="Normal"/>
    <w:next w:val="Titrearticle"/>
    <w:rsid w:val="00517205"/>
    <w:pPr>
      <w:spacing w:before="0" w:after="360"/>
      <w:jc w:val="center"/>
    </w:pPr>
    <w:rPr>
      <w:b/>
    </w:rPr>
  </w:style>
  <w:style w:type="paragraph" w:customStyle="1" w:styleId="IntrtEEEPagedecouverture">
    <w:name w:val="Intérêt EEE (Page de couverture)"/>
    <w:basedOn w:val="IntrtEEE"/>
    <w:next w:val="Rfrencecroise"/>
    <w:rsid w:val="00517205"/>
  </w:style>
  <w:style w:type="paragraph" w:customStyle="1" w:styleId="AccompagnantPagedecouverture">
    <w:name w:val="Accompagnant (Page de couverture)"/>
    <w:basedOn w:val="Accompagnant"/>
    <w:next w:val="TypeacteprincipalPagedecouverture"/>
    <w:rsid w:val="00517205"/>
  </w:style>
  <w:style w:type="paragraph" w:customStyle="1" w:styleId="TypeacteprincipalPagedecouverture">
    <w:name w:val="Type acte principal (Page de couverture)"/>
    <w:basedOn w:val="Typeacteprincipal"/>
    <w:next w:val="ObjetacteprincipalPagedecouverture"/>
    <w:rsid w:val="00517205"/>
  </w:style>
  <w:style w:type="paragraph" w:customStyle="1" w:styleId="ObjetacteprincipalPagedecouverture">
    <w:name w:val="Objet acte principal (Page de couverture)"/>
    <w:basedOn w:val="Objetacteprincipal"/>
    <w:next w:val="Rfrencecroise"/>
    <w:rsid w:val="00517205"/>
  </w:style>
  <w:style w:type="paragraph" w:customStyle="1" w:styleId="LanguesfaisantfoiPagedecouverture">
    <w:name w:val="Langues faisant foi (Page de couverture)"/>
    <w:basedOn w:val="Normal"/>
    <w:next w:val="Normal"/>
    <w:rsid w:val="00517205"/>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29495">
      <w:bodyDiv w:val="1"/>
      <w:marLeft w:val="0"/>
      <w:marRight w:val="0"/>
      <w:marTop w:val="0"/>
      <w:marBottom w:val="0"/>
      <w:divBdr>
        <w:top w:val="none" w:sz="0" w:space="0" w:color="auto"/>
        <w:left w:val="none" w:sz="0" w:space="0" w:color="auto"/>
        <w:bottom w:val="none" w:sz="0" w:space="0" w:color="auto"/>
        <w:right w:val="none" w:sz="0" w:space="0" w:color="auto"/>
      </w:divBdr>
      <w:divsChild>
        <w:div w:id="919101590">
          <w:marLeft w:val="0"/>
          <w:marRight w:val="0"/>
          <w:marTop w:val="0"/>
          <w:marBottom w:val="0"/>
          <w:divBdr>
            <w:top w:val="none" w:sz="0" w:space="0" w:color="auto"/>
            <w:left w:val="none" w:sz="0" w:space="0" w:color="auto"/>
            <w:bottom w:val="none" w:sz="0" w:space="0" w:color="auto"/>
            <w:right w:val="none" w:sz="0" w:space="0" w:color="auto"/>
          </w:divBdr>
          <w:divsChild>
            <w:div w:id="69037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83923">
      <w:bodyDiv w:val="1"/>
      <w:marLeft w:val="0"/>
      <w:marRight w:val="0"/>
      <w:marTop w:val="0"/>
      <w:marBottom w:val="0"/>
      <w:divBdr>
        <w:top w:val="none" w:sz="0" w:space="0" w:color="auto"/>
        <w:left w:val="none" w:sz="0" w:space="0" w:color="auto"/>
        <w:bottom w:val="none" w:sz="0" w:space="0" w:color="auto"/>
        <w:right w:val="none" w:sz="0" w:space="0" w:color="auto"/>
      </w:divBdr>
      <w:divsChild>
        <w:div w:id="1612011667">
          <w:marLeft w:val="0"/>
          <w:marRight w:val="0"/>
          <w:marTop w:val="0"/>
          <w:marBottom w:val="0"/>
          <w:divBdr>
            <w:top w:val="none" w:sz="0" w:space="0" w:color="auto"/>
            <w:left w:val="none" w:sz="0" w:space="0" w:color="auto"/>
            <w:bottom w:val="none" w:sz="0" w:space="0" w:color="auto"/>
            <w:right w:val="none" w:sz="0" w:space="0" w:color="auto"/>
          </w:divBdr>
          <w:divsChild>
            <w:div w:id="3161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E8A2B-A2F3-4353-B368-BC6752E43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18</TotalTime>
  <Pages>6</Pages>
  <Words>1830</Words>
  <Characters>9355</Characters>
  <Application>Microsoft Office Word</Application>
  <DocSecurity>0</DocSecurity>
  <Lines>167</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46</cp:revision>
  <dcterms:created xsi:type="dcterms:W3CDTF">2022-03-30T18:44:00Z</dcterms:created>
  <dcterms:modified xsi:type="dcterms:W3CDTF">2022-04-01T05:49:00Z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COM/PL/MOD</vt:lpwstr>
  </property>
  <property fmtid="{D5CDD505-2E9C-101B-9397-08002B2CF9AE}" pid="3" name="Version">
    <vt:lpwstr>8.0.25.0</vt:lpwstr>
  </property>
  <property fmtid="{D5CDD505-2E9C-101B-9397-08002B2CF9AE}" pid="4" name="Last edited using">
    <vt:lpwstr>LW 8.0, Build 20220128</vt:lpwstr>
  </property>
  <property fmtid="{D5CDD505-2E9C-101B-9397-08002B2CF9AE}" pid="5" name="Part">
    <vt:lpwstr>1</vt:lpwstr>
  </property>
  <property fmtid="{D5CDD505-2E9C-101B-9397-08002B2CF9AE}" pid="6" name="Total parts">
    <vt:lpwstr>1</vt:lpwstr>
  </property>
  <property fmtid="{D5CDD505-2E9C-101B-9397-08002B2CF9AE}" pid="7" name="Level of sensitivity">
    <vt:lpwstr>Standard treatment</vt:lpwstr>
  </property>
  <property fmtid="{D5CDD505-2E9C-101B-9397-08002B2CF9AE}" pid="8" name="LWTemplateID">
    <vt:lpwstr>SG-005</vt:lpwstr>
  </property>
  <property fmtid="{D5CDD505-2E9C-101B-9397-08002B2CF9AE}" pid="9" name="DQCStatus">
    <vt:lpwstr>Green (DQC version 03)</vt:lpwstr>
  </property>
  <property name="OP_sanitized" fmtid="{D5CDD505-2E9C-101B-9397-08002B2CF9AE}" pid="10">
    <vt:lpwstr>True</vt:lpwstr>
  </property>
</Properties>
</file>