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2C13" w:rsidRPr="00B612E0" w:rsidRDefault="00FF77AA" w:rsidP="00FF77AA">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ED091574-D3D6-4363-A653-20DAB8697658" style="width:455.25pt;height:426pt">
            <v:imagedata r:id="rId8" o:title=""/>
          </v:shape>
        </w:pict>
      </w:r>
    </w:p>
    <w:p w:rsidR="00322C13" w:rsidRPr="00B612E0" w:rsidRDefault="00322C13" w:rsidP="00322C13">
      <w:pPr>
        <w:rPr>
          <w:noProof/>
        </w:rPr>
        <w:sectPr w:rsidR="00322C13" w:rsidRPr="00B612E0" w:rsidSect="00FF77AA">
          <w:footerReference w:type="default" r:id="rId9"/>
          <w:pgSz w:w="11907" w:h="16839"/>
          <w:pgMar w:top="1134" w:right="1417" w:bottom="1134" w:left="1417" w:header="709" w:footer="709" w:gutter="0"/>
          <w:pgNumType w:start="0"/>
          <w:cols w:space="720"/>
          <w:docGrid w:linePitch="360"/>
        </w:sectPr>
      </w:pPr>
    </w:p>
    <w:p w:rsidR="00322C13" w:rsidRPr="00B612E0" w:rsidRDefault="00322C13" w:rsidP="00F11F0D">
      <w:pPr>
        <w:pStyle w:val="Exposdesmotifstitre"/>
        <w:rPr>
          <w:noProof/>
        </w:rPr>
      </w:pPr>
      <w:bookmarkStart w:id="0" w:name="_GoBack"/>
      <w:bookmarkEnd w:id="0"/>
      <w:r w:rsidRPr="00B612E0">
        <w:rPr>
          <w:noProof/>
        </w:rPr>
        <w:lastRenderedPageBreak/>
        <w:t>EXPOSICIÓN DE MOTIVOS</w:t>
      </w:r>
    </w:p>
    <w:p w:rsidR="00F057D0" w:rsidRPr="00B612E0" w:rsidRDefault="00F057D0" w:rsidP="00F057D0">
      <w:pPr>
        <w:pStyle w:val="ManualHeading1"/>
        <w:rPr>
          <w:noProof/>
        </w:rPr>
      </w:pPr>
      <w:r w:rsidRPr="00B612E0">
        <w:rPr>
          <w:noProof/>
        </w:rPr>
        <w:t>1.</w:t>
      </w:r>
      <w:r w:rsidRPr="00B612E0">
        <w:rPr>
          <w:noProof/>
        </w:rPr>
        <w:tab/>
        <w:t>CONTEXTO DE LA PROPUESTA</w:t>
      </w:r>
    </w:p>
    <w:p w:rsidR="00F057D0" w:rsidRPr="00B612E0" w:rsidRDefault="00F057D0" w:rsidP="00F057D0">
      <w:pPr>
        <w:pStyle w:val="ManualHeading2"/>
        <w:rPr>
          <w:rFonts w:eastAsia="Arial Unicode MS"/>
          <w:noProof/>
        </w:rPr>
      </w:pPr>
      <w:r w:rsidRPr="00B612E0">
        <w:rPr>
          <w:noProof/>
          <w:color w:val="000000"/>
          <w:u w:color="000000"/>
          <w:bdr w:val="nil"/>
        </w:rPr>
        <w:t>•</w:t>
      </w:r>
      <w:r w:rsidRPr="00B612E0">
        <w:rPr>
          <w:noProof/>
        </w:rPr>
        <w:tab/>
        <w:t>Razones y objetivos de la propuesta</w:t>
      </w:r>
    </w:p>
    <w:p w:rsidR="00D066D2" w:rsidRPr="00B612E0" w:rsidRDefault="00D066D2" w:rsidP="00A3009F">
      <w:pPr>
        <w:pBdr>
          <w:top w:val="nil"/>
          <w:left w:val="nil"/>
          <w:bottom w:val="nil"/>
          <w:right w:val="nil"/>
          <w:between w:val="nil"/>
          <w:bar w:val="nil"/>
        </w:pBdr>
        <w:rPr>
          <w:noProof/>
        </w:rPr>
      </w:pPr>
      <w:r w:rsidRPr="00B612E0">
        <w:rPr>
          <w:noProof/>
        </w:rPr>
        <w:t>El derecho de los ciudadanos de la Unión a circular y residir libremente en la Unión Europea, consagrado en el artículo 21 del Tratado de Funcionamiento de la Unión Europea (TFUE), es uno de los logros más apreciados de la Unión y un importante motor de su economía. Al mismo tiempo, la actual pandemia de coronavirus («COVID</w:t>
      </w:r>
      <w:r w:rsidRPr="00B612E0">
        <w:rPr>
          <w:rFonts w:ascii="Cambria Math" w:hAnsi="Cambria Math"/>
          <w:noProof/>
        </w:rPr>
        <w:t>‑</w:t>
      </w:r>
      <w:r w:rsidRPr="00B612E0">
        <w:rPr>
          <w:noProof/>
        </w:rPr>
        <w:t>19») sigue representando una amenaza extraordinaria para la salud pública en toda la Unión. Esto ha llevado a los Estados miembros a adoptar medidas de salud pública destinadas a proteger la salud de las personas y la capacidad de sus sistemas sanitarios, algunas de las cuales han afectado a los viajes entre Estados miembros.</w:t>
      </w:r>
    </w:p>
    <w:p w:rsidR="00061F5B" w:rsidRPr="00B612E0" w:rsidRDefault="00D066D2" w:rsidP="00A3009F">
      <w:pPr>
        <w:pBdr>
          <w:top w:val="nil"/>
          <w:left w:val="nil"/>
          <w:bottom w:val="nil"/>
          <w:right w:val="nil"/>
          <w:between w:val="nil"/>
          <w:bar w:val="nil"/>
        </w:pBdr>
        <w:rPr>
          <w:noProof/>
          <w:color w:val="000000"/>
          <w:szCs w:val="24"/>
        </w:rPr>
      </w:pPr>
      <w:r w:rsidRPr="00B612E0">
        <w:rPr>
          <w:noProof/>
        </w:rPr>
        <w:t>Para facilitar una circulación libre y segura durante la pandemia de COVID-19, el Parlamento Europeo y el Consejo adoptaron, el 14 de junio de 2021, el Reglamento (UE) 2021/953</w:t>
      </w:r>
      <w:r w:rsidRPr="00B612E0">
        <w:rPr>
          <w:rStyle w:val="FootnoteReference"/>
          <w:noProof/>
        </w:rPr>
        <w:footnoteReference w:id="2"/>
      </w:r>
      <w:r w:rsidRPr="00B612E0">
        <w:rPr>
          <w:noProof/>
        </w:rPr>
        <w:t>, por el que se establece el marco del certificado COVID digital de la UE para la expedición, verificación y aceptación de certificados COVID-19 interoperables de vacunación, de prueba diagnóstica y de recuperación</w:t>
      </w:r>
      <w:r w:rsidRPr="00B612E0">
        <w:rPr>
          <w:rStyle w:val="FootnoteReference"/>
          <w:noProof/>
        </w:rPr>
        <w:footnoteReference w:id="3"/>
      </w:r>
      <w:r w:rsidRPr="00B612E0">
        <w:rPr>
          <w:noProof/>
        </w:rPr>
        <w:t>. El Reglamento</w:t>
      </w:r>
      <w:r w:rsidR="004F138C">
        <w:rPr>
          <w:noProof/>
        </w:rPr>
        <w:t xml:space="preserve"> </w:t>
      </w:r>
      <w:r w:rsidRPr="00B612E0">
        <w:rPr>
          <w:noProof/>
        </w:rPr>
        <w:t>(UE) 2021/953 facilita la libertad de movimientos al ofrecer a los ciudadanos unos certificados interoperables y mutuamente aceptados de vacunación, de prueba diagnóstica y de recuperación de la COVID-19 que pueden utilizar para viajar.</w:t>
      </w:r>
      <w:r w:rsidRPr="00B612E0">
        <w:rPr>
          <w:noProof/>
          <w:color w:val="000000"/>
          <w:szCs w:val="24"/>
        </w:rPr>
        <w:t xml:space="preserve"> Cuando los Estados miembros levantan determinadas restricciones a la libre circulación de personas que estén en posesión de pruebas de vacunación, diagnósticas o de recuperación, el certificado COVID digital de la UE permite a los ciudadanos beneficiarse de estas exenciones. </w:t>
      </w:r>
    </w:p>
    <w:p w:rsidR="00D066D2" w:rsidRPr="00B612E0" w:rsidRDefault="00061F5B" w:rsidP="00A3009F">
      <w:pPr>
        <w:pBdr>
          <w:top w:val="nil"/>
          <w:left w:val="nil"/>
          <w:bottom w:val="nil"/>
          <w:right w:val="nil"/>
          <w:between w:val="nil"/>
          <w:bar w:val="nil"/>
        </w:pBdr>
        <w:rPr>
          <w:noProof/>
          <w:szCs w:val="24"/>
        </w:rPr>
      </w:pPr>
      <w:r w:rsidRPr="00B612E0">
        <w:rPr>
          <w:noProof/>
        </w:rPr>
        <w:t>Desde su adopción, el certificado COVID digital de la UE se ha implantado con éxito en toda la Unión, con más de 1 000 millones de certificados expedidos hasta el final de 2021, y constituye pues una herramienta ampliamente disponible y aceptada de manera fiable para facilitar la libre circulación durante la pandemia de COVID-19. Según una encuesta del Eurobarómetro publicada en septiembre de 2021, alrededor de dos tercios (65 %) de los encuestados opinaban que el certificado COVID digital de la UE es el medio más seguro para viajar libremente por Europa durante la pandemia</w:t>
      </w:r>
      <w:r w:rsidRPr="00B612E0">
        <w:rPr>
          <w:rStyle w:val="FootnoteReference"/>
          <w:noProof/>
          <w:szCs w:val="24"/>
        </w:rPr>
        <w:footnoteReference w:id="4"/>
      </w:r>
      <w:r w:rsidRPr="00B612E0">
        <w:rPr>
          <w:noProof/>
        </w:rPr>
        <w:t>. Casi todos los Estados miembros también utilizan el certificado COVID digital de la UE con fines nacionales, y hay estudios que estiman que su uso ha dado lugar a un aumento de la vacunación</w:t>
      </w:r>
      <w:r w:rsidRPr="00B612E0">
        <w:rPr>
          <w:rStyle w:val="FootnoteReference"/>
          <w:noProof/>
          <w:szCs w:val="24"/>
        </w:rPr>
        <w:footnoteReference w:id="5"/>
      </w:r>
      <w:r w:rsidRPr="00B612E0">
        <w:rPr>
          <w:noProof/>
        </w:rPr>
        <w:t>, menores ingresos hospitalarios, menos pérdidas económicas y, lo que es más importante, menos muertes</w:t>
      </w:r>
      <w:r w:rsidRPr="00B612E0">
        <w:rPr>
          <w:rStyle w:val="FootnoteReference"/>
          <w:noProof/>
          <w:szCs w:val="24"/>
        </w:rPr>
        <w:footnoteReference w:id="6"/>
      </w:r>
      <w:r w:rsidRPr="00B612E0">
        <w:rPr>
          <w:noProof/>
        </w:rPr>
        <w:t>.</w:t>
      </w:r>
    </w:p>
    <w:p w:rsidR="00FE73F4" w:rsidRPr="00B612E0" w:rsidRDefault="007D7466" w:rsidP="00A3009F">
      <w:pPr>
        <w:pBdr>
          <w:top w:val="nil"/>
          <w:left w:val="nil"/>
          <w:bottom w:val="nil"/>
          <w:right w:val="nil"/>
          <w:between w:val="nil"/>
          <w:bar w:val="nil"/>
        </w:pBdr>
        <w:rPr>
          <w:noProof/>
        </w:rPr>
      </w:pPr>
      <w:r w:rsidRPr="00B612E0">
        <w:rPr>
          <w:noProof/>
        </w:rPr>
        <w:t>Además, el sistema de certificado COVID digital de la UE ha demostrado ser el único sistema de certificados COVID-19 operativo a gran escala y de ámbito internacional. Por ello, ha adquirido una creciente importancia en el mundo y contribuido a hacer frente a la pandemia a escala mundial, facilitando unos viajes internacionales seguros y una recuperación generalizada. A 31 de enero de 2022, los tres países del Espacio Económico Europeo no pertenecientes a la UE</w:t>
      </w:r>
      <w:r w:rsidRPr="00B612E0">
        <w:rPr>
          <w:rStyle w:val="FootnoteReference"/>
          <w:noProof/>
        </w:rPr>
        <w:footnoteReference w:id="7"/>
      </w:r>
      <w:r w:rsidRPr="00B612E0">
        <w:rPr>
          <w:noProof/>
        </w:rPr>
        <w:t>, Suiza</w:t>
      </w:r>
      <w:r w:rsidRPr="00B612E0">
        <w:rPr>
          <w:rStyle w:val="FootnoteReference"/>
          <w:noProof/>
        </w:rPr>
        <w:footnoteReference w:id="8"/>
      </w:r>
      <w:r w:rsidRPr="00B612E0">
        <w:rPr>
          <w:noProof/>
        </w:rPr>
        <w:t xml:space="preserve"> y otros 29 terceros países y territorios</w:t>
      </w:r>
      <w:r w:rsidRPr="00B612E0">
        <w:rPr>
          <w:rStyle w:val="FootnoteReference"/>
          <w:noProof/>
        </w:rPr>
        <w:footnoteReference w:id="9"/>
      </w:r>
      <w:r w:rsidRPr="00B612E0">
        <w:rPr>
          <w:noProof/>
        </w:rPr>
        <w:t xml:space="preserve"> están conectados al sistema de certificado COVID digital de la UE, y se espera que otros se sumen en el futuro. Dicho sistema ha sido reconocido como una de las soluciones digitales clave para restablecer la movilidad internacional</w:t>
      </w:r>
      <w:r w:rsidRPr="00B612E0">
        <w:rPr>
          <w:rStyle w:val="FootnoteReference"/>
          <w:noProof/>
        </w:rPr>
        <w:footnoteReference w:id="10"/>
      </w:r>
      <w:r w:rsidRPr="00B612E0">
        <w:rPr>
          <w:noProof/>
        </w:rPr>
        <w:t>, y la Asociación de Transporte Aéreo Internacional ha instado a los países a adoptar el certificado COVID digital de la UE como norma mundial</w:t>
      </w:r>
      <w:r w:rsidRPr="00B612E0">
        <w:rPr>
          <w:rStyle w:val="FootnoteReference"/>
          <w:noProof/>
        </w:rPr>
        <w:footnoteReference w:id="11"/>
      </w:r>
      <w:r w:rsidRPr="00B612E0">
        <w:rPr>
          <w:noProof/>
        </w:rPr>
        <w:t>. La Comisión proseguirá sus esfuerzos para apoyar a los terceros países interesados en desarrollar sistemas interoperables de certificados COVID-19. Esto puede incluir la oferta de soluciones de referencia de código abierto adicionales que permitan la conversión de certificados de terceros países en un formato interoperable con el certificado COVID digital de la UE, ya que también es posible conectar terceros países cuyos certificados sean interoperables mediante conversión</w:t>
      </w:r>
      <w:r w:rsidRPr="00B612E0">
        <w:rPr>
          <w:rStyle w:val="FootnoteReference"/>
          <w:noProof/>
        </w:rPr>
        <w:footnoteReference w:id="12"/>
      </w:r>
      <w:r w:rsidRPr="00B612E0">
        <w:rPr>
          <w:noProof/>
        </w:rPr>
        <w:t>.</w:t>
      </w:r>
    </w:p>
    <w:p w:rsidR="00174F7E" w:rsidRPr="00B612E0" w:rsidRDefault="00174F7E" w:rsidP="00A3009F">
      <w:pPr>
        <w:pBdr>
          <w:top w:val="nil"/>
          <w:left w:val="nil"/>
          <w:bottom w:val="nil"/>
          <w:right w:val="nil"/>
          <w:between w:val="nil"/>
          <w:bar w:val="nil"/>
        </w:pBdr>
        <w:rPr>
          <w:noProof/>
        </w:rPr>
      </w:pPr>
      <w:r w:rsidRPr="00B612E0">
        <w:rPr>
          <w:noProof/>
        </w:rPr>
        <w:t>Para aprovechar al máximo el marco del certificado COVID digital de la UE, el Consejo ha adoptado varias recomendaciones sobre un enfoque coordinado para facilitar la libre circulación segura durante la pandemia de COVID-19. Según la actualización más reciente, la Recomendación (UE) 2022/107 del Consejo, adoptada el 25 de enero de 2022</w:t>
      </w:r>
      <w:r w:rsidRPr="00B612E0">
        <w:rPr>
          <w:rStyle w:val="FootnoteReference"/>
          <w:noProof/>
        </w:rPr>
        <w:footnoteReference w:id="13"/>
      </w:r>
      <w:r w:rsidRPr="00B612E0">
        <w:rPr>
          <w:noProof/>
        </w:rPr>
        <w:t>, el titular de un certificado COVID digital de la UE que cumpla determinados requisitos no debe, en casi ninguna circunstancia, estar sujeto a ningún requisito adicional al ejercer sus derechos de libre circulación. Este «enfoque basado en las personas» requiere, por tanto, la disponibilidad continua de certificados COVID digitales de la UE.</w:t>
      </w:r>
    </w:p>
    <w:p w:rsidR="00061F5B" w:rsidRPr="00B612E0" w:rsidRDefault="00061F5B" w:rsidP="00A3009F">
      <w:pPr>
        <w:rPr>
          <w:noProof/>
        </w:rPr>
      </w:pPr>
      <w:r w:rsidRPr="00B612E0">
        <w:rPr>
          <w:noProof/>
        </w:rPr>
        <w:t xml:space="preserve">Desde la adopción del Reglamento (UE) 2021/953, la situación epidemiológica con respecto a la pandemia de COVID-19 ha evolucionado considerablemente. Por una parte, a 31 de enero de 2022, más del 80 % de la población adulta de la Unión ha completado su </w:t>
      </w:r>
      <w:r w:rsidR="00B612E0">
        <w:rPr>
          <w:noProof/>
        </w:rPr>
        <w:t>pauta</w:t>
      </w:r>
      <w:r w:rsidRPr="00B612E0">
        <w:rPr>
          <w:noProof/>
        </w:rPr>
        <w:t xml:space="preserve"> primari</w:t>
      </w:r>
      <w:r w:rsidR="00B612E0">
        <w:rPr>
          <w:noProof/>
        </w:rPr>
        <w:t>a</w:t>
      </w:r>
      <w:r w:rsidRPr="00B612E0">
        <w:rPr>
          <w:noProof/>
        </w:rPr>
        <w:t xml:space="preserve"> de vacunación y más del 50 % ha recibido una dosis de recuerdo, a pesar de diferencias significativas entre Estados miembros</w:t>
      </w:r>
      <w:r w:rsidRPr="00B612E0">
        <w:rPr>
          <w:rStyle w:val="FootnoteReference"/>
          <w:noProof/>
        </w:rPr>
        <w:footnoteReference w:id="14"/>
      </w:r>
      <w:r w:rsidRPr="00B612E0">
        <w:rPr>
          <w:noProof/>
        </w:rPr>
        <w:t>. El aumento de la vacunación sigue siendo un objetivo crucial en la lucha contra la pandemia, dada la protección que ofrece contra la hospitalización y las secuelas graves, por lo que desempeña un papel importante para garantizar que puedan levantarse las restricciones a la libre circulación de personas.</w:t>
      </w:r>
    </w:p>
    <w:p w:rsidR="00A41F28" w:rsidRPr="00B612E0" w:rsidRDefault="00061F5B" w:rsidP="00A3009F">
      <w:pPr>
        <w:rPr>
          <w:noProof/>
        </w:rPr>
      </w:pPr>
      <w:r w:rsidRPr="00B612E0">
        <w:rPr>
          <w:noProof/>
        </w:rPr>
        <w:t>Por otra parte, la propagación de la variante preocupante del SARS-CoV-2 «Delta» en el segundo semestre de 2021 provocó un aumento significativo del número de infecciones, hospitalizaciones y muertes, lo que obligó a los Estados miembros a adoptar medidas estrictas de salud pública en un esfuerzo por proteger la capacidad de sus sistemas sanitarios. A principios de 2022, la variante preocupante del SARS-CoV-2 «Ómicron» provocó un fuerte aumento del número de casos de COVID-19, sustituyendo rápidamente a la Delta y alcanzando una intensidad sin precedentes de transmisión comunitaria en toda la Unión.</w:t>
      </w:r>
    </w:p>
    <w:p w:rsidR="00061F5B" w:rsidRPr="00B612E0" w:rsidRDefault="00A41F28" w:rsidP="00A3009F">
      <w:pPr>
        <w:rPr>
          <w:noProof/>
        </w:rPr>
      </w:pPr>
      <w:r w:rsidRPr="00B612E0">
        <w:rPr>
          <w:noProof/>
        </w:rPr>
        <w:t>Como señaló el Centro Europeo para la Prevención y el Control de las Enfermedades (ECDC) en su evaluación rápida del riesgo de 27 de enero de 2022</w:t>
      </w:r>
      <w:r w:rsidRPr="00B612E0">
        <w:rPr>
          <w:rStyle w:val="FootnoteReference"/>
          <w:noProof/>
        </w:rPr>
        <w:footnoteReference w:id="15"/>
      </w:r>
      <w:r w:rsidRPr="00B612E0">
        <w:rPr>
          <w:noProof/>
        </w:rPr>
        <w:t>, parece que las infecciones por Ómicron tienen menos probabilidades de conducir a un cuadro clínico grave que requiera hospitalización o admisión en unidades de cuidados intensivos. Aunque la reducción de la gravedad se debe en parte a las características inherentes del virus, los resultados de los estudios de eficacia de las vacunas han demostrado que la vacunación desempeña un papel importante en la prevención de los efectos clínicos graves de la infección por Ómicron, con un aumento significativo de la eficacia contra los efectos graves de la enfermedad entre las personas que han recibido tres dosis de vacuna. Además, dado el elevadísimo nivel de transmisión comunitaria, que enferma a muchas personas al mismo tiempo, es probable que los Estados miembros sufran un período de considerable presión sobre sus sistemas sanitarios y sobre el funcionamiento de la sociedad en su conjunto, principalmente a través de ausencias en los puestos de trabajo y las aulas.</w:t>
      </w:r>
    </w:p>
    <w:p w:rsidR="00061F5B" w:rsidRPr="00B612E0" w:rsidRDefault="00D002B2" w:rsidP="00A3009F">
      <w:pPr>
        <w:rPr>
          <w:noProof/>
        </w:rPr>
      </w:pPr>
      <w:r w:rsidRPr="00B612E0">
        <w:rPr>
          <w:noProof/>
        </w:rPr>
        <w:t>Tras un pico en los casos de Ómicron, se espera que una gran proporción de la población goce, al menos durante un determinado período, de protección contra la COVID-19 debido a la vacunación, a una infección previa o a ambos factores. Sin embargo, no es posible predecir el impacto de un posible aumento de las infecciones en el segundo semestre de 2022. Además, no puede descartarse la posibilidad de que la situación pandémica empeore debido a la aparición de nuevas variantes preocupantes del SARS-CoV-2.</w:t>
      </w:r>
    </w:p>
    <w:p w:rsidR="00061F5B" w:rsidRPr="00B612E0" w:rsidRDefault="002C69E6" w:rsidP="00A3009F">
      <w:pPr>
        <w:pBdr>
          <w:top w:val="nil"/>
          <w:left w:val="nil"/>
          <w:bottom w:val="nil"/>
          <w:right w:val="nil"/>
          <w:between w:val="nil"/>
          <w:bar w:val="nil"/>
        </w:pBdr>
        <w:rPr>
          <w:noProof/>
        </w:rPr>
      </w:pPr>
      <w:r w:rsidRPr="00B612E0">
        <w:rPr>
          <w:noProof/>
        </w:rPr>
        <w:t>En vista de lo anterior, no puede excluirse que los Estados miembros sigan exigiendo a los ciudadanos de la Unión que ejercen su derecho a la libre circulación que presenten pruebas de vacunación, prueba diagnóstica o recuperación de la COVID-19 después del 30 de junio de 2022, es decir, la fecha de expiración del Reglamento (UE) 2021/953. Por lo tanto, es importante evitar que los ciudadanos de la Unión y los miembros de sus familias se vean privados de la posibilidad de hacer uso de sus certificados COVID digitales de la UE, que son una forma eficaz, segura y respetuosa de la privacidad de demostrar la situación de cada uno en relación con la COVID-19 en caso de que sigan vigentes determinadas restricciones a la libre circulación por razones de salud pública después del 30 de junio de 2022.</w:t>
      </w:r>
    </w:p>
    <w:p w:rsidR="00061F5B" w:rsidRPr="00B612E0" w:rsidRDefault="00061F5B" w:rsidP="00A3009F">
      <w:pPr>
        <w:pBdr>
          <w:top w:val="nil"/>
          <w:left w:val="nil"/>
          <w:bottom w:val="nil"/>
          <w:right w:val="nil"/>
          <w:between w:val="nil"/>
          <w:bar w:val="nil"/>
        </w:pBdr>
        <w:rPr>
          <w:noProof/>
        </w:rPr>
      </w:pPr>
      <w:r w:rsidRPr="00B612E0">
        <w:rPr>
          <w:noProof/>
        </w:rPr>
        <w:t>Al mismo tiempo, dado que cualquier restricción a la libre circulación de personas en la Unión establecida para limitar la propagación del SARS-CoV-2, incluido el requisito de presentar el certificado COVID digital de la UE, debe levantarse tan pronto como la situación epidemiológica lo permita, la Comisión propone limitar la prórroga a 12 meses. Por otro lado, la ampliación del Reglamento no debe entenderse en el sentido de que obliga a los Estados miembros, en particular a aquellos que levanten las medidas nacionales de salud pública, a mantener o imponer restricciones a la libre circulación.</w:t>
      </w:r>
    </w:p>
    <w:p w:rsidR="00BB5BF5" w:rsidRPr="00B612E0" w:rsidRDefault="00BB5BF5" w:rsidP="00A3009F">
      <w:pPr>
        <w:pBdr>
          <w:top w:val="nil"/>
          <w:left w:val="nil"/>
          <w:bottom w:val="nil"/>
          <w:right w:val="nil"/>
          <w:between w:val="nil"/>
          <w:bar w:val="nil"/>
        </w:pBdr>
        <w:rPr>
          <w:rFonts w:eastAsiaTheme="minorEastAsia"/>
          <w:noProof/>
        </w:rPr>
      </w:pPr>
      <w:r w:rsidRPr="00B612E0">
        <w:rPr>
          <w:noProof/>
        </w:rPr>
        <w:t>Además, la Comisión también propone modificar un pequeño número de otras disposiciones del Reglamento (UE) 2021/953.</w:t>
      </w:r>
    </w:p>
    <w:p w:rsidR="00BB5BF5" w:rsidRPr="00B612E0" w:rsidRDefault="00BB5BF5" w:rsidP="00A3009F">
      <w:pPr>
        <w:pBdr>
          <w:top w:val="nil"/>
          <w:left w:val="nil"/>
          <w:bottom w:val="nil"/>
          <w:right w:val="nil"/>
          <w:between w:val="nil"/>
          <w:bar w:val="nil"/>
        </w:pBdr>
        <w:rPr>
          <w:noProof/>
        </w:rPr>
      </w:pPr>
      <w:r w:rsidRPr="00B612E0">
        <w:rPr>
          <w:noProof/>
        </w:rPr>
        <w:t>De conformidad con el Reglamento (UE) 2021/953, los certificados de prueba diagnóstica deben expedirse sobre la base de dos tipos de pruebas de detección de la infección por SARS-CoV-2, a saber, las pruebas de amplificación de ácido nucleico molecular (NAAT), incluidas las que utilizan la reacción en cadena de la polimerasa con retrotranscripción (RT-PCR), y las pruebas rápidas de antígenos, que se basan en la detección de proteínas víricas (antígenos) mediante un inmunoanálisis de flujo lateral que ofrece resultados en menos de 30 minutos, siempre que las lleven a cabo profesionales sanitarios o personal cualificado para la realización de pruebas. Por otra parte, el Reglamento (UE) 2021/953 no cubre otros tipos de ensayos antigénicos, como los ensayos de inmunoadsorción enzimática (ELISA) o los inmunoensayos automatizados, que realizan pruebas de antígenos en un laboratorio.</w:t>
      </w:r>
    </w:p>
    <w:p w:rsidR="00BB5BF5" w:rsidRPr="00B612E0" w:rsidRDefault="00BB5BF5" w:rsidP="00A3009F">
      <w:pPr>
        <w:pBdr>
          <w:top w:val="nil"/>
          <w:left w:val="nil"/>
          <w:bottom w:val="nil"/>
          <w:right w:val="nil"/>
          <w:between w:val="nil"/>
          <w:bar w:val="nil"/>
        </w:pBdr>
        <w:rPr>
          <w:noProof/>
        </w:rPr>
      </w:pPr>
      <w:r w:rsidRPr="00B612E0">
        <w:rPr>
          <w:noProof/>
        </w:rPr>
        <w:t>Desde julio de 2021, el grupo de trabajo técnico sobre pruebas de diagnóstico de la COVID-19</w:t>
      </w:r>
      <w:r w:rsidRPr="00B612E0">
        <w:rPr>
          <w:rStyle w:val="FootnoteReference"/>
          <w:noProof/>
        </w:rPr>
        <w:footnoteReference w:id="16"/>
      </w:r>
      <w:r w:rsidRPr="00B612E0">
        <w:rPr>
          <w:noProof/>
        </w:rPr>
        <w:t>, responsable de preparar las actualizaciones de la lista común de pruebas rápidas de antígenos para la COVID-19</w:t>
      </w:r>
      <w:r w:rsidRPr="00B612E0">
        <w:rPr>
          <w:rStyle w:val="FootnoteReference"/>
          <w:noProof/>
        </w:rPr>
        <w:footnoteReference w:id="17"/>
      </w:r>
      <w:r w:rsidRPr="00B612E0">
        <w:rPr>
          <w:noProof/>
        </w:rPr>
        <w:t xml:space="preserve"> acordada por el Comité de Seguridad Sanitaria, también revisa las propuestas presentadas por los Estados miembros y los fabricantes de pruebas de antígenos en laboratorio de la COVID-19. Estas propuestas se evalúan con arreglo a los mismos criterios utilizados para las pruebas rápidas de antígenos, y el Comité de Seguridad Sanitaria ha elaborado una lista de las pruebas de antígenos en laboratorio que cumplen estos criterios. Por ello, y en un esfuerzo por ampliar el ámbito de aplicación de los distintos tipos de pruebas de diagnóstico que pueden utilizarse como base para la expedición del certificado COVID digital de la UE, la Comisión propone que los Estados miembros puedan expedir certificados de pruebas sobre la base de las pruebas de antígenos en laboratorio que se recojan en una lista.</w:t>
      </w:r>
    </w:p>
    <w:p w:rsidR="00F4705B" w:rsidRPr="00B612E0" w:rsidRDefault="00F4705B" w:rsidP="00A3009F">
      <w:pPr>
        <w:rPr>
          <w:noProof/>
        </w:rPr>
      </w:pPr>
      <w:r w:rsidRPr="00B612E0">
        <w:rPr>
          <w:noProof/>
        </w:rPr>
        <w:t>También se producen avances científicos en otros ámbitos de la lucha contra la COVID-19, en particular la vacunación. Los fabricantes siguen desarrollando vacunas contra la COVID-19 nuevas o adaptadas, y se llevan a cabo estudios sobre la eficacia continua de las vacunas existentes. Es necesario garantizar que el sistema de certificado COVID digital de la UE pueda adaptarse a los nuevos avances en este ámbito, como el posible despliegue de vacunas dirigidas contra las variantes del SARS-CoV-2. Estos avances pueden requerir futuras adaptaciones de la información incluida en el certificado de vacunación, en particular en relación con las vacunas contra la COVID-19 administradas, por ejemplo mediante un acto delegado adoptado con arreglo al artículo 5, apartado 2, del Reglamento.</w:t>
      </w:r>
    </w:p>
    <w:p w:rsidR="00E7441F" w:rsidRPr="00B612E0" w:rsidRDefault="006912A6" w:rsidP="001941F8">
      <w:pPr>
        <w:rPr>
          <w:noProof/>
        </w:rPr>
      </w:pPr>
      <w:r w:rsidRPr="00B612E0">
        <w:rPr>
          <w:noProof/>
        </w:rPr>
        <w:t>En particular, a la luz de la aparición de nuevas variantes preocupantes del SARS-CoV-2, el desarrollo y el estudio continuados de las vacunas contra la COVID-19 siguen siendo cruciales. En este contexto, es importante facilitar la participación de voluntarios en ensayos clínicos, es decir, estudios realizados para investigar la seguridad o la eficacia de un medicamento, como una vacuna contra la COVID-19. La investigación clínica desempeña un papel fundamental en el desarrollo de vacunas. Por consiguiente, debe fomentarse la participación voluntaria en ensayos clínicos. Privar a los voluntarios del acceso al certificado COVID digital de la UE podría constituir un importante desincentivo para participar, retrasando la conclusión de los ensayos clínicos y repercutiendo negativamente en la salud pública en general. Además, para garantizar la validez de sus resultados, debe preservarse la integridad de los ensayos clínicos, en particular en lo que se refiere al enmascaramiento y la confidencialidad de los datos.</w:t>
      </w:r>
    </w:p>
    <w:p w:rsidR="00545DFA" w:rsidRPr="00B612E0" w:rsidRDefault="00E7441F" w:rsidP="00A3009F">
      <w:pPr>
        <w:rPr>
          <w:noProof/>
        </w:rPr>
      </w:pPr>
      <w:r w:rsidRPr="00B612E0">
        <w:rPr>
          <w:noProof/>
        </w:rPr>
        <w:t>A tal fin, las personas que participen en ensayos clínicos que hayan sido aprobados por los comités éticos y las autoridades competentes de los Estados miembros deben poder recibir un certificado COVID digital de la UE. Este puede ser expedido por el Estado miembro en el que se administra la dosis, independientemente de que los participantes hayan recibido la vacuna experimental contra la COVID-19 o la dosis administrada al grupo de control para evitar socavar los estudios. Debe aclararse que otros Estados miembros pueden aceptar tal certificado con el fin de suprimir las restricciones a la libre circulación establecidas para limitar la propagación del SARS-CoV-2. Si una vacuna contra la COVID-19 sometida a ensayos clínicos recibe posteriormente una autorización de comercialización con arreglo al Reglamento (CE) n.º 726/2004</w:t>
      </w:r>
      <w:r w:rsidRPr="00B612E0">
        <w:rPr>
          <w:rStyle w:val="FootnoteReference"/>
          <w:noProof/>
        </w:rPr>
        <w:footnoteReference w:id="18"/>
      </w:r>
      <w:r w:rsidRPr="00B612E0">
        <w:rPr>
          <w:noProof/>
        </w:rPr>
        <w:t>, los certificados de vacunación para dicha vacuna entran, a partir de ese momento, en el ámbito de aplicación del artículo 5, apartado 5, párrafo primero, del Reglamento (UE) 2021/953. Para garantizar un enfoque coherente con respecto a la aceptación de los certificados expedidos para una vacuna contra la COVID-19 sometida a ensayos clínicos que aún no haya recibido la autorización de comercialización, se podrá pedir al Comité de Seguridad Sanitaria, al ECDC o a la Agencia Europea de Medicamentos (EMA) que emitan orientaciones, que deben tener en cuenta los criterios éticos y científicos necesarios para llevar a cabo ensayos clínicos.</w:t>
      </w:r>
    </w:p>
    <w:p w:rsidR="00BB5BF5" w:rsidRPr="00B612E0" w:rsidRDefault="00AD2D2C" w:rsidP="00A3009F">
      <w:pPr>
        <w:rPr>
          <w:noProof/>
        </w:rPr>
      </w:pPr>
      <w:r w:rsidRPr="00B612E0">
        <w:rPr>
          <w:noProof/>
        </w:rPr>
        <w:t>Los certificados de vacunación expedidos por los Estados miembros en el formato del certificado COVID digital de la UE deben contener, entre otros datos, el número de dosis administradas al titular. La Comisión propone aclarar que esta obligación no se limita a las dosis administradas en el Estado miembro que expide el certificado, sino que abarca todas las dosis administradas al titular, incluso en otros Estados miembros. Limitar la indicación de las dosis anteriores a las recibidas en el Estado miembro que expide el certificado podría dar lugar a una divergencia entre el número realmente administrado y el indicado en el certificado. La administración de dosis anteriores en otros Estados miembros se demuestra mediante el correspondiente certificado COVID digital de la UE válido, que debe expedirse a las personas interesadas de conformidad con el artículo 5, apartado 1, del Reglamento (UE) 2021/953. Si la información que figura en el certificado es incorrecta, el titular tiene derecho, de conformidad con el artículo 3, apartado 4, del Reglamento (UE) 2021/953, a solicitar la expedición de un nuevo certificado.</w:t>
      </w:r>
    </w:p>
    <w:p w:rsidR="000F7947" w:rsidRPr="00B612E0" w:rsidRDefault="000F7947" w:rsidP="00A3009F">
      <w:pPr>
        <w:rPr>
          <w:noProof/>
        </w:rPr>
      </w:pPr>
      <w:r w:rsidRPr="00B612E0">
        <w:rPr>
          <w:noProof/>
        </w:rPr>
        <w:t>La Comisión no propone ampliar el ámbito de aplicación del Reglamento (UE) 2021/953 en lo que respecta al uso nacional del certificado COVID digital de la UE. Como se señala en el considerando 48 del Reglamento (UE) 2021/953, los Estados miembros pueden tratar los datos personales contenidos en el certificado COVID digital de la UE con otros fines, si la base jurídica para su tratamiento con otros fines, incluidos los plazos de conservación correspondientes, está establecida en el Derecho nacional, que debe cumplir con el Derecho de la Unión en materia de protección de datos. Así pues, el Reglamento (UE) 2021/953 no prescribe ni prohíbe el uso nacional del certificado COVID digital de la UE, que sigue siendo competencia de los Estados miembros y está sujeto a control judicial por parte de los órganos jurisdiccionales nacionales.</w:t>
      </w:r>
    </w:p>
    <w:p w:rsidR="000D637E" w:rsidRPr="00B612E0" w:rsidRDefault="000D637E" w:rsidP="00A3009F">
      <w:pPr>
        <w:rPr>
          <w:noProof/>
        </w:rPr>
      </w:pPr>
      <w:r w:rsidRPr="00B612E0">
        <w:rPr>
          <w:noProof/>
        </w:rPr>
        <w:t>El 18 de octubre de 2021, la Comisión publicó su primer informe sobre el certificado COVID digital de la UE</w:t>
      </w:r>
      <w:r w:rsidRPr="00B612E0">
        <w:rPr>
          <w:rStyle w:val="FootnoteReference"/>
          <w:noProof/>
        </w:rPr>
        <w:footnoteReference w:id="19"/>
      </w:r>
      <w:r w:rsidRPr="00B612E0">
        <w:rPr>
          <w:noProof/>
        </w:rPr>
        <w:t xml:space="preserve">. De conformidad con el artículo 16, apartado 2, del Reglamento (UE) 2021/953, la Comisión debe presentar un segundo informe al Parlamento Europeo y al Consejo sobre la aplicación del Reglamento a más tardar el 31 de marzo de 2022. El informe contendrá, en particular, una evaluación del impacto del Reglamento en la facilitación de la libre circulación, incluidos los viajes y el turismo en la Unión y la aceptación de los diferentes tipos de vacunas, los derechos fundamentales y la no discriminación, así como en la protección de los datos de carácter personal durante la pandemia de COVID-19. </w:t>
      </w:r>
    </w:p>
    <w:p w:rsidR="000D637E" w:rsidRPr="00B612E0" w:rsidRDefault="000D637E" w:rsidP="00A3009F">
      <w:pPr>
        <w:rPr>
          <w:noProof/>
        </w:rPr>
      </w:pPr>
      <w:r w:rsidRPr="00B612E0">
        <w:rPr>
          <w:noProof/>
        </w:rPr>
        <w:t>Como se señala en el primer informe, la Comisión presenta esta propuesta antes de la adopción del segundo con el fin de garantizar que, por razones de seguridad jurídica, el procedimiento legislativo necesario pueda concluirse suficientemente antes de junio de 2022. Al mismo tiempo, la presente propuesta se basa en un análisis de los diferentes aspectos que deben tratarse en dicho informe. Por las razones expuestas en la presente propuesta, la Comisión considera que el certificado COVID digital de la UE ha afectado positivamente a la libre circulación en la UE, dado que su inexistencia probablemente habría dado lugar al desarrollo de soluciones nacionales incompatibles. Para ampliar el ámbito de aplicación de los distintos tipos de vacunas aceptadas, la Comisión propone incluir las vacunas contra la COVID-19 sometidas a ensayos clínicos. A continuación</w:t>
      </w:r>
      <w:r w:rsidR="00E77EE2">
        <w:rPr>
          <w:noProof/>
        </w:rPr>
        <w:t xml:space="preserve"> </w:t>
      </w:r>
      <w:r w:rsidRPr="00B612E0">
        <w:rPr>
          <w:noProof/>
        </w:rPr>
        <w:t>se aborda el impacto de la ampliación del Reglamento sobre el certificado COVID digital de la UE en los derechos fundamentales, la no discriminación y la protección de los datos personales.</w:t>
      </w:r>
    </w:p>
    <w:p w:rsidR="00F057D0" w:rsidRPr="00B612E0" w:rsidRDefault="00F057D0" w:rsidP="00F057D0">
      <w:pPr>
        <w:pStyle w:val="ManualHeading2"/>
        <w:rPr>
          <w:rFonts w:eastAsia="Arial Unicode MS"/>
          <w:noProof/>
          <w:color w:val="000000"/>
          <w:u w:color="000000"/>
          <w:bdr w:val="nil"/>
        </w:rPr>
      </w:pPr>
      <w:r w:rsidRPr="00B612E0">
        <w:rPr>
          <w:noProof/>
          <w:color w:val="000000"/>
          <w:u w:color="000000"/>
          <w:bdr w:val="nil"/>
        </w:rPr>
        <w:t>•</w:t>
      </w:r>
      <w:r w:rsidRPr="00B612E0">
        <w:rPr>
          <w:noProof/>
        </w:rPr>
        <w:tab/>
        <w:t>Coherencia con las disposiciones existentes en la misma política sectorial</w:t>
      </w:r>
    </w:p>
    <w:p w:rsidR="00F057D0" w:rsidRPr="00B612E0" w:rsidRDefault="00F057D0" w:rsidP="00F057D0">
      <w:pPr>
        <w:rPr>
          <w:noProof/>
          <w:highlight w:val="yellow"/>
        </w:rPr>
      </w:pPr>
      <w:r w:rsidRPr="00B612E0">
        <w:rPr>
          <w:noProof/>
        </w:rPr>
        <w:t>La propuesta complementa y desarrolla otras iniciativas políticas adoptadas en el ámbito de la libre circulación durante la pandemia de COVID-19, como las Recomendaciones (UE) 2020/1475, 2021/119, 2021/961 y 2022/107 del Consejo. En particular, la Recomendación (UE) 2022/107 del Consejo establece que los titulares de certificados COVID digitales de la UE válidos no deben, en casi todos los casos, estar sujetos a restricciones adicionales.</w:t>
      </w:r>
    </w:p>
    <w:p w:rsidR="00F057D0" w:rsidRPr="00B612E0" w:rsidRDefault="00F057D0" w:rsidP="00F057D0">
      <w:pPr>
        <w:rPr>
          <w:noProof/>
        </w:rPr>
      </w:pPr>
      <w:r w:rsidRPr="00B612E0">
        <w:rPr>
          <w:noProof/>
        </w:rPr>
        <w:t>La Directiva 2004/38/CE del Parlamento Europeo y del Consejo</w:t>
      </w:r>
      <w:r w:rsidRPr="00B612E0">
        <w:rPr>
          <w:rStyle w:val="FootnoteReference"/>
          <w:noProof/>
        </w:rPr>
        <w:footnoteReference w:id="20"/>
      </w:r>
      <w:r w:rsidRPr="00B612E0">
        <w:rPr>
          <w:noProof/>
        </w:rPr>
        <w:t xml:space="preserve"> establece las condiciones para el ejercicio del derecho de libre circulación y residencia (tanto temporal como permanente) en la UE para los ciudadanos de la UE y los miembros de sus familias. La Directiva 2004/38/CE dispone que los Estados miembros pueden restringir la libertad de circulación y residencia de los ciudadanos de la UE y de los miembros de sus familias, independientemente de su nacionalidad, por motivos de orden público, seguridad pública o salud pública.</w:t>
      </w:r>
    </w:p>
    <w:p w:rsidR="00F057D0" w:rsidRPr="00B612E0" w:rsidRDefault="00F057D0" w:rsidP="00F057D0">
      <w:pPr>
        <w:rPr>
          <w:noProof/>
        </w:rPr>
      </w:pPr>
      <w:r w:rsidRPr="00B612E0">
        <w:rPr>
          <w:noProof/>
        </w:rPr>
        <w:t>El Reglamento (UE) 2021/953 es la única legislación vigente de la Unión que contiene disposiciones sobre la expedición, verificación y aceptación de certificados que documentan la situación del titular en relación con la COVID-19. Dado que los Estados miembros pueden, como medida de salud pública, seguir exigiendo la presentación de dichos certificados para no aplicar determinadas restricciones al derecho a la libre circulación impuestas durante la pandemia de COVID-19, es necesario prorrogar el período de aplicación del Reglamento.</w:t>
      </w:r>
    </w:p>
    <w:p w:rsidR="00F057D0" w:rsidRPr="00B612E0" w:rsidRDefault="00F057D0" w:rsidP="00F057D0">
      <w:pPr>
        <w:pStyle w:val="ManualHeading2"/>
        <w:rPr>
          <w:rFonts w:eastAsia="Arial Unicode MS"/>
          <w:noProof/>
        </w:rPr>
      </w:pPr>
      <w:r w:rsidRPr="00B612E0">
        <w:rPr>
          <w:noProof/>
          <w:color w:val="000000"/>
          <w:u w:color="000000"/>
          <w:bdr w:val="nil"/>
        </w:rPr>
        <w:t>•</w:t>
      </w:r>
      <w:r w:rsidRPr="00B612E0">
        <w:rPr>
          <w:noProof/>
        </w:rPr>
        <w:tab/>
        <w:t>Coherencia con otras políticas de la Unión</w:t>
      </w:r>
    </w:p>
    <w:p w:rsidR="00F057D0" w:rsidRPr="00B612E0" w:rsidRDefault="00F057D0" w:rsidP="00F057D0">
      <w:pPr>
        <w:rPr>
          <w:rStyle w:val="highlight"/>
          <w:noProof/>
        </w:rPr>
      </w:pPr>
      <w:r w:rsidRPr="00B612E0">
        <w:rPr>
          <w:noProof/>
        </w:rPr>
        <w:t>La presente propuesta forma parte del conjunto de medidas de la UE para responder a la pandemia de COVID-19. Se basa, en particular, en el trabajo realizado en el Comité de Seguridad Sanitaria, la red de sanidad electrónica y el Comité del Certificado COVID Digital de la UE</w:t>
      </w:r>
      <w:r w:rsidRPr="00B612E0">
        <w:rPr>
          <w:rStyle w:val="highlight"/>
          <w:noProof/>
        </w:rPr>
        <w:t>.</w:t>
      </w:r>
    </w:p>
    <w:p w:rsidR="007069AD" w:rsidRPr="00B612E0" w:rsidRDefault="00F057D0" w:rsidP="00F057D0">
      <w:pPr>
        <w:rPr>
          <w:noProof/>
        </w:rPr>
      </w:pPr>
      <w:r w:rsidRPr="00B612E0">
        <w:rPr>
          <w:noProof/>
        </w:rPr>
        <w:t>Esta propuesta está complementada por la propuesta COM(2022) 55 final, que busca ampliar la aplicación del Reglamento (UE) 2021/954 relativo a un marco para la expedición, verificación y aceptación de certificados COVID-19 interoperables de vacunación, de prueba diagnóstica y de recuperación (certificado COVID digital de la UE) con respecto a los nacionales de terceros países que se encuentren o residan legalmente en los territorios de los Estados miembros durante la pandemia de COVID-19</w:t>
      </w:r>
      <w:r w:rsidRPr="00B612E0">
        <w:rPr>
          <w:rStyle w:val="FootnoteReference"/>
          <w:noProof/>
        </w:rPr>
        <w:footnoteReference w:id="21"/>
      </w:r>
      <w:r w:rsidRPr="00B612E0">
        <w:rPr>
          <w:noProof/>
        </w:rPr>
        <w:t>.</w:t>
      </w:r>
    </w:p>
    <w:p w:rsidR="0060703E" w:rsidRPr="00B612E0" w:rsidRDefault="0060703E" w:rsidP="00F057D0">
      <w:pPr>
        <w:rPr>
          <w:noProof/>
          <w:highlight w:val="yellow"/>
        </w:rPr>
      </w:pPr>
      <w:r w:rsidRPr="00B612E0">
        <w:rPr>
          <w:noProof/>
        </w:rPr>
        <w:t>En su propuesta de Recomendación del Consejo por la que se modifica la Recomendación (UE) 2020/912 sobre la restricción temporal de los viajes no esenciales a la UE y el posible levantamiento de dicha restricción</w:t>
      </w:r>
      <w:r w:rsidRPr="00B612E0">
        <w:rPr>
          <w:rStyle w:val="FootnoteReference"/>
          <w:noProof/>
        </w:rPr>
        <w:footnoteReference w:id="22"/>
      </w:r>
      <w:r w:rsidRPr="00B612E0">
        <w:rPr>
          <w:noProof/>
        </w:rPr>
        <w:t>, la Comisión propuso establecer un vínculo claro entre la Recomendación (UE) 2020/912 del Consejo y el certificado COVID digital de la UE para ayudar a las autoridades de los Estados miembros a verificar la autenticidad, validez e integridad de los certificados expedidos por terceros países.</w:t>
      </w:r>
    </w:p>
    <w:p w:rsidR="00F057D0" w:rsidRPr="00B612E0" w:rsidRDefault="00F057D0" w:rsidP="00F057D0">
      <w:pPr>
        <w:rPr>
          <w:rFonts w:eastAsia="Times New Roman"/>
          <w:noProof/>
        </w:rPr>
      </w:pPr>
      <w:r w:rsidRPr="00B612E0">
        <w:rPr>
          <w:noProof/>
        </w:rPr>
        <w:t>La presente propuesta se entiende sin perjuicio de las normas de Schengen en lo que respecta a las condiciones de entrada para los nacionales de terceros países. No debe entenderse que el Reglamento propuesto fomenta o facilita el restablecimiento de los controles fronterizos, que siguen siendo una medida de último recurso sujeta a las condiciones del Código de fronteras Schengen</w:t>
      </w:r>
      <w:r w:rsidRPr="00B612E0">
        <w:rPr>
          <w:rStyle w:val="FootnoteReference"/>
          <w:noProof/>
        </w:rPr>
        <w:footnoteReference w:id="23"/>
      </w:r>
      <w:r w:rsidRPr="00B612E0">
        <w:rPr>
          <w:noProof/>
        </w:rPr>
        <w:t>.</w:t>
      </w:r>
    </w:p>
    <w:p w:rsidR="00F057D0" w:rsidRPr="00B612E0" w:rsidRDefault="00F057D0" w:rsidP="00F057D0">
      <w:pPr>
        <w:rPr>
          <w:noProof/>
        </w:rPr>
      </w:pPr>
      <w:r w:rsidRPr="00B612E0">
        <w:rPr>
          <w:noProof/>
        </w:rPr>
        <w:t>La presente propuesta respeta plenamente las competencias de los Estados miembros en la definición de su política de salud (artículo 168 del TFUE).</w:t>
      </w:r>
    </w:p>
    <w:p w:rsidR="00F057D0" w:rsidRPr="00B612E0" w:rsidRDefault="00F057D0" w:rsidP="00F057D0">
      <w:pPr>
        <w:pStyle w:val="ManualHeading1"/>
        <w:rPr>
          <w:noProof/>
        </w:rPr>
      </w:pPr>
      <w:r w:rsidRPr="00B612E0">
        <w:rPr>
          <w:noProof/>
        </w:rPr>
        <w:t>2.</w:t>
      </w:r>
      <w:r w:rsidRPr="00B612E0">
        <w:rPr>
          <w:noProof/>
        </w:rPr>
        <w:tab/>
        <w:t>BASE JURÍDICA, SUBSIDIARIEDAD Y PROPORCIONALIDAD</w:t>
      </w:r>
    </w:p>
    <w:p w:rsidR="00F057D0" w:rsidRPr="00B612E0" w:rsidRDefault="00F057D0" w:rsidP="00A3009F">
      <w:pPr>
        <w:pStyle w:val="ManualHeading2"/>
        <w:rPr>
          <w:rFonts w:eastAsia="Arial Unicode MS"/>
          <w:noProof/>
          <w:u w:color="000000"/>
          <w:bdr w:val="nil"/>
        </w:rPr>
      </w:pPr>
      <w:r w:rsidRPr="00B612E0">
        <w:rPr>
          <w:noProof/>
          <w:u w:color="000000"/>
          <w:bdr w:val="nil"/>
        </w:rPr>
        <w:t>•</w:t>
      </w:r>
      <w:r w:rsidRPr="00B612E0">
        <w:rPr>
          <w:noProof/>
        </w:rPr>
        <w:tab/>
      </w:r>
      <w:r w:rsidRPr="00B612E0">
        <w:rPr>
          <w:noProof/>
          <w:u w:color="000000"/>
          <w:bdr w:val="nil"/>
        </w:rPr>
        <w:t>Base jurídica</w:t>
      </w:r>
    </w:p>
    <w:p w:rsidR="00F057D0" w:rsidRPr="00B612E0" w:rsidRDefault="00F057D0" w:rsidP="00A3009F">
      <w:pPr>
        <w:rPr>
          <w:rFonts w:eastAsia="Times New Roman"/>
          <w:noProof/>
        </w:rPr>
      </w:pPr>
      <w:r w:rsidRPr="00B612E0">
        <w:rPr>
          <w:noProof/>
        </w:rPr>
        <w:t>El artículo</w:t>
      </w:r>
      <w:r w:rsidR="00E77EE2">
        <w:rPr>
          <w:noProof/>
        </w:rPr>
        <w:t xml:space="preserve"> </w:t>
      </w:r>
      <w:r w:rsidRPr="00B612E0">
        <w:rPr>
          <w:noProof/>
        </w:rPr>
        <w:t>21, apartado</w:t>
      </w:r>
      <w:r w:rsidR="00E77EE2">
        <w:rPr>
          <w:noProof/>
        </w:rPr>
        <w:t xml:space="preserve"> </w:t>
      </w:r>
      <w:r w:rsidRPr="00B612E0">
        <w:rPr>
          <w:noProof/>
        </w:rPr>
        <w:t>1, del TFUE confiere a los ciudadanos de la Unión el derecho a circular y residir libremente en el territorio de los Estados miembros. El artículo</w:t>
      </w:r>
      <w:r w:rsidR="00E77EE2">
        <w:rPr>
          <w:noProof/>
        </w:rPr>
        <w:t xml:space="preserve"> </w:t>
      </w:r>
      <w:r w:rsidRPr="00B612E0">
        <w:rPr>
          <w:noProof/>
        </w:rPr>
        <w:t>21, apartado</w:t>
      </w:r>
      <w:r w:rsidR="00E77EE2">
        <w:rPr>
          <w:noProof/>
        </w:rPr>
        <w:t> </w:t>
      </w:r>
      <w:r w:rsidRPr="00B612E0">
        <w:rPr>
          <w:noProof/>
        </w:rPr>
        <w:t>2, prevé la posibilidad de que la UE actúe y adopte disposiciones destinadas a facilitar el derecho a circular y residir libremente en el territorio de los Estados miembros cuando sea necesaria una acción para alcanzar este objetivo a fin de facilitar el ejercicio de este derecho. Se aplica el procedimiento legislativo ordinario.</w:t>
      </w:r>
    </w:p>
    <w:p w:rsidR="00BC10D8" w:rsidRPr="00B612E0" w:rsidRDefault="00BC10D8" w:rsidP="00A3009F">
      <w:pPr>
        <w:rPr>
          <w:rFonts w:eastAsia="Times New Roman"/>
          <w:noProof/>
        </w:rPr>
      </w:pPr>
      <w:r w:rsidRPr="00B612E0">
        <w:rPr>
          <w:noProof/>
        </w:rPr>
        <w:t>La propuesta modificaría el Reglamento (UE) 2021/953, que también se basa en el artículo 21, apartado 1, del TFUE.</w:t>
      </w:r>
    </w:p>
    <w:p w:rsidR="00F057D0" w:rsidRPr="00B612E0" w:rsidRDefault="00F057D0" w:rsidP="00F057D0">
      <w:pPr>
        <w:pStyle w:val="ManualHeading2"/>
        <w:rPr>
          <w:rFonts w:eastAsia="Arial Unicode MS"/>
          <w:noProof/>
          <w:u w:color="000000"/>
          <w:bdr w:val="nil"/>
        </w:rPr>
      </w:pPr>
      <w:r w:rsidRPr="00B612E0">
        <w:rPr>
          <w:noProof/>
          <w:u w:color="000000"/>
          <w:bdr w:val="nil"/>
        </w:rPr>
        <w:t>•</w:t>
      </w:r>
      <w:r w:rsidRPr="00B612E0">
        <w:rPr>
          <w:noProof/>
        </w:rPr>
        <w:tab/>
      </w:r>
      <w:r w:rsidRPr="00B612E0">
        <w:rPr>
          <w:noProof/>
          <w:u w:color="000000"/>
          <w:bdr w:val="nil"/>
        </w:rPr>
        <w:t xml:space="preserve">Subsidiariedad </w:t>
      </w:r>
    </w:p>
    <w:p w:rsidR="00F057D0" w:rsidRPr="00B612E0" w:rsidRDefault="00F057D0" w:rsidP="00F057D0">
      <w:pPr>
        <w:rPr>
          <w:noProof/>
          <w:u w:color="000000"/>
          <w:bdr w:val="nil"/>
        </w:rPr>
      </w:pPr>
      <w:r w:rsidRPr="00B612E0">
        <w:rPr>
          <w:noProof/>
        </w:rPr>
        <w:t>Los objetivos de la presente propuesta, a saber, ampliar la aplicación del Reglamento (UE) 2021/953 y modificar determinadas disposiciones del mismo, no pueden ser alcanzados de manera independiente por los Estados miembros.</w:t>
      </w:r>
      <w:r w:rsidRPr="00B612E0">
        <w:rPr>
          <w:noProof/>
          <w:u w:color="000000"/>
          <w:bdr w:val="nil"/>
        </w:rPr>
        <w:t xml:space="preserve"> Por lo tanto, es necesario actuar a nivel de la Unión.</w:t>
      </w:r>
    </w:p>
    <w:p w:rsidR="00BC10D8" w:rsidRPr="00B612E0" w:rsidRDefault="00F057D0" w:rsidP="00F057D0">
      <w:pPr>
        <w:rPr>
          <w:noProof/>
          <w:u w:color="000000"/>
          <w:bdr w:val="nil"/>
        </w:rPr>
      </w:pPr>
      <w:r w:rsidRPr="00B612E0">
        <w:rPr>
          <w:noProof/>
        </w:rPr>
        <w:t>La inacción a escala de la Unión daría lugar a que el Reglamento (UE) 2021/953 dejara de aplicarse, incluida la base jurídica para gestionar el marco de confianza del certificado COVID digital de la UE. Además, los ciudadanos de la Unión y los miembros de sus familias ya no tendrían derecho a recibir certificados COVID-19 interoperables de vacunación, prueba diagnóstica y recuperación. Por último, los Estados miembros ya no estarían obligados a aceptar el certificado COVID digital de la UE cuando renuncien a las restricciones para las personas que puedan aportar pruebas sobre una determinada situación con respecto a la COVID-19.</w:t>
      </w:r>
    </w:p>
    <w:p w:rsidR="00F057D0" w:rsidRPr="00B612E0" w:rsidRDefault="00F057D0" w:rsidP="00F057D0">
      <w:pPr>
        <w:pStyle w:val="ManualHeading2"/>
        <w:rPr>
          <w:rFonts w:eastAsia="Arial Unicode MS"/>
          <w:noProof/>
          <w:u w:color="000000"/>
          <w:bdr w:val="nil"/>
        </w:rPr>
      </w:pPr>
      <w:r w:rsidRPr="00B612E0">
        <w:rPr>
          <w:noProof/>
          <w:u w:color="000000"/>
          <w:bdr w:val="nil"/>
        </w:rPr>
        <w:t>•</w:t>
      </w:r>
      <w:r w:rsidRPr="00B612E0">
        <w:rPr>
          <w:noProof/>
        </w:rPr>
        <w:tab/>
      </w:r>
      <w:r w:rsidRPr="00B612E0">
        <w:rPr>
          <w:noProof/>
          <w:u w:color="000000"/>
          <w:bdr w:val="nil"/>
        </w:rPr>
        <w:t>Proporcionalidad</w:t>
      </w:r>
    </w:p>
    <w:p w:rsidR="00F057D0" w:rsidRPr="00B612E0" w:rsidRDefault="00496FEB" w:rsidP="00F057D0">
      <w:pPr>
        <w:rPr>
          <w:rFonts w:eastAsia="Times New Roman"/>
          <w:noProof/>
        </w:rPr>
      </w:pPr>
      <w:r w:rsidRPr="00B612E0">
        <w:rPr>
          <w:noProof/>
        </w:rPr>
        <w:t xml:space="preserve">La acción de la Unión puede aportar un valor considerable al hacer frente a los retos señalados anteriormente y es la única manera de crear y mantener un marco único, simplificado y aceptado con respecto al certificado COVID-19. </w:t>
      </w:r>
    </w:p>
    <w:p w:rsidR="00F057D0" w:rsidRPr="00B612E0" w:rsidRDefault="00F057D0" w:rsidP="00F057D0">
      <w:pPr>
        <w:rPr>
          <w:rFonts w:eastAsia="Times New Roman"/>
          <w:noProof/>
        </w:rPr>
      </w:pPr>
      <w:r w:rsidRPr="00B612E0">
        <w:rPr>
          <w:noProof/>
        </w:rPr>
        <w:t xml:space="preserve">Es probable que la adopción de medidas unilaterales o no coordinadas en relación con los certificados COVID-19 relativos a la vacunación, las pruebas diagnósticas y la recuperación diera lugar a restricciones a la libre circulación incoherentes y fragmentadas, lo que generaría incertidumbre a los ciudadanos de la UE en el ejercicio de sus derechos. </w:t>
      </w:r>
    </w:p>
    <w:p w:rsidR="00F057D0" w:rsidRPr="00B612E0" w:rsidRDefault="00F057D0" w:rsidP="00F057D0">
      <w:pPr>
        <w:rPr>
          <w:rFonts w:eastAsia="Times New Roman"/>
          <w:noProof/>
        </w:rPr>
      </w:pPr>
      <w:r w:rsidRPr="00B612E0">
        <w:rPr>
          <w:noProof/>
        </w:rPr>
        <w:t xml:space="preserve">La propuesta no modifica las disposiciones vigentes del Reglamento (UE) 2021/953 relativo al tratamiento de datos personales. </w:t>
      </w:r>
    </w:p>
    <w:p w:rsidR="00BC10D8" w:rsidRPr="00B612E0" w:rsidRDefault="00BC10D8" w:rsidP="00F057D0">
      <w:pPr>
        <w:rPr>
          <w:rFonts w:eastAsia="Times New Roman"/>
          <w:noProof/>
        </w:rPr>
      </w:pPr>
      <w:r w:rsidRPr="00B612E0">
        <w:rPr>
          <w:noProof/>
        </w:rPr>
        <w:t>El Reglamento modificado también tendría una duración limitada, con el fin de garantizar que cualquier restricción a la libre circulación de personas en la Unión establecida para limitar la propagación del SARS-CoV-2, incluido el requisito de presentar el certificado COVID digital de la UE, se levante tan pronto como la situación epidemiológica lo permita.</w:t>
      </w:r>
    </w:p>
    <w:p w:rsidR="00F057D0" w:rsidRPr="00B612E0" w:rsidRDefault="00F057D0" w:rsidP="00F057D0">
      <w:pPr>
        <w:pStyle w:val="ManualHeading2"/>
        <w:rPr>
          <w:rFonts w:eastAsia="Arial Unicode MS"/>
          <w:noProof/>
          <w:u w:color="000000"/>
          <w:bdr w:val="nil"/>
        </w:rPr>
      </w:pPr>
      <w:r w:rsidRPr="00B612E0">
        <w:rPr>
          <w:noProof/>
          <w:u w:color="000000"/>
          <w:bdr w:val="nil"/>
        </w:rPr>
        <w:t>•</w:t>
      </w:r>
      <w:r w:rsidRPr="00B612E0">
        <w:rPr>
          <w:noProof/>
        </w:rPr>
        <w:tab/>
      </w:r>
      <w:r w:rsidRPr="00B612E0">
        <w:rPr>
          <w:noProof/>
          <w:u w:color="000000"/>
          <w:bdr w:val="nil"/>
        </w:rPr>
        <w:t>Elección del instrumento</w:t>
      </w:r>
    </w:p>
    <w:p w:rsidR="00F057D0" w:rsidRPr="00B612E0" w:rsidRDefault="00F057D0" w:rsidP="00F057D0">
      <w:pPr>
        <w:rPr>
          <w:noProof/>
        </w:rPr>
      </w:pPr>
      <w:r w:rsidRPr="00B612E0">
        <w:rPr>
          <w:noProof/>
        </w:rPr>
        <w:t>Dado que se propone modificar el Reglamento (UE) 2021/953, un Reglamento es el único instrumento jurídico posible.</w:t>
      </w:r>
    </w:p>
    <w:p w:rsidR="00F057D0" w:rsidRPr="00B612E0" w:rsidRDefault="00F057D0" w:rsidP="00F057D0">
      <w:pPr>
        <w:pStyle w:val="ManualHeading1"/>
        <w:rPr>
          <w:noProof/>
        </w:rPr>
      </w:pPr>
      <w:r w:rsidRPr="00B612E0">
        <w:rPr>
          <w:noProof/>
        </w:rPr>
        <w:t>3.</w:t>
      </w:r>
      <w:r w:rsidRPr="00B612E0">
        <w:rPr>
          <w:noProof/>
        </w:rPr>
        <w:tab/>
        <w:t xml:space="preserve">RESULTADOS DE LAS EVALUACIONES </w:t>
      </w:r>
      <w:r w:rsidRPr="00B612E0">
        <w:rPr>
          <w:i/>
          <w:iCs/>
          <w:noProof/>
        </w:rPr>
        <w:t>A POSTERIORI</w:t>
      </w:r>
      <w:r w:rsidRPr="00B612E0">
        <w:rPr>
          <w:noProof/>
        </w:rPr>
        <w:t>, DE LAS CONSULTAS CON LAS PARTES INTERESADAS Y DE LAS EVALUACIONES DE IMPACTO</w:t>
      </w:r>
    </w:p>
    <w:p w:rsidR="00F057D0" w:rsidRPr="00B612E0" w:rsidRDefault="00F057D0" w:rsidP="00A3009F">
      <w:pPr>
        <w:pStyle w:val="ManualHeading2"/>
        <w:rPr>
          <w:rFonts w:eastAsia="Arial Unicode MS"/>
          <w:noProof/>
          <w:u w:color="000000"/>
          <w:bdr w:val="nil"/>
        </w:rPr>
      </w:pPr>
      <w:r w:rsidRPr="00B612E0">
        <w:rPr>
          <w:noProof/>
          <w:u w:color="000000"/>
          <w:bdr w:val="nil"/>
        </w:rPr>
        <w:t>•</w:t>
      </w:r>
      <w:r w:rsidRPr="00B612E0">
        <w:rPr>
          <w:noProof/>
        </w:rPr>
        <w:tab/>
      </w:r>
      <w:r w:rsidRPr="00B612E0">
        <w:rPr>
          <w:noProof/>
          <w:u w:color="000000"/>
          <w:bdr w:val="nil"/>
        </w:rPr>
        <w:t>Consultas con las partes interesadas</w:t>
      </w:r>
    </w:p>
    <w:p w:rsidR="00F057D0" w:rsidRPr="00B612E0" w:rsidRDefault="00F057D0" w:rsidP="00A3009F">
      <w:pPr>
        <w:rPr>
          <w:noProof/>
        </w:rPr>
      </w:pPr>
      <w:r w:rsidRPr="00B612E0">
        <w:rPr>
          <w:noProof/>
        </w:rPr>
        <w:t>La propuesta tiene en cuenta el diálogo periódico con las autoridades de los Estados miembros en distintos foros.</w:t>
      </w:r>
    </w:p>
    <w:p w:rsidR="00F057D0" w:rsidRPr="00B612E0" w:rsidRDefault="00F057D0" w:rsidP="00A3009F">
      <w:pPr>
        <w:pStyle w:val="ManualHeading2"/>
        <w:rPr>
          <w:rFonts w:eastAsia="Arial Unicode MS"/>
          <w:noProof/>
          <w:u w:color="000000"/>
          <w:bdr w:val="nil"/>
        </w:rPr>
      </w:pPr>
      <w:r w:rsidRPr="00B612E0">
        <w:rPr>
          <w:noProof/>
          <w:u w:color="000000"/>
          <w:bdr w:val="nil"/>
        </w:rPr>
        <w:t>•</w:t>
      </w:r>
      <w:r w:rsidRPr="00B612E0">
        <w:rPr>
          <w:noProof/>
        </w:rPr>
        <w:tab/>
      </w:r>
      <w:r w:rsidRPr="00B612E0">
        <w:rPr>
          <w:noProof/>
          <w:u w:color="000000"/>
          <w:bdr w:val="nil"/>
        </w:rPr>
        <w:t>Obtención y uso de asesoramiento especializado</w:t>
      </w:r>
    </w:p>
    <w:p w:rsidR="00F057D0" w:rsidRPr="00B612E0" w:rsidRDefault="00F057D0" w:rsidP="00A3009F">
      <w:pPr>
        <w:rPr>
          <w:rFonts w:eastAsiaTheme="minorEastAsia"/>
          <w:noProof/>
        </w:rPr>
      </w:pPr>
      <w:r w:rsidRPr="00B612E0">
        <w:rPr>
          <w:noProof/>
        </w:rPr>
        <w:t>La propuesta se basa en la información epidemiológica y las evaluaciones facilitadas por el ECDC, la evaluación de la seguridad, eficacia y calidad de las vacunas contra la COVID-19 llevada a cabo por la EMA, los intercambios técnicos que tienen lugar en el Comité de Seguridad Sanitaria, su grupo de trabajo técnico sobre pruebas de diagnóstico de la COVID-19 y la red de sanidad electrónica, así como las pruebas científicas pertinentes disponibles.</w:t>
      </w:r>
    </w:p>
    <w:p w:rsidR="00F057D0" w:rsidRPr="00B612E0" w:rsidRDefault="00F057D0" w:rsidP="00A3009F">
      <w:pPr>
        <w:pStyle w:val="ManualHeading2"/>
        <w:rPr>
          <w:rFonts w:eastAsia="Arial Unicode MS"/>
          <w:noProof/>
          <w:u w:color="000000"/>
          <w:bdr w:val="nil"/>
        </w:rPr>
      </w:pPr>
      <w:r w:rsidRPr="00B612E0">
        <w:rPr>
          <w:noProof/>
          <w:u w:color="000000"/>
          <w:bdr w:val="nil"/>
        </w:rPr>
        <w:t>•</w:t>
      </w:r>
      <w:r w:rsidRPr="00B612E0">
        <w:rPr>
          <w:noProof/>
        </w:rPr>
        <w:tab/>
      </w:r>
      <w:r w:rsidRPr="00B612E0">
        <w:rPr>
          <w:noProof/>
          <w:u w:color="000000"/>
          <w:bdr w:val="nil"/>
        </w:rPr>
        <w:t>Evaluación de impacto</w:t>
      </w:r>
    </w:p>
    <w:p w:rsidR="00F057D0" w:rsidRPr="00B612E0" w:rsidRDefault="00F057D0" w:rsidP="00A3009F">
      <w:pPr>
        <w:rPr>
          <w:noProof/>
        </w:rPr>
      </w:pPr>
      <w:r w:rsidRPr="00B612E0">
        <w:rPr>
          <w:noProof/>
        </w:rPr>
        <w:t>Habida cuenta de la urgencia y del alcance limitado de la propuesta, la Comisión no llevó a cabo una evaluación de impacto.</w:t>
      </w:r>
    </w:p>
    <w:p w:rsidR="00F057D0" w:rsidRPr="00B612E0" w:rsidRDefault="00F057D0" w:rsidP="00A3009F">
      <w:pPr>
        <w:pStyle w:val="ManualHeading2"/>
        <w:rPr>
          <w:rFonts w:eastAsia="Arial Unicode MS"/>
          <w:noProof/>
          <w:u w:color="000000"/>
          <w:bdr w:val="nil"/>
        </w:rPr>
      </w:pPr>
      <w:r w:rsidRPr="00B612E0">
        <w:rPr>
          <w:noProof/>
          <w:u w:color="000000"/>
          <w:bdr w:val="nil"/>
        </w:rPr>
        <w:t>•</w:t>
      </w:r>
      <w:r w:rsidRPr="00B612E0">
        <w:rPr>
          <w:noProof/>
        </w:rPr>
        <w:tab/>
      </w:r>
      <w:r w:rsidRPr="00B612E0">
        <w:rPr>
          <w:noProof/>
          <w:u w:color="000000"/>
          <w:bdr w:val="nil"/>
        </w:rPr>
        <w:t>Derechos fundamentales</w:t>
      </w:r>
    </w:p>
    <w:p w:rsidR="00F057D0" w:rsidRPr="00B612E0" w:rsidRDefault="00F057D0" w:rsidP="00A3009F">
      <w:pPr>
        <w:rPr>
          <w:rFonts w:eastAsia="Times New Roman"/>
          <w:noProof/>
        </w:rPr>
      </w:pPr>
      <w:r w:rsidRPr="00B612E0">
        <w:rPr>
          <w:noProof/>
        </w:rPr>
        <w:t>La presente propuesta afecta positivamente al derecho fundamental a la libertad de circulación y residencia consagrado en el artículo</w:t>
      </w:r>
      <w:r w:rsidR="00B612E0">
        <w:rPr>
          <w:noProof/>
        </w:rPr>
        <w:t xml:space="preserve"> </w:t>
      </w:r>
      <w:r w:rsidRPr="00B612E0">
        <w:rPr>
          <w:noProof/>
        </w:rPr>
        <w:t xml:space="preserve">45 de la Carta de los Derechos Fundamentales de la Unión Europea (en lo sucesivo, «la Carta»). Lo hace garantizando que los ciudadanos sigan disfrutando de acceso a unos certificados interoperables y mutuamente aceptados de vacunación, pruebas diagnósticas y recuperación de la COVID-19 que se pueden utilizar para viajar. Cuando los Estados miembros levanten determinadas restricciones a la libre circulación de personas que estén en posesión de pruebas de vacunación, pruebas diagnósticas o </w:t>
      </w:r>
      <w:r w:rsidR="00AB1312">
        <w:rPr>
          <w:noProof/>
        </w:rPr>
        <w:t xml:space="preserve">de </w:t>
      </w:r>
      <w:r w:rsidRPr="00B612E0">
        <w:rPr>
          <w:noProof/>
        </w:rPr>
        <w:t xml:space="preserve">recuperación, el certificado COVID digital de la UE permite a los ciudadanos beneficiarse de estas exenciones. </w:t>
      </w:r>
    </w:p>
    <w:p w:rsidR="007351AC" w:rsidRPr="00B612E0" w:rsidRDefault="00F057D0" w:rsidP="00A3009F">
      <w:pPr>
        <w:rPr>
          <w:rFonts w:eastAsia="Times New Roman"/>
          <w:noProof/>
        </w:rPr>
      </w:pPr>
      <w:r w:rsidRPr="00B612E0">
        <w:rPr>
          <w:noProof/>
        </w:rPr>
        <w:t>No debe entenderse que la prórroga del Reglamento (UE) 2021/953 facilita o fomenta la adopción de restricciones a la libre circulación relacionadas con la salud pública durante la pandemia. Más bien pretende ofrecer un marco armonizado para el reconocimiento de los certificados sanitarios relativos a la COVID-19 en el caso de que un Estado miembro aplique tales restricciones. Cualquier limitación a la libertad de circulación en la UE justificada por motivos de orden público, seguridad pública o salud pública debe ser necesaria, proporcionada y basarse en criterios objetivos y no discriminatorios. La decisión de introducir restricciones a la libre circulación sigue siendo responsabilidad de los Estados miembros, que deben actuar de conformidad con el Derecho de la Unión.</w:t>
      </w:r>
    </w:p>
    <w:p w:rsidR="00F057D0" w:rsidRPr="00B612E0" w:rsidRDefault="00F057D0" w:rsidP="00A3009F">
      <w:pPr>
        <w:rPr>
          <w:rFonts w:eastAsia="Times New Roman"/>
          <w:noProof/>
        </w:rPr>
      </w:pPr>
      <w:r w:rsidRPr="00B612E0">
        <w:rPr>
          <w:noProof/>
        </w:rPr>
        <w:t>Del mismo modo, los Estados miembros conservan la flexibilidad para no introducir restricciones a la libre circulación, en particular aquellas que levanten medidas nacionales de salud pública.</w:t>
      </w:r>
    </w:p>
    <w:p w:rsidR="00D128D3" w:rsidRPr="00B612E0" w:rsidRDefault="00913A9C" w:rsidP="001E5AA7">
      <w:pPr>
        <w:rPr>
          <w:rFonts w:eastAsia="Times New Roman"/>
          <w:noProof/>
          <w:szCs w:val="24"/>
        </w:rPr>
      </w:pPr>
      <w:r w:rsidRPr="00B612E0">
        <w:rPr>
          <w:noProof/>
        </w:rPr>
        <w:t>El marco del certificado COVID digital de la UE garantiza la no discriminación al incluir certificados interoperables de vacunación, prueba diagnóstica y recuperación. Todos los Estados miembros están obligados a expedir los tres tipos diferentes de certificados, y la Recomendación (UE) 2022/107 del Consejo establece un enfoque coordinado en cuanto a su aceptación. En consecuencia, el mayor número posible de personas pueden beneficiarse de un certificado COVID digital de la UE al ejercer su derecho a la libre circulación. No prorrogar el Reglamento (UE) 2021/953 probablemente daría lugar a obstáculos a este respecto, pues los ciudadanos de la Unión ya no tendrían derecho a recibir los tres tipos de certificados diferentes en toda la Unión, sino que probablemente estarían sujetos a diferentes sistemas nacionales de certificados COVID-19, que podrían no cubrir necesariamente, al mismo tiempo, la vacunación, la prueba diagnóstica y la recuperación. Asimismo, los actos médicos demostrados por los certificados (vacunación, prueba diagnóstica o recuperación) no pueden considerarse iguales desde el punto de vista de la salud pública, dado que las personas no vacunadas y parcialmente vacunadas siguen corriendo un riesgo mucho mayor de padecer la enfermedad en un estadio grave</w:t>
      </w:r>
      <w:r w:rsidRPr="00B612E0">
        <w:rPr>
          <w:rStyle w:val="FootnoteReference"/>
          <w:rFonts w:eastAsia="Times New Roman"/>
          <w:noProof/>
          <w:szCs w:val="24"/>
          <w:lang w:eastAsia="en-IE"/>
        </w:rPr>
        <w:footnoteReference w:id="24"/>
      </w:r>
      <w:r w:rsidRPr="00B612E0">
        <w:rPr>
          <w:noProof/>
        </w:rPr>
        <w:t xml:space="preserve">. Esto también se refleja en unas normas intrínsecamente diferentes relativas a la validez de los certificados. </w:t>
      </w:r>
    </w:p>
    <w:p w:rsidR="00F057D0" w:rsidRPr="00B612E0" w:rsidRDefault="00B11110" w:rsidP="009B154C">
      <w:pPr>
        <w:rPr>
          <w:noProof/>
        </w:rPr>
      </w:pPr>
      <w:r w:rsidRPr="00B612E0">
        <w:rPr>
          <w:noProof/>
        </w:rPr>
        <w:t>Al prorrogar la aplicación del Reglamento (UE) 2021/953, la presente propuesta implica el tratamiento de datos personales, tal como se establece en dicho Reglamento, por un año más. La Comisión no propone cambios en el marco de protección de datos del Reglamento. En particular, los datos personales contenidos en los certificados que se traten durante su verificación no deberán conservarse más allá del proceso de verificación. El Reglamento (UE) 2016/679 del Parlamento Europeo y del Consejo</w:t>
      </w:r>
      <w:r w:rsidRPr="00B612E0">
        <w:rPr>
          <w:rStyle w:val="FootnoteReference"/>
          <w:noProof/>
        </w:rPr>
        <w:footnoteReference w:id="25"/>
      </w:r>
      <w:r w:rsidRPr="00B612E0">
        <w:rPr>
          <w:noProof/>
        </w:rPr>
        <w:t xml:space="preserve"> sigue aplicándose. </w:t>
      </w:r>
    </w:p>
    <w:p w:rsidR="00F057D0" w:rsidRPr="00B612E0" w:rsidRDefault="00F057D0" w:rsidP="00617674">
      <w:pPr>
        <w:pStyle w:val="ManualHeading1"/>
        <w:rPr>
          <w:noProof/>
        </w:rPr>
      </w:pPr>
      <w:r w:rsidRPr="00B612E0">
        <w:rPr>
          <w:noProof/>
        </w:rPr>
        <w:t>4.</w:t>
      </w:r>
      <w:r w:rsidRPr="00B612E0">
        <w:rPr>
          <w:noProof/>
        </w:rPr>
        <w:tab/>
        <w:t>REPERCUSIONES PRESUPUESTARIAS</w:t>
      </w:r>
    </w:p>
    <w:p w:rsidR="00F057D0" w:rsidRPr="00B612E0" w:rsidRDefault="009222DC" w:rsidP="00617674">
      <w:pPr>
        <w:pBdr>
          <w:top w:val="nil"/>
          <w:left w:val="nil"/>
          <w:bottom w:val="nil"/>
          <w:right w:val="nil"/>
          <w:between w:val="nil"/>
          <w:bar w:val="nil"/>
        </w:pBdr>
        <w:rPr>
          <w:rFonts w:eastAsia="Arial Unicode MS"/>
          <w:noProof/>
          <w:highlight w:val="yellow"/>
        </w:rPr>
      </w:pPr>
      <w:r w:rsidRPr="00B612E0">
        <w:rPr>
          <w:noProof/>
        </w:rPr>
        <w:t>La Comisión utilizará fondos del Programa Europa Digital para apoyar la iniciativa. Junto con la presente propuesta se presenta una ficha financiera legislativa.</w:t>
      </w:r>
    </w:p>
    <w:p w:rsidR="00F057D0" w:rsidRPr="00B612E0" w:rsidRDefault="00F057D0" w:rsidP="00617674">
      <w:pPr>
        <w:pStyle w:val="ManualHeading1"/>
        <w:rPr>
          <w:noProof/>
        </w:rPr>
      </w:pPr>
      <w:r w:rsidRPr="00B612E0">
        <w:rPr>
          <w:noProof/>
        </w:rPr>
        <w:t>5.</w:t>
      </w:r>
      <w:r w:rsidRPr="00B612E0">
        <w:rPr>
          <w:noProof/>
        </w:rPr>
        <w:tab/>
        <w:t>OTROS ELEMENTOS</w:t>
      </w:r>
    </w:p>
    <w:p w:rsidR="00F057D0" w:rsidRPr="00B612E0" w:rsidRDefault="00F057D0" w:rsidP="009B154C">
      <w:pPr>
        <w:pStyle w:val="ManualHeading2"/>
        <w:rPr>
          <w:rFonts w:eastAsia="Arial Unicode MS"/>
          <w:noProof/>
          <w:u w:color="000000"/>
          <w:bdr w:val="nil"/>
        </w:rPr>
      </w:pPr>
      <w:r w:rsidRPr="00B612E0">
        <w:rPr>
          <w:noProof/>
          <w:u w:color="000000"/>
          <w:bdr w:val="nil"/>
        </w:rPr>
        <w:t>•</w:t>
      </w:r>
      <w:r w:rsidRPr="00B612E0">
        <w:rPr>
          <w:noProof/>
        </w:rPr>
        <w:tab/>
      </w:r>
      <w:r w:rsidRPr="00B612E0">
        <w:rPr>
          <w:noProof/>
          <w:u w:color="000000"/>
          <w:bdr w:val="nil"/>
        </w:rPr>
        <w:t>Planes de ejecución y modalidades de seguimiento, evaluación e información</w:t>
      </w:r>
    </w:p>
    <w:p w:rsidR="003837CB" w:rsidRPr="00B612E0" w:rsidRDefault="003837CB" w:rsidP="00A3009F">
      <w:pPr>
        <w:pBdr>
          <w:top w:val="nil"/>
          <w:left w:val="nil"/>
          <w:bottom w:val="nil"/>
          <w:right w:val="nil"/>
          <w:between w:val="nil"/>
          <w:bar w:val="nil"/>
        </w:pBdr>
        <w:rPr>
          <w:rFonts w:eastAsia="Arial Unicode MS"/>
          <w:noProof/>
        </w:rPr>
      </w:pPr>
      <w:r w:rsidRPr="00B612E0">
        <w:rPr>
          <w:noProof/>
        </w:rPr>
        <w:t>La Comisión seguirá supervisando de cerca la aplicación del Reglamento (UE) 2021/953, la evolución de la situación epidemiológica y los avances científicos pertinentes.</w:t>
      </w:r>
    </w:p>
    <w:p w:rsidR="00F057D0" w:rsidRPr="00B612E0" w:rsidRDefault="00F057D0" w:rsidP="00A3009F">
      <w:pPr>
        <w:pStyle w:val="ManualHeading2"/>
        <w:rPr>
          <w:rFonts w:eastAsia="Arial Unicode MS"/>
          <w:noProof/>
          <w:u w:color="000000"/>
          <w:bdr w:val="nil"/>
        </w:rPr>
      </w:pPr>
      <w:r w:rsidRPr="00B612E0">
        <w:rPr>
          <w:noProof/>
          <w:u w:color="000000"/>
          <w:bdr w:val="nil"/>
        </w:rPr>
        <w:t>•</w:t>
      </w:r>
      <w:r w:rsidRPr="00B612E0">
        <w:rPr>
          <w:noProof/>
        </w:rPr>
        <w:tab/>
      </w:r>
      <w:r w:rsidRPr="00B612E0">
        <w:rPr>
          <w:noProof/>
          <w:u w:color="000000"/>
          <w:bdr w:val="nil"/>
        </w:rPr>
        <w:t>Explicación detallada de las disposiciones específicas de la propuesta</w:t>
      </w:r>
    </w:p>
    <w:p w:rsidR="00F057D0" w:rsidRPr="00B612E0" w:rsidRDefault="00F057D0" w:rsidP="00A3009F">
      <w:pPr>
        <w:pBdr>
          <w:top w:val="nil"/>
          <w:left w:val="nil"/>
          <w:bottom w:val="nil"/>
          <w:right w:val="nil"/>
          <w:between w:val="nil"/>
          <w:bar w:val="nil"/>
        </w:pBdr>
        <w:rPr>
          <w:noProof/>
        </w:rPr>
      </w:pPr>
      <w:r w:rsidRPr="00B612E0">
        <w:rPr>
          <w:noProof/>
        </w:rPr>
        <w:t xml:space="preserve">El </w:t>
      </w:r>
      <w:r w:rsidRPr="00B612E0">
        <w:rPr>
          <w:noProof/>
          <w:u w:val="single"/>
        </w:rPr>
        <w:t>artículo 1</w:t>
      </w:r>
      <w:r w:rsidRPr="00B612E0">
        <w:rPr>
          <w:noProof/>
        </w:rPr>
        <w:t xml:space="preserve"> contiene las modificaciones propuestas del Reglamento (UE) 2021/953, a saber:</w:t>
      </w:r>
    </w:p>
    <w:p w:rsidR="00A76FFD" w:rsidRPr="00B612E0" w:rsidRDefault="00A76FFD" w:rsidP="00BA5413">
      <w:pPr>
        <w:pStyle w:val="Tiret0"/>
        <w:numPr>
          <w:ilvl w:val="0"/>
          <w:numId w:val="9"/>
        </w:numPr>
        <w:rPr>
          <w:noProof/>
        </w:rPr>
      </w:pPr>
      <w:r w:rsidRPr="00B612E0">
        <w:rPr>
          <w:noProof/>
        </w:rPr>
        <w:t>Una ampliación de la definición de las pruebas diagnósticas del SARS-CoV-2 basadas en la detección de proteínas víricas (antígenos) para incluir las pruebas de antígenos realizadas en un laboratorio y no solo las pruebas rápidas de antígenos que ofrecen resultados en menos de 30 minutos. Se proponen modificaciones correspondientes al artículo 3, apartado</w:t>
      </w:r>
      <w:r w:rsidR="00B612E0">
        <w:rPr>
          <w:noProof/>
        </w:rPr>
        <w:t xml:space="preserve"> </w:t>
      </w:r>
      <w:r w:rsidRPr="00B612E0">
        <w:rPr>
          <w:noProof/>
        </w:rPr>
        <w:t>1, el artículo 6, apartado 2, letra b), el artículo 7, apartado 4, y el punto 2, letra</w:t>
      </w:r>
      <w:r w:rsidR="00B612E0">
        <w:rPr>
          <w:noProof/>
        </w:rPr>
        <w:t xml:space="preserve"> </w:t>
      </w:r>
      <w:r w:rsidRPr="00B612E0">
        <w:rPr>
          <w:noProof/>
        </w:rPr>
        <w:t>i), del anexo.</w:t>
      </w:r>
    </w:p>
    <w:p w:rsidR="005E2042" w:rsidRPr="00B612E0" w:rsidRDefault="005E2042" w:rsidP="00855429">
      <w:pPr>
        <w:pStyle w:val="Tiret0"/>
        <w:rPr>
          <w:noProof/>
        </w:rPr>
      </w:pPr>
      <w:r w:rsidRPr="00B612E0">
        <w:rPr>
          <w:noProof/>
        </w:rPr>
        <w:t xml:space="preserve">Una aclaración explícita de que los certificados de vacunación deben contener el número de dosis administradas al titular, independientemente del Estado miembro en el que se hayan administrado, para asegurarse de que el número total realmente administrado se refleje con exactitud. </w:t>
      </w:r>
    </w:p>
    <w:p w:rsidR="002A73A3" w:rsidRPr="00B612E0" w:rsidRDefault="00D70067" w:rsidP="002A73A3">
      <w:pPr>
        <w:pStyle w:val="Tiret0"/>
        <w:rPr>
          <w:noProof/>
        </w:rPr>
      </w:pPr>
      <w:r w:rsidRPr="00B612E0">
        <w:rPr>
          <w:noProof/>
        </w:rPr>
        <w:t>Una aclaración de que el certificado COVID digital de la UE también puede expedirse a las personas que participen en ensayos clínicos de vacunas contra la COVID-19 y de que dicho certificado puede ser aceptado por otros Estados miembros a fin de suprimir las restricciones a la libre circulación. La Comisión podrá pedir al Comité de Seguridad Sanitaria, al ECDC o a la EMA que publiquen orientaciones sobre la aceptación de vacunas contra la COVID-19 sometidas a ensayos clínicos. Si posteriormente se concede a la vacuna</w:t>
      </w:r>
      <w:r w:rsidR="00E77EE2">
        <w:rPr>
          <w:noProof/>
        </w:rPr>
        <w:t xml:space="preserve"> </w:t>
      </w:r>
      <w:r w:rsidRPr="00B612E0">
        <w:rPr>
          <w:noProof/>
        </w:rPr>
        <w:t>una autorización de comercialización a escala de la UE, dichos certificados están sujetos a la aceptación obligatoria establecida en el artículo 5, apartado 5, párrafo primero, del Reglamento (UE) 2021/953.</w:t>
      </w:r>
    </w:p>
    <w:p w:rsidR="005E2042" w:rsidRPr="00B612E0" w:rsidRDefault="005E2042" w:rsidP="00A3009F">
      <w:pPr>
        <w:pStyle w:val="Tiret0"/>
        <w:rPr>
          <w:noProof/>
        </w:rPr>
      </w:pPr>
      <w:r w:rsidRPr="00B612E0">
        <w:rPr>
          <w:noProof/>
        </w:rPr>
        <w:t xml:space="preserve">Una prórroga de 12 meses del período de aplicación establecido en el artículo 17 del Reglamento (UE) 2021/953, así como de los poderes para adoptar actos delegados establecidos en su artículo 12. </w:t>
      </w:r>
    </w:p>
    <w:p w:rsidR="005E2042" w:rsidRPr="00B612E0" w:rsidRDefault="005E2042" w:rsidP="00A3009F">
      <w:pPr>
        <w:pStyle w:val="Tiret0"/>
        <w:rPr>
          <w:noProof/>
        </w:rPr>
      </w:pPr>
      <w:r w:rsidRPr="00B612E0">
        <w:rPr>
          <w:noProof/>
        </w:rPr>
        <w:t>La corrección de una referencia cruzada errónea en el artículo 13, apartado 2, del Reglamento (UE) 2021/953.</w:t>
      </w:r>
    </w:p>
    <w:p w:rsidR="005E2042" w:rsidRPr="00B612E0" w:rsidRDefault="005E2042" w:rsidP="005E2042">
      <w:pPr>
        <w:rPr>
          <w:noProof/>
        </w:rPr>
      </w:pPr>
    </w:p>
    <w:p w:rsidR="000025AB" w:rsidRPr="00B612E0" w:rsidRDefault="000025AB" w:rsidP="00F057D0">
      <w:pPr>
        <w:rPr>
          <w:noProof/>
        </w:rPr>
        <w:sectPr w:rsidR="000025AB" w:rsidRPr="00B612E0" w:rsidSect="00FF77AA">
          <w:footerReference w:type="default" r:id="rId10"/>
          <w:footerReference w:type="first" r:id="rId11"/>
          <w:pgSz w:w="11907" w:h="16839"/>
          <w:pgMar w:top="1134" w:right="1417" w:bottom="1134" w:left="1417" w:header="709" w:footer="709" w:gutter="0"/>
          <w:cols w:space="708"/>
          <w:docGrid w:linePitch="360"/>
        </w:sectPr>
      </w:pPr>
    </w:p>
    <w:p w:rsidR="0053101F" w:rsidRDefault="0053101F" w:rsidP="0053101F">
      <w:pPr>
        <w:pStyle w:val="Rfrenceinterinstitutionnelle"/>
        <w:rPr>
          <w:noProof/>
        </w:rPr>
      </w:pPr>
      <w:r w:rsidRPr="0053101F">
        <w:t>2022/0031 (COD)</w:t>
      </w:r>
    </w:p>
    <w:p w:rsidR="00322C13" w:rsidRPr="00B612E0" w:rsidRDefault="00047EE0" w:rsidP="00047EE0">
      <w:pPr>
        <w:pStyle w:val="Statut"/>
        <w:rPr>
          <w:noProof/>
        </w:rPr>
      </w:pPr>
      <w:r w:rsidRPr="00047EE0">
        <w:rPr>
          <w:noProof/>
        </w:rPr>
        <w:t>Propuesta de</w:t>
      </w:r>
    </w:p>
    <w:p w:rsidR="00322C13" w:rsidRPr="00B612E0" w:rsidRDefault="00047EE0" w:rsidP="00047EE0">
      <w:pPr>
        <w:pStyle w:val="Typedudocument"/>
        <w:rPr>
          <w:noProof/>
        </w:rPr>
      </w:pPr>
      <w:r w:rsidRPr="00047EE0">
        <w:rPr>
          <w:noProof/>
        </w:rPr>
        <w:t>REGLAMENTO DEL PARLAMENTO EUROPEO Y DEL CONSEJO</w:t>
      </w:r>
    </w:p>
    <w:p w:rsidR="00322C13" w:rsidRPr="00B612E0" w:rsidRDefault="00047EE0" w:rsidP="00047EE0">
      <w:pPr>
        <w:pStyle w:val="Titreobjet"/>
        <w:rPr>
          <w:noProof/>
        </w:rPr>
      </w:pPr>
      <w:r w:rsidRPr="00047EE0">
        <w:rPr>
          <w:noProof/>
        </w:rPr>
        <w:t>por el que se modifica el Reglamento (UE) 2021/953 relativo a un marco para la expedición, verificación y aceptación de certificados COVID-19 interoperables de vacunación, de prueba diagnóstica y de recuperación (certificado COVID digital de la UE) a fin de facilitar la libre circulación durante la pandemia de COVID-19</w:t>
      </w:r>
    </w:p>
    <w:p w:rsidR="00322C13" w:rsidRPr="00B612E0" w:rsidRDefault="00047EE0" w:rsidP="00047EE0">
      <w:pPr>
        <w:pStyle w:val="IntrtEEE"/>
        <w:rPr>
          <w:noProof/>
        </w:rPr>
      </w:pPr>
      <w:r w:rsidRPr="00047EE0">
        <w:rPr>
          <w:noProof/>
        </w:rPr>
        <w:t>(Texto pertinente a efectos del EEE)</w:t>
      </w:r>
    </w:p>
    <w:p w:rsidR="00322C13" w:rsidRPr="00B612E0" w:rsidRDefault="00322C13" w:rsidP="00F11F0D">
      <w:pPr>
        <w:pStyle w:val="Institutionquiagit"/>
        <w:rPr>
          <w:noProof/>
        </w:rPr>
      </w:pPr>
      <w:r w:rsidRPr="00B612E0">
        <w:rPr>
          <w:noProof/>
        </w:rPr>
        <w:t>EL PARLAMENTO EUROPEO Y EL CONSEJO DE LA UNIÓN EUROPEA,</w:t>
      </w:r>
    </w:p>
    <w:p w:rsidR="00322C13" w:rsidRPr="00B612E0" w:rsidRDefault="00322C13" w:rsidP="00F11F0D">
      <w:pPr>
        <w:rPr>
          <w:noProof/>
        </w:rPr>
      </w:pPr>
      <w:r w:rsidRPr="00B612E0">
        <w:rPr>
          <w:noProof/>
        </w:rPr>
        <w:t>Visto el Tratado de Funcionamiento de la Unión Europea, y en particular su artículo</w:t>
      </w:r>
      <w:r w:rsidR="00B612E0">
        <w:rPr>
          <w:noProof/>
        </w:rPr>
        <w:t xml:space="preserve"> </w:t>
      </w:r>
      <w:r w:rsidRPr="00B612E0">
        <w:rPr>
          <w:noProof/>
        </w:rPr>
        <w:t>21, apartado</w:t>
      </w:r>
      <w:r w:rsidR="00B612E0">
        <w:rPr>
          <w:noProof/>
        </w:rPr>
        <w:t xml:space="preserve"> </w:t>
      </w:r>
      <w:r w:rsidRPr="00B612E0">
        <w:rPr>
          <w:noProof/>
        </w:rPr>
        <w:t>2,</w:t>
      </w:r>
    </w:p>
    <w:p w:rsidR="00322C13" w:rsidRPr="00B612E0" w:rsidRDefault="00322C13" w:rsidP="00F11F0D">
      <w:pPr>
        <w:rPr>
          <w:noProof/>
        </w:rPr>
      </w:pPr>
      <w:r w:rsidRPr="00B612E0">
        <w:rPr>
          <w:noProof/>
        </w:rPr>
        <w:t>Vista la propuesta de la Comisión Europea,</w:t>
      </w:r>
    </w:p>
    <w:p w:rsidR="00322C13" w:rsidRPr="00B612E0" w:rsidRDefault="00322C13" w:rsidP="00F11F0D">
      <w:pPr>
        <w:rPr>
          <w:noProof/>
        </w:rPr>
      </w:pPr>
      <w:r w:rsidRPr="00B612E0">
        <w:rPr>
          <w:noProof/>
        </w:rPr>
        <w:t>Previa transmisión del proyecto de acto legislativo a los Parlamentos nacionales,</w:t>
      </w:r>
    </w:p>
    <w:p w:rsidR="00322C13" w:rsidRPr="00B612E0" w:rsidRDefault="00322C13" w:rsidP="00F11F0D">
      <w:pPr>
        <w:rPr>
          <w:noProof/>
        </w:rPr>
      </w:pPr>
      <w:r w:rsidRPr="00B612E0">
        <w:rPr>
          <w:noProof/>
        </w:rPr>
        <w:t>De conformidad con el procedimiento legislativo ordinario,</w:t>
      </w:r>
    </w:p>
    <w:p w:rsidR="00322C13" w:rsidRPr="00B612E0" w:rsidRDefault="00322C13" w:rsidP="00F11F0D">
      <w:pPr>
        <w:rPr>
          <w:noProof/>
        </w:rPr>
      </w:pPr>
      <w:r w:rsidRPr="00B612E0">
        <w:rPr>
          <w:noProof/>
        </w:rPr>
        <w:t>Considerando lo siguiente:</w:t>
      </w:r>
    </w:p>
    <w:p w:rsidR="0019102B" w:rsidRPr="00B612E0" w:rsidRDefault="004639D3" w:rsidP="004639D3">
      <w:pPr>
        <w:pStyle w:val="ManualConsidrant"/>
        <w:rPr>
          <w:noProof/>
        </w:rPr>
      </w:pPr>
      <w:r w:rsidRPr="004639D3">
        <w:t>(1)</w:t>
      </w:r>
      <w:r w:rsidRPr="004639D3">
        <w:tab/>
      </w:r>
      <w:r w:rsidR="0019102B" w:rsidRPr="00B612E0">
        <w:rPr>
          <w:noProof/>
        </w:rPr>
        <w:t>El Reglamento (UE) 2021/953 del Parlamento Europeo y del Consejo</w:t>
      </w:r>
      <w:r w:rsidR="0019102B" w:rsidRPr="00B612E0">
        <w:rPr>
          <w:rStyle w:val="FootnoteReference"/>
          <w:noProof/>
        </w:rPr>
        <w:footnoteReference w:id="26"/>
      </w:r>
      <w:r w:rsidR="0019102B" w:rsidRPr="00B612E0">
        <w:rPr>
          <w:noProof/>
        </w:rPr>
        <w:t xml:space="preserve"> establece un marco para la expedición, verificación y aceptación de certificados COVID-19 interoperables de vacunación, de prueba diagnóstica y de recuperación («certificado COVID digital de la UE»), a fin de facilitar a sus titulares el ejercicio del derecho a la libre circulación durante la pandemia de COVID-19. También debe contribuir a facilitar que se supriman gradualmente y de manera coordinada las restricciones a la libre circulación establecidas por los Estados miembros, de conformidad con el Derecho de la Unión, con el fin de limitar la propagación del SARS-CoV-2.</w:t>
      </w:r>
    </w:p>
    <w:p w:rsidR="00CB35B6" w:rsidRPr="00B612E0" w:rsidRDefault="004639D3" w:rsidP="004639D3">
      <w:pPr>
        <w:pStyle w:val="ManualConsidrant"/>
        <w:rPr>
          <w:noProof/>
        </w:rPr>
      </w:pPr>
      <w:r w:rsidRPr="004639D3">
        <w:t>(2)</w:t>
      </w:r>
      <w:r w:rsidRPr="004639D3">
        <w:tab/>
      </w:r>
      <w:r w:rsidR="00B5749D" w:rsidRPr="00B612E0">
        <w:rPr>
          <w:noProof/>
        </w:rPr>
        <w:t>De conformidad con el Reglamento (UE) 2021/953, los certificados de prueba diagnóstica deben expedirse sobre la base de dos tipos de pruebas de detección de la infección por el SARS-CoV-2, a saber, las pruebas de amplificación de ácido nucleico molecular (NAAT), incluidas las que utilizan la reacción en cadena de la polimerasa con transcripción inversa (RT-PCR), y las pruebas rápidas de antígenos, que se basan en la detección de proteínas víricas (antígenos) utilizando un inmunoanálisis de flujo lateral que dé resultados en menos de 30 minutos, siempre que las lleven a cabo profesionales sanitarios o personal cualificado para la realización de pruebas. Por otra parte, el Reglamento (UE) 2021/953 no cubre otros tipos de ensayos antigénicos, como los ensayos de inmunoadsorción enzimática o los inmunoensayos automatizados, que realizan pruebas de antígenos en un laboratorio. Desde julio de 2021, el grupo de trabajo técnico sobre pruebas de diagnóstico de la COVID-19</w:t>
      </w:r>
      <w:r w:rsidR="00B5749D" w:rsidRPr="00B612E0">
        <w:rPr>
          <w:rStyle w:val="FootnoteReference"/>
          <w:noProof/>
        </w:rPr>
        <w:footnoteReference w:id="27"/>
      </w:r>
      <w:r w:rsidR="00B5749D" w:rsidRPr="00B612E0">
        <w:rPr>
          <w:noProof/>
        </w:rPr>
        <w:t>, responsable de preparar las actualizaciones de la lista común de pruebas rápidas de antígenos para la COVID-19</w:t>
      </w:r>
      <w:r w:rsidR="00B5749D" w:rsidRPr="00B612E0">
        <w:rPr>
          <w:rStyle w:val="FootnoteReference"/>
          <w:noProof/>
        </w:rPr>
        <w:footnoteReference w:id="28"/>
      </w:r>
      <w:r w:rsidR="00B5749D" w:rsidRPr="00B612E0">
        <w:rPr>
          <w:noProof/>
        </w:rPr>
        <w:t xml:space="preserve"> acordada por el Comité de Seguridad Sanitaria establecido por el artículo</w:t>
      </w:r>
      <w:r w:rsidR="00B612E0">
        <w:rPr>
          <w:noProof/>
        </w:rPr>
        <w:t xml:space="preserve"> </w:t>
      </w:r>
      <w:r w:rsidR="00B5749D" w:rsidRPr="00B612E0">
        <w:rPr>
          <w:noProof/>
        </w:rPr>
        <w:t>17 de la Decisión n.º</w:t>
      </w:r>
      <w:r w:rsidR="00B612E0">
        <w:rPr>
          <w:noProof/>
        </w:rPr>
        <w:t xml:space="preserve"> </w:t>
      </w:r>
      <w:r w:rsidR="00B5749D" w:rsidRPr="00B612E0">
        <w:rPr>
          <w:noProof/>
        </w:rPr>
        <w:t>1082/2013/UE del Parlamento Europeo y del Consejo</w:t>
      </w:r>
      <w:r w:rsidR="00B5749D" w:rsidRPr="00B612E0">
        <w:rPr>
          <w:rStyle w:val="FootnoteReference"/>
          <w:noProof/>
        </w:rPr>
        <w:footnoteReference w:id="29"/>
      </w:r>
      <w:r w:rsidR="00B5749D" w:rsidRPr="00B612E0">
        <w:rPr>
          <w:noProof/>
        </w:rPr>
        <w:t>, también revisa las propuestas presentadas por los Estados miembros y los fabricantes de pruebas de antígenos de la COVID-19 realizadas en laboratorio. Esas propuestas se evalúan con arreglo a los mismos criterios utilizados para las pruebas rápidas de antígenos, y el Comité de Seguridad Sanitaria ha elaborado una lista de las pruebas de antígenos realizadas en laboratorio que cumplen estos criterios. En consecuencia, y en un esfuerzo por ampliar el ámbito de aplicación de los distintos tipos de pruebas de diagnóstico que pueden utilizarse como base para la expedición de un certificado COVID digital de la UE, la definición de pruebas rápidas de antígenos debería adaptarse para incluir las pruebas de antígenos realizadas en laboratorio. Por lo tanto, los Estados miembros deben tener la posibilidad de expedir certificados de prueba diagnóstica sobre la base de las pruebas de antígenos incluidas en la lista común a la UE acordada y actualizada periódicamente por el Comité de Seguridad Sanitaria por cumplir los criterios de calidad establecidos.</w:t>
      </w:r>
    </w:p>
    <w:p w:rsidR="0093580D" w:rsidRPr="00B612E0" w:rsidRDefault="004639D3" w:rsidP="004639D3">
      <w:pPr>
        <w:pStyle w:val="ManualConsidrant"/>
        <w:rPr>
          <w:noProof/>
        </w:rPr>
      </w:pPr>
      <w:r w:rsidRPr="004639D3">
        <w:t>(3)</w:t>
      </w:r>
      <w:r w:rsidRPr="004639D3">
        <w:tab/>
      </w:r>
      <w:r w:rsidR="00927BDE" w:rsidRPr="00B612E0">
        <w:rPr>
          <w:noProof/>
        </w:rPr>
        <w:t>De conformidad con el artículo 5 del Reglamento (UE) 2021/953, los certificados de vacunación expedidos por los Estados miembros deben contener el número de dosis administradas al titular. Debe aclararse en el texto del Reglamento que se pretende reflejar todas las dosis administradas en cualquier Estado miembro y no solo las administradas en el Estado miembro que expide el certificado. Limitar la indicación de dosis anteriores a las recibidas en el Estado miembro que expide el certificado podría dar lugar a una divergencia entre el número realmente administrado y el indicado en el certificado e impedir a los titulares hacer uso de su certificado al ejercer el derecho a la libre circulación en la Unión. La administración de dosis anteriores en otros Estados miembros se demuestra por medio del certificado COVID digital de la UE válido, y un Estado miembro no debe exigir información o pruebas adicionales a los ciudadanos titulares de dichos certificados, como el número de lotes de dosis anteriores. En este contexto, se aplican las normas para la aceptación de los certificados de vacunación expedidos por otros Estados miembros establecidas en el artículo 5, apartado 5, del Reglamento (UE) 2021/953. Además, los certificados de vacunación cubiertos por un acto de ejecución adoptado con arreglo al artículo 3, apartado</w:t>
      </w:r>
      <w:r w:rsidR="004F138C">
        <w:rPr>
          <w:noProof/>
        </w:rPr>
        <w:t xml:space="preserve"> </w:t>
      </w:r>
      <w:r w:rsidR="00927BDE" w:rsidRPr="00B612E0">
        <w:rPr>
          <w:noProof/>
        </w:rPr>
        <w:t>10, y el artículo</w:t>
      </w:r>
      <w:r w:rsidR="004F138C">
        <w:rPr>
          <w:noProof/>
        </w:rPr>
        <w:t xml:space="preserve"> </w:t>
      </w:r>
      <w:r w:rsidR="00927BDE" w:rsidRPr="00B612E0">
        <w:rPr>
          <w:noProof/>
        </w:rPr>
        <w:t>8, apartado</w:t>
      </w:r>
      <w:r w:rsidR="004F138C">
        <w:rPr>
          <w:noProof/>
        </w:rPr>
        <w:t xml:space="preserve"> </w:t>
      </w:r>
      <w:r w:rsidR="00927BDE" w:rsidRPr="00B612E0">
        <w:rPr>
          <w:noProof/>
        </w:rPr>
        <w:t>2, del Reglamento (UE) 2021/953 deben aceptarse</w:t>
      </w:r>
      <w:r w:rsidR="004F138C">
        <w:rPr>
          <w:noProof/>
        </w:rPr>
        <w:t xml:space="preserve"> </w:t>
      </w:r>
      <w:r w:rsidR="00927BDE" w:rsidRPr="00B612E0">
        <w:rPr>
          <w:noProof/>
        </w:rPr>
        <w:t>a fin de facilitar el ejercicio por parte de los titulares de su derecho a la libre circulación, en las mismas condiciones que los certificados COVID digitales de la UE expedidos por los Estados miembros. De conformidad con el artículo 3, apartado 4, del Reglamento (UE) 2021/953, el titular de un certificado COVID digital de la UE tiene derecho a solicitar la expedición de un nuevo certificado si los datos personales contenidos en el certificado original no son exactos, incluso en relación con la vacunación del titular.</w:t>
      </w:r>
    </w:p>
    <w:p w:rsidR="00EA0752" w:rsidRPr="00B612E0" w:rsidRDefault="004639D3" w:rsidP="004639D3">
      <w:pPr>
        <w:pStyle w:val="ManualConsidrant"/>
        <w:rPr>
          <w:noProof/>
        </w:rPr>
      </w:pPr>
      <w:r w:rsidRPr="004639D3">
        <w:t>(4)</w:t>
      </w:r>
      <w:r w:rsidRPr="004639D3">
        <w:tab/>
      </w:r>
      <w:r w:rsidR="001416B3" w:rsidRPr="00B612E0">
        <w:rPr>
          <w:noProof/>
        </w:rPr>
        <w:t xml:space="preserve">En particular, a la luz de la aparición de nuevas variantes preocupantes del SARS-CoV-2, el desarrollo y el estudio continuados de las vacunas contra la COVID-19 siguen siendo cruciales en el marco de la lucha contra la pandemia. En este contexto, es importante facilitar la participación de voluntarios en ensayos clínicos, es decir, estudios realizados para investigar la seguridad o la eficacia de un medicamento, como una vacuna contra la COVID-19. La investigación clínica desempeña un papel fundamental en el desarrollo de vacunas, por lo que debe fomentarse la participación voluntaria en ensayos clínicos. Privar a los voluntarios del acceso al certificado COVID digital de la UE podría constituir un importante desincentivo para participar, retrasando la conclusión de los ensayos clínicos y repercutiendo negativamente en la salud pública en general. Además, para garantizar la validez de sus resultados, debe preservarse la integridad de los ensayos clínicos, en particular en lo que se refiere al enmascaramiento y la confidencialidad de los datos. Por tanto, debe aclararse que los Estados miembros pueden expedir certificados COVID digitales de la UE a los participantes en ensayos clínicos que hayan sido aprobados por los comités éticos y las autoridades competentes de los Estados miembros, independientemente de que hayan recibido la vacuna experimental contra la COVID-19 o, </w:t>
      </w:r>
      <w:r w:rsidR="00AB1312">
        <w:rPr>
          <w:noProof/>
        </w:rPr>
        <w:t>para no socavar los estudios,</w:t>
      </w:r>
      <w:r w:rsidR="001416B3" w:rsidRPr="00B612E0">
        <w:rPr>
          <w:noProof/>
        </w:rPr>
        <w:t xml:space="preserve"> la dosis administrada al grupo de control. Además, debe aclararse que otros Estados miembros pueden aceptar certificados de vacunación para las vacunas contra la COVID-19 sometidas a ensayos clínicos a fin de eximir de las restricciones a la libre circulación establecidas, de conformidad con el Derecho de la Unión, en respuesta a la pandemia de COVID-19. Si una vacuna contra la COVID-19 sometida a ensayos clínicos recibe posteriormente una autorización de comercialización con arreglo al Reglamento (CE) n.º 726/2004</w:t>
      </w:r>
      <w:r w:rsidR="001416B3" w:rsidRPr="00B612E0">
        <w:rPr>
          <w:rStyle w:val="FootnoteReference"/>
          <w:noProof/>
        </w:rPr>
        <w:footnoteReference w:id="30"/>
      </w:r>
      <w:r w:rsidR="001416B3" w:rsidRPr="00B612E0">
        <w:rPr>
          <w:noProof/>
        </w:rPr>
        <w:t>, los certificados de vacunación para dicha vacuna entran, a partir de ese momento, en el ámbito de aplicación del artículo 5, apartado 5, párrafo primero, del Reglamento (UE) 2021/953. Para garantizar un enfoque coherente, la Comisión debe estar facultada para solicitar al Comité de Seguridad Sanitaria, al Centro Europeo para la Prevención y el Control de las Enfermedades (ECDC) o a la Agencia Europea de Medicamentos (EMA) que elaboren orientaciones sobre la aceptación de los certificados expedidos para una vacuna contra la COVID-19 sometida a ensayos clínicos que aún no haya</w:t>
      </w:r>
      <w:r w:rsidR="004F138C">
        <w:rPr>
          <w:noProof/>
        </w:rPr>
        <w:t xml:space="preserve"> </w:t>
      </w:r>
      <w:r w:rsidR="001416B3" w:rsidRPr="00B612E0">
        <w:rPr>
          <w:noProof/>
        </w:rPr>
        <w:t>recibido una autorización de comercialización, que deben tener en cuenta los criterios éticos y científicos necesarios para llevar a cabo ensayos clínicos.</w:t>
      </w:r>
    </w:p>
    <w:p w:rsidR="005B2BC6" w:rsidRPr="00B612E0" w:rsidRDefault="004639D3" w:rsidP="004639D3">
      <w:pPr>
        <w:pStyle w:val="ManualConsidrant"/>
        <w:rPr>
          <w:noProof/>
        </w:rPr>
      </w:pPr>
      <w:r w:rsidRPr="004639D3">
        <w:t>(5)</w:t>
      </w:r>
      <w:r w:rsidRPr="004639D3">
        <w:tab/>
      </w:r>
      <w:r w:rsidR="000B0D75" w:rsidRPr="00B612E0">
        <w:rPr>
          <w:noProof/>
        </w:rPr>
        <w:t xml:space="preserve">Desde la adopción del Reglamento (UE) 2021/953, la situación epidemiológica con respecto a la pandemia de COVID-19 ha evolucionado considerablemente. Por una parte, a 31 de enero de 2022, más del 80 % de la población adulta de la Unión ha completado su </w:t>
      </w:r>
      <w:r w:rsidR="00B612E0">
        <w:rPr>
          <w:noProof/>
        </w:rPr>
        <w:t>pauta</w:t>
      </w:r>
      <w:r w:rsidR="000B0D75" w:rsidRPr="00B612E0">
        <w:rPr>
          <w:noProof/>
        </w:rPr>
        <w:t xml:space="preserve"> primari</w:t>
      </w:r>
      <w:r w:rsidR="00B612E0">
        <w:rPr>
          <w:noProof/>
        </w:rPr>
        <w:t>a</w:t>
      </w:r>
      <w:r w:rsidR="000B0D75" w:rsidRPr="00B612E0">
        <w:rPr>
          <w:noProof/>
        </w:rPr>
        <w:t xml:space="preserve"> de vacunación y más del 50 % ha recibido una dosis de recuerdo, a pesar de diferencias significativas entre los Estados miembros</w:t>
      </w:r>
      <w:r w:rsidR="000B0D75" w:rsidRPr="00B612E0">
        <w:rPr>
          <w:rStyle w:val="FootnoteReference"/>
          <w:noProof/>
        </w:rPr>
        <w:footnoteReference w:id="31"/>
      </w:r>
      <w:r w:rsidR="000B0D75" w:rsidRPr="00B612E0">
        <w:rPr>
          <w:noProof/>
        </w:rPr>
        <w:t>. El aumento de la vacunación sigue siendo un objetivo crucial en la lucha contra la pandemia, dada la protección contra la hospitalización y las formas graves de la enfermedad que ofrece, por lo que desempeña un papel importante a la hora de garantizar que puedan levantarse las restricciones a la libre circulación de personas.</w:t>
      </w:r>
    </w:p>
    <w:p w:rsidR="00E66C2F" w:rsidRPr="00B612E0" w:rsidRDefault="004639D3" w:rsidP="004639D3">
      <w:pPr>
        <w:pStyle w:val="ManualConsidrant"/>
        <w:rPr>
          <w:noProof/>
        </w:rPr>
      </w:pPr>
      <w:r w:rsidRPr="004639D3">
        <w:t>(6)</w:t>
      </w:r>
      <w:r w:rsidRPr="004639D3">
        <w:tab/>
      </w:r>
      <w:r w:rsidR="00350FCF" w:rsidRPr="00B612E0">
        <w:rPr>
          <w:noProof/>
        </w:rPr>
        <w:t>Por otra parte, la propagación de la variante preocupante del SARS-CoV-2 «Delta» en el segundo semestre de 2021 provocó un aumento significativo del número de infecciones, hospitalizaciones y muertes, lo que obligó a los Estados miembros a adoptar medidas estrictas de salud pública en un esfuerzo por proteger la capacidad de su sistema sanitario. A principios de 2022, la variante preocupante del SARS-CoV-2 «Ómicron» provocó un fuerte aumento del número de casos de COVID-19, sustituyendo rápidamente a la Delta y alcanzando una intensidad sin precedentes de transmisión comunitaria en toda la Unión. Como señaló el ECDC en su evaluación rápida del riesgo de 27 de enero de 2022</w:t>
      </w:r>
      <w:r w:rsidR="00350FCF" w:rsidRPr="00B612E0">
        <w:rPr>
          <w:rStyle w:val="FootnoteReference"/>
          <w:noProof/>
        </w:rPr>
        <w:footnoteReference w:id="32"/>
      </w:r>
      <w:r w:rsidR="00350FCF" w:rsidRPr="00B612E0">
        <w:rPr>
          <w:noProof/>
        </w:rPr>
        <w:t>, parece que las infecciones por Ómicron tienen menos probabilidades de conducir a un resultado clínico grave que requiera hospitalización o admisión en unidades de cuidados intensivos. Aunque la reducción de la gravedad se debe en parte a las características inherentes del virus, los resultados de los estudios de eficacia de las vacunas han demostrado que la vacunación desempeña un papel importante en la prevención de efectos clínicos graves tras la infección por Ómicron, con un aumento significativo de la eficacia contra las formas graves de la enfermedad entre las personas que han recibido tres dosis de vacuna. Además, dado el elevadísimo nivel de transmisión comunitaria, que enferma a muchas personas al mismo tiempo, es probable que los Estados miembros sufran un período de considerable presión sobre sus sistemas sanitarios y sobre el funcionamiento de la sociedad en su conjunto, principalmente a través de ausencias en los puestos de trabajo y las aulas.</w:t>
      </w:r>
    </w:p>
    <w:p w:rsidR="000B0D75" w:rsidRPr="00B612E0" w:rsidRDefault="004639D3" w:rsidP="004639D3">
      <w:pPr>
        <w:pStyle w:val="ManualConsidrant"/>
        <w:rPr>
          <w:noProof/>
        </w:rPr>
      </w:pPr>
      <w:r w:rsidRPr="004639D3">
        <w:t>(7)</w:t>
      </w:r>
      <w:r w:rsidRPr="004639D3">
        <w:tab/>
      </w:r>
      <w:r w:rsidR="00D7239B" w:rsidRPr="00B612E0">
        <w:rPr>
          <w:noProof/>
        </w:rPr>
        <w:t>Tras un pico en los casos de Ómicron, se espera que una elevada proporción de la población goce, al menos durante un determinado período, de protección contra la COVID-19 debido a la vacunación o a una infección previa, o a ambas cosas. Sin embargo, no es posible predecir el impacto de un posible aumento de las infecciones en el segundo semestre de 2022. Además, no puede descartarse la posibilidad de que la situación pandémica empeore debido a la aparición de nuevas variantes preocupantes del SARS-CoV-2. Como también ha señalado el ECDC, persisten importantes incertidumbres en esta fase de la pandemia de COVID-19.</w:t>
      </w:r>
    </w:p>
    <w:p w:rsidR="005B2BC6" w:rsidRPr="00B612E0" w:rsidRDefault="004639D3" w:rsidP="004639D3">
      <w:pPr>
        <w:pStyle w:val="ManualConsidrant"/>
        <w:rPr>
          <w:noProof/>
        </w:rPr>
      </w:pPr>
      <w:r w:rsidRPr="004639D3">
        <w:t>(8)</w:t>
      </w:r>
      <w:r w:rsidRPr="004639D3">
        <w:tab/>
      </w:r>
      <w:r w:rsidR="009E0A95" w:rsidRPr="00B612E0">
        <w:rPr>
          <w:noProof/>
        </w:rPr>
        <w:t>En vista de lo anterior, no puede excluirse que los Estados miembros sigan exigiendo a los ciudadanos de la Unión que ejercen su derecho a la libre circulación que presenten pruebas de vacunación, de prueba diagnóstica o de recuperación de la COVID-19 después del 30 de junio de 2022, fecha de expiración del Reglamento (UE) 2021/953. Por tanto, es importante evitar que, en caso de que algunas restricciones a la libre circulación basadas en la salud pública sigan vigentes después de</w:t>
      </w:r>
      <w:r w:rsidR="0050092F">
        <w:rPr>
          <w:noProof/>
        </w:rPr>
        <w:t xml:space="preserve"> esa fecha</w:t>
      </w:r>
      <w:r w:rsidR="009E0A95" w:rsidRPr="00B612E0">
        <w:rPr>
          <w:noProof/>
        </w:rPr>
        <w:t>, los ciudadanos de la Unión y los miembros de sus familias se vean privados de la posibilidad de hacer uso de sus certificados COVID digitales de la UE, que son una forma eficaz, segura y respetuosa de la privacidad de demostrar su condición con respecto a la COVID-19. Al mismo tiempo, dado que cualquier restricción a la libre circulación de personas en la Unión establecida para limitar la propagación del SARS-CoV-2, incluido el requisito de presentar certificados COVID digitales de la UE, debe levantarse tan pronto como la situación epidemiológica lo permita, la Comisión propone limitar la prórroga a 12 meses. Además, la ampliación del Reglamento no debe entenderse en el sentido de que obliga a los Estados miembros, en particular a aquellos que levantan las medidas nacionales de salud pública, a mantener o imponer restricciones a la libre circulación. También deben ampliarse los poderes para adoptar actos con arreglo al artículo 290 del Tratado de Funcionamiento de la Unión Europea</w:t>
      </w:r>
      <w:r w:rsidR="007800DB">
        <w:rPr>
          <w:noProof/>
        </w:rPr>
        <w:t>,</w:t>
      </w:r>
      <w:r w:rsidR="009E0A95" w:rsidRPr="00B612E0">
        <w:rPr>
          <w:noProof/>
        </w:rPr>
        <w:t xml:space="preserve"> delegados a la Comisión en virtud del Reglamento (UE) 2021/953. Es necesario garantizar que el sistema de certificado COVID digital de la UE pueda adaptarse al progreso científico para contener la pandemia de COVID-19.</w:t>
      </w:r>
    </w:p>
    <w:p w:rsidR="007017F7" w:rsidRPr="00B612E0" w:rsidRDefault="004639D3" w:rsidP="004639D3">
      <w:pPr>
        <w:pStyle w:val="ManualConsidrant"/>
        <w:rPr>
          <w:noProof/>
        </w:rPr>
      </w:pPr>
      <w:r w:rsidRPr="004639D3">
        <w:t>(9)</w:t>
      </w:r>
      <w:r w:rsidRPr="004639D3">
        <w:tab/>
      </w:r>
      <w:r w:rsidR="00CB35B6" w:rsidRPr="00B612E0">
        <w:rPr>
          <w:noProof/>
        </w:rPr>
        <w:t>Debe corregirse una referencia cruzada errónea en el artículo 13 del Reglamento (UE) 2021/953.</w:t>
      </w:r>
    </w:p>
    <w:p w:rsidR="009E0A95" w:rsidRPr="00B612E0" w:rsidRDefault="004639D3" w:rsidP="004639D3">
      <w:pPr>
        <w:pStyle w:val="ManualConsidrant"/>
        <w:rPr>
          <w:noProof/>
        </w:rPr>
      </w:pPr>
      <w:r w:rsidRPr="004639D3">
        <w:t>(10)</w:t>
      </w:r>
      <w:r w:rsidRPr="004639D3">
        <w:tab/>
      </w:r>
      <w:r w:rsidR="00E8604D" w:rsidRPr="00B612E0">
        <w:rPr>
          <w:noProof/>
        </w:rPr>
        <w:t>Por lo tanto, procede modificar el Reglamento (UE) 2021/953 en consecuencia.</w:t>
      </w:r>
    </w:p>
    <w:p w:rsidR="00E8604D" w:rsidRPr="00B612E0" w:rsidRDefault="004639D3" w:rsidP="004639D3">
      <w:pPr>
        <w:pStyle w:val="ManualConsidrant"/>
        <w:rPr>
          <w:noProof/>
        </w:rPr>
      </w:pPr>
      <w:r w:rsidRPr="004639D3">
        <w:t>(11)</w:t>
      </w:r>
      <w:r w:rsidRPr="004639D3">
        <w:tab/>
      </w:r>
      <w:r w:rsidR="00CD2F51" w:rsidRPr="00B612E0">
        <w:rPr>
          <w:noProof/>
        </w:rPr>
        <w:t>Del mismo modo, el Reglamento (UE) 2022/XXXX del Parlamento Europeo y del Consejo</w:t>
      </w:r>
      <w:r w:rsidR="00CD2F51" w:rsidRPr="00B612E0">
        <w:rPr>
          <w:rStyle w:val="FootnoteReference"/>
          <w:noProof/>
        </w:rPr>
        <w:footnoteReference w:id="33"/>
      </w:r>
      <w:r w:rsidR="00CD2F51" w:rsidRPr="00B612E0">
        <w:rPr>
          <w:noProof/>
        </w:rPr>
        <w:t xml:space="preserve"> prorroga el período de aplicación del Reglamento (UE) 2021/954 del Parlamento Europeo y del Consejo</w:t>
      </w:r>
      <w:r w:rsidR="00CD2F51" w:rsidRPr="00B612E0">
        <w:rPr>
          <w:rStyle w:val="FootnoteReference"/>
          <w:noProof/>
        </w:rPr>
        <w:footnoteReference w:id="34"/>
      </w:r>
      <w:r w:rsidR="00CD2F51" w:rsidRPr="00B612E0">
        <w:rPr>
          <w:noProof/>
        </w:rPr>
        <w:t>, que amplía el marco común del certificado COVID digital de la UE a los nacionales de terceros países que se encuentren o residan legalmente en el espacio Schengen sin controles en las fronteras interiores y se aplica en virtud del acervo de Schengen, sin perjuicio de las normas específicas sobre el cruce de fronteras interiores establecidas en el Reglamento (UE) 2016/399 del Parlamento Europeo y del Consejo</w:t>
      </w:r>
      <w:r w:rsidR="00CD2F51" w:rsidRPr="00B612E0">
        <w:rPr>
          <w:rStyle w:val="FootnoteReference"/>
          <w:noProof/>
        </w:rPr>
        <w:footnoteReference w:id="35"/>
      </w:r>
      <w:r w:rsidR="00CD2F51" w:rsidRPr="00B612E0">
        <w:rPr>
          <w:noProof/>
        </w:rPr>
        <w:t>.</w:t>
      </w:r>
    </w:p>
    <w:p w:rsidR="003F0D8B" w:rsidRPr="00B612E0" w:rsidRDefault="004639D3" w:rsidP="004639D3">
      <w:pPr>
        <w:pStyle w:val="ManualConsidrant"/>
        <w:rPr>
          <w:noProof/>
        </w:rPr>
      </w:pPr>
      <w:r w:rsidRPr="004639D3">
        <w:t>(12)</w:t>
      </w:r>
      <w:r w:rsidRPr="004639D3">
        <w:tab/>
      </w:r>
      <w:r w:rsidR="001416B3" w:rsidRPr="00B612E0">
        <w:rPr>
          <w:noProof/>
        </w:rPr>
        <w:t xml:space="preserve">Dada la urgencia de la situación relacionada con la pandemia de COVID-19, el presente Reglamento debe entrar en vigor el día siguiente al de su publicación en el </w:t>
      </w:r>
      <w:r w:rsidR="001416B3" w:rsidRPr="00B612E0">
        <w:rPr>
          <w:i/>
          <w:iCs/>
          <w:noProof/>
        </w:rPr>
        <w:t>Diario Oficial de la Unión Europea</w:t>
      </w:r>
      <w:r w:rsidR="001416B3" w:rsidRPr="00B612E0">
        <w:rPr>
          <w:noProof/>
        </w:rPr>
        <w:t xml:space="preserve">. </w:t>
      </w:r>
    </w:p>
    <w:p w:rsidR="00041121" w:rsidRPr="00B612E0" w:rsidRDefault="004639D3" w:rsidP="004639D3">
      <w:pPr>
        <w:pStyle w:val="ManualConsidrant"/>
        <w:rPr>
          <w:noProof/>
        </w:rPr>
      </w:pPr>
      <w:r w:rsidRPr="004639D3">
        <w:t>(13)</w:t>
      </w:r>
      <w:r w:rsidRPr="004639D3">
        <w:tab/>
      </w:r>
      <w:r w:rsidR="003F0D8B" w:rsidRPr="00B612E0">
        <w:rPr>
          <w:noProof/>
        </w:rPr>
        <w:t>El Supervisor Europeo de Protección de Datos y el Comité Europeo de Protección de Datos, a los que se consultó de conformidad con el artículo</w:t>
      </w:r>
      <w:r w:rsidR="004F138C">
        <w:rPr>
          <w:noProof/>
        </w:rPr>
        <w:t xml:space="preserve"> </w:t>
      </w:r>
      <w:r w:rsidR="003F0D8B" w:rsidRPr="00B612E0">
        <w:rPr>
          <w:noProof/>
        </w:rPr>
        <w:t>42 del Reglamento (UE) 2018/1725, emitieron un dictamen conjunto el XXXX</w:t>
      </w:r>
      <w:r w:rsidR="003F0D8B" w:rsidRPr="00B612E0">
        <w:rPr>
          <w:rStyle w:val="FootnoteReference"/>
          <w:noProof/>
        </w:rPr>
        <w:footnoteReference w:id="36"/>
      </w:r>
      <w:r w:rsidR="004F138C">
        <w:rPr>
          <w:noProof/>
        </w:rPr>
        <w:t>.</w:t>
      </w:r>
    </w:p>
    <w:p w:rsidR="00322C13" w:rsidRPr="00B612E0" w:rsidRDefault="00322C13" w:rsidP="00F11F0D">
      <w:pPr>
        <w:pStyle w:val="Formuledadoption"/>
        <w:rPr>
          <w:noProof/>
        </w:rPr>
      </w:pPr>
      <w:r w:rsidRPr="00B612E0">
        <w:rPr>
          <w:noProof/>
        </w:rPr>
        <w:t>HAN ADOPTADO EL PRESENTE REGLAMENTO:</w:t>
      </w:r>
    </w:p>
    <w:p w:rsidR="00322C13" w:rsidRPr="00B612E0" w:rsidRDefault="00322C13" w:rsidP="00F11F0D">
      <w:pPr>
        <w:pStyle w:val="Titrearticle"/>
        <w:rPr>
          <w:noProof/>
        </w:rPr>
      </w:pPr>
      <w:r w:rsidRPr="00B612E0">
        <w:rPr>
          <w:noProof/>
        </w:rPr>
        <w:t>Artículo 1</w:t>
      </w:r>
    </w:p>
    <w:p w:rsidR="0092434B" w:rsidRPr="00B612E0" w:rsidRDefault="0092434B" w:rsidP="007017F7">
      <w:pPr>
        <w:rPr>
          <w:noProof/>
        </w:rPr>
      </w:pPr>
      <w:r w:rsidRPr="00B612E0">
        <w:rPr>
          <w:noProof/>
        </w:rPr>
        <w:t>El Reglamento (UE) 2021/953 se modifica como sigue:</w:t>
      </w:r>
    </w:p>
    <w:p w:rsidR="00EF46CD" w:rsidRPr="00B612E0" w:rsidRDefault="00CC573D" w:rsidP="00CC573D">
      <w:pPr>
        <w:pStyle w:val="Point1"/>
        <w:rPr>
          <w:noProof/>
        </w:rPr>
      </w:pPr>
      <w:r>
        <w:rPr>
          <w:noProof/>
        </w:rPr>
        <w:t>1)</w:t>
      </w:r>
      <w:r w:rsidRPr="00CC573D">
        <w:rPr>
          <w:noProof/>
        </w:rPr>
        <w:tab/>
      </w:r>
      <w:r w:rsidR="00EF46CD" w:rsidRPr="00B612E0">
        <w:rPr>
          <w:noProof/>
        </w:rPr>
        <w:t>en el artículo 2, el apartado 5 se sustituye por el texto siguiente:</w:t>
      </w:r>
    </w:p>
    <w:p w:rsidR="00CE611C" w:rsidRPr="00B612E0" w:rsidRDefault="00CC573D" w:rsidP="00837676">
      <w:pPr>
        <w:pStyle w:val="Text20"/>
        <w:rPr>
          <w:noProof/>
        </w:rPr>
      </w:pPr>
      <w:r>
        <w:rPr>
          <w:noProof/>
        </w:rPr>
        <w:t>«</w:t>
      </w:r>
      <w:r w:rsidR="00E07AC3" w:rsidRPr="00B612E0">
        <w:rPr>
          <w:noProof/>
        </w:rPr>
        <w:t>5) "prueba de antígenos": prueba de una de las categorías siguientes que se basa en la detección de proteínas víricas (antígenos) para detectar la presencia del SARS-CoV-2:</w:t>
      </w:r>
    </w:p>
    <w:p w:rsidR="0000746E" w:rsidRPr="00B612E0" w:rsidRDefault="00CC573D" w:rsidP="00CC573D">
      <w:pPr>
        <w:pStyle w:val="Point3"/>
        <w:rPr>
          <w:noProof/>
        </w:rPr>
      </w:pPr>
      <w:r>
        <w:rPr>
          <w:noProof/>
        </w:rPr>
        <w:t>a)</w:t>
      </w:r>
      <w:r w:rsidRPr="00CC573D">
        <w:rPr>
          <w:noProof/>
        </w:rPr>
        <w:tab/>
      </w:r>
      <w:r w:rsidR="00836DBE" w:rsidRPr="00B612E0">
        <w:rPr>
          <w:noProof/>
        </w:rPr>
        <w:t xml:space="preserve">pruebas rápidas de antígenos, tales como un inmunoanálisis de flujo lateral que ofrezca resultados en menos de 30 minutos, </w:t>
      </w:r>
    </w:p>
    <w:p w:rsidR="00EF46CD" w:rsidRPr="00B612E0" w:rsidRDefault="00CC573D" w:rsidP="00CC573D">
      <w:pPr>
        <w:pStyle w:val="Point3"/>
        <w:rPr>
          <w:noProof/>
        </w:rPr>
      </w:pPr>
      <w:r>
        <w:rPr>
          <w:noProof/>
        </w:rPr>
        <w:t>b)</w:t>
      </w:r>
      <w:r w:rsidRPr="00CC573D">
        <w:rPr>
          <w:noProof/>
        </w:rPr>
        <w:tab/>
      </w:r>
      <w:r w:rsidR="00030496" w:rsidRPr="00B612E0">
        <w:rPr>
          <w:noProof/>
        </w:rPr>
        <w:t>pruebas de antígenos realizadas en un laboratorio, tales como pruebas de inmunoadsorción enzimática o inmunoensayos automatizados para la detección de antígenos víricos;»;</w:t>
      </w:r>
    </w:p>
    <w:p w:rsidR="00636CA7" w:rsidRPr="00B612E0" w:rsidRDefault="00CC573D" w:rsidP="00CC573D">
      <w:pPr>
        <w:pStyle w:val="Point1"/>
        <w:rPr>
          <w:noProof/>
        </w:rPr>
      </w:pPr>
      <w:r>
        <w:rPr>
          <w:noProof/>
        </w:rPr>
        <w:t>2)</w:t>
      </w:r>
      <w:r w:rsidRPr="00CC573D">
        <w:rPr>
          <w:noProof/>
        </w:rPr>
        <w:tab/>
      </w:r>
      <w:r w:rsidR="00636CA7" w:rsidRPr="00B612E0">
        <w:rPr>
          <w:noProof/>
        </w:rPr>
        <w:t>el artículo 3 se modifica como sigue:</w:t>
      </w:r>
    </w:p>
    <w:p w:rsidR="00EF46CD" w:rsidRPr="00B612E0" w:rsidRDefault="00CC573D" w:rsidP="00CC573D">
      <w:pPr>
        <w:pStyle w:val="Point2"/>
        <w:rPr>
          <w:noProof/>
        </w:rPr>
      </w:pPr>
      <w:r>
        <w:rPr>
          <w:noProof/>
        </w:rPr>
        <w:t>a)</w:t>
      </w:r>
      <w:r w:rsidRPr="00CC573D">
        <w:rPr>
          <w:noProof/>
        </w:rPr>
        <w:tab/>
      </w:r>
      <w:r w:rsidR="0000746E" w:rsidRPr="00B612E0">
        <w:rPr>
          <w:noProof/>
        </w:rPr>
        <w:t>el apartado 1 se modifica como sigue:</w:t>
      </w:r>
    </w:p>
    <w:p w:rsidR="00EF46CD" w:rsidRPr="00B612E0" w:rsidRDefault="002C17D2" w:rsidP="00837676">
      <w:pPr>
        <w:pStyle w:val="PointTriple3"/>
        <w:rPr>
          <w:noProof/>
        </w:rPr>
      </w:pPr>
      <w:r w:rsidRPr="00B612E0">
        <w:rPr>
          <w:noProof/>
        </w:rPr>
        <w:t>i)</w:t>
      </w:r>
      <w:r w:rsidRPr="00B612E0">
        <w:rPr>
          <w:noProof/>
        </w:rPr>
        <w:tab/>
        <w:t>la letra b) se sustituye por el texto siguiente:</w:t>
      </w:r>
    </w:p>
    <w:p w:rsidR="00EF46CD" w:rsidRPr="00B612E0" w:rsidRDefault="00EF46CD" w:rsidP="00837676">
      <w:pPr>
        <w:pStyle w:val="Text4"/>
        <w:rPr>
          <w:noProof/>
        </w:rPr>
      </w:pPr>
      <w:r w:rsidRPr="00B612E0">
        <w:rPr>
          <w:noProof/>
        </w:rPr>
        <w:t>«b) un certificado que confirme que el titular realizó una prueba NAAT o una prueba rápida de antígenos enumerada en la lista común</w:t>
      </w:r>
      <w:r w:rsidR="004F138C">
        <w:rPr>
          <w:noProof/>
        </w:rPr>
        <w:t xml:space="preserve"> </w:t>
      </w:r>
      <w:r w:rsidRPr="00B612E0">
        <w:rPr>
          <w:noProof/>
        </w:rPr>
        <w:t>de la UE de pruebas rápidas de antígenos para el diagnóstico de la COVID-19 acordada por el Comité de Seguridad Sanitaria, llevada a cabo por profesionales sanitarios o personal cualificado para la realización de pruebas en el Estado miembro que expide el certificado, y que indique el tipo de prueba, la fecha en que se realizó y su resultado (certificado de prueba diagnóstica);»;</w:t>
      </w:r>
    </w:p>
    <w:p w:rsidR="00EF46CD" w:rsidRPr="00B612E0" w:rsidRDefault="002C17D2" w:rsidP="00837676">
      <w:pPr>
        <w:pStyle w:val="PointDouble3"/>
        <w:rPr>
          <w:noProof/>
        </w:rPr>
      </w:pPr>
      <w:r w:rsidRPr="00B612E0">
        <w:rPr>
          <w:noProof/>
        </w:rPr>
        <w:t>ii)</w:t>
      </w:r>
      <w:r w:rsidRPr="00B612E0">
        <w:rPr>
          <w:noProof/>
        </w:rPr>
        <w:tab/>
        <w:t>el párrafo segundo se sustituye por el texto siguiente:</w:t>
      </w:r>
    </w:p>
    <w:p w:rsidR="00EF46CD" w:rsidRPr="00B612E0" w:rsidRDefault="00EF46CD" w:rsidP="00837676">
      <w:pPr>
        <w:pStyle w:val="Text4"/>
        <w:rPr>
          <w:noProof/>
        </w:rPr>
      </w:pPr>
      <w:r w:rsidRPr="00B612E0">
        <w:rPr>
          <w:noProof/>
        </w:rPr>
        <w:t>«La Comisión publicará la lista común de la UE de pruebas de detección de antígenos de la COVID-19 acordada por el Comité de Seguridad Sanitaria, incluidas sus actualizaciones.»;</w:t>
      </w:r>
    </w:p>
    <w:p w:rsidR="00532DF9" w:rsidRPr="00B612E0" w:rsidRDefault="00CC573D" w:rsidP="00CC573D">
      <w:pPr>
        <w:pStyle w:val="Point2"/>
        <w:rPr>
          <w:noProof/>
        </w:rPr>
      </w:pPr>
      <w:r>
        <w:rPr>
          <w:noProof/>
        </w:rPr>
        <w:t>b)</w:t>
      </w:r>
      <w:r w:rsidRPr="00CC573D">
        <w:rPr>
          <w:noProof/>
        </w:rPr>
        <w:tab/>
      </w:r>
      <w:r w:rsidR="00532DF9" w:rsidRPr="00B612E0">
        <w:rPr>
          <w:noProof/>
        </w:rPr>
        <w:t>el apartado 11 se modifica como sigue:</w:t>
      </w:r>
    </w:p>
    <w:p w:rsidR="00532DF9" w:rsidRPr="00B612E0" w:rsidRDefault="0066386C" w:rsidP="00A92D51">
      <w:pPr>
        <w:pStyle w:val="Text3"/>
        <w:rPr>
          <w:noProof/>
        </w:rPr>
      </w:pPr>
      <w:r w:rsidRPr="00B612E0">
        <w:rPr>
          <w:noProof/>
        </w:rPr>
        <w:t>«En caso necesario, la Comisión solicitará al Comité de Seguridad Sanitaria, al ECDC o a la EMA que emitan orientaciones relativas a los efectos de los actos médicos documentados en los certificados a que se refiere el apartado 1, en particular con respecto a nuevas variantes preocupantes, y sobre la aceptación de las vacunas de la COVID-19 que están siendo sometidas a ensayos clínicos en los Estados miembros.»;</w:t>
      </w:r>
    </w:p>
    <w:p w:rsidR="00E7102A" w:rsidRPr="00B612E0" w:rsidRDefault="00854519" w:rsidP="00854519">
      <w:pPr>
        <w:pStyle w:val="Point1"/>
        <w:rPr>
          <w:noProof/>
        </w:rPr>
      </w:pPr>
      <w:r>
        <w:rPr>
          <w:noProof/>
        </w:rPr>
        <w:t>3)</w:t>
      </w:r>
      <w:r w:rsidRPr="00854519">
        <w:rPr>
          <w:noProof/>
        </w:rPr>
        <w:tab/>
      </w:r>
      <w:r w:rsidR="00E7102A" w:rsidRPr="00B612E0">
        <w:rPr>
          <w:noProof/>
        </w:rPr>
        <w:t>el artículo 5 se modifica como sigue:</w:t>
      </w:r>
    </w:p>
    <w:p w:rsidR="00E7102A" w:rsidRPr="00B612E0" w:rsidRDefault="00854519" w:rsidP="00854519">
      <w:pPr>
        <w:pStyle w:val="Point2"/>
        <w:rPr>
          <w:noProof/>
        </w:rPr>
      </w:pPr>
      <w:r>
        <w:rPr>
          <w:noProof/>
        </w:rPr>
        <w:t>a)</w:t>
      </w:r>
      <w:r w:rsidRPr="00854519">
        <w:rPr>
          <w:noProof/>
        </w:rPr>
        <w:tab/>
      </w:r>
      <w:r w:rsidR="00E7102A" w:rsidRPr="00B612E0">
        <w:rPr>
          <w:noProof/>
        </w:rPr>
        <w:t>en el apartado</w:t>
      </w:r>
      <w:r w:rsidR="004F138C">
        <w:rPr>
          <w:noProof/>
        </w:rPr>
        <w:t xml:space="preserve"> </w:t>
      </w:r>
      <w:r w:rsidR="00E7102A" w:rsidRPr="00B612E0">
        <w:rPr>
          <w:noProof/>
        </w:rPr>
        <w:t>2, la letra b) se sustituye por el texto siguiente:</w:t>
      </w:r>
    </w:p>
    <w:p w:rsidR="00E7102A" w:rsidRPr="00B612E0" w:rsidRDefault="00E7102A" w:rsidP="00E7102A">
      <w:pPr>
        <w:pStyle w:val="Text3"/>
        <w:rPr>
          <w:noProof/>
        </w:rPr>
      </w:pPr>
      <w:r w:rsidRPr="00B612E0">
        <w:rPr>
          <w:noProof/>
        </w:rPr>
        <w:t>«b) información sobre la vacuna contra la COVID-19 y el número de dosis administradas al titular, independientemente del Estado miembro en el que se hayan administrado;»;</w:t>
      </w:r>
    </w:p>
    <w:p w:rsidR="005B17A3" w:rsidRPr="00B612E0" w:rsidRDefault="00854519" w:rsidP="00854519">
      <w:pPr>
        <w:pStyle w:val="Point2"/>
        <w:rPr>
          <w:noProof/>
        </w:rPr>
      </w:pPr>
      <w:r>
        <w:rPr>
          <w:noProof/>
        </w:rPr>
        <w:t>b)</w:t>
      </w:r>
      <w:r w:rsidRPr="00854519">
        <w:rPr>
          <w:noProof/>
        </w:rPr>
        <w:tab/>
      </w:r>
      <w:r w:rsidR="009019AC" w:rsidRPr="00B612E0">
        <w:rPr>
          <w:noProof/>
        </w:rPr>
        <w:t>en el apartado</w:t>
      </w:r>
      <w:r w:rsidR="004F138C">
        <w:rPr>
          <w:noProof/>
        </w:rPr>
        <w:t xml:space="preserve"> </w:t>
      </w:r>
      <w:r w:rsidR="009019AC" w:rsidRPr="00B612E0">
        <w:rPr>
          <w:noProof/>
        </w:rPr>
        <w:t>5, se añade el párrafo siguiente:</w:t>
      </w:r>
    </w:p>
    <w:p w:rsidR="005B17A3" w:rsidRPr="00B612E0" w:rsidRDefault="005B17A3" w:rsidP="000C4AE9">
      <w:pPr>
        <w:pStyle w:val="Text3"/>
        <w:rPr>
          <w:noProof/>
        </w:rPr>
      </w:pPr>
      <w:r w:rsidRPr="00B612E0">
        <w:rPr>
          <w:noProof/>
        </w:rPr>
        <w:t>«Los Estados miembros también podrán expedir los certificados de vacunación a que se refiere el artículo 3, apartado 1, letra a), a las personas que participen en ensayos clínicos relativos a una vacuna contra la COVID-19 y que hayan sido aprobados por los comités éticos y las autoridades competentes de los Estados miembros, independientemente de que se les haya administrado la vacuna experimental o la dosis administrada al grupo de control. La información sobre la vacuna contra la COVID-19 que debe incluirse en el certificado de vacunación de conformidad con los campos de datos específicos establecidos en el punto 1 del anexo no menoscabará la integridad del ensayo clínico. Los Estados miembros podrán aceptar certificados de vacunación expedidos por otros Estados miembros de conformidad con el presente apartado a fin de eximir de las restricciones a la libre circulación establecidas, de conformidad con el Derecho de la Unión, para limitar la propagación del SARS</w:t>
      </w:r>
      <w:r w:rsidR="004F138C">
        <w:rPr>
          <w:noProof/>
        </w:rPr>
        <w:t>-</w:t>
      </w:r>
      <w:r w:rsidRPr="00B612E0">
        <w:rPr>
          <w:noProof/>
        </w:rPr>
        <w:t>CoV</w:t>
      </w:r>
      <w:r w:rsidR="004F138C">
        <w:rPr>
          <w:noProof/>
        </w:rPr>
        <w:t>-</w:t>
      </w:r>
      <w:r w:rsidRPr="00B612E0">
        <w:rPr>
          <w:noProof/>
        </w:rPr>
        <w:t>2.»;</w:t>
      </w:r>
    </w:p>
    <w:p w:rsidR="00E7102A" w:rsidRPr="00B612E0" w:rsidRDefault="00854519" w:rsidP="00854519">
      <w:pPr>
        <w:pStyle w:val="Point1"/>
        <w:rPr>
          <w:noProof/>
        </w:rPr>
      </w:pPr>
      <w:r>
        <w:rPr>
          <w:noProof/>
        </w:rPr>
        <w:t>4)</w:t>
      </w:r>
      <w:r w:rsidRPr="00854519">
        <w:rPr>
          <w:noProof/>
        </w:rPr>
        <w:tab/>
      </w:r>
      <w:r w:rsidR="00E7102A" w:rsidRPr="00B612E0">
        <w:rPr>
          <w:noProof/>
        </w:rPr>
        <w:t>en el artículo 6, apartado 2, la letra b) se sustituye por el texto siguiente:</w:t>
      </w:r>
    </w:p>
    <w:p w:rsidR="00E7102A" w:rsidRPr="00B612E0" w:rsidRDefault="00E7102A" w:rsidP="00837676">
      <w:pPr>
        <w:pStyle w:val="Text20"/>
        <w:rPr>
          <w:noProof/>
        </w:rPr>
      </w:pPr>
      <w:r w:rsidRPr="00B612E0">
        <w:rPr>
          <w:noProof/>
        </w:rPr>
        <w:t>«b) información sobre la prueba NAAT o la prueba de antígenos a la que el titular fue sometido;»;</w:t>
      </w:r>
    </w:p>
    <w:p w:rsidR="00A76FFD" w:rsidRPr="00B612E0" w:rsidRDefault="00854519" w:rsidP="00854519">
      <w:pPr>
        <w:pStyle w:val="Point1"/>
        <w:rPr>
          <w:noProof/>
        </w:rPr>
      </w:pPr>
      <w:r>
        <w:rPr>
          <w:noProof/>
        </w:rPr>
        <w:t>5)</w:t>
      </w:r>
      <w:r w:rsidRPr="00854519">
        <w:rPr>
          <w:noProof/>
        </w:rPr>
        <w:tab/>
      </w:r>
      <w:r w:rsidR="00A76FFD" w:rsidRPr="00B612E0">
        <w:rPr>
          <w:noProof/>
        </w:rPr>
        <w:t>en el artículo 7, el apartado 4 se sustituye por el texto siguiente:</w:t>
      </w:r>
    </w:p>
    <w:p w:rsidR="00A76FFD" w:rsidRPr="00B612E0" w:rsidRDefault="00A76FFD" w:rsidP="00837676">
      <w:pPr>
        <w:pStyle w:val="Text20"/>
        <w:rPr>
          <w:noProof/>
        </w:rPr>
      </w:pPr>
      <w:r w:rsidRPr="00B612E0">
        <w:rPr>
          <w:noProof/>
        </w:rPr>
        <w:t>«4. Sobre la base de las orientaciones recibidas con arreglo al artículo</w:t>
      </w:r>
      <w:r w:rsidR="004F138C">
        <w:rPr>
          <w:noProof/>
        </w:rPr>
        <w:t xml:space="preserve"> </w:t>
      </w:r>
      <w:r w:rsidRPr="00B612E0">
        <w:rPr>
          <w:noProof/>
        </w:rPr>
        <w:t>3, apartado</w:t>
      </w:r>
      <w:r w:rsidR="004F138C">
        <w:rPr>
          <w:noProof/>
        </w:rPr>
        <w:t xml:space="preserve"> </w:t>
      </w:r>
      <w:r w:rsidRPr="00B612E0">
        <w:rPr>
          <w:noProof/>
        </w:rPr>
        <w:t>11, la Comisión estará facultada para adoptar actos delegados con arreglo al artículo</w:t>
      </w:r>
      <w:r w:rsidR="004F138C">
        <w:rPr>
          <w:noProof/>
        </w:rPr>
        <w:t xml:space="preserve"> </w:t>
      </w:r>
      <w:r w:rsidRPr="00B612E0">
        <w:rPr>
          <w:noProof/>
        </w:rPr>
        <w:t>12 por los que se modifiquen el apartado</w:t>
      </w:r>
      <w:r w:rsidR="004F138C">
        <w:rPr>
          <w:noProof/>
        </w:rPr>
        <w:t xml:space="preserve"> </w:t>
      </w:r>
      <w:r w:rsidRPr="00B612E0">
        <w:rPr>
          <w:noProof/>
        </w:rPr>
        <w:t>1 del presente artículo y el artículo</w:t>
      </w:r>
      <w:r w:rsidR="004F138C">
        <w:rPr>
          <w:noProof/>
        </w:rPr>
        <w:t xml:space="preserve"> </w:t>
      </w:r>
      <w:r w:rsidRPr="00B612E0">
        <w:rPr>
          <w:noProof/>
        </w:rPr>
        <w:t>3, apartado</w:t>
      </w:r>
      <w:r w:rsidR="004F138C">
        <w:rPr>
          <w:noProof/>
        </w:rPr>
        <w:t xml:space="preserve"> </w:t>
      </w:r>
      <w:r w:rsidRPr="00B612E0">
        <w:rPr>
          <w:noProof/>
        </w:rPr>
        <w:t>1, letra c), a fin de que el certificado de recuperación también pueda emitirse sobre la base de una prueba rápida de antígenos positiva, una prueba de anticuerpos, incluidas las pruebas serológicas de anticuerpos contra el SARS-CoV-2, o cualquier otro método validado científicamente. Tales actos delegados también modificarán el punto</w:t>
      </w:r>
      <w:r w:rsidR="004F138C">
        <w:rPr>
          <w:noProof/>
        </w:rPr>
        <w:t xml:space="preserve"> </w:t>
      </w:r>
      <w:r w:rsidRPr="00B612E0">
        <w:rPr>
          <w:noProof/>
        </w:rPr>
        <w:t>3 del anexo añadiendo, modificando o suprimiendo campos de datos comprendidos en las categorías de datos personales a que se refiere el apartado</w:t>
      </w:r>
      <w:r w:rsidR="004F138C">
        <w:rPr>
          <w:noProof/>
        </w:rPr>
        <w:t xml:space="preserve"> </w:t>
      </w:r>
      <w:r w:rsidRPr="00B612E0">
        <w:rPr>
          <w:noProof/>
        </w:rPr>
        <w:t>2, letras b) y c), del presente artículo.»;</w:t>
      </w:r>
    </w:p>
    <w:p w:rsidR="007017F7" w:rsidRPr="00B612E0" w:rsidRDefault="00854519" w:rsidP="00854519">
      <w:pPr>
        <w:pStyle w:val="Point1"/>
        <w:rPr>
          <w:noProof/>
        </w:rPr>
      </w:pPr>
      <w:r>
        <w:rPr>
          <w:noProof/>
        </w:rPr>
        <w:t>6)</w:t>
      </w:r>
      <w:r w:rsidRPr="00854519">
        <w:rPr>
          <w:noProof/>
        </w:rPr>
        <w:tab/>
      </w:r>
      <w:r w:rsidR="0092434B" w:rsidRPr="00B612E0">
        <w:rPr>
          <w:noProof/>
        </w:rPr>
        <w:t>en el artículo 12, el apartado 2 se sustituye por el texto siguiente:</w:t>
      </w:r>
    </w:p>
    <w:p w:rsidR="007017F7" w:rsidRPr="00B612E0" w:rsidRDefault="007017F7" w:rsidP="00837676">
      <w:pPr>
        <w:pStyle w:val="Text20"/>
        <w:rPr>
          <w:noProof/>
        </w:rPr>
      </w:pPr>
      <w:r w:rsidRPr="00B612E0">
        <w:rPr>
          <w:noProof/>
        </w:rPr>
        <w:t>«2. Los poderes para adoptar los actos delegados mencionados en el artículo</w:t>
      </w:r>
      <w:r w:rsidR="004F138C">
        <w:rPr>
          <w:noProof/>
        </w:rPr>
        <w:t xml:space="preserve"> </w:t>
      </w:r>
      <w:r w:rsidRPr="00B612E0">
        <w:rPr>
          <w:noProof/>
        </w:rPr>
        <w:t>5, apartado</w:t>
      </w:r>
      <w:r w:rsidR="004F138C">
        <w:rPr>
          <w:noProof/>
        </w:rPr>
        <w:t xml:space="preserve"> </w:t>
      </w:r>
      <w:r w:rsidRPr="00B612E0">
        <w:rPr>
          <w:noProof/>
        </w:rPr>
        <w:t>2, el artículo</w:t>
      </w:r>
      <w:r w:rsidR="004F138C">
        <w:rPr>
          <w:noProof/>
        </w:rPr>
        <w:t xml:space="preserve"> </w:t>
      </w:r>
      <w:r w:rsidRPr="00B612E0">
        <w:rPr>
          <w:noProof/>
        </w:rPr>
        <w:t>6, apartado</w:t>
      </w:r>
      <w:r w:rsidR="004F138C">
        <w:rPr>
          <w:noProof/>
        </w:rPr>
        <w:t xml:space="preserve"> </w:t>
      </w:r>
      <w:r w:rsidRPr="00B612E0">
        <w:rPr>
          <w:noProof/>
        </w:rPr>
        <w:t>2, y el artículo</w:t>
      </w:r>
      <w:r w:rsidR="004F138C">
        <w:rPr>
          <w:noProof/>
        </w:rPr>
        <w:t xml:space="preserve"> </w:t>
      </w:r>
      <w:r w:rsidRPr="00B612E0">
        <w:rPr>
          <w:noProof/>
        </w:rPr>
        <w:t>7, apartados</w:t>
      </w:r>
      <w:r w:rsidR="004F138C">
        <w:rPr>
          <w:noProof/>
        </w:rPr>
        <w:t xml:space="preserve"> </w:t>
      </w:r>
      <w:r w:rsidRPr="00B612E0">
        <w:rPr>
          <w:noProof/>
        </w:rPr>
        <w:t>1 y 2, se otorgan a la Comisión por un período de 24 meses a partir del 1 de julio de 2021.»;</w:t>
      </w:r>
    </w:p>
    <w:p w:rsidR="000C0F57" w:rsidRPr="00B612E0" w:rsidRDefault="00854519" w:rsidP="00854519">
      <w:pPr>
        <w:pStyle w:val="Point1"/>
        <w:rPr>
          <w:noProof/>
        </w:rPr>
      </w:pPr>
      <w:r>
        <w:rPr>
          <w:noProof/>
        </w:rPr>
        <w:t>7)</w:t>
      </w:r>
      <w:r w:rsidRPr="00854519">
        <w:rPr>
          <w:noProof/>
        </w:rPr>
        <w:tab/>
      </w:r>
      <w:r w:rsidR="000C0F57" w:rsidRPr="00B612E0">
        <w:rPr>
          <w:noProof/>
        </w:rPr>
        <w:t>en el artículo 13, el apartado 2 se sustituye por el texto siguiente:</w:t>
      </w:r>
    </w:p>
    <w:p w:rsidR="000C0F57" w:rsidRPr="00B612E0" w:rsidRDefault="000C0F57" w:rsidP="00837676">
      <w:pPr>
        <w:pStyle w:val="Text20"/>
        <w:rPr>
          <w:noProof/>
        </w:rPr>
      </w:pPr>
      <w:r w:rsidRPr="00B612E0">
        <w:rPr>
          <w:noProof/>
        </w:rPr>
        <w:t>«2. Tanto el Parlamento Europeo como el Consejo podrán formular objeciones a un acto delegado, de conformidad con el procedimiento a que se refiere el artículo 12, apartado 6. En tal caso, la Comisión derogará el acto inmediatamente tras la notificación de la decisión del Parlamento Europeo o del Consejo de formular objeciones.»;</w:t>
      </w:r>
    </w:p>
    <w:p w:rsidR="002F48E2" w:rsidRPr="00B612E0" w:rsidRDefault="00854519" w:rsidP="00854519">
      <w:pPr>
        <w:pStyle w:val="Point1"/>
        <w:rPr>
          <w:noProof/>
        </w:rPr>
      </w:pPr>
      <w:r>
        <w:rPr>
          <w:noProof/>
        </w:rPr>
        <w:t>8)</w:t>
      </w:r>
      <w:r w:rsidRPr="00854519">
        <w:rPr>
          <w:noProof/>
        </w:rPr>
        <w:tab/>
      </w:r>
      <w:r w:rsidR="0092434B" w:rsidRPr="00B612E0">
        <w:rPr>
          <w:noProof/>
        </w:rPr>
        <w:t>en el artículo</w:t>
      </w:r>
      <w:r w:rsidR="004F138C">
        <w:rPr>
          <w:noProof/>
        </w:rPr>
        <w:t xml:space="preserve"> </w:t>
      </w:r>
      <w:r w:rsidR="0092434B" w:rsidRPr="00B612E0">
        <w:rPr>
          <w:noProof/>
        </w:rPr>
        <w:t>17, el párrafo segundo se sustituye por el texto siguiente:</w:t>
      </w:r>
    </w:p>
    <w:p w:rsidR="00322C13" w:rsidRPr="00B612E0" w:rsidRDefault="002F48E2" w:rsidP="00837676">
      <w:pPr>
        <w:pStyle w:val="Text20"/>
        <w:rPr>
          <w:noProof/>
        </w:rPr>
      </w:pPr>
      <w:r w:rsidRPr="00B612E0">
        <w:rPr>
          <w:noProof/>
        </w:rPr>
        <w:t>«Será aplicable desde el 1 de julio de 2021 hasta el 30 de junio de 2023.»;</w:t>
      </w:r>
    </w:p>
    <w:p w:rsidR="00E07AC3" w:rsidRPr="00B612E0" w:rsidRDefault="00854519" w:rsidP="00854519">
      <w:pPr>
        <w:pStyle w:val="Point1"/>
        <w:rPr>
          <w:noProof/>
        </w:rPr>
      </w:pPr>
      <w:r>
        <w:rPr>
          <w:noProof/>
        </w:rPr>
        <w:t>9)</w:t>
      </w:r>
      <w:r w:rsidRPr="00854519">
        <w:rPr>
          <w:noProof/>
        </w:rPr>
        <w:tab/>
      </w:r>
      <w:r w:rsidR="00E07AC3" w:rsidRPr="00B612E0">
        <w:rPr>
          <w:noProof/>
        </w:rPr>
        <w:t>en el anexo, el punto</w:t>
      </w:r>
      <w:r w:rsidR="004F138C">
        <w:rPr>
          <w:noProof/>
        </w:rPr>
        <w:t xml:space="preserve"> </w:t>
      </w:r>
      <w:r w:rsidR="00E07AC3" w:rsidRPr="00B612E0">
        <w:rPr>
          <w:noProof/>
        </w:rPr>
        <w:t>2, letra i), se sustituye por el texto siguiente:</w:t>
      </w:r>
    </w:p>
    <w:p w:rsidR="00E07AC3" w:rsidRPr="00B612E0" w:rsidRDefault="00E07AC3" w:rsidP="00837676">
      <w:pPr>
        <w:pStyle w:val="Text20"/>
        <w:rPr>
          <w:noProof/>
        </w:rPr>
      </w:pPr>
      <w:r w:rsidRPr="00B612E0">
        <w:rPr>
          <w:noProof/>
        </w:rPr>
        <w:t>«i) centro o instalación de realización de pruebas (opcional en caso de prueba de antígenos);».</w:t>
      </w:r>
    </w:p>
    <w:p w:rsidR="00322C13" w:rsidRPr="00B612E0" w:rsidRDefault="00322C13" w:rsidP="00F11F0D">
      <w:pPr>
        <w:pStyle w:val="Titrearticle"/>
        <w:rPr>
          <w:noProof/>
        </w:rPr>
      </w:pPr>
      <w:r w:rsidRPr="00B612E0">
        <w:rPr>
          <w:noProof/>
        </w:rPr>
        <w:t>Artículo 3</w:t>
      </w:r>
    </w:p>
    <w:p w:rsidR="00322C13" w:rsidRPr="00B612E0" w:rsidRDefault="001416B3" w:rsidP="00F11F0D">
      <w:pPr>
        <w:rPr>
          <w:noProof/>
        </w:rPr>
      </w:pPr>
      <w:r w:rsidRPr="00B612E0">
        <w:rPr>
          <w:noProof/>
        </w:rPr>
        <w:t xml:space="preserve">El presente Reglamento entrará en vigor a los tres días de su publicación en el </w:t>
      </w:r>
      <w:r w:rsidRPr="00B612E0">
        <w:rPr>
          <w:i/>
          <w:iCs/>
          <w:noProof/>
        </w:rPr>
        <w:t>Diario Oficial de la Unión Europea</w:t>
      </w:r>
      <w:r w:rsidRPr="00B612E0">
        <w:rPr>
          <w:noProof/>
        </w:rPr>
        <w:t>.</w:t>
      </w:r>
    </w:p>
    <w:p w:rsidR="00322C13" w:rsidRPr="00B612E0" w:rsidRDefault="00322C13" w:rsidP="00F11F0D">
      <w:pPr>
        <w:pStyle w:val="Applicationdirecte"/>
        <w:rPr>
          <w:noProof/>
        </w:rPr>
      </w:pPr>
      <w:r w:rsidRPr="00B612E0">
        <w:rPr>
          <w:noProof/>
        </w:rPr>
        <w:t>El presente Reglamento será obligatorio en todos sus elementos y directamente aplicable en cada Estado miembro.</w:t>
      </w:r>
    </w:p>
    <w:p w:rsidR="00322C13" w:rsidRPr="00B612E0" w:rsidRDefault="00661CD3" w:rsidP="00EA1116">
      <w:pPr>
        <w:pStyle w:val="Fait"/>
        <w:rPr>
          <w:noProof/>
        </w:rPr>
      </w:pPr>
      <w:r w:rsidRPr="00661CD3">
        <w:t>Hecho en Bruselas, el</w:t>
      </w:r>
    </w:p>
    <w:p w:rsidR="00322C13" w:rsidRPr="00B612E0" w:rsidRDefault="00322C13" w:rsidP="00EA1116">
      <w:pPr>
        <w:pStyle w:val="Institutionquisigne"/>
        <w:rPr>
          <w:noProof/>
        </w:rPr>
      </w:pPr>
      <w:r w:rsidRPr="00B612E0">
        <w:rPr>
          <w:noProof/>
        </w:rPr>
        <w:t>Por el Parlamento Europeo</w:t>
      </w:r>
      <w:r w:rsidRPr="00B612E0">
        <w:rPr>
          <w:noProof/>
        </w:rPr>
        <w:tab/>
        <w:t>Por el Consejo</w:t>
      </w:r>
    </w:p>
    <w:p w:rsidR="00F910D9" w:rsidRPr="00B612E0" w:rsidRDefault="00322C13" w:rsidP="00BB4930">
      <w:pPr>
        <w:pStyle w:val="Personnequisigne"/>
        <w:rPr>
          <w:noProof/>
        </w:rPr>
      </w:pPr>
      <w:r w:rsidRPr="00B612E0">
        <w:rPr>
          <w:noProof/>
        </w:rPr>
        <w:t>La Presidenta</w:t>
      </w:r>
      <w:r w:rsidRPr="00B612E0">
        <w:rPr>
          <w:noProof/>
        </w:rPr>
        <w:tab/>
        <w:t>El Presidente</w:t>
      </w:r>
    </w:p>
    <w:p w:rsidR="007D02A8" w:rsidRPr="00B612E0" w:rsidRDefault="007D02A8" w:rsidP="007D02A8">
      <w:pPr>
        <w:rPr>
          <w:noProof/>
        </w:rPr>
        <w:sectPr w:rsidR="007D02A8" w:rsidRPr="00B612E0" w:rsidSect="00FF77AA">
          <w:footnotePr>
            <w:numRestart w:val="eachSect"/>
          </w:footnotePr>
          <w:pgSz w:w="11907" w:h="16839"/>
          <w:pgMar w:top="1134" w:right="1417" w:bottom="1134" w:left="1417" w:header="709" w:footer="709" w:gutter="0"/>
          <w:cols w:space="708"/>
          <w:docGrid w:linePitch="360"/>
        </w:sectPr>
      </w:pPr>
    </w:p>
    <w:p w:rsidR="007D02A8" w:rsidRPr="00B612E0" w:rsidRDefault="007D02A8" w:rsidP="007D02A8">
      <w:pPr>
        <w:pStyle w:val="Fichefinanciretitre"/>
        <w:rPr>
          <w:noProof/>
        </w:rPr>
      </w:pPr>
      <w:r w:rsidRPr="00B612E0">
        <w:rPr>
          <w:noProof/>
        </w:rPr>
        <w:t>FICHA FINANCIERA LEGISLATIVA</w:t>
      </w:r>
    </w:p>
    <w:p w:rsidR="007D02A8" w:rsidRPr="00B612E0" w:rsidRDefault="007D02A8" w:rsidP="007D02A8">
      <w:pPr>
        <w:pStyle w:val="ManualHeading1"/>
        <w:rPr>
          <w:noProof/>
        </w:rPr>
      </w:pPr>
      <w:r w:rsidRPr="00B612E0">
        <w:rPr>
          <w:noProof/>
        </w:rPr>
        <w:t>1.</w:t>
      </w:r>
      <w:r w:rsidRPr="00B612E0">
        <w:rPr>
          <w:noProof/>
        </w:rPr>
        <w:tab/>
        <w:t xml:space="preserve">MARCO DE LA PROPUESTA/INICIATIVA </w:t>
      </w:r>
    </w:p>
    <w:p w:rsidR="007D02A8" w:rsidRPr="00B612E0" w:rsidRDefault="007D02A8" w:rsidP="007D02A8">
      <w:pPr>
        <w:pStyle w:val="ManualHeading2"/>
        <w:rPr>
          <w:b w:val="0"/>
          <w:noProof/>
        </w:rPr>
      </w:pPr>
      <w:r w:rsidRPr="00B612E0">
        <w:rPr>
          <w:noProof/>
        </w:rPr>
        <w:tab/>
      </w:r>
      <w:r w:rsidRPr="00B612E0">
        <w:rPr>
          <w:b w:val="0"/>
          <w:noProof/>
        </w:rPr>
        <w:t>1.1.</w:t>
      </w:r>
      <w:r w:rsidRPr="00B612E0">
        <w:rPr>
          <w:noProof/>
        </w:rPr>
        <w:tab/>
      </w:r>
      <w:r w:rsidRPr="00B612E0">
        <w:rPr>
          <w:b w:val="0"/>
          <w:noProof/>
        </w:rPr>
        <w:t xml:space="preserve">Denominación de la propuesta/iniciativa </w:t>
      </w:r>
    </w:p>
    <w:p w:rsidR="007D02A8" w:rsidRPr="00B612E0" w:rsidRDefault="007D02A8" w:rsidP="007D02A8">
      <w:pPr>
        <w:pStyle w:val="ManualHeading2"/>
        <w:rPr>
          <w:b w:val="0"/>
          <w:noProof/>
        </w:rPr>
      </w:pPr>
      <w:r w:rsidRPr="00B612E0">
        <w:rPr>
          <w:noProof/>
        </w:rPr>
        <w:tab/>
      </w:r>
      <w:r w:rsidRPr="00B612E0">
        <w:rPr>
          <w:b w:val="0"/>
          <w:noProof/>
        </w:rPr>
        <w:t>1.2.</w:t>
      </w:r>
      <w:r w:rsidRPr="00B612E0">
        <w:rPr>
          <w:noProof/>
        </w:rPr>
        <w:tab/>
      </w:r>
      <w:bookmarkStart w:id="1" w:name="_Toc514938011"/>
      <w:bookmarkStart w:id="2" w:name="_Toc520485027"/>
      <w:r w:rsidRPr="00B612E0">
        <w:rPr>
          <w:b w:val="0"/>
          <w:noProof/>
        </w:rPr>
        <w:t>Política(s) afectada(s)</w:t>
      </w:r>
      <w:bookmarkEnd w:id="1"/>
      <w:bookmarkEnd w:id="2"/>
    </w:p>
    <w:p w:rsidR="007D02A8" w:rsidRPr="00B612E0" w:rsidRDefault="007D02A8" w:rsidP="007D02A8">
      <w:pPr>
        <w:pStyle w:val="ManualHeading2"/>
        <w:rPr>
          <w:b w:val="0"/>
          <w:noProof/>
        </w:rPr>
      </w:pPr>
      <w:r w:rsidRPr="00B612E0">
        <w:rPr>
          <w:noProof/>
        </w:rPr>
        <w:tab/>
      </w:r>
      <w:r w:rsidRPr="00B612E0">
        <w:rPr>
          <w:b w:val="0"/>
          <w:noProof/>
        </w:rPr>
        <w:t>1.3.</w:t>
      </w:r>
      <w:r w:rsidRPr="00B612E0">
        <w:rPr>
          <w:noProof/>
        </w:rPr>
        <w:tab/>
      </w:r>
      <w:r w:rsidRPr="00B612E0">
        <w:rPr>
          <w:b w:val="0"/>
          <w:noProof/>
        </w:rPr>
        <w:t xml:space="preserve">Naturaleza de la propuesta/iniciativa </w:t>
      </w:r>
    </w:p>
    <w:p w:rsidR="007D02A8" w:rsidRPr="00B612E0" w:rsidRDefault="007D02A8" w:rsidP="007D02A8">
      <w:pPr>
        <w:pStyle w:val="ManualHeading2"/>
        <w:rPr>
          <w:b w:val="0"/>
          <w:noProof/>
        </w:rPr>
      </w:pPr>
      <w:r w:rsidRPr="00B612E0">
        <w:rPr>
          <w:noProof/>
        </w:rPr>
        <w:tab/>
      </w:r>
      <w:r w:rsidRPr="00B612E0">
        <w:rPr>
          <w:b w:val="0"/>
          <w:noProof/>
        </w:rPr>
        <w:t>1.4.</w:t>
      </w:r>
      <w:r w:rsidRPr="00B612E0">
        <w:rPr>
          <w:noProof/>
        </w:rPr>
        <w:tab/>
      </w:r>
      <w:r w:rsidRPr="00B612E0">
        <w:rPr>
          <w:b w:val="0"/>
          <w:noProof/>
        </w:rPr>
        <w:t xml:space="preserve">Objetivo(s) </w:t>
      </w:r>
    </w:p>
    <w:p w:rsidR="007D02A8" w:rsidRPr="00B612E0" w:rsidRDefault="007D02A8" w:rsidP="007D02A8">
      <w:pPr>
        <w:pStyle w:val="ManualHeading3"/>
        <w:rPr>
          <w:noProof/>
        </w:rPr>
      </w:pPr>
      <w:r w:rsidRPr="00B612E0">
        <w:rPr>
          <w:noProof/>
        </w:rPr>
        <w:tab/>
        <w:t>1.4.1</w:t>
      </w:r>
      <w:r w:rsidRPr="00B612E0">
        <w:rPr>
          <w:noProof/>
        </w:rPr>
        <w:tab/>
        <w:t>Objetivo(s) general(es)</w:t>
      </w:r>
    </w:p>
    <w:p w:rsidR="007D02A8" w:rsidRPr="00B612E0" w:rsidRDefault="007D02A8" w:rsidP="007D02A8">
      <w:pPr>
        <w:pStyle w:val="ManualHeading3"/>
        <w:rPr>
          <w:noProof/>
        </w:rPr>
      </w:pPr>
      <w:r w:rsidRPr="00B612E0">
        <w:rPr>
          <w:noProof/>
        </w:rPr>
        <w:tab/>
        <w:t>1.4.2</w:t>
      </w:r>
      <w:r w:rsidRPr="00B612E0">
        <w:rPr>
          <w:noProof/>
        </w:rPr>
        <w:tab/>
        <w:t>Objetivo(s) específico(s)</w:t>
      </w:r>
    </w:p>
    <w:p w:rsidR="007D02A8" w:rsidRPr="00B612E0" w:rsidRDefault="007D02A8" w:rsidP="007D02A8">
      <w:pPr>
        <w:pStyle w:val="ManualHeading3"/>
        <w:rPr>
          <w:noProof/>
        </w:rPr>
      </w:pPr>
      <w:r w:rsidRPr="00B612E0">
        <w:rPr>
          <w:noProof/>
        </w:rPr>
        <w:tab/>
        <w:t>1.4.3</w:t>
      </w:r>
      <w:r w:rsidRPr="00B612E0">
        <w:rPr>
          <w:noProof/>
        </w:rPr>
        <w:tab/>
        <w:t>Resultado(s) e incidencia esperados</w:t>
      </w:r>
    </w:p>
    <w:p w:rsidR="007D02A8" w:rsidRPr="00B612E0" w:rsidRDefault="007D02A8" w:rsidP="007D02A8">
      <w:pPr>
        <w:pStyle w:val="ManualHeading3"/>
        <w:rPr>
          <w:noProof/>
        </w:rPr>
      </w:pPr>
      <w:r w:rsidRPr="00B612E0">
        <w:rPr>
          <w:noProof/>
        </w:rPr>
        <w:tab/>
        <w:t>1.4.4</w:t>
      </w:r>
      <w:r w:rsidRPr="00B612E0">
        <w:rPr>
          <w:noProof/>
        </w:rPr>
        <w:tab/>
        <w:t>Indicadores de rendimiento</w:t>
      </w:r>
    </w:p>
    <w:p w:rsidR="007D02A8" w:rsidRPr="00B612E0" w:rsidRDefault="007D02A8" w:rsidP="007D02A8">
      <w:pPr>
        <w:pStyle w:val="ManualHeading2"/>
        <w:rPr>
          <w:b w:val="0"/>
          <w:noProof/>
        </w:rPr>
      </w:pPr>
      <w:r w:rsidRPr="00B612E0">
        <w:rPr>
          <w:noProof/>
        </w:rPr>
        <w:tab/>
      </w:r>
      <w:r w:rsidRPr="00B612E0">
        <w:rPr>
          <w:b w:val="0"/>
          <w:noProof/>
        </w:rPr>
        <w:t>1.5.</w:t>
      </w:r>
      <w:r w:rsidRPr="00B612E0">
        <w:rPr>
          <w:noProof/>
        </w:rPr>
        <w:tab/>
      </w:r>
      <w:r w:rsidRPr="00B612E0">
        <w:rPr>
          <w:b w:val="0"/>
          <w:noProof/>
        </w:rPr>
        <w:t xml:space="preserve">Justificación de la propuesta/iniciativa </w:t>
      </w:r>
    </w:p>
    <w:p w:rsidR="007D02A8" w:rsidRPr="00B612E0" w:rsidRDefault="007D02A8" w:rsidP="007D02A8">
      <w:pPr>
        <w:pStyle w:val="ManualHeading3"/>
        <w:rPr>
          <w:noProof/>
        </w:rPr>
      </w:pPr>
      <w:r w:rsidRPr="00B612E0">
        <w:rPr>
          <w:noProof/>
        </w:rPr>
        <w:tab/>
        <w:t>1.5.1</w:t>
      </w:r>
      <w:r w:rsidRPr="00B612E0">
        <w:rPr>
          <w:noProof/>
        </w:rPr>
        <w:tab/>
        <w:t>Necesidad(es) que debe(n) satisfacerse a corto o largo plazo, incluido un calendario detallado de la aplicación de la iniciativa</w:t>
      </w:r>
    </w:p>
    <w:p w:rsidR="007D02A8" w:rsidRPr="00B612E0" w:rsidRDefault="007D02A8" w:rsidP="007D02A8">
      <w:pPr>
        <w:pStyle w:val="ManualHeading3"/>
        <w:rPr>
          <w:noProof/>
        </w:rPr>
      </w:pPr>
      <w:r w:rsidRPr="00B612E0">
        <w:rPr>
          <w:noProof/>
        </w:rPr>
        <w:tab/>
        <w:t>1.5.2</w:t>
      </w:r>
      <w:r w:rsidRPr="00B612E0">
        <w:rPr>
          <w:noProof/>
        </w:rPr>
        <w:tab/>
        <w:t>Valor añadido de la intervención de la Unión</w:t>
      </w:r>
    </w:p>
    <w:p w:rsidR="007D02A8" w:rsidRPr="00B612E0" w:rsidRDefault="007D02A8" w:rsidP="007D02A8">
      <w:pPr>
        <w:pStyle w:val="ManualHeading3"/>
        <w:rPr>
          <w:noProof/>
        </w:rPr>
      </w:pPr>
      <w:r w:rsidRPr="00B612E0">
        <w:rPr>
          <w:noProof/>
        </w:rPr>
        <w:tab/>
        <w:t>1.5.3</w:t>
      </w:r>
      <w:r w:rsidRPr="00B612E0">
        <w:rPr>
          <w:noProof/>
        </w:rPr>
        <w:tab/>
      </w:r>
      <w:bookmarkStart w:id="3" w:name="_Toc514938030"/>
      <w:bookmarkStart w:id="4" w:name="_Toc520485037"/>
      <w:r w:rsidRPr="00B612E0">
        <w:rPr>
          <w:noProof/>
        </w:rPr>
        <w:t>Principales conclusiones extraídas de experiencias similares anteriores</w:t>
      </w:r>
      <w:bookmarkEnd w:id="3"/>
      <w:bookmarkEnd w:id="4"/>
    </w:p>
    <w:p w:rsidR="007D02A8" w:rsidRPr="00B612E0" w:rsidRDefault="007D02A8" w:rsidP="007D02A8">
      <w:pPr>
        <w:pStyle w:val="ManualHeading3"/>
        <w:rPr>
          <w:noProof/>
        </w:rPr>
      </w:pPr>
      <w:r w:rsidRPr="00B612E0">
        <w:rPr>
          <w:noProof/>
        </w:rPr>
        <w:tab/>
        <w:t>1.5.4</w:t>
      </w:r>
      <w:r w:rsidRPr="00B612E0">
        <w:rPr>
          <w:noProof/>
        </w:rPr>
        <w:tab/>
        <w:t>Compatibilidad con el marco financiero plurianual y posibles sinergias con otros instrumentos adecuados</w:t>
      </w:r>
    </w:p>
    <w:p w:rsidR="007D02A8" w:rsidRPr="00B612E0" w:rsidRDefault="007D02A8" w:rsidP="007D02A8">
      <w:pPr>
        <w:pStyle w:val="ManualHeading3"/>
        <w:rPr>
          <w:noProof/>
        </w:rPr>
      </w:pPr>
      <w:r w:rsidRPr="00B612E0">
        <w:rPr>
          <w:noProof/>
        </w:rPr>
        <w:tab/>
        <w:t>1.5.5</w:t>
      </w:r>
      <w:r w:rsidRPr="00B612E0">
        <w:rPr>
          <w:noProof/>
        </w:rPr>
        <w:tab/>
        <w:t>Evaluación de las diferentes opciones de financiación disponibles, incluidas las posibilidades de reasignación</w:t>
      </w:r>
    </w:p>
    <w:p w:rsidR="007D02A8" w:rsidRPr="00B612E0" w:rsidRDefault="007D02A8" w:rsidP="007D02A8">
      <w:pPr>
        <w:pStyle w:val="ManualHeading2"/>
        <w:rPr>
          <w:b w:val="0"/>
          <w:noProof/>
        </w:rPr>
      </w:pPr>
      <w:r w:rsidRPr="00B612E0">
        <w:rPr>
          <w:noProof/>
        </w:rPr>
        <w:tab/>
      </w:r>
      <w:r w:rsidRPr="00B612E0">
        <w:rPr>
          <w:b w:val="0"/>
          <w:noProof/>
        </w:rPr>
        <w:t>1.6.</w:t>
      </w:r>
      <w:r w:rsidRPr="00B612E0">
        <w:rPr>
          <w:noProof/>
        </w:rPr>
        <w:tab/>
      </w:r>
      <w:bookmarkStart w:id="5" w:name="_Toc514938039"/>
      <w:bookmarkStart w:id="6" w:name="_Toc520485040"/>
      <w:r w:rsidRPr="00B612E0">
        <w:rPr>
          <w:b w:val="0"/>
          <w:noProof/>
        </w:rPr>
        <w:t>Duración e incidencia financiera de la propuesta/iniciativa</w:t>
      </w:r>
      <w:bookmarkEnd w:id="5"/>
      <w:bookmarkEnd w:id="6"/>
      <w:r w:rsidRPr="00B612E0">
        <w:rPr>
          <w:b w:val="0"/>
          <w:noProof/>
        </w:rPr>
        <w:t xml:space="preserve"> </w:t>
      </w:r>
    </w:p>
    <w:p w:rsidR="007D02A8" w:rsidRPr="00B612E0" w:rsidRDefault="007D02A8" w:rsidP="007D02A8">
      <w:pPr>
        <w:pStyle w:val="ManualHeading2"/>
        <w:rPr>
          <w:b w:val="0"/>
          <w:noProof/>
        </w:rPr>
      </w:pPr>
      <w:r w:rsidRPr="00B612E0">
        <w:rPr>
          <w:noProof/>
        </w:rPr>
        <w:tab/>
      </w:r>
      <w:r w:rsidRPr="00B612E0">
        <w:rPr>
          <w:b w:val="0"/>
          <w:noProof/>
        </w:rPr>
        <w:t>1.7.</w:t>
      </w:r>
      <w:r w:rsidRPr="00B612E0">
        <w:rPr>
          <w:noProof/>
        </w:rPr>
        <w:tab/>
      </w:r>
      <w:r w:rsidRPr="00B612E0">
        <w:rPr>
          <w:b w:val="0"/>
          <w:noProof/>
        </w:rPr>
        <w:t xml:space="preserve">Modo(s) de gestión previsto(s) </w:t>
      </w:r>
    </w:p>
    <w:p w:rsidR="007D02A8" w:rsidRPr="00B612E0" w:rsidRDefault="007D02A8" w:rsidP="007D02A8">
      <w:pPr>
        <w:pStyle w:val="ManualHeading1"/>
        <w:rPr>
          <w:noProof/>
        </w:rPr>
      </w:pPr>
      <w:r w:rsidRPr="00B612E0">
        <w:rPr>
          <w:noProof/>
        </w:rPr>
        <w:t>2.</w:t>
      </w:r>
      <w:r w:rsidRPr="00B612E0">
        <w:rPr>
          <w:noProof/>
        </w:rPr>
        <w:tab/>
        <w:t xml:space="preserve">MEDIDAS DE GESTIÓN </w:t>
      </w:r>
    </w:p>
    <w:p w:rsidR="007D02A8" w:rsidRPr="00B612E0" w:rsidRDefault="007D02A8" w:rsidP="007D02A8">
      <w:pPr>
        <w:pStyle w:val="ManualHeading2"/>
        <w:rPr>
          <w:b w:val="0"/>
          <w:noProof/>
        </w:rPr>
      </w:pPr>
      <w:r w:rsidRPr="00B612E0">
        <w:rPr>
          <w:noProof/>
        </w:rPr>
        <w:tab/>
      </w:r>
      <w:r w:rsidRPr="00B612E0">
        <w:rPr>
          <w:b w:val="0"/>
          <w:noProof/>
        </w:rPr>
        <w:t>2.1.</w:t>
      </w:r>
      <w:r w:rsidRPr="00B612E0">
        <w:rPr>
          <w:noProof/>
        </w:rPr>
        <w:tab/>
      </w:r>
      <w:r w:rsidRPr="00B612E0">
        <w:rPr>
          <w:b w:val="0"/>
          <w:noProof/>
        </w:rPr>
        <w:t xml:space="preserve">Normas en materia de seguimiento e informes </w:t>
      </w:r>
    </w:p>
    <w:p w:rsidR="007D02A8" w:rsidRPr="00B612E0" w:rsidRDefault="007D02A8" w:rsidP="007D02A8">
      <w:pPr>
        <w:pStyle w:val="ManualHeading2"/>
        <w:rPr>
          <w:b w:val="0"/>
          <w:noProof/>
        </w:rPr>
      </w:pPr>
      <w:r w:rsidRPr="00B612E0">
        <w:rPr>
          <w:noProof/>
        </w:rPr>
        <w:tab/>
      </w:r>
      <w:r w:rsidRPr="00B612E0">
        <w:rPr>
          <w:b w:val="0"/>
          <w:noProof/>
        </w:rPr>
        <w:t>2.2.</w:t>
      </w:r>
      <w:r w:rsidRPr="00B612E0">
        <w:rPr>
          <w:noProof/>
        </w:rPr>
        <w:tab/>
      </w:r>
      <w:r w:rsidRPr="00B612E0">
        <w:rPr>
          <w:b w:val="0"/>
          <w:noProof/>
        </w:rPr>
        <w:t xml:space="preserve">Sistema(s) de gestión y de control </w:t>
      </w:r>
    </w:p>
    <w:p w:rsidR="007D02A8" w:rsidRPr="00B612E0" w:rsidRDefault="007D02A8" w:rsidP="007D02A8">
      <w:pPr>
        <w:pStyle w:val="ManualHeading3"/>
        <w:rPr>
          <w:noProof/>
        </w:rPr>
      </w:pPr>
      <w:r w:rsidRPr="00B612E0">
        <w:rPr>
          <w:noProof/>
        </w:rPr>
        <w:tab/>
        <w:t>2.2.1</w:t>
      </w:r>
      <w:r w:rsidRPr="00B612E0">
        <w:rPr>
          <w:noProof/>
        </w:rPr>
        <w:tab/>
        <w:t>Justificación del modo/de los modo(s) de gestión, el/los mecanismo(s) de aplicación de la financiación, de las modalidades de pago y de la estrategia de control propuestos</w:t>
      </w:r>
    </w:p>
    <w:p w:rsidR="007D02A8" w:rsidRPr="00B612E0" w:rsidRDefault="007D02A8" w:rsidP="007D02A8">
      <w:pPr>
        <w:pStyle w:val="ManualHeading3"/>
        <w:rPr>
          <w:noProof/>
        </w:rPr>
      </w:pPr>
      <w:r w:rsidRPr="00B612E0">
        <w:rPr>
          <w:noProof/>
        </w:rPr>
        <w:tab/>
        <w:t>2.2.2</w:t>
      </w:r>
      <w:r w:rsidRPr="00B612E0">
        <w:rPr>
          <w:noProof/>
        </w:rPr>
        <w:tab/>
        <w:t>Información relativa a los riesgos identificados y al/a los sistema(s) de control interno establecidos para atenuarlos</w:t>
      </w:r>
    </w:p>
    <w:p w:rsidR="007D02A8" w:rsidRPr="00B612E0" w:rsidRDefault="007D02A8" w:rsidP="007D02A8">
      <w:pPr>
        <w:pStyle w:val="ManualHeading3"/>
        <w:rPr>
          <w:noProof/>
        </w:rPr>
      </w:pPr>
      <w:r w:rsidRPr="00B612E0">
        <w:rPr>
          <w:noProof/>
        </w:rPr>
        <w:tab/>
        <w:t>2.2.3</w:t>
      </w:r>
      <w:r w:rsidRPr="00B612E0">
        <w:rPr>
          <w:noProof/>
        </w:rPr>
        <w:tab/>
        <w:t>Estimación y justificación de la relación coste/beneficio de los controles</w:t>
      </w:r>
    </w:p>
    <w:p w:rsidR="007D02A8" w:rsidRPr="00B612E0" w:rsidRDefault="007D02A8" w:rsidP="007D02A8">
      <w:pPr>
        <w:pStyle w:val="ManualHeading2"/>
        <w:rPr>
          <w:b w:val="0"/>
          <w:noProof/>
        </w:rPr>
      </w:pPr>
      <w:r w:rsidRPr="00B612E0">
        <w:rPr>
          <w:noProof/>
        </w:rPr>
        <w:tab/>
      </w:r>
      <w:r w:rsidRPr="00B612E0">
        <w:rPr>
          <w:b w:val="0"/>
          <w:noProof/>
        </w:rPr>
        <w:t>2.3.</w:t>
      </w:r>
      <w:r w:rsidRPr="00B612E0">
        <w:rPr>
          <w:noProof/>
        </w:rPr>
        <w:tab/>
      </w:r>
      <w:r w:rsidRPr="00B612E0">
        <w:rPr>
          <w:b w:val="0"/>
          <w:noProof/>
        </w:rPr>
        <w:t xml:space="preserve">Medidas de prevención del fraude y de las irregularidades </w:t>
      </w:r>
    </w:p>
    <w:p w:rsidR="007D02A8" w:rsidRPr="00B612E0" w:rsidRDefault="007D02A8" w:rsidP="007D02A8">
      <w:pPr>
        <w:pStyle w:val="Text1"/>
        <w:rPr>
          <w:noProof/>
        </w:rPr>
      </w:pPr>
    </w:p>
    <w:p w:rsidR="007D02A8" w:rsidRPr="00B612E0" w:rsidRDefault="007D02A8" w:rsidP="007D02A8">
      <w:pPr>
        <w:pStyle w:val="ManualHeading1"/>
        <w:rPr>
          <w:noProof/>
        </w:rPr>
      </w:pPr>
      <w:r w:rsidRPr="00B612E0">
        <w:rPr>
          <w:noProof/>
        </w:rPr>
        <w:t>3.</w:t>
      </w:r>
      <w:r w:rsidRPr="00B612E0">
        <w:rPr>
          <w:noProof/>
        </w:rPr>
        <w:tab/>
        <w:t xml:space="preserve">INCIDENCIA FINANCIERA ESTIMADA DE LA PROPUESTA/INICIATIVA </w:t>
      </w:r>
    </w:p>
    <w:p w:rsidR="007D02A8" w:rsidRPr="00B612E0" w:rsidRDefault="007D02A8" w:rsidP="007D02A8">
      <w:pPr>
        <w:pStyle w:val="ManualHeading2"/>
        <w:rPr>
          <w:b w:val="0"/>
          <w:noProof/>
        </w:rPr>
      </w:pPr>
      <w:r w:rsidRPr="00B612E0">
        <w:rPr>
          <w:noProof/>
        </w:rPr>
        <w:tab/>
      </w:r>
      <w:r w:rsidRPr="00B612E0">
        <w:rPr>
          <w:b w:val="0"/>
          <w:noProof/>
        </w:rPr>
        <w:t>3.1.</w:t>
      </w:r>
      <w:r w:rsidRPr="00B612E0">
        <w:rPr>
          <w:noProof/>
        </w:rPr>
        <w:tab/>
      </w:r>
      <w:bookmarkStart w:id="7" w:name="_Toc514938051"/>
      <w:bookmarkStart w:id="8" w:name="_Toc520485050"/>
      <w:r w:rsidRPr="00B612E0">
        <w:rPr>
          <w:b w:val="0"/>
          <w:noProof/>
        </w:rPr>
        <w:t>Rúbrica(s) del marco financiero plurianual y línea(s) presupuestaria(s) de gastos afectada(s)</w:t>
      </w:r>
      <w:bookmarkEnd w:id="7"/>
      <w:bookmarkEnd w:id="8"/>
      <w:r w:rsidRPr="00B612E0">
        <w:rPr>
          <w:b w:val="0"/>
          <w:noProof/>
        </w:rPr>
        <w:t xml:space="preserve"> </w:t>
      </w:r>
    </w:p>
    <w:p w:rsidR="007D02A8" w:rsidRPr="00B612E0" w:rsidRDefault="007D02A8" w:rsidP="007D02A8">
      <w:pPr>
        <w:pStyle w:val="ManualHeading2"/>
        <w:rPr>
          <w:noProof/>
        </w:rPr>
      </w:pPr>
      <w:r w:rsidRPr="00B612E0">
        <w:rPr>
          <w:noProof/>
        </w:rPr>
        <w:tab/>
      </w:r>
      <w:r w:rsidRPr="00B612E0">
        <w:rPr>
          <w:b w:val="0"/>
          <w:noProof/>
        </w:rPr>
        <w:t>3.2.</w:t>
      </w:r>
      <w:r w:rsidRPr="00B612E0">
        <w:rPr>
          <w:noProof/>
        </w:rPr>
        <w:tab/>
      </w:r>
      <w:bookmarkStart w:id="9" w:name="_Toc514938052"/>
      <w:bookmarkStart w:id="10" w:name="_Toc520485051"/>
      <w:r w:rsidRPr="00B612E0">
        <w:rPr>
          <w:b w:val="0"/>
          <w:noProof/>
        </w:rPr>
        <w:t>Incidencia financiera estimada de la propuesta en los créditos</w:t>
      </w:r>
      <w:bookmarkEnd w:id="9"/>
      <w:bookmarkEnd w:id="10"/>
      <w:r w:rsidRPr="00B612E0">
        <w:rPr>
          <w:noProof/>
        </w:rPr>
        <w:t xml:space="preserve"> </w:t>
      </w:r>
    </w:p>
    <w:p w:rsidR="007D02A8" w:rsidRPr="00B612E0" w:rsidRDefault="007D02A8" w:rsidP="007D02A8">
      <w:pPr>
        <w:pStyle w:val="ManualHeading3"/>
        <w:rPr>
          <w:noProof/>
        </w:rPr>
      </w:pPr>
      <w:bookmarkStart w:id="11" w:name="_Toc514938053"/>
      <w:bookmarkStart w:id="12" w:name="_Toc520485052"/>
      <w:r w:rsidRPr="00B612E0">
        <w:rPr>
          <w:noProof/>
        </w:rPr>
        <w:tab/>
        <w:t>3.2.1. Resumen de la incidencia estimada en los gastos</w:t>
      </w:r>
      <w:bookmarkEnd w:id="11"/>
      <w:bookmarkEnd w:id="12"/>
      <w:r w:rsidRPr="00B612E0">
        <w:rPr>
          <w:noProof/>
        </w:rPr>
        <w:t xml:space="preserve"> </w:t>
      </w:r>
    </w:p>
    <w:p w:rsidR="007D02A8" w:rsidRPr="00B612E0" w:rsidRDefault="007D02A8" w:rsidP="007D02A8">
      <w:pPr>
        <w:pStyle w:val="ManualHeading3"/>
        <w:rPr>
          <w:noProof/>
        </w:rPr>
      </w:pPr>
      <w:r w:rsidRPr="00B612E0">
        <w:rPr>
          <w:noProof/>
        </w:rPr>
        <w:tab/>
        <w:t xml:space="preserve">3.2.2. Resultados estimados financiados con créditos de operaciones </w:t>
      </w:r>
    </w:p>
    <w:p w:rsidR="007D02A8" w:rsidRPr="00B612E0" w:rsidRDefault="007D02A8" w:rsidP="007D02A8">
      <w:pPr>
        <w:pStyle w:val="ManualHeading3"/>
        <w:rPr>
          <w:noProof/>
        </w:rPr>
      </w:pPr>
      <w:r w:rsidRPr="00B612E0">
        <w:rPr>
          <w:noProof/>
        </w:rPr>
        <w:tab/>
        <w:t>3.2.3. Resumen de la incidencia estimada en los créditos administrativos</w:t>
      </w:r>
    </w:p>
    <w:p w:rsidR="007D02A8" w:rsidRPr="00B612E0" w:rsidRDefault="007D02A8" w:rsidP="007D02A8">
      <w:pPr>
        <w:pStyle w:val="ManualHeading3"/>
        <w:rPr>
          <w:noProof/>
        </w:rPr>
      </w:pPr>
      <w:r w:rsidRPr="00B612E0">
        <w:rPr>
          <w:noProof/>
        </w:rPr>
        <w:tab/>
        <w:t>3.2.4. Compatibilidad con el marco financiero plurianual vigente</w:t>
      </w:r>
    </w:p>
    <w:p w:rsidR="007D02A8" w:rsidRPr="00B612E0" w:rsidRDefault="007D02A8" w:rsidP="007D02A8">
      <w:pPr>
        <w:pStyle w:val="ManualHeading3"/>
        <w:rPr>
          <w:noProof/>
        </w:rPr>
      </w:pPr>
      <w:r w:rsidRPr="00B612E0">
        <w:rPr>
          <w:noProof/>
        </w:rPr>
        <w:tab/>
        <w:t xml:space="preserve">3.2.5. Contribución de terceros </w:t>
      </w:r>
    </w:p>
    <w:p w:rsidR="007D02A8" w:rsidRPr="00B612E0" w:rsidRDefault="007D02A8" w:rsidP="007D02A8">
      <w:pPr>
        <w:pStyle w:val="ManualHeading2"/>
        <w:jc w:val="left"/>
        <w:rPr>
          <w:b w:val="0"/>
          <w:noProof/>
        </w:rPr>
        <w:sectPr w:rsidR="007D02A8" w:rsidRPr="00B612E0" w:rsidSect="00FF77AA">
          <w:pgSz w:w="11907" w:h="16840" w:code="9"/>
          <w:pgMar w:top="1134" w:right="1418" w:bottom="1134" w:left="1418" w:header="709" w:footer="709" w:gutter="0"/>
          <w:cols w:space="708"/>
          <w:docGrid w:linePitch="360"/>
        </w:sectPr>
      </w:pPr>
      <w:r w:rsidRPr="00B612E0">
        <w:rPr>
          <w:noProof/>
        </w:rPr>
        <w:tab/>
      </w:r>
      <w:r w:rsidRPr="00B612E0">
        <w:rPr>
          <w:b w:val="0"/>
          <w:noProof/>
        </w:rPr>
        <w:t>3.3.</w:t>
      </w:r>
      <w:r w:rsidRPr="00B612E0">
        <w:rPr>
          <w:noProof/>
        </w:rPr>
        <w:tab/>
      </w:r>
      <w:r w:rsidRPr="00B612E0">
        <w:rPr>
          <w:b w:val="0"/>
          <w:noProof/>
        </w:rPr>
        <w:t>Incidencia estimada en los ingresos</w:t>
      </w:r>
    </w:p>
    <w:p w:rsidR="007D02A8" w:rsidRPr="00B612E0" w:rsidRDefault="007D02A8" w:rsidP="007D02A8">
      <w:pPr>
        <w:jc w:val="center"/>
        <w:rPr>
          <w:noProof/>
        </w:rPr>
      </w:pPr>
      <w:r w:rsidRPr="00B612E0">
        <w:rPr>
          <w:b/>
          <w:noProof/>
          <w:u w:val="single"/>
        </w:rPr>
        <w:t>FICHA FINANCIERA LEGISLATIVA</w:t>
      </w:r>
    </w:p>
    <w:p w:rsidR="007D02A8" w:rsidRPr="00B612E0" w:rsidRDefault="007D02A8" w:rsidP="007D02A8">
      <w:pPr>
        <w:pStyle w:val="ManualHeading1"/>
        <w:rPr>
          <w:noProof/>
        </w:rPr>
      </w:pPr>
      <w:r w:rsidRPr="00B612E0">
        <w:rPr>
          <w:noProof/>
        </w:rPr>
        <w:t>1.</w:t>
      </w:r>
      <w:r w:rsidRPr="00B612E0">
        <w:rPr>
          <w:noProof/>
        </w:rPr>
        <w:tab/>
        <w:t xml:space="preserve">MARCO DE LA PROPUESTA/INICIATIVA </w:t>
      </w:r>
    </w:p>
    <w:p w:rsidR="007D02A8" w:rsidRPr="00B612E0" w:rsidRDefault="007D02A8" w:rsidP="007D02A8">
      <w:pPr>
        <w:pStyle w:val="ManualHeading2"/>
        <w:rPr>
          <w:noProof/>
        </w:rPr>
      </w:pPr>
      <w:r w:rsidRPr="00B612E0">
        <w:rPr>
          <w:noProof/>
        </w:rPr>
        <w:t>1.1.</w:t>
      </w:r>
      <w:r w:rsidRPr="00B612E0">
        <w:rPr>
          <w:noProof/>
        </w:rPr>
        <w:tab/>
        <w:t xml:space="preserve">Denominación de la propuesta/iniciativa </w:t>
      </w:r>
    </w:p>
    <w:p w:rsidR="007D02A8" w:rsidRPr="00B612E0" w:rsidRDefault="007D02A8" w:rsidP="007D02A8">
      <w:pPr>
        <w:pStyle w:val="Text1"/>
        <w:pBdr>
          <w:top w:val="single" w:sz="4" w:space="1" w:color="auto"/>
          <w:left w:val="single" w:sz="4" w:space="4" w:color="auto"/>
          <w:bottom w:val="single" w:sz="4" w:space="1" w:color="auto"/>
          <w:right w:val="single" w:sz="4" w:space="4" w:color="auto"/>
        </w:pBdr>
        <w:rPr>
          <w:noProof/>
        </w:rPr>
      </w:pPr>
      <w:r w:rsidRPr="00B612E0">
        <w:rPr>
          <w:noProof/>
        </w:rPr>
        <w:t>Propuesta de Reglamento del Parlamento Europeo y del Consejo por el que se modifica el Reglamento (UE) 2021/953 relativo a un marco para la expedición, verificación y aceptación de certificados COVID-19 interoperables de vacunación, de prueba diagnóstica y de recuperación (certificado COVID digital de la UE) a fin de facilitar la libre circulación durante la pandemia de COVID-19.</w:t>
      </w:r>
    </w:p>
    <w:p w:rsidR="007D02A8" w:rsidRPr="00B612E0" w:rsidRDefault="007D02A8" w:rsidP="007D02A8">
      <w:pPr>
        <w:pStyle w:val="ManualHeading2"/>
        <w:rPr>
          <w:noProof/>
          <w:szCs w:val="24"/>
        </w:rPr>
      </w:pPr>
      <w:r w:rsidRPr="00B612E0">
        <w:rPr>
          <w:noProof/>
        </w:rPr>
        <w:t>1.2.</w:t>
      </w:r>
      <w:r w:rsidRPr="00B612E0">
        <w:rPr>
          <w:noProof/>
        </w:rPr>
        <w:tab/>
        <w:t xml:space="preserve">Política(s) afectada(s) </w:t>
      </w:r>
    </w:p>
    <w:p w:rsidR="007D02A8" w:rsidRPr="00B612E0" w:rsidRDefault="007D02A8" w:rsidP="007D02A8">
      <w:pPr>
        <w:pStyle w:val="Text1"/>
        <w:pBdr>
          <w:top w:val="single" w:sz="4" w:space="1" w:color="auto"/>
          <w:left w:val="single" w:sz="4" w:space="4" w:color="auto"/>
          <w:bottom w:val="single" w:sz="4" w:space="1" w:color="auto"/>
          <w:right w:val="single" w:sz="4" w:space="4" w:color="auto"/>
        </w:pBdr>
        <w:rPr>
          <w:noProof/>
        </w:rPr>
      </w:pPr>
      <w:r w:rsidRPr="00B612E0">
        <w:rPr>
          <w:noProof/>
        </w:rPr>
        <w:t>Libre circulación de personas en la Unión Europea</w:t>
      </w:r>
    </w:p>
    <w:p w:rsidR="007D02A8" w:rsidRPr="00B612E0" w:rsidRDefault="007D02A8" w:rsidP="007D02A8">
      <w:pPr>
        <w:pStyle w:val="Text1"/>
        <w:pBdr>
          <w:top w:val="single" w:sz="4" w:space="1" w:color="auto"/>
          <w:left w:val="single" w:sz="4" w:space="4" w:color="auto"/>
          <w:bottom w:val="single" w:sz="4" w:space="1" w:color="auto"/>
          <w:right w:val="single" w:sz="4" w:space="4" w:color="auto"/>
        </w:pBdr>
        <w:rPr>
          <w:noProof/>
        </w:rPr>
      </w:pPr>
      <w:r w:rsidRPr="00B612E0">
        <w:rPr>
          <w:noProof/>
        </w:rPr>
        <w:t>Recuperación y resiliencia</w:t>
      </w:r>
    </w:p>
    <w:p w:rsidR="007D02A8" w:rsidRPr="00B612E0" w:rsidRDefault="007D02A8" w:rsidP="007D02A8">
      <w:pPr>
        <w:pStyle w:val="ManualHeading2"/>
        <w:rPr>
          <w:bCs/>
          <w:noProof/>
          <w:szCs w:val="24"/>
        </w:rPr>
      </w:pPr>
      <w:r w:rsidRPr="00B612E0">
        <w:rPr>
          <w:noProof/>
        </w:rPr>
        <w:t>1.3.</w:t>
      </w:r>
      <w:r w:rsidRPr="00B612E0">
        <w:rPr>
          <w:noProof/>
        </w:rPr>
        <w:tab/>
        <w:t xml:space="preserve">Naturaleza de la propuesta/iniciativa </w:t>
      </w:r>
    </w:p>
    <w:p w:rsidR="007D02A8" w:rsidRPr="00B612E0" w:rsidRDefault="007D02A8" w:rsidP="007D02A8">
      <w:pPr>
        <w:pStyle w:val="Text1"/>
        <w:rPr>
          <w:b/>
          <w:noProof/>
          <w:sz w:val="22"/>
        </w:rPr>
      </w:pPr>
      <w:r w:rsidRPr="00B612E0">
        <w:rPr>
          <w:noProof/>
          <w:sz w:val="22"/>
        </w:rPr>
        <w:sym w:font="Wingdings" w:char="F0A8"/>
      </w:r>
      <w:r w:rsidRPr="00B612E0">
        <w:rPr>
          <w:b/>
          <w:i/>
          <w:noProof/>
          <w:sz w:val="22"/>
        </w:rPr>
        <w:t xml:space="preserve"> </w:t>
      </w:r>
      <w:r w:rsidRPr="00B612E0">
        <w:rPr>
          <w:b/>
          <w:noProof/>
        </w:rPr>
        <w:t>una nueva acción</w:t>
      </w:r>
      <w:r w:rsidRPr="00B612E0">
        <w:rPr>
          <w:b/>
          <w:noProof/>
          <w:sz w:val="22"/>
        </w:rPr>
        <w:t xml:space="preserve"> </w:t>
      </w:r>
    </w:p>
    <w:p w:rsidR="007D02A8" w:rsidRPr="00B612E0" w:rsidRDefault="007D02A8" w:rsidP="007D02A8">
      <w:pPr>
        <w:pStyle w:val="Text1"/>
        <w:rPr>
          <w:noProof/>
          <w:sz w:val="22"/>
        </w:rPr>
      </w:pPr>
      <w:r w:rsidRPr="00B612E0">
        <w:rPr>
          <w:noProof/>
          <w:sz w:val="22"/>
        </w:rPr>
        <w:sym w:font="Wingdings" w:char="F0A8"/>
      </w:r>
      <w:r w:rsidRPr="00B612E0">
        <w:rPr>
          <w:i/>
          <w:noProof/>
          <w:sz w:val="22"/>
        </w:rPr>
        <w:t xml:space="preserve"> </w:t>
      </w:r>
      <w:r w:rsidRPr="00B612E0">
        <w:rPr>
          <w:b/>
          <w:noProof/>
        </w:rPr>
        <w:t>una acción nueva a raíz de un proyecto piloto/una acción preparatoria</w:t>
      </w:r>
      <w:r w:rsidRPr="00B612E0">
        <w:rPr>
          <w:rStyle w:val="FootnoteReference"/>
          <w:b/>
          <w:noProof/>
        </w:rPr>
        <w:footnoteReference w:id="37"/>
      </w:r>
      <w:r w:rsidRPr="00B612E0">
        <w:rPr>
          <w:noProof/>
          <w:sz w:val="22"/>
        </w:rPr>
        <w:t xml:space="preserve"> </w:t>
      </w:r>
    </w:p>
    <w:p w:rsidR="007D02A8" w:rsidRPr="00B612E0" w:rsidRDefault="007D02A8" w:rsidP="007D02A8">
      <w:pPr>
        <w:pStyle w:val="Text1"/>
        <w:rPr>
          <w:noProof/>
          <w:sz w:val="22"/>
        </w:rPr>
      </w:pPr>
      <w:r w:rsidRPr="00B612E0">
        <w:rPr>
          <w:noProof/>
          <w:sz w:val="22"/>
        </w:rPr>
        <w:sym w:font="Wingdings" w:char="F078"/>
      </w:r>
      <w:r w:rsidRPr="00B612E0">
        <w:rPr>
          <w:i/>
          <w:noProof/>
          <w:sz w:val="22"/>
        </w:rPr>
        <w:t xml:space="preserve"> </w:t>
      </w:r>
      <w:r w:rsidRPr="00B612E0">
        <w:rPr>
          <w:b/>
          <w:noProof/>
        </w:rPr>
        <w:t>la prolongación de una acción existente</w:t>
      </w:r>
      <w:r w:rsidRPr="00B612E0">
        <w:rPr>
          <w:noProof/>
          <w:sz w:val="22"/>
        </w:rPr>
        <w:t xml:space="preserve"> </w:t>
      </w:r>
    </w:p>
    <w:p w:rsidR="007D02A8" w:rsidRPr="00B612E0" w:rsidRDefault="007D02A8" w:rsidP="007D02A8">
      <w:pPr>
        <w:pStyle w:val="Text1"/>
        <w:rPr>
          <w:noProof/>
        </w:rPr>
      </w:pPr>
      <w:r w:rsidRPr="00B612E0">
        <w:rPr>
          <w:noProof/>
          <w:sz w:val="22"/>
        </w:rPr>
        <w:sym w:font="Wingdings" w:char="F0A8"/>
      </w:r>
      <w:r w:rsidRPr="00B612E0">
        <w:rPr>
          <w:i/>
          <w:noProof/>
          <w:sz w:val="22"/>
        </w:rPr>
        <w:t xml:space="preserve"> </w:t>
      </w:r>
      <w:r w:rsidRPr="00B612E0">
        <w:rPr>
          <w:b/>
          <w:noProof/>
        </w:rPr>
        <w:t>una fusión o reorientación de una o más acciones hacia otra/una nueva acción</w:t>
      </w:r>
      <w:r w:rsidRPr="00B612E0">
        <w:rPr>
          <w:noProof/>
        </w:rPr>
        <w:t xml:space="preserve"> </w:t>
      </w:r>
    </w:p>
    <w:p w:rsidR="007D02A8" w:rsidRPr="00B612E0" w:rsidRDefault="007D02A8" w:rsidP="007D02A8">
      <w:pPr>
        <w:pStyle w:val="ManualHeading2"/>
        <w:rPr>
          <w:bCs/>
          <w:noProof/>
          <w:szCs w:val="24"/>
        </w:rPr>
      </w:pPr>
      <w:r w:rsidRPr="00B612E0">
        <w:rPr>
          <w:noProof/>
        </w:rPr>
        <w:t>1.4.</w:t>
      </w:r>
      <w:r w:rsidRPr="00B612E0">
        <w:rPr>
          <w:noProof/>
        </w:rPr>
        <w:tab/>
        <w:t>Objetivos</w:t>
      </w:r>
    </w:p>
    <w:p w:rsidR="007D02A8" w:rsidRPr="00B612E0" w:rsidRDefault="007D02A8" w:rsidP="007D02A8">
      <w:pPr>
        <w:pStyle w:val="ManualHeading3"/>
        <w:rPr>
          <w:noProof/>
        </w:rPr>
      </w:pPr>
      <w:bookmarkStart w:id="13" w:name="_Toc520485030"/>
      <w:r w:rsidRPr="00B612E0">
        <w:rPr>
          <w:noProof/>
        </w:rPr>
        <w:t>1.4.1</w:t>
      </w:r>
      <w:r w:rsidR="002274A8">
        <w:rPr>
          <w:noProof/>
        </w:rPr>
        <w:t>.</w:t>
      </w:r>
      <w:r w:rsidRPr="00B612E0">
        <w:rPr>
          <w:noProof/>
        </w:rPr>
        <w:tab/>
      </w:r>
      <w:bookmarkStart w:id="14" w:name="_Toc514938016"/>
      <w:r w:rsidRPr="00B612E0">
        <w:rPr>
          <w:noProof/>
        </w:rPr>
        <w:t>Objetivos generales</w:t>
      </w:r>
      <w:bookmarkEnd w:id="14"/>
      <w:bookmarkEnd w:id="13"/>
    </w:p>
    <w:p w:rsidR="007D02A8" w:rsidRPr="00B612E0" w:rsidRDefault="007D02A8" w:rsidP="007D02A8">
      <w:pPr>
        <w:pStyle w:val="Text1"/>
        <w:pBdr>
          <w:top w:val="single" w:sz="4" w:space="1" w:color="auto"/>
          <w:left w:val="single" w:sz="4" w:space="4" w:color="auto"/>
          <w:bottom w:val="single" w:sz="4" w:space="1" w:color="auto"/>
          <w:right w:val="single" w:sz="4" w:space="4" w:color="auto"/>
        </w:pBdr>
        <w:rPr>
          <w:noProof/>
        </w:rPr>
      </w:pPr>
      <w:r w:rsidRPr="00B612E0">
        <w:rPr>
          <w:noProof/>
        </w:rPr>
        <w:t>El objetivo general de</w:t>
      </w:r>
      <w:r w:rsidR="002274A8">
        <w:rPr>
          <w:noProof/>
        </w:rPr>
        <w:t>l</w:t>
      </w:r>
      <w:r w:rsidRPr="00B612E0">
        <w:rPr>
          <w:noProof/>
        </w:rPr>
        <w:t xml:space="preserve"> presente Reglamento es prorrogar por 12 meses la aplicación del Reglamento (UE) 2021/953, que establece un marco para la expedición, verificación y aceptación de certificados COVID-19 interoperables de vacunación, de prueba diagnóstica y de recuperación («certificado COVID digital de la UE»), a fin de facilitar a sus titulares el ejercicio del derecho a la libre circulación durante la pandemia de COVID-19.</w:t>
      </w:r>
    </w:p>
    <w:p w:rsidR="007D02A8" w:rsidRPr="00B612E0" w:rsidRDefault="007D02A8" w:rsidP="007D02A8">
      <w:pPr>
        <w:pStyle w:val="ManualHeading3"/>
        <w:rPr>
          <w:bCs/>
          <w:noProof/>
          <w:szCs w:val="24"/>
        </w:rPr>
      </w:pPr>
      <w:bookmarkStart w:id="15" w:name="_Toc520485031"/>
      <w:r w:rsidRPr="00B612E0">
        <w:rPr>
          <w:noProof/>
        </w:rPr>
        <w:t>1.4.2</w:t>
      </w:r>
      <w:r w:rsidR="002274A8">
        <w:rPr>
          <w:noProof/>
        </w:rPr>
        <w:t>.</w:t>
      </w:r>
      <w:r w:rsidRPr="00B612E0">
        <w:rPr>
          <w:noProof/>
        </w:rPr>
        <w:tab/>
      </w:r>
      <w:bookmarkStart w:id="16" w:name="_Toc514938018"/>
      <w:r w:rsidRPr="00B612E0">
        <w:rPr>
          <w:noProof/>
        </w:rPr>
        <w:t>Objetivos específicos</w:t>
      </w:r>
      <w:bookmarkEnd w:id="16"/>
      <w:bookmarkEnd w:id="15"/>
    </w:p>
    <w:p w:rsidR="007D02A8" w:rsidRPr="00B612E0" w:rsidRDefault="007D02A8" w:rsidP="007D02A8">
      <w:pPr>
        <w:pStyle w:val="Text1"/>
        <w:pBdr>
          <w:top w:val="single" w:sz="4" w:space="1" w:color="auto"/>
          <w:left w:val="single" w:sz="4" w:space="4" w:color="auto"/>
          <w:bottom w:val="single" w:sz="4" w:space="1" w:color="auto"/>
          <w:right w:val="single" w:sz="4" w:space="4" w:color="auto"/>
        </w:pBdr>
        <w:rPr>
          <w:noProof/>
          <w:u w:val="single"/>
        </w:rPr>
      </w:pPr>
      <w:r w:rsidRPr="00B612E0">
        <w:rPr>
          <w:noProof/>
          <w:u w:val="single"/>
        </w:rPr>
        <w:t>Objetivo específico n.º 1</w:t>
      </w:r>
    </w:p>
    <w:p w:rsidR="007D02A8" w:rsidRPr="00B612E0" w:rsidRDefault="007D02A8" w:rsidP="007D02A8">
      <w:pPr>
        <w:pStyle w:val="Text1"/>
        <w:pBdr>
          <w:top w:val="single" w:sz="4" w:space="1" w:color="auto"/>
          <w:left w:val="single" w:sz="4" w:space="4" w:color="auto"/>
          <w:bottom w:val="single" w:sz="4" w:space="1" w:color="auto"/>
          <w:right w:val="single" w:sz="4" w:space="4" w:color="auto"/>
        </w:pBdr>
        <w:rPr>
          <w:noProof/>
        </w:rPr>
      </w:pPr>
      <w:r w:rsidRPr="00B612E0">
        <w:rPr>
          <w:noProof/>
        </w:rPr>
        <w:t>Continuación del funcionamiento y mantenimiento del marco de confianza para el certificado COVID digital de la UE establecido por el Reglamento (UE) 2021/953.</w:t>
      </w:r>
    </w:p>
    <w:p w:rsidR="007D02A8" w:rsidRPr="00B612E0" w:rsidRDefault="007D02A8" w:rsidP="007D02A8">
      <w:pPr>
        <w:pStyle w:val="ManualHeading3"/>
        <w:rPr>
          <w:noProof/>
        </w:rPr>
      </w:pPr>
      <w:bookmarkStart w:id="17" w:name="_Toc514938019"/>
      <w:bookmarkStart w:id="18" w:name="_Toc520485032"/>
      <w:r w:rsidRPr="00B612E0">
        <w:rPr>
          <w:noProof/>
        </w:rPr>
        <w:t>1.4.3</w:t>
      </w:r>
      <w:r w:rsidR="002274A8">
        <w:rPr>
          <w:noProof/>
        </w:rPr>
        <w:t>.</w:t>
      </w:r>
      <w:r w:rsidRPr="00B612E0">
        <w:rPr>
          <w:noProof/>
        </w:rPr>
        <w:tab/>
        <w:t>Resultado(s) e incidencia esperados</w:t>
      </w:r>
      <w:bookmarkEnd w:id="17"/>
      <w:bookmarkEnd w:id="18"/>
    </w:p>
    <w:p w:rsidR="007D02A8" w:rsidRPr="00B612E0" w:rsidRDefault="007D02A8" w:rsidP="007D02A8">
      <w:pPr>
        <w:pStyle w:val="Text1"/>
        <w:rPr>
          <w:i/>
          <w:noProof/>
          <w:sz w:val="20"/>
        </w:rPr>
      </w:pPr>
      <w:r w:rsidRPr="00B612E0">
        <w:rPr>
          <w:i/>
          <w:noProof/>
          <w:sz w:val="20"/>
        </w:rPr>
        <w:t>Especifíquense los efectos que la propuesta/iniciativa debería tener sobre los beneficiarios/la población destinataria.</w:t>
      </w:r>
    </w:p>
    <w:p w:rsidR="007D02A8" w:rsidRPr="00B612E0" w:rsidRDefault="007D02A8" w:rsidP="007D02A8">
      <w:pPr>
        <w:pStyle w:val="Text1"/>
        <w:pBdr>
          <w:top w:val="single" w:sz="4" w:space="1" w:color="auto"/>
          <w:left w:val="single" w:sz="4" w:space="4" w:color="auto"/>
          <w:bottom w:val="single" w:sz="4" w:space="1" w:color="auto"/>
          <w:right w:val="single" w:sz="4" w:space="4" w:color="auto"/>
        </w:pBdr>
        <w:rPr>
          <w:noProof/>
        </w:rPr>
      </w:pPr>
      <w:r w:rsidRPr="00B612E0">
        <w:rPr>
          <w:noProof/>
        </w:rPr>
        <w:t xml:space="preserve">La propuesta ampliará la operación del marco de expedición, verificación y aceptación de certificados COVID-19 interoperables de vacunación, de prueba diagnóstica y de recuperación, a fin de facilitar a sus titulares el ejercicio del derecho a la libre circulación durante la pandemia de COVID-19. Esto debería permitir a los ciudadanos de la UE y a los miembros de sus familias que ejerzan su derecho a la libre circulación demostrar que cumplen los requisitos de salud pública impuestos, de conformidad con el Derecho de la UE, por el Estado miembro de destino. </w:t>
      </w:r>
    </w:p>
    <w:p w:rsidR="007D02A8" w:rsidRPr="00B612E0" w:rsidRDefault="007D02A8" w:rsidP="007D02A8">
      <w:pPr>
        <w:pStyle w:val="Text1"/>
        <w:pBdr>
          <w:top w:val="single" w:sz="4" w:space="1" w:color="auto"/>
          <w:left w:val="single" w:sz="4" w:space="4" w:color="auto"/>
          <w:bottom w:val="single" w:sz="4" w:space="1" w:color="auto"/>
          <w:right w:val="single" w:sz="4" w:space="4" w:color="auto"/>
        </w:pBdr>
        <w:rPr>
          <w:noProof/>
        </w:rPr>
      </w:pPr>
      <w:r w:rsidRPr="00B612E0">
        <w:rPr>
          <w:noProof/>
        </w:rPr>
        <w:t>Se prestará apoyo para mantener la infraestructura tecnológica necesaria para el marco del certificado COVID digital de la UE.</w:t>
      </w:r>
    </w:p>
    <w:p w:rsidR="007D02A8" w:rsidRPr="00B612E0" w:rsidRDefault="007D02A8" w:rsidP="007D02A8">
      <w:pPr>
        <w:pStyle w:val="ManualHeading3"/>
        <w:rPr>
          <w:noProof/>
          <w:szCs w:val="24"/>
        </w:rPr>
      </w:pPr>
      <w:bookmarkStart w:id="19" w:name="_Toc514938023"/>
      <w:bookmarkStart w:id="20" w:name="_Toc520485033"/>
      <w:r w:rsidRPr="00B612E0">
        <w:rPr>
          <w:noProof/>
        </w:rPr>
        <w:t>1.4.4</w:t>
      </w:r>
      <w:r w:rsidR="002274A8">
        <w:rPr>
          <w:noProof/>
        </w:rPr>
        <w:t>.</w:t>
      </w:r>
      <w:r w:rsidRPr="00B612E0">
        <w:rPr>
          <w:noProof/>
        </w:rPr>
        <w:tab/>
        <w:t>Indicadores de rendimiento</w:t>
      </w:r>
      <w:bookmarkEnd w:id="19"/>
      <w:bookmarkEnd w:id="20"/>
    </w:p>
    <w:p w:rsidR="007D02A8" w:rsidRPr="00B612E0" w:rsidRDefault="007D02A8" w:rsidP="007D02A8">
      <w:pPr>
        <w:pStyle w:val="Text1"/>
        <w:rPr>
          <w:i/>
          <w:noProof/>
          <w:sz w:val="20"/>
        </w:rPr>
      </w:pPr>
      <w:r w:rsidRPr="00B612E0">
        <w:rPr>
          <w:i/>
          <w:noProof/>
          <w:sz w:val="20"/>
        </w:rPr>
        <w:t>Precisar los indicadores para hacer un seguimiento de los avances y logros.</w:t>
      </w:r>
    </w:p>
    <w:p w:rsidR="007D02A8" w:rsidRPr="00B612E0" w:rsidRDefault="007D02A8" w:rsidP="007D02A8">
      <w:pPr>
        <w:pStyle w:val="Text1"/>
        <w:pBdr>
          <w:top w:val="single" w:sz="4" w:space="1" w:color="auto"/>
          <w:left w:val="single" w:sz="4" w:space="4" w:color="auto"/>
          <w:bottom w:val="single" w:sz="4" w:space="1" w:color="auto"/>
          <w:right w:val="single" w:sz="4" w:space="4" w:color="auto"/>
        </w:pBdr>
        <w:rPr>
          <w:noProof/>
          <w:u w:val="single"/>
        </w:rPr>
      </w:pPr>
      <w:r w:rsidRPr="00B612E0">
        <w:rPr>
          <w:noProof/>
          <w:u w:val="single"/>
        </w:rPr>
        <w:t>Sistema en funcionamiento en 2022/2023</w:t>
      </w:r>
    </w:p>
    <w:p w:rsidR="007D02A8" w:rsidRPr="00B612E0" w:rsidRDefault="007D02A8" w:rsidP="007D02A8">
      <w:pPr>
        <w:pStyle w:val="Text1"/>
        <w:pBdr>
          <w:top w:val="single" w:sz="4" w:space="1" w:color="auto"/>
          <w:left w:val="single" w:sz="4" w:space="4" w:color="auto"/>
          <w:bottom w:val="single" w:sz="4" w:space="1" w:color="auto"/>
          <w:right w:val="single" w:sz="4" w:space="4" w:color="auto"/>
        </w:pBdr>
        <w:rPr>
          <w:noProof/>
        </w:rPr>
      </w:pPr>
      <w:r w:rsidRPr="00B612E0">
        <w:rPr>
          <w:noProof/>
        </w:rPr>
        <w:t>La Comisión debe velar por que exista la infraestructura digital de apoyo a escala de la UE, así como por que se utilice y controle eficazmente.</w:t>
      </w:r>
    </w:p>
    <w:p w:rsidR="007D02A8" w:rsidRPr="00B612E0" w:rsidRDefault="007D02A8" w:rsidP="007D02A8">
      <w:pPr>
        <w:pStyle w:val="ManualHeading2"/>
        <w:rPr>
          <w:bCs/>
          <w:noProof/>
          <w:szCs w:val="24"/>
        </w:rPr>
      </w:pPr>
      <w:bookmarkStart w:id="21" w:name="_Toc514938025"/>
      <w:bookmarkStart w:id="22" w:name="_Toc520485034"/>
      <w:r w:rsidRPr="00B612E0">
        <w:rPr>
          <w:noProof/>
        </w:rPr>
        <w:t>1.5.</w:t>
      </w:r>
      <w:r w:rsidRPr="00B612E0">
        <w:rPr>
          <w:noProof/>
        </w:rPr>
        <w:tab/>
        <w:t>Justificación de la propuesta/iniciativa</w:t>
      </w:r>
      <w:bookmarkEnd w:id="21"/>
      <w:bookmarkEnd w:id="22"/>
      <w:r w:rsidRPr="00B612E0">
        <w:rPr>
          <w:noProof/>
        </w:rPr>
        <w:t xml:space="preserve"> </w:t>
      </w:r>
    </w:p>
    <w:p w:rsidR="007D02A8" w:rsidRPr="00B612E0" w:rsidRDefault="007D02A8" w:rsidP="007D02A8">
      <w:pPr>
        <w:pStyle w:val="ManualHeading3"/>
        <w:rPr>
          <w:noProof/>
        </w:rPr>
      </w:pPr>
      <w:bookmarkStart w:id="23" w:name="_Toc514938026"/>
      <w:bookmarkStart w:id="24" w:name="_Toc520485035"/>
      <w:r w:rsidRPr="00B612E0">
        <w:rPr>
          <w:noProof/>
        </w:rPr>
        <w:t>1.5.1</w:t>
      </w:r>
      <w:r w:rsidR="002274A8">
        <w:rPr>
          <w:noProof/>
        </w:rPr>
        <w:t>.</w:t>
      </w:r>
      <w:r w:rsidRPr="00B612E0">
        <w:rPr>
          <w:noProof/>
        </w:rPr>
        <w:tab/>
        <w:t>Requisitos que deben cumplirse a corto o largo plazo, incluido un calendario detallado para el despliegue de la aplicación de la iniciativa</w:t>
      </w:r>
      <w:bookmarkEnd w:id="23"/>
      <w:bookmarkEnd w:id="24"/>
    </w:p>
    <w:p w:rsidR="007D02A8" w:rsidRPr="00B612E0" w:rsidRDefault="007D02A8" w:rsidP="007D02A8">
      <w:pPr>
        <w:pStyle w:val="Text1"/>
        <w:pBdr>
          <w:top w:val="single" w:sz="4" w:space="1" w:color="auto"/>
          <w:left w:val="single" w:sz="4" w:space="4" w:color="auto"/>
          <w:bottom w:val="single" w:sz="4" w:space="1" w:color="auto"/>
          <w:right w:val="single" w:sz="4" w:space="4" w:color="auto"/>
        </w:pBdr>
        <w:rPr>
          <w:noProof/>
        </w:rPr>
      </w:pPr>
      <w:r w:rsidRPr="00B612E0">
        <w:rPr>
          <w:noProof/>
        </w:rPr>
        <w:t xml:space="preserve">El marco del certificado digital de la UE establece el formato y el contenido de los certificados de vacunación, pruebas y recuperación de la COVID-19. El marco debe garantizar que estos certificados puedan expedirse en un formato interoperable y ser verificados de forma fiable cuando los presente el titular en otros Estados miembros, facilitando así la libre circulación en la UE. Será aplicable hasta el 30 de junio de 2023. </w:t>
      </w:r>
    </w:p>
    <w:p w:rsidR="007D02A8" w:rsidRPr="00B612E0" w:rsidRDefault="007D02A8" w:rsidP="007D02A8">
      <w:pPr>
        <w:pStyle w:val="ManualHeading3"/>
        <w:rPr>
          <w:bCs/>
          <w:noProof/>
          <w:szCs w:val="24"/>
        </w:rPr>
      </w:pPr>
      <w:r w:rsidRPr="00B612E0">
        <w:rPr>
          <w:noProof/>
        </w:rPr>
        <w:t>1.5.2</w:t>
      </w:r>
      <w:r w:rsidR="002274A8">
        <w:rPr>
          <w:noProof/>
        </w:rPr>
        <w:t>.</w:t>
      </w:r>
      <w:r w:rsidRPr="00B612E0">
        <w:rPr>
          <w:noProof/>
        </w:rPr>
        <w:tab/>
        <w:t>Valor añadido de la intervención de la Unión (puede derivarse de distintos factores, como mejor coordinación, seguridad jurídica, mejora de la eficacia o complementariedades). A efectos del presente punto, se entenderá por «valor añadido de la intervención de la Unión» el valor resultante de una intervención de la Unión que viene a sumarse al valor que se habría generado de haber actuado los Estados miembros de forma aislada.</w:t>
      </w:r>
    </w:p>
    <w:p w:rsidR="007D02A8" w:rsidRPr="00B612E0" w:rsidRDefault="007D02A8" w:rsidP="007D02A8">
      <w:pPr>
        <w:pStyle w:val="Text1"/>
        <w:pBdr>
          <w:top w:val="single" w:sz="4" w:space="1" w:color="auto"/>
          <w:left w:val="single" w:sz="4" w:space="4" w:color="auto"/>
          <w:bottom w:val="single" w:sz="4" w:space="1" w:color="auto"/>
          <w:right w:val="single" w:sz="4" w:space="4" w:color="auto"/>
        </w:pBdr>
        <w:rPr>
          <w:noProof/>
        </w:rPr>
      </w:pPr>
      <w:r w:rsidRPr="00B612E0">
        <w:rPr>
          <w:noProof/>
        </w:rPr>
        <w:t>Motivos para actuar a nivel europeo (previamente): Los objetivos de la presente propuesta, a saber, facilitar la libre circulación en la UE durante la pandemia de COVID-19 mediante el establecimiento de certificados seguros e interoperables de vacunación, pruebas diagnósticas y recuperación del titular, no pueden ser alcanzados de manera suficiente por los Estados miembros de forma independiente, sino que, debido a la dimensión y los efectos de la acción, pueden lograrse mejor a escala de la UE. Por lo tanto, es necesario actuar a nivel de la UE.</w:t>
      </w:r>
    </w:p>
    <w:p w:rsidR="007D02A8" w:rsidRPr="00B612E0" w:rsidRDefault="007D02A8" w:rsidP="007D02A8">
      <w:pPr>
        <w:pStyle w:val="Text1"/>
        <w:pBdr>
          <w:top w:val="single" w:sz="4" w:space="1" w:color="auto"/>
          <w:left w:val="single" w:sz="4" w:space="4" w:color="auto"/>
          <w:bottom w:val="single" w:sz="4" w:space="1" w:color="auto"/>
          <w:right w:val="single" w:sz="4" w:space="4" w:color="auto"/>
        </w:pBdr>
        <w:rPr>
          <w:noProof/>
        </w:rPr>
      </w:pPr>
      <w:r w:rsidRPr="00B612E0">
        <w:rPr>
          <w:noProof/>
        </w:rPr>
        <w:t>Valor añadido de la Unión que se prevé generar (</w:t>
      </w:r>
      <w:r w:rsidRPr="00B612E0">
        <w:rPr>
          <w:i/>
          <w:iCs/>
          <w:noProof/>
        </w:rPr>
        <w:t>a posteriori</w:t>
      </w:r>
      <w:r w:rsidRPr="00B612E0">
        <w:rPr>
          <w:noProof/>
        </w:rPr>
        <w:t>): Si no se actúa a nivel de la UE, es probable que los Estados miembros adopten sistemas diferentes, lo que daría lugar a que los ciudadanos que ejercen sus derechos de libre circulación tuvieran problemas con la aceptación de sus documentos en otros Estados miembros. En particular, es necesario acordar las normas técnicas que deben utilizarse para garantizar la interoperabilidad, la seguridad y la verificabilidad de los certificados que se expidan.</w:t>
      </w:r>
    </w:p>
    <w:p w:rsidR="007D02A8" w:rsidRPr="00B612E0" w:rsidRDefault="007D02A8" w:rsidP="007D02A8">
      <w:pPr>
        <w:pStyle w:val="ManualHeading3"/>
        <w:rPr>
          <w:bCs/>
          <w:noProof/>
          <w:szCs w:val="24"/>
        </w:rPr>
      </w:pPr>
      <w:r w:rsidRPr="00B612E0">
        <w:rPr>
          <w:noProof/>
        </w:rPr>
        <w:t>1.5.3</w:t>
      </w:r>
      <w:r w:rsidR="002274A8">
        <w:rPr>
          <w:noProof/>
        </w:rPr>
        <w:t>.</w:t>
      </w:r>
      <w:r w:rsidRPr="00B612E0">
        <w:rPr>
          <w:noProof/>
        </w:rPr>
        <w:tab/>
        <w:t>Principales conclusiones extraídas de experiencias similares anteriores</w:t>
      </w:r>
    </w:p>
    <w:p w:rsidR="007D02A8" w:rsidRPr="00B612E0" w:rsidRDefault="007D02A8" w:rsidP="007D02A8">
      <w:pPr>
        <w:pStyle w:val="Text1"/>
        <w:pBdr>
          <w:top w:val="single" w:sz="4" w:space="1" w:color="auto"/>
          <w:left w:val="single" w:sz="4" w:space="4" w:color="auto"/>
          <w:bottom w:val="single" w:sz="4" w:space="1" w:color="auto"/>
          <w:right w:val="single" w:sz="4" w:space="4" w:color="auto"/>
        </w:pBdr>
        <w:rPr>
          <w:noProof/>
        </w:rPr>
      </w:pPr>
      <w:r w:rsidRPr="00B612E0">
        <w:rPr>
          <w:noProof/>
        </w:rPr>
        <w:t>Se trata de una continuación de una iniciativa existente establecida en virtud del Reglamento (UE) 2021/953.</w:t>
      </w:r>
    </w:p>
    <w:p w:rsidR="007D02A8" w:rsidRPr="00B612E0" w:rsidRDefault="007D02A8" w:rsidP="007D02A8">
      <w:pPr>
        <w:pStyle w:val="ManualHeading3"/>
        <w:rPr>
          <w:bCs/>
          <w:noProof/>
          <w:szCs w:val="24"/>
        </w:rPr>
      </w:pPr>
      <w:bookmarkStart w:id="25" w:name="_Toc514938033"/>
      <w:bookmarkStart w:id="26" w:name="_Toc520485038"/>
      <w:r w:rsidRPr="00B612E0">
        <w:rPr>
          <w:noProof/>
        </w:rPr>
        <w:t>1.5.4</w:t>
      </w:r>
      <w:r w:rsidR="002274A8">
        <w:rPr>
          <w:noProof/>
        </w:rPr>
        <w:t>.</w:t>
      </w:r>
      <w:r w:rsidRPr="00B612E0">
        <w:rPr>
          <w:noProof/>
        </w:rPr>
        <w:tab/>
        <w:t>Compatibilidad con el marco financiero plurianual y posibles sinergias con otros instrumentos adecuados</w:t>
      </w:r>
      <w:bookmarkEnd w:id="25"/>
      <w:bookmarkEnd w:id="26"/>
    </w:p>
    <w:p w:rsidR="007D02A8" w:rsidRPr="00B612E0" w:rsidRDefault="007D02A8" w:rsidP="007D02A8">
      <w:pPr>
        <w:pStyle w:val="Text1"/>
        <w:pBdr>
          <w:top w:val="single" w:sz="4" w:space="1" w:color="auto"/>
          <w:left w:val="single" w:sz="4" w:space="4" w:color="auto"/>
          <w:bottom w:val="single" w:sz="4" w:space="1" w:color="auto"/>
          <w:right w:val="single" w:sz="4" w:space="4" w:color="auto"/>
        </w:pBdr>
        <w:rPr>
          <w:noProof/>
        </w:rPr>
      </w:pPr>
      <w:r w:rsidRPr="00B612E0">
        <w:rPr>
          <w:noProof/>
        </w:rPr>
        <w:t>La Comisión tiene la intención de apoyar la continuación de las medidas urgentes a través de los programas de la UE, en este caso concreto, a través del Programa Europa Digital (PED). La financiación será compatible con el marco financiero plurianual 2021-2027. La Comisión adoptará las medidas necesarias para garantizar que los recursos se movilicen a su debido tiempo.</w:t>
      </w:r>
    </w:p>
    <w:p w:rsidR="007D02A8" w:rsidRPr="00B612E0" w:rsidRDefault="007D02A8" w:rsidP="007D02A8">
      <w:pPr>
        <w:pStyle w:val="ManualHeading3"/>
        <w:rPr>
          <w:noProof/>
        </w:rPr>
      </w:pPr>
      <w:bookmarkStart w:id="27" w:name="_Toc514938036"/>
      <w:bookmarkStart w:id="28" w:name="_Toc520485039"/>
      <w:r w:rsidRPr="00B612E0">
        <w:rPr>
          <w:noProof/>
        </w:rPr>
        <w:t>1.5.5</w:t>
      </w:r>
      <w:r w:rsidR="002274A8">
        <w:rPr>
          <w:noProof/>
        </w:rPr>
        <w:t>.</w:t>
      </w:r>
      <w:r w:rsidRPr="00B612E0">
        <w:rPr>
          <w:noProof/>
        </w:rPr>
        <w:tab/>
        <w:t>Evaluación de las diferentes opciones de financiación disponibles, incluidas las posibilidades de reasignación</w:t>
      </w:r>
      <w:bookmarkEnd w:id="27"/>
      <w:bookmarkEnd w:id="28"/>
    </w:p>
    <w:p w:rsidR="007D02A8" w:rsidRPr="00B612E0" w:rsidRDefault="007D02A8" w:rsidP="007D02A8">
      <w:pPr>
        <w:pStyle w:val="Text1"/>
        <w:pBdr>
          <w:top w:val="single" w:sz="4" w:space="1" w:color="auto"/>
          <w:left w:val="single" w:sz="4" w:space="4" w:color="auto"/>
          <w:bottom w:val="single" w:sz="4" w:space="1" w:color="auto"/>
          <w:right w:val="single" w:sz="4" w:space="4" w:color="auto"/>
        </w:pBdr>
        <w:rPr>
          <w:noProof/>
        </w:rPr>
      </w:pPr>
      <w:r w:rsidRPr="00B612E0">
        <w:rPr>
          <w:noProof/>
        </w:rPr>
        <w:t xml:space="preserve">La ayuda financiera de la Unión podrá cubrir las siguientes acciones: </w:t>
      </w:r>
    </w:p>
    <w:p w:rsidR="007D02A8" w:rsidRPr="00B612E0" w:rsidRDefault="007D02A8" w:rsidP="007D02A8">
      <w:pPr>
        <w:pStyle w:val="Text1"/>
        <w:pBdr>
          <w:top w:val="single" w:sz="4" w:space="1" w:color="auto"/>
          <w:left w:val="single" w:sz="4" w:space="4" w:color="auto"/>
          <w:bottom w:val="single" w:sz="4" w:space="1" w:color="auto"/>
          <w:right w:val="single" w:sz="4" w:space="4" w:color="auto"/>
        </w:pBdr>
        <w:rPr>
          <w:noProof/>
        </w:rPr>
      </w:pPr>
      <w:r w:rsidRPr="00B612E0">
        <w:rPr>
          <w:noProof/>
          <w:u w:val="single"/>
        </w:rPr>
        <w:t>Funcionamiento y mantenimiento de los sistemas de la UE que apoyan la interoperabilidad</w:t>
      </w:r>
    </w:p>
    <w:p w:rsidR="007D02A8" w:rsidRPr="00B612E0" w:rsidRDefault="007D02A8" w:rsidP="007D02A8">
      <w:pPr>
        <w:pStyle w:val="Text1"/>
        <w:pBdr>
          <w:top w:val="single" w:sz="4" w:space="1" w:color="auto"/>
          <w:left w:val="single" w:sz="4" w:space="4" w:color="auto"/>
          <w:bottom w:val="single" w:sz="4" w:space="1" w:color="auto"/>
          <w:right w:val="single" w:sz="4" w:space="4" w:color="auto"/>
        </w:pBdr>
        <w:rPr>
          <w:noProof/>
        </w:rPr>
      </w:pPr>
      <w:r w:rsidRPr="00B612E0">
        <w:rPr>
          <w:noProof/>
        </w:rPr>
        <w:t xml:space="preserve">La Comisión utilizará fondos del PED para apoyar las medidas en el marco de la iniciativa. </w:t>
      </w:r>
    </w:p>
    <w:p w:rsidR="007D02A8" w:rsidRPr="00B612E0" w:rsidRDefault="007D02A8" w:rsidP="007D02A8">
      <w:pPr>
        <w:pStyle w:val="ManualHeading2"/>
        <w:rPr>
          <w:bCs/>
          <w:noProof/>
          <w:szCs w:val="24"/>
        </w:rPr>
      </w:pPr>
      <w:r w:rsidRPr="00B612E0">
        <w:rPr>
          <w:noProof/>
        </w:rPr>
        <w:t>1.6.</w:t>
      </w:r>
      <w:r w:rsidRPr="00B612E0">
        <w:rPr>
          <w:noProof/>
        </w:rPr>
        <w:tab/>
        <w:t xml:space="preserve">Duración e incidencia financiera </w:t>
      </w:r>
    </w:p>
    <w:p w:rsidR="007D02A8" w:rsidRPr="00B612E0" w:rsidRDefault="007D02A8" w:rsidP="007D02A8">
      <w:pPr>
        <w:pStyle w:val="Text1"/>
        <w:rPr>
          <w:noProof/>
        </w:rPr>
      </w:pPr>
      <w:r w:rsidRPr="00B612E0">
        <w:rPr>
          <w:noProof/>
        </w:rPr>
        <w:sym w:font="Wingdings" w:char="F078"/>
      </w:r>
      <w:r w:rsidRPr="00B612E0">
        <w:rPr>
          <w:b/>
          <w:i/>
          <w:noProof/>
        </w:rPr>
        <w:t xml:space="preserve"> </w:t>
      </w:r>
      <w:r w:rsidRPr="00B612E0">
        <w:rPr>
          <w:b/>
          <w:noProof/>
        </w:rPr>
        <w:t xml:space="preserve">duración limitada </w:t>
      </w:r>
    </w:p>
    <w:p w:rsidR="007D02A8" w:rsidRPr="00B612E0" w:rsidRDefault="007D02A8" w:rsidP="007D02A8">
      <w:pPr>
        <w:pStyle w:val="ListDash2"/>
        <w:rPr>
          <w:noProof/>
        </w:rPr>
      </w:pPr>
      <w:r w:rsidRPr="00B612E0">
        <w:rPr>
          <w:noProof/>
        </w:rPr>
        <w:sym w:font="Wingdings" w:char="F078"/>
      </w:r>
      <w:r w:rsidRPr="00B612E0">
        <w:rPr>
          <w:noProof/>
        </w:rPr>
        <w:tab/>
        <w:t>El Reglamento modificado se aplicará hasta el 30 de junio de 2023.</w:t>
      </w:r>
    </w:p>
    <w:p w:rsidR="007D02A8" w:rsidRPr="00B612E0" w:rsidRDefault="007D02A8" w:rsidP="007D02A8">
      <w:pPr>
        <w:pStyle w:val="ListDash2"/>
        <w:rPr>
          <w:noProof/>
        </w:rPr>
      </w:pPr>
      <w:r w:rsidRPr="00B612E0">
        <w:rPr>
          <w:noProof/>
        </w:rPr>
        <w:sym w:font="Wingdings" w:char="F078"/>
      </w:r>
      <w:r w:rsidRPr="00B612E0">
        <w:rPr>
          <w:noProof/>
        </w:rPr>
        <w:tab/>
        <w:t xml:space="preserve">Incidencia financiera a partir de 2022 para los créditos de compromiso y de pago. </w:t>
      </w:r>
    </w:p>
    <w:p w:rsidR="007D02A8" w:rsidRPr="00B612E0" w:rsidRDefault="007D02A8" w:rsidP="007D02A8">
      <w:pPr>
        <w:pStyle w:val="Text1"/>
        <w:rPr>
          <w:noProof/>
        </w:rPr>
      </w:pPr>
      <w:r w:rsidRPr="00B612E0">
        <w:rPr>
          <w:noProof/>
        </w:rPr>
        <w:sym w:font="Wingdings" w:char="F0A8"/>
      </w:r>
      <w:r w:rsidRPr="00B612E0">
        <w:rPr>
          <w:b/>
          <w:i/>
          <w:noProof/>
        </w:rPr>
        <w:t xml:space="preserve"> </w:t>
      </w:r>
      <w:r w:rsidRPr="00B612E0">
        <w:rPr>
          <w:b/>
          <w:noProof/>
        </w:rPr>
        <w:t>duración ilimitada</w:t>
      </w:r>
    </w:p>
    <w:p w:rsidR="007D02A8" w:rsidRPr="00B612E0" w:rsidRDefault="007D02A8" w:rsidP="007D02A8">
      <w:pPr>
        <w:pStyle w:val="ManualHeading2"/>
        <w:rPr>
          <w:bCs/>
          <w:noProof/>
          <w:szCs w:val="24"/>
        </w:rPr>
      </w:pPr>
      <w:r w:rsidRPr="00B612E0">
        <w:rPr>
          <w:noProof/>
        </w:rPr>
        <w:t>1.7.</w:t>
      </w:r>
      <w:r w:rsidRPr="00B612E0">
        <w:rPr>
          <w:noProof/>
        </w:rPr>
        <w:tab/>
        <w:t>Modo(s) de gestión previsto(s)</w:t>
      </w:r>
      <w:r w:rsidRPr="00B612E0">
        <w:rPr>
          <w:rStyle w:val="FootnoteReference"/>
          <w:noProof/>
        </w:rPr>
        <w:footnoteReference w:id="38"/>
      </w:r>
      <w:r w:rsidR="00F376EC">
        <w:rPr>
          <w:rStyle w:val="FootnoteReference"/>
          <w:noProof/>
        </w:rPr>
        <w:t xml:space="preserve"> </w:t>
      </w:r>
    </w:p>
    <w:p w:rsidR="007D02A8" w:rsidRPr="00B612E0" w:rsidRDefault="007D02A8" w:rsidP="007D02A8">
      <w:pPr>
        <w:pStyle w:val="Text1"/>
        <w:rPr>
          <w:noProof/>
        </w:rPr>
      </w:pPr>
      <w:r w:rsidRPr="00B612E0">
        <w:rPr>
          <w:noProof/>
        </w:rPr>
        <w:sym w:font="Wingdings" w:char="F078"/>
      </w:r>
      <w:r w:rsidRPr="00B612E0">
        <w:rPr>
          <w:i/>
          <w:noProof/>
        </w:rPr>
        <w:t xml:space="preserve"> </w:t>
      </w:r>
      <w:r w:rsidRPr="00B612E0">
        <w:rPr>
          <w:b/>
          <w:noProof/>
        </w:rPr>
        <w:t>Gestión directa</w:t>
      </w:r>
      <w:r w:rsidRPr="00B612E0">
        <w:rPr>
          <w:noProof/>
        </w:rPr>
        <w:t xml:space="preserve"> por la Comisión</w:t>
      </w:r>
    </w:p>
    <w:p w:rsidR="007D02A8" w:rsidRPr="00B612E0" w:rsidRDefault="007D02A8" w:rsidP="007D02A8">
      <w:pPr>
        <w:pStyle w:val="ListDash2"/>
        <w:rPr>
          <w:rFonts w:cs="EUAlbertina"/>
          <w:noProof/>
        </w:rPr>
      </w:pPr>
      <w:r w:rsidRPr="00B612E0">
        <w:rPr>
          <w:noProof/>
        </w:rPr>
        <w:sym w:font="Wingdings" w:char="F078"/>
      </w:r>
      <w:r w:rsidRPr="00B612E0">
        <w:rPr>
          <w:noProof/>
        </w:rPr>
        <w:t xml:space="preserve"> por sus servicios, incluido su personal en las Delegaciones de la Unión; </w:t>
      </w:r>
    </w:p>
    <w:p w:rsidR="007D02A8" w:rsidRPr="00B612E0" w:rsidRDefault="007D02A8" w:rsidP="007D02A8">
      <w:pPr>
        <w:pStyle w:val="ListDash2"/>
        <w:rPr>
          <w:noProof/>
        </w:rPr>
      </w:pPr>
      <w:r w:rsidRPr="00B612E0">
        <w:rPr>
          <w:noProof/>
        </w:rPr>
        <w:sym w:font="Wingdings" w:char="F0A8"/>
      </w:r>
      <w:r w:rsidRPr="00B612E0">
        <w:rPr>
          <w:noProof/>
        </w:rPr>
        <w:t xml:space="preserve"> por las agencias ejecutivas </w:t>
      </w:r>
    </w:p>
    <w:p w:rsidR="007D02A8" w:rsidRPr="00B612E0" w:rsidRDefault="007D02A8" w:rsidP="007D02A8">
      <w:pPr>
        <w:pStyle w:val="Text1"/>
        <w:rPr>
          <w:noProof/>
        </w:rPr>
      </w:pPr>
      <w:r w:rsidRPr="00B612E0">
        <w:rPr>
          <w:noProof/>
        </w:rPr>
        <w:sym w:font="Wingdings" w:char="F0A8"/>
      </w:r>
      <w:r w:rsidRPr="00B612E0">
        <w:rPr>
          <w:b/>
          <w:i/>
          <w:noProof/>
        </w:rPr>
        <w:t xml:space="preserve"> </w:t>
      </w:r>
      <w:r w:rsidRPr="00B612E0">
        <w:rPr>
          <w:b/>
          <w:bCs/>
          <w:noProof/>
        </w:rPr>
        <w:t>Gestión compartida</w:t>
      </w:r>
      <w:r w:rsidRPr="00B612E0">
        <w:rPr>
          <w:noProof/>
        </w:rPr>
        <w:t xml:space="preserve"> con los Estados miembros </w:t>
      </w:r>
    </w:p>
    <w:p w:rsidR="007D02A8" w:rsidRPr="00B612E0" w:rsidRDefault="007D02A8" w:rsidP="007D02A8">
      <w:pPr>
        <w:pStyle w:val="Text1"/>
        <w:rPr>
          <w:noProof/>
        </w:rPr>
      </w:pPr>
      <w:r w:rsidRPr="00B612E0">
        <w:rPr>
          <w:noProof/>
        </w:rPr>
        <w:sym w:font="Wingdings" w:char="F0A8"/>
      </w:r>
      <w:r w:rsidRPr="00B612E0">
        <w:rPr>
          <w:i/>
          <w:noProof/>
        </w:rPr>
        <w:t xml:space="preserve"> </w:t>
      </w:r>
      <w:r w:rsidRPr="00B612E0">
        <w:rPr>
          <w:b/>
          <w:bCs/>
          <w:noProof/>
        </w:rPr>
        <w:t>Gestión indirecta</w:t>
      </w:r>
      <w:r w:rsidRPr="00B612E0">
        <w:rPr>
          <w:noProof/>
        </w:rPr>
        <w:t xml:space="preserve"> mediante delegación de tareas de ejecución presupuestaria en:</w:t>
      </w:r>
    </w:p>
    <w:p w:rsidR="007D02A8" w:rsidRPr="00B612E0" w:rsidRDefault="007D02A8" w:rsidP="007D02A8">
      <w:pPr>
        <w:pStyle w:val="ListDash2"/>
        <w:rPr>
          <w:noProof/>
        </w:rPr>
      </w:pPr>
      <w:r w:rsidRPr="00B612E0">
        <w:rPr>
          <w:noProof/>
        </w:rPr>
        <w:sym w:font="Wingdings" w:char="F0A8"/>
      </w:r>
      <w:r w:rsidRPr="00B612E0">
        <w:rPr>
          <w:noProof/>
        </w:rPr>
        <w:t xml:space="preserve"> terceros países o los organismos que estos hayan designado;</w:t>
      </w:r>
    </w:p>
    <w:p w:rsidR="007D02A8" w:rsidRPr="00B612E0" w:rsidRDefault="007D02A8" w:rsidP="007D02A8">
      <w:pPr>
        <w:pStyle w:val="ListDash2"/>
        <w:rPr>
          <w:noProof/>
        </w:rPr>
      </w:pPr>
      <w:r w:rsidRPr="00B612E0">
        <w:rPr>
          <w:noProof/>
        </w:rPr>
        <w:sym w:font="Wingdings" w:char="F0A8"/>
      </w:r>
      <w:r w:rsidRPr="00B612E0">
        <w:rPr>
          <w:noProof/>
        </w:rPr>
        <w:t xml:space="preserve"> organizaciones internacionales y sus agencias (especifíquense);</w:t>
      </w:r>
    </w:p>
    <w:p w:rsidR="007D02A8" w:rsidRPr="00B612E0" w:rsidRDefault="007D02A8" w:rsidP="007D02A8">
      <w:pPr>
        <w:pStyle w:val="ListDash2"/>
        <w:rPr>
          <w:noProof/>
        </w:rPr>
      </w:pPr>
      <w:r w:rsidRPr="00B612E0">
        <w:rPr>
          <w:noProof/>
        </w:rPr>
        <w:sym w:font="Wingdings" w:char="F0A8"/>
      </w:r>
      <w:r w:rsidRPr="00B612E0">
        <w:rPr>
          <w:noProof/>
        </w:rPr>
        <w:t xml:space="preserve"> el BEI y el Fondo Europeo de Inversiones;</w:t>
      </w:r>
    </w:p>
    <w:p w:rsidR="007D02A8" w:rsidRPr="00B612E0" w:rsidRDefault="007D02A8" w:rsidP="007D02A8">
      <w:pPr>
        <w:pStyle w:val="ListDash2"/>
        <w:rPr>
          <w:noProof/>
        </w:rPr>
      </w:pPr>
      <w:r w:rsidRPr="00B612E0">
        <w:rPr>
          <w:noProof/>
        </w:rPr>
        <w:sym w:font="Wingdings" w:char="F0A8"/>
      </w:r>
      <w:r w:rsidRPr="00B612E0">
        <w:rPr>
          <w:noProof/>
        </w:rPr>
        <w:t xml:space="preserve"> los organismos a que se hace referencia en los artículos</w:t>
      </w:r>
      <w:r w:rsidR="002274A8">
        <w:rPr>
          <w:noProof/>
        </w:rPr>
        <w:t xml:space="preserve"> </w:t>
      </w:r>
      <w:r w:rsidRPr="00B612E0">
        <w:rPr>
          <w:noProof/>
        </w:rPr>
        <w:t>70 y 71 del Reglamento Financiero;</w:t>
      </w:r>
    </w:p>
    <w:p w:rsidR="007D02A8" w:rsidRPr="00B612E0" w:rsidRDefault="007D02A8" w:rsidP="007D02A8">
      <w:pPr>
        <w:pStyle w:val="ListDash2"/>
        <w:rPr>
          <w:noProof/>
        </w:rPr>
      </w:pPr>
      <w:r w:rsidRPr="00B612E0">
        <w:rPr>
          <w:noProof/>
        </w:rPr>
        <w:sym w:font="Wingdings" w:char="F0A8"/>
      </w:r>
      <w:r w:rsidRPr="00B612E0">
        <w:rPr>
          <w:noProof/>
        </w:rPr>
        <w:t xml:space="preserve"> organismos de Derecho público;</w:t>
      </w:r>
    </w:p>
    <w:p w:rsidR="007D02A8" w:rsidRPr="00B612E0" w:rsidRDefault="007D02A8" w:rsidP="007D02A8">
      <w:pPr>
        <w:pStyle w:val="ListDash2"/>
        <w:rPr>
          <w:noProof/>
        </w:rPr>
      </w:pPr>
      <w:r w:rsidRPr="00B612E0">
        <w:rPr>
          <w:noProof/>
        </w:rPr>
        <w:sym w:font="Wingdings" w:char="F0A8"/>
      </w:r>
      <w:r w:rsidRPr="00B612E0">
        <w:rPr>
          <w:noProof/>
        </w:rPr>
        <w:t xml:space="preserve"> organismos de Derecho privado investidos de una misión de servicio público, en la medida en que presenten garantías financieras suficientes;</w:t>
      </w:r>
    </w:p>
    <w:p w:rsidR="007D02A8" w:rsidRPr="00B612E0" w:rsidRDefault="007D02A8" w:rsidP="007D02A8">
      <w:pPr>
        <w:pStyle w:val="ListDash2"/>
        <w:rPr>
          <w:noProof/>
        </w:rPr>
      </w:pPr>
      <w:r w:rsidRPr="00B612E0">
        <w:rPr>
          <w:noProof/>
        </w:rPr>
        <w:sym w:font="Wingdings" w:char="F0A8"/>
      </w:r>
      <w:r w:rsidRPr="00B612E0">
        <w:rPr>
          <w:noProof/>
        </w:rPr>
        <w:t xml:space="preserve"> organismos de Derecho privado de un Estado miembro a los que se haya encomendado la ejecución de una colaboración entre los sectores público y privado y que presenten garantías financieras suficientes;</w:t>
      </w:r>
    </w:p>
    <w:p w:rsidR="007D02A8" w:rsidRPr="00B612E0" w:rsidRDefault="007D02A8" w:rsidP="007D02A8">
      <w:pPr>
        <w:pStyle w:val="ListDash2"/>
        <w:rPr>
          <w:noProof/>
        </w:rPr>
      </w:pPr>
      <w:r w:rsidRPr="00B612E0">
        <w:rPr>
          <w:noProof/>
        </w:rPr>
        <w:sym w:font="Wingdings" w:char="F0A8"/>
      </w:r>
      <w:r w:rsidRPr="00B612E0">
        <w:rPr>
          <w:noProof/>
        </w:rPr>
        <w:t xml:space="preserve"> personas a quienes se haya encomendado la ejecución de acciones específicas en el marco de la PESC, de conformidad con el título V del Tratado de la Unión Europea, y que estén identificadas en el acto de base correspondiente.</w:t>
      </w:r>
    </w:p>
    <w:p w:rsidR="007D02A8" w:rsidRPr="00B612E0" w:rsidRDefault="007D02A8" w:rsidP="007D02A8">
      <w:pPr>
        <w:pStyle w:val="ListDash2"/>
        <w:rPr>
          <w:i/>
          <w:noProof/>
          <w:sz w:val="18"/>
          <w:u w:val="single"/>
        </w:rPr>
      </w:pPr>
      <w:r w:rsidRPr="00B612E0">
        <w:rPr>
          <w:i/>
          <w:noProof/>
          <w:sz w:val="18"/>
        </w:rPr>
        <w:t>Si se indica más de un modo de gestión, facilítense los detalles en el recuadro de observaciones.</w:t>
      </w:r>
    </w:p>
    <w:p w:rsidR="007D02A8" w:rsidRPr="00B612E0" w:rsidRDefault="007D02A8" w:rsidP="007D02A8">
      <w:pPr>
        <w:rPr>
          <w:noProof/>
        </w:rPr>
      </w:pPr>
      <w:r w:rsidRPr="00B612E0">
        <w:rPr>
          <w:noProof/>
        </w:rPr>
        <w:t xml:space="preserve">Observaciones </w:t>
      </w:r>
    </w:p>
    <w:p w:rsidR="007D02A8" w:rsidRPr="00B612E0" w:rsidRDefault="007D02A8" w:rsidP="007D02A8">
      <w:pPr>
        <w:pBdr>
          <w:top w:val="single" w:sz="4" w:space="1" w:color="auto"/>
          <w:left w:val="single" w:sz="4" w:space="0" w:color="auto"/>
          <w:bottom w:val="single" w:sz="4" w:space="1" w:color="auto"/>
          <w:right w:val="single" w:sz="4" w:space="4" w:color="auto"/>
        </w:pBdr>
        <w:rPr>
          <w:noProof/>
        </w:rPr>
      </w:pPr>
      <w:r w:rsidRPr="00B612E0">
        <w:rPr>
          <w:noProof/>
        </w:rPr>
        <w:t>Ninguna.</w:t>
      </w:r>
    </w:p>
    <w:p w:rsidR="007D02A8" w:rsidRPr="00B612E0" w:rsidRDefault="007D02A8" w:rsidP="007D02A8">
      <w:pPr>
        <w:pStyle w:val="ManualHeading1"/>
        <w:rPr>
          <w:bCs/>
          <w:noProof/>
          <w:szCs w:val="24"/>
        </w:rPr>
      </w:pPr>
      <w:r w:rsidRPr="00B612E0">
        <w:rPr>
          <w:noProof/>
        </w:rPr>
        <w:t>2.</w:t>
      </w:r>
      <w:r w:rsidRPr="00B612E0">
        <w:rPr>
          <w:noProof/>
        </w:rPr>
        <w:tab/>
        <w:t xml:space="preserve">MEDIDAS DE GESTIÓN </w:t>
      </w:r>
    </w:p>
    <w:p w:rsidR="007D02A8" w:rsidRPr="00B612E0" w:rsidRDefault="007D02A8" w:rsidP="007D02A8">
      <w:pPr>
        <w:pStyle w:val="ManualHeading2"/>
        <w:rPr>
          <w:noProof/>
        </w:rPr>
      </w:pPr>
      <w:r w:rsidRPr="00B612E0">
        <w:rPr>
          <w:noProof/>
        </w:rPr>
        <w:t>2.1.</w:t>
      </w:r>
      <w:r w:rsidRPr="00B612E0">
        <w:rPr>
          <w:noProof/>
        </w:rPr>
        <w:tab/>
        <w:t xml:space="preserve">Normas en materia de seguimiento e informes </w:t>
      </w:r>
    </w:p>
    <w:p w:rsidR="007D02A8" w:rsidRPr="00B612E0" w:rsidRDefault="007D02A8" w:rsidP="007D02A8">
      <w:pPr>
        <w:pStyle w:val="Text1"/>
        <w:rPr>
          <w:i/>
          <w:noProof/>
          <w:sz w:val="20"/>
          <w:u w:val="single"/>
        </w:rPr>
      </w:pPr>
      <w:r w:rsidRPr="00B612E0">
        <w:rPr>
          <w:i/>
          <w:noProof/>
          <w:sz w:val="20"/>
        </w:rPr>
        <w:t>Especifique la frecuencia y las condiciones.</w:t>
      </w:r>
    </w:p>
    <w:p w:rsidR="007D02A8" w:rsidRPr="00B612E0" w:rsidRDefault="007D02A8" w:rsidP="007D02A8">
      <w:pPr>
        <w:pStyle w:val="Text1"/>
        <w:pBdr>
          <w:top w:val="single" w:sz="4" w:space="1" w:color="auto"/>
          <w:left w:val="single" w:sz="4" w:space="4" w:color="auto"/>
          <w:bottom w:val="single" w:sz="4" w:space="1" w:color="auto"/>
          <w:right w:val="single" w:sz="4" w:space="4" w:color="auto"/>
        </w:pBdr>
        <w:rPr>
          <w:noProof/>
        </w:rPr>
      </w:pPr>
      <w:r w:rsidRPr="00B612E0">
        <w:rPr>
          <w:noProof/>
        </w:rPr>
        <w:t>Las acciones que reciban asistencia financiera al amparo de la presente propuesta serán objeto de un seguimiento periódico.</w:t>
      </w:r>
    </w:p>
    <w:p w:rsidR="007D02A8" w:rsidRPr="00B612E0" w:rsidRDefault="007D02A8" w:rsidP="007D02A8">
      <w:pPr>
        <w:pStyle w:val="ManualHeading2"/>
        <w:rPr>
          <w:bCs/>
          <w:noProof/>
          <w:szCs w:val="24"/>
        </w:rPr>
      </w:pPr>
      <w:r w:rsidRPr="00B612E0">
        <w:rPr>
          <w:noProof/>
        </w:rPr>
        <w:t>2.2.</w:t>
      </w:r>
      <w:r w:rsidRPr="00B612E0">
        <w:rPr>
          <w:noProof/>
        </w:rPr>
        <w:tab/>
        <w:t xml:space="preserve">Sistema(s) de gestión y de control </w:t>
      </w:r>
    </w:p>
    <w:p w:rsidR="007D02A8" w:rsidRPr="00B612E0" w:rsidRDefault="007D02A8" w:rsidP="007D02A8">
      <w:pPr>
        <w:pStyle w:val="ManualHeading3"/>
        <w:rPr>
          <w:noProof/>
        </w:rPr>
      </w:pPr>
      <w:bookmarkStart w:id="29" w:name="_Toc514938046"/>
      <w:bookmarkStart w:id="30" w:name="_Toc520485045"/>
      <w:r w:rsidRPr="00B612E0">
        <w:rPr>
          <w:noProof/>
        </w:rPr>
        <w:t>2.2.1</w:t>
      </w:r>
      <w:r w:rsidR="002274A8">
        <w:rPr>
          <w:noProof/>
        </w:rPr>
        <w:t>.</w:t>
      </w:r>
      <w:r w:rsidRPr="00B612E0">
        <w:rPr>
          <w:noProof/>
        </w:rPr>
        <w:tab/>
        <w:t>Justificación del modo/de los modo(s) de gestión, el/los mecanismo(s) de aplicación de la financiación, de las modalidades de pago y de la estrategia de control propuestos</w:t>
      </w:r>
      <w:bookmarkEnd w:id="29"/>
      <w:bookmarkEnd w:id="30"/>
      <w:r w:rsidRPr="00B612E0">
        <w:rPr>
          <w:noProof/>
        </w:rPr>
        <w:t xml:space="preserve"> </w:t>
      </w:r>
    </w:p>
    <w:p w:rsidR="007D02A8" w:rsidRPr="00B612E0" w:rsidRDefault="007D02A8" w:rsidP="007D02A8">
      <w:pPr>
        <w:pStyle w:val="Text1"/>
        <w:pBdr>
          <w:top w:val="single" w:sz="4" w:space="1" w:color="auto"/>
          <w:left w:val="single" w:sz="4" w:space="4" w:color="auto"/>
          <w:bottom w:val="single" w:sz="4" w:space="1" w:color="auto"/>
          <w:right w:val="single" w:sz="4" w:space="4" w:color="auto"/>
        </w:pBdr>
        <w:rPr>
          <w:noProof/>
          <w:u w:val="single"/>
        </w:rPr>
      </w:pPr>
      <w:r w:rsidRPr="00B612E0">
        <w:rPr>
          <w:noProof/>
          <w:u w:val="single"/>
        </w:rPr>
        <w:t>Modo de gestión</w:t>
      </w:r>
    </w:p>
    <w:p w:rsidR="007D02A8" w:rsidRPr="00B612E0" w:rsidRDefault="007D02A8" w:rsidP="007D02A8">
      <w:pPr>
        <w:pStyle w:val="Text1"/>
        <w:pBdr>
          <w:top w:val="single" w:sz="4" w:space="1" w:color="auto"/>
          <w:left w:val="single" w:sz="4" w:space="4" w:color="auto"/>
          <w:bottom w:val="single" w:sz="4" w:space="1" w:color="auto"/>
          <w:right w:val="single" w:sz="4" w:space="4" w:color="auto"/>
        </w:pBdr>
        <w:rPr>
          <w:noProof/>
        </w:rPr>
      </w:pPr>
      <w:r w:rsidRPr="00B612E0">
        <w:rPr>
          <w:noProof/>
        </w:rPr>
        <w:t>Las acciones de apoyo a los objetivos del Reglamento se ejecutarán directamente según lo dispuesto en el Reglamento Financiero.</w:t>
      </w:r>
    </w:p>
    <w:p w:rsidR="007D02A8" w:rsidRPr="00B612E0" w:rsidRDefault="007D02A8" w:rsidP="007D02A8">
      <w:pPr>
        <w:pStyle w:val="Text1"/>
        <w:pBdr>
          <w:top w:val="single" w:sz="4" w:space="1" w:color="auto"/>
          <w:left w:val="single" w:sz="4" w:space="4" w:color="auto"/>
          <w:bottom w:val="single" w:sz="4" w:space="1" w:color="auto"/>
          <w:right w:val="single" w:sz="4" w:space="4" w:color="auto"/>
        </w:pBdr>
        <w:rPr>
          <w:noProof/>
        </w:rPr>
      </w:pPr>
      <w:r w:rsidRPr="00B612E0">
        <w:rPr>
          <w:noProof/>
        </w:rPr>
        <w:t>La Comisión prestará cualquier apoyo necesario y debidamente justificado para el desarrollo y las operaciones de cualquier infraestructura de interoperabilidad necesaria a escala de la UE. Esta configuración se considera la más adecuada para alcanzar los objetivos del Reglamento, teniendo plenamente en cuenta los principios de economía, eficiencia y mejor relación calidad-precio.</w:t>
      </w:r>
    </w:p>
    <w:p w:rsidR="007D02A8" w:rsidRPr="00B612E0" w:rsidRDefault="007D02A8" w:rsidP="007D02A8">
      <w:pPr>
        <w:pStyle w:val="Text1"/>
        <w:pBdr>
          <w:top w:val="single" w:sz="4" w:space="1" w:color="auto"/>
          <w:left w:val="single" w:sz="4" w:space="4" w:color="auto"/>
          <w:bottom w:val="single" w:sz="4" w:space="1" w:color="auto"/>
          <w:right w:val="single" w:sz="4" w:space="4" w:color="auto"/>
        </w:pBdr>
        <w:rPr>
          <w:noProof/>
          <w:u w:val="single"/>
        </w:rPr>
      </w:pPr>
      <w:r w:rsidRPr="00B612E0">
        <w:rPr>
          <w:noProof/>
          <w:u w:val="single"/>
        </w:rPr>
        <w:t>Instrumentos de financiación</w:t>
      </w:r>
    </w:p>
    <w:p w:rsidR="007D02A8" w:rsidRPr="00B612E0" w:rsidRDefault="007D02A8" w:rsidP="007D02A8">
      <w:pPr>
        <w:pStyle w:val="Text1"/>
        <w:pBdr>
          <w:top w:val="single" w:sz="4" w:space="1" w:color="auto"/>
          <w:left w:val="single" w:sz="4" w:space="4" w:color="auto"/>
          <w:bottom w:val="single" w:sz="4" w:space="1" w:color="auto"/>
          <w:right w:val="single" w:sz="4" w:space="4" w:color="auto"/>
        </w:pBdr>
        <w:rPr>
          <w:noProof/>
        </w:rPr>
      </w:pPr>
      <w:r w:rsidRPr="00B612E0">
        <w:rPr>
          <w:noProof/>
        </w:rPr>
        <w:t xml:space="preserve">Las acciones que recibirán financiación para alcanzar los objetivos del Reglamento se derivarán del Programa Europa Digital. </w:t>
      </w:r>
    </w:p>
    <w:p w:rsidR="007D02A8" w:rsidRPr="00B612E0" w:rsidRDefault="007D02A8" w:rsidP="007D02A8">
      <w:pPr>
        <w:pStyle w:val="Text1"/>
        <w:pBdr>
          <w:top w:val="single" w:sz="4" w:space="1" w:color="auto"/>
          <w:left w:val="single" w:sz="4" w:space="4" w:color="auto"/>
          <w:bottom w:val="single" w:sz="4" w:space="1" w:color="auto"/>
          <w:right w:val="single" w:sz="4" w:space="4" w:color="auto"/>
        </w:pBdr>
        <w:rPr>
          <w:noProof/>
          <w:u w:val="single"/>
        </w:rPr>
      </w:pPr>
      <w:r w:rsidRPr="00B612E0">
        <w:rPr>
          <w:noProof/>
          <w:u w:val="single"/>
        </w:rPr>
        <w:t>Estrategias de control</w:t>
      </w:r>
    </w:p>
    <w:p w:rsidR="007D02A8" w:rsidRPr="00B612E0" w:rsidRDefault="007D02A8" w:rsidP="007D02A8">
      <w:pPr>
        <w:pStyle w:val="Text1"/>
        <w:pBdr>
          <w:top w:val="single" w:sz="4" w:space="1" w:color="auto"/>
          <w:left w:val="single" w:sz="4" w:space="4" w:color="auto"/>
          <w:bottom w:val="single" w:sz="4" w:space="1" w:color="auto"/>
          <w:right w:val="single" w:sz="4" w:space="4" w:color="auto"/>
        </w:pBdr>
        <w:rPr>
          <w:noProof/>
        </w:rPr>
      </w:pPr>
      <w:r w:rsidRPr="00B612E0">
        <w:rPr>
          <w:noProof/>
        </w:rPr>
        <w:t>Las estrategias de control tendrán en cuenta el riesgo de los mecanismos de ejecución e instrumentos de financiación correspondientes.</w:t>
      </w:r>
    </w:p>
    <w:p w:rsidR="007D02A8" w:rsidRPr="00B612E0" w:rsidRDefault="007D02A8" w:rsidP="007D02A8">
      <w:pPr>
        <w:pStyle w:val="Text1"/>
        <w:pBdr>
          <w:top w:val="single" w:sz="4" w:space="1" w:color="auto"/>
          <w:left w:val="single" w:sz="4" w:space="4" w:color="auto"/>
          <w:bottom w:val="single" w:sz="4" w:space="1" w:color="auto"/>
          <w:right w:val="single" w:sz="4" w:space="4" w:color="auto"/>
        </w:pBdr>
        <w:rPr>
          <w:noProof/>
        </w:rPr>
      </w:pPr>
      <w:r w:rsidRPr="00B612E0">
        <w:rPr>
          <w:noProof/>
        </w:rPr>
        <w:t>En el caso de las subvenciones, la estrategia de control se establecerá en consecuencia y se centrará en tres fases clave de la ejecución de las subvenciones, de conformidad con el Reglamento Financiero:</w:t>
      </w:r>
    </w:p>
    <w:p w:rsidR="007D02A8" w:rsidRPr="00B612E0" w:rsidRDefault="007D02A8" w:rsidP="007D02A8">
      <w:pPr>
        <w:pStyle w:val="Text1"/>
        <w:pBdr>
          <w:top w:val="single" w:sz="4" w:space="1" w:color="auto"/>
          <w:left w:val="single" w:sz="4" w:space="4" w:color="auto"/>
          <w:bottom w:val="single" w:sz="4" w:space="1" w:color="auto"/>
          <w:right w:val="single" w:sz="4" w:space="4" w:color="auto"/>
        </w:pBdr>
        <w:rPr>
          <w:noProof/>
        </w:rPr>
      </w:pPr>
      <w:r w:rsidRPr="00B612E0">
        <w:rPr>
          <w:noProof/>
        </w:rPr>
        <w:t>a. organización de convocatorias y selección de propuestas que se ajusten a los objetivos políticos del Reglamento;</w:t>
      </w:r>
    </w:p>
    <w:p w:rsidR="007D02A8" w:rsidRPr="00B612E0" w:rsidRDefault="007D02A8" w:rsidP="007D02A8">
      <w:pPr>
        <w:pStyle w:val="Text1"/>
        <w:pBdr>
          <w:top w:val="single" w:sz="4" w:space="1" w:color="auto"/>
          <w:left w:val="single" w:sz="4" w:space="4" w:color="auto"/>
          <w:bottom w:val="single" w:sz="4" w:space="1" w:color="auto"/>
          <w:right w:val="single" w:sz="4" w:space="4" w:color="auto"/>
        </w:pBdr>
        <w:rPr>
          <w:noProof/>
        </w:rPr>
      </w:pPr>
      <w:r w:rsidRPr="00B612E0">
        <w:rPr>
          <w:noProof/>
        </w:rPr>
        <w:t>b. controles operativos, de seguimiento y previos que abarquen la ejecución del proyecto, la contratación pública, la prefinanciación y los pagos intermedios y finales;</w:t>
      </w:r>
    </w:p>
    <w:p w:rsidR="007D02A8" w:rsidRPr="00B612E0" w:rsidRDefault="007D02A8" w:rsidP="007D02A8">
      <w:pPr>
        <w:pStyle w:val="Text1"/>
        <w:pBdr>
          <w:top w:val="single" w:sz="4" w:space="1" w:color="auto"/>
          <w:left w:val="single" w:sz="4" w:space="4" w:color="auto"/>
          <w:bottom w:val="single" w:sz="4" w:space="1" w:color="auto"/>
          <w:right w:val="single" w:sz="4" w:space="4" w:color="auto"/>
        </w:pBdr>
        <w:rPr>
          <w:noProof/>
        </w:rPr>
      </w:pPr>
      <w:r w:rsidRPr="00B612E0">
        <w:rPr>
          <w:noProof/>
        </w:rPr>
        <w:t xml:space="preserve">c. controles </w:t>
      </w:r>
      <w:r w:rsidRPr="00B612E0">
        <w:rPr>
          <w:i/>
          <w:iCs/>
          <w:noProof/>
        </w:rPr>
        <w:t>a posteriori</w:t>
      </w:r>
      <w:r w:rsidRPr="00B612E0">
        <w:rPr>
          <w:noProof/>
        </w:rPr>
        <w:t xml:space="preserve"> de los proyectos y pagos.</w:t>
      </w:r>
    </w:p>
    <w:p w:rsidR="007D02A8" w:rsidRPr="00B612E0" w:rsidRDefault="007D02A8" w:rsidP="007D02A8">
      <w:pPr>
        <w:pStyle w:val="ManualHeading3"/>
        <w:rPr>
          <w:bCs/>
          <w:noProof/>
          <w:szCs w:val="24"/>
        </w:rPr>
      </w:pPr>
      <w:bookmarkStart w:id="31" w:name="_Toc514938047"/>
      <w:bookmarkStart w:id="32" w:name="_Toc520485046"/>
      <w:r w:rsidRPr="00B612E0">
        <w:rPr>
          <w:noProof/>
        </w:rPr>
        <w:t>2.2.2</w:t>
      </w:r>
      <w:r w:rsidR="002274A8">
        <w:rPr>
          <w:noProof/>
        </w:rPr>
        <w:t>.</w:t>
      </w:r>
      <w:r w:rsidRPr="00B612E0">
        <w:rPr>
          <w:noProof/>
        </w:rPr>
        <w:tab/>
        <w:t>Información relativa a los riesgos identificados y al/a los sistema(s) de control interno establecidos para atenuarlos</w:t>
      </w:r>
      <w:bookmarkEnd w:id="31"/>
      <w:bookmarkEnd w:id="32"/>
    </w:p>
    <w:p w:rsidR="007D02A8" w:rsidRPr="00B612E0" w:rsidRDefault="007D02A8" w:rsidP="007D02A8">
      <w:pPr>
        <w:pStyle w:val="Text1"/>
        <w:pBdr>
          <w:top w:val="single" w:sz="4" w:space="1" w:color="auto"/>
          <w:left w:val="single" w:sz="4" w:space="4" w:color="auto"/>
          <w:bottom w:val="single" w:sz="4" w:space="1" w:color="auto"/>
          <w:right w:val="single" w:sz="4" w:space="4" w:color="auto"/>
        </w:pBdr>
        <w:rPr>
          <w:noProof/>
        </w:rPr>
      </w:pPr>
      <w:r w:rsidRPr="00B612E0">
        <w:rPr>
          <w:noProof/>
        </w:rPr>
        <w:t xml:space="preserve">Las funciones de control clave del programa previstas incluyen la concentración en los objetivos políticos, teniendo en cuenta al mismo tiempo los objetivos de control interno (legalidad y regularidad, eficiencia de los controles y rentabilidad). Dichas funciones tendrán como objetivo garantizar la participación de todos los agentes, la flexibilidad presupuestaria adecuada y la coherencia de los controles previos y </w:t>
      </w:r>
      <w:r w:rsidRPr="00B612E0">
        <w:rPr>
          <w:i/>
          <w:iCs/>
          <w:noProof/>
        </w:rPr>
        <w:t>a posteriori</w:t>
      </w:r>
      <w:r w:rsidRPr="00B612E0">
        <w:rPr>
          <w:noProof/>
        </w:rPr>
        <w:t>, y podrán ser diferenciadas en función del riesgo.</w:t>
      </w:r>
    </w:p>
    <w:p w:rsidR="007D02A8" w:rsidRPr="00B612E0" w:rsidRDefault="007D02A8" w:rsidP="007D02A8">
      <w:pPr>
        <w:pStyle w:val="Text1"/>
        <w:pBdr>
          <w:top w:val="single" w:sz="4" w:space="1" w:color="auto"/>
          <w:left w:val="single" w:sz="4" w:space="4" w:color="auto"/>
          <w:bottom w:val="single" w:sz="4" w:space="1" w:color="auto"/>
          <w:right w:val="single" w:sz="4" w:space="4" w:color="auto"/>
        </w:pBdr>
        <w:rPr>
          <w:noProof/>
        </w:rPr>
      </w:pPr>
      <w:r w:rsidRPr="00B612E0">
        <w:rPr>
          <w:noProof/>
        </w:rPr>
        <w:t>El vigente sistema de control interno de la Comisión se aplica para garantizar que los fondos disponibles en el marco de</w:t>
      </w:r>
      <w:r w:rsidR="002274A8">
        <w:rPr>
          <w:noProof/>
        </w:rPr>
        <w:t>l</w:t>
      </w:r>
      <w:r w:rsidRPr="00B612E0">
        <w:rPr>
          <w:noProof/>
        </w:rPr>
        <w:t xml:space="preserve"> PED se utilicen correctamente y en consonancia con la legislación pertinente.</w:t>
      </w:r>
    </w:p>
    <w:p w:rsidR="007D02A8" w:rsidRPr="00B612E0" w:rsidRDefault="007D02A8" w:rsidP="007D02A8">
      <w:pPr>
        <w:pStyle w:val="Text1"/>
        <w:pBdr>
          <w:top w:val="single" w:sz="4" w:space="1" w:color="auto"/>
          <w:left w:val="single" w:sz="4" w:space="4" w:color="auto"/>
          <w:bottom w:val="single" w:sz="4" w:space="1" w:color="auto"/>
          <w:right w:val="single" w:sz="4" w:space="4" w:color="auto"/>
        </w:pBdr>
        <w:rPr>
          <w:noProof/>
        </w:rPr>
      </w:pPr>
      <w:r w:rsidRPr="00B612E0">
        <w:rPr>
          <w:noProof/>
        </w:rPr>
        <w:t>El sistema vigente está establecido como sigue:</w:t>
      </w:r>
    </w:p>
    <w:p w:rsidR="007D02A8" w:rsidRPr="00B612E0" w:rsidRDefault="007D02A8" w:rsidP="007D02A8">
      <w:pPr>
        <w:pStyle w:val="Text1"/>
        <w:pBdr>
          <w:top w:val="single" w:sz="4" w:space="1" w:color="auto"/>
          <w:left w:val="single" w:sz="4" w:space="4" w:color="auto"/>
          <w:bottom w:val="single" w:sz="4" w:space="1" w:color="auto"/>
          <w:right w:val="single" w:sz="4" w:space="4" w:color="auto"/>
        </w:pBdr>
        <w:rPr>
          <w:noProof/>
        </w:rPr>
      </w:pPr>
      <w:r w:rsidRPr="00B612E0">
        <w:rPr>
          <w:noProof/>
        </w:rPr>
        <w:t>a. El equipo de control interno de la DG CONNECT se centra en el cumplimiento de los procedimientos administrativos y la legislación vigente. El marco de control interno de la Comisión se utiliza para este fin. Otros servicios de la Comisión que participan en la aplicación del instrumento se atendrán al mismo marco de control.</w:t>
      </w:r>
    </w:p>
    <w:p w:rsidR="007D02A8" w:rsidRPr="00B612E0" w:rsidRDefault="007D02A8" w:rsidP="007D02A8">
      <w:pPr>
        <w:pStyle w:val="Text1"/>
        <w:pBdr>
          <w:top w:val="single" w:sz="4" w:space="1" w:color="auto"/>
          <w:left w:val="single" w:sz="4" w:space="4" w:color="auto"/>
          <w:bottom w:val="single" w:sz="4" w:space="1" w:color="auto"/>
          <w:right w:val="single" w:sz="4" w:space="4" w:color="auto"/>
        </w:pBdr>
        <w:rPr>
          <w:noProof/>
        </w:rPr>
      </w:pPr>
      <w:r w:rsidRPr="00B612E0">
        <w:rPr>
          <w:noProof/>
        </w:rPr>
        <w:t>b. La auditoría periódica de subvenciones y contratos por auditores externos, que se adjudicará en virtud del presente Reglamento, se integrará plenamente en los planes anuales de auditoría.</w:t>
      </w:r>
    </w:p>
    <w:p w:rsidR="007D02A8" w:rsidRPr="00B612E0" w:rsidRDefault="007D02A8" w:rsidP="007D02A8">
      <w:pPr>
        <w:pStyle w:val="Text1"/>
        <w:pBdr>
          <w:top w:val="single" w:sz="4" w:space="1" w:color="auto"/>
          <w:left w:val="single" w:sz="4" w:space="4" w:color="auto"/>
          <w:bottom w:val="single" w:sz="4" w:space="1" w:color="auto"/>
          <w:right w:val="single" w:sz="4" w:space="4" w:color="auto"/>
        </w:pBdr>
        <w:rPr>
          <w:noProof/>
        </w:rPr>
      </w:pPr>
      <w:r w:rsidRPr="00B612E0">
        <w:rPr>
          <w:noProof/>
        </w:rPr>
        <w:t>c. La evaluación de las actividades por evaluadores externos.</w:t>
      </w:r>
    </w:p>
    <w:p w:rsidR="007D02A8" w:rsidRPr="00B612E0" w:rsidRDefault="007D02A8" w:rsidP="007D02A8">
      <w:pPr>
        <w:pStyle w:val="Text1"/>
        <w:pBdr>
          <w:top w:val="single" w:sz="4" w:space="1" w:color="auto"/>
          <w:left w:val="single" w:sz="4" w:space="4" w:color="auto"/>
          <w:bottom w:val="single" w:sz="4" w:space="1" w:color="auto"/>
          <w:right w:val="single" w:sz="4" w:space="4" w:color="auto"/>
        </w:pBdr>
        <w:rPr>
          <w:noProof/>
        </w:rPr>
      </w:pPr>
      <w:r w:rsidRPr="00B612E0">
        <w:rPr>
          <w:noProof/>
        </w:rPr>
        <w:t>Las acciones llevadas a cabo podrán ser auditadas por la Oficina Europea de Lucha contra el Fraude (OLAF) y el Tribunal de Cuentas.</w:t>
      </w:r>
    </w:p>
    <w:p w:rsidR="007D02A8" w:rsidRPr="00B612E0" w:rsidRDefault="007D02A8" w:rsidP="007D02A8">
      <w:pPr>
        <w:pStyle w:val="ManualHeading3"/>
        <w:rPr>
          <w:noProof/>
        </w:rPr>
      </w:pPr>
      <w:bookmarkStart w:id="33" w:name="_Toc514938048"/>
      <w:bookmarkStart w:id="34" w:name="_Toc520485047"/>
      <w:r w:rsidRPr="00B612E0">
        <w:rPr>
          <w:noProof/>
        </w:rPr>
        <w:t>2.2.3</w:t>
      </w:r>
      <w:r w:rsidR="002274A8">
        <w:rPr>
          <w:noProof/>
        </w:rPr>
        <w:t>.</w:t>
      </w:r>
      <w:r w:rsidRPr="00B612E0">
        <w:rPr>
          <w:noProof/>
        </w:rPr>
        <w:tab/>
        <w:t>Estimación y justificación de la relación coste/beneficio de los controles (ratio «gastos de control ÷ valor de los correspondientes fondos gestionados»), y evaluación del nivel esperado de riesgo de error (al pago y al cierre)</w:t>
      </w:r>
      <w:bookmarkEnd w:id="33"/>
      <w:bookmarkEnd w:id="34"/>
      <w:r w:rsidRPr="00B612E0">
        <w:rPr>
          <w:noProof/>
        </w:rPr>
        <w:t xml:space="preserve"> </w:t>
      </w:r>
    </w:p>
    <w:p w:rsidR="007D02A8" w:rsidRPr="00B612E0" w:rsidRDefault="007D02A8" w:rsidP="007D02A8">
      <w:pPr>
        <w:pStyle w:val="Text1"/>
        <w:pBdr>
          <w:top w:val="single" w:sz="4" w:space="1" w:color="auto"/>
          <w:left w:val="single" w:sz="4" w:space="4" w:color="auto"/>
          <w:bottom w:val="single" w:sz="4" w:space="1" w:color="auto"/>
          <w:right w:val="single" w:sz="4" w:space="4" w:color="auto"/>
        </w:pBdr>
        <w:rPr>
          <w:noProof/>
          <w:u w:val="single"/>
        </w:rPr>
      </w:pPr>
      <w:r w:rsidRPr="00B612E0">
        <w:rPr>
          <w:noProof/>
          <w:u w:val="single"/>
        </w:rPr>
        <w:t>Nivel estimado de error</w:t>
      </w:r>
    </w:p>
    <w:p w:rsidR="007D02A8" w:rsidRPr="00B612E0" w:rsidRDefault="007D02A8" w:rsidP="007D02A8">
      <w:pPr>
        <w:pStyle w:val="Text1"/>
        <w:pBdr>
          <w:top w:val="single" w:sz="4" w:space="1" w:color="auto"/>
          <w:left w:val="single" w:sz="4" w:space="4" w:color="auto"/>
          <w:bottom w:val="single" w:sz="4" w:space="1" w:color="auto"/>
          <w:right w:val="single" w:sz="4" w:space="4" w:color="auto"/>
        </w:pBdr>
        <w:rPr>
          <w:noProof/>
        </w:rPr>
      </w:pPr>
      <w:r w:rsidRPr="00B612E0">
        <w:rPr>
          <w:noProof/>
        </w:rPr>
        <w:t>El objetivo es mantener un porcentaje de error residual por debajo del umbral del 2</w:t>
      </w:r>
      <w:r w:rsidR="002274A8">
        <w:rPr>
          <w:noProof/>
        </w:rPr>
        <w:t> </w:t>
      </w:r>
      <w:r w:rsidRPr="00B612E0">
        <w:rPr>
          <w:noProof/>
        </w:rPr>
        <w:t>% para todos los gastos relacionados con la aplicación de las medidas para alcanzar el objetivo del Reglamento, limitando al mismo tiempo la carga de control de los Estados miembros para lograr el equilibrio adecuado entre el objetivo de legalidad y regularidad y otros objetivos, como la eficacia del marco del certificado COVID digital de la UE.</w:t>
      </w:r>
    </w:p>
    <w:p w:rsidR="007D02A8" w:rsidRPr="00B612E0" w:rsidRDefault="007D02A8" w:rsidP="007D02A8">
      <w:pPr>
        <w:pStyle w:val="ManualHeading2"/>
        <w:rPr>
          <w:bCs/>
          <w:noProof/>
          <w:szCs w:val="24"/>
        </w:rPr>
      </w:pPr>
      <w:r w:rsidRPr="00B612E0">
        <w:rPr>
          <w:noProof/>
        </w:rPr>
        <w:t>2.3.</w:t>
      </w:r>
      <w:r w:rsidRPr="00B612E0">
        <w:rPr>
          <w:noProof/>
        </w:rPr>
        <w:tab/>
        <w:t xml:space="preserve">Medidas de prevención del fraude y de las irregularidades </w:t>
      </w:r>
    </w:p>
    <w:p w:rsidR="007D02A8" w:rsidRPr="00B612E0" w:rsidRDefault="007D02A8" w:rsidP="007D02A8">
      <w:pPr>
        <w:pStyle w:val="Text1"/>
        <w:rPr>
          <w:i/>
          <w:noProof/>
          <w:sz w:val="20"/>
        </w:rPr>
      </w:pPr>
      <w:r w:rsidRPr="00B612E0">
        <w:rPr>
          <w:i/>
          <w:noProof/>
          <w:sz w:val="20"/>
        </w:rPr>
        <w:t>Especifíquense las medidas de prevención y protección existentes o previstas, por ejemplo, la estrategia contra el fraude.</w:t>
      </w:r>
    </w:p>
    <w:p w:rsidR="007D02A8" w:rsidRPr="00B612E0" w:rsidRDefault="007D02A8" w:rsidP="007D02A8">
      <w:pPr>
        <w:pStyle w:val="Text1"/>
        <w:pBdr>
          <w:top w:val="single" w:sz="4" w:space="1" w:color="auto"/>
          <w:left w:val="single" w:sz="4" w:space="4" w:color="auto"/>
          <w:bottom w:val="single" w:sz="4" w:space="1" w:color="auto"/>
          <w:right w:val="single" w:sz="4" w:space="4" w:color="auto"/>
        </w:pBdr>
        <w:rPr>
          <w:noProof/>
        </w:rPr>
      </w:pPr>
      <w:r w:rsidRPr="00B612E0">
        <w:rPr>
          <w:noProof/>
        </w:rPr>
        <w:t xml:space="preserve">La DG CONNECT está decidida a luchar contra el fraude en todas las fases del proceso de gestión. La DG ha desarrollado y aplicado una estrategia de lucha contra el fraude que abarca todas las principales actividades empresariales y los riesgos de fraude detectados. Esto incluye un mayor uso de inteligencia, mediante herramientas informáticas avanzadas (especialmente en gestión de subvenciones) y la formación e información continuas del personal. En general, el conjunto de medidas de control propuestas también tiene como objetivo tener una incidencia positiva en la lucha contra el fraude. </w:t>
      </w:r>
    </w:p>
    <w:p w:rsidR="007D02A8" w:rsidRPr="00B612E0" w:rsidRDefault="007D02A8" w:rsidP="007D02A8">
      <w:pPr>
        <w:pStyle w:val="Text1"/>
        <w:pBdr>
          <w:top w:val="single" w:sz="4" w:space="1" w:color="auto"/>
          <w:left w:val="single" w:sz="4" w:space="4" w:color="auto"/>
          <w:bottom w:val="single" w:sz="4" w:space="1" w:color="auto"/>
          <w:right w:val="single" w:sz="4" w:space="4" w:color="auto"/>
        </w:pBdr>
        <w:rPr>
          <w:noProof/>
        </w:rPr>
      </w:pPr>
      <w:r w:rsidRPr="00B612E0">
        <w:rPr>
          <w:noProof/>
        </w:rPr>
        <w:t>La legislación garantizará que los servicios de la Comisión, incluida la OLAF, puedan llevar a cabo controles clave tales como auditorías o controles sobre el terreno, utilizando las disposiciones normativas recomendadas por la OLAF.</w:t>
      </w:r>
    </w:p>
    <w:p w:rsidR="007D02A8" w:rsidRPr="00B612E0" w:rsidRDefault="007D02A8" w:rsidP="007D02A8">
      <w:pPr>
        <w:pStyle w:val="ManualHeading1"/>
        <w:rPr>
          <w:bCs/>
          <w:noProof/>
          <w:szCs w:val="24"/>
        </w:rPr>
      </w:pPr>
      <w:r w:rsidRPr="00B612E0">
        <w:rPr>
          <w:noProof/>
        </w:rPr>
        <w:t>3.</w:t>
      </w:r>
      <w:r w:rsidRPr="00B612E0">
        <w:rPr>
          <w:noProof/>
        </w:rPr>
        <w:tab/>
        <w:t xml:space="preserve">INCIDENCIA FINANCIERA ESTIMADA DE LA PROPUESTA/INICIATIVA </w:t>
      </w:r>
    </w:p>
    <w:p w:rsidR="007D02A8" w:rsidRPr="00B612E0" w:rsidRDefault="007D02A8" w:rsidP="007D02A8">
      <w:pPr>
        <w:pStyle w:val="ManualHeading2"/>
        <w:rPr>
          <w:noProof/>
        </w:rPr>
      </w:pPr>
      <w:r w:rsidRPr="00B612E0">
        <w:rPr>
          <w:noProof/>
        </w:rPr>
        <w:t>3.1.</w:t>
      </w:r>
      <w:r w:rsidRPr="00B612E0">
        <w:rPr>
          <w:noProof/>
        </w:rPr>
        <w:tab/>
        <w:t xml:space="preserve">Rúbrica(s) del marco financiero plurianual y línea(s) presupuestaria(s) de gastos afectada(s) </w:t>
      </w:r>
    </w:p>
    <w:p w:rsidR="007D02A8" w:rsidRPr="00B612E0" w:rsidRDefault="007D02A8" w:rsidP="007D02A8">
      <w:pPr>
        <w:pStyle w:val="ListBullet1"/>
        <w:rPr>
          <w:noProof/>
        </w:rPr>
      </w:pPr>
      <w:r w:rsidRPr="00B612E0">
        <w:rPr>
          <w:noProof/>
        </w:rPr>
        <w:t xml:space="preserve">Líneas presupuestarias existentes </w:t>
      </w:r>
    </w:p>
    <w:p w:rsidR="007D02A8" w:rsidRPr="00B612E0" w:rsidRDefault="007D02A8" w:rsidP="007D02A8">
      <w:pPr>
        <w:pStyle w:val="Text1"/>
        <w:rPr>
          <w:i/>
          <w:noProof/>
        </w:rPr>
      </w:pPr>
      <w:r w:rsidRPr="00B612E0">
        <w:rPr>
          <w:i/>
          <w:noProof/>
          <w:u w:val="single"/>
        </w:rPr>
        <w:t>En el orden</w:t>
      </w:r>
      <w:r w:rsidRPr="00B612E0">
        <w:rPr>
          <w:i/>
          <w:noProof/>
        </w:rPr>
        <w:t xml:space="preserve"> de las rúbricas del marco financiero plurianual y las líneas presupuestarias.</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816"/>
        <w:gridCol w:w="1134"/>
        <w:gridCol w:w="1046"/>
        <w:gridCol w:w="1080"/>
        <w:gridCol w:w="956"/>
        <w:gridCol w:w="1448"/>
      </w:tblGrid>
      <w:tr w:rsidR="007D02A8" w:rsidRPr="00B612E0" w:rsidTr="00B612E0">
        <w:tc>
          <w:tcPr>
            <w:tcW w:w="1080" w:type="dxa"/>
            <w:vMerge w:val="restart"/>
            <w:vAlign w:val="center"/>
          </w:tcPr>
          <w:p w:rsidR="007D02A8" w:rsidRPr="00B612E0" w:rsidRDefault="007D02A8" w:rsidP="00B612E0">
            <w:pPr>
              <w:spacing w:before="60" w:after="60"/>
              <w:jc w:val="center"/>
              <w:rPr>
                <w:noProof/>
              </w:rPr>
            </w:pPr>
            <w:r w:rsidRPr="00B612E0">
              <w:rPr>
                <w:noProof/>
                <w:sz w:val="18"/>
              </w:rPr>
              <w:t>Rúbrica del marco financiero plurianual</w:t>
            </w:r>
          </w:p>
        </w:tc>
        <w:tc>
          <w:tcPr>
            <w:tcW w:w="3816" w:type="dxa"/>
            <w:vAlign w:val="center"/>
          </w:tcPr>
          <w:p w:rsidR="007D02A8" w:rsidRPr="00B612E0" w:rsidRDefault="007D02A8" w:rsidP="00B612E0">
            <w:pPr>
              <w:spacing w:before="60" w:after="60"/>
              <w:jc w:val="center"/>
              <w:rPr>
                <w:noProof/>
              </w:rPr>
            </w:pPr>
            <w:r w:rsidRPr="00B612E0">
              <w:rPr>
                <w:noProof/>
                <w:sz w:val="20"/>
              </w:rPr>
              <w:t>Línea presupuestaria</w:t>
            </w:r>
          </w:p>
        </w:tc>
        <w:tc>
          <w:tcPr>
            <w:tcW w:w="1134" w:type="dxa"/>
            <w:vAlign w:val="center"/>
          </w:tcPr>
          <w:p w:rsidR="007D02A8" w:rsidRPr="00B612E0" w:rsidRDefault="007D02A8" w:rsidP="00B612E0">
            <w:pPr>
              <w:spacing w:before="60" w:after="60"/>
              <w:jc w:val="center"/>
              <w:rPr>
                <w:noProof/>
              </w:rPr>
            </w:pPr>
            <w:r w:rsidRPr="00B612E0">
              <w:rPr>
                <w:noProof/>
                <w:sz w:val="18"/>
              </w:rPr>
              <w:t>Tipo de</w:t>
            </w:r>
            <w:r w:rsidRPr="00B612E0">
              <w:rPr>
                <w:noProof/>
              </w:rPr>
              <w:t xml:space="preserve"> </w:t>
            </w:r>
            <w:r w:rsidRPr="00B612E0">
              <w:rPr>
                <w:noProof/>
              </w:rPr>
              <w:br/>
            </w:r>
            <w:r w:rsidRPr="00B612E0">
              <w:rPr>
                <w:noProof/>
                <w:sz w:val="18"/>
              </w:rPr>
              <w:t>gasto</w:t>
            </w:r>
          </w:p>
        </w:tc>
        <w:tc>
          <w:tcPr>
            <w:tcW w:w="4530" w:type="dxa"/>
            <w:gridSpan w:val="4"/>
            <w:vAlign w:val="center"/>
          </w:tcPr>
          <w:p w:rsidR="007D02A8" w:rsidRPr="00B612E0" w:rsidRDefault="007D02A8" w:rsidP="00B612E0">
            <w:pPr>
              <w:spacing w:before="60" w:after="60"/>
              <w:jc w:val="center"/>
              <w:rPr>
                <w:noProof/>
              </w:rPr>
            </w:pPr>
            <w:r w:rsidRPr="00B612E0">
              <w:rPr>
                <w:noProof/>
                <w:sz w:val="20"/>
              </w:rPr>
              <w:t xml:space="preserve">Contribución </w:t>
            </w:r>
          </w:p>
        </w:tc>
      </w:tr>
      <w:tr w:rsidR="007D02A8" w:rsidRPr="00B612E0" w:rsidTr="00B612E0">
        <w:tc>
          <w:tcPr>
            <w:tcW w:w="1080" w:type="dxa"/>
            <w:vMerge/>
            <w:vAlign w:val="center"/>
          </w:tcPr>
          <w:p w:rsidR="007D02A8" w:rsidRPr="00B612E0" w:rsidRDefault="007D02A8" w:rsidP="00B612E0">
            <w:pPr>
              <w:jc w:val="center"/>
              <w:rPr>
                <w:noProof/>
              </w:rPr>
            </w:pPr>
          </w:p>
        </w:tc>
        <w:tc>
          <w:tcPr>
            <w:tcW w:w="3816" w:type="dxa"/>
            <w:vAlign w:val="center"/>
          </w:tcPr>
          <w:p w:rsidR="007D02A8" w:rsidRPr="00B612E0" w:rsidRDefault="007D02A8" w:rsidP="00B612E0">
            <w:pPr>
              <w:rPr>
                <w:noProof/>
              </w:rPr>
            </w:pPr>
            <w:r w:rsidRPr="00B612E0">
              <w:rPr>
                <w:noProof/>
                <w:sz w:val="20"/>
              </w:rPr>
              <w:t>Número</w:t>
            </w:r>
            <w:r w:rsidR="00F376EC">
              <w:rPr>
                <w:noProof/>
                <w:sz w:val="20"/>
              </w:rPr>
              <w:t xml:space="preserve"> </w:t>
            </w:r>
            <w:r w:rsidRPr="00B612E0">
              <w:rPr>
                <w:noProof/>
              </w:rPr>
              <w:br/>
            </w:r>
          </w:p>
        </w:tc>
        <w:tc>
          <w:tcPr>
            <w:tcW w:w="1134" w:type="dxa"/>
            <w:vAlign w:val="center"/>
          </w:tcPr>
          <w:p w:rsidR="007D02A8" w:rsidRPr="00B612E0" w:rsidRDefault="007D02A8" w:rsidP="00B612E0">
            <w:pPr>
              <w:jc w:val="center"/>
              <w:rPr>
                <w:noProof/>
              </w:rPr>
            </w:pPr>
            <w:r w:rsidRPr="00B612E0">
              <w:rPr>
                <w:noProof/>
              </w:rPr>
              <w:t>CD/CND</w:t>
            </w:r>
            <w:r w:rsidRPr="004F35E2">
              <w:rPr>
                <w:rStyle w:val="FootnoteReference"/>
                <w:noProof/>
              </w:rPr>
              <w:footnoteReference w:id="39"/>
            </w:r>
          </w:p>
        </w:tc>
        <w:tc>
          <w:tcPr>
            <w:tcW w:w="1046" w:type="dxa"/>
            <w:vAlign w:val="center"/>
          </w:tcPr>
          <w:p w:rsidR="007D02A8" w:rsidRPr="00B612E0" w:rsidRDefault="007D02A8" w:rsidP="00B612E0">
            <w:pPr>
              <w:jc w:val="center"/>
              <w:rPr>
                <w:noProof/>
              </w:rPr>
            </w:pPr>
            <w:r w:rsidRPr="00B612E0">
              <w:rPr>
                <w:noProof/>
                <w:sz w:val="18"/>
              </w:rPr>
              <w:t>de países de la AELC</w:t>
            </w:r>
            <w:r w:rsidRPr="00B612E0">
              <w:rPr>
                <w:rStyle w:val="FootnoteReference"/>
                <w:noProof/>
                <w:sz w:val="18"/>
              </w:rPr>
              <w:footnoteReference w:id="40"/>
            </w:r>
          </w:p>
          <w:p w:rsidR="007D02A8" w:rsidRPr="00B612E0" w:rsidRDefault="007D02A8" w:rsidP="00B612E0">
            <w:pPr>
              <w:spacing w:before="0" w:after="0"/>
              <w:jc w:val="center"/>
              <w:rPr>
                <w:b/>
                <w:noProof/>
                <w:sz w:val="18"/>
              </w:rPr>
            </w:pPr>
          </w:p>
        </w:tc>
        <w:tc>
          <w:tcPr>
            <w:tcW w:w="1080" w:type="dxa"/>
            <w:vAlign w:val="center"/>
          </w:tcPr>
          <w:p w:rsidR="007D02A8" w:rsidRPr="00B612E0" w:rsidRDefault="007D02A8" w:rsidP="00B612E0">
            <w:pPr>
              <w:jc w:val="center"/>
              <w:rPr>
                <w:noProof/>
              </w:rPr>
            </w:pPr>
            <w:r w:rsidRPr="00B612E0">
              <w:rPr>
                <w:noProof/>
                <w:sz w:val="18"/>
              </w:rPr>
              <w:t>de países candidatos</w:t>
            </w:r>
            <w:r w:rsidRPr="00B612E0">
              <w:rPr>
                <w:rStyle w:val="FootnoteReference"/>
                <w:noProof/>
                <w:sz w:val="18"/>
              </w:rPr>
              <w:footnoteReference w:id="41"/>
            </w:r>
          </w:p>
          <w:p w:rsidR="007D02A8" w:rsidRPr="00B612E0" w:rsidRDefault="007D02A8" w:rsidP="00B612E0">
            <w:pPr>
              <w:spacing w:before="0" w:after="0"/>
              <w:jc w:val="center"/>
              <w:rPr>
                <w:noProof/>
                <w:sz w:val="18"/>
              </w:rPr>
            </w:pPr>
          </w:p>
        </w:tc>
        <w:tc>
          <w:tcPr>
            <w:tcW w:w="956" w:type="dxa"/>
            <w:vAlign w:val="center"/>
          </w:tcPr>
          <w:p w:rsidR="007D02A8" w:rsidRPr="00B612E0" w:rsidRDefault="007D02A8" w:rsidP="00B612E0">
            <w:pPr>
              <w:jc w:val="center"/>
              <w:rPr>
                <w:noProof/>
                <w:sz w:val="18"/>
              </w:rPr>
            </w:pPr>
            <w:r w:rsidRPr="00B612E0">
              <w:rPr>
                <w:noProof/>
                <w:sz w:val="18"/>
              </w:rPr>
              <w:t>de terceros países</w:t>
            </w:r>
          </w:p>
        </w:tc>
        <w:tc>
          <w:tcPr>
            <w:tcW w:w="1448" w:type="dxa"/>
            <w:vAlign w:val="center"/>
          </w:tcPr>
          <w:p w:rsidR="007D02A8" w:rsidRPr="00B612E0" w:rsidRDefault="007D02A8" w:rsidP="00B612E0">
            <w:pPr>
              <w:jc w:val="center"/>
              <w:rPr>
                <w:noProof/>
              </w:rPr>
            </w:pPr>
            <w:r w:rsidRPr="00B612E0">
              <w:rPr>
                <w:noProof/>
                <w:sz w:val="16"/>
              </w:rPr>
              <w:t xml:space="preserve">en el sentido del artículo 21.2.b), del Reglamento Financiero </w:t>
            </w:r>
          </w:p>
        </w:tc>
      </w:tr>
      <w:tr w:rsidR="007D02A8" w:rsidRPr="00B612E0" w:rsidTr="00B612E0">
        <w:tc>
          <w:tcPr>
            <w:tcW w:w="1080" w:type="dxa"/>
            <w:vAlign w:val="center"/>
          </w:tcPr>
          <w:p w:rsidR="007D02A8" w:rsidRPr="00B612E0" w:rsidRDefault="007D02A8" w:rsidP="00B612E0">
            <w:pPr>
              <w:spacing w:before="240" w:line="480" w:lineRule="auto"/>
              <w:jc w:val="center"/>
              <w:rPr>
                <w:noProof/>
              </w:rPr>
            </w:pPr>
            <w:r w:rsidRPr="00B612E0">
              <w:rPr>
                <w:noProof/>
              </w:rPr>
              <w:t>01</w:t>
            </w:r>
          </w:p>
        </w:tc>
        <w:tc>
          <w:tcPr>
            <w:tcW w:w="3816" w:type="dxa"/>
            <w:vAlign w:val="center"/>
          </w:tcPr>
          <w:p w:rsidR="007D02A8" w:rsidRPr="00B612E0" w:rsidRDefault="007D02A8" w:rsidP="00B612E0">
            <w:pPr>
              <w:spacing w:before="60"/>
              <w:rPr>
                <w:noProof/>
                <w:sz w:val="22"/>
              </w:rPr>
            </w:pPr>
            <w:r w:rsidRPr="00B612E0">
              <w:rPr>
                <w:noProof/>
                <w:sz w:val="22"/>
              </w:rPr>
              <w:t>02 04 Programa Europa Digital</w:t>
            </w:r>
          </w:p>
        </w:tc>
        <w:tc>
          <w:tcPr>
            <w:tcW w:w="1134" w:type="dxa"/>
            <w:vAlign w:val="center"/>
          </w:tcPr>
          <w:p w:rsidR="007D02A8" w:rsidRPr="00B612E0" w:rsidRDefault="007D02A8" w:rsidP="002274A8">
            <w:pPr>
              <w:jc w:val="center"/>
              <w:rPr>
                <w:noProof/>
                <w:sz w:val="22"/>
              </w:rPr>
            </w:pPr>
            <w:r w:rsidRPr="00B612E0">
              <w:rPr>
                <w:noProof/>
                <w:sz w:val="22"/>
              </w:rPr>
              <w:t>CD</w:t>
            </w:r>
          </w:p>
        </w:tc>
        <w:tc>
          <w:tcPr>
            <w:tcW w:w="1046" w:type="dxa"/>
            <w:vAlign w:val="center"/>
          </w:tcPr>
          <w:p w:rsidR="007D02A8" w:rsidRPr="00B612E0" w:rsidRDefault="007D02A8" w:rsidP="00B612E0">
            <w:pPr>
              <w:jc w:val="center"/>
              <w:rPr>
                <w:noProof/>
                <w:sz w:val="20"/>
                <w:szCs w:val="20"/>
              </w:rPr>
            </w:pPr>
            <w:r w:rsidRPr="00B612E0">
              <w:rPr>
                <w:noProof/>
                <w:sz w:val="20"/>
                <w:szCs w:val="20"/>
              </w:rPr>
              <w:t>SÍ</w:t>
            </w:r>
          </w:p>
        </w:tc>
        <w:tc>
          <w:tcPr>
            <w:tcW w:w="1080" w:type="dxa"/>
            <w:vAlign w:val="center"/>
          </w:tcPr>
          <w:p w:rsidR="007D02A8" w:rsidRPr="00B612E0" w:rsidRDefault="007D02A8" w:rsidP="00B612E0">
            <w:pPr>
              <w:jc w:val="center"/>
              <w:rPr>
                <w:noProof/>
                <w:sz w:val="20"/>
                <w:szCs w:val="20"/>
              </w:rPr>
            </w:pPr>
            <w:r w:rsidRPr="00B612E0">
              <w:rPr>
                <w:noProof/>
                <w:sz w:val="22"/>
              </w:rPr>
              <w:t>SÍ (si aparece especificado en el programa de trabajo anual)</w:t>
            </w:r>
          </w:p>
        </w:tc>
        <w:tc>
          <w:tcPr>
            <w:tcW w:w="956" w:type="dxa"/>
            <w:vAlign w:val="center"/>
          </w:tcPr>
          <w:p w:rsidR="007D02A8" w:rsidRPr="00B612E0" w:rsidRDefault="007D02A8" w:rsidP="00B612E0">
            <w:pPr>
              <w:jc w:val="center"/>
              <w:rPr>
                <w:noProof/>
                <w:sz w:val="20"/>
                <w:szCs w:val="20"/>
              </w:rPr>
            </w:pPr>
            <w:r w:rsidRPr="00B612E0">
              <w:rPr>
                <w:noProof/>
                <w:sz w:val="22"/>
              </w:rPr>
              <w:t>Parte del programa</w:t>
            </w:r>
          </w:p>
        </w:tc>
        <w:tc>
          <w:tcPr>
            <w:tcW w:w="1448" w:type="dxa"/>
            <w:vAlign w:val="center"/>
          </w:tcPr>
          <w:p w:rsidR="007D02A8" w:rsidRPr="00B612E0" w:rsidRDefault="007D02A8" w:rsidP="00B612E0">
            <w:pPr>
              <w:jc w:val="center"/>
              <w:rPr>
                <w:noProof/>
                <w:sz w:val="20"/>
                <w:szCs w:val="20"/>
              </w:rPr>
            </w:pPr>
            <w:r w:rsidRPr="00B612E0">
              <w:rPr>
                <w:noProof/>
                <w:sz w:val="20"/>
                <w:szCs w:val="20"/>
              </w:rPr>
              <w:t>NO</w:t>
            </w:r>
          </w:p>
        </w:tc>
      </w:tr>
    </w:tbl>
    <w:p w:rsidR="007D02A8" w:rsidRPr="00B612E0" w:rsidRDefault="007D02A8" w:rsidP="007D02A8">
      <w:pPr>
        <w:rPr>
          <w:noProof/>
        </w:rPr>
      </w:pPr>
    </w:p>
    <w:p w:rsidR="007D02A8" w:rsidRPr="00B612E0" w:rsidRDefault="007D02A8" w:rsidP="007D02A8">
      <w:pPr>
        <w:rPr>
          <w:noProof/>
        </w:rPr>
        <w:sectPr w:rsidR="007D02A8" w:rsidRPr="00B612E0" w:rsidSect="00FF77AA">
          <w:pgSz w:w="11907" w:h="16840" w:code="1"/>
          <w:pgMar w:top="1134" w:right="1418" w:bottom="1134" w:left="1418" w:header="709" w:footer="709" w:gutter="0"/>
          <w:cols w:space="708"/>
          <w:docGrid w:linePitch="360"/>
        </w:sectPr>
      </w:pPr>
    </w:p>
    <w:p w:rsidR="007D02A8" w:rsidRPr="00B612E0" w:rsidRDefault="007D02A8" w:rsidP="007D02A8">
      <w:pPr>
        <w:pStyle w:val="ManualHeading2"/>
        <w:rPr>
          <w:bCs/>
          <w:noProof/>
          <w:szCs w:val="24"/>
        </w:rPr>
      </w:pPr>
      <w:r w:rsidRPr="00B612E0">
        <w:rPr>
          <w:noProof/>
        </w:rPr>
        <w:t>3.2.</w:t>
      </w:r>
      <w:r w:rsidRPr="00B612E0">
        <w:rPr>
          <w:noProof/>
        </w:rPr>
        <w:tab/>
        <w:t xml:space="preserve">Incidencia estimada en los gastos </w:t>
      </w:r>
    </w:p>
    <w:p w:rsidR="007D02A8" w:rsidRPr="00B612E0" w:rsidRDefault="007D02A8" w:rsidP="007D02A8">
      <w:pPr>
        <w:pStyle w:val="ManualHeading3"/>
        <w:rPr>
          <w:noProof/>
        </w:rPr>
      </w:pPr>
      <w:r w:rsidRPr="00B612E0">
        <w:rPr>
          <w:noProof/>
        </w:rPr>
        <w:t>3.2.1</w:t>
      </w:r>
      <w:r w:rsidR="002274A8">
        <w:rPr>
          <w:noProof/>
        </w:rPr>
        <w:t>.</w:t>
      </w:r>
      <w:r w:rsidRPr="00B612E0">
        <w:rPr>
          <w:noProof/>
        </w:rPr>
        <w:tab/>
        <w:t xml:space="preserve">Resumen de la incidencia estimada en los gastos </w:t>
      </w:r>
    </w:p>
    <w:p w:rsidR="007D02A8" w:rsidRPr="00B612E0" w:rsidRDefault="007D02A8" w:rsidP="007D02A8">
      <w:pPr>
        <w:pStyle w:val="ListDash1"/>
        <w:rPr>
          <w:noProof/>
        </w:rPr>
      </w:pPr>
      <w:r w:rsidRPr="00B612E0">
        <w:rPr>
          <w:noProof/>
        </w:rPr>
        <w:sym w:font="Wingdings" w:char="F0A8"/>
      </w:r>
      <w:r w:rsidRPr="00B612E0">
        <w:rPr>
          <w:noProof/>
        </w:rPr>
        <w:t xml:space="preserve"> La propuesta/iniciativa no exige la utilización de créditos de operaciones </w:t>
      </w:r>
    </w:p>
    <w:p w:rsidR="007D02A8" w:rsidRPr="00B612E0" w:rsidRDefault="007D02A8" w:rsidP="007D02A8">
      <w:pPr>
        <w:pStyle w:val="ListDash1"/>
        <w:rPr>
          <w:noProof/>
        </w:rPr>
      </w:pPr>
      <w:r w:rsidRPr="00B612E0">
        <w:rPr>
          <w:noProof/>
        </w:rPr>
        <w:sym w:font="Wingdings" w:char="F06E"/>
      </w:r>
      <w:r w:rsidRPr="00B612E0">
        <w:rPr>
          <w:noProof/>
        </w:rPr>
        <w:t xml:space="preserve"> La propuesta/iniciativa exige la utilización de créditos de operaciones, tal como se explica a continuación:</w:t>
      </w:r>
    </w:p>
    <w:p w:rsidR="007D02A8" w:rsidRPr="00B612E0" w:rsidRDefault="007D02A8" w:rsidP="007D02A8">
      <w:pPr>
        <w:spacing w:after="0"/>
        <w:jc w:val="right"/>
        <w:rPr>
          <w:noProof/>
          <w:sz w:val="18"/>
          <w:szCs w:val="18"/>
        </w:rPr>
      </w:pPr>
      <w:r w:rsidRPr="00B612E0">
        <w:rPr>
          <w:noProof/>
          <w:sz w:val="18"/>
          <w:szCs w:val="18"/>
        </w:rPr>
        <w:t>En millones EUR (al tercer decimal)</w:t>
      </w:r>
    </w:p>
    <w:p w:rsidR="007D02A8" w:rsidRPr="00B612E0" w:rsidRDefault="007D02A8" w:rsidP="007D02A8">
      <w:pPr>
        <w:spacing w:before="0" w:after="0"/>
        <w:jc w:val="left"/>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
        <w:gridCol w:w="3708"/>
        <w:gridCol w:w="1440"/>
        <w:gridCol w:w="63"/>
        <w:gridCol w:w="185"/>
        <w:gridCol w:w="406"/>
        <w:gridCol w:w="904"/>
        <w:gridCol w:w="720"/>
        <w:gridCol w:w="1624"/>
        <w:gridCol w:w="1625"/>
        <w:gridCol w:w="1624"/>
        <w:gridCol w:w="1452"/>
      </w:tblGrid>
      <w:tr w:rsidR="007D02A8" w:rsidRPr="00B612E0" w:rsidTr="00B612E0">
        <w:trPr>
          <w:gridBefore w:val="1"/>
          <w:wBefore w:w="252" w:type="dxa"/>
          <w:jc w:val="center"/>
        </w:trPr>
        <w:tc>
          <w:tcPr>
            <w:tcW w:w="5396" w:type="dxa"/>
            <w:gridSpan w:val="4"/>
            <w:shd w:val="thinDiagStripe" w:color="C0C0C0" w:fill="auto"/>
            <w:vAlign w:val="center"/>
          </w:tcPr>
          <w:p w:rsidR="007D02A8" w:rsidRPr="00B612E0" w:rsidRDefault="007D02A8" w:rsidP="00B612E0">
            <w:pPr>
              <w:spacing w:before="60" w:after="60"/>
              <w:jc w:val="center"/>
              <w:rPr>
                <w:b/>
                <w:noProof/>
              </w:rPr>
            </w:pPr>
            <w:r w:rsidRPr="00B612E0">
              <w:rPr>
                <w:b/>
                <w:noProof/>
                <w:sz w:val="22"/>
              </w:rPr>
              <w:t>Rúbrica del marco financiero</w:t>
            </w:r>
            <w:r w:rsidRPr="00B612E0">
              <w:rPr>
                <w:noProof/>
              </w:rPr>
              <w:t xml:space="preserve"> </w:t>
            </w:r>
            <w:r w:rsidRPr="00B612E0">
              <w:rPr>
                <w:noProof/>
              </w:rPr>
              <w:br/>
            </w:r>
            <w:r w:rsidRPr="00B612E0">
              <w:rPr>
                <w:b/>
                <w:noProof/>
                <w:sz w:val="22"/>
              </w:rPr>
              <w:t xml:space="preserve">plurianual </w:t>
            </w:r>
          </w:p>
        </w:tc>
        <w:tc>
          <w:tcPr>
            <w:tcW w:w="1310" w:type="dxa"/>
            <w:gridSpan w:val="2"/>
            <w:vAlign w:val="center"/>
          </w:tcPr>
          <w:p w:rsidR="007D02A8" w:rsidRPr="00B612E0" w:rsidRDefault="007D02A8" w:rsidP="00B612E0">
            <w:pPr>
              <w:spacing w:before="60" w:after="60"/>
              <w:jc w:val="center"/>
              <w:rPr>
                <w:noProof/>
              </w:rPr>
            </w:pPr>
            <w:r w:rsidRPr="00B612E0">
              <w:rPr>
                <w:noProof/>
                <w:sz w:val="22"/>
              </w:rPr>
              <w:t>01</w:t>
            </w:r>
          </w:p>
        </w:tc>
        <w:tc>
          <w:tcPr>
            <w:tcW w:w="7045" w:type="dxa"/>
            <w:gridSpan w:val="5"/>
            <w:vAlign w:val="center"/>
          </w:tcPr>
          <w:p w:rsidR="007D02A8" w:rsidRPr="00B612E0" w:rsidRDefault="007D02A8" w:rsidP="00B612E0">
            <w:pPr>
              <w:spacing w:before="60" w:after="60"/>
              <w:rPr>
                <w:noProof/>
              </w:rPr>
            </w:pPr>
            <w:r w:rsidRPr="00B612E0">
              <w:rPr>
                <w:noProof/>
              </w:rPr>
              <w:t>Mercado único, innovación y economía digital</w:t>
            </w:r>
          </w:p>
        </w:tc>
      </w:tr>
      <w:tr w:rsidR="007D02A8" w:rsidRPr="00B612E0" w:rsidTr="00B612E0">
        <w:tblPrEx>
          <w:jc w:val="left"/>
        </w:tblPrEx>
        <w:trPr>
          <w:gridAfter w:val="1"/>
          <w:wAfter w:w="1452" w:type="dxa"/>
        </w:trPr>
        <w:tc>
          <w:tcPr>
            <w:tcW w:w="3960" w:type="dxa"/>
            <w:gridSpan w:val="2"/>
            <w:vAlign w:val="center"/>
          </w:tcPr>
          <w:p w:rsidR="007D02A8" w:rsidRPr="00B612E0" w:rsidRDefault="007D02A8" w:rsidP="00B612E0">
            <w:pPr>
              <w:jc w:val="center"/>
              <w:rPr>
                <w:noProof/>
              </w:rPr>
            </w:pPr>
            <w:r w:rsidRPr="00B612E0">
              <w:rPr>
                <w:noProof/>
                <w:sz w:val="22"/>
              </w:rPr>
              <w:t>DG CONNECT</w:t>
            </w:r>
          </w:p>
        </w:tc>
        <w:tc>
          <w:tcPr>
            <w:tcW w:w="1503" w:type="dxa"/>
            <w:gridSpan w:val="2"/>
          </w:tcPr>
          <w:p w:rsidR="007D02A8" w:rsidRPr="00B612E0" w:rsidRDefault="007D02A8" w:rsidP="00B612E0">
            <w:pPr>
              <w:rPr>
                <w:noProof/>
                <w:sz w:val="20"/>
              </w:rPr>
            </w:pPr>
          </w:p>
        </w:tc>
        <w:tc>
          <w:tcPr>
            <w:tcW w:w="591" w:type="dxa"/>
            <w:gridSpan w:val="2"/>
          </w:tcPr>
          <w:p w:rsidR="007D02A8" w:rsidRPr="00B612E0" w:rsidRDefault="007D02A8" w:rsidP="00B612E0">
            <w:pPr>
              <w:jc w:val="center"/>
              <w:rPr>
                <w:noProof/>
                <w:sz w:val="20"/>
              </w:rPr>
            </w:pPr>
          </w:p>
        </w:tc>
        <w:tc>
          <w:tcPr>
            <w:tcW w:w="1624" w:type="dxa"/>
            <w:gridSpan w:val="2"/>
            <w:vAlign w:val="center"/>
          </w:tcPr>
          <w:p w:rsidR="007D02A8" w:rsidRPr="00B612E0" w:rsidRDefault="007D02A8" w:rsidP="00B612E0">
            <w:pPr>
              <w:jc w:val="center"/>
              <w:rPr>
                <w:noProof/>
                <w:sz w:val="20"/>
              </w:rPr>
            </w:pPr>
            <w:r w:rsidRPr="00B612E0">
              <w:rPr>
                <w:noProof/>
                <w:sz w:val="20"/>
              </w:rPr>
              <w:t>Año</w:t>
            </w:r>
            <w:r w:rsidRPr="00B612E0">
              <w:rPr>
                <w:noProof/>
              </w:rPr>
              <w:t xml:space="preserve"> </w:t>
            </w:r>
            <w:r w:rsidRPr="00B612E0">
              <w:rPr>
                <w:noProof/>
              </w:rPr>
              <w:br/>
            </w:r>
            <w:r w:rsidRPr="00B612E0">
              <w:rPr>
                <w:b/>
                <w:noProof/>
                <w:sz w:val="20"/>
              </w:rPr>
              <w:t>2022</w:t>
            </w:r>
          </w:p>
        </w:tc>
        <w:tc>
          <w:tcPr>
            <w:tcW w:w="1624" w:type="dxa"/>
            <w:vAlign w:val="center"/>
          </w:tcPr>
          <w:p w:rsidR="007D02A8" w:rsidRPr="00B612E0" w:rsidRDefault="007D02A8" w:rsidP="00B612E0">
            <w:pPr>
              <w:jc w:val="center"/>
              <w:rPr>
                <w:noProof/>
                <w:sz w:val="20"/>
              </w:rPr>
            </w:pPr>
            <w:r w:rsidRPr="00B612E0">
              <w:rPr>
                <w:noProof/>
                <w:sz w:val="20"/>
              </w:rPr>
              <w:t>Año</w:t>
            </w:r>
            <w:r w:rsidRPr="00B612E0">
              <w:rPr>
                <w:noProof/>
              </w:rPr>
              <w:t xml:space="preserve"> </w:t>
            </w:r>
            <w:r w:rsidRPr="00B612E0">
              <w:rPr>
                <w:noProof/>
              </w:rPr>
              <w:br/>
            </w:r>
            <w:r w:rsidRPr="00B612E0">
              <w:rPr>
                <w:b/>
                <w:noProof/>
                <w:sz w:val="20"/>
              </w:rPr>
              <w:t>2023</w:t>
            </w:r>
          </w:p>
        </w:tc>
        <w:tc>
          <w:tcPr>
            <w:tcW w:w="1625" w:type="dxa"/>
            <w:vAlign w:val="center"/>
          </w:tcPr>
          <w:p w:rsidR="007D02A8" w:rsidRPr="00B612E0" w:rsidRDefault="007D02A8" w:rsidP="00B612E0">
            <w:pPr>
              <w:jc w:val="center"/>
              <w:rPr>
                <w:noProof/>
                <w:sz w:val="20"/>
              </w:rPr>
            </w:pPr>
            <w:r w:rsidRPr="00B612E0">
              <w:rPr>
                <w:noProof/>
                <w:sz w:val="20"/>
              </w:rPr>
              <w:t>Año</w:t>
            </w:r>
            <w:r w:rsidRPr="00B612E0">
              <w:rPr>
                <w:noProof/>
              </w:rPr>
              <w:t xml:space="preserve"> </w:t>
            </w:r>
            <w:r w:rsidRPr="00B612E0">
              <w:rPr>
                <w:noProof/>
              </w:rPr>
              <w:br/>
            </w:r>
            <w:r w:rsidRPr="00B612E0">
              <w:rPr>
                <w:b/>
                <w:noProof/>
                <w:sz w:val="20"/>
              </w:rPr>
              <w:t>2024</w:t>
            </w:r>
          </w:p>
        </w:tc>
        <w:tc>
          <w:tcPr>
            <w:tcW w:w="1624" w:type="dxa"/>
            <w:vAlign w:val="center"/>
          </w:tcPr>
          <w:p w:rsidR="007D02A8" w:rsidRPr="00B612E0" w:rsidRDefault="007D02A8" w:rsidP="00B612E0">
            <w:pPr>
              <w:jc w:val="center"/>
              <w:rPr>
                <w:b/>
                <w:noProof/>
                <w:sz w:val="20"/>
              </w:rPr>
            </w:pPr>
            <w:r w:rsidRPr="00B612E0">
              <w:rPr>
                <w:b/>
                <w:noProof/>
                <w:sz w:val="20"/>
              </w:rPr>
              <w:t>TOTAL</w:t>
            </w:r>
          </w:p>
        </w:tc>
      </w:tr>
      <w:tr w:rsidR="007D02A8" w:rsidRPr="00B612E0" w:rsidTr="00B612E0">
        <w:tblPrEx>
          <w:jc w:val="left"/>
        </w:tblPrEx>
        <w:trPr>
          <w:gridAfter w:val="1"/>
          <w:wAfter w:w="1452" w:type="dxa"/>
          <w:trHeight w:val="213"/>
        </w:trPr>
        <w:tc>
          <w:tcPr>
            <w:tcW w:w="6054" w:type="dxa"/>
            <w:gridSpan w:val="6"/>
            <w:vAlign w:val="center"/>
          </w:tcPr>
          <w:p w:rsidR="007D02A8" w:rsidRPr="00B612E0" w:rsidRDefault="007D02A8" w:rsidP="00B612E0">
            <w:pPr>
              <w:spacing w:before="20" w:after="20"/>
              <w:rPr>
                <w:noProof/>
                <w:sz w:val="21"/>
              </w:rPr>
            </w:pPr>
            <w:r w:rsidRPr="00B612E0">
              <w:rPr>
                <w:noProof/>
                <w:sz w:val="21"/>
              </w:rPr>
              <w:sym w:font="Wingdings" w:char="F09F"/>
            </w:r>
            <w:r w:rsidRPr="00B612E0">
              <w:rPr>
                <w:noProof/>
              </w:rPr>
              <w:t xml:space="preserve"> Créditos de operaciones</w:t>
            </w:r>
            <w:r w:rsidRPr="00B612E0">
              <w:rPr>
                <w:noProof/>
                <w:sz w:val="21"/>
              </w:rPr>
              <w:t xml:space="preserve"> </w:t>
            </w:r>
          </w:p>
        </w:tc>
        <w:tc>
          <w:tcPr>
            <w:tcW w:w="1624" w:type="dxa"/>
            <w:gridSpan w:val="2"/>
            <w:vAlign w:val="center"/>
          </w:tcPr>
          <w:p w:rsidR="007D02A8" w:rsidRPr="00B612E0" w:rsidRDefault="007D02A8" w:rsidP="00B612E0">
            <w:pPr>
              <w:rPr>
                <w:noProof/>
                <w:sz w:val="20"/>
              </w:rPr>
            </w:pPr>
          </w:p>
        </w:tc>
        <w:tc>
          <w:tcPr>
            <w:tcW w:w="1624" w:type="dxa"/>
            <w:vAlign w:val="center"/>
          </w:tcPr>
          <w:p w:rsidR="007D02A8" w:rsidRPr="00B612E0" w:rsidRDefault="007D02A8" w:rsidP="00B612E0">
            <w:pPr>
              <w:rPr>
                <w:noProof/>
                <w:sz w:val="20"/>
              </w:rPr>
            </w:pPr>
          </w:p>
        </w:tc>
        <w:tc>
          <w:tcPr>
            <w:tcW w:w="1625" w:type="dxa"/>
            <w:vAlign w:val="center"/>
          </w:tcPr>
          <w:p w:rsidR="007D02A8" w:rsidRPr="00B612E0" w:rsidRDefault="007D02A8" w:rsidP="00B612E0">
            <w:pPr>
              <w:rPr>
                <w:noProof/>
                <w:sz w:val="20"/>
              </w:rPr>
            </w:pPr>
          </w:p>
        </w:tc>
        <w:tc>
          <w:tcPr>
            <w:tcW w:w="1624" w:type="dxa"/>
            <w:vAlign w:val="center"/>
          </w:tcPr>
          <w:p w:rsidR="007D02A8" w:rsidRPr="00B612E0" w:rsidRDefault="007D02A8" w:rsidP="00B612E0">
            <w:pPr>
              <w:rPr>
                <w:b/>
                <w:noProof/>
                <w:sz w:val="20"/>
              </w:rPr>
            </w:pPr>
          </w:p>
        </w:tc>
      </w:tr>
      <w:tr w:rsidR="002274A8" w:rsidRPr="00B612E0" w:rsidTr="00B612E0">
        <w:tblPrEx>
          <w:jc w:val="left"/>
        </w:tblPrEx>
        <w:trPr>
          <w:gridAfter w:val="1"/>
          <w:wAfter w:w="1452" w:type="dxa"/>
          <w:trHeight w:val="277"/>
        </w:trPr>
        <w:tc>
          <w:tcPr>
            <w:tcW w:w="3960" w:type="dxa"/>
            <w:gridSpan w:val="2"/>
            <w:vMerge w:val="restart"/>
            <w:vAlign w:val="center"/>
          </w:tcPr>
          <w:p w:rsidR="002274A8" w:rsidRPr="00B612E0" w:rsidRDefault="002274A8" w:rsidP="002274A8">
            <w:pPr>
              <w:rPr>
                <w:noProof/>
              </w:rPr>
            </w:pPr>
            <w:r w:rsidRPr="00B612E0">
              <w:rPr>
                <w:noProof/>
                <w:sz w:val="22"/>
              </w:rPr>
              <w:t>02 04 Programa Europa Digital</w:t>
            </w:r>
            <w:r w:rsidRPr="00B612E0">
              <w:rPr>
                <w:rStyle w:val="FootnoteReference"/>
                <w:noProof/>
                <w:sz w:val="22"/>
              </w:rPr>
              <w:footnoteReference w:id="42"/>
            </w:r>
          </w:p>
        </w:tc>
        <w:tc>
          <w:tcPr>
            <w:tcW w:w="1440" w:type="dxa"/>
            <w:vAlign w:val="center"/>
          </w:tcPr>
          <w:p w:rsidR="002274A8" w:rsidRPr="00B612E0" w:rsidRDefault="002274A8" w:rsidP="002274A8">
            <w:pPr>
              <w:spacing w:before="20" w:after="20"/>
              <w:rPr>
                <w:noProof/>
                <w:sz w:val="18"/>
              </w:rPr>
            </w:pPr>
            <w:r w:rsidRPr="00B612E0">
              <w:rPr>
                <w:noProof/>
                <w:sz w:val="18"/>
              </w:rPr>
              <w:t>Compromisos</w:t>
            </w:r>
          </w:p>
        </w:tc>
        <w:tc>
          <w:tcPr>
            <w:tcW w:w="654" w:type="dxa"/>
            <w:gridSpan w:val="3"/>
            <w:vAlign w:val="center"/>
          </w:tcPr>
          <w:p w:rsidR="002274A8" w:rsidRPr="00B612E0" w:rsidRDefault="002274A8" w:rsidP="002274A8">
            <w:pPr>
              <w:spacing w:before="20" w:after="20"/>
              <w:jc w:val="center"/>
              <w:rPr>
                <w:noProof/>
                <w:sz w:val="14"/>
              </w:rPr>
            </w:pPr>
            <w:r>
              <w:rPr>
                <w:noProof/>
                <w:sz w:val="14"/>
              </w:rPr>
              <w:t>(</w:t>
            </w:r>
            <w:r w:rsidRPr="00B612E0">
              <w:rPr>
                <w:noProof/>
                <w:sz w:val="14"/>
              </w:rPr>
              <w:t>1a)</w:t>
            </w:r>
          </w:p>
        </w:tc>
        <w:tc>
          <w:tcPr>
            <w:tcW w:w="1624" w:type="dxa"/>
            <w:gridSpan w:val="2"/>
            <w:vAlign w:val="center"/>
          </w:tcPr>
          <w:p w:rsidR="002274A8" w:rsidRPr="00A722F1" w:rsidRDefault="002274A8" w:rsidP="002274A8">
            <w:pPr>
              <w:spacing w:before="20" w:after="20"/>
              <w:jc w:val="right"/>
              <w:rPr>
                <w:noProof/>
                <w:sz w:val="20"/>
              </w:rPr>
            </w:pPr>
            <w:r w:rsidRPr="00A722F1">
              <w:rPr>
                <w:noProof/>
                <w:color w:val="000000"/>
                <w:sz w:val="20"/>
              </w:rPr>
              <w:t>3,000</w:t>
            </w:r>
          </w:p>
        </w:tc>
        <w:tc>
          <w:tcPr>
            <w:tcW w:w="1624" w:type="dxa"/>
            <w:vAlign w:val="center"/>
          </w:tcPr>
          <w:p w:rsidR="002274A8" w:rsidRPr="00A722F1" w:rsidRDefault="002274A8" w:rsidP="002274A8">
            <w:pPr>
              <w:spacing w:before="20" w:after="20"/>
              <w:jc w:val="right"/>
              <w:rPr>
                <w:noProof/>
                <w:sz w:val="20"/>
              </w:rPr>
            </w:pPr>
            <w:r>
              <w:rPr>
                <w:noProof/>
                <w:color w:val="000000"/>
                <w:sz w:val="20"/>
              </w:rPr>
              <w:t>4</w:t>
            </w:r>
            <w:r w:rsidRPr="00A722F1">
              <w:rPr>
                <w:noProof/>
                <w:color w:val="000000"/>
                <w:sz w:val="20"/>
              </w:rPr>
              <w:t>,000</w:t>
            </w:r>
          </w:p>
        </w:tc>
        <w:tc>
          <w:tcPr>
            <w:tcW w:w="1625" w:type="dxa"/>
            <w:vAlign w:val="center"/>
          </w:tcPr>
          <w:p w:rsidR="002274A8" w:rsidRPr="00A722F1" w:rsidRDefault="002274A8" w:rsidP="002274A8">
            <w:pPr>
              <w:spacing w:before="20" w:after="20"/>
              <w:jc w:val="right"/>
              <w:rPr>
                <w:noProof/>
                <w:sz w:val="20"/>
              </w:rPr>
            </w:pPr>
          </w:p>
        </w:tc>
        <w:tc>
          <w:tcPr>
            <w:tcW w:w="1624" w:type="dxa"/>
            <w:vAlign w:val="center"/>
          </w:tcPr>
          <w:p w:rsidR="002274A8" w:rsidRPr="00A722F1" w:rsidRDefault="002274A8" w:rsidP="002274A8">
            <w:pPr>
              <w:spacing w:before="20" w:after="20"/>
              <w:jc w:val="right"/>
              <w:rPr>
                <w:b/>
                <w:noProof/>
                <w:sz w:val="20"/>
              </w:rPr>
            </w:pPr>
            <w:r>
              <w:rPr>
                <w:noProof/>
                <w:color w:val="000000"/>
                <w:sz w:val="20"/>
              </w:rPr>
              <w:t>7</w:t>
            </w:r>
            <w:r w:rsidRPr="00A722F1">
              <w:rPr>
                <w:noProof/>
                <w:color w:val="000000"/>
                <w:sz w:val="20"/>
              </w:rPr>
              <w:t>,000</w:t>
            </w:r>
          </w:p>
        </w:tc>
      </w:tr>
      <w:tr w:rsidR="002274A8" w:rsidRPr="00B612E0" w:rsidTr="00B612E0">
        <w:tblPrEx>
          <w:jc w:val="left"/>
        </w:tblPrEx>
        <w:trPr>
          <w:gridAfter w:val="1"/>
          <w:wAfter w:w="1452" w:type="dxa"/>
        </w:trPr>
        <w:tc>
          <w:tcPr>
            <w:tcW w:w="3960" w:type="dxa"/>
            <w:gridSpan w:val="2"/>
            <w:vMerge/>
          </w:tcPr>
          <w:p w:rsidR="002274A8" w:rsidRPr="00B612E0" w:rsidRDefault="002274A8" w:rsidP="002274A8">
            <w:pPr>
              <w:jc w:val="center"/>
              <w:rPr>
                <w:noProof/>
                <w:sz w:val="20"/>
              </w:rPr>
            </w:pPr>
          </w:p>
        </w:tc>
        <w:tc>
          <w:tcPr>
            <w:tcW w:w="1440" w:type="dxa"/>
            <w:vAlign w:val="center"/>
          </w:tcPr>
          <w:p w:rsidR="002274A8" w:rsidRPr="00B612E0" w:rsidRDefault="002274A8" w:rsidP="002274A8">
            <w:pPr>
              <w:spacing w:before="20" w:after="20"/>
              <w:rPr>
                <w:noProof/>
                <w:sz w:val="18"/>
              </w:rPr>
            </w:pPr>
            <w:r w:rsidRPr="00B612E0">
              <w:rPr>
                <w:noProof/>
                <w:sz w:val="18"/>
              </w:rPr>
              <w:t>Pagos</w:t>
            </w:r>
          </w:p>
        </w:tc>
        <w:tc>
          <w:tcPr>
            <w:tcW w:w="654" w:type="dxa"/>
            <w:gridSpan w:val="3"/>
            <w:vAlign w:val="center"/>
          </w:tcPr>
          <w:p w:rsidR="002274A8" w:rsidRPr="00B612E0" w:rsidRDefault="002274A8" w:rsidP="002274A8">
            <w:pPr>
              <w:spacing w:before="20" w:after="20"/>
              <w:jc w:val="center"/>
              <w:rPr>
                <w:noProof/>
                <w:sz w:val="14"/>
              </w:rPr>
            </w:pPr>
            <w:r>
              <w:rPr>
                <w:noProof/>
                <w:sz w:val="14"/>
              </w:rPr>
              <w:t>(</w:t>
            </w:r>
            <w:r w:rsidRPr="00B612E0">
              <w:rPr>
                <w:noProof/>
                <w:sz w:val="14"/>
              </w:rPr>
              <w:t>2a)</w:t>
            </w:r>
          </w:p>
        </w:tc>
        <w:tc>
          <w:tcPr>
            <w:tcW w:w="1624" w:type="dxa"/>
            <w:gridSpan w:val="2"/>
            <w:vAlign w:val="center"/>
          </w:tcPr>
          <w:p w:rsidR="002274A8" w:rsidRPr="00A722F1" w:rsidRDefault="002274A8" w:rsidP="002274A8">
            <w:pPr>
              <w:spacing w:before="20" w:after="20"/>
              <w:jc w:val="right"/>
              <w:rPr>
                <w:noProof/>
                <w:sz w:val="20"/>
              </w:rPr>
            </w:pPr>
            <w:r w:rsidRPr="00A722F1">
              <w:rPr>
                <w:noProof/>
                <w:color w:val="000000"/>
                <w:sz w:val="20"/>
              </w:rPr>
              <w:t>3,000</w:t>
            </w:r>
          </w:p>
        </w:tc>
        <w:tc>
          <w:tcPr>
            <w:tcW w:w="1624" w:type="dxa"/>
            <w:vAlign w:val="center"/>
          </w:tcPr>
          <w:p w:rsidR="002274A8" w:rsidRPr="00A722F1" w:rsidRDefault="002274A8" w:rsidP="002274A8">
            <w:pPr>
              <w:spacing w:before="20" w:after="20"/>
              <w:jc w:val="right"/>
              <w:rPr>
                <w:noProof/>
                <w:sz w:val="20"/>
              </w:rPr>
            </w:pPr>
            <w:r>
              <w:rPr>
                <w:noProof/>
                <w:color w:val="000000"/>
                <w:sz w:val="20"/>
              </w:rPr>
              <w:t>4,</w:t>
            </w:r>
            <w:r w:rsidRPr="00A722F1">
              <w:rPr>
                <w:noProof/>
                <w:color w:val="000000"/>
                <w:sz w:val="20"/>
              </w:rPr>
              <w:t>000</w:t>
            </w:r>
          </w:p>
        </w:tc>
        <w:tc>
          <w:tcPr>
            <w:tcW w:w="1625" w:type="dxa"/>
            <w:vAlign w:val="center"/>
          </w:tcPr>
          <w:p w:rsidR="002274A8" w:rsidRPr="00A722F1" w:rsidRDefault="002274A8" w:rsidP="002274A8">
            <w:pPr>
              <w:spacing w:before="20" w:after="20"/>
              <w:jc w:val="right"/>
              <w:rPr>
                <w:noProof/>
                <w:sz w:val="20"/>
              </w:rPr>
            </w:pPr>
          </w:p>
        </w:tc>
        <w:tc>
          <w:tcPr>
            <w:tcW w:w="1624" w:type="dxa"/>
            <w:vAlign w:val="center"/>
          </w:tcPr>
          <w:p w:rsidR="002274A8" w:rsidRPr="00A722F1" w:rsidRDefault="002274A8" w:rsidP="002274A8">
            <w:pPr>
              <w:spacing w:before="20" w:after="20"/>
              <w:jc w:val="right"/>
              <w:rPr>
                <w:b/>
                <w:noProof/>
                <w:sz w:val="20"/>
              </w:rPr>
            </w:pPr>
            <w:r>
              <w:rPr>
                <w:noProof/>
                <w:color w:val="000000"/>
                <w:sz w:val="20"/>
              </w:rPr>
              <w:t>7</w:t>
            </w:r>
            <w:r w:rsidRPr="00A722F1">
              <w:rPr>
                <w:noProof/>
                <w:color w:val="000000"/>
                <w:sz w:val="20"/>
              </w:rPr>
              <w:t>,000</w:t>
            </w:r>
          </w:p>
        </w:tc>
      </w:tr>
      <w:tr w:rsidR="002274A8" w:rsidRPr="00B612E0" w:rsidTr="00B612E0">
        <w:tblPrEx>
          <w:jc w:val="left"/>
        </w:tblPrEx>
        <w:trPr>
          <w:gridAfter w:val="1"/>
          <w:wAfter w:w="1452" w:type="dxa"/>
        </w:trPr>
        <w:tc>
          <w:tcPr>
            <w:tcW w:w="3960" w:type="dxa"/>
            <w:gridSpan w:val="2"/>
            <w:vMerge w:val="restart"/>
            <w:vAlign w:val="center"/>
          </w:tcPr>
          <w:p w:rsidR="002274A8" w:rsidRPr="00B612E0" w:rsidRDefault="002274A8" w:rsidP="00234966">
            <w:pPr>
              <w:jc w:val="center"/>
              <w:rPr>
                <w:b/>
                <w:noProof/>
              </w:rPr>
            </w:pPr>
            <w:r w:rsidRPr="00B612E0">
              <w:rPr>
                <w:b/>
                <w:noProof/>
                <w:sz w:val="22"/>
              </w:rPr>
              <w:t>TOTAL de créditos</w:t>
            </w:r>
            <w:r w:rsidRPr="00B612E0">
              <w:rPr>
                <w:noProof/>
              </w:rPr>
              <w:t xml:space="preserve"> </w:t>
            </w:r>
            <w:r w:rsidRPr="00B612E0">
              <w:rPr>
                <w:noProof/>
              </w:rPr>
              <w:br/>
            </w:r>
            <w:r w:rsidRPr="00B612E0">
              <w:rPr>
                <w:b/>
                <w:bCs/>
                <w:noProof/>
                <w:sz w:val="22"/>
              </w:rPr>
              <w:t xml:space="preserve">para la DG CONNECT </w:t>
            </w:r>
            <w:r w:rsidR="00234966">
              <w:rPr>
                <w:b/>
                <w:bCs/>
                <w:noProof/>
                <w:sz w:val="22"/>
              </w:rPr>
              <w:t>en</w:t>
            </w:r>
            <w:r w:rsidRPr="00B612E0">
              <w:rPr>
                <w:b/>
                <w:bCs/>
                <w:noProof/>
                <w:sz w:val="22"/>
              </w:rPr>
              <w:t xml:space="preserve"> la Rúbrica 1</w:t>
            </w:r>
          </w:p>
        </w:tc>
        <w:tc>
          <w:tcPr>
            <w:tcW w:w="1440" w:type="dxa"/>
            <w:vAlign w:val="center"/>
          </w:tcPr>
          <w:p w:rsidR="002274A8" w:rsidRPr="00B612E0" w:rsidRDefault="002274A8" w:rsidP="002274A8">
            <w:pPr>
              <w:rPr>
                <w:noProof/>
                <w:sz w:val="18"/>
              </w:rPr>
            </w:pPr>
            <w:r w:rsidRPr="00B612E0">
              <w:rPr>
                <w:noProof/>
                <w:sz w:val="18"/>
              </w:rPr>
              <w:t>Compromisos</w:t>
            </w:r>
          </w:p>
        </w:tc>
        <w:tc>
          <w:tcPr>
            <w:tcW w:w="654" w:type="dxa"/>
            <w:gridSpan w:val="3"/>
            <w:vAlign w:val="center"/>
          </w:tcPr>
          <w:p w:rsidR="002274A8" w:rsidRPr="00B612E0" w:rsidRDefault="002274A8" w:rsidP="002274A8">
            <w:pPr>
              <w:jc w:val="center"/>
              <w:rPr>
                <w:noProof/>
                <w:sz w:val="14"/>
              </w:rPr>
            </w:pPr>
            <w:r w:rsidRPr="00B612E0">
              <w:rPr>
                <w:noProof/>
                <w:sz w:val="14"/>
              </w:rPr>
              <w:t>=1a</w:t>
            </w:r>
          </w:p>
        </w:tc>
        <w:tc>
          <w:tcPr>
            <w:tcW w:w="1624" w:type="dxa"/>
            <w:gridSpan w:val="2"/>
            <w:vAlign w:val="center"/>
          </w:tcPr>
          <w:p w:rsidR="002274A8" w:rsidRPr="00A722F1" w:rsidRDefault="002274A8" w:rsidP="002274A8">
            <w:pPr>
              <w:spacing w:before="20" w:after="20"/>
              <w:jc w:val="right"/>
              <w:rPr>
                <w:noProof/>
                <w:sz w:val="20"/>
              </w:rPr>
            </w:pPr>
            <w:r w:rsidRPr="00A722F1">
              <w:rPr>
                <w:noProof/>
                <w:color w:val="000000"/>
                <w:sz w:val="20"/>
              </w:rPr>
              <w:t>3,000</w:t>
            </w:r>
          </w:p>
        </w:tc>
        <w:tc>
          <w:tcPr>
            <w:tcW w:w="1624" w:type="dxa"/>
            <w:vAlign w:val="center"/>
          </w:tcPr>
          <w:p w:rsidR="002274A8" w:rsidRPr="00A722F1" w:rsidRDefault="002274A8" w:rsidP="002274A8">
            <w:pPr>
              <w:spacing w:before="20" w:after="20"/>
              <w:jc w:val="right"/>
              <w:rPr>
                <w:noProof/>
                <w:sz w:val="20"/>
              </w:rPr>
            </w:pPr>
            <w:r>
              <w:rPr>
                <w:noProof/>
                <w:color w:val="000000"/>
                <w:sz w:val="20"/>
              </w:rPr>
              <w:t>4,0</w:t>
            </w:r>
            <w:r w:rsidRPr="00A722F1">
              <w:rPr>
                <w:noProof/>
                <w:color w:val="000000"/>
                <w:sz w:val="20"/>
              </w:rPr>
              <w:t>00</w:t>
            </w:r>
          </w:p>
        </w:tc>
        <w:tc>
          <w:tcPr>
            <w:tcW w:w="1625" w:type="dxa"/>
            <w:vAlign w:val="center"/>
          </w:tcPr>
          <w:p w:rsidR="002274A8" w:rsidRPr="00A722F1" w:rsidRDefault="002274A8" w:rsidP="002274A8">
            <w:pPr>
              <w:spacing w:before="20" w:after="20"/>
              <w:jc w:val="right"/>
              <w:rPr>
                <w:noProof/>
                <w:sz w:val="20"/>
              </w:rPr>
            </w:pPr>
          </w:p>
        </w:tc>
        <w:tc>
          <w:tcPr>
            <w:tcW w:w="1624" w:type="dxa"/>
            <w:vAlign w:val="center"/>
          </w:tcPr>
          <w:p w:rsidR="002274A8" w:rsidRPr="00A722F1" w:rsidRDefault="002274A8" w:rsidP="002274A8">
            <w:pPr>
              <w:spacing w:before="20" w:after="20"/>
              <w:jc w:val="right"/>
              <w:rPr>
                <w:b/>
                <w:noProof/>
                <w:sz w:val="20"/>
              </w:rPr>
            </w:pPr>
            <w:r>
              <w:rPr>
                <w:noProof/>
                <w:color w:val="000000"/>
                <w:sz w:val="20"/>
              </w:rPr>
              <w:t>7</w:t>
            </w:r>
            <w:r w:rsidRPr="00A722F1">
              <w:rPr>
                <w:noProof/>
                <w:color w:val="000000"/>
                <w:sz w:val="20"/>
              </w:rPr>
              <w:t>,000</w:t>
            </w:r>
          </w:p>
        </w:tc>
      </w:tr>
      <w:tr w:rsidR="002274A8" w:rsidRPr="00B612E0" w:rsidTr="00B612E0">
        <w:tblPrEx>
          <w:jc w:val="left"/>
        </w:tblPrEx>
        <w:trPr>
          <w:gridAfter w:val="1"/>
          <w:wAfter w:w="1452" w:type="dxa"/>
        </w:trPr>
        <w:tc>
          <w:tcPr>
            <w:tcW w:w="3960" w:type="dxa"/>
            <w:gridSpan w:val="2"/>
            <w:vMerge/>
          </w:tcPr>
          <w:p w:rsidR="002274A8" w:rsidRPr="00B612E0" w:rsidRDefault="002274A8" w:rsidP="002274A8">
            <w:pPr>
              <w:rPr>
                <w:noProof/>
                <w:sz w:val="20"/>
              </w:rPr>
            </w:pPr>
          </w:p>
        </w:tc>
        <w:tc>
          <w:tcPr>
            <w:tcW w:w="1440" w:type="dxa"/>
            <w:vAlign w:val="center"/>
          </w:tcPr>
          <w:p w:rsidR="002274A8" w:rsidRPr="00B612E0" w:rsidRDefault="002274A8" w:rsidP="002274A8">
            <w:pPr>
              <w:rPr>
                <w:noProof/>
                <w:sz w:val="18"/>
              </w:rPr>
            </w:pPr>
            <w:r w:rsidRPr="00B612E0">
              <w:rPr>
                <w:noProof/>
                <w:sz w:val="18"/>
              </w:rPr>
              <w:t>Pagos</w:t>
            </w:r>
          </w:p>
        </w:tc>
        <w:tc>
          <w:tcPr>
            <w:tcW w:w="654" w:type="dxa"/>
            <w:gridSpan w:val="3"/>
            <w:vAlign w:val="center"/>
          </w:tcPr>
          <w:p w:rsidR="002274A8" w:rsidRPr="00B612E0" w:rsidRDefault="002274A8" w:rsidP="002274A8">
            <w:pPr>
              <w:jc w:val="center"/>
              <w:rPr>
                <w:noProof/>
                <w:sz w:val="14"/>
              </w:rPr>
            </w:pPr>
            <w:r w:rsidRPr="00B612E0">
              <w:rPr>
                <w:noProof/>
                <w:sz w:val="14"/>
              </w:rPr>
              <w:t>=2a</w:t>
            </w:r>
          </w:p>
        </w:tc>
        <w:tc>
          <w:tcPr>
            <w:tcW w:w="1624" w:type="dxa"/>
            <w:gridSpan w:val="2"/>
            <w:vAlign w:val="center"/>
          </w:tcPr>
          <w:p w:rsidR="002274A8" w:rsidRPr="00A722F1" w:rsidRDefault="002274A8" w:rsidP="002274A8">
            <w:pPr>
              <w:spacing w:before="20" w:after="20"/>
              <w:jc w:val="right"/>
              <w:rPr>
                <w:noProof/>
                <w:sz w:val="20"/>
              </w:rPr>
            </w:pPr>
            <w:r w:rsidRPr="00A722F1">
              <w:rPr>
                <w:noProof/>
                <w:color w:val="000000"/>
                <w:sz w:val="20"/>
              </w:rPr>
              <w:t>3,000</w:t>
            </w:r>
          </w:p>
        </w:tc>
        <w:tc>
          <w:tcPr>
            <w:tcW w:w="1624" w:type="dxa"/>
            <w:vAlign w:val="center"/>
          </w:tcPr>
          <w:p w:rsidR="002274A8" w:rsidRPr="00A722F1" w:rsidRDefault="002274A8" w:rsidP="002274A8">
            <w:pPr>
              <w:spacing w:before="20" w:after="20"/>
              <w:jc w:val="right"/>
              <w:rPr>
                <w:noProof/>
                <w:sz w:val="20"/>
              </w:rPr>
            </w:pPr>
            <w:r>
              <w:rPr>
                <w:noProof/>
                <w:sz w:val="20"/>
              </w:rPr>
              <w:t>4,000</w:t>
            </w:r>
          </w:p>
        </w:tc>
        <w:tc>
          <w:tcPr>
            <w:tcW w:w="1625" w:type="dxa"/>
            <w:vAlign w:val="center"/>
          </w:tcPr>
          <w:p w:rsidR="002274A8" w:rsidRPr="00A722F1" w:rsidRDefault="002274A8" w:rsidP="002274A8">
            <w:pPr>
              <w:spacing w:before="20" w:after="20"/>
              <w:jc w:val="right"/>
              <w:rPr>
                <w:noProof/>
                <w:sz w:val="20"/>
              </w:rPr>
            </w:pPr>
          </w:p>
        </w:tc>
        <w:tc>
          <w:tcPr>
            <w:tcW w:w="1624" w:type="dxa"/>
            <w:vAlign w:val="center"/>
          </w:tcPr>
          <w:p w:rsidR="002274A8" w:rsidRPr="00A722F1" w:rsidRDefault="002274A8" w:rsidP="002274A8">
            <w:pPr>
              <w:spacing w:before="20" w:after="20"/>
              <w:jc w:val="right"/>
              <w:rPr>
                <w:b/>
                <w:noProof/>
                <w:sz w:val="20"/>
              </w:rPr>
            </w:pPr>
            <w:r>
              <w:rPr>
                <w:noProof/>
                <w:color w:val="000000"/>
                <w:sz w:val="20"/>
              </w:rPr>
              <w:t>7</w:t>
            </w:r>
            <w:r w:rsidRPr="00A722F1">
              <w:rPr>
                <w:noProof/>
                <w:color w:val="000000"/>
                <w:sz w:val="20"/>
              </w:rPr>
              <w:t>,000</w:t>
            </w:r>
          </w:p>
        </w:tc>
      </w:tr>
    </w:tbl>
    <w:p w:rsidR="007D02A8" w:rsidRPr="00B612E0" w:rsidRDefault="007D02A8" w:rsidP="007D02A8">
      <w:pPr>
        <w:spacing w:before="0" w:after="0"/>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1624"/>
        <w:gridCol w:w="1624"/>
        <w:gridCol w:w="1624"/>
        <w:gridCol w:w="1625"/>
      </w:tblGrid>
      <w:tr w:rsidR="002274A8" w:rsidRPr="00B612E0" w:rsidTr="00B612E0">
        <w:trPr>
          <w:trHeight w:val="277"/>
        </w:trPr>
        <w:tc>
          <w:tcPr>
            <w:tcW w:w="3960" w:type="dxa"/>
            <w:vMerge w:val="restart"/>
            <w:vAlign w:val="center"/>
          </w:tcPr>
          <w:p w:rsidR="002274A8" w:rsidRPr="00B612E0" w:rsidRDefault="002274A8" w:rsidP="002274A8">
            <w:pPr>
              <w:spacing w:before="20" w:after="20"/>
              <w:rPr>
                <w:noProof/>
              </w:rPr>
            </w:pPr>
            <w:r w:rsidRPr="00B612E0">
              <w:rPr>
                <w:noProof/>
              </w:rPr>
              <w:br w:type="page"/>
            </w:r>
            <w:r w:rsidRPr="00B612E0">
              <w:rPr>
                <w:noProof/>
                <w:sz w:val="21"/>
              </w:rPr>
              <w:sym w:font="Wingdings" w:char="F09F"/>
            </w:r>
            <w:r w:rsidRPr="00B612E0">
              <w:rPr>
                <w:noProof/>
              </w:rPr>
              <w:t xml:space="preserve"> TOTAL de los créditos de operaciones</w:t>
            </w:r>
            <w:r w:rsidRPr="00B612E0">
              <w:rPr>
                <w:noProof/>
                <w:sz w:val="21"/>
              </w:rPr>
              <w:t xml:space="preserve"> </w:t>
            </w:r>
          </w:p>
        </w:tc>
        <w:tc>
          <w:tcPr>
            <w:tcW w:w="1440" w:type="dxa"/>
            <w:vAlign w:val="center"/>
          </w:tcPr>
          <w:p w:rsidR="002274A8" w:rsidRPr="00B612E0" w:rsidRDefault="002274A8" w:rsidP="002274A8">
            <w:pPr>
              <w:spacing w:beforeLines="20" w:before="48" w:afterLines="20" w:after="48"/>
              <w:rPr>
                <w:noProof/>
                <w:sz w:val="18"/>
              </w:rPr>
            </w:pPr>
            <w:r w:rsidRPr="00B612E0">
              <w:rPr>
                <w:noProof/>
                <w:sz w:val="18"/>
              </w:rPr>
              <w:t>Compromisos</w:t>
            </w:r>
          </w:p>
        </w:tc>
        <w:tc>
          <w:tcPr>
            <w:tcW w:w="654" w:type="dxa"/>
            <w:vAlign w:val="center"/>
          </w:tcPr>
          <w:p w:rsidR="002274A8" w:rsidRPr="00B612E0" w:rsidRDefault="002274A8" w:rsidP="002274A8">
            <w:pPr>
              <w:spacing w:beforeLines="20" w:before="48" w:afterLines="20" w:after="48"/>
              <w:jc w:val="center"/>
              <w:rPr>
                <w:noProof/>
                <w:sz w:val="14"/>
              </w:rPr>
            </w:pPr>
            <w:r>
              <w:rPr>
                <w:noProof/>
                <w:sz w:val="14"/>
              </w:rPr>
              <w:t>(</w:t>
            </w:r>
            <w:r w:rsidRPr="00B612E0">
              <w:rPr>
                <w:noProof/>
                <w:sz w:val="14"/>
              </w:rPr>
              <w:t>4)</w:t>
            </w:r>
          </w:p>
        </w:tc>
        <w:tc>
          <w:tcPr>
            <w:tcW w:w="1624" w:type="dxa"/>
            <w:vAlign w:val="center"/>
          </w:tcPr>
          <w:p w:rsidR="002274A8" w:rsidRPr="00A722F1" w:rsidRDefault="002274A8" w:rsidP="002274A8">
            <w:pPr>
              <w:spacing w:before="20" w:after="20"/>
              <w:jc w:val="right"/>
              <w:rPr>
                <w:noProof/>
                <w:sz w:val="20"/>
              </w:rPr>
            </w:pPr>
            <w:r w:rsidRPr="00A722F1">
              <w:rPr>
                <w:noProof/>
                <w:color w:val="000000"/>
                <w:sz w:val="20"/>
              </w:rPr>
              <w:t>3,000</w:t>
            </w:r>
          </w:p>
        </w:tc>
        <w:tc>
          <w:tcPr>
            <w:tcW w:w="1624" w:type="dxa"/>
            <w:vAlign w:val="center"/>
          </w:tcPr>
          <w:p w:rsidR="002274A8" w:rsidRPr="00A722F1" w:rsidRDefault="002274A8" w:rsidP="002274A8">
            <w:pPr>
              <w:spacing w:before="20" w:after="20"/>
              <w:jc w:val="right"/>
              <w:rPr>
                <w:noProof/>
                <w:sz w:val="20"/>
              </w:rPr>
            </w:pPr>
            <w:r>
              <w:rPr>
                <w:noProof/>
                <w:color w:val="000000"/>
                <w:sz w:val="20"/>
              </w:rPr>
              <w:t>4</w:t>
            </w:r>
            <w:r w:rsidRPr="00A722F1">
              <w:rPr>
                <w:noProof/>
                <w:color w:val="000000"/>
                <w:sz w:val="20"/>
              </w:rPr>
              <w:t>,000</w:t>
            </w:r>
          </w:p>
        </w:tc>
        <w:tc>
          <w:tcPr>
            <w:tcW w:w="1624" w:type="dxa"/>
            <w:vAlign w:val="center"/>
          </w:tcPr>
          <w:p w:rsidR="002274A8" w:rsidRPr="00A722F1" w:rsidRDefault="002274A8" w:rsidP="002274A8">
            <w:pPr>
              <w:spacing w:before="20" w:after="20"/>
              <w:jc w:val="right"/>
              <w:rPr>
                <w:noProof/>
                <w:sz w:val="20"/>
              </w:rPr>
            </w:pPr>
          </w:p>
        </w:tc>
        <w:tc>
          <w:tcPr>
            <w:tcW w:w="1625" w:type="dxa"/>
            <w:vAlign w:val="center"/>
          </w:tcPr>
          <w:p w:rsidR="002274A8" w:rsidRPr="00A722F1" w:rsidRDefault="002274A8" w:rsidP="002274A8">
            <w:pPr>
              <w:spacing w:before="20" w:after="20"/>
              <w:jc w:val="right"/>
              <w:rPr>
                <w:noProof/>
                <w:sz w:val="20"/>
              </w:rPr>
            </w:pPr>
            <w:r>
              <w:rPr>
                <w:noProof/>
                <w:color w:val="000000"/>
                <w:sz w:val="20"/>
              </w:rPr>
              <w:t>7</w:t>
            </w:r>
            <w:r w:rsidRPr="00A722F1">
              <w:rPr>
                <w:noProof/>
                <w:color w:val="000000"/>
                <w:sz w:val="20"/>
              </w:rPr>
              <w:t>,000</w:t>
            </w:r>
          </w:p>
        </w:tc>
      </w:tr>
      <w:tr w:rsidR="002274A8" w:rsidRPr="00B612E0" w:rsidTr="00B612E0">
        <w:tc>
          <w:tcPr>
            <w:tcW w:w="3960" w:type="dxa"/>
            <w:vMerge/>
          </w:tcPr>
          <w:p w:rsidR="002274A8" w:rsidRPr="00B612E0" w:rsidRDefault="002274A8" w:rsidP="002274A8">
            <w:pPr>
              <w:jc w:val="center"/>
              <w:rPr>
                <w:noProof/>
                <w:sz w:val="20"/>
              </w:rPr>
            </w:pPr>
          </w:p>
        </w:tc>
        <w:tc>
          <w:tcPr>
            <w:tcW w:w="1440" w:type="dxa"/>
            <w:vAlign w:val="center"/>
          </w:tcPr>
          <w:p w:rsidR="002274A8" w:rsidRPr="00B612E0" w:rsidRDefault="002274A8" w:rsidP="002274A8">
            <w:pPr>
              <w:spacing w:beforeLines="20" w:before="48" w:afterLines="20" w:after="48"/>
              <w:rPr>
                <w:noProof/>
                <w:sz w:val="18"/>
              </w:rPr>
            </w:pPr>
            <w:r w:rsidRPr="00B612E0">
              <w:rPr>
                <w:noProof/>
                <w:sz w:val="18"/>
              </w:rPr>
              <w:t>Pagos</w:t>
            </w:r>
          </w:p>
        </w:tc>
        <w:tc>
          <w:tcPr>
            <w:tcW w:w="654" w:type="dxa"/>
            <w:vAlign w:val="center"/>
          </w:tcPr>
          <w:p w:rsidR="002274A8" w:rsidRPr="00B612E0" w:rsidRDefault="002274A8" w:rsidP="002274A8">
            <w:pPr>
              <w:spacing w:beforeLines="20" w:before="48" w:afterLines="20" w:after="48"/>
              <w:jc w:val="center"/>
              <w:rPr>
                <w:noProof/>
                <w:sz w:val="14"/>
              </w:rPr>
            </w:pPr>
            <w:r>
              <w:rPr>
                <w:noProof/>
                <w:sz w:val="14"/>
              </w:rPr>
              <w:t>(</w:t>
            </w:r>
            <w:r w:rsidRPr="00B612E0">
              <w:rPr>
                <w:noProof/>
                <w:sz w:val="14"/>
              </w:rPr>
              <w:t>5)</w:t>
            </w:r>
          </w:p>
        </w:tc>
        <w:tc>
          <w:tcPr>
            <w:tcW w:w="1624" w:type="dxa"/>
            <w:vAlign w:val="center"/>
          </w:tcPr>
          <w:p w:rsidR="002274A8" w:rsidRPr="00A722F1" w:rsidRDefault="002274A8" w:rsidP="002274A8">
            <w:pPr>
              <w:spacing w:before="20" w:after="20"/>
              <w:jc w:val="right"/>
              <w:rPr>
                <w:noProof/>
                <w:sz w:val="20"/>
              </w:rPr>
            </w:pPr>
            <w:r w:rsidRPr="00A722F1">
              <w:rPr>
                <w:noProof/>
                <w:color w:val="000000"/>
                <w:sz w:val="20"/>
              </w:rPr>
              <w:t>3,000</w:t>
            </w:r>
          </w:p>
        </w:tc>
        <w:tc>
          <w:tcPr>
            <w:tcW w:w="1624" w:type="dxa"/>
            <w:vAlign w:val="center"/>
          </w:tcPr>
          <w:p w:rsidR="002274A8" w:rsidRPr="00A722F1" w:rsidRDefault="002274A8" w:rsidP="002274A8">
            <w:pPr>
              <w:spacing w:before="20" w:after="20"/>
              <w:jc w:val="right"/>
              <w:rPr>
                <w:noProof/>
                <w:sz w:val="20"/>
              </w:rPr>
            </w:pPr>
            <w:r>
              <w:rPr>
                <w:noProof/>
                <w:color w:val="000000"/>
                <w:sz w:val="20"/>
              </w:rPr>
              <w:t>4,</w:t>
            </w:r>
            <w:r w:rsidRPr="00A722F1">
              <w:rPr>
                <w:noProof/>
                <w:color w:val="000000"/>
                <w:sz w:val="20"/>
              </w:rPr>
              <w:t>000</w:t>
            </w:r>
          </w:p>
        </w:tc>
        <w:tc>
          <w:tcPr>
            <w:tcW w:w="1624" w:type="dxa"/>
            <w:vAlign w:val="center"/>
          </w:tcPr>
          <w:p w:rsidR="002274A8" w:rsidRPr="00A722F1" w:rsidRDefault="002274A8" w:rsidP="002274A8">
            <w:pPr>
              <w:spacing w:before="20" w:after="20"/>
              <w:jc w:val="right"/>
              <w:rPr>
                <w:noProof/>
                <w:sz w:val="20"/>
              </w:rPr>
            </w:pPr>
          </w:p>
        </w:tc>
        <w:tc>
          <w:tcPr>
            <w:tcW w:w="1625" w:type="dxa"/>
            <w:vAlign w:val="center"/>
          </w:tcPr>
          <w:p w:rsidR="002274A8" w:rsidRPr="00A722F1" w:rsidRDefault="002274A8" w:rsidP="002274A8">
            <w:pPr>
              <w:spacing w:before="20" w:after="20"/>
              <w:jc w:val="right"/>
              <w:rPr>
                <w:noProof/>
                <w:sz w:val="20"/>
              </w:rPr>
            </w:pPr>
            <w:r>
              <w:rPr>
                <w:noProof/>
                <w:color w:val="000000"/>
                <w:sz w:val="20"/>
              </w:rPr>
              <w:t>7</w:t>
            </w:r>
            <w:r w:rsidRPr="00A722F1">
              <w:rPr>
                <w:noProof/>
                <w:color w:val="000000"/>
                <w:sz w:val="20"/>
              </w:rPr>
              <w:t>,000</w:t>
            </w:r>
          </w:p>
        </w:tc>
      </w:tr>
      <w:tr w:rsidR="002274A8" w:rsidRPr="00B612E0" w:rsidTr="00B612E0">
        <w:tc>
          <w:tcPr>
            <w:tcW w:w="3960" w:type="dxa"/>
            <w:vMerge w:val="restart"/>
            <w:shd w:val="thinDiagStripe" w:color="C0C0C0" w:fill="auto"/>
            <w:vAlign w:val="center"/>
          </w:tcPr>
          <w:p w:rsidR="002274A8" w:rsidRPr="00B612E0" w:rsidRDefault="002274A8" w:rsidP="00234966">
            <w:pPr>
              <w:jc w:val="center"/>
              <w:rPr>
                <w:b/>
                <w:noProof/>
              </w:rPr>
            </w:pPr>
            <w:r w:rsidRPr="00B612E0">
              <w:rPr>
                <w:b/>
                <w:noProof/>
                <w:sz w:val="22"/>
              </w:rPr>
              <w:t>TOTAL de compromisos</w:t>
            </w:r>
            <w:r w:rsidRPr="00B612E0">
              <w:rPr>
                <w:noProof/>
              </w:rPr>
              <w:t xml:space="preserve"> </w:t>
            </w:r>
            <w:r w:rsidRPr="00B612E0">
              <w:rPr>
                <w:noProof/>
              </w:rPr>
              <w:br/>
            </w:r>
            <w:r w:rsidR="00234966">
              <w:rPr>
                <w:b/>
                <w:noProof/>
                <w:sz w:val="22"/>
              </w:rPr>
              <w:t>en</w:t>
            </w:r>
            <w:r w:rsidRPr="00B612E0">
              <w:rPr>
                <w:b/>
                <w:noProof/>
                <w:sz w:val="22"/>
              </w:rPr>
              <w:t xml:space="preserve"> la RÚBRICA 01</w:t>
            </w:r>
            <w:r w:rsidRPr="00B612E0">
              <w:rPr>
                <w:noProof/>
              </w:rPr>
              <w:t xml:space="preserve"> </w:t>
            </w:r>
            <w:r w:rsidRPr="00B612E0">
              <w:rPr>
                <w:noProof/>
              </w:rPr>
              <w:br/>
            </w:r>
            <w:r w:rsidRPr="00B612E0">
              <w:rPr>
                <w:noProof/>
                <w:sz w:val="22"/>
              </w:rPr>
              <w:t>del marco financiero plurianual</w:t>
            </w:r>
          </w:p>
        </w:tc>
        <w:tc>
          <w:tcPr>
            <w:tcW w:w="1440" w:type="dxa"/>
            <w:vAlign w:val="center"/>
          </w:tcPr>
          <w:p w:rsidR="002274A8" w:rsidRPr="00B612E0" w:rsidRDefault="002274A8" w:rsidP="002274A8">
            <w:pPr>
              <w:rPr>
                <w:noProof/>
                <w:sz w:val="18"/>
              </w:rPr>
            </w:pPr>
            <w:r w:rsidRPr="00B612E0">
              <w:rPr>
                <w:noProof/>
                <w:sz w:val="18"/>
              </w:rPr>
              <w:t>Compromisos</w:t>
            </w:r>
          </w:p>
        </w:tc>
        <w:tc>
          <w:tcPr>
            <w:tcW w:w="654" w:type="dxa"/>
            <w:vAlign w:val="center"/>
          </w:tcPr>
          <w:p w:rsidR="002274A8" w:rsidRPr="00B612E0" w:rsidRDefault="002274A8" w:rsidP="002274A8">
            <w:pPr>
              <w:jc w:val="center"/>
              <w:rPr>
                <w:noProof/>
                <w:sz w:val="14"/>
              </w:rPr>
            </w:pPr>
            <w:r w:rsidRPr="00B612E0">
              <w:rPr>
                <w:noProof/>
                <w:sz w:val="14"/>
              </w:rPr>
              <w:t>=4</w:t>
            </w:r>
          </w:p>
        </w:tc>
        <w:tc>
          <w:tcPr>
            <w:tcW w:w="1624" w:type="dxa"/>
            <w:vAlign w:val="center"/>
          </w:tcPr>
          <w:p w:rsidR="002274A8" w:rsidRPr="00A722F1" w:rsidRDefault="002274A8" w:rsidP="002274A8">
            <w:pPr>
              <w:spacing w:before="20" w:after="20"/>
              <w:jc w:val="right"/>
              <w:rPr>
                <w:noProof/>
                <w:sz w:val="20"/>
              </w:rPr>
            </w:pPr>
            <w:r w:rsidRPr="00A722F1">
              <w:rPr>
                <w:noProof/>
                <w:color w:val="000000"/>
                <w:sz w:val="20"/>
              </w:rPr>
              <w:t>3,000</w:t>
            </w:r>
          </w:p>
        </w:tc>
        <w:tc>
          <w:tcPr>
            <w:tcW w:w="1624" w:type="dxa"/>
            <w:vAlign w:val="center"/>
          </w:tcPr>
          <w:p w:rsidR="002274A8" w:rsidRPr="00A722F1" w:rsidRDefault="002274A8" w:rsidP="002274A8">
            <w:pPr>
              <w:spacing w:before="20" w:after="20"/>
              <w:jc w:val="right"/>
              <w:rPr>
                <w:noProof/>
                <w:sz w:val="20"/>
              </w:rPr>
            </w:pPr>
            <w:r>
              <w:rPr>
                <w:noProof/>
                <w:color w:val="000000"/>
                <w:sz w:val="20"/>
              </w:rPr>
              <w:t>4,0</w:t>
            </w:r>
            <w:r w:rsidRPr="00A722F1">
              <w:rPr>
                <w:noProof/>
                <w:color w:val="000000"/>
                <w:sz w:val="20"/>
              </w:rPr>
              <w:t>00</w:t>
            </w:r>
          </w:p>
        </w:tc>
        <w:tc>
          <w:tcPr>
            <w:tcW w:w="1624" w:type="dxa"/>
            <w:vAlign w:val="center"/>
          </w:tcPr>
          <w:p w:rsidR="002274A8" w:rsidRPr="00A722F1" w:rsidRDefault="002274A8" w:rsidP="002274A8">
            <w:pPr>
              <w:spacing w:before="20" w:after="20"/>
              <w:jc w:val="right"/>
              <w:rPr>
                <w:noProof/>
                <w:sz w:val="20"/>
              </w:rPr>
            </w:pPr>
          </w:p>
        </w:tc>
        <w:tc>
          <w:tcPr>
            <w:tcW w:w="1625" w:type="dxa"/>
            <w:vAlign w:val="center"/>
          </w:tcPr>
          <w:p w:rsidR="002274A8" w:rsidRPr="00A722F1" w:rsidRDefault="002274A8" w:rsidP="002274A8">
            <w:pPr>
              <w:spacing w:before="20" w:after="20"/>
              <w:jc w:val="right"/>
              <w:rPr>
                <w:noProof/>
                <w:sz w:val="20"/>
              </w:rPr>
            </w:pPr>
            <w:r>
              <w:rPr>
                <w:noProof/>
                <w:color w:val="000000"/>
                <w:sz w:val="20"/>
              </w:rPr>
              <w:t>7</w:t>
            </w:r>
            <w:r w:rsidRPr="00A722F1">
              <w:rPr>
                <w:noProof/>
                <w:color w:val="000000"/>
                <w:sz w:val="20"/>
              </w:rPr>
              <w:t>,000</w:t>
            </w:r>
          </w:p>
        </w:tc>
      </w:tr>
      <w:tr w:rsidR="002274A8" w:rsidRPr="00B612E0" w:rsidTr="00B612E0">
        <w:tc>
          <w:tcPr>
            <w:tcW w:w="3960" w:type="dxa"/>
            <w:vMerge/>
            <w:shd w:val="thinDiagStripe" w:color="C0C0C0" w:fill="auto"/>
          </w:tcPr>
          <w:p w:rsidR="002274A8" w:rsidRPr="00B612E0" w:rsidRDefault="002274A8" w:rsidP="002274A8">
            <w:pPr>
              <w:rPr>
                <w:noProof/>
                <w:sz w:val="20"/>
              </w:rPr>
            </w:pPr>
          </w:p>
        </w:tc>
        <w:tc>
          <w:tcPr>
            <w:tcW w:w="1440" w:type="dxa"/>
            <w:vAlign w:val="center"/>
          </w:tcPr>
          <w:p w:rsidR="002274A8" w:rsidRPr="00B612E0" w:rsidRDefault="002274A8" w:rsidP="002274A8">
            <w:pPr>
              <w:rPr>
                <w:noProof/>
                <w:sz w:val="18"/>
              </w:rPr>
            </w:pPr>
            <w:r w:rsidRPr="00B612E0">
              <w:rPr>
                <w:noProof/>
                <w:sz w:val="18"/>
              </w:rPr>
              <w:t>Pagos</w:t>
            </w:r>
          </w:p>
        </w:tc>
        <w:tc>
          <w:tcPr>
            <w:tcW w:w="654" w:type="dxa"/>
            <w:vAlign w:val="center"/>
          </w:tcPr>
          <w:p w:rsidR="002274A8" w:rsidRPr="00B612E0" w:rsidRDefault="002274A8" w:rsidP="002274A8">
            <w:pPr>
              <w:jc w:val="center"/>
              <w:rPr>
                <w:noProof/>
                <w:sz w:val="14"/>
              </w:rPr>
            </w:pPr>
            <w:r w:rsidRPr="00B612E0">
              <w:rPr>
                <w:noProof/>
                <w:sz w:val="14"/>
              </w:rPr>
              <w:t>=5</w:t>
            </w:r>
          </w:p>
        </w:tc>
        <w:tc>
          <w:tcPr>
            <w:tcW w:w="1624" w:type="dxa"/>
            <w:vAlign w:val="center"/>
          </w:tcPr>
          <w:p w:rsidR="002274A8" w:rsidRPr="00A722F1" w:rsidRDefault="002274A8" w:rsidP="002274A8">
            <w:pPr>
              <w:spacing w:before="20" w:after="20"/>
              <w:jc w:val="right"/>
              <w:rPr>
                <w:noProof/>
                <w:sz w:val="20"/>
              </w:rPr>
            </w:pPr>
            <w:r w:rsidRPr="00A722F1">
              <w:rPr>
                <w:noProof/>
                <w:color w:val="000000"/>
                <w:sz w:val="20"/>
              </w:rPr>
              <w:t>3,000</w:t>
            </w:r>
          </w:p>
        </w:tc>
        <w:tc>
          <w:tcPr>
            <w:tcW w:w="1624" w:type="dxa"/>
            <w:vAlign w:val="center"/>
          </w:tcPr>
          <w:p w:rsidR="002274A8" w:rsidRPr="00A722F1" w:rsidRDefault="002274A8" w:rsidP="002274A8">
            <w:pPr>
              <w:spacing w:before="20" w:after="20"/>
              <w:jc w:val="right"/>
              <w:rPr>
                <w:noProof/>
                <w:sz w:val="20"/>
              </w:rPr>
            </w:pPr>
            <w:r>
              <w:rPr>
                <w:noProof/>
                <w:sz w:val="20"/>
              </w:rPr>
              <w:t>4,000</w:t>
            </w:r>
          </w:p>
        </w:tc>
        <w:tc>
          <w:tcPr>
            <w:tcW w:w="1624" w:type="dxa"/>
            <w:vAlign w:val="center"/>
          </w:tcPr>
          <w:p w:rsidR="002274A8" w:rsidRPr="00A722F1" w:rsidRDefault="002274A8" w:rsidP="002274A8">
            <w:pPr>
              <w:spacing w:before="20" w:after="20"/>
              <w:jc w:val="right"/>
              <w:rPr>
                <w:noProof/>
                <w:sz w:val="20"/>
              </w:rPr>
            </w:pPr>
          </w:p>
        </w:tc>
        <w:tc>
          <w:tcPr>
            <w:tcW w:w="1625" w:type="dxa"/>
            <w:vAlign w:val="center"/>
          </w:tcPr>
          <w:p w:rsidR="002274A8" w:rsidRPr="00A722F1" w:rsidRDefault="002274A8" w:rsidP="002274A8">
            <w:pPr>
              <w:spacing w:before="20" w:after="20"/>
              <w:jc w:val="right"/>
              <w:rPr>
                <w:noProof/>
                <w:sz w:val="20"/>
              </w:rPr>
            </w:pPr>
            <w:r>
              <w:rPr>
                <w:noProof/>
                <w:color w:val="000000"/>
                <w:sz w:val="20"/>
              </w:rPr>
              <w:t>7</w:t>
            </w:r>
            <w:r w:rsidRPr="00A722F1">
              <w:rPr>
                <w:noProof/>
                <w:color w:val="000000"/>
                <w:sz w:val="20"/>
              </w:rPr>
              <w:t>,000</w:t>
            </w:r>
          </w:p>
        </w:tc>
      </w:tr>
    </w:tbl>
    <w:p w:rsidR="007D02A8" w:rsidRPr="00B612E0" w:rsidRDefault="007D02A8" w:rsidP="007D02A8">
      <w:pPr>
        <w:spacing w:before="0" w:after="0"/>
        <w:jc w:val="left"/>
        <w:rPr>
          <w:noProof/>
        </w:rPr>
      </w:pPr>
      <w:r w:rsidRPr="00B612E0">
        <w:rPr>
          <w:noProof/>
        </w:rPr>
        <w:br w:type="page"/>
      </w:r>
    </w:p>
    <w:p w:rsidR="007D02A8" w:rsidRPr="00B612E0" w:rsidRDefault="007D02A8" w:rsidP="007D02A8">
      <w:pPr>
        <w:spacing w:before="0" w:after="0"/>
        <w:jc w:val="left"/>
        <w:rPr>
          <w:noProof/>
        </w:rPr>
      </w:pPr>
      <w:bookmarkStart w:id="35" w:name="_Toc514938054"/>
      <w:bookmarkStart w:id="36" w:name="_Toc52048505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7D02A8" w:rsidRPr="00B612E0" w:rsidTr="00B612E0">
        <w:trPr>
          <w:jc w:val="center"/>
        </w:trPr>
        <w:tc>
          <w:tcPr>
            <w:tcW w:w="4744" w:type="dxa"/>
            <w:shd w:val="thinDiagStripe" w:color="C0C0C0" w:fill="auto"/>
            <w:vAlign w:val="center"/>
          </w:tcPr>
          <w:p w:rsidR="007D02A8" w:rsidRPr="00B612E0" w:rsidRDefault="007D02A8" w:rsidP="00B612E0">
            <w:pPr>
              <w:spacing w:before="60" w:after="60"/>
              <w:jc w:val="center"/>
              <w:rPr>
                <w:b/>
                <w:noProof/>
              </w:rPr>
            </w:pPr>
            <w:r w:rsidRPr="00B612E0">
              <w:rPr>
                <w:noProof/>
              </w:rPr>
              <w:br w:type="page"/>
            </w:r>
            <w:r w:rsidRPr="00B612E0">
              <w:rPr>
                <w:b/>
                <w:noProof/>
                <w:sz w:val="22"/>
              </w:rPr>
              <w:t>Rúbrica del marco financiero</w:t>
            </w:r>
            <w:r w:rsidRPr="00B612E0">
              <w:rPr>
                <w:noProof/>
              </w:rPr>
              <w:t xml:space="preserve"> </w:t>
            </w:r>
            <w:r w:rsidRPr="00B612E0">
              <w:rPr>
                <w:noProof/>
              </w:rPr>
              <w:br/>
            </w:r>
            <w:r w:rsidRPr="00B612E0">
              <w:rPr>
                <w:b/>
                <w:noProof/>
                <w:sz w:val="22"/>
              </w:rPr>
              <w:t xml:space="preserve">plurianual </w:t>
            </w:r>
          </w:p>
        </w:tc>
        <w:tc>
          <w:tcPr>
            <w:tcW w:w="1080" w:type="dxa"/>
            <w:shd w:val="thinDiagStripe" w:color="C0C0C0" w:fill="auto"/>
            <w:vAlign w:val="center"/>
          </w:tcPr>
          <w:p w:rsidR="007D02A8" w:rsidRPr="00B612E0" w:rsidRDefault="007D02A8" w:rsidP="00B612E0">
            <w:pPr>
              <w:spacing w:before="60" w:after="60"/>
              <w:jc w:val="center"/>
              <w:rPr>
                <w:noProof/>
              </w:rPr>
            </w:pPr>
            <w:r w:rsidRPr="00B612E0">
              <w:rPr>
                <w:b/>
                <w:noProof/>
                <w:sz w:val="22"/>
              </w:rPr>
              <w:t>7</w:t>
            </w:r>
          </w:p>
        </w:tc>
        <w:tc>
          <w:tcPr>
            <w:tcW w:w="7817" w:type="dxa"/>
            <w:vAlign w:val="center"/>
          </w:tcPr>
          <w:p w:rsidR="007D02A8" w:rsidRPr="00B612E0" w:rsidRDefault="007D02A8" w:rsidP="00B612E0">
            <w:pPr>
              <w:spacing w:before="60" w:after="60"/>
              <w:rPr>
                <w:noProof/>
              </w:rPr>
            </w:pPr>
            <w:r w:rsidRPr="00B612E0">
              <w:rPr>
                <w:noProof/>
                <w:sz w:val="22"/>
              </w:rPr>
              <w:t>«Gastos administrativos»</w:t>
            </w:r>
          </w:p>
        </w:tc>
      </w:tr>
    </w:tbl>
    <w:p w:rsidR="007D02A8" w:rsidRPr="00B612E0" w:rsidRDefault="007D02A8" w:rsidP="007D02A8">
      <w:pPr>
        <w:jc w:val="right"/>
        <w:rPr>
          <w:noProof/>
          <w:sz w:val="20"/>
        </w:rPr>
      </w:pPr>
      <w:r w:rsidRPr="00B612E0">
        <w:rPr>
          <w:noProof/>
          <w:sz w:val="20"/>
        </w:rPr>
        <w:t>En millones EUR (al tercer decimal)</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10"/>
        <w:gridCol w:w="1624"/>
        <w:gridCol w:w="1624"/>
        <w:gridCol w:w="1625"/>
        <w:gridCol w:w="1701"/>
      </w:tblGrid>
      <w:tr w:rsidR="007D02A8" w:rsidRPr="00B612E0" w:rsidTr="00B612E0">
        <w:tc>
          <w:tcPr>
            <w:tcW w:w="3960" w:type="dxa"/>
            <w:tcBorders>
              <w:top w:val="nil"/>
              <w:left w:val="nil"/>
              <w:right w:val="nil"/>
            </w:tcBorders>
            <w:vAlign w:val="center"/>
          </w:tcPr>
          <w:p w:rsidR="007D02A8" w:rsidRPr="00B612E0" w:rsidRDefault="007D02A8" w:rsidP="00B612E0">
            <w:pPr>
              <w:jc w:val="center"/>
              <w:rPr>
                <w:noProof/>
              </w:rPr>
            </w:pPr>
          </w:p>
        </w:tc>
        <w:tc>
          <w:tcPr>
            <w:tcW w:w="1560" w:type="dxa"/>
            <w:tcBorders>
              <w:top w:val="nil"/>
              <w:left w:val="nil"/>
              <w:right w:val="nil"/>
            </w:tcBorders>
          </w:tcPr>
          <w:p w:rsidR="007D02A8" w:rsidRPr="00B612E0" w:rsidRDefault="007D02A8" w:rsidP="00B612E0">
            <w:pPr>
              <w:rPr>
                <w:noProof/>
                <w:sz w:val="20"/>
              </w:rPr>
            </w:pPr>
          </w:p>
        </w:tc>
        <w:tc>
          <w:tcPr>
            <w:tcW w:w="510" w:type="dxa"/>
            <w:tcBorders>
              <w:top w:val="nil"/>
              <w:left w:val="nil"/>
            </w:tcBorders>
          </w:tcPr>
          <w:p w:rsidR="007D02A8" w:rsidRPr="00B612E0" w:rsidRDefault="007D02A8" w:rsidP="00B612E0">
            <w:pPr>
              <w:jc w:val="center"/>
              <w:rPr>
                <w:noProof/>
                <w:sz w:val="20"/>
              </w:rPr>
            </w:pPr>
          </w:p>
        </w:tc>
        <w:tc>
          <w:tcPr>
            <w:tcW w:w="1624" w:type="dxa"/>
            <w:vAlign w:val="center"/>
          </w:tcPr>
          <w:p w:rsidR="007D02A8" w:rsidRPr="00B612E0" w:rsidRDefault="007D02A8" w:rsidP="00B612E0">
            <w:pPr>
              <w:jc w:val="center"/>
              <w:rPr>
                <w:noProof/>
                <w:sz w:val="20"/>
              </w:rPr>
            </w:pPr>
            <w:r w:rsidRPr="00B612E0">
              <w:rPr>
                <w:noProof/>
                <w:sz w:val="20"/>
              </w:rPr>
              <w:t>Año</w:t>
            </w:r>
            <w:r w:rsidRPr="00B612E0">
              <w:rPr>
                <w:noProof/>
              </w:rPr>
              <w:t xml:space="preserve"> </w:t>
            </w:r>
            <w:r w:rsidRPr="00B612E0">
              <w:rPr>
                <w:noProof/>
              </w:rPr>
              <w:br/>
            </w:r>
            <w:r w:rsidRPr="00B612E0">
              <w:rPr>
                <w:b/>
                <w:noProof/>
                <w:sz w:val="20"/>
              </w:rPr>
              <w:t>2022</w:t>
            </w:r>
          </w:p>
        </w:tc>
        <w:tc>
          <w:tcPr>
            <w:tcW w:w="1624" w:type="dxa"/>
            <w:vAlign w:val="center"/>
          </w:tcPr>
          <w:p w:rsidR="007D02A8" w:rsidRPr="00B612E0" w:rsidRDefault="007D02A8" w:rsidP="00B612E0">
            <w:pPr>
              <w:jc w:val="center"/>
              <w:rPr>
                <w:noProof/>
                <w:sz w:val="20"/>
              </w:rPr>
            </w:pPr>
            <w:r w:rsidRPr="00B612E0">
              <w:rPr>
                <w:noProof/>
                <w:sz w:val="20"/>
              </w:rPr>
              <w:t>Año</w:t>
            </w:r>
            <w:r w:rsidRPr="00B612E0">
              <w:rPr>
                <w:noProof/>
              </w:rPr>
              <w:t xml:space="preserve"> </w:t>
            </w:r>
            <w:r w:rsidRPr="00B612E0">
              <w:rPr>
                <w:noProof/>
              </w:rPr>
              <w:br/>
            </w:r>
            <w:r w:rsidRPr="00B612E0">
              <w:rPr>
                <w:b/>
                <w:noProof/>
                <w:sz w:val="20"/>
              </w:rPr>
              <w:t>2023</w:t>
            </w:r>
          </w:p>
        </w:tc>
        <w:tc>
          <w:tcPr>
            <w:tcW w:w="1625" w:type="dxa"/>
            <w:vAlign w:val="center"/>
          </w:tcPr>
          <w:p w:rsidR="007D02A8" w:rsidRPr="00B612E0" w:rsidRDefault="007D02A8" w:rsidP="00B612E0">
            <w:pPr>
              <w:jc w:val="center"/>
              <w:rPr>
                <w:noProof/>
                <w:sz w:val="20"/>
              </w:rPr>
            </w:pPr>
            <w:r w:rsidRPr="00B612E0">
              <w:rPr>
                <w:noProof/>
                <w:sz w:val="20"/>
              </w:rPr>
              <w:t>Año</w:t>
            </w:r>
            <w:r w:rsidRPr="00B612E0">
              <w:rPr>
                <w:noProof/>
              </w:rPr>
              <w:t xml:space="preserve"> </w:t>
            </w:r>
            <w:r w:rsidRPr="00B612E0">
              <w:rPr>
                <w:noProof/>
              </w:rPr>
              <w:br/>
            </w:r>
            <w:r w:rsidRPr="00B612E0">
              <w:rPr>
                <w:b/>
                <w:noProof/>
                <w:sz w:val="20"/>
              </w:rPr>
              <w:t>2024</w:t>
            </w:r>
          </w:p>
        </w:tc>
        <w:tc>
          <w:tcPr>
            <w:tcW w:w="1701" w:type="dxa"/>
            <w:vAlign w:val="center"/>
          </w:tcPr>
          <w:p w:rsidR="007D02A8" w:rsidRPr="00B612E0" w:rsidRDefault="007D02A8" w:rsidP="00B612E0">
            <w:pPr>
              <w:jc w:val="center"/>
              <w:rPr>
                <w:b/>
                <w:noProof/>
                <w:sz w:val="20"/>
              </w:rPr>
            </w:pPr>
            <w:r w:rsidRPr="00B612E0">
              <w:rPr>
                <w:b/>
                <w:noProof/>
                <w:sz w:val="20"/>
              </w:rPr>
              <w:t>TOTAL</w:t>
            </w:r>
          </w:p>
        </w:tc>
      </w:tr>
      <w:tr w:rsidR="007D02A8" w:rsidRPr="002540FD" w:rsidTr="00B612E0">
        <w:trPr>
          <w:gridAfter w:val="4"/>
          <w:wAfter w:w="6574" w:type="dxa"/>
        </w:trPr>
        <w:tc>
          <w:tcPr>
            <w:tcW w:w="6030" w:type="dxa"/>
            <w:gridSpan w:val="3"/>
            <w:vAlign w:val="center"/>
          </w:tcPr>
          <w:p w:rsidR="007D02A8" w:rsidRPr="00047EE0" w:rsidRDefault="007D02A8" w:rsidP="00B612E0">
            <w:pPr>
              <w:spacing w:before="60" w:after="60"/>
              <w:jc w:val="center"/>
              <w:rPr>
                <w:noProof/>
                <w:lang w:val="en-US"/>
              </w:rPr>
            </w:pPr>
            <w:r w:rsidRPr="00047EE0">
              <w:rPr>
                <w:noProof/>
                <w:sz w:val="22"/>
                <w:lang w:val="en-US"/>
              </w:rPr>
              <w:t>DG CONNECT + JUST + SANTE + DIGIT</w:t>
            </w:r>
          </w:p>
        </w:tc>
      </w:tr>
      <w:tr w:rsidR="002274A8" w:rsidRPr="00B612E0" w:rsidTr="00B612E0">
        <w:trPr>
          <w:trHeight w:val="313"/>
        </w:trPr>
        <w:tc>
          <w:tcPr>
            <w:tcW w:w="6030" w:type="dxa"/>
            <w:gridSpan w:val="3"/>
            <w:vAlign w:val="center"/>
          </w:tcPr>
          <w:p w:rsidR="002274A8" w:rsidRPr="00B612E0" w:rsidRDefault="002274A8" w:rsidP="002274A8">
            <w:pPr>
              <w:spacing w:before="20" w:after="20"/>
              <w:rPr>
                <w:noProof/>
              </w:rPr>
            </w:pPr>
            <w:r w:rsidRPr="00B612E0">
              <w:rPr>
                <w:noProof/>
                <w:sz w:val="22"/>
              </w:rPr>
              <w:sym w:font="Wingdings" w:char="F09F"/>
            </w:r>
            <w:r w:rsidRPr="00B612E0">
              <w:rPr>
                <w:noProof/>
              </w:rPr>
              <w:t xml:space="preserve"> Recursos humanos</w:t>
            </w:r>
            <w:r w:rsidRPr="00B612E0">
              <w:rPr>
                <w:noProof/>
                <w:sz w:val="22"/>
              </w:rPr>
              <w:t xml:space="preserve"> </w:t>
            </w:r>
          </w:p>
        </w:tc>
        <w:tc>
          <w:tcPr>
            <w:tcW w:w="1624" w:type="dxa"/>
            <w:vAlign w:val="center"/>
          </w:tcPr>
          <w:p w:rsidR="002274A8" w:rsidRPr="00A722F1" w:rsidRDefault="002274A8" w:rsidP="002274A8">
            <w:pPr>
              <w:spacing w:before="20" w:after="20"/>
              <w:jc w:val="right"/>
              <w:rPr>
                <w:noProof/>
                <w:sz w:val="20"/>
              </w:rPr>
            </w:pPr>
            <w:r>
              <w:rPr>
                <w:noProof/>
                <w:sz w:val="20"/>
              </w:rPr>
              <w:t>1,501</w:t>
            </w:r>
          </w:p>
        </w:tc>
        <w:tc>
          <w:tcPr>
            <w:tcW w:w="1624" w:type="dxa"/>
            <w:vAlign w:val="center"/>
          </w:tcPr>
          <w:p w:rsidR="002274A8" w:rsidRPr="00A722F1" w:rsidRDefault="002274A8" w:rsidP="002274A8">
            <w:pPr>
              <w:spacing w:before="20" w:after="20"/>
              <w:jc w:val="right"/>
              <w:rPr>
                <w:noProof/>
                <w:sz w:val="20"/>
              </w:rPr>
            </w:pPr>
            <w:r>
              <w:rPr>
                <w:noProof/>
                <w:sz w:val="20"/>
              </w:rPr>
              <w:t>1,501</w:t>
            </w:r>
          </w:p>
        </w:tc>
        <w:tc>
          <w:tcPr>
            <w:tcW w:w="1625" w:type="dxa"/>
            <w:vAlign w:val="center"/>
          </w:tcPr>
          <w:p w:rsidR="002274A8" w:rsidRPr="00A722F1" w:rsidRDefault="002274A8" w:rsidP="002274A8">
            <w:pPr>
              <w:spacing w:before="20" w:after="20"/>
              <w:jc w:val="right"/>
              <w:rPr>
                <w:noProof/>
                <w:sz w:val="20"/>
              </w:rPr>
            </w:pPr>
          </w:p>
        </w:tc>
        <w:tc>
          <w:tcPr>
            <w:tcW w:w="1701" w:type="dxa"/>
            <w:vAlign w:val="center"/>
          </w:tcPr>
          <w:p w:rsidR="002274A8" w:rsidRPr="00A722F1" w:rsidRDefault="002274A8" w:rsidP="002274A8">
            <w:pPr>
              <w:spacing w:before="20" w:after="20"/>
              <w:jc w:val="right"/>
              <w:rPr>
                <w:noProof/>
                <w:sz w:val="20"/>
              </w:rPr>
            </w:pPr>
            <w:r>
              <w:rPr>
                <w:noProof/>
                <w:sz w:val="20"/>
              </w:rPr>
              <w:t>3,002</w:t>
            </w:r>
          </w:p>
        </w:tc>
      </w:tr>
      <w:tr w:rsidR="002274A8" w:rsidRPr="00B612E0" w:rsidTr="00B612E0">
        <w:trPr>
          <w:trHeight w:val="351"/>
        </w:trPr>
        <w:tc>
          <w:tcPr>
            <w:tcW w:w="6030" w:type="dxa"/>
            <w:gridSpan w:val="3"/>
            <w:vAlign w:val="center"/>
          </w:tcPr>
          <w:p w:rsidR="002274A8" w:rsidRPr="00B612E0" w:rsidRDefault="002274A8" w:rsidP="002274A8">
            <w:pPr>
              <w:spacing w:before="20" w:after="20"/>
              <w:rPr>
                <w:noProof/>
              </w:rPr>
            </w:pPr>
            <w:r w:rsidRPr="00B612E0">
              <w:rPr>
                <w:noProof/>
                <w:sz w:val="22"/>
              </w:rPr>
              <w:sym w:font="Wingdings" w:char="F09F"/>
            </w:r>
            <w:r w:rsidRPr="00B612E0">
              <w:rPr>
                <w:noProof/>
              </w:rPr>
              <w:t xml:space="preserve"> Otros gastos administrativos</w:t>
            </w:r>
            <w:r w:rsidRPr="00B612E0">
              <w:rPr>
                <w:noProof/>
                <w:sz w:val="22"/>
              </w:rPr>
              <w:t xml:space="preserve"> </w:t>
            </w:r>
          </w:p>
        </w:tc>
        <w:tc>
          <w:tcPr>
            <w:tcW w:w="1624" w:type="dxa"/>
            <w:vAlign w:val="center"/>
          </w:tcPr>
          <w:p w:rsidR="002274A8" w:rsidRPr="00A722F1" w:rsidRDefault="002274A8" w:rsidP="002274A8">
            <w:pPr>
              <w:spacing w:before="20" w:after="20"/>
              <w:jc w:val="right"/>
              <w:rPr>
                <w:b/>
                <w:noProof/>
                <w:sz w:val="20"/>
              </w:rPr>
            </w:pPr>
          </w:p>
        </w:tc>
        <w:tc>
          <w:tcPr>
            <w:tcW w:w="1624" w:type="dxa"/>
            <w:vAlign w:val="center"/>
          </w:tcPr>
          <w:p w:rsidR="002274A8" w:rsidRPr="00A722F1" w:rsidRDefault="002274A8" w:rsidP="002274A8">
            <w:pPr>
              <w:spacing w:before="20" w:after="20"/>
              <w:jc w:val="right"/>
              <w:rPr>
                <w:b/>
                <w:noProof/>
                <w:sz w:val="20"/>
              </w:rPr>
            </w:pPr>
          </w:p>
        </w:tc>
        <w:tc>
          <w:tcPr>
            <w:tcW w:w="1625" w:type="dxa"/>
            <w:vAlign w:val="center"/>
          </w:tcPr>
          <w:p w:rsidR="002274A8" w:rsidRPr="00A722F1" w:rsidRDefault="002274A8" w:rsidP="002274A8">
            <w:pPr>
              <w:spacing w:before="20" w:after="20"/>
              <w:jc w:val="right"/>
              <w:rPr>
                <w:b/>
                <w:noProof/>
                <w:sz w:val="20"/>
              </w:rPr>
            </w:pPr>
          </w:p>
        </w:tc>
        <w:tc>
          <w:tcPr>
            <w:tcW w:w="1701" w:type="dxa"/>
            <w:vAlign w:val="center"/>
          </w:tcPr>
          <w:p w:rsidR="002274A8" w:rsidRPr="00A722F1" w:rsidRDefault="002274A8" w:rsidP="002274A8">
            <w:pPr>
              <w:spacing w:before="20" w:after="20"/>
              <w:jc w:val="right"/>
              <w:rPr>
                <w:noProof/>
                <w:sz w:val="20"/>
              </w:rPr>
            </w:pPr>
          </w:p>
        </w:tc>
      </w:tr>
      <w:tr w:rsidR="00C04D3F" w:rsidRPr="00B612E0" w:rsidTr="00B612E0">
        <w:tc>
          <w:tcPr>
            <w:tcW w:w="3960" w:type="dxa"/>
            <w:vAlign w:val="center"/>
          </w:tcPr>
          <w:p w:rsidR="00C04D3F" w:rsidRPr="00B612E0" w:rsidRDefault="00C04D3F" w:rsidP="00C04D3F">
            <w:pPr>
              <w:jc w:val="center"/>
              <w:rPr>
                <w:b/>
                <w:noProof/>
              </w:rPr>
            </w:pPr>
            <w:r w:rsidRPr="00B612E0">
              <w:rPr>
                <w:b/>
                <w:noProof/>
                <w:sz w:val="22"/>
              </w:rPr>
              <w:t>TOTAL DG CONNECT</w:t>
            </w:r>
            <w:r w:rsidRPr="00B612E0">
              <w:rPr>
                <w:noProof/>
                <w:sz w:val="22"/>
              </w:rPr>
              <w:t xml:space="preserve"> </w:t>
            </w:r>
            <w:r w:rsidRPr="00B612E0">
              <w:rPr>
                <w:b/>
                <w:noProof/>
                <w:sz w:val="22"/>
              </w:rPr>
              <w:t>+ JUST + SANTE + DIGIT</w:t>
            </w:r>
          </w:p>
        </w:tc>
        <w:tc>
          <w:tcPr>
            <w:tcW w:w="2070" w:type="dxa"/>
            <w:gridSpan w:val="2"/>
            <w:vAlign w:val="center"/>
          </w:tcPr>
          <w:p w:rsidR="00C04D3F" w:rsidRPr="00C04D3F" w:rsidRDefault="00C04D3F" w:rsidP="00C04D3F">
            <w:pPr>
              <w:spacing w:before="20" w:after="20"/>
              <w:jc w:val="left"/>
              <w:rPr>
                <w:noProof/>
                <w:sz w:val="18"/>
                <w:szCs w:val="18"/>
              </w:rPr>
            </w:pPr>
            <w:r w:rsidRPr="00C04D3F">
              <w:rPr>
                <w:noProof/>
                <w:sz w:val="18"/>
                <w:szCs w:val="18"/>
              </w:rPr>
              <w:t>Créditos</w:t>
            </w:r>
          </w:p>
        </w:tc>
        <w:tc>
          <w:tcPr>
            <w:tcW w:w="1624" w:type="dxa"/>
            <w:vAlign w:val="center"/>
          </w:tcPr>
          <w:p w:rsidR="00C04D3F" w:rsidRPr="00A722F1" w:rsidRDefault="00C04D3F" w:rsidP="00C04D3F">
            <w:pPr>
              <w:spacing w:before="20" w:after="20"/>
              <w:jc w:val="right"/>
              <w:rPr>
                <w:noProof/>
                <w:sz w:val="20"/>
              </w:rPr>
            </w:pPr>
            <w:r>
              <w:rPr>
                <w:noProof/>
                <w:sz w:val="20"/>
              </w:rPr>
              <w:t>1,501</w:t>
            </w:r>
          </w:p>
        </w:tc>
        <w:tc>
          <w:tcPr>
            <w:tcW w:w="1624" w:type="dxa"/>
            <w:vAlign w:val="center"/>
          </w:tcPr>
          <w:p w:rsidR="00C04D3F" w:rsidRPr="00A722F1" w:rsidRDefault="00C04D3F" w:rsidP="00C04D3F">
            <w:pPr>
              <w:spacing w:before="20" w:after="20"/>
              <w:jc w:val="right"/>
              <w:rPr>
                <w:noProof/>
                <w:sz w:val="20"/>
              </w:rPr>
            </w:pPr>
            <w:r>
              <w:rPr>
                <w:noProof/>
                <w:sz w:val="20"/>
              </w:rPr>
              <w:t>1,501</w:t>
            </w:r>
          </w:p>
        </w:tc>
        <w:tc>
          <w:tcPr>
            <w:tcW w:w="1625" w:type="dxa"/>
            <w:vAlign w:val="center"/>
          </w:tcPr>
          <w:p w:rsidR="00C04D3F" w:rsidRPr="00A722F1" w:rsidRDefault="00C04D3F" w:rsidP="00C04D3F">
            <w:pPr>
              <w:spacing w:before="20" w:after="20"/>
              <w:jc w:val="right"/>
              <w:rPr>
                <w:noProof/>
                <w:sz w:val="20"/>
              </w:rPr>
            </w:pPr>
          </w:p>
        </w:tc>
        <w:tc>
          <w:tcPr>
            <w:tcW w:w="1701" w:type="dxa"/>
            <w:vAlign w:val="center"/>
          </w:tcPr>
          <w:p w:rsidR="00C04D3F" w:rsidRPr="00B612E0" w:rsidRDefault="00C04D3F" w:rsidP="00C04D3F">
            <w:pPr>
              <w:spacing w:before="20" w:after="20"/>
              <w:jc w:val="right"/>
              <w:rPr>
                <w:noProof/>
                <w:sz w:val="20"/>
              </w:rPr>
            </w:pPr>
            <w:r w:rsidRPr="00B612E0">
              <w:rPr>
                <w:noProof/>
                <w:sz w:val="20"/>
              </w:rPr>
              <w:t>3</w:t>
            </w:r>
            <w:r>
              <w:rPr>
                <w:noProof/>
                <w:sz w:val="20"/>
              </w:rPr>
              <w:t>,</w:t>
            </w:r>
            <w:r w:rsidRPr="00B612E0">
              <w:rPr>
                <w:noProof/>
                <w:sz w:val="20"/>
              </w:rPr>
              <w:t>002</w:t>
            </w:r>
          </w:p>
        </w:tc>
      </w:tr>
    </w:tbl>
    <w:p w:rsidR="007D02A8" w:rsidRPr="00B612E0" w:rsidRDefault="007D02A8" w:rsidP="007D02A8">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1624"/>
        <w:gridCol w:w="1624"/>
        <w:gridCol w:w="1625"/>
        <w:gridCol w:w="1701"/>
      </w:tblGrid>
      <w:tr w:rsidR="007D02A8" w:rsidRPr="00B612E0" w:rsidTr="00B612E0">
        <w:tc>
          <w:tcPr>
            <w:tcW w:w="3960" w:type="dxa"/>
            <w:shd w:val="thinDiagStripe" w:color="C0C0C0" w:fill="auto"/>
            <w:vAlign w:val="center"/>
          </w:tcPr>
          <w:p w:rsidR="007D02A8" w:rsidRPr="00B612E0" w:rsidRDefault="007D02A8" w:rsidP="00234966">
            <w:pPr>
              <w:jc w:val="center"/>
              <w:rPr>
                <w:b/>
                <w:noProof/>
              </w:rPr>
            </w:pPr>
            <w:r w:rsidRPr="00B612E0">
              <w:rPr>
                <w:b/>
                <w:noProof/>
                <w:sz w:val="22"/>
              </w:rPr>
              <w:t>TOTAL de créditos</w:t>
            </w:r>
            <w:r w:rsidRPr="00B612E0">
              <w:rPr>
                <w:noProof/>
              </w:rPr>
              <w:t xml:space="preserve"> </w:t>
            </w:r>
            <w:r w:rsidRPr="00B612E0">
              <w:rPr>
                <w:noProof/>
              </w:rPr>
              <w:br/>
            </w:r>
            <w:r w:rsidR="00234966">
              <w:rPr>
                <w:b/>
                <w:noProof/>
                <w:sz w:val="22"/>
              </w:rPr>
              <w:t xml:space="preserve">en </w:t>
            </w:r>
            <w:r w:rsidRPr="00B612E0">
              <w:rPr>
                <w:b/>
                <w:noProof/>
                <w:sz w:val="22"/>
              </w:rPr>
              <w:t>la RÚBRICA 7</w:t>
            </w:r>
            <w:r w:rsidRPr="00B612E0">
              <w:rPr>
                <w:noProof/>
              </w:rPr>
              <w:t xml:space="preserve"> </w:t>
            </w:r>
            <w:r w:rsidRPr="00B612E0">
              <w:rPr>
                <w:noProof/>
              </w:rPr>
              <w:br/>
            </w:r>
            <w:r w:rsidRPr="00B612E0">
              <w:rPr>
                <w:noProof/>
                <w:sz w:val="22"/>
              </w:rPr>
              <w:t>del marco financiero plurianual</w:t>
            </w:r>
            <w:r w:rsidRPr="00B612E0">
              <w:rPr>
                <w:b/>
                <w:noProof/>
                <w:sz w:val="22"/>
              </w:rPr>
              <w:t xml:space="preserve"> </w:t>
            </w:r>
          </w:p>
        </w:tc>
        <w:tc>
          <w:tcPr>
            <w:tcW w:w="2094" w:type="dxa"/>
            <w:vAlign w:val="center"/>
          </w:tcPr>
          <w:p w:rsidR="007D02A8" w:rsidRPr="00B612E0" w:rsidRDefault="007D02A8" w:rsidP="00B612E0">
            <w:pPr>
              <w:spacing w:before="40" w:after="40"/>
              <w:rPr>
                <w:noProof/>
              </w:rPr>
            </w:pPr>
            <w:r w:rsidRPr="00B612E0">
              <w:rPr>
                <w:noProof/>
                <w:sz w:val="18"/>
              </w:rPr>
              <w:t>(Total compromisos = Total pagos)</w:t>
            </w:r>
          </w:p>
        </w:tc>
        <w:tc>
          <w:tcPr>
            <w:tcW w:w="1624" w:type="dxa"/>
            <w:vAlign w:val="center"/>
          </w:tcPr>
          <w:p w:rsidR="007D02A8" w:rsidRPr="00B612E0" w:rsidRDefault="007D02A8" w:rsidP="002274A8">
            <w:pPr>
              <w:spacing w:before="20" w:after="20"/>
              <w:jc w:val="right"/>
              <w:rPr>
                <w:noProof/>
                <w:sz w:val="20"/>
              </w:rPr>
            </w:pPr>
            <w:r w:rsidRPr="00B612E0">
              <w:rPr>
                <w:noProof/>
                <w:sz w:val="20"/>
              </w:rPr>
              <w:t>1</w:t>
            </w:r>
            <w:r w:rsidR="002274A8">
              <w:rPr>
                <w:noProof/>
                <w:sz w:val="20"/>
              </w:rPr>
              <w:t>,</w:t>
            </w:r>
            <w:r w:rsidRPr="00B612E0">
              <w:rPr>
                <w:noProof/>
                <w:sz w:val="20"/>
              </w:rPr>
              <w:t>501</w:t>
            </w:r>
          </w:p>
        </w:tc>
        <w:tc>
          <w:tcPr>
            <w:tcW w:w="1624" w:type="dxa"/>
            <w:vAlign w:val="center"/>
          </w:tcPr>
          <w:p w:rsidR="007D02A8" w:rsidRPr="00B612E0" w:rsidRDefault="007D02A8" w:rsidP="002274A8">
            <w:pPr>
              <w:spacing w:before="20" w:after="20"/>
              <w:jc w:val="right"/>
              <w:rPr>
                <w:noProof/>
                <w:sz w:val="20"/>
              </w:rPr>
            </w:pPr>
            <w:r w:rsidRPr="00B612E0">
              <w:rPr>
                <w:noProof/>
                <w:sz w:val="20"/>
              </w:rPr>
              <w:t>1</w:t>
            </w:r>
            <w:r w:rsidR="002274A8">
              <w:rPr>
                <w:noProof/>
                <w:sz w:val="20"/>
              </w:rPr>
              <w:t>,</w:t>
            </w:r>
            <w:r w:rsidRPr="00B612E0">
              <w:rPr>
                <w:noProof/>
                <w:sz w:val="20"/>
              </w:rPr>
              <w:t>501</w:t>
            </w:r>
          </w:p>
        </w:tc>
        <w:tc>
          <w:tcPr>
            <w:tcW w:w="1625" w:type="dxa"/>
            <w:vAlign w:val="center"/>
          </w:tcPr>
          <w:p w:rsidR="007D02A8" w:rsidRPr="00B612E0" w:rsidRDefault="007D02A8" w:rsidP="00B612E0">
            <w:pPr>
              <w:spacing w:before="20" w:after="20"/>
              <w:jc w:val="right"/>
              <w:rPr>
                <w:noProof/>
                <w:sz w:val="20"/>
              </w:rPr>
            </w:pPr>
          </w:p>
        </w:tc>
        <w:tc>
          <w:tcPr>
            <w:tcW w:w="1701" w:type="dxa"/>
            <w:vAlign w:val="center"/>
          </w:tcPr>
          <w:p w:rsidR="007D02A8" w:rsidRPr="00B612E0" w:rsidRDefault="007D02A8" w:rsidP="002274A8">
            <w:pPr>
              <w:spacing w:before="20" w:after="20"/>
              <w:jc w:val="right"/>
              <w:rPr>
                <w:noProof/>
                <w:sz w:val="20"/>
              </w:rPr>
            </w:pPr>
            <w:r w:rsidRPr="00B612E0">
              <w:rPr>
                <w:noProof/>
                <w:sz w:val="20"/>
              </w:rPr>
              <w:t>3</w:t>
            </w:r>
            <w:r w:rsidR="002274A8">
              <w:rPr>
                <w:noProof/>
                <w:sz w:val="20"/>
              </w:rPr>
              <w:t>,</w:t>
            </w:r>
            <w:r w:rsidRPr="00B612E0">
              <w:rPr>
                <w:noProof/>
                <w:sz w:val="20"/>
              </w:rPr>
              <w:t>002</w:t>
            </w:r>
          </w:p>
        </w:tc>
      </w:tr>
    </w:tbl>
    <w:p w:rsidR="007D02A8" w:rsidRPr="00B612E0" w:rsidRDefault="007D02A8" w:rsidP="007D02A8">
      <w:pPr>
        <w:jc w:val="right"/>
        <w:rPr>
          <w:noProof/>
          <w:sz w:val="20"/>
        </w:rPr>
      </w:pPr>
      <w:r w:rsidRPr="00B612E0">
        <w:rPr>
          <w:noProof/>
          <w:sz w:val="20"/>
        </w:rPr>
        <w:t>En millones EUR (al tercer decimal)</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1624"/>
        <w:gridCol w:w="1624"/>
        <w:gridCol w:w="1625"/>
        <w:gridCol w:w="1701"/>
      </w:tblGrid>
      <w:tr w:rsidR="007D02A8" w:rsidRPr="00B612E0" w:rsidTr="00B612E0">
        <w:tc>
          <w:tcPr>
            <w:tcW w:w="3960" w:type="dxa"/>
            <w:tcBorders>
              <w:top w:val="nil"/>
              <w:left w:val="nil"/>
              <w:bottom w:val="single" w:sz="4" w:space="0" w:color="auto"/>
              <w:right w:val="nil"/>
            </w:tcBorders>
            <w:vAlign w:val="center"/>
          </w:tcPr>
          <w:p w:rsidR="007D02A8" w:rsidRPr="00B612E0" w:rsidRDefault="007D02A8" w:rsidP="00B612E0">
            <w:pPr>
              <w:spacing w:line="276" w:lineRule="auto"/>
              <w:jc w:val="center"/>
              <w:rPr>
                <w:noProof/>
              </w:rPr>
            </w:pPr>
          </w:p>
        </w:tc>
        <w:tc>
          <w:tcPr>
            <w:tcW w:w="1560" w:type="dxa"/>
            <w:tcBorders>
              <w:top w:val="nil"/>
              <w:left w:val="nil"/>
              <w:bottom w:val="single" w:sz="4" w:space="0" w:color="auto"/>
              <w:right w:val="nil"/>
            </w:tcBorders>
          </w:tcPr>
          <w:p w:rsidR="007D02A8" w:rsidRPr="00B612E0" w:rsidRDefault="007D02A8" w:rsidP="00B612E0">
            <w:pPr>
              <w:spacing w:line="276" w:lineRule="auto"/>
              <w:rPr>
                <w:noProof/>
                <w:sz w:val="20"/>
              </w:rPr>
            </w:pPr>
          </w:p>
        </w:tc>
        <w:tc>
          <w:tcPr>
            <w:tcW w:w="534" w:type="dxa"/>
            <w:tcBorders>
              <w:top w:val="nil"/>
              <w:left w:val="nil"/>
              <w:bottom w:val="single" w:sz="4" w:space="0" w:color="auto"/>
              <w:right w:val="single" w:sz="4" w:space="0" w:color="auto"/>
            </w:tcBorders>
          </w:tcPr>
          <w:p w:rsidR="007D02A8" w:rsidRPr="00B612E0" w:rsidRDefault="007D02A8" w:rsidP="00B612E0">
            <w:pPr>
              <w:spacing w:line="276" w:lineRule="auto"/>
              <w:jc w:val="center"/>
              <w:rPr>
                <w:noProof/>
                <w:sz w:val="20"/>
              </w:rPr>
            </w:pPr>
          </w:p>
        </w:tc>
        <w:tc>
          <w:tcPr>
            <w:tcW w:w="1624" w:type="dxa"/>
            <w:tcBorders>
              <w:top w:val="single" w:sz="4" w:space="0" w:color="auto"/>
              <w:left w:val="single" w:sz="4" w:space="0" w:color="auto"/>
              <w:bottom w:val="single" w:sz="4" w:space="0" w:color="auto"/>
              <w:right w:val="single" w:sz="4" w:space="0" w:color="auto"/>
            </w:tcBorders>
            <w:vAlign w:val="center"/>
            <w:hideMark/>
          </w:tcPr>
          <w:p w:rsidR="007D02A8" w:rsidRPr="00B612E0" w:rsidRDefault="007D02A8" w:rsidP="00B612E0">
            <w:pPr>
              <w:spacing w:line="276" w:lineRule="auto"/>
              <w:jc w:val="center"/>
              <w:rPr>
                <w:noProof/>
                <w:sz w:val="20"/>
              </w:rPr>
            </w:pPr>
            <w:r w:rsidRPr="00B612E0">
              <w:rPr>
                <w:noProof/>
                <w:sz w:val="20"/>
              </w:rPr>
              <w:t>Año</w:t>
            </w:r>
            <w:r w:rsidRPr="00B612E0">
              <w:rPr>
                <w:noProof/>
              </w:rPr>
              <w:t xml:space="preserve"> </w:t>
            </w:r>
            <w:r w:rsidRPr="00B612E0">
              <w:rPr>
                <w:noProof/>
              </w:rPr>
              <w:br/>
            </w:r>
            <w:r w:rsidRPr="00B612E0">
              <w:rPr>
                <w:b/>
                <w:noProof/>
                <w:sz w:val="20"/>
              </w:rPr>
              <w:t>2022</w:t>
            </w:r>
          </w:p>
        </w:tc>
        <w:tc>
          <w:tcPr>
            <w:tcW w:w="1624" w:type="dxa"/>
            <w:tcBorders>
              <w:top w:val="single" w:sz="4" w:space="0" w:color="auto"/>
              <w:left w:val="single" w:sz="4" w:space="0" w:color="auto"/>
              <w:bottom w:val="single" w:sz="4" w:space="0" w:color="auto"/>
              <w:right w:val="single" w:sz="4" w:space="0" w:color="auto"/>
            </w:tcBorders>
            <w:vAlign w:val="center"/>
            <w:hideMark/>
          </w:tcPr>
          <w:p w:rsidR="007D02A8" w:rsidRPr="00B612E0" w:rsidRDefault="007D02A8" w:rsidP="00B612E0">
            <w:pPr>
              <w:spacing w:line="276" w:lineRule="auto"/>
              <w:jc w:val="center"/>
              <w:rPr>
                <w:noProof/>
                <w:sz w:val="20"/>
              </w:rPr>
            </w:pPr>
            <w:r w:rsidRPr="00B612E0">
              <w:rPr>
                <w:noProof/>
                <w:sz w:val="20"/>
              </w:rPr>
              <w:t>Año</w:t>
            </w:r>
            <w:r w:rsidRPr="00B612E0">
              <w:rPr>
                <w:noProof/>
              </w:rPr>
              <w:t xml:space="preserve"> </w:t>
            </w:r>
            <w:r w:rsidRPr="00B612E0">
              <w:rPr>
                <w:noProof/>
              </w:rPr>
              <w:br/>
            </w:r>
            <w:r w:rsidRPr="00B612E0">
              <w:rPr>
                <w:b/>
                <w:noProof/>
                <w:sz w:val="20"/>
              </w:rPr>
              <w:t>2023</w:t>
            </w:r>
          </w:p>
        </w:tc>
        <w:tc>
          <w:tcPr>
            <w:tcW w:w="1625" w:type="dxa"/>
            <w:tcBorders>
              <w:top w:val="single" w:sz="4" w:space="0" w:color="auto"/>
              <w:left w:val="single" w:sz="4" w:space="0" w:color="auto"/>
              <w:bottom w:val="single" w:sz="4" w:space="0" w:color="auto"/>
              <w:right w:val="single" w:sz="4" w:space="0" w:color="auto"/>
            </w:tcBorders>
            <w:vAlign w:val="center"/>
            <w:hideMark/>
          </w:tcPr>
          <w:p w:rsidR="007D02A8" w:rsidRPr="00B612E0" w:rsidRDefault="007D02A8" w:rsidP="00B612E0">
            <w:pPr>
              <w:spacing w:line="276" w:lineRule="auto"/>
              <w:jc w:val="center"/>
              <w:rPr>
                <w:noProof/>
                <w:sz w:val="20"/>
              </w:rPr>
            </w:pPr>
            <w:r w:rsidRPr="00B612E0">
              <w:rPr>
                <w:noProof/>
                <w:sz w:val="20"/>
              </w:rPr>
              <w:t>Año</w:t>
            </w:r>
            <w:r w:rsidRPr="00B612E0">
              <w:rPr>
                <w:noProof/>
              </w:rPr>
              <w:t xml:space="preserve"> </w:t>
            </w:r>
            <w:r w:rsidRPr="00B612E0">
              <w:rPr>
                <w:noProof/>
              </w:rPr>
              <w:br/>
            </w:r>
            <w:r w:rsidRPr="00B612E0">
              <w:rPr>
                <w:b/>
                <w:noProof/>
                <w:sz w:val="20"/>
              </w:rPr>
              <w:t>2024</w:t>
            </w:r>
          </w:p>
        </w:tc>
        <w:tc>
          <w:tcPr>
            <w:tcW w:w="1701" w:type="dxa"/>
            <w:tcBorders>
              <w:top w:val="single" w:sz="4" w:space="0" w:color="auto"/>
              <w:left w:val="single" w:sz="4" w:space="0" w:color="auto"/>
              <w:bottom w:val="single" w:sz="4" w:space="0" w:color="auto"/>
              <w:right w:val="single" w:sz="4" w:space="0" w:color="auto"/>
            </w:tcBorders>
            <w:vAlign w:val="center"/>
            <w:hideMark/>
          </w:tcPr>
          <w:p w:rsidR="007D02A8" w:rsidRPr="00B612E0" w:rsidRDefault="007D02A8" w:rsidP="00B612E0">
            <w:pPr>
              <w:spacing w:line="276" w:lineRule="auto"/>
              <w:jc w:val="center"/>
              <w:rPr>
                <w:b/>
                <w:noProof/>
                <w:sz w:val="20"/>
              </w:rPr>
            </w:pPr>
            <w:r w:rsidRPr="00B612E0">
              <w:rPr>
                <w:b/>
                <w:noProof/>
                <w:sz w:val="20"/>
              </w:rPr>
              <w:t>TOTAL</w:t>
            </w:r>
          </w:p>
        </w:tc>
      </w:tr>
      <w:tr w:rsidR="007D02A8" w:rsidRPr="00B612E0" w:rsidTr="00B612E0">
        <w:tc>
          <w:tcPr>
            <w:tcW w:w="3960"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7D02A8" w:rsidRPr="00B612E0" w:rsidRDefault="007D02A8" w:rsidP="00234966">
            <w:pPr>
              <w:spacing w:line="276" w:lineRule="auto"/>
              <w:jc w:val="center"/>
              <w:rPr>
                <w:b/>
                <w:noProof/>
              </w:rPr>
            </w:pPr>
            <w:r w:rsidRPr="00B612E0">
              <w:rPr>
                <w:b/>
                <w:bCs/>
                <w:noProof/>
              </w:rPr>
              <w:t xml:space="preserve">TOTAL de créditos </w:t>
            </w:r>
            <w:r w:rsidRPr="00B612E0">
              <w:rPr>
                <w:b/>
                <w:bCs/>
                <w:noProof/>
              </w:rPr>
              <w:br/>
            </w:r>
            <w:r w:rsidR="00234966">
              <w:rPr>
                <w:b/>
                <w:bCs/>
                <w:noProof/>
              </w:rPr>
              <w:t xml:space="preserve">en </w:t>
            </w:r>
            <w:r w:rsidRPr="00B612E0">
              <w:rPr>
                <w:b/>
                <w:bCs/>
                <w:noProof/>
              </w:rPr>
              <w:t>las RÚBRICAS 1 a 7</w:t>
            </w:r>
            <w:r w:rsidRPr="00B612E0">
              <w:rPr>
                <w:noProof/>
              </w:rPr>
              <w:t xml:space="preserve"> </w:t>
            </w:r>
            <w:r w:rsidRPr="00B612E0">
              <w:rPr>
                <w:noProof/>
              </w:rPr>
              <w:br/>
            </w:r>
            <w:r w:rsidRPr="00B612E0">
              <w:rPr>
                <w:noProof/>
                <w:sz w:val="22"/>
              </w:rPr>
              <w:t>del marco financiero plurianual</w:t>
            </w:r>
            <w:r w:rsidRPr="00B612E0">
              <w:rPr>
                <w:b/>
                <w:noProof/>
                <w:sz w:val="22"/>
              </w:rPr>
              <w:t xml:space="preserve"> </w:t>
            </w:r>
          </w:p>
        </w:tc>
        <w:tc>
          <w:tcPr>
            <w:tcW w:w="2094" w:type="dxa"/>
            <w:gridSpan w:val="2"/>
            <w:tcBorders>
              <w:top w:val="single" w:sz="4" w:space="0" w:color="auto"/>
              <w:left w:val="single" w:sz="4" w:space="0" w:color="auto"/>
              <w:bottom w:val="single" w:sz="4" w:space="0" w:color="auto"/>
              <w:right w:val="single" w:sz="4" w:space="0" w:color="auto"/>
            </w:tcBorders>
            <w:vAlign w:val="center"/>
            <w:hideMark/>
          </w:tcPr>
          <w:p w:rsidR="007D02A8" w:rsidRPr="00B612E0" w:rsidRDefault="007D02A8" w:rsidP="00B612E0">
            <w:pPr>
              <w:spacing w:line="276" w:lineRule="auto"/>
              <w:rPr>
                <w:noProof/>
                <w:sz w:val="14"/>
              </w:rPr>
            </w:pPr>
            <w:r w:rsidRPr="00B612E0">
              <w:rPr>
                <w:noProof/>
                <w:sz w:val="18"/>
              </w:rPr>
              <w:t>Compromisos</w:t>
            </w:r>
          </w:p>
        </w:tc>
        <w:tc>
          <w:tcPr>
            <w:tcW w:w="1624" w:type="dxa"/>
            <w:tcBorders>
              <w:top w:val="single" w:sz="4" w:space="0" w:color="auto"/>
              <w:left w:val="single" w:sz="4" w:space="0" w:color="auto"/>
              <w:bottom w:val="single" w:sz="4" w:space="0" w:color="auto"/>
              <w:right w:val="single" w:sz="4" w:space="0" w:color="auto"/>
            </w:tcBorders>
            <w:vAlign w:val="center"/>
            <w:hideMark/>
          </w:tcPr>
          <w:p w:rsidR="007D02A8" w:rsidRPr="00B612E0" w:rsidRDefault="007D02A8" w:rsidP="00234966">
            <w:pPr>
              <w:spacing w:before="60" w:after="60" w:line="276" w:lineRule="auto"/>
              <w:jc w:val="right"/>
              <w:rPr>
                <w:noProof/>
                <w:sz w:val="20"/>
              </w:rPr>
            </w:pPr>
            <w:r w:rsidRPr="00B612E0">
              <w:rPr>
                <w:noProof/>
                <w:sz w:val="20"/>
              </w:rPr>
              <w:t>4</w:t>
            </w:r>
            <w:r w:rsidR="00234966">
              <w:rPr>
                <w:noProof/>
                <w:sz w:val="20"/>
              </w:rPr>
              <w:t>,</w:t>
            </w:r>
            <w:r w:rsidRPr="00B612E0">
              <w:rPr>
                <w:noProof/>
                <w:sz w:val="20"/>
              </w:rPr>
              <w:t>501</w:t>
            </w:r>
          </w:p>
        </w:tc>
        <w:tc>
          <w:tcPr>
            <w:tcW w:w="1624" w:type="dxa"/>
            <w:tcBorders>
              <w:top w:val="single" w:sz="4" w:space="0" w:color="auto"/>
              <w:left w:val="single" w:sz="4" w:space="0" w:color="auto"/>
              <w:bottom w:val="single" w:sz="4" w:space="0" w:color="auto"/>
              <w:right w:val="single" w:sz="4" w:space="0" w:color="auto"/>
            </w:tcBorders>
            <w:vAlign w:val="center"/>
          </w:tcPr>
          <w:p w:rsidR="007D02A8" w:rsidRPr="00B612E0" w:rsidRDefault="007D02A8" w:rsidP="00234966">
            <w:pPr>
              <w:spacing w:before="60" w:after="60" w:line="276" w:lineRule="auto"/>
              <w:jc w:val="right"/>
              <w:rPr>
                <w:noProof/>
                <w:sz w:val="20"/>
              </w:rPr>
            </w:pPr>
            <w:r w:rsidRPr="00B612E0">
              <w:rPr>
                <w:noProof/>
                <w:sz w:val="20"/>
              </w:rPr>
              <w:t>5</w:t>
            </w:r>
            <w:r w:rsidR="00234966">
              <w:rPr>
                <w:noProof/>
                <w:sz w:val="20"/>
              </w:rPr>
              <w:t>,</w:t>
            </w:r>
            <w:r w:rsidRPr="00B612E0">
              <w:rPr>
                <w:noProof/>
                <w:sz w:val="20"/>
              </w:rPr>
              <w:t>501</w:t>
            </w:r>
          </w:p>
        </w:tc>
        <w:tc>
          <w:tcPr>
            <w:tcW w:w="1625" w:type="dxa"/>
            <w:tcBorders>
              <w:top w:val="single" w:sz="4" w:space="0" w:color="auto"/>
              <w:left w:val="single" w:sz="4" w:space="0" w:color="auto"/>
              <w:bottom w:val="single" w:sz="4" w:space="0" w:color="auto"/>
              <w:right w:val="single" w:sz="4" w:space="0" w:color="auto"/>
            </w:tcBorders>
            <w:vAlign w:val="center"/>
          </w:tcPr>
          <w:p w:rsidR="007D02A8" w:rsidRPr="00B612E0" w:rsidRDefault="007D02A8" w:rsidP="00B612E0">
            <w:pPr>
              <w:spacing w:before="60" w:after="60" w:line="276" w:lineRule="auto"/>
              <w:jc w:val="right"/>
              <w:rPr>
                <w:noProof/>
                <w:sz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7D02A8" w:rsidRPr="00B612E0" w:rsidRDefault="007D02A8" w:rsidP="00234966">
            <w:pPr>
              <w:spacing w:before="60" w:after="60" w:line="276" w:lineRule="auto"/>
              <w:jc w:val="right"/>
              <w:rPr>
                <w:b/>
                <w:noProof/>
                <w:sz w:val="20"/>
              </w:rPr>
            </w:pPr>
            <w:r w:rsidRPr="00B612E0">
              <w:rPr>
                <w:b/>
                <w:noProof/>
                <w:sz w:val="20"/>
              </w:rPr>
              <w:t>10</w:t>
            </w:r>
            <w:r w:rsidR="00234966">
              <w:rPr>
                <w:b/>
                <w:noProof/>
                <w:sz w:val="20"/>
              </w:rPr>
              <w:t>,</w:t>
            </w:r>
            <w:r w:rsidRPr="00B612E0">
              <w:rPr>
                <w:b/>
                <w:noProof/>
                <w:sz w:val="20"/>
              </w:rPr>
              <w:t>002</w:t>
            </w:r>
          </w:p>
        </w:tc>
      </w:tr>
      <w:tr w:rsidR="007D02A8" w:rsidRPr="00B612E0" w:rsidTr="00B612E0">
        <w:tc>
          <w:tcPr>
            <w:tcW w:w="3960" w:type="dxa"/>
            <w:vMerge/>
            <w:tcBorders>
              <w:top w:val="single" w:sz="4" w:space="0" w:color="auto"/>
              <w:left w:val="single" w:sz="4" w:space="0" w:color="auto"/>
              <w:bottom w:val="single" w:sz="4" w:space="0" w:color="auto"/>
              <w:right w:val="single" w:sz="4" w:space="0" w:color="auto"/>
            </w:tcBorders>
            <w:vAlign w:val="center"/>
            <w:hideMark/>
          </w:tcPr>
          <w:p w:rsidR="007D02A8" w:rsidRPr="00B612E0" w:rsidRDefault="007D02A8" w:rsidP="00B612E0">
            <w:pPr>
              <w:spacing w:before="0" w:after="0" w:line="276" w:lineRule="auto"/>
              <w:jc w:val="left"/>
              <w:rPr>
                <w:b/>
                <w:noProof/>
              </w:rPr>
            </w:pPr>
          </w:p>
        </w:tc>
        <w:tc>
          <w:tcPr>
            <w:tcW w:w="2094" w:type="dxa"/>
            <w:gridSpan w:val="2"/>
            <w:tcBorders>
              <w:top w:val="single" w:sz="4" w:space="0" w:color="auto"/>
              <w:left w:val="single" w:sz="4" w:space="0" w:color="auto"/>
              <w:bottom w:val="single" w:sz="4" w:space="0" w:color="auto"/>
              <w:right w:val="single" w:sz="4" w:space="0" w:color="auto"/>
            </w:tcBorders>
            <w:vAlign w:val="center"/>
            <w:hideMark/>
          </w:tcPr>
          <w:p w:rsidR="007D02A8" w:rsidRPr="00B612E0" w:rsidRDefault="007D02A8" w:rsidP="00B612E0">
            <w:pPr>
              <w:spacing w:line="276" w:lineRule="auto"/>
              <w:rPr>
                <w:noProof/>
                <w:sz w:val="14"/>
              </w:rPr>
            </w:pPr>
            <w:r w:rsidRPr="00B612E0">
              <w:rPr>
                <w:noProof/>
                <w:sz w:val="18"/>
              </w:rPr>
              <w:t>Pagos</w:t>
            </w:r>
          </w:p>
        </w:tc>
        <w:tc>
          <w:tcPr>
            <w:tcW w:w="1624" w:type="dxa"/>
            <w:tcBorders>
              <w:top w:val="single" w:sz="4" w:space="0" w:color="auto"/>
              <w:left w:val="single" w:sz="4" w:space="0" w:color="auto"/>
              <w:bottom w:val="single" w:sz="4" w:space="0" w:color="auto"/>
              <w:right w:val="single" w:sz="4" w:space="0" w:color="auto"/>
            </w:tcBorders>
            <w:vAlign w:val="center"/>
            <w:hideMark/>
          </w:tcPr>
          <w:p w:rsidR="007D02A8" w:rsidRPr="00B612E0" w:rsidRDefault="007D02A8" w:rsidP="00234966">
            <w:pPr>
              <w:spacing w:before="60" w:after="60" w:line="276" w:lineRule="auto"/>
              <w:jc w:val="right"/>
              <w:rPr>
                <w:noProof/>
                <w:sz w:val="20"/>
              </w:rPr>
            </w:pPr>
            <w:r w:rsidRPr="00B612E0">
              <w:rPr>
                <w:noProof/>
                <w:sz w:val="20"/>
              </w:rPr>
              <w:t>4</w:t>
            </w:r>
            <w:r w:rsidR="00234966">
              <w:rPr>
                <w:noProof/>
                <w:sz w:val="20"/>
              </w:rPr>
              <w:t>,</w:t>
            </w:r>
            <w:r w:rsidRPr="00B612E0">
              <w:rPr>
                <w:noProof/>
                <w:sz w:val="20"/>
              </w:rPr>
              <w:t>501</w:t>
            </w:r>
          </w:p>
        </w:tc>
        <w:tc>
          <w:tcPr>
            <w:tcW w:w="1624" w:type="dxa"/>
            <w:tcBorders>
              <w:top w:val="single" w:sz="4" w:space="0" w:color="auto"/>
              <w:left w:val="single" w:sz="4" w:space="0" w:color="auto"/>
              <w:bottom w:val="single" w:sz="4" w:space="0" w:color="auto"/>
              <w:right w:val="single" w:sz="4" w:space="0" w:color="auto"/>
            </w:tcBorders>
            <w:vAlign w:val="center"/>
          </w:tcPr>
          <w:p w:rsidR="007D02A8" w:rsidRPr="00B612E0" w:rsidRDefault="007D02A8" w:rsidP="00234966">
            <w:pPr>
              <w:spacing w:before="60" w:after="60" w:line="276" w:lineRule="auto"/>
              <w:jc w:val="right"/>
              <w:rPr>
                <w:noProof/>
                <w:sz w:val="20"/>
              </w:rPr>
            </w:pPr>
            <w:r w:rsidRPr="00B612E0">
              <w:rPr>
                <w:noProof/>
                <w:sz w:val="20"/>
              </w:rPr>
              <w:t>5</w:t>
            </w:r>
            <w:r w:rsidR="00234966">
              <w:rPr>
                <w:noProof/>
                <w:sz w:val="20"/>
              </w:rPr>
              <w:t>,</w:t>
            </w:r>
            <w:r w:rsidRPr="00B612E0">
              <w:rPr>
                <w:noProof/>
                <w:sz w:val="20"/>
              </w:rPr>
              <w:t>501</w:t>
            </w:r>
          </w:p>
        </w:tc>
        <w:tc>
          <w:tcPr>
            <w:tcW w:w="1625" w:type="dxa"/>
            <w:tcBorders>
              <w:top w:val="single" w:sz="4" w:space="0" w:color="auto"/>
              <w:left w:val="single" w:sz="4" w:space="0" w:color="auto"/>
              <w:bottom w:val="single" w:sz="4" w:space="0" w:color="auto"/>
              <w:right w:val="single" w:sz="4" w:space="0" w:color="auto"/>
            </w:tcBorders>
            <w:vAlign w:val="center"/>
          </w:tcPr>
          <w:p w:rsidR="007D02A8" w:rsidRPr="00B612E0" w:rsidRDefault="007D02A8" w:rsidP="00B612E0">
            <w:pPr>
              <w:spacing w:before="60" w:after="60" w:line="276" w:lineRule="auto"/>
              <w:jc w:val="right"/>
              <w:rPr>
                <w:noProof/>
                <w:sz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7D02A8" w:rsidRPr="00B612E0" w:rsidRDefault="007D02A8" w:rsidP="00234966">
            <w:pPr>
              <w:spacing w:before="60" w:after="60" w:line="276" w:lineRule="auto"/>
              <w:jc w:val="right"/>
              <w:rPr>
                <w:b/>
                <w:noProof/>
                <w:sz w:val="20"/>
              </w:rPr>
            </w:pPr>
            <w:r w:rsidRPr="00B612E0">
              <w:rPr>
                <w:b/>
                <w:noProof/>
                <w:sz w:val="20"/>
              </w:rPr>
              <w:t>10</w:t>
            </w:r>
            <w:r w:rsidR="00234966">
              <w:rPr>
                <w:b/>
                <w:noProof/>
                <w:sz w:val="20"/>
              </w:rPr>
              <w:t>,</w:t>
            </w:r>
            <w:r w:rsidRPr="00B612E0">
              <w:rPr>
                <w:b/>
                <w:noProof/>
                <w:sz w:val="20"/>
              </w:rPr>
              <w:t>002</w:t>
            </w:r>
          </w:p>
        </w:tc>
      </w:tr>
    </w:tbl>
    <w:p w:rsidR="007D02A8" w:rsidRPr="00B612E0" w:rsidRDefault="007D02A8" w:rsidP="007D02A8">
      <w:pPr>
        <w:rPr>
          <w:noProof/>
        </w:rPr>
      </w:pPr>
    </w:p>
    <w:p w:rsidR="007D02A8" w:rsidRPr="00B612E0" w:rsidRDefault="007D02A8" w:rsidP="007D02A8">
      <w:pPr>
        <w:spacing w:before="0" w:after="200" w:line="276" w:lineRule="auto"/>
        <w:jc w:val="left"/>
        <w:rPr>
          <w:noProof/>
        </w:rPr>
      </w:pPr>
      <w:r w:rsidRPr="00B612E0">
        <w:rPr>
          <w:noProof/>
        </w:rPr>
        <w:br w:type="page"/>
      </w:r>
    </w:p>
    <w:bookmarkEnd w:id="35"/>
    <w:bookmarkEnd w:id="36"/>
    <w:p w:rsidR="007D02A8" w:rsidRPr="00B612E0" w:rsidRDefault="007D02A8" w:rsidP="007D02A8">
      <w:pPr>
        <w:pStyle w:val="ManualHeading3"/>
        <w:rPr>
          <w:bCs/>
          <w:noProof/>
          <w:szCs w:val="24"/>
        </w:rPr>
      </w:pPr>
      <w:r w:rsidRPr="00B612E0">
        <w:rPr>
          <w:noProof/>
        </w:rPr>
        <w:t>3.2.2</w:t>
      </w:r>
      <w:r w:rsidR="00234966">
        <w:rPr>
          <w:noProof/>
        </w:rPr>
        <w:t>.</w:t>
      </w:r>
      <w:r w:rsidRPr="00B612E0">
        <w:rPr>
          <w:noProof/>
        </w:rPr>
        <w:tab/>
        <w:t xml:space="preserve">Resultados estimados financiados con créditos de operaciones </w:t>
      </w:r>
    </w:p>
    <w:p w:rsidR="007D02A8" w:rsidRPr="00B612E0" w:rsidRDefault="007D02A8" w:rsidP="007D02A8">
      <w:pPr>
        <w:jc w:val="right"/>
        <w:rPr>
          <w:noProof/>
          <w:sz w:val="20"/>
        </w:rPr>
      </w:pPr>
      <w:r w:rsidRPr="00B612E0">
        <w:rPr>
          <w:noProof/>
          <w:sz w:val="20"/>
        </w:rPr>
        <w:t>Créditos de compromiso en millones EUR (al tercer decimal).</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831"/>
        <w:gridCol w:w="789"/>
        <w:gridCol w:w="540"/>
        <w:gridCol w:w="648"/>
        <w:gridCol w:w="432"/>
        <w:gridCol w:w="720"/>
        <w:gridCol w:w="540"/>
        <w:gridCol w:w="720"/>
        <w:gridCol w:w="720"/>
        <w:gridCol w:w="900"/>
      </w:tblGrid>
      <w:tr w:rsidR="007D02A8" w:rsidRPr="00B612E0" w:rsidTr="00B612E0">
        <w:trPr>
          <w:jc w:val="center"/>
        </w:trPr>
        <w:tc>
          <w:tcPr>
            <w:tcW w:w="1423" w:type="dxa"/>
            <w:vMerge w:val="restart"/>
            <w:vAlign w:val="center"/>
          </w:tcPr>
          <w:p w:rsidR="007D02A8" w:rsidRPr="00B612E0" w:rsidRDefault="007D02A8" w:rsidP="00B612E0">
            <w:pPr>
              <w:ind w:right="-29"/>
              <w:jc w:val="center"/>
              <w:rPr>
                <w:b/>
                <w:noProof/>
                <w:sz w:val="18"/>
                <w:szCs w:val="18"/>
              </w:rPr>
            </w:pPr>
            <w:r w:rsidRPr="00B612E0">
              <w:rPr>
                <w:b/>
                <w:noProof/>
                <w:sz w:val="18"/>
              </w:rPr>
              <w:t xml:space="preserve">Indíquense los objetivos y los resultados </w:t>
            </w:r>
          </w:p>
          <w:p w:rsidR="007D02A8" w:rsidRPr="00B612E0" w:rsidRDefault="007D02A8" w:rsidP="00B612E0">
            <w:pPr>
              <w:ind w:right="-29"/>
              <w:jc w:val="center"/>
              <w:rPr>
                <w:b/>
                <w:noProof/>
                <w:sz w:val="18"/>
                <w:szCs w:val="18"/>
              </w:rPr>
            </w:pPr>
          </w:p>
          <w:p w:rsidR="007D02A8" w:rsidRPr="00B612E0" w:rsidRDefault="007D02A8" w:rsidP="00B612E0">
            <w:pPr>
              <w:ind w:right="-29"/>
              <w:jc w:val="center"/>
              <w:rPr>
                <w:noProof/>
                <w:sz w:val="18"/>
                <w:szCs w:val="18"/>
              </w:rPr>
            </w:pPr>
            <w:r w:rsidRPr="00B612E0">
              <w:rPr>
                <w:noProof/>
                <w:sz w:val="18"/>
              </w:rPr>
              <w:sym w:font="Wingdings" w:char="F0F2"/>
            </w:r>
          </w:p>
        </w:tc>
        <w:tc>
          <w:tcPr>
            <w:tcW w:w="720" w:type="dxa"/>
            <w:vAlign w:val="center"/>
          </w:tcPr>
          <w:p w:rsidR="007D02A8" w:rsidRPr="00B612E0" w:rsidRDefault="007D02A8" w:rsidP="00B612E0">
            <w:pPr>
              <w:ind w:right="-29"/>
              <w:jc w:val="center"/>
              <w:rPr>
                <w:noProof/>
                <w:sz w:val="18"/>
                <w:szCs w:val="18"/>
              </w:rPr>
            </w:pPr>
          </w:p>
        </w:tc>
        <w:tc>
          <w:tcPr>
            <w:tcW w:w="701" w:type="dxa"/>
            <w:vAlign w:val="center"/>
          </w:tcPr>
          <w:p w:rsidR="007D02A8" w:rsidRPr="00B612E0" w:rsidRDefault="007D02A8" w:rsidP="00B612E0">
            <w:pPr>
              <w:ind w:right="-29"/>
              <w:jc w:val="center"/>
              <w:rPr>
                <w:noProof/>
                <w:sz w:val="18"/>
                <w:szCs w:val="18"/>
              </w:rPr>
            </w:pPr>
          </w:p>
        </w:tc>
        <w:tc>
          <w:tcPr>
            <w:tcW w:w="1224" w:type="dxa"/>
            <w:gridSpan w:val="2"/>
            <w:tcBorders>
              <w:left w:val="nil"/>
            </w:tcBorders>
            <w:vAlign w:val="center"/>
          </w:tcPr>
          <w:p w:rsidR="007D02A8" w:rsidRPr="00B612E0" w:rsidRDefault="007D02A8" w:rsidP="00B612E0">
            <w:pPr>
              <w:ind w:right="-29"/>
              <w:jc w:val="center"/>
              <w:rPr>
                <w:noProof/>
                <w:sz w:val="18"/>
                <w:szCs w:val="18"/>
              </w:rPr>
            </w:pPr>
            <w:r w:rsidRPr="00B612E0">
              <w:rPr>
                <w:b/>
                <w:noProof/>
                <w:sz w:val="18"/>
              </w:rPr>
              <w:t>2022</w:t>
            </w:r>
          </w:p>
        </w:tc>
        <w:tc>
          <w:tcPr>
            <w:tcW w:w="1260" w:type="dxa"/>
            <w:gridSpan w:val="2"/>
            <w:vAlign w:val="center"/>
          </w:tcPr>
          <w:p w:rsidR="007D02A8" w:rsidRPr="00B612E0" w:rsidRDefault="007D02A8" w:rsidP="00B612E0">
            <w:pPr>
              <w:ind w:right="-29"/>
              <w:jc w:val="center"/>
              <w:rPr>
                <w:noProof/>
                <w:sz w:val="18"/>
                <w:szCs w:val="18"/>
              </w:rPr>
            </w:pPr>
            <w:r w:rsidRPr="00B612E0">
              <w:rPr>
                <w:noProof/>
                <w:sz w:val="18"/>
              </w:rPr>
              <w:t>2023</w:t>
            </w:r>
          </w:p>
        </w:tc>
        <w:tc>
          <w:tcPr>
            <w:tcW w:w="1440" w:type="dxa"/>
            <w:gridSpan w:val="2"/>
            <w:vAlign w:val="center"/>
          </w:tcPr>
          <w:p w:rsidR="007D02A8" w:rsidRPr="00B612E0" w:rsidRDefault="007D02A8" w:rsidP="00B612E0">
            <w:pPr>
              <w:ind w:right="-29"/>
              <w:jc w:val="center"/>
              <w:rPr>
                <w:noProof/>
                <w:sz w:val="18"/>
                <w:szCs w:val="18"/>
              </w:rPr>
            </w:pPr>
            <w:r w:rsidRPr="00B612E0">
              <w:rPr>
                <w:noProof/>
                <w:sz w:val="18"/>
              </w:rPr>
              <w:t>2024</w:t>
            </w:r>
          </w:p>
        </w:tc>
        <w:tc>
          <w:tcPr>
            <w:tcW w:w="1620" w:type="dxa"/>
            <w:gridSpan w:val="2"/>
            <w:vAlign w:val="center"/>
          </w:tcPr>
          <w:p w:rsidR="007D02A8" w:rsidRPr="00B612E0" w:rsidRDefault="007D02A8" w:rsidP="00B612E0">
            <w:pPr>
              <w:ind w:right="-29"/>
              <w:jc w:val="center"/>
              <w:rPr>
                <w:noProof/>
                <w:sz w:val="18"/>
                <w:szCs w:val="18"/>
              </w:rPr>
            </w:pPr>
            <w:r w:rsidRPr="00B612E0">
              <w:rPr>
                <w:noProof/>
                <w:sz w:val="18"/>
              </w:rPr>
              <w:t>2025</w:t>
            </w:r>
          </w:p>
        </w:tc>
        <w:tc>
          <w:tcPr>
            <w:tcW w:w="3600" w:type="dxa"/>
            <w:gridSpan w:val="6"/>
            <w:vAlign w:val="center"/>
          </w:tcPr>
          <w:p w:rsidR="007D02A8" w:rsidRPr="00B612E0" w:rsidRDefault="007D02A8" w:rsidP="00B612E0">
            <w:pPr>
              <w:jc w:val="center"/>
              <w:rPr>
                <w:strike/>
                <w:noProof/>
                <w:sz w:val="18"/>
                <w:szCs w:val="18"/>
              </w:rPr>
            </w:pPr>
            <w:r w:rsidRPr="00B612E0">
              <w:rPr>
                <w:strike/>
                <w:noProof/>
                <w:sz w:val="18"/>
              </w:rPr>
              <w:t>Insértense tantos años como sea necesario para reflejar la duración de la incidencia (véase el punto 1.6)</w:t>
            </w:r>
          </w:p>
        </w:tc>
        <w:tc>
          <w:tcPr>
            <w:tcW w:w="1620" w:type="dxa"/>
            <w:gridSpan w:val="2"/>
            <w:tcBorders>
              <w:left w:val="nil"/>
              <w:bottom w:val="nil"/>
            </w:tcBorders>
            <w:vAlign w:val="center"/>
          </w:tcPr>
          <w:p w:rsidR="007D02A8" w:rsidRPr="00B612E0" w:rsidRDefault="007D02A8" w:rsidP="00B612E0">
            <w:pPr>
              <w:ind w:right="-29"/>
              <w:jc w:val="center"/>
              <w:rPr>
                <w:noProof/>
                <w:sz w:val="18"/>
                <w:szCs w:val="18"/>
              </w:rPr>
            </w:pPr>
            <w:r w:rsidRPr="00B612E0">
              <w:rPr>
                <w:b/>
                <w:noProof/>
                <w:sz w:val="18"/>
              </w:rPr>
              <w:t>TOTAL</w:t>
            </w:r>
          </w:p>
        </w:tc>
      </w:tr>
      <w:tr w:rsidR="007D02A8" w:rsidRPr="00B612E0" w:rsidTr="00B612E0">
        <w:trPr>
          <w:jc w:val="center"/>
        </w:trPr>
        <w:tc>
          <w:tcPr>
            <w:tcW w:w="1423" w:type="dxa"/>
            <w:vMerge/>
            <w:vAlign w:val="center"/>
          </w:tcPr>
          <w:p w:rsidR="007D02A8" w:rsidRPr="00B612E0" w:rsidRDefault="007D02A8" w:rsidP="00B612E0">
            <w:pPr>
              <w:ind w:right="-29"/>
              <w:jc w:val="center"/>
              <w:rPr>
                <w:noProof/>
                <w:sz w:val="18"/>
                <w:szCs w:val="18"/>
              </w:rPr>
            </w:pPr>
          </w:p>
        </w:tc>
        <w:tc>
          <w:tcPr>
            <w:tcW w:w="12185" w:type="dxa"/>
            <w:gridSpan w:val="18"/>
            <w:vAlign w:val="center"/>
          </w:tcPr>
          <w:p w:rsidR="007D02A8" w:rsidRPr="00B612E0" w:rsidRDefault="007D02A8" w:rsidP="00B612E0">
            <w:pPr>
              <w:spacing w:before="60" w:after="60"/>
              <w:ind w:right="-29"/>
              <w:jc w:val="center"/>
              <w:rPr>
                <w:noProof/>
                <w:sz w:val="18"/>
                <w:szCs w:val="18"/>
              </w:rPr>
            </w:pPr>
            <w:r w:rsidRPr="00B612E0">
              <w:rPr>
                <w:b/>
                <w:noProof/>
                <w:sz w:val="18"/>
              </w:rPr>
              <w:t>REALIZACIONES</w:t>
            </w:r>
          </w:p>
        </w:tc>
      </w:tr>
      <w:tr w:rsidR="007D02A8" w:rsidRPr="00B612E0" w:rsidTr="00B612E0">
        <w:trPr>
          <w:cantSplit/>
          <w:trHeight w:val="1134"/>
          <w:jc w:val="center"/>
        </w:trPr>
        <w:tc>
          <w:tcPr>
            <w:tcW w:w="1423" w:type="dxa"/>
            <w:vMerge/>
            <w:vAlign w:val="center"/>
          </w:tcPr>
          <w:p w:rsidR="007D02A8" w:rsidRPr="00B612E0" w:rsidRDefault="007D02A8" w:rsidP="00B612E0">
            <w:pPr>
              <w:rPr>
                <w:noProof/>
                <w:sz w:val="18"/>
                <w:szCs w:val="18"/>
              </w:rPr>
            </w:pPr>
          </w:p>
        </w:tc>
        <w:tc>
          <w:tcPr>
            <w:tcW w:w="720" w:type="dxa"/>
            <w:vAlign w:val="center"/>
          </w:tcPr>
          <w:p w:rsidR="007D02A8" w:rsidRPr="00B612E0" w:rsidRDefault="007D02A8" w:rsidP="00B612E0">
            <w:pPr>
              <w:jc w:val="center"/>
              <w:rPr>
                <w:noProof/>
                <w:sz w:val="18"/>
                <w:szCs w:val="18"/>
              </w:rPr>
            </w:pPr>
            <w:r w:rsidRPr="00B612E0">
              <w:rPr>
                <w:noProof/>
                <w:sz w:val="18"/>
              </w:rPr>
              <w:t>Tipo</w:t>
            </w:r>
            <w:r w:rsidRPr="00B612E0">
              <w:rPr>
                <w:rStyle w:val="FootnoteReference"/>
                <w:noProof/>
                <w:sz w:val="18"/>
              </w:rPr>
              <w:footnoteReference w:id="43"/>
            </w:r>
          </w:p>
          <w:p w:rsidR="007D02A8" w:rsidRPr="00B612E0" w:rsidRDefault="007D02A8" w:rsidP="00B612E0">
            <w:pPr>
              <w:spacing w:before="0" w:after="0"/>
              <w:jc w:val="center"/>
              <w:rPr>
                <w:noProof/>
                <w:sz w:val="18"/>
                <w:szCs w:val="18"/>
              </w:rPr>
            </w:pPr>
          </w:p>
        </w:tc>
        <w:tc>
          <w:tcPr>
            <w:tcW w:w="701" w:type="dxa"/>
            <w:vAlign w:val="center"/>
          </w:tcPr>
          <w:p w:rsidR="007D02A8" w:rsidRPr="00B612E0" w:rsidRDefault="007D02A8" w:rsidP="00B612E0">
            <w:pPr>
              <w:jc w:val="center"/>
              <w:rPr>
                <w:noProof/>
                <w:sz w:val="18"/>
                <w:szCs w:val="18"/>
              </w:rPr>
            </w:pPr>
            <w:r w:rsidRPr="00B612E0">
              <w:rPr>
                <w:noProof/>
                <w:sz w:val="18"/>
              </w:rPr>
              <w:t>Coste medio</w:t>
            </w:r>
          </w:p>
        </w:tc>
        <w:tc>
          <w:tcPr>
            <w:tcW w:w="504" w:type="dxa"/>
            <w:tcBorders>
              <w:left w:val="nil"/>
              <w:right w:val="dashSmallGap" w:sz="4" w:space="0" w:color="auto"/>
            </w:tcBorders>
            <w:shd w:val="pct10" w:color="auto" w:fill="auto"/>
            <w:textDirection w:val="btLr"/>
            <w:vAlign w:val="center"/>
          </w:tcPr>
          <w:p w:rsidR="007D02A8" w:rsidRPr="00B612E0" w:rsidRDefault="007D02A8" w:rsidP="00B612E0">
            <w:pPr>
              <w:ind w:left="113" w:right="113"/>
              <w:jc w:val="center"/>
              <w:rPr>
                <w:noProof/>
                <w:sz w:val="18"/>
                <w:szCs w:val="18"/>
              </w:rPr>
            </w:pPr>
            <w:r w:rsidRPr="00B612E0">
              <w:rPr>
                <w:noProof/>
                <w:sz w:val="18"/>
              </w:rPr>
              <w:t>N.º</w:t>
            </w:r>
          </w:p>
        </w:tc>
        <w:tc>
          <w:tcPr>
            <w:tcW w:w="720" w:type="dxa"/>
            <w:tcBorders>
              <w:left w:val="dashSmallGap" w:sz="4" w:space="0" w:color="auto"/>
            </w:tcBorders>
            <w:shd w:val="pct10" w:color="auto" w:fill="auto"/>
            <w:vAlign w:val="center"/>
          </w:tcPr>
          <w:p w:rsidR="007D02A8" w:rsidRPr="00B612E0" w:rsidRDefault="007D02A8" w:rsidP="00B612E0">
            <w:pPr>
              <w:jc w:val="center"/>
              <w:rPr>
                <w:noProof/>
                <w:sz w:val="18"/>
                <w:szCs w:val="18"/>
              </w:rPr>
            </w:pPr>
            <w:r w:rsidRPr="00B612E0">
              <w:rPr>
                <w:noProof/>
                <w:sz w:val="18"/>
              </w:rPr>
              <w:t>Coste</w:t>
            </w:r>
          </w:p>
        </w:tc>
        <w:tc>
          <w:tcPr>
            <w:tcW w:w="540" w:type="dxa"/>
            <w:tcBorders>
              <w:right w:val="dashSmallGap" w:sz="4" w:space="0" w:color="auto"/>
            </w:tcBorders>
            <w:shd w:val="pct10" w:color="auto" w:fill="auto"/>
            <w:textDirection w:val="btLr"/>
            <w:vAlign w:val="center"/>
          </w:tcPr>
          <w:p w:rsidR="007D02A8" w:rsidRPr="00B612E0" w:rsidRDefault="007D02A8" w:rsidP="00B612E0">
            <w:pPr>
              <w:ind w:left="113" w:right="113"/>
              <w:jc w:val="center"/>
              <w:rPr>
                <w:noProof/>
                <w:sz w:val="18"/>
                <w:szCs w:val="18"/>
              </w:rPr>
            </w:pPr>
            <w:r w:rsidRPr="00B612E0">
              <w:rPr>
                <w:noProof/>
                <w:sz w:val="18"/>
              </w:rPr>
              <w:t>N.º</w:t>
            </w:r>
          </w:p>
        </w:tc>
        <w:tc>
          <w:tcPr>
            <w:tcW w:w="720" w:type="dxa"/>
            <w:tcBorders>
              <w:left w:val="dashSmallGap" w:sz="4" w:space="0" w:color="auto"/>
            </w:tcBorders>
            <w:shd w:val="pct10" w:color="auto" w:fill="auto"/>
            <w:vAlign w:val="center"/>
          </w:tcPr>
          <w:p w:rsidR="007D02A8" w:rsidRPr="00B612E0" w:rsidRDefault="007D02A8" w:rsidP="00B612E0">
            <w:pPr>
              <w:jc w:val="center"/>
              <w:rPr>
                <w:noProof/>
                <w:sz w:val="18"/>
                <w:szCs w:val="18"/>
              </w:rPr>
            </w:pPr>
            <w:r w:rsidRPr="00B612E0">
              <w:rPr>
                <w:noProof/>
                <w:sz w:val="18"/>
              </w:rPr>
              <w:t>Coste</w:t>
            </w:r>
          </w:p>
        </w:tc>
        <w:tc>
          <w:tcPr>
            <w:tcW w:w="720" w:type="dxa"/>
            <w:tcBorders>
              <w:right w:val="dashSmallGap" w:sz="4" w:space="0" w:color="auto"/>
            </w:tcBorders>
            <w:shd w:val="pct10" w:color="auto" w:fill="auto"/>
            <w:textDirection w:val="btLr"/>
            <w:vAlign w:val="center"/>
          </w:tcPr>
          <w:p w:rsidR="007D02A8" w:rsidRPr="00B612E0" w:rsidRDefault="007D02A8" w:rsidP="00B612E0">
            <w:pPr>
              <w:ind w:left="113" w:right="113"/>
              <w:jc w:val="center"/>
              <w:rPr>
                <w:noProof/>
                <w:sz w:val="18"/>
                <w:szCs w:val="18"/>
              </w:rPr>
            </w:pPr>
            <w:r w:rsidRPr="00B612E0">
              <w:rPr>
                <w:noProof/>
                <w:sz w:val="18"/>
              </w:rPr>
              <w:t>N.º</w:t>
            </w:r>
          </w:p>
        </w:tc>
        <w:tc>
          <w:tcPr>
            <w:tcW w:w="720" w:type="dxa"/>
            <w:tcBorders>
              <w:left w:val="dashSmallGap" w:sz="4" w:space="0" w:color="auto"/>
            </w:tcBorders>
            <w:shd w:val="pct10" w:color="auto" w:fill="auto"/>
            <w:vAlign w:val="center"/>
          </w:tcPr>
          <w:p w:rsidR="007D02A8" w:rsidRPr="00B612E0" w:rsidRDefault="007D02A8" w:rsidP="00B612E0">
            <w:pPr>
              <w:jc w:val="center"/>
              <w:rPr>
                <w:noProof/>
                <w:sz w:val="18"/>
                <w:szCs w:val="18"/>
              </w:rPr>
            </w:pPr>
            <w:r w:rsidRPr="00B612E0">
              <w:rPr>
                <w:noProof/>
                <w:sz w:val="18"/>
              </w:rPr>
              <w:t>Coste</w:t>
            </w:r>
          </w:p>
        </w:tc>
        <w:tc>
          <w:tcPr>
            <w:tcW w:w="831" w:type="dxa"/>
            <w:tcBorders>
              <w:right w:val="dashSmallGap" w:sz="4" w:space="0" w:color="auto"/>
            </w:tcBorders>
            <w:shd w:val="pct10" w:color="auto" w:fill="auto"/>
            <w:textDirection w:val="btLr"/>
            <w:vAlign w:val="center"/>
          </w:tcPr>
          <w:p w:rsidR="007D02A8" w:rsidRPr="00B612E0" w:rsidRDefault="007D02A8" w:rsidP="00B612E0">
            <w:pPr>
              <w:ind w:left="113" w:right="113"/>
              <w:jc w:val="center"/>
              <w:rPr>
                <w:noProof/>
                <w:sz w:val="18"/>
                <w:szCs w:val="18"/>
              </w:rPr>
            </w:pPr>
            <w:r w:rsidRPr="00B612E0">
              <w:rPr>
                <w:noProof/>
                <w:sz w:val="18"/>
              </w:rPr>
              <w:t>N.º</w:t>
            </w:r>
          </w:p>
        </w:tc>
        <w:tc>
          <w:tcPr>
            <w:tcW w:w="789" w:type="dxa"/>
            <w:tcBorders>
              <w:left w:val="dashSmallGap" w:sz="4" w:space="0" w:color="auto"/>
            </w:tcBorders>
            <w:shd w:val="pct10" w:color="auto" w:fill="auto"/>
            <w:vAlign w:val="center"/>
          </w:tcPr>
          <w:p w:rsidR="007D02A8" w:rsidRPr="00B612E0" w:rsidRDefault="007D02A8" w:rsidP="00B612E0">
            <w:pPr>
              <w:jc w:val="center"/>
              <w:rPr>
                <w:noProof/>
                <w:sz w:val="18"/>
                <w:szCs w:val="18"/>
              </w:rPr>
            </w:pPr>
            <w:r w:rsidRPr="00B612E0">
              <w:rPr>
                <w:noProof/>
                <w:sz w:val="18"/>
              </w:rPr>
              <w:t>Coste</w:t>
            </w:r>
          </w:p>
        </w:tc>
        <w:tc>
          <w:tcPr>
            <w:tcW w:w="540" w:type="dxa"/>
            <w:tcBorders>
              <w:right w:val="dashSmallGap" w:sz="4" w:space="0" w:color="auto"/>
            </w:tcBorders>
            <w:shd w:val="pct10" w:color="auto" w:fill="auto"/>
            <w:textDirection w:val="btLr"/>
            <w:vAlign w:val="center"/>
          </w:tcPr>
          <w:p w:rsidR="007D02A8" w:rsidRPr="00B612E0" w:rsidRDefault="007D02A8" w:rsidP="00B612E0">
            <w:pPr>
              <w:ind w:left="113" w:right="113"/>
              <w:jc w:val="center"/>
              <w:rPr>
                <w:noProof/>
                <w:sz w:val="18"/>
                <w:szCs w:val="18"/>
              </w:rPr>
            </w:pPr>
            <w:r w:rsidRPr="00B612E0">
              <w:rPr>
                <w:noProof/>
                <w:sz w:val="18"/>
              </w:rPr>
              <w:t>N.º</w:t>
            </w:r>
          </w:p>
        </w:tc>
        <w:tc>
          <w:tcPr>
            <w:tcW w:w="648" w:type="dxa"/>
            <w:tcBorders>
              <w:left w:val="dashSmallGap" w:sz="4" w:space="0" w:color="auto"/>
            </w:tcBorders>
            <w:shd w:val="pct10" w:color="auto" w:fill="auto"/>
            <w:vAlign w:val="center"/>
          </w:tcPr>
          <w:p w:rsidR="007D02A8" w:rsidRPr="00B612E0" w:rsidRDefault="007D02A8" w:rsidP="00B612E0">
            <w:pPr>
              <w:jc w:val="center"/>
              <w:rPr>
                <w:noProof/>
                <w:sz w:val="18"/>
                <w:szCs w:val="18"/>
              </w:rPr>
            </w:pPr>
            <w:r w:rsidRPr="00B612E0">
              <w:rPr>
                <w:noProof/>
                <w:sz w:val="18"/>
              </w:rPr>
              <w:t>Coste</w:t>
            </w:r>
          </w:p>
        </w:tc>
        <w:tc>
          <w:tcPr>
            <w:tcW w:w="432" w:type="dxa"/>
            <w:tcBorders>
              <w:right w:val="dashSmallGap" w:sz="4" w:space="0" w:color="auto"/>
            </w:tcBorders>
            <w:shd w:val="pct10" w:color="auto" w:fill="auto"/>
            <w:textDirection w:val="btLr"/>
            <w:vAlign w:val="center"/>
          </w:tcPr>
          <w:p w:rsidR="007D02A8" w:rsidRPr="00B612E0" w:rsidRDefault="007D02A8" w:rsidP="00B612E0">
            <w:pPr>
              <w:ind w:left="113" w:right="113"/>
              <w:jc w:val="center"/>
              <w:rPr>
                <w:noProof/>
                <w:sz w:val="18"/>
                <w:szCs w:val="18"/>
              </w:rPr>
            </w:pPr>
            <w:r w:rsidRPr="00B612E0">
              <w:rPr>
                <w:noProof/>
                <w:sz w:val="18"/>
              </w:rPr>
              <w:t>N.º</w:t>
            </w:r>
          </w:p>
        </w:tc>
        <w:tc>
          <w:tcPr>
            <w:tcW w:w="720" w:type="dxa"/>
            <w:tcBorders>
              <w:left w:val="dashSmallGap" w:sz="4" w:space="0" w:color="auto"/>
            </w:tcBorders>
            <w:shd w:val="pct10" w:color="auto" w:fill="auto"/>
            <w:vAlign w:val="center"/>
          </w:tcPr>
          <w:p w:rsidR="007D02A8" w:rsidRPr="00B612E0" w:rsidRDefault="007D02A8" w:rsidP="00B612E0">
            <w:pPr>
              <w:jc w:val="center"/>
              <w:rPr>
                <w:noProof/>
                <w:sz w:val="18"/>
                <w:szCs w:val="18"/>
              </w:rPr>
            </w:pPr>
            <w:r w:rsidRPr="00B612E0">
              <w:rPr>
                <w:noProof/>
                <w:sz w:val="18"/>
              </w:rPr>
              <w:t>Coste</w:t>
            </w:r>
          </w:p>
        </w:tc>
        <w:tc>
          <w:tcPr>
            <w:tcW w:w="540" w:type="dxa"/>
            <w:tcBorders>
              <w:right w:val="dashSmallGap" w:sz="4" w:space="0" w:color="auto"/>
            </w:tcBorders>
            <w:shd w:val="pct10" w:color="auto" w:fill="auto"/>
            <w:textDirection w:val="btLr"/>
            <w:vAlign w:val="center"/>
          </w:tcPr>
          <w:p w:rsidR="007D02A8" w:rsidRPr="00B612E0" w:rsidRDefault="007D02A8" w:rsidP="00B612E0">
            <w:pPr>
              <w:ind w:left="113" w:right="113"/>
              <w:jc w:val="center"/>
              <w:rPr>
                <w:noProof/>
                <w:sz w:val="18"/>
                <w:szCs w:val="18"/>
              </w:rPr>
            </w:pPr>
            <w:r w:rsidRPr="00B612E0">
              <w:rPr>
                <w:noProof/>
                <w:sz w:val="18"/>
              </w:rPr>
              <w:t>N.º</w:t>
            </w:r>
          </w:p>
        </w:tc>
        <w:tc>
          <w:tcPr>
            <w:tcW w:w="720" w:type="dxa"/>
            <w:tcBorders>
              <w:left w:val="dashSmallGap" w:sz="4" w:space="0" w:color="auto"/>
            </w:tcBorders>
            <w:shd w:val="pct10" w:color="auto" w:fill="auto"/>
            <w:vAlign w:val="center"/>
          </w:tcPr>
          <w:p w:rsidR="007D02A8" w:rsidRPr="00B612E0" w:rsidRDefault="007D02A8" w:rsidP="00B612E0">
            <w:pPr>
              <w:jc w:val="center"/>
              <w:rPr>
                <w:noProof/>
                <w:sz w:val="18"/>
                <w:szCs w:val="18"/>
              </w:rPr>
            </w:pPr>
            <w:r w:rsidRPr="00B612E0">
              <w:rPr>
                <w:noProof/>
                <w:sz w:val="18"/>
              </w:rPr>
              <w:t>Coste</w:t>
            </w:r>
          </w:p>
        </w:tc>
        <w:tc>
          <w:tcPr>
            <w:tcW w:w="720" w:type="dxa"/>
            <w:tcBorders>
              <w:right w:val="dashSmallGap" w:sz="4" w:space="0" w:color="auto"/>
            </w:tcBorders>
            <w:shd w:val="pct10" w:color="auto" w:fill="auto"/>
            <w:vAlign w:val="center"/>
          </w:tcPr>
          <w:p w:rsidR="007D02A8" w:rsidRPr="00B612E0" w:rsidRDefault="007D02A8" w:rsidP="00B612E0">
            <w:pPr>
              <w:jc w:val="center"/>
              <w:rPr>
                <w:noProof/>
                <w:sz w:val="18"/>
                <w:szCs w:val="18"/>
              </w:rPr>
            </w:pPr>
            <w:r w:rsidRPr="00B612E0">
              <w:rPr>
                <w:noProof/>
                <w:sz w:val="18"/>
              </w:rPr>
              <w:t>N.º total</w:t>
            </w:r>
          </w:p>
        </w:tc>
        <w:tc>
          <w:tcPr>
            <w:tcW w:w="900" w:type="dxa"/>
            <w:tcBorders>
              <w:left w:val="dashSmallGap" w:sz="4" w:space="0" w:color="auto"/>
            </w:tcBorders>
            <w:shd w:val="pct10" w:color="auto" w:fill="auto"/>
            <w:vAlign w:val="center"/>
          </w:tcPr>
          <w:p w:rsidR="007D02A8" w:rsidRPr="00B612E0" w:rsidRDefault="007D02A8" w:rsidP="00B612E0">
            <w:pPr>
              <w:jc w:val="center"/>
              <w:rPr>
                <w:noProof/>
                <w:sz w:val="18"/>
                <w:szCs w:val="18"/>
              </w:rPr>
            </w:pPr>
            <w:r w:rsidRPr="00B612E0">
              <w:rPr>
                <w:noProof/>
                <w:sz w:val="18"/>
              </w:rPr>
              <w:t>Coste total</w:t>
            </w:r>
          </w:p>
        </w:tc>
      </w:tr>
      <w:tr w:rsidR="007D02A8" w:rsidRPr="00B612E0" w:rsidTr="00B612E0">
        <w:trPr>
          <w:jc w:val="center"/>
        </w:trPr>
        <w:tc>
          <w:tcPr>
            <w:tcW w:w="13608" w:type="dxa"/>
            <w:gridSpan w:val="19"/>
            <w:vAlign w:val="center"/>
          </w:tcPr>
          <w:p w:rsidR="007D02A8" w:rsidRPr="00B612E0" w:rsidRDefault="007D02A8" w:rsidP="00B612E0">
            <w:pPr>
              <w:spacing w:before="0" w:after="0"/>
              <w:ind w:right="-29"/>
              <w:jc w:val="left"/>
              <w:rPr>
                <w:noProof/>
                <w:sz w:val="18"/>
              </w:rPr>
            </w:pPr>
            <w:r w:rsidRPr="00B612E0">
              <w:rPr>
                <w:noProof/>
                <w:sz w:val="18"/>
              </w:rPr>
              <w:t>OBJETIVO ESPECÍFICO n.º 1</w:t>
            </w:r>
          </w:p>
          <w:p w:rsidR="007D02A8" w:rsidRPr="00B612E0" w:rsidRDefault="007D02A8" w:rsidP="00B612E0">
            <w:pPr>
              <w:spacing w:before="0" w:after="0"/>
              <w:ind w:right="-29"/>
              <w:jc w:val="left"/>
              <w:rPr>
                <w:noProof/>
                <w:sz w:val="18"/>
                <w:szCs w:val="18"/>
              </w:rPr>
            </w:pPr>
            <w:r w:rsidRPr="00B612E0">
              <w:rPr>
                <w:noProof/>
                <w:sz w:val="18"/>
              </w:rPr>
              <w:t>Continuar las operaciones y el mantenimiento del marco de confianza para el certificado COVID digital de la UE establecido por el Reglamento (UE) 2021/953</w:t>
            </w:r>
          </w:p>
        </w:tc>
      </w:tr>
      <w:tr w:rsidR="007D02A8" w:rsidRPr="00B612E0" w:rsidTr="00B612E0">
        <w:trPr>
          <w:trHeight w:hRule="exact" w:val="369"/>
          <w:jc w:val="center"/>
        </w:trPr>
        <w:tc>
          <w:tcPr>
            <w:tcW w:w="2143" w:type="dxa"/>
            <w:gridSpan w:val="2"/>
            <w:vAlign w:val="center"/>
          </w:tcPr>
          <w:p w:rsidR="007D02A8" w:rsidRPr="00B612E0" w:rsidRDefault="007D02A8" w:rsidP="00B612E0">
            <w:pPr>
              <w:spacing w:before="0" w:after="0" w:line="276" w:lineRule="auto"/>
              <w:jc w:val="left"/>
              <w:rPr>
                <w:noProof/>
                <w:sz w:val="10"/>
              </w:rPr>
            </w:pPr>
            <w:r w:rsidRPr="00B612E0">
              <w:rPr>
                <w:noProof/>
                <w:sz w:val="10"/>
              </w:rPr>
              <w:t>Diseño y aplicación del marco de confianza</w:t>
            </w:r>
          </w:p>
        </w:tc>
        <w:tc>
          <w:tcPr>
            <w:tcW w:w="701" w:type="dxa"/>
          </w:tcPr>
          <w:p w:rsidR="007D02A8" w:rsidRPr="00B612E0" w:rsidRDefault="007D02A8" w:rsidP="00B612E0">
            <w:pPr>
              <w:ind w:right="-29"/>
              <w:jc w:val="center"/>
              <w:rPr>
                <w:noProof/>
                <w:sz w:val="18"/>
                <w:szCs w:val="18"/>
              </w:rPr>
            </w:pPr>
          </w:p>
        </w:tc>
        <w:tc>
          <w:tcPr>
            <w:tcW w:w="504" w:type="dxa"/>
          </w:tcPr>
          <w:p w:rsidR="007D02A8" w:rsidRPr="00B612E0" w:rsidRDefault="007D02A8" w:rsidP="00B612E0">
            <w:pPr>
              <w:ind w:right="-29"/>
              <w:jc w:val="center"/>
              <w:rPr>
                <w:noProof/>
                <w:sz w:val="18"/>
                <w:szCs w:val="18"/>
              </w:rPr>
            </w:pPr>
            <w:r w:rsidRPr="00B612E0">
              <w:rPr>
                <w:noProof/>
                <w:sz w:val="18"/>
                <w:szCs w:val="18"/>
              </w:rPr>
              <w:t>1</w:t>
            </w:r>
          </w:p>
        </w:tc>
        <w:tc>
          <w:tcPr>
            <w:tcW w:w="720" w:type="dxa"/>
          </w:tcPr>
          <w:p w:rsidR="007D02A8" w:rsidRPr="00B612E0" w:rsidRDefault="007D02A8" w:rsidP="00234966">
            <w:pPr>
              <w:ind w:right="-29"/>
              <w:jc w:val="center"/>
              <w:rPr>
                <w:noProof/>
                <w:sz w:val="18"/>
                <w:szCs w:val="18"/>
              </w:rPr>
            </w:pPr>
            <w:r w:rsidRPr="00B612E0">
              <w:rPr>
                <w:noProof/>
                <w:sz w:val="18"/>
                <w:szCs w:val="18"/>
              </w:rPr>
              <w:t>3</w:t>
            </w:r>
            <w:r w:rsidR="00234966">
              <w:rPr>
                <w:noProof/>
                <w:sz w:val="18"/>
                <w:szCs w:val="18"/>
              </w:rPr>
              <w:t>,</w:t>
            </w:r>
            <w:r w:rsidRPr="00B612E0">
              <w:rPr>
                <w:noProof/>
                <w:sz w:val="18"/>
                <w:szCs w:val="18"/>
              </w:rPr>
              <w:t>000</w:t>
            </w:r>
          </w:p>
        </w:tc>
        <w:tc>
          <w:tcPr>
            <w:tcW w:w="540" w:type="dxa"/>
          </w:tcPr>
          <w:p w:rsidR="007D02A8" w:rsidRPr="00B612E0" w:rsidRDefault="007D02A8" w:rsidP="00B612E0">
            <w:pPr>
              <w:ind w:right="-29"/>
              <w:jc w:val="center"/>
              <w:rPr>
                <w:noProof/>
                <w:sz w:val="18"/>
                <w:szCs w:val="18"/>
              </w:rPr>
            </w:pPr>
          </w:p>
        </w:tc>
        <w:tc>
          <w:tcPr>
            <w:tcW w:w="720" w:type="dxa"/>
          </w:tcPr>
          <w:p w:rsidR="007D02A8" w:rsidRPr="00B612E0" w:rsidRDefault="007D02A8" w:rsidP="00234966">
            <w:pPr>
              <w:ind w:right="-29"/>
              <w:jc w:val="center"/>
              <w:rPr>
                <w:noProof/>
                <w:sz w:val="18"/>
                <w:szCs w:val="18"/>
              </w:rPr>
            </w:pPr>
            <w:r w:rsidRPr="00B612E0">
              <w:rPr>
                <w:noProof/>
                <w:sz w:val="18"/>
                <w:szCs w:val="18"/>
              </w:rPr>
              <w:t>4</w:t>
            </w:r>
            <w:r w:rsidR="00234966">
              <w:rPr>
                <w:noProof/>
                <w:sz w:val="18"/>
                <w:szCs w:val="18"/>
              </w:rPr>
              <w:t>,</w:t>
            </w:r>
            <w:r w:rsidRPr="00B612E0">
              <w:rPr>
                <w:noProof/>
                <w:sz w:val="18"/>
                <w:szCs w:val="18"/>
              </w:rPr>
              <w:t>000</w:t>
            </w:r>
          </w:p>
        </w:tc>
        <w:tc>
          <w:tcPr>
            <w:tcW w:w="720" w:type="dxa"/>
          </w:tcPr>
          <w:p w:rsidR="007D02A8" w:rsidRPr="00B612E0" w:rsidRDefault="007D02A8" w:rsidP="00B612E0">
            <w:pPr>
              <w:ind w:right="-29"/>
              <w:jc w:val="center"/>
              <w:rPr>
                <w:noProof/>
                <w:sz w:val="18"/>
                <w:szCs w:val="18"/>
              </w:rPr>
            </w:pPr>
          </w:p>
        </w:tc>
        <w:tc>
          <w:tcPr>
            <w:tcW w:w="720" w:type="dxa"/>
          </w:tcPr>
          <w:p w:rsidR="007D02A8" w:rsidRPr="00B612E0" w:rsidRDefault="007D02A8" w:rsidP="00B612E0">
            <w:pPr>
              <w:ind w:right="-29"/>
              <w:jc w:val="center"/>
              <w:rPr>
                <w:noProof/>
                <w:sz w:val="18"/>
                <w:szCs w:val="18"/>
              </w:rPr>
            </w:pPr>
          </w:p>
        </w:tc>
        <w:tc>
          <w:tcPr>
            <w:tcW w:w="831" w:type="dxa"/>
          </w:tcPr>
          <w:p w:rsidR="007D02A8" w:rsidRPr="00B612E0" w:rsidRDefault="007D02A8" w:rsidP="00B612E0">
            <w:pPr>
              <w:ind w:right="-29"/>
              <w:jc w:val="center"/>
              <w:rPr>
                <w:noProof/>
                <w:sz w:val="18"/>
                <w:szCs w:val="18"/>
              </w:rPr>
            </w:pPr>
          </w:p>
        </w:tc>
        <w:tc>
          <w:tcPr>
            <w:tcW w:w="789" w:type="dxa"/>
          </w:tcPr>
          <w:p w:rsidR="007D02A8" w:rsidRPr="00B612E0" w:rsidRDefault="007D02A8" w:rsidP="00B612E0">
            <w:pPr>
              <w:ind w:right="-29"/>
              <w:jc w:val="center"/>
              <w:rPr>
                <w:noProof/>
                <w:sz w:val="18"/>
                <w:szCs w:val="18"/>
              </w:rPr>
            </w:pPr>
          </w:p>
        </w:tc>
        <w:tc>
          <w:tcPr>
            <w:tcW w:w="540" w:type="dxa"/>
          </w:tcPr>
          <w:p w:rsidR="007D02A8" w:rsidRPr="00B612E0" w:rsidRDefault="007D02A8" w:rsidP="00B612E0">
            <w:pPr>
              <w:ind w:right="-29"/>
              <w:jc w:val="center"/>
              <w:rPr>
                <w:noProof/>
                <w:sz w:val="18"/>
                <w:szCs w:val="18"/>
              </w:rPr>
            </w:pPr>
          </w:p>
        </w:tc>
        <w:tc>
          <w:tcPr>
            <w:tcW w:w="648" w:type="dxa"/>
          </w:tcPr>
          <w:p w:rsidR="007D02A8" w:rsidRPr="00B612E0" w:rsidRDefault="007D02A8" w:rsidP="00B612E0">
            <w:pPr>
              <w:ind w:right="-29"/>
              <w:jc w:val="center"/>
              <w:rPr>
                <w:noProof/>
                <w:sz w:val="18"/>
                <w:szCs w:val="18"/>
              </w:rPr>
            </w:pPr>
          </w:p>
        </w:tc>
        <w:tc>
          <w:tcPr>
            <w:tcW w:w="432" w:type="dxa"/>
          </w:tcPr>
          <w:p w:rsidR="007D02A8" w:rsidRPr="00B612E0" w:rsidRDefault="007D02A8" w:rsidP="00B612E0">
            <w:pPr>
              <w:ind w:right="-29"/>
              <w:jc w:val="center"/>
              <w:rPr>
                <w:noProof/>
                <w:sz w:val="18"/>
                <w:szCs w:val="18"/>
              </w:rPr>
            </w:pPr>
          </w:p>
        </w:tc>
        <w:tc>
          <w:tcPr>
            <w:tcW w:w="720" w:type="dxa"/>
          </w:tcPr>
          <w:p w:rsidR="007D02A8" w:rsidRPr="00B612E0" w:rsidRDefault="007D02A8" w:rsidP="00B612E0">
            <w:pPr>
              <w:ind w:right="-29"/>
              <w:jc w:val="center"/>
              <w:rPr>
                <w:noProof/>
                <w:sz w:val="18"/>
                <w:szCs w:val="18"/>
              </w:rPr>
            </w:pPr>
          </w:p>
        </w:tc>
        <w:tc>
          <w:tcPr>
            <w:tcW w:w="540" w:type="dxa"/>
          </w:tcPr>
          <w:p w:rsidR="007D02A8" w:rsidRPr="00B612E0" w:rsidRDefault="007D02A8" w:rsidP="00B612E0">
            <w:pPr>
              <w:ind w:right="-29"/>
              <w:jc w:val="center"/>
              <w:rPr>
                <w:noProof/>
                <w:sz w:val="18"/>
                <w:szCs w:val="18"/>
              </w:rPr>
            </w:pPr>
          </w:p>
        </w:tc>
        <w:tc>
          <w:tcPr>
            <w:tcW w:w="720" w:type="dxa"/>
          </w:tcPr>
          <w:p w:rsidR="007D02A8" w:rsidRPr="00B612E0" w:rsidRDefault="007D02A8" w:rsidP="00B612E0">
            <w:pPr>
              <w:ind w:right="-29"/>
              <w:jc w:val="center"/>
              <w:rPr>
                <w:noProof/>
                <w:sz w:val="18"/>
                <w:szCs w:val="18"/>
              </w:rPr>
            </w:pPr>
          </w:p>
        </w:tc>
        <w:tc>
          <w:tcPr>
            <w:tcW w:w="720" w:type="dxa"/>
          </w:tcPr>
          <w:p w:rsidR="007D02A8" w:rsidRPr="00B612E0" w:rsidRDefault="007D02A8" w:rsidP="00B612E0">
            <w:pPr>
              <w:ind w:right="-29"/>
              <w:jc w:val="center"/>
              <w:rPr>
                <w:noProof/>
                <w:sz w:val="18"/>
                <w:szCs w:val="18"/>
              </w:rPr>
            </w:pPr>
          </w:p>
        </w:tc>
        <w:tc>
          <w:tcPr>
            <w:tcW w:w="900" w:type="dxa"/>
          </w:tcPr>
          <w:p w:rsidR="007D02A8" w:rsidRPr="00B612E0" w:rsidRDefault="007D02A8" w:rsidP="00234966">
            <w:pPr>
              <w:ind w:right="-29"/>
              <w:jc w:val="center"/>
              <w:rPr>
                <w:noProof/>
                <w:sz w:val="18"/>
                <w:szCs w:val="18"/>
              </w:rPr>
            </w:pPr>
            <w:r w:rsidRPr="00B612E0">
              <w:rPr>
                <w:noProof/>
                <w:sz w:val="18"/>
                <w:szCs w:val="18"/>
              </w:rPr>
              <w:t>7</w:t>
            </w:r>
            <w:r w:rsidR="00234966">
              <w:rPr>
                <w:noProof/>
                <w:sz w:val="18"/>
                <w:szCs w:val="18"/>
              </w:rPr>
              <w:t>,</w:t>
            </w:r>
            <w:r w:rsidRPr="00B612E0">
              <w:rPr>
                <w:noProof/>
                <w:sz w:val="18"/>
                <w:szCs w:val="18"/>
              </w:rPr>
              <w:t>000</w:t>
            </w:r>
          </w:p>
        </w:tc>
      </w:tr>
      <w:tr w:rsidR="007D02A8" w:rsidRPr="00B612E0" w:rsidTr="00B612E0">
        <w:trPr>
          <w:jc w:val="center"/>
        </w:trPr>
        <w:tc>
          <w:tcPr>
            <w:tcW w:w="2844" w:type="dxa"/>
            <w:gridSpan w:val="3"/>
            <w:tcBorders>
              <w:bottom w:val="single" w:sz="12" w:space="0" w:color="auto"/>
            </w:tcBorders>
            <w:vAlign w:val="center"/>
          </w:tcPr>
          <w:p w:rsidR="007D02A8" w:rsidRPr="00B612E0" w:rsidRDefault="007D02A8" w:rsidP="00B612E0">
            <w:pPr>
              <w:jc w:val="center"/>
              <w:rPr>
                <w:noProof/>
                <w:sz w:val="18"/>
                <w:szCs w:val="18"/>
              </w:rPr>
            </w:pPr>
            <w:r w:rsidRPr="00B612E0">
              <w:rPr>
                <w:noProof/>
                <w:sz w:val="18"/>
              </w:rPr>
              <w:t>Subtotal del objetivo específico n.º 1</w:t>
            </w:r>
          </w:p>
        </w:tc>
        <w:tc>
          <w:tcPr>
            <w:tcW w:w="504" w:type="dxa"/>
            <w:tcBorders>
              <w:bottom w:val="single" w:sz="12" w:space="0" w:color="auto"/>
            </w:tcBorders>
          </w:tcPr>
          <w:p w:rsidR="007D02A8" w:rsidRPr="00B612E0" w:rsidRDefault="007D02A8" w:rsidP="00B612E0">
            <w:pPr>
              <w:ind w:right="-29"/>
              <w:jc w:val="center"/>
              <w:rPr>
                <w:noProof/>
                <w:sz w:val="18"/>
                <w:szCs w:val="18"/>
              </w:rPr>
            </w:pPr>
          </w:p>
        </w:tc>
        <w:tc>
          <w:tcPr>
            <w:tcW w:w="720" w:type="dxa"/>
            <w:tcBorders>
              <w:bottom w:val="single" w:sz="12" w:space="0" w:color="auto"/>
            </w:tcBorders>
          </w:tcPr>
          <w:p w:rsidR="007D02A8" w:rsidRPr="00B612E0" w:rsidRDefault="007D02A8" w:rsidP="00234966">
            <w:pPr>
              <w:ind w:right="-29"/>
              <w:jc w:val="center"/>
              <w:rPr>
                <w:noProof/>
                <w:sz w:val="18"/>
                <w:szCs w:val="18"/>
              </w:rPr>
            </w:pPr>
            <w:r w:rsidRPr="00B612E0">
              <w:rPr>
                <w:noProof/>
                <w:sz w:val="18"/>
                <w:szCs w:val="18"/>
              </w:rPr>
              <w:t>3</w:t>
            </w:r>
            <w:r w:rsidR="00234966">
              <w:rPr>
                <w:noProof/>
                <w:sz w:val="18"/>
                <w:szCs w:val="18"/>
              </w:rPr>
              <w:t>,</w:t>
            </w:r>
            <w:r w:rsidRPr="00B612E0">
              <w:rPr>
                <w:noProof/>
                <w:sz w:val="18"/>
                <w:szCs w:val="18"/>
              </w:rPr>
              <w:t>000</w:t>
            </w:r>
          </w:p>
        </w:tc>
        <w:tc>
          <w:tcPr>
            <w:tcW w:w="540" w:type="dxa"/>
            <w:tcBorders>
              <w:bottom w:val="single" w:sz="12" w:space="0" w:color="auto"/>
            </w:tcBorders>
          </w:tcPr>
          <w:p w:rsidR="007D02A8" w:rsidRPr="00B612E0" w:rsidRDefault="007D02A8" w:rsidP="00B612E0">
            <w:pPr>
              <w:ind w:right="-29"/>
              <w:jc w:val="center"/>
              <w:rPr>
                <w:noProof/>
                <w:sz w:val="18"/>
                <w:szCs w:val="18"/>
              </w:rPr>
            </w:pPr>
          </w:p>
        </w:tc>
        <w:tc>
          <w:tcPr>
            <w:tcW w:w="720" w:type="dxa"/>
            <w:tcBorders>
              <w:bottom w:val="single" w:sz="12" w:space="0" w:color="auto"/>
            </w:tcBorders>
          </w:tcPr>
          <w:p w:rsidR="007D02A8" w:rsidRPr="00B612E0" w:rsidRDefault="007D02A8" w:rsidP="00234966">
            <w:pPr>
              <w:ind w:right="-29"/>
              <w:jc w:val="center"/>
              <w:rPr>
                <w:noProof/>
                <w:sz w:val="18"/>
                <w:szCs w:val="18"/>
              </w:rPr>
            </w:pPr>
            <w:r w:rsidRPr="00B612E0">
              <w:rPr>
                <w:noProof/>
                <w:sz w:val="18"/>
                <w:szCs w:val="18"/>
              </w:rPr>
              <w:t>4</w:t>
            </w:r>
            <w:r w:rsidR="00234966">
              <w:rPr>
                <w:noProof/>
                <w:sz w:val="18"/>
                <w:szCs w:val="18"/>
              </w:rPr>
              <w:t>,</w:t>
            </w:r>
            <w:r w:rsidRPr="00B612E0">
              <w:rPr>
                <w:noProof/>
                <w:sz w:val="18"/>
                <w:szCs w:val="18"/>
              </w:rPr>
              <w:t>000</w:t>
            </w:r>
          </w:p>
        </w:tc>
        <w:tc>
          <w:tcPr>
            <w:tcW w:w="720" w:type="dxa"/>
            <w:tcBorders>
              <w:bottom w:val="single" w:sz="12" w:space="0" w:color="auto"/>
            </w:tcBorders>
          </w:tcPr>
          <w:p w:rsidR="007D02A8" w:rsidRPr="00B612E0" w:rsidRDefault="007D02A8" w:rsidP="00B612E0">
            <w:pPr>
              <w:ind w:right="-29"/>
              <w:jc w:val="center"/>
              <w:rPr>
                <w:noProof/>
                <w:sz w:val="18"/>
                <w:szCs w:val="18"/>
              </w:rPr>
            </w:pPr>
          </w:p>
        </w:tc>
        <w:tc>
          <w:tcPr>
            <w:tcW w:w="720" w:type="dxa"/>
            <w:tcBorders>
              <w:bottom w:val="single" w:sz="12" w:space="0" w:color="auto"/>
            </w:tcBorders>
          </w:tcPr>
          <w:p w:rsidR="007D02A8" w:rsidRPr="00B612E0" w:rsidRDefault="007D02A8" w:rsidP="00B612E0">
            <w:pPr>
              <w:ind w:right="-29"/>
              <w:jc w:val="center"/>
              <w:rPr>
                <w:noProof/>
                <w:sz w:val="18"/>
                <w:szCs w:val="18"/>
              </w:rPr>
            </w:pPr>
          </w:p>
        </w:tc>
        <w:tc>
          <w:tcPr>
            <w:tcW w:w="831" w:type="dxa"/>
            <w:tcBorders>
              <w:bottom w:val="single" w:sz="12" w:space="0" w:color="auto"/>
            </w:tcBorders>
          </w:tcPr>
          <w:p w:rsidR="007D02A8" w:rsidRPr="00B612E0" w:rsidRDefault="007D02A8" w:rsidP="00B612E0">
            <w:pPr>
              <w:ind w:right="-29"/>
              <w:jc w:val="center"/>
              <w:rPr>
                <w:noProof/>
                <w:sz w:val="18"/>
                <w:szCs w:val="18"/>
              </w:rPr>
            </w:pPr>
          </w:p>
        </w:tc>
        <w:tc>
          <w:tcPr>
            <w:tcW w:w="789" w:type="dxa"/>
            <w:tcBorders>
              <w:bottom w:val="single" w:sz="12" w:space="0" w:color="auto"/>
            </w:tcBorders>
          </w:tcPr>
          <w:p w:rsidR="007D02A8" w:rsidRPr="00B612E0" w:rsidRDefault="007D02A8" w:rsidP="00B612E0">
            <w:pPr>
              <w:ind w:right="-29"/>
              <w:jc w:val="center"/>
              <w:rPr>
                <w:noProof/>
                <w:sz w:val="18"/>
                <w:szCs w:val="18"/>
              </w:rPr>
            </w:pPr>
          </w:p>
        </w:tc>
        <w:tc>
          <w:tcPr>
            <w:tcW w:w="540" w:type="dxa"/>
            <w:tcBorders>
              <w:bottom w:val="single" w:sz="12" w:space="0" w:color="auto"/>
            </w:tcBorders>
          </w:tcPr>
          <w:p w:rsidR="007D02A8" w:rsidRPr="00B612E0" w:rsidRDefault="007D02A8" w:rsidP="00B612E0">
            <w:pPr>
              <w:ind w:right="-29"/>
              <w:jc w:val="center"/>
              <w:rPr>
                <w:noProof/>
                <w:sz w:val="18"/>
                <w:szCs w:val="18"/>
              </w:rPr>
            </w:pPr>
          </w:p>
        </w:tc>
        <w:tc>
          <w:tcPr>
            <w:tcW w:w="648" w:type="dxa"/>
            <w:tcBorders>
              <w:bottom w:val="single" w:sz="12" w:space="0" w:color="auto"/>
            </w:tcBorders>
          </w:tcPr>
          <w:p w:rsidR="007D02A8" w:rsidRPr="00B612E0" w:rsidRDefault="007D02A8" w:rsidP="00B612E0">
            <w:pPr>
              <w:ind w:right="-29"/>
              <w:jc w:val="center"/>
              <w:rPr>
                <w:noProof/>
                <w:sz w:val="18"/>
                <w:szCs w:val="18"/>
              </w:rPr>
            </w:pPr>
          </w:p>
        </w:tc>
        <w:tc>
          <w:tcPr>
            <w:tcW w:w="432" w:type="dxa"/>
            <w:tcBorders>
              <w:bottom w:val="single" w:sz="12" w:space="0" w:color="auto"/>
            </w:tcBorders>
          </w:tcPr>
          <w:p w:rsidR="007D02A8" w:rsidRPr="00B612E0" w:rsidRDefault="007D02A8" w:rsidP="00B612E0">
            <w:pPr>
              <w:ind w:right="-29"/>
              <w:jc w:val="center"/>
              <w:rPr>
                <w:noProof/>
                <w:sz w:val="18"/>
                <w:szCs w:val="18"/>
              </w:rPr>
            </w:pPr>
          </w:p>
        </w:tc>
        <w:tc>
          <w:tcPr>
            <w:tcW w:w="720" w:type="dxa"/>
            <w:tcBorders>
              <w:bottom w:val="single" w:sz="12" w:space="0" w:color="auto"/>
            </w:tcBorders>
          </w:tcPr>
          <w:p w:rsidR="007D02A8" w:rsidRPr="00B612E0" w:rsidRDefault="007D02A8" w:rsidP="00B612E0">
            <w:pPr>
              <w:ind w:right="-29"/>
              <w:jc w:val="center"/>
              <w:rPr>
                <w:noProof/>
                <w:sz w:val="18"/>
                <w:szCs w:val="18"/>
              </w:rPr>
            </w:pPr>
          </w:p>
        </w:tc>
        <w:tc>
          <w:tcPr>
            <w:tcW w:w="540" w:type="dxa"/>
            <w:tcBorders>
              <w:bottom w:val="single" w:sz="12" w:space="0" w:color="auto"/>
            </w:tcBorders>
          </w:tcPr>
          <w:p w:rsidR="007D02A8" w:rsidRPr="00B612E0" w:rsidRDefault="007D02A8" w:rsidP="00B612E0">
            <w:pPr>
              <w:ind w:right="-29"/>
              <w:jc w:val="center"/>
              <w:rPr>
                <w:noProof/>
                <w:sz w:val="18"/>
                <w:szCs w:val="18"/>
              </w:rPr>
            </w:pPr>
          </w:p>
        </w:tc>
        <w:tc>
          <w:tcPr>
            <w:tcW w:w="720" w:type="dxa"/>
            <w:tcBorders>
              <w:bottom w:val="single" w:sz="12" w:space="0" w:color="auto"/>
            </w:tcBorders>
          </w:tcPr>
          <w:p w:rsidR="007D02A8" w:rsidRPr="00B612E0" w:rsidRDefault="007D02A8" w:rsidP="00B612E0">
            <w:pPr>
              <w:ind w:right="-29"/>
              <w:jc w:val="center"/>
              <w:rPr>
                <w:noProof/>
                <w:sz w:val="18"/>
                <w:szCs w:val="18"/>
              </w:rPr>
            </w:pPr>
          </w:p>
        </w:tc>
        <w:tc>
          <w:tcPr>
            <w:tcW w:w="720" w:type="dxa"/>
            <w:tcBorders>
              <w:bottom w:val="single" w:sz="12" w:space="0" w:color="auto"/>
            </w:tcBorders>
          </w:tcPr>
          <w:p w:rsidR="007D02A8" w:rsidRPr="00B612E0" w:rsidRDefault="007D02A8" w:rsidP="00B612E0">
            <w:pPr>
              <w:ind w:right="-29"/>
              <w:jc w:val="center"/>
              <w:rPr>
                <w:noProof/>
                <w:sz w:val="18"/>
                <w:szCs w:val="18"/>
              </w:rPr>
            </w:pPr>
          </w:p>
        </w:tc>
        <w:tc>
          <w:tcPr>
            <w:tcW w:w="900" w:type="dxa"/>
            <w:tcBorders>
              <w:bottom w:val="single" w:sz="12" w:space="0" w:color="auto"/>
            </w:tcBorders>
          </w:tcPr>
          <w:p w:rsidR="007D02A8" w:rsidRPr="00B612E0" w:rsidRDefault="007D02A8" w:rsidP="00234966">
            <w:pPr>
              <w:ind w:right="-29"/>
              <w:jc w:val="center"/>
              <w:rPr>
                <w:noProof/>
                <w:sz w:val="18"/>
                <w:szCs w:val="18"/>
              </w:rPr>
            </w:pPr>
            <w:r w:rsidRPr="00B612E0">
              <w:rPr>
                <w:noProof/>
                <w:sz w:val="18"/>
                <w:szCs w:val="18"/>
              </w:rPr>
              <w:t>7</w:t>
            </w:r>
            <w:r w:rsidR="00234966">
              <w:rPr>
                <w:noProof/>
                <w:sz w:val="18"/>
                <w:szCs w:val="18"/>
              </w:rPr>
              <w:t>,</w:t>
            </w:r>
            <w:r w:rsidRPr="00B612E0">
              <w:rPr>
                <w:noProof/>
                <w:sz w:val="18"/>
                <w:szCs w:val="18"/>
              </w:rPr>
              <w:t>000</w:t>
            </w:r>
          </w:p>
        </w:tc>
      </w:tr>
      <w:tr w:rsidR="007D02A8" w:rsidRPr="00B612E0" w:rsidTr="00B612E0">
        <w:trPr>
          <w:jc w:val="center"/>
        </w:trPr>
        <w:tc>
          <w:tcPr>
            <w:tcW w:w="2844" w:type="dxa"/>
            <w:gridSpan w:val="3"/>
            <w:tcBorders>
              <w:top w:val="single" w:sz="12" w:space="0" w:color="auto"/>
              <w:left w:val="single" w:sz="12" w:space="0" w:color="auto"/>
              <w:bottom w:val="single" w:sz="12" w:space="0" w:color="auto"/>
            </w:tcBorders>
            <w:vAlign w:val="center"/>
          </w:tcPr>
          <w:p w:rsidR="007D02A8" w:rsidRPr="00B612E0" w:rsidRDefault="007D02A8" w:rsidP="00B612E0">
            <w:pPr>
              <w:ind w:right="-29"/>
              <w:jc w:val="center"/>
              <w:rPr>
                <w:noProof/>
                <w:sz w:val="18"/>
                <w:szCs w:val="18"/>
              </w:rPr>
            </w:pPr>
            <w:r w:rsidRPr="00B612E0">
              <w:rPr>
                <w:b/>
                <w:noProof/>
                <w:sz w:val="18"/>
              </w:rPr>
              <w:t>TOTALES</w:t>
            </w:r>
          </w:p>
        </w:tc>
        <w:tc>
          <w:tcPr>
            <w:tcW w:w="504" w:type="dxa"/>
            <w:tcBorders>
              <w:top w:val="single" w:sz="12" w:space="0" w:color="auto"/>
              <w:bottom w:val="single" w:sz="12" w:space="0" w:color="auto"/>
            </w:tcBorders>
          </w:tcPr>
          <w:p w:rsidR="007D02A8" w:rsidRPr="00B612E0" w:rsidRDefault="007D02A8" w:rsidP="00B612E0">
            <w:pPr>
              <w:spacing w:before="180" w:after="180"/>
              <w:ind w:right="-29"/>
              <w:jc w:val="center"/>
              <w:rPr>
                <w:noProof/>
                <w:sz w:val="18"/>
                <w:szCs w:val="18"/>
              </w:rPr>
            </w:pPr>
          </w:p>
        </w:tc>
        <w:tc>
          <w:tcPr>
            <w:tcW w:w="720" w:type="dxa"/>
            <w:tcBorders>
              <w:top w:val="single" w:sz="12" w:space="0" w:color="auto"/>
              <w:bottom w:val="single" w:sz="12" w:space="0" w:color="auto"/>
            </w:tcBorders>
          </w:tcPr>
          <w:p w:rsidR="007D02A8" w:rsidRPr="00B612E0" w:rsidRDefault="007D02A8" w:rsidP="00234966">
            <w:pPr>
              <w:spacing w:before="180" w:after="180"/>
              <w:ind w:right="-29"/>
              <w:jc w:val="center"/>
              <w:rPr>
                <w:b/>
                <w:bCs/>
                <w:noProof/>
                <w:sz w:val="18"/>
                <w:szCs w:val="18"/>
              </w:rPr>
            </w:pPr>
            <w:r w:rsidRPr="00B612E0">
              <w:rPr>
                <w:b/>
                <w:bCs/>
                <w:noProof/>
                <w:sz w:val="18"/>
                <w:szCs w:val="18"/>
              </w:rPr>
              <w:t>3</w:t>
            </w:r>
            <w:r w:rsidR="00234966">
              <w:rPr>
                <w:b/>
                <w:bCs/>
                <w:noProof/>
                <w:sz w:val="18"/>
                <w:szCs w:val="18"/>
              </w:rPr>
              <w:t>,</w:t>
            </w:r>
            <w:r w:rsidRPr="00B612E0">
              <w:rPr>
                <w:b/>
                <w:bCs/>
                <w:noProof/>
                <w:sz w:val="18"/>
                <w:szCs w:val="18"/>
              </w:rPr>
              <w:t>000</w:t>
            </w:r>
          </w:p>
        </w:tc>
        <w:tc>
          <w:tcPr>
            <w:tcW w:w="540" w:type="dxa"/>
            <w:tcBorders>
              <w:top w:val="single" w:sz="12" w:space="0" w:color="auto"/>
              <w:bottom w:val="single" w:sz="12" w:space="0" w:color="auto"/>
            </w:tcBorders>
          </w:tcPr>
          <w:p w:rsidR="007D02A8" w:rsidRPr="00B612E0" w:rsidRDefault="007D02A8" w:rsidP="00B612E0">
            <w:pPr>
              <w:spacing w:before="180" w:after="180"/>
              <w:ind w:right="-29"/>
              <w:jc w:val="center"/>
              <w:rPr>
                <w:b/>
                <w:bCs/>
                <w:noProof/>
                <w:sz w:val="18"/>
                <w:szCs w:val="18"/>
              </w:rPr>
            </w:pPr>
          </w:p>
        </w:tc>
        <w:tc>
          <w:tcPr>
            <w:tcW w:w="720" w:type="dxa"/>
            <w:tcBorders>
              <w:top w:val="single" w:sz="12" w:space="0" w:color="auto"/>
              <w:bottom w:val="single" w:sz="12" w:space="0" w:color="auto"/>
            </w:tcBorders>
          </w:tcPr>
          <w:p w:rsidR="007D02A8" w:rsidRPr="00B612E0" w:rsidRDefault="007D02A8" w:rsidP="00234966">
            <w:pPr>
              <w:spacing w:before="180" w:after="180"/>
              <w:ind w:right="-29"/>
              <w:jc w:val="center"/>
              <w:rPr>
                <w:b/>
                <w:bCs/>
                <w:noProof/>
                <w:sz w:val="18"/>
                <w:szCs w:val="18"/>
              </w:rPr>
            </w:pPr>
            <w:r w:rsidRPr="00B612E0">
              <w:rPr>
                <w:b/>
                <w:bCs/>
                <w:noProof/>
                <w:sz w:val="18"/>
                <w:szCs w:val="18"/>
              </w:rPr>
              <w:t>4</w:t>
            </w:r>
            <w:r w:rsidR="00234966">
              <w:rPr>
                <w:b/>
                <w:bCs/>
                <w:noProof/>
                <w:sz w:val="18"/>
                <w:szCs w:val="18"/>
              </w:rPr>
              <w:t>,0</w:t>
            </w:r>
            <w:r w:rsidRPr="00B612E0">
              <w:rPr>
                <w:b/>
                <w:bCs/>
                <w:noProof/>
                <w:sz w:val="18"/>
                <w:szCs w:val="18"/>
              </w:rPr>
              <w:t>00</w:t>
            </w:r>
          </w:p>
        </w:tc>
        <w:tc>
          <w:tcPr>
            <w:tcW w:w="720" w:type="dxa"/>
            <w:tcBorders>
              <w:top w:val="single" w:sz="12" w:space="0" w:color="auto"/>
              <w:bottom w:val="single" w:sz="12" w:space="0" w:color="auto"/>
            </w:tcBorders>
          </w:tcPr>
          <w:p w:rsidR="007D02A8" w:rsidRPr="00B612E0" w:rsidRDefault="007D02A8" w:rsidP="00B612E0">
            <w:pPr>
              <w:spacing w:before="180" w:after="180"/>
              <w:ind w:right="-29"/>
              <w:jc w:val="center"/>
              <w:rPr>
                <w:b/>
                <w:bCs/>
                <w:noProof/>
                <w:sz w:val="18"/>
                <w:szCs w:val="18"/>
              </w:rPr>
            </w:pPr>
          </w:p>
        </w:tc>
        <w:tc>
          <w:tcPr>
            <w:tcW w:w="720" w:type="dxa"/>
            <w:tcBorders>
              <w:top w:val="single" w:sz="12" w:space="0" w:color="auto"/>
              <w:bottom w:val="single" w:sz="12" w:space="0" w:color="auto"/>
            </w:tcBorders>
          </w:tcPr>
          <w:p w:rsidR="007D02A8" w:rsidRPr="00B612E0" w:rsidRDefault="007D02A8" w:rsidP="00B612E0">
            <w:pPr>
              <w:spacing w:before="180" w:after="180"/>
              <w:ind w:right="-29"/>
              <w:jc w:val="center"/>
              <w:rPr>
                <w:b/>
                <w:bCs/>
                <w:noProof/>
                <w:sz w:val="18"/>
                <w:szCs w:val="18"/>
              </w:rPr>
            </w:pPr>
          </w:p>
        </w:tc>
        <w:tc>
          <w:tcPr>
            <w:tcW w:w="831" w:type="dxa"/>
            <w:tcBorders>
              <w:top w:val="single" w:sz="12" w:space="0" w:color="auto"/>
              <w:bottom w:val="single" w:sz="12" w:space="0" w:color="auto"/>
            </w:tcBorders>
          </w:tcPr>
          <w:p w:rsidR="007D02A8" w:rsidRPr="00B612E0" w:rsidRDefault="007D02A8" w:rsidP="00B612E0">
            <w:pPr>
              <w:spacing w:before="180" w:after="180"/>
              <w:ind w:right="-29"/>
              <w:jc w:val="center"/>
              <w:rPr>
                <w:b/>
                <w:bCs/>
                <w:noProof/>
                <w:sz w:val="18"/>
                <w:szCs w:val="18"/>
              </w:rPr>
            </w:pPr>
          </w:p>
        </w:tc>
        <w:tc>
          <w:tcPr>
            <w:tcW w:w="789" w:type="dxa"/>
            <w:tcBorders>
              <w:top w:val="single" w:sz="12" w:space="0" w:color="auto"/>
              <w:bottom w:val="single" w:sz="12" w:space="0" w:color="auto"/>
            </w:tcBorders>
          </w:tcPr>
          <w:p w:rsidR="007D02A8" w:rsidRPr="00B612E0" w:rsidRDefault="007D02A8" w:rsidP="00B612E0">
            <w:pPr>
              <w:spacing w:before="180" w:after="180"/>
              <w:ind w:right="-29"/>
              <w:jc w:val="center"/>
              <w:rPr>
                <w:b/>
                <w:bCs/>
                <w:noProof/>
                <w:sz w:val="18"/>
                <w:szCs w:val="18"/>
              </w:rPr>
            </w:pPr>
          </w:p>
        </w:tc>
        <w:tc>
          <w:tcPr>
            <w:tcW w:w="540" w:type="dxa"/>
            <w:tcBorders>
              <w:top w:val="single" w:sz="12" w:space="0" w:color="auto"/>
              <w:bottom w:val="single" w:sz="12" w:space="0" w:color="auto"/>
            </w:tcBorders>
          </w:tcPr>
          <w:p w:rsidR="007D02A8" w:rsidRPr="00B612E0" w:rsidRDefault="007D02A8" w:rsidP="00B612E0">
            <w:pPr>
              <w:spacing w:before="180" w:after="180"/>
              <w:ind w:right="-29"/>
              <w:jc w:val="center"/>
              <w:rPr>
                <w:b/>
                <w:bCs/>
                <w:noProof/>
                <w:sz w:val="18"/>
                <w:szCs w:val="18"/>
              </w:rPr>
            </w:pPr>
          </w:p>
        </w:tc>
        <w:tc>
          <w:tcPr>
            <w:tcW w:w="648" w:type="dxa"/>
            <w:tcBorders>
              <w:top w:val="single" w:sz="12" w:space="0" w:color="auto"/>
              <w:bottom w:val="single" w:sz="12" w:space="0" w:color="auto"/>
            </w:tcBorders>
          </w:tcPr>
          <w:p w:rsidR="007D02A8" w:rsidRPr="00B612E0" w:rsidRDefault="007D02A8" w:rsidP="00B612E0">
            <w:pPr>
              <w:spacing w:before="180" w:after="180"/>
              <w:ind w:right="-29"/>
              <w:jc w:val="center"/>
              <w:rPr>
                <w:b/>
                <w:bCs/>
                <w:noProof/>
                <w:sz w:val="18"/>
                <w:szCs w:val="18"/>
              </w:rPr>
            </w:pPr>
          </w:p>
        </w:tc>
        <w:tc>
          <w:tcPr>
            <w:tcW w:w="432" w:type="dxa"/>
            <w:tcBorders>
              <w:top w:val="single" w:sz="12" w:space="0" w:color="auto"/>
              <w:bottom w:val="single" w:sz="12" w:space="0" w:color="auto"/>
            </w:tcBorders>
          </w:tcPr>
          <w:p w:rsidR="007D02A8" w:rsidRPr="00B612E0" w:rsidRDefault="007D02A8" w:rsidP="00B612E0">
            <w:pPr>
              <w:spacing w:before="180" w:after="180"/>
              <w:ind w:right="-29"/>
              <w:jc w:val="center"/>
              <w:rPr>
                <w:b/>
                <w:bCs/>
                <w:noProof/>
                <w:sz w:val="18"/>
                <w:szCs w:val="18"/>
              </w:rPr>
            </w:pPr>
          </w:p>
        </w:tc>
        <w:tc>
          <w:tcPr>
            <w:tcW w:w="720" w:type="dxa"/>
            <w:tcBorders>
              <w:top w:val="single" w:sz="12" w:space="0" w:color="auto"/>
              <w:bottom w:val="single" w:sz="12" w:space="0" w:color="auto"/>
            </w:tcBorders>
          </w:tcPr>
          <w:p w:rsidR="007D02A8" w:rsidRPr="00B612E0" w:rsidRDefault="007D02A8" w:rsidP="00B612E0">
            <w:pPr>
              <w:spacing w:before="180" w:after="180"/>
              <w:ind w:right="-29"/>
              <w:jc w:val="center"/>
              <w:rPr>
                <w:b/>
                <w:bCs/>
                <w:noProof/>
                <w:sz w:val="18"/>
                <w:szCs w:val="18"/>
              </w:rPr>
            </w:pPr>
          </w:p>
        </w:tc>
        <w:tc>
          <w:tcPr>
            <w:tcW w:w="540" w:type="dxa"/>
            <w:tcBorders>
              <w:top w:val="single" w:sz="12" w:space="0" w:color="auto"/>
              <w:bottom w:val="single" w:sz="12" w:space="0" w:color="auto"/>
            </w:tcBorders>
          </w:tcPr>
          <w:p w:rsidR="007D02A8" w:rsidRPr="00B612E0" w:rsidRDefault="007D02A8" w:rsidP="00B612E0">
            <w:pPr>
              <w:spacing w:before="180" w:after="180"/>
              <w:ind w:right="-29"/>
              <w:jc w:val="center"/>
              <w:rPr>
                <w:b/>
                <w:bCs/>
                <w:noProof/>
                <w:sz w:val="18"/>
                <w:szCs w:val="18"/>
              </w:rPr>
            </w:pPr>
          </w:p>
        </w:tc>
        <w:tc>
          <w:tcPr>
            <w:tcW w:w="720" w:type="dxa"/>
            <w:tcBorders>
              <w:top w:val="single" w:sz="12" w:space="0" w:color="auto"/>
              <w:bottom w:val="single" w:sz="12" w:space="0" w:color="auto"/>
            </w:tcBorders>
          </w:tcPr>
          <w:p w:rsidR="007D02A8" w:rsidRPr="00B612E0" w:rsidRDefault="007D02A8" w:rsidP="00B612E0">
            <w:pPr>
              <w:spacing w:before="180" w:after="180"/>
              <w:ind w:right="-29"/>
              <w:jc w:val="center"/>
              <w:rPr>
                <w:b/>
                <w:bCs/>
                <w:noProof/>
                <w:sz w:val="18"/>
                <w:szCs w:val="18"/>
              </w:rPr>
            </w:pPr>
          </w:p>
        </w:tc>
        <w:tc>
          <w:tcPr>
            <w:tcW w:w="720" w:type="dxa"/>
            <w:tcBorders>
              <w:top w:val="single" w:sz="12" w:space="0" w:color="auto"/>
              <w:bottom w:val="single" w:sz="12" w:space="0" w:color="auto"/>
            </w:tcBorders>
          </w:tcPr>
          <w:p w:rsidR="007D02A8" w:rsidRPr="00B612E0" w:rsidRDefault="007D02A8" w:rsidP="00B612E0">
            <w:pPr>
              <w:spacing w:before="180" w:after="180"/>
              <w:ind w:right="-29"/>
              <w:jc w:val="center"/>
              <w:rPr>
                <w:b/>
                <w:bCs/>
                <w:noProof/>
                <w:sz w:val="18"/>
                <w:szCs w:val="18"/>
              </w:rPr>
            </w:pPr>
          </w:p>
        </w:tc>
        <w:tc>
          <w:tcPr>
            <w:tcW w:w="900" w:type="dxa"/>
            <w:tcBorders>
              <w:top w:val="single" w:sz="12" w:space="0" w:color="auto"/>
              <w:bottom w:val="single" w:sz="12" w:space="0" w:color="auto"/>
              <w:right w:val="single" w:sz="12" w:space="0" w:color="auto"/>
            </w:tcBorders>
          </w:tcPr>
          <w:p w:rsidR="007D02A8" w:rsidRPr="00B612E0" w:rsidRDefault="007D02A8" w:rsidP="00234966">
            <w:pPr>
              <w:spacing w:before="180" w:after="180"/>
              <w:ind w:right="-29"/>
              <w:jc w:val="center"/>
              <w:rPr>
                <w:b/>
                <w:bCs/>
                <w:noProof/>
                <w:sz w:val="18"/>
                <w:szCs w:val="18"/>
              </w:rPr>
            </w:pPr>
            <w:r w:rsidRPr="00B612E0">
              <w:rPr>
                <w:b/>
                <w:bCs/>
                <w:noProof/>
                <w:sz w:val="18"/>
                <w:szCs w:val="18"/>
              </w:rPr>
              <w:t>7</w:t>
            </w:r>
            <w:r w:rsidR="00234966">
              <w:rPr>
                <w:b/>
                <w:bCs/>
                <w:noProof/>
                <w:sz w:val="18"/>
                <w:szCs w:val="18"/>
              </w:rPr>
              <w:t>,</w:t>
            </w:r>
            <w:r w:rsidRPr="00B612E0">
              <w:rPr>
                <w:b/>
                <w:bCs/>
                <w:noProof/>
                <w:sz w:val="18"/>
                <w:szCs w:val="18"/>
              </w:rPr>
              <w:t>000</w:t>
            </w:r>
          </w:p>
        </w:tc>
      </w:tr>
    </w:tbl>
    <w:p w:rsidR="007D02A8" w:rsidRPr="00B612E0" w:rsidRDefault="007D02A8" w:rsidP="007D02A8">
      <w:pPr>
        <w:rPr>
          <w:noProof/>
        </w:rPr>
        <w:sectPr w:rsidR="007D02A8" w:rsidRPr="00B612E0" w:rsidSect="00FF77AA">
          <w:headerReference w:type="default" r:id="rId12"/>
          <w:footerReference w:type="default" r:id="rId13"/>
          <w:headerReference w:type="first" r:id="rId14"/>
          <w:footerReference w:type="first" r:id="rId15"/>
          <w:pgSz w:w="16840" w:h="11907" w:orient="landscape" w:code="9"/>
          <w:pgMar w:top="1134" w:right="1418" w:bottom="567" w:left="1418" w:header="709" w:footer="709" w:gutter="0"/>
          <w:cols w:space="708"/>
          <w:docGrid w:linePitch="360"/>
        </w:sectPr>
      </w:pPr>
    </w:p>
    <w:p w:rsidR="007D02A8" w:rsidRPr="00B612E0" w:rsidRDefault="007D02A8" w:rsidP="007D02A8">
      <w:pPr>
        <w:pStyle w:val="ManualHeading3"/>
        <w:rPr>
          <w:bCs/>
          <w:noProof/>
          <w:szCs w:val="24"/>
        </w:rPr>
      </w:pPr>
      <w:bookmarkStart w:id="37" w:name="_Toc514938055"/>
      <w:bookmarkStart w:id="38" w:name="_Toc520485054"/>
      <w:r w:rsidRPr="00B612E0">
        <w:rPr>
          <w:noProof/>
        </w:rPr>
        <w:t>3.2.3</w:t>
      </w:r>
      <w:r w:rsidR="00234966">
        <w:rPr>
          <w:noProof/>
        </w:rPr>
        <w:t>.</w:t>
      </w:r>
      <w:r w:rsidRPr="00B612E0">
        <w:rPr>
          <w:noProof/>
        </w:rPr>
        <w:tab/>
        <w:t>Resumen de la incidencia estimada en los créditos administrativos</w:t>
      </w:r>
      <w:bookmarkEnd w:id="37"/>
      <w:bookmarkEnd w:id="38"/>
      <w:r w:rsidRPr="00B612E0">
        <w:rPr>
          <w:noProof/>
        </w:rPr>
        <w:t xml:space="preserve"> </w:t>
      </w:r>
    </w:p>
    <w:p w:rsidR="007D02A8" w:rsidRPr="00B612E0" w:rsidRDefault="007D02A8" w:rsidP="007D02A8">
      <w:pPr>
        <w:pStyle w:val="ListDash1"/>
        <w:rPr>
          <w:noProof/>
        </w:rPr>
      </w:pPr>
      <w:r w:rsidRPr="00B612E0">
        <w:rPr>
          <w:noProof/>
        </w:rPr>
        <w:sym w:font="Wingdings" w:char="F0A8"/>
      </w:r>
      <w:r w:rsidRPr="00B612E0">
        <w:rPr>
          <w:noProof/>
        </w:rPr>
        <w:t xml:space="preserve"> La propuesta/iniciativa no exige la utilización de créditos administrativos </w:t>
      </w:r>
    </w:p>
    <w:p w:rsidR="007D02A8" w:rsidRPr="00B612E0" w:rsidRDefault="007D02A8" w:rsidP="007D02A8">
      <w:pPr>
        <w:pStyle w:val="ListDash1"/>
        <w:rPr>
          <w:noProof/>
        </w:rPr>
      </w:pPr>
      <w:r w:rsidRPr="00B612E0">
        <w:rPr>
          <w:noProof/>
        </w:rPr>
        <w:sym w:font="Wingdings" w:char="F06E"/>
      </w:r>
      <w:r w:rsidRPr="00B612E0">
        <w:rPr>
          <w:noProof/>
        </w:rPr>
        <w:t xml:space="preserve"> La propuesta/iniciativa exige la utilización de créditos administrativos, tal como se explica a continuación:</w:t>
      </w:r>
    </w:p>
    <w:p w:rsidR="007D02A8" w:rsidRPr="00B612E0" w:rsidRDefault="007D02A8" w:rsidP="007D02A8">
      <w:pPr>
        <w:jc w:val="right"/>
        <w:rPr>
          <w:noProof/>
          <w:sz w:val="20"/>
        </w:rPr>
      </w:pPr>
      <w:r w:rsidRPr="00B612E0">
        <w:rPr>
          <w:noProof/>
          <w:sz w:val="20"/>
        </w:rPr>
        <w:t>en millones EUR (al tercer decimal)</w:t>
      </w:r>
    </w:p>
    <w:tbl>
      <w:tblPr>
        <w:tblW w:w="8375"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705"/>
        <w:gridCol w:w="1417"/>
        <w:gridCol w:w="1418"/>
        <w:gridCol w:w="1417"/>
        <w:gridCol w:w="1418"/>
      </w:tblGrid>
      <w:tr w:rsidR="007D02A8" w:rsidRPr="00B612E0" w:rsidTr="00B612E0">
        <w:trPr>
          <w:trHeight w:val="585"/>
        </w:trPr>
        <w:tc>
          <w:tcPr>
            <w:tcW w:w="2705" w:type="dxa"/>
          </w:tcPr>
          <w:p w:rsidR="007D02A8" w:rsidRPr="00B612E0" w:rsidRDefault="007D02A8" w:rsidP="00B612E0">
            <w:pPr>
              <w:spacing w:before="60" w:after="60" w:line="200" w:lineRule="exact"/>
              <w:rPr>
                <w:noProof/>
                <w:sz w:val="16"/>
                <w:szCs w:val="16"/>
              </w:rPr>
            </w:pPr>
          </w:p>
        </w:tc>
        <w:tc>
          <w:tcPr>
            <w:tcW w:w="1417" w:type="dxa"/>
            <w:vAlign w:val="center"/>
          </w:tcPr>
          <w:p w:rsidR="007D02A8" w:rsidRPr="00B612E0" w:rsidRDefault="007D02A8" w:rsidP="00B612E0">
            <w:pPr>
              <w:spacing w:before="60" w:after="60" w:line="200" w:lineRule="exact"/>
              <w:jc w:val="center"/>
              <w:rPr>
                <w:noProof/>
                <w:sz w:val="16"/>
                <w:szCs w:val="16"/>
              </w:rPr>
            </w:pPr>
            <w:r w:rsidRPr="00B612E0">
              <w:rPr>
                <w:noProof/>
                <w:sz w:val="20"/>
              </w:rPr>
              <w:t>Año</w:t>
            </w:r>
            <w:r w:rsidRPr="00B612E0">
              <w:rPr>
                <w:noProof/>
              </w:rPr>
              <w:t xml:space="preserve"> </w:t>
            </w:r>
            <w:r w:rsidRPr="00B612E0">
              <w:rPr>
                <w:noProof/>
              </w:rPr>
              <w:br/>
            </w:r>
            <w:r w:rsidRPr="00B612E0">
              <w:rPr>
                <w:b/>
                <w:noProof/>
                <w:sz w:val="20"/>
              </w:rPr>
              <w:t>2022</w:t>
            </w:r>
          </w:p>
        </w:tc>
        <w:tc>
          <w:tcPr>
            <w:tcW w:w="1418" w:type="dxa"/>
            <w:vAlign w:val="center"/>
          </w:tcPr>
          <w:p w:rsidR="007D02A8" w:rsidRPr="00B612E0" w:rsidRDefault="007D02A8" w:rsidP="00B612E0">
            <w:pPr>
              <w:spacing w:before="60" w:after="60" w:line="200" w:lineRule="exact"/>
              <w:jc w:val="center"/>
              <w:rPr>
                <w:noProof/>
                <w:sz w:val="16"/>
                <w:szCs w:val="16"/>
              </w:rPr>
            </w:pPr>
            <w:r w:rsidRPr="00B612E0">
              <w:rPr>
                <w:noProof/>
                <w:sz w:val="20"/>
              </w:rPr>
              <w:t>Año</w:t>
            </w:r>
            <w:r w:rsidRPr="00B612E0">
              <w:rPr>
                <w:noProof/>
              </w:rPr>
              <w:t xml:space="preserve"> </w:t>
            </w:r>
            <w:r w:rsidRPr="00B612E0">
              <w:rPr>
                <w:noProof/>
              </w:rPr>
              <w:br/>
            </w:r>
            <w:r w:rsidRPr="00B612E0">
              <w:rPr>
                <w:b/>
                <w:noProof/>
                <w:sz w:val="20"/>
              </w:rPr>
              <w:t>2023</w:t>
            </w:r>
          </w:p>
        </w:tc>
        <w:tc>
          <w:tcPr>
            <w:tcW w:w="1417" w:type="dxa"/>
            <w:vAlign w:val="center"/>
          </w:tcPr>
          <w:p w:rsidR="007D02A8" w:rsidRPr="00B612E0" w:rsidRDefault="007D02A8" w:rsidP="00B612E0">
            <w:pPr>
              <w:spacing w:before="60" w:after="60" w:line="200" w:lineRule="exact"/>
              <w:jc w:val="center"/>
              <w:rPr>
                <w:noProof/>
                <w:sz w:val="16"/>
                <w:szCs w:val="16"/>
              </w:rPr>
            </w:pPr>
            <w:r w:rsidRPr="00B612E0">
              <w:rPr>
                <w:noProof/>
                <w:sz w:val="20"/>
              </w:rPr>
              <w:t>Año</w:t>
            </w:r>
            <w:r w:rsidRPr="00B612E0">
              <w:rPr>
                <w:noProof/>
              </w:rPr>
              <w:t xml:space="preserve"> </w:t>
            </w:r>
            <w:r w:rsidRPr="00B612E0">
              <w:rPr>
                <w:noProof/>
              </w:rPr>
              <w:br/>
            </w:r>
            <w:r w:rsidRPr="00B612E0">
              <w:rPr>
                <w:b/>
                <w:noProof/>
                <w:sz w:val="20"/>
              </w:rPr>
              <w:t>2024</w:t>
            </w:r>
          </w:p>
        </w:tc>
        <w:tc>
          <w:tcPr>
            <w:tcW w:w="1418" w:type="dxa"/>
            <w:vAlign w:val="center"/>
          </w:tcPr>
          <w:p w:rsidR="007D02A8" w:rsidRPr="00B612E0" w:rsidRDefault="007D02A8" w:rsidP="00B612E0">
            <w:pPr>
              <w:spacing w:before="60" w:after="60" w:line="200" w:lineRule="exact"/>
              <w:jc w:val="center"/>
              <w:rPr>
                <w:b/>
                <w:noProof/>
                <w:sz w:val="16"/>
                <w:szCs w:val="16"/>
              </w:rPr>
            </w:pPr>
            <w:r w:rsidRPr="00B612E0">
              <w:rPr>
                <w:b/>
                <w:noProof/>
                <w:sz w:val="16"/>
              </w:rPr>
              <w:t>TOTAL</w:t>
            </w:r>
          </w:p>
        </w:tc>
      </w:tr>
    </w:tbl>
    <w:p w:rsidR="007D02A8" w:rsidRPr="00B612E0" w:rsidRDefault="007D02A8" w:rsidP="007D02A8">
      <w:pPr>
        <w:spacing w:line="200" w:lineRule="exact"/>
        <w:rPr>
          <w:noProof/>
          <w:sz w:val="16"/>
          <w:szCs w:val="16"/>
        </w:rPr>
      </w:pPr>
    </w:p>
    <w:tbl>
      <w:tblPr>
        <w:tblW w:w="8375"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705"/>
        <w:gridCol w:w="1417"/>
        <w:gridCol w:w="1418"/>
        <w:gridCol w:w="1417"/>
        <w:gridCol w:w="1418"/>
      </w:tblGrid>
      <w:tr w:rsidR="007D02A8" w:rsidRPr="00B612E0" w:rsidTr="00B612E0">
        <w:trPr>
          <w:trHeight w:val="585"/>
        </w:trPr>
        <w:tc>
          <w:tcPr>
            <w:tcW w:w="2705" w:type="dxa"/>
            <w:shd w:val="clear" w:color="auto" w:fill="CCCCCC"/>
            <w:vAlign w:val="center"/>
          </w:tcPr>
          <w:p w:rsidR="007D02A8" w:rsidRPr="00B612E0" w:rsidRDefault="007D02A8" w:rsidP="00B612E0">
            <w:pPr>
              <w:spacing w:before="60" w:after="60" w:line="200" w:lineRule="exact"/>
              <w:jc w:val="center"/>
              <w:rPr>
                <w:b/>
                <w:noProof/>
                <w:sz w:val="16"/>
                <w:szCs w:val="16"/>
              </w:rPr>
            </w:pPr>
            <w:r w:rsidRPr="00B612E0">
              <w:rPr>
                <w:b/>
                <w:noProof/>
                <w:sz w:val="16"/>
              </w:rPr>
              <w:t>RÚBRICA 7</w:t>
            </w:r>
            <w:r w:rsidRPr="00B612E0">
              <w:rPr>
                <w:noProof/>
              </w:rPr>
              <w:t xml:space="preserve"> </w:t>
            </w:r>
            <w:r w:rsidRPr="00B612E0">
              <w:rPr>
                <w:noProof/>
              </w:rPr>
              <w:br/>
            </w:r>
            <w:r w:rsidRPr="00B612E0">
              <w:rPr>
                <w:b/>
                <w:noProof/>
                <w:sz w:val="16"/>
              </w:rPr>
              <w:t>del marco financiero plurianual</w:t>
            </w:r>
          </w:p>
        </w:tc>
        <w:tc>
          <w:tcPr>
            <w:tcW w:w="1417" w:type="dxa"/>
            <w:vAlign w:val="center"/>
          </w:tcPr>
          <w:p w:rsidR="007D02A8" w:rsidRPr="00B612E0" w:rsidRDefault="007D02A8" w:rsidP="00B612E0">
            <w:pPr>
              <w:spacing w:before="60" w:after="60" w:line="200" w:lineRule="exact"/>
              <w:jc w:val="right"/>
              <w:rPr>
                <w:noProof/>
                <w:sz w:val="16"/>
                <w:szCs w:val="16"/>
              </w:rPr>
            </w:pPr>
          </w:p>
        </w:tc>
        <w:tc>
          <w:tcPr>
            <w:tcW w:w="1418" w:type="dxa"/>
            <w:vAlign w:val="center"/>
          </w:tcPr>
          <w:p w:rsidR="007D02A8" w:rsidRPr="00B612E0" w:rsidRDefault="007D02A8" w:rsidP="00B612E0">
            <w:pPr>
              <w:spacing w:before="60" w:after="60" w:line="200" w:lineRule="exact"/>
              <w:jc w:val="right"/>
              <w:rPr>
                <w:noProof/>
                <w:sz w:val="16"/>
                <w:szCs w:val="16"/>
              </w:rPr>
            </w:pPr>
          </w:p>
        </w:tc>
        <w:tc>
          <w:tcPr>
            <w:tcW w:w="1417" w:type="dxa"/>
            <w:vAlign w:val="center"/>
          </w:tcPr>
          <w:p w:rsidR="007D02A8" w:rsidRPr="00B612E0" w:rsidRDefault="007D02A8" w:rsidP="00B612E0">
            <w:pPr>
              <w:spacing w:before="60" w:after="60" w:line="200" w:lineRule="exact"/>
              <w:jc w:val="right"/>
              <w:rPr>
                <w:noProof/>
                <w:sz w:val="16"/>
                <w:szCs w:val="16"/>
              </w:rPr>
            </w:pPr>
          </w:p>
        </w:tc>
        <w:tc>
          <w:tcPr>
            <w:tcW w:w="1418" w:type="dxa"/>
            <w:vAlign w:val="center"/>
          </w:tcPr>
          <w:p w:rsidR="007D02A8" w:rsidRPr="00B612E0" w:rsidRDefault="007D02A8" w:rsidP="00B612E0">
            <w:pPr>
              <w:spacing w:before="60" w:after="60" w:line="200" w:lineRule="exact"/>
              <w:jc w:val="right"/>
              <w:rPr>
                <w:b/>
                <w:noProof/>
                <w:sz w:val="16"/>
                <w:szCs w:val="16"/>
              </w:rPr>
            </w:pPr>
          </w:p>
        </w:tc>
      </w:tr>
      <w:tr w:rsidR="00234966" w:rsidRPr="00B612E0" w:rsidTr="00B612E0">
        <w:trPr>
          <w:trHeight w:val="585"/>
        </w:trPr>
        <w:tc>
          <w:tcPr>
            <w:tcW w:w="2705" w:type="dxa"/>
            <w:vAlign w:val="center"/>
          </w:tcPr>
          <w:p w:rsidR="00234966" w:rsidRPr="00B612E0" w:rsidRDefault="00234966" w:rsidP="00234966">
            <w:pPr>
              <w:spacing w:before="60" w:after="60" w:line="200" w:lineRule="exact"/>
              <w:ind w:left="72"/>
              <w:jc w:val="left"/>
              <w:rPr>
                <w:noProof/>
                <w:sz w:val="16"/>
                <w:szCs w:val="16"/>
              </w:rPr>
            </w:pPr>
            <w:r w:rsidRPr="00B612E0">
              <w:rPr>
                <w:noProof/>
                <w:sz w:val="16"/>
              </w:rPr>
              <w:t xml:space="preserve">Recursos humanos </w:t>
            </w:r>
          </w:p>
        </w:tc>
        <w:tc>
          <w:tcPr>
            <w:tcW w:w="1417" w:type="dxa"/>
            <w:vAlign w:val="center"/>
          </w:tcPr>
          <w:p w:rsidR="00234966" w:rsidRPr="00A722F1" w:rsidRDefault="00234966" w:rsidP="00234966">
            <w:pPr>
              <w:spacing w:before="60" w:after="60" w:line="200" w:lineRule="exact"/>
              <w:jc w:val="right"/>
              <w:rPr>
                <w:noProof/>
                <w:sz w:val="16"/>
                <w:szCs w:val="16"/>
              </w:rPr>
            </w:pPr>
            <w:r>
              <w:rPr>
                <w:noProof/>
                <w:sz w:val="20"/>
              </w:rPr>
              <w:t>1,501</w:t>
            </w:r>
          </w:p>
        </w:tc>
        <w:tc>
          <w:tcPr>
            <w:tcW w:w="1418" w:type="dxa"/>
            <w:vAlign w:val="center"/>
          </w:tcPr>
          <w:p w:rsidR="00234966" w:rsidRPr="00A722F1" w:rsidRDefault="00234966" w:rsidP="00234966">
            <w:pPr>
              <w:spacing w:before="60" w:after="60" w:line="200" w:lineRule="exact"/>
              <w:jc w:val="right"/>
              <w:rPr>
                <w:noProof/>
                <w:sz w:val="16"/>
                <w:szCs w:val="16"/>
              </w:rPr>
            </w:pPr>
            <w:r>
              <w:rPr>
                <w:noProof/>
                <w:sz w:val="20"/>
              </w:rPr>
              <w:t>1,501</w:t>
            </w:r>
          </w:p>
        </w:tc>
        <w:tc>
          <w:tcPr>
            <w:tcW w:w="1417" w:type="dxa"/>
            <w:vAlign w:val="center"/>
          </w:tcPr>
          <w:p w:rsidR="00234966" w:rsidRPr="00A722F1" w:rsidRDefault="00234966" w:rsidP="00234966">
            <w:pPr>
              <w:spacing w:before="60" w:after="60" w:line="200" w:lineRule="exact"/>
              <w:jc w:val="right"/>
              <w:rPr>
                <w:noProof/>
                <w:sz w:val="16"/>
                <w:szCs w:val="16"/>
              </w:rPr>
            </w:pPr>
          </w:p>
        </w:tc>
        <w:tc>
          <w:tcPr>
            <w:tcW w:w="1418" w:type="dxa"/>
            <w:vAlign w:val="center"/>
          </w:tcPr>
          <w:p w:rsidR="00234966" w:rsidRPr="00A722F1" w:rsidRDefault="00234966" w:rsidP="00234966">
            <w:pPr>
              <w:spacing w:before="60" w:after="60" w:line="200" w:lineRule="exact"/>
              <w:jc w:val="right"/>
              <w:rPr>
                <w:b/>
                <w:noProof/>
                <w:sz w:val="16"/>
                <w:szCs w:val="16"/>
              </w:rPr>
            </w:pPr>
            <w:r>
              <w:rPr>
                <w:b/>
                <w:noProof/>
                <w:sz w:val="20"/>
              </w:rPr>
              <w:t>3,002</w:t>
            </w:r>
          </w:p>
        </w:tc>
      </w:tr>
      <w:tr w:rsidR="00234966" w:rsidRPr="00B612E0" w:rsidTr="00B612E0">
        <w:trPr>
          <w:trHeight w:val="585"/>
        </w:trPr>
        <w:tc>
          <w:tcPr>
            <w:tcW w:w="2705" w:type="dxa"/>
            <w:vAlign w:val="center"/>
          </w:tcPr>
          <w:p w:rsidR="00234966" w:rsidRPr="00B612E0" w:rsidRDefault="00234966" w:rsidP="00234966">
            <w:pPr>
              <w:spacing w:before="60" w:after="60" w:line="200" w:lineRule="exact"/>
              <w:ind w:left="72"/>
              <w:jc w:val="left"/>
              <w:rPr>
                <w:noProof/>
                <w:sz w:val="16"/>
                <w:szCs w:val="16"/>
              </w:rPr>
            </w:pPr>
            <w:r w:rsidRPr="00B612E0">
              <w:rPr>
                <w:noProof/>
                <w:sz w:val="16"/>
              </w:rPr>
              <w:t xml:space="preserve">Otros gastos administrativos </w:t>
            </w:r>
          </w:p>
        </w:tc>
        <w:tc>
          <w:tcPr>
            <w:tcW w:w="1417" w:type="dxa"/>
            <w:vAlign w:val="center"/>
          </w:tcPr>
          <w:p w:rsidR="00234966" w:rsidRPr="00A722F1" w:rsidRDefault="00234966" w:rsidP="00234966">
            <w:pPr>
              <w:spacing w:before="60" w:after="60" w:line="200" w:lineRule="exact"/>
              <w:jc w:val="right"/>
              <w:rPr>
                <w:noProof/>
                <w:sz w:val="16"/>
                <w:szCs w:val="16"/>
              </w:rPr>
            </w:pPr>
          </w:p>
        </w:tc>
        <w:tc>
          <w:tcPr>
            <w:tcW w:w="1418" w:type="dxa"/>
            <w:vAlign w:val="center"/>
          </w:tcPr>
          <w:p w:rsidR="00234966" w:rsidRPr="00A722F1" w:rsidRDefault="00234966" w:rsidP="00234966">
            <w:pPr>
              <w:spacing w:before="60" w:after="60" w:line="200" w:lineRule="exact"/>
              <w:jc w:val="right"/>
              <w:rPr>
                <w:noProof/>
                <w:sz w:val="16"/>
                <w:szCs w:val="16"/>
              </w:rPr>
            </w:pPr>
          </w:p>
        </w:tc>
        <w:tc>
          <w:tcPr>
            <w:tcW w:w="1417" w:type="dxa"/>
            <w:vAlign w:val="center"/>
          </w:tcPr>
          <w:p w:rsidR="00234966" w:rsidRPr="00A722F1" w:rsidRDefault="00234966" w:rsidP="00234966">
            <w:pPr>
              <w:spacing w:before="60" w:after="60" w:line="200" w:lineRule="exact"/>
              <w:jc w:val="right"/>
              <w:rPr>
                <w:noProof/>
                <w:sz w:val="16"/>
                <w:szCs w:val="16"/>
              </w:rPr>
            </w:pPr>
          </w:p>
        </w:tc>
        <w:tc>
          <w:tcPr>
            <w:tcW w:w="1418" w:type="dxa"/>
            <w:vAlign w:val="center"/>
          </w:tcPr>
          <w:p w:rsidR="00234966" w:rsidRPr="00A722F1" w:rsidRDefault="00234966" w:rsidP="00234966">
            <w:pPr>
              <w:spacing w:before="60" w:after="60" w:line="200" w:lineRule="exact"/>
              <w:jc w:val="right"/>
              <w:rPr>
                <w:b/>
                <w:noProof/>
                <w:sz w:val="16"/>
                <w:szCs w:val="16"/>
              </w:rPr>
            </w:pPr>
          </w:p>
        </w:tc>
      </w:tr>
      <w:tr w:rsidR="00234966" w:rsidRPr="00B612E0" w:rsidTr="00B612E0">
        <w:trPr>
          <w:trHeight w:val="585"/>
        </w:trPr>
        <w:tc>
          <w:tcPr>
            <w:tcW w:w="2705" w:type="dxa"/>
            <w:shd w:val="clear" w:color="auto" w:fill="CCCCCC"/>
            <w:vAlign w:val="center"/>
          </w:tcPr>
          <w:p w:rsidR="00234966" w:rsidRPr="00B612E0" w:rsidRDefault="00234966" w:rsidP="00234966">
            <w:pPr>
              <w:spacing w:before="60" w:after="60" w:line="200" w:lineRule="exact"/>
              <w:jc w:val="center"/>
              <w:rPr>
                <w:b/>
                <w:noProof/>
                <w:sz w:val="16"/>
                <w:szCs w:val="16"/>
              </w:rPr>
            </w:pPr>
            <w:r w:rsidRPr="00B612E0">
              <w:rPr>
                <w:b/>
                <w:noProof/>
                <w:sz w:val="16"/>
              </w:rPr>
              <w:t>Subtotal para la RÚBRICA 7</w:t>
            </w:r>
            <w:r w:rsidRPr="00B612E0">
              <w:rPr>
                <w:noProof/>
              </w:rPr>
              <w:t xml:space="preserve"> </w:t>
            </w:r>
            <w:r w:rsidRPr="00B612E0">
              <w:rPr>
                <w:noProof/>
              </w:rPr>
              <w:br/>
            </w:r>
            <w:r w:rsidRPr="00B612E0">
              <w:rPr>
                <w:b/>
                <w:noProof/>
                <w:sz w:val="16"/>
              </w:rPr>
              <w:t xml:space="preserve">del marco financiero plurianual </w:t>
            </w:r>
          </w:p>
        </w:tc>
        <w:tc>
          <w:tcPr>
            <w:tcW w:w="1417" w:type="dxa"/>
            <w:vAlign w:val="center"/>
          </w:tcPr>
          <w:p w:rsidR="00234966" w:rsidRPr="00A722F1" w:rsidRDefault="00234966" w:rsidP="00234966">
            <w:pPr>
              <w:spacing w:before="60" w:after="60" w:line="200" w:lineRule="exact"/>
              <w:jc w:val="right"/>
              <w:rPr>
                <w:b/>
                <w:noProof/>
                <w:sz w:val="16"/>
                <w:szCs w:val="16"/>
              </w:rPr>
            </w:pPr>
            <w:r>
              <w:rPr>
                <w:noProof/>
                <w:sz w:val="20"/>
              </w:rPr>
              <w:t>1,501</w:t>
            </w:r>
          </w:p>
        </w:tc>
        <w:tc>
          <w:tcPr>
            <w:tcW w:w="1418" w:type="dxa"/>
            <w:vAlign w:val="center"/>
          </w:tcPr>
          <w:p w:rsidR="00234966" w:rsidRPr="00A722F1" w:rsidRDefault="00234966" w:rsidP="00234966">
            <w:pPr>
              <w:spacing w:before="60" w:after="60" w:line="200" w:lineRule="exact"/>
              <w:jc w:val="right"/>
              <w:rPr>
                <w:noProof/>
                <w:sz w:val="16"/>
                <w:szCs w:val="16"/>
              </w:rPr>
            </w:pPr>
            <w:r>
              <w:rPr>
                <w:noProof/>
                <w:sz w:val="20"/>
              </w:rPr>
              <w:t>1,501</w:t>
            </w:r>
          </w:p>
        </w:tc>
        <w:tc>
          <w:tcPr>
            <w:tcW w:w="1417" w:type="dxa"/>
            <w:vAlign w:val="center"/>
          </w:tcPr>
          <w:p w:rsidR="00234966" w:rsidRPr="00A722F1" w:rsidRDefault="00234966" w:rsidP="00234966">
            <w:pPr>
              <w:spacing w:before="60" w:after="60" w:line="200" w:lineRule="exact"/>
              <w:jc w:val="right"/>
              <w:rPr>
                <w:noProof/>
                <w:sz w:val="16"/>
                <w:szCs w:val="16"/>
              </w:rPr>
            </w:pPr>
          </w:p>
        </w:tc>
        <w:tc>
          <w:tcPr>
            <w:tcW w:w="1418" w:type="dxa"/>
            <w:vAlign w:val="center"/>
          </w:tcPr>
          <w:p w:rsidR="00234966" w:rsidRPr="00A722F1" w:rsidRDefault="00234966" w:rsidP="00234966">
            <w:pPr>
              <w:spacing w:before="60" w:after="60" w:line="200" w:lineRule="exact"/>
              <w:jc w:val="right"/>
              <w:rPr>
                <w:b/>
                <w:noProof/>
                <w:sz w:val="16"/>
                <w:szCs w:val="16"/>
              </w:rPr>
            </w:pPr>
            <w:r>
              <w:rPr>
                <w:b/>
                <w:noProof/>
                <w:sz w:val="20"/>
              </w:rPr>
              <w:t>3,002</w:t>
            </w:r>
          </w:p>
        </w:tc>
      </w:tr>
    </w:tbl>
    <w:p w:rsidR="007D02A8" w:rsidRPr="00B612E0" w:rsidRDefault="007D02A8" w:rsidP="007D02A8">
      <w:pPr>
        <w:spacing w:line="200" w:lineRule="exact"/>
        <w:rPr>
          <w:noProof/>
          <w:sz w:val="16"/>
          <w:szCs w:val="16"/>
        </w:rPr>
      </w:pPr>
    </w:p>
    <w:tbl>
      <w:tblPr>
        <w:tblW w:w="8375"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705"/>
        <w:gridCol w:w="1417"/>
        <w:gridCol w:w="1418"/>
        <w:gridCol w:w="1417"/>
        <w:gridCol w:w="1418"/>
      </w:tblGrid>
      <w:tr w:rsidR="007D02A8" w:rsidRPr="00B612E0" w:rsidTr="00B612E0">
        <w:trPr>
          <w:trHeight w:val="585"/>
        </w:trPr>
        <w:tc>
          <w:tcPr>
            <w:tcW w:w="2705" w:type="dxa"/>
            <w:shd w:val="clear" w:color="auto" w:fill="CCCCCC"/>
            <w:vAlign w:val="center"/>
          </w:tcPr>
          <w:p w:rsidR="007D02A8" w:rsidRPr="00234966" w:rsidRDefault="007D02A8" w:rsidP="00B612E0">
            <w:pPr>
              <w:spacing w:before="60" w:after="60" w:line="200" w:lineRule="exact"/>
              <w:jc w:val="center"/>
              <w:rPr>
                <w:noProof/>
                <w:sz w:val="16"/>
                <w:szCs w:val="16"/>
              </w:rPr>
            </w:pPr>
            <w:r w:rsidRPr="00234966">
              <w:rPr>
                <w:b/>
                <w:bCs/>
                <w:noProof/>
                <w:sz w:val="16"/>
                <w:szCs w:val="16"/>
              </w:rPr>
              <w:t>al margen de la RÚBRICA 7</w:t>
            </w:r>
            <w:r w:rsidRPr="00234966">
              <w:rPr>
                <w:rStyle w:val="FootnoteReference"/>
                <w:b/>
                <w:noProof/>
                <w:sz w:val="16"/>
                <w:szCs w:val="16"/>
              </w:rPr>
              <w:footnoteReference w:id="44"/>
            </w:r>
            <w:r w:rsidRPr="00234966">
              <w:rPr>
                <w:noProof/>
                <w:sz w:val="16"/>
                <w:szCs w:val="16"/>
              </w:rPr>
              <w:t xml:space="preserve"> </w:t>
            </w:r>
            <w:r w:rsidRPr="00234966">
              <w:rPr>
                <w:noProof/>
                <w:sz w:val="16"/>
                <w:szCs w:val="16"/>
              </w:rPr>
              <w:br/>
            </w:r>
            <w:r w:rsidR="00234966">
              <w:rPr>
                <w:b/>
                <w:noProof/>
                <w:sz w:val="16"/>
                <w:szCs w:val="16"/>
              </w:rPr>
              <w:t>del marco financiero plurianual</w:t>
            </w:r>
            <w:r w:rsidRPr="00234966">
              <w:rPr>
                <w:b/>
                <w:noProof/>
                <w:sz w:val="16"/>
                <w:szCs w:val="16"/>
              </w:rPr>
              <w:t xml:space="preserve"> </w:t>
            </w:r>
          </w:p>
          <w:p w:rsidR="007D02A8" w:rsidRPr="00234966" w:rsidRDefault="007D02A8" w:rsidP="00B612E0">
            <w:pPr>
              <w:spacing w:before="0" w:after="0" w:line="200" w:lineRule="exact"/>
              <w:jc w:val="center"/>
              <w:rPr>
                <w:b/>
                <w:noProof/>
                <w:sz w:val="16"/>
                <w:szCs w:val="16"/>
              </w:rPr>
            </w:pPr>
          </w:p>
        </w:tc>
        <w:tc>
          <w:tcPr>
            <w:tcW w:w="1417" w:type="dxa"/>
            <w:vAlign w:val="center"/>
          </w:tcPr>
          <w:p w:rsidR="007D02A8" w:rsidRPr="00B612E0" w:rsidRDefault="007D02A8" w:rsidP="00B612E0">
            <w:pPr>
              <w:spacing w:before="60" w:after="60" w:line="200" w:lineRule="exact"/>
              <w:jc w:val="right"/>
              <w:rPr>
                <w:noProof/>
                <w:sz w:val="16"/>
                <w:szCs w:val="16"/>
              </w:rPr>
            </w:pPr>
          </w:p>
        </w:tc>
        <w:tc>
          <w:tcPr>
            <w:tcW w:w="1418" w:type="dxa"/>
            <w:vAlign w:val="center"/>
          </w:tcPr>
          <w:p w:rsidR="007D02A8" w:rsidRPr="00B612E0" w:rsidRDefault="007D02A8" w:rsidP="00B612E0">
            <w:pPr>
              <w:spacing w:before="60" w:after="60" w:line="200" w:lineRule="exact"/>
              <w:jc w:val="right"/>
              <w:rPr>
                <w:noProof/>
                <w:sz w:val="16"/>
                <w:szCs w:val="16"/>
              </w:rPr>
            </w:pPr>
          </w:p>
        </w:tc>
        <w:tc>
          <w:tcPr>
            <w:tcW w:w="1417" w:type="dxa"/>
            <w:vAlign w:val="center"/>
          </w:tcPr>
          <w:p w:rsidR="007D02A8" w:rsidRPr="00B612E0" w:rsidRDefault="007D02A8" w:rsidP="00B612E0">
            <w:pPr>
              <w:spacing w:before="60" w:after="60" w:line="200" w:lineRule="exact"/>
              <w:jc w:val="right"/>
              <w:rPr>
                <w:noProof/>
                <w:sz w:val="16"/>
                <w:szCs w:val="16"/>
              </w:rPr>
            </w:pPr>
          </w:p>
        </w:tc>
        <w:tc>
          <w:tcPr>
            <w:tcW w:w="1418" w:type="dxa"/>
            <w:vAlign w:val="center"/>
          </w:tcPr>
          <w:p w:rsidR="007D02A8" w:rsidRPr="00B612E0" w:rsidRDefault="007D02A8" w:rsidP="00B612E0">
            <w:pPr>
              <w:spacing w:before="60" w:after="60" w:line="200" w:lineRule="exact"/>
              <w:jc w:val="right"/>
              <w:rPr>
                <w:b/>
                <w:noProof/>
                <w:sz w:val="16"/>
                <w:szCs w:val="16"/>
              </w:rPr>
            </w:pPr>
          </w:p>
        </w:tc>
      </w:tr>
      <w:tr w:rsidR="007D02A8" w:rsidRPr="00B612E0" w:rsidTr="00B612E0">
        <w:trPr>
          <w:trHeight w:val="585"/>
        </w:trPr>
        <w:tc>
          <w:tcPr>
            <w:tcW w:w="2705" w:type="dxa"/>
            <w:vAlign w:val="center"/>
          </w:tcPr>
          <w:p w:rsidR="007D02A8" w:rsidRPr="00B612E0" w:rsidRDefault="007D02A8" w:rsidP="00B612E0">
            <w:pPr>
              <w:spacing w:before="60" w:after="60" w:line="200" w:lineRule="exact"/>
              <w:ind w:left="72"/>
              <w:jc w:val="left"/>
              <w:rPr>
                <w:noProof/>
                <w:sz w:val="16"/>
                <w:szCs w:val="16"/>
              </w:rPr>
            </w:pPr>
            <w:r w:rsidRPr="00B612E0">
              <w:rPr>
                <w:noProof/>
                <w:sz w:val="16"/>
              </w:rPr>
              <w:t xml:space="preserve">Recursos humanos </w:t>
            </w:r>
          </w:p>
        </w:tc>
        <w:tc>
          <w:tcPr>
            <w:tcW w:w="1417" w:type="dxa"/>
            <w:vAlign w:val="center"/>
          </w:tcPr>
          <w:p w:rsidR="007D02A8" w:rsidRPr="00B612E0" w:rsidRDefault="007D02A8" w:rsidP="00B612E0">
            <w:pPr>
              <w:spacing w:before="60" w:after="60" w:line="200" w:lineRule="exact"/>
              <w:jc w:val="right"/>
              <w:rPr>
                <w:noProof/>
                <w:sz w:val="16"/>
                <w:szCs w:val="16"/>
              </w:rPr>
            </w:pPr>
          </w:p>
        </w:tc>
        <w:tc>
          <w:tcPr>
            <w:tcW w:w="1418" w:type="dxa"/>
            <w:vAlign w:val="center"/>
          </w:tcPr>
          <w:p w:rsidR="007D02A8" w:rsidRPr="00B612E0" w:rsidRDefault="007D02A8" w:rsidP="00B612E0">
            <w:pPr>
              <w:spacing w:before="60" w:after="60" w:line="200" w:lineRule="exact"/>
              <w:jc w:val="right"/>
              <w:rPr>
                <w:noProof/>
                <w:sz w:val="16"/>
                <w:szCs w:val="16"/>
              </w:rPr>
            </w:pPr>
          </w:p>
        </w:tc>
        <w:tc>
          <w:tcPr>
            <w:tcW w:w="1417" w:type="dxa"/>
            <w:vAlign w:val="center"/>
          </w:tcPr>
          <w:p w:rsidR="007D02A8" w:rsidRPr="00B612E0" w:rsidRDefault="007D02A8" w:rsidP="00B612E0">
            <w:pPr>
              <w:spacing w:before="60" w:after="60" w:line="200" w:lineRule="exact"/>
              <w:jc w:val="right"/>
              <w:rPr>
                <w:noProof/>
                <w:sz w:val="16"/>
                <w:szCs w:val="16"/>
              </w:rPr>
            </w:pPr>
          </w:p>
        </w:tc>
        <w:tc>
          <w:tcPr>
            <w:tcW w:w="1418" w:type="dxa"/>
            <w:vAlign w:val="center"/>
          </w:tcPr>
          <w:p w:rsidR="007D02A8" w:rsidRPr="00B612E0" w:rsidRDefault="007D02A8" w:rsidP="00B612E0">
            <w:pPr>
              <w:spacing w:before="60" w:after="60" w:line="200" w:lineRule="exact"/>
              <w:jc w:val="right"/>
              <w:rPr>
                <w:b/>
                <w:noProof/>
                <w:sz w:val="16"/>
                <w:szCs w:val="16"/>
              </w:rPr>
            </w:pPr>
          </w:p>
        </w:tc>
      </w:tr>
      <w:tr w:rsidR="007D02A8" w:rsidRPr="00B612E0" w:rsidTr="00B612E0">
        <w:trPr>
          <w:trHeight w:val="585"/>
        </w:trPr>
        <w:tc>
          <w:tcPr>
            <w:tcW w:w="2705" w:type="dxa"/>
            <w:vAlign w:val="center"/>
          </w:tcPr>
          <w:p w:rsidR="007D02A8" w:rsidRPr="00234966" w:rsidRDefault="007D02A8" w:rsidP="00B612E0">
            <w:pPr>
              <w:spacing w:before="60" w:after="60" w:line="200" w:lineRule="exact"/>
              <w:ind w:left="72"/>
              <w:jc w:val="left"/>
              <w:rPr>
                <w:noProof/>
                <w:sz w:val="16"/>
                <w:szCs w:val="16"/>
              </w:rPr>
            </w:pPr>
            <w:r w:rsidRPr="00234966">
              <w:rPr>
                <w:noProof/>
                <w:sz w:val="16"/>
                <w:szCs w:val="16"/>
              </w:rPr>
              <w:t>Otros gastos de naturaleza administrativa</w:t>
            </w:r>
          </w:p>
        </w:tc>
        <w:tc>
          <w:tcPr>
            <w:tcW w:w="1417" w:type="dxa"/>
            <w:vAlign w:val="center"/>
          </w:tcPr>
          <w:p w:rsidR="007D02A8" w:rsidRPr="00B612E0" w:rsidRDefault="007D02A8" w:rsidP="00B612E0">
            <w:pPr>
              <w:spacing w:before="60" w:after="60" w:line="200" w:lineRule="exact"/>
              <w:jc w:val="right"/>
              <w:rPr>
                <w:noProof/>
                <w:sz w:val="16"/>
                <w:szCs w:val="16"/>
              </w:rPr>
            </w:pPr>
          </w:p>
        </w:tc>
        <w:tc>
          <w:tcPr>
            <w:tcW w:w="1418" w:type="dxa"/>
            <w:vAlign w:val="center"/>
          </w:tcPr>
          <w:p w:rsidR="007D02A8" w:rsidRPr="00B612E0" w:rsidRDefault="007D02A8" w:rsidP="00B612E0">
            <w:pPr>
              <w:spacing w:before="60" w:after="60" w:line="200" w:lineRule="exact"/>
              <w:jc w:val="right"/>
              <w:rPr>
                <w:noProof/>
                <w:sz w:val="16"/>
                <w:szCs w:val="16"/>
              </w:rPr>
            </w:pPr>
          </w:p>
        </w:tc>
        <w:tc>
          <w:tcPr>
            <w:tcW w:w="1417" w:type="dxa"/>
            <w:vAlign w:val="center"/>
          </w:tcPr>
          <w:p w:rsidR="007D02A8" w:rsidRPr="00B612E0" w:rsidRDefault="007D02A8" w:rsidP="00B612E0">
            <w:pPr>
              <w:spacing w:before="60" w:after="60" w:line="200" w:lineRule="exact"/>
              <w:jc w:val="right"/>
              <w:rPr>
                <w:noProof/>
                <w:sz w:val="16"/>
                <w:szCs w:val="16"/>
              </w:rPr>
            </w:pPr>
          </w:p>
        </w:tc>
        <w:tc>
          <w:tcPr>
            <w:tcW w:w="1418" w:type="dxa"/>
            <w:vAlign w:val="center"/>
          </w:tcPr>
          <w:p w:rsidR="007D02A8" w:rsidRPr="00B612E0" w:rsidRDefault="007D02A8" w:rsidP="00B612E0">
            <w:pPr>
              <w:spacing w:before="60" w:after="60" w:line="200" w:lineRule="exact"/>
              <w:jc w:val="right"/>
              <w:rPr>
                <w:b/>
                <w:noProof/>
                <w:sz w:val="16"/>
                <w:szCs w:val="16"/>
              </w:rPr>
            </w:pPr>
          </w:p>
        </w:tc>
      </w:tr>
      <w:tr w:rsidR="007D02A8" w:rsidRPr="00B612E0" w:rsidTr="00B612E0">
        <w:trPr>
          <w:trHeight w:val="585"/>
        </w:trPr>
        <w:tc>
          <w:tcPr>
            <w:tcW w:w="2705" w:type="dxa"/>
            <w:shd w:val="clear" w:color="auto" w:fill="CCCCCC"/>
            <w:vAlign w:val="center"/>
          </w:tcPr>
          <w:p w:rsidR="007D02A8" w:rsidRPr="00B612E0" w:rsidRDefault="007D02A8" w:rsidP="00B612E0">
            <w:pPr>
              <w:spacing w:before="60" w:after="60" w:line="200" w:lineRule="exact"/>
              <w:jc w:val="center"/>
              <w:rPr>
                <w:b/>
                <w:noProof/>
                <w:sz w:val="16"/>
                <w:szCs w:val="16"/>
              </w:rPr>
            </w:pPr>
            <w:r w:rsidRPr="00B612E0">
              <w:rPr>
                <w:b/>
                <w:bCs/>
                <w:noProof/>
              </w:rPr>
              <w:t xml:space="preserve">Subtotal </w:t>
            </w:r>
            <w:r w:rsidRPr="00B612E0">
              <w:rPr>
                <w:b/>
                <w:bCs/>
                <w:noProof/>
              </w:rPr>
              <w:br/>
              <w:t>fuera de la RÚBRICA 7</w:t>
            </w:r>
            <w:r w:rsidRPr="00B612E0">
              <w:rPr>
                <w:noProof/>
              </w:rPr>
              <w:t xml:space="preserve"> </w:t>
            </w:r>
            <w:r w:rsidRPr="00B612E0">
              <w:rPr>
                <w:noProof/>
              </w:rPr>
              <w:br/>
            </w:r>
            <w:r w:rsidRPr="00B612E0">
              <w:rPr>
                <w:b/>
                <w:noProof/>
                <w:sz w:val="16"/>
              </w:rPr>
              <w:t xml:space="preserve">del marco financiero plurianual </w:t>
            </w:r>
          </w:p>
        </w:tc>
        <w:tc>
          <w:tcPr>
            <w:tcW w:w="1417" w:type="dxa"/>
            <w:vAlign w:val="center"/>
          </w:tcPr>
          <w:p w:rsidR="007D02A8" w:rsidRPr="00B612E0" w:rsidRDefault="007D02A8" w:rsidP="00B612E0">
            <w:pPr>
              <w:spacing w:before="60" w:after="60" w:line="200" w:lineRule="exact"/>
              <w:jc w:val="right"/>
              <w:rPr>
                <w:noProof/>
                <w:sz w:val="16"/>
                <w:szCs w:val="16"/>
              </w:rPr>
            </w:pPr>
          </w:p>
        </w:tc>
        <w:tc>
          <w:tcPr>
            <w:tcW w:w="1418" w:type="dxa"/>
            <w:vAlign w:val="center"/>
          </w:tcPr>
          <w:p w:rsidR="007D02A8" w:rsidRPr="00B612E0" w:rsidRDefault="007D02A8" w:rsidP="00B612E0">
            <w:pPr>
              <w:spacing w:before="60" w:after="60" w:line="200" w:lineRule="exact"/>
              <w:jc w:val="right"/>
              <w:rPr>
                <w:noProof/>
                <w:sz w:val="16"/>
                <w:szCs w:val="16"/>
              </w:rPr>
            </w:pPr>
          </w:p>
        </w:tc>
        <w:tc>
          <w:tcPr>
            <w:tcW w:w="1417" w:type="dxa"/>
            <w:vAlign w:val="center"/>
          </w:tcPr>
          <w:p w:rsidR="007D02A8" w:rsidRPr="00B612E0" w:rsidRDefault="007D02A8" w:rsidP="00B612E0">
            <w:pPr>
              <w:spacing w:before="60" w:after="60" w:line="200" w:lineRule="exact"/>
              <w:jc w:val="right"/>
              <w:rPr>
                <w:noProof/>
                <w:sz w:val="16"/>
                <w:szCs w:val="16"/>
              </w:rPr>
            </w:pPr>
          </w:p>
        </w:tc>
        <w:tc>
          <w:tcPr>
            <w:tcW w:w="1418" w:type="dxa"/>
            <w:vAlign w:val="center"/>
          </w:tcPr>
          <w:p w:rsidR="007D02A8" w:rsidRPr="00B612E0" w:rsidRDefault="007D02A8" w:rsidP="00B612E0">
            <w:pPr>
              <w:spacing w:before="60" w:after="60" w:line="200" w:lineRule="exact"/>
              <w:jc w:val="right"/>
              <w:rPr>
                <w:b/>
                <w:noProof/>
                <w:sz w:val="16"/>
                <w:szCs w:val="16"/>
              </w:rPr>
            </w:pPr>
          </w:p>
        </w:tc>
      </w:tr>
    </w:tbl>
    <w:p w:rsidR="007D02A8" w:rsidRPr="00B612E0" w:rsidRDefault="007D02A8" w:rsidP="007D02A8">
      <w:pPr>
        <w:spacing w:line="200" w:lineRule="exact"/>
        <w:rPr>
          <w:noProof/>
          <w:sz w:val="16"/>
          <w:szCs w:val="16"/>
        </w:rPr>
      </w:pPr>
    </w:p>
    <w:tbl>
      <w:tblPr>
        <w:tblW w:w="8375" w:type="dxa"/>
        <w:tblInd w:w="-612" w:type="dxa"/>
        <w:tblLayout w:type="fixed"/>
        <w:tblLook w:val="01E0" w:firstRow="1" w:lastRow="1" w:firstColumn="1" w:lastColumn="1" w:noHBand="0" w:noVBand="0"/>
      </w:tblPr>
      <w:tblGrid>
        <w:gridCol w:w="2705"/>
        <w:gridCol w:w="1417"/>
        <w:gridCol w:w="1418"/>
        <w:gridCol w:w="1417"/>
        <w:gridCol w:w="1418"/>
      </w:tblGrid>
      <w:tr w:rsidR="00234966" w:rsidRPr="00B612E0" w:rsidTr="00B612E0">
        <w:trPr>
          <w:trHeight w:val="585"/>
        </w:trPr>
        <w:tc>
          <w:tcPr>
            <w:tcW w:w="2705" w:type="dxa"/>
            <w:tcBorders>
              <w:top w:val="single" w:sz="12" w:space="0" w:color="auto"/>
              <w:left w:val="single" w:sz="12" w:space="0" w:color="auto"/>
              <w:bottom w:val="single" w:sz="12" w:space="0" w:color="auto"/>
              <w:right w:val="single" w:sz="2" w:space="0" w:color="auto"/>
            </w:tcBorders>
            <w:vAlign w:val="center"/>
          </w:tcPr>
          <w:p w:rsidR="00234966" w:rsidRPr="00B612E0" w:rsidRDefault="00234966" w:rsidP="00234966">
            <w:pPr>
              <w:spacing w:before="60" w:after="60" w:line="200" w:lineRule="exact"/>
              <w:jc w:val="center"/>
              <w:rPr>
                <w:noProof/>
                <w:sz w:val="16"/>
                <w:szCs w:val="16"/>
              </w:rPr>
            </w:pPr>
            <w:r w:rsidRPr="00B612E0">
              <w:rPr>
                <w:b/>
                <w:noProof/>
                <w:sz w:val="16"/>
              </w:rPr>
              <w:t>TOTAL</w:t>
            </w:r>
          </w:p>
        </w:tc>
        <w:tc>
          <w:tcPr>
            <w:tcW w:w="1417" w:type="dxa"/>
            <w:tcBorders>
              <w:top w:val="single" w:sz="12" w:space="0" w:color="auto"/>
              <w:left w:val="single" w:sz="2" w:space="0" w:color="auto"/>
              <w:bottom w:val="single" w:sz="12" w:space="0" w:color="auto"/>
              <w:right w:val="single" w:sz="2" w:space="0" w:color="auto"/>
            </w:tcBorders>
            <w:vAlign w:val="center"/>
          </w:tcPr>
          <w:p w:rsidR="00234966" w:rsidRPr="00A722F1" w:rsidRDefault="00234966" w:rsidP="00234966">
            <w:pPr>
              <w:spacing w:before="60" w:after="60" w:line="200" w:lineRule="exact"/>
              <w:jc w:val="right"/>
              <w:rPr>
                <w:b/>
                <w:noProof/>
                <w:sz w:val="16"/>
                <w:szCs w:val="16"/>
              </w:rPr>
            </w:pPr>
            <w:r>
              <w:rPr>
                <w:b/>
                <w:noProof/>
                <w:sz w:val="20"/>
              </w:rPr>
              <w:t>1,501</w:t>
            </w:r>
          </w:p>
        </w:tc>
        <w:tc>
          <w:tcPr>
            <w:tcW w:w="1418" w:type="dxa"/>
            <w:tcBorders>
              <w:top w:val="single" w:sz="12" w:space="0" w:color="auto"/>
              <w:left w:val="single" w:sz="2" w:space="0" w:color="auto"/>
              <w:bottom w:val="single" w:sz="12" w:space="0" w:color="auto"/>
              <w:right w:val="single" w:sz="2" w:space="0" w:color="auto"/>
            </w:tcBorders>
            <w:vAlign w:val="center"/>
          </w:tcPr>
          <w:p w:rsidR="00234966" w:rsidRPr="00A722F1" w:rsidRDefault="00234966" w:rsidP="00234966">
            <w:pPr>
              <w:spacing w:before="60" w:after="60" w:line="200" w:lineRule="exact"/>
              <w:jc w:val="right"/>
              <w:rPr>
                <w:b/>
                <w:noProof/>
                <w:sz w:val="20"/>
              </w:rPr>
            </w:pPr>
            <w:r>
              <w:rPr>
                <w:b/>
                <w:noProof/>
                <w:sz w:val="20"/>
              </w:rPr>
              <w:t>1,501</w:t>
            </w:r>
          </w:p>
        </w:tc>
        <w:tc>
          <w:tcPr>
            <w:tcW w:w="1417" w:type="dxa"/>
            <w:tcBorders>
              <w:top w:val="single" w:sz="12" w:space="0" w:color="auto"/>
              <w:left w:val="single" w:sz="2" w:space="0" w:color="auto"/>
              <w:bottom w:val="single" w:sz="12" w:space="0" w:color="auto"/>
              <w:right w:val="single" w:sz="2" w:space="0" w:color="auto"/>
            </w:tcBorders>
            <w:vAlign w:val="center"/>
          </w:tcPr>
          <w:p w:rsidR="00234966" w:rsidRPr="00A722F1" w:rsidRDefault="00234966" w:rsidP="00234966">
            <w:pPr>
              <w:spacing w:before="60" w:after="60" w:line="200" w:lineRule="exact"/>
              <w:jc w:val="right"/>
              <w:rPr>
                <w:b/>
                <w:noProof/>
                <w:sz w:val="16"/>
                <w:szCs w:val="16"/>
              </w:rPr>
            </w:pPr>
          </w:p>
        </w:tc>
        <w:tc>
          <w:tcPr>
            <w:tcW w:w="1418" w:type="dxa"/>
            <w:tcBorders>
              <w:top w:val="single" w:sz="12" w:space="0" w:color="auto"/>
              <w:left w:val="single" w:sz="2" w:space="0" w:color="auto"/>
              <w:bottom w:val="single" w:sz="12" w:space="0" w:color="auto"/>
              <w:right w:val="single" w:sz="12" w:space="0" w:color="auto"/>
            </w:tcBorders>
            <w:vAlign w:val="center"/>
          </w:tcPr>
          <w:p w:rsidR="00234966" w:rsidRPr="00A722F1" w:rsidRDefault="00234966" w:rsidP="00234966">
            <w:pPr>
              <w:spacing w:before="60" w:after="60" w:line="200" w:lineRule="exact"/>
              <w:jc w:val="right"/>
              <w:rPr>
                <w:b/>
                <w:noProof/>
                <w:sz w:val="16"/>
                <w:szCs w:val="16"/>
              </w:rPr>
            </w:pPr>
            <w:r>
              <w:rPr>
                <w:b/>
                <w:noProof/>
                <w:sz w:val="20"/>
              </w:rPr>
              <w:t>3,002</w:t>
            </w:r>
          </w:p>
        </w:tc>
      </w:tr>
    </w:tbl>
    <w:p w:rsidR="007D02A8" w:rsidRPr="00B612E0" w:rsidRDefault="007D02A8" w:rsidP="007D02A8">
      <w:pPr>
        <w:rPr>
          <w:noProof/>
          <w:sz w:val="18"/>
          <w:szCs w:val="18"/>
        </w:rPr>
      </w:pPr>
      <w:r w:rsidRPr="00B612E0">
        <w:rPr>
          <w:noProof/>
          <w:sz w:val="18"/>
          <w:szCs w:val="18"/>
        </w:rPr>
        <w:t>Los créditos necesarios para recursos humanos y otros gastos de carácter administrativo se cubrirán con créditos de las DG ya asignados a la gestión de la acción o reasignados dentro de las DG, que se complementarán en caso necesario con cualquier dotación adicional que pudiera asignarse a las DG gestora</w:t>
      </w:r>
      <w:r w:rsidR="00234966">
        <w:rPr>
          <w:noProof/>
          <w:sz w:val="18"/>
          <w:szCs w:val="18"/>
        </w:rPr>
        <w:t>s</w:t>
      </w:r>
      <w:r w:rsidRPr="00B612E0">
        <w:rPr>
          <w:noProof/>
          <w:sz w:val="18"/>
          <w:szCs w:val="18"/>
        </w:rPr>
        <w:t xml:space="preserve"> en el marco del procedimiento de asignación anual y a la luz de las restricciones presupuestarias.</w:t>
      </w:r>
    </w:p>
    <w:p w:rsidR="007D02A8" w:rsidRPr="00B612E0" w:rsidRDefault="007D02A8" w:rsidP="007D02A8">
      <w:pPr>
        <w:pStyle w:val="ListDash1"/>
        <w:rPr>
          <w:noProof/>
        </w:rPr>
        <w:sectPr w:rsidR="007D02A8" w:rsidRPr="00B612E0" w:rsidSect="00FF77AA">
          <w:headerReference w:type="default" r:id="rId16"/>
          <w:footerReference w:type="default" r:id="rId17"/>
          <w:headerReference w:type="first" r:id="rId18"/>
          <w:footerReference w:type="first" r:id="rId19"/>
          <w:pgSz w:w="11907" w:h="16840"/>
          <w:pgMar w:top="1134" w:right="1418" w:bottom="1134" w:left="1418" w:header="709" w:footer="709" w:gutter="0"/>
          <w:cols w:space="708"/>
          <w:docGrid w:linePitch="360"/>
        </w:sectPr>
      </w:pPr>
    </w:p>
    <w:p w:rsidR="007D02A8" w:rsidRPr="00B612E0" w:rsidRDefault="007D02A8" w:rsidP="007D02A8">
      <w:pPr>
        <w:pStyle w:val="ManualHeading4"/>
        <w:rPr>
          <w:bCs/>
          <w:noProof/>
          <w:szCs w:val="24"/>
        </w:rPr>
      </w:pPr>
      <w:r w:rsidRPr="00B612E0">
        <w:rPr>
          <w:noProof/>
        </w:rPr>
        <w:t>3.2.3.1.</w:t>
      </w:r>
      <w:r w:rsidRPr="00B612E0">
        <w:rPr>
          <w:noProof/>
        </w:rPr>
        <w:tab/>
        <w:t xml:space="preserve">Necesidades estimadas en recursos humanos </w:t>
      </w:r>
    </w:p>
    <w:p w:rsidR="007D02A8" w:rsidRPr="00B612E0" w:rsidRDefault="007D02A8" w:rsidP="007D02A8">
      <w:pPr>
        <w:pStyle w:val="ListDash1"/>
        <w:rPr>
          <w:noProof/>
        </w:rPr>
      </w:pPr>
      <w:r w:rsidRPr="00B612E0">
        <w:rPr>
          <w:noProof/>
        </w:rPr>
        <w:sym w:font="Wingdings" w:char="F0A8"/>
      </w:r>
      <w:r w:rsidRPr="00B612E0">
        <w:rPr>
          <w:noProof/>
        </w:rPr>
        <w:t xml:space="preserve"> La propuesta/iniciativa no exige la utilización de recursos humanos. </w:t>
      </w:r>
    </w:p>
    <w:p w:rsidR="007D02A8" w:rsidRPr="00B612E0" w:rsidRDefault="007D02A8" w:rsidP="007D02A8">
      <w:pPr>
        <w:pStyle w:val="ListDash1"/>
        <w:rPr>
          <w:noProof/>
        </w:rPr>
      </w:pPr>
      <w:r w:rsidRPr="00B612E0">
        <w:rPr>
          <w:noProof/>
        </w:rPr>
        <w:sym w:font="Wingdings" w:char="F06E"/>
      </w:r>
      <w:r w:rsidRPr="00B612E0">
        <w:rPr>
          <w:noProof/>
        </w:rPr>
        <w:t xml:space="preserve"> La propuesta/iniciativa exige la utilización de recursos humanos, tal como se explica a continuación:</w:t>
      </w:r>
    </w:p>
    <w:p w:rsidR="007D02A8" w:rsidRPr="00B612E0" w:rsidRDefault="007D02A8" w:rsidP="007D02A8">
      <w:pPr>
        <w:spacing w:after="60"/>
        <w:jc w:val="right"/>
        <w:rPr>
          <w:i/>
          <w:noProof/>
          <w:sz w:val="20"/>
        </w:rPr>
      </w:pPr>
      <w:r w:rsidRPr="00B612E0">
        <w:rPr>
          <w:i/>
          <w:noProof/>
          <w:sz w:val="20"/>
        </w:rPr>
        <w:t>Estimación que</w:t>
      </w:r>
      <w:r w:rsidR="009944B4">
        <w:rPr>
          <w:i/>
          <w:noProof/>
          <w:sz w:val="20"/>
        </w:rPr>
        <w:t xml:space="preserve"> debe expresarse en equivalentes</w:t>
      </w:r>
      <w:r w:rsidRPr="00B612E0">
        <w:rPr>
          <w:i/>
          <w:noProof/>
          <w:sz w:val="20"/>
        </w:rPr>
        <w:t xml:space="preserve"> a </w:t>
      </w:r>
      <w:r w:rsidR="00F66525">
        <w:rPr>
          <w:i/>
          <w:noProof/>
          <w:sz w:val="20"/>
        </w:rPr>
        <w:t>jornada completa (EJC)</w:t>
      </w:r>
    </w:p>
    <w:tbl>
      <w:tblPr>
        <w:tblW w:w="988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
        <w:gridCol w:w="2376"/>
        <w:gridCol w:w="2270"/>
        <w:gridCol w:w="839"/>
        <w:gridCol w:w="731"/>
        <w:gridCol w:w="731"/>
        <w:gridCol w:w="731"/>
        <w:gridCol w:w="731"/>
        <w:gridCol w:w="731"/>
        <w:gridCol w:w="731"/>
      </w:tblGrid>
      <w:tr w:rsidR="007D02A8" w:rsidRPr="00B612E0" w:rsidTr="00B612E0">
        <w:trPr>
          <w:gridBefore w:val="1"/>
          <w:wBefore w:w="15" w:type="dxa"/>
          <w:trHeight w:val="289"/>
          <w:jc w:val="center"/>
        </w:trPr>
        <w:tc>
          <w:tcPr>
            <w:tcW w:w="4646" w:type="dxa"/>
            <w:gridSpan w:val="2"/>
            <w:shd w:val="clear" w:color="auto" w:fill="auto"/>
          </w:tcPr>
          <w:p w:rsidR="007D02A8" w:rsidRPr="00B612E0" w:rsidRDefault="007D02A8" w:rsidP="00B612E0">
            <w:pPr>
              <w:pStyle w:val="Text1"/>
              <w:spacing w:before="40" w:after="40"/>
              <w:ind w:left="0"/>
              <w:jc w:val="center"/>
              <w:rPr>
                <w:i/>
                <w:noProof/>
                <w:sz w:val="16"/>
                <w:szCs w:val="16"/>
              </w:rPr>
            </w:pPr>
          </w:p>
        </w:tc>
        <w:tc>
          <w:tcPr>
            <w:tcW w:w="839" w:type="dxa"/>
            <w:shd w:val="clear" w:color="auto" w:fill="auto"/>
            <w:vAlign w:val="center"/>
          </w:tcPr>
          <w:p w:rsidR="007D02A8" w:rsidRPr="00B612E0" w:rsidRDefault="007D02A8" w:rsidP="00B612E0">
            <w:pPr>
              <w:spacing w:before="20" w:after="20"/>
              <w:jc w:val="center"/>
              <w:rPr>
                <w:noProof/>
                <w:sz w:val="16"/>
                <w:szCs w:val="16"/>
              </w:rPr>
            </w:pPr>
            <w:r w:rsidRPr="00B612E0">
              <w:rPr>
                <w:noProof/>
                <w:sz w:val="20"/>
              </w:rPr>
              <w:t>Año</w:t>
            </w:r>
            <w:r w:rsidRPr="00B612E0">
              <w:rPr>
                <w:noProof/>
              </w:rPr>
              <w:t xml:space="preserve"> </w:t>
            </w:r>
            <w:r w:rsidRPr="00B612E0">
              <w:rPr>
                <w:noProof/>
              </w:rPr>
              <w:br/>
            </w:r>
            <w:r w:rsidRPr="00B612E0">
              <w:rPr>
                <w:b/>
                <w:noProof/>
                <w:sz w:val="20"/>
              </w:rPr>
              <w:t>2022</w:t>
            </w:r>
          </w:p>
        </w:tc>
        <w:tc>
          <w:tcPr>
            <w:tcW w:w="731" w:type="dxa"/>
            <w:shd w:val="clear" w:color="auto" w:fill="auto"/>
            <w:vAlign w:val="center"/>
          </w:tcPr>
          <w:p w:rsidR="007D02A8" w:rsidRPr="00B612E0" w:rsidRDefault="007D02A8" w:rsidP="00B612E0">
            <w:pPr>
              <w:spacing w:before="20" w:after="20"/>
              <w:jc w:val="center"/>
              <w:rPr>
                <w:noProof/>
                <w:sz w:val="16"/>
                <w:szCs w:val="16"/>
              </w:rPr>
            </w:pPr>
            <w:r w:rsidRPr="00B612E0">
              <w:rPr>
                <w:noProof/>
                <w:sz w:val="20"/>
              </w:rPr>
              <w:t>Año</w:t>
            </w:r>
            <w:r w:rsidRPr="00B612E0">
              <w:rPr>
                <w:noProof/>
              </w:rPr>
              <w:t xml:space="preserve"> </w:t>
            </w:r>
            <w:r w:rsidRPr="00B612E0">
              <w:rPr>
                <w:noProof/>
              </w:rPr>
              <w:br/>
            </w:r>
            <w:r w:rsidRPr="00B612E0">
              <w:rPr>
                <w:b/>
                <w:noProof/>
                <w:sz w:val="20"/>
              </w:rPr>
              <w:t>2023</w:t>
            </w:r>
          </w:p>
        </w:tc>
        <w:tc>
          <w:tcPr>
            <w:tcW w:w="731" w:type="dxa"/>
            <w:shd w:val="clear" w:color="auto" w:fill="auto"/>
            <w:vAlign w:val="center"/>
          </w:tcPr>
          <w:p w:rsidR="007D02A8" w:rsidRPr="00B612E0" w:rsidRDefault="007D02A8" w:rsidP="00B612E0">
            <w:pPr>
              <w:spacing w:before="20" w:after="20"/>
              <w:jc w:val="center"/>
              <w:rPr>
                <w:noProof/>
                <w:sz w:val="16"/>
                <w:szCs w:val="16"/>
              </w:rPr>
            </w:pPr>
            <w:r w:rsidRPr="00B612E0">
              <w:rPr>
                <w:noProof/>
                <w:sz w:val="20"/>
              </w:rPr>
              <w:t>Año</w:t>
            </w:r>
            <w:r w:rsidRPr="00B612E0">
              <w:rPr>
                <w:noProof/>
              </w:rPr>
              <w:t xml:space="preserve"> </w:t>
            </w:r>
            <w:r w:rsidRPr="00B612E0">
              <w:rPr>
                <w:noProof/>
              </w:rPr>
              <w:br/>
            </w:r>
            <w:r w:rsidRPr="00B612E0">
              <w:rPr>
                <w:b/>
                <w:noProof/>
                <w:sz w:val="20"/>
              </w:rPr>
              <w:t>2024</w:t>
            </w:r>
          </w:p>
        </w:tc>
        <w:tc>
          <w:tcPr>
            <w:tcW w:w="731" w:type="dxa"/>
            <w:shd w:val="clear" w:color="auto" w:fill="auto"/>
            <w:vAlign w:val="center"/>
          </w:tcPr>
          <w:p w:rsidR="007D02A8" w:rsidRPr="00B612E0" w:rsidRDefault="007D02A8" w:rsidP="00B612E0">
            <w:pPr>
              <w:spacing w:before="20" w:after="20"/>
              <w:jc w:val="center"/>
              <w:rPr>
                <w:noProof/>
                <w:sz w:val="16"/>
                <w:szCs w:val="16"/>
              </w:rPr>
            </w:pPr>
            <w:r w:rsidRPr="00B612E0">
              <w:rPr>
                <w:noProof/>
                <w:sz w:val="20"/>
              </w:rPr>
              <w:t>Año</w:t>
            </w:r>
            <w:r w:rsidRPr="00B612E0">
              <w:rPr>
                <w:noProof/>
              </w:rPr>
              <w:t xml:space="preserve"> </w:t>
            </w:r>
            <w:r w:rsidRPr="00B612E0">
              <w:rPr>
                <w:noProof/>
              </w:rPr>
              <w:br/>
            </w:r>
            <w:r w:rsidRPr="00B612E0">
              <w:rPr>
                <w:b/>
                <w:noProof/>
                <w:sz w:val="20"/>
              </w:rPr>
              <w:t>2025</w:t>
            </w:r>
          </w:p>
        </w:tc>
        <w:tc>
          <w:tcPr>
            <w:tcW w:w="2193" w:type="dxa"/>
            <w:gridSpan w:val="3"/>
            <w:shd w:val="clear" w:color="auto" w:fill="auto"/>
            <w:vAlign w:val="center"/>
          </w:tcPr>
          <w:p w:rsidR="007D02A8" w:rsidRPr="00B612E0" w:rsidRDefault="007D02A8" w:rsidP="00B612E0">
            <w:pPr>
              <w:jc w:val="center"/>
              <w:rPr>
                <w:b/>
                <w:noProof/>
                <w:sz w:val="16"/>
                <w:szCs w:val="16"/>
              </w:rPr>
            </w:pPr>
            <w:r w:rsidRPr="00B612E0">
              <w:rPr>
                <w:noProof/>
                <w:sz w:val="16"/>
              </w:rPr>
              <w:t>Insértense tantos años como sea necesario para reflejar la duración de la incidencia (véase el punto 1.6)</w:t>
            </w:r>
          </w:p>
        </w:tc>
      </w:tr>
      <w:tr w:rsidR="007D02A8" w:rsidRPr="00A716B4" w:rsidTr="00B612E0">
        <w:trPr>
          <w:gridBefore w:val="1"/>
          <w:wBefore w:w="15" w:type="dxa"/>
          <w:trHeight w:val="289"/>
          <w:jc w:val="center"/>
        </w:trPr>
        <w:tc>
          <w:tcPr>
            <w:tcW w:w="9871" w:type="dxa"/>
            <w:gridSpan w:val="9"/>
            <w:shd w:val="clear" w:color="auto" w:fill="auto"/>
          </w:tcPr>
          <w:p w:rsidR="007D02A8" w:rsidRPr="00A716B4" w:rsidRDefault="007D02A8" w:rsidP="00B612E0">
            <w:pPr>
              <w:jc w:val="left"/>
              <w:rPr>
                <w:noProof/>
                <w:sz w:val="16"/>
                <w:szCs w:val="16"/>
              </w:rPr>
            </w:pPr>
            <w:r w:rsidRPr="00A716B4">
              <w:rPr>
                <w:b/>
                <w:noProof/>
                <w:sz w:val="16"/>
                <w:szCs w:val="16"/>
              </w:rPr>
              <w:sym w:font="Wingdings" w:char="F09F"/>
            </w:r>
            <w:r w:rsidRPr="00A716B4">
              <w:rPr>
                <w:noProof/>
                <w:sz w:val="16"/>
                <w:szCs w:val="16"/>
              </w:rPr>
              <w:t xml:space="preserve"> </w:t>
            </w:r>
            <w:r w:rsidRPr="00A716B4">
              <w:rPr>
                <w:b/>
                <w:bCs/>
                <w:noProof/>
                <w:sz w:val="16"/>
                <w:szCs w:val="16"/>
              </w:rPr>
              <w:t>Empleos de plantilla (funcionarios y personal temporal)</w:t>
            </w:r>
          </w:p>
        </w:tc>
      </w:tr>
      <w:tr w:rsidR="007D02A8" w:rsidRPr="00B612E0" w:rsidTr="00B612E0">
        <w:trPr>
          <w:gridBefore w:val="1"/>
          <w:wBefore w:w="15" w:type="dxa"/>
          <w:trHeight w:val="289"/>
          <w:jc w:val="center"/>
        </w:trPr>
        <w:tc>
          <w:tcPr>
            <w:tcW w:w="4646" w:type="dxa"/>
            <w:gridSpan w:val="2"/>
            <w:shd w:val="clear" w:color="auto" w:fill="auto"/>
            <w:vAlign w:val="center"/>
          </w:tcPr>
          <w:p w:rsidR="007D02A8" w:rsidRPr="00A716B4" w:rsidRDefault="007D02A8" w:rsidP="00B612E0">
            <w:pPr>
              <w:pStyle w:val="Text1"/>
              <w:spacing w:beforeLines="20" w:before="48" w:afterLines="20" w:after="48"/>
              <w:ind w:left="134"/>
              <w:jc w:val="left"/>
              <w:rPr>
                <w:b/>
                <w:noProof/>
                <w:sz w:val="16"/>
                <w:szCs w:val="16"/>
              </w:rPr>
            </w:pPr>
            <w:r w:rsidRPr="00A716B4">
              <w:rPr>
                <w:noProof/>
                <w:sz w:val="16"/>
                <w:szCs w:val="16"/>
              </w:rPr>
              <w:t>20 01 02 01 (Sede y Oficinas de Representación de la Comisión)</w:t>
            </w:r>
          </w:p>
        </w:tc>
        <w:tc>
          <w:tcPr>
            <w:tcW w:w="839" w:type="dxa"/>
            <w:shd w:val="clear" w:color="auto" w:fill="auto"/>
            <w:vAlign w:val="center"/>
          </w:tcPr>
          <w:p w:rsidR="007D02A8" w:rsidRPr="00B612E0" w:rsidRDefault="007D02A8" w:rsidP="00B612E0">
            <w:pPr>
              <w:spacing w:beforeLines="20" w:before="48" w:afterLines="20" w:after="48"/>
              <w:jc w:val="center"/>
              <w:rPr>
                <w:noProof/>
                <w:sz w:val="16"/>
                <w:szCs w:val="16"/>
              </w:rPr>
            </w:pPr>
            <w:r w:rsidRPr="00B612E0">
              <w:rPr>
                <w:noProof/>
                <w:sz w:val="16"/>
                <w:szCs w:val="16"/>
              </w:rPr>
              <w:t>9</w:t>
            </w:r>
          </w:p>
        </w:tc>
        <w:tc>
          <w:tcPr>
            <w:tcW w:w="731" w:type="dxa"/>
            <w:shd w:val="clear" w:color="auto" w:fill="auto"/>
            <w:vAlign w:val="center"/>
          </w:tcPr>
          <w:p w:rsidR="007D02A8" w:rsidRPr="00B612E0" w:rsidRDefault="007D02A8" w:rsidP="00B612E0">
            <w:pPr>
              <w:spacing w:beforeLines="20" w:before="48" w:afterLines="20" w:after="48"/>
              <w:jc w:val="center"/>
              <w:rPr>
                <w:noProof/>
                <w:sz w:val="16"/>
                <w:szCs w:val="16"/>
              </w:rPr>
            </w:pPr>
            <w:r w:rsidRPr="00B612E0">
              <w:rPr>
                <w:noProof/>
                <w:sz w:val="16"/>
                <w:szCs w:val="16"/>
              </w:rPr>
              <w:t>9</w:t>
            </w:r>
          </w:p>
        </w:tc>
        <w:tc>
          <w:tcPr>
            <w:tcW w:w="731" w:type="dxa"/>
            <w:shd w:val="clear" w:color="auto" w:fill="auto"/>
            <w:vAlign w:val="center"/>
          </w:tcPr>
          <w:p w:rsidR="007D02A8" w:rsidRPr="00B612E0" w:rsidRDefault="007D02A8" w:rsidP="00B612E0">
            <w:pPr>
              <w:spacing w:beforeLines="20" w:before="48" w:afterLines="20" w:after="48"/>
              <w:jc w:val="center"/>
              <w:rPr>
                <w:noProof/>
                <w:sz w:val="16"/>
                <w:szCs w:val="16"/>
              </w:rPr>
            </w:pPr>
          </w:p>
        </w:tc>
        <w:tc>
          <w:tcPr>
            <w:tcW w:w="731" w:type="dxa"/>
            <w:shd w:val="clear" w:color="auto" w:fill="auto"/>
            <w:vAlign w:val="center"/>
          </w:tcPr>
          <w:p w:rsidR="007D02A8" w:rsidRPr="00B612E0" w:rsidRDefault="007D02A8" w:rsidP="00B612E0">
            <w:pPr>
              <w:spacing w:beforeLines="20" w:before="48" w:afterLines="20" w:after="48"/>
              <w:jc w:val="center"/>
              <w:rPr>
                <w:noProof/>
                <w:sz w:val="16"/>
                <w:szCs w:val="16"/>
              </w:rPr>
            </w:pPr>
          </w:p>
        </w:tc>
        <w:tc>
          <w:tcPr>
            <w:tcW w:w="731" w:type="dxa"/>
            <w:shd w:val="clear" w:color="auto" w:fill="auto"/>
            <w:vAlign w:val="center"/>
          </w:tcPr>
          <w:p w:rsidR="007D02A8" w:rsidRPr="00B612E0" w:rsidRDefault="007D02A8" w:rsidP="00B612E0">
            <w:pPr>
              <w:spacing w:beforeLines="20" w:before="48" w:afterLines="20" w:after="48"/>
              <w:jc w:val="center"/>
              <w:rPr>
                <w:noProof/>
                <w:sz w:val="16"/>
                <w:szCs w:val="16"/>
              </w:rPr>
            </w:pPr>
          </w:p>
        </w:tc>
        <w:tc>
          <w:tcPr>
            <w:tcW w:w="731" w:type="dxa"/>
            <w:shd w:val="clear" w:color="auto" w:fill="auto"/>
            <w:vAlign w:val="center"/>
          </w:tcPr>
          <w:p w:rsidR="007D02A8" w:rsidRPr="00B612E0" w:rsidRDefault="007D02A8" w:rsidP="00B612E0">
            <w:pPr>
              <w:spacing w:beforeLines="20" w:before="48" w:afterLines="20" w:after="48"/>
              <w:jc w:val="center"/>
              <w:rPr>
                <w:noProof/>
                <w:sz w:val="16"/>
                <w:szCs w:val="16"/>
              </w:rPr>
            </w:pPr>
          </w:p>
        </w:tc>
        <w:tc>
          <w:tcPr>
            <w:tcW w:w="731" w:type="dxa"/>
            <w:shd w:val="clear" w:color="auto" w:fill="auto"/>
            <w:vAlign w:val="center"/>
          </w:tcPr>
          <w:p w:rsidR="007D02A8" w:rsidRPr="00B612E0" w:rsidRDefault="007D02A8" w:rsidP="00B612E0">
            <w:pPr>
              <w:spacing w:beforeLines="20" w:before="48" w:afterLines="20" w:after="48"/>
              <w:jc w:val="center"/>
              <w:rPr>
                <w:noProof/>
                <w:sz w:val="16"/>
                <w:szCs w:val="16"/>
              </w:rPr>
            </w:pPr>
          </w:p>
        </w:tc>
      </w:tr>
      <w:tr w:rsidR="007D02A8" w:rsidRPr="00B612E0" w:rsidTr="00B612E0">
        <w:trPr>
          <w:gridBefore w:val="1"/>
          <w:wBefore w:w="15" w:type="dxa"/>
          <w:trHeight w:val="289"/>
          <w:jc w:val="center"/>
        </w:trPr>
        <w:tc>
          <w:tcPr>
            <w:tcW w:w="4646" w:type="dxa"/>
            <w:gridSpan w:val="2"/>
            <w:shd w:val="clear" w:color="auto" w:fill="auto"/>
            <w:vAlign w:val="center"/>
          </w:tcPr>
          <w:p w:rsidR="007D02A8" w:rsidRPr="00A716B4" w:rsidRDefault="007D02A8" w:rsidP="00B612E0">
            <w:pPr>
              <w:pStyle w:val="Text1"/>
              <w:spacing w:beforeLines="20" w:before="48" w:afterLines="20" w:after="48"/>
              <w:ind w:left="134"/>
              <w:jc w:val="left"/>
              <w:rPr>
                <w:noProof/>
                <w:sz w:val="16"/>
                <w:szCs w:val="16"/>
              </w:rPr>
            </w:pPr>
            <w:r w:rsidRPr="00A716B4">
              <w:rPr>
                <w:noProof/>
                <w:sz w:val="16"/>
                <w:szCs w:val="16"/>
              </w:rPr>
              <w:t>20 01 02 03 (Delegaciones)</w:t>
            </w:r>
          </w:p>
        </w:tc>
        <w:tc>
          <w:tcPr>
            <w:tcW w:w="839" w:type="dxa"/>
            <w:shd w:val="clear" w:color="auto" w:fill="auto"/>
            <w:vAlign w:val="center"/>
          </w:tcPr>
          <w:p w:rsidR="007D02A8" w:rsidRPr="00B612E0" w:rsidRDefault="007D02A8" w:rsidP="00B612E0">
            <w:pPr>
              <w:spacing w:beforeLines="20" w:before="48" w:afterLines="20" w:after="48"/>
              <w:jc w:val="center"/>
              <w:rPr>
                <w:noProof/>
                <w:sz w:val="16"/>
                <w:szCs w:val="16"/>
              </w:rPr>
            </w:pPr>
          </w:p>
        </w:tc>
        <w:tc>
          <w:tcPr>
            <w:tcW w:w="731" w:type="dxa"/>
            <w:shd w:val="clear" w:color="auto" w:fill="auto"/>
            <w:vAlign w:val="center"/>
          </w:tcPr>
          <w:p w:rsidR="007D02A8" w:rsidRPr="00B612E0" w:rsidRDefault="007D02A8" w:rsidP="00B612E0">
            <w:pPr>
              <w:spacing w:beforeLines="20" w:before="48" w:afterLines="20" w:after="48"/>
              <w:jc w:val="center"/>
              <w:rPr>
                <w:noProof/>
                <w:sz w:val="16"/>
                <w:szCs w:val="16"/>
              </w:rPr>
            </w:pPr>
          </w:p>
        </w:tc>
        <w:tc>
          <w:tcPr>
            <w:tcW w:w="731" w:type="dxa"/>
            <w:shd w:val="clear" w:color="auto" w:fill="auto"/>
            <w:vAlign w:val="center"/>
          </w:tcPr>
          <w:p w:rsidR="007D02A8" w:rsidRPr="00B612E0" w:rsidRDefault="007D02A8" w:rsidP="00B612E0">
            <w:pPr>
              <w:spacing w:beforeLines="20" w:before="48" w:afterLines="20" w:after="48"/>
              <w:jc w:val="center"/>
              <w:rPr>
                <w:noProof/>
                <w:sz w:val="16"/>
                <w:szCs w:val="16"/>
              </w:rPr>
            </w:pPr>
          </w:p>
        </w:tc>
        <w:tc>
          <w:tcPr>
            <w:tcW w:w="731" w:type="dxa"/>
            <w:shd w:val="clear" w:color="auto" w:fill="auto"/>
            <w:vAlign w:val="center"/>
          </w:tcPr>
          <w:p w:rsidR="007D02A8" w:rsidRPr="00B612E0" w:rsidRDefault="007D02A8" w:rsidP="00B612E0">
            <w:pPr>
              <w:spacing w:beforeLines="20" w:before="48" w:afterLines="20" w:after="48"/>
              <w:jc w:val="center"/>
              <w:rPr>
                <w:noProof/>
                <w:sz w:val="16"/>
                <w:szCs w:val="16"/>
              </w:rPr>
            </w:pPr>
          </w:p>
        </w:tc>
        <w:tc>
          <w:tcPr>
            <w:tcW w:w="731" w:type="dxa"/>
            <w:shd w:val="clear" w:color="auto" w:fill="auto"/>
            <w:vAlign w:val="center"/>
          </w:tcPr>
          <w:p w:rsidR="007D02A8" w:rsidRPr="00B612E0" w:rsidRDefault="007D02A8" w:rsidP="00B612E0">
            <w:pPr>
              <w:spacing w:beforeLines="20" w:before="48" w:afterLines="20" w:after="48"/>
              <w:jc w:val="center"/>
              <w:rPr>
                <w:noProof/>
                <w:sz w:val="16"/>
                <w:szCs w:val="16"/>
              </w:rPr>
            </w:pPr>
          </w:p>
        </w:tc>
        <w:tc>
          <w:tcPr>
            <w:tcW w:w="731" w:type="dxa"/>
            <w:shd w:val="clear" w:color="auto" w:fill="auto"/>
            <w:vAlign w:val="center"/>
          </w:tcPr>
          <w:p w:rsidR="007D02A8" w:rsidRPr="00B612E0" w:rsidRDefault="007D02A8" w:rsidP="00B612E0">
            <w:pPr>
              <w:spacing w:beforeLines="20" w:before="48" w:afterLines="20" w:after="48"/>
              <w:jc w:val="center"/>
              <w:rPr>
                <w:noProof/>
                <w:sz w:val="16"/>
                <w:szCs w:val="16"/>
              </w:rPr>
            </w:pPr>
          </w:p>
        </w:tc>
        <w:tc>
          <w:tcPr>
            <w:tcW w:w="731" w:type="dxa"/>
            <w:shd w:val="clear" w:color="auto" w:fill="auto"/>
            <w:vAlign w:val="center"/>
          </w:tcPr>
          <w:p w:rsidR="007D02A8" w:rsidRPr="00B612E0" w:rsidRDefault="007D02A8" w:rsidP="00B612E0">
            <w:pPr>
              <w:spacing w:beforeLines="20" w:before="48" w:afterLines="20" w:after="48"/>
              <w:jc w:val="center"/>
              <w:rPr>
                <w:noProof/>
                <w:sz w:val="16"/>
                <w:szCs w:val="16"/>
              </w:rPr>
            </w:pPr>
          </w:p>
        </w:tc>
      </w:tr>
      <w:tr w:rsidR="007D02A8" w:rsidRPr="00B612E0" w:rsidTr="00B612E0">
        <w:trPr>
          <w:gridBefore w:val="1"/>
          <w:wBefore w:w="15" w:type="dxa"/>
          <w:trHeight w:val="289"/>
          <w:jc w:val="center"/>
        </w:trPr>
        <w:tc>
          <w:tcPr>
            <w:tcW w:w="4646" w:type="dxa"/>
            <w:gridSpan w:val="2"/>
            <w:shd w:val="clear" w:color="auto" w:fill="auto"/>
            <w:vAlign w:val="center"/>
          </w:tcPr>
          <w:p w:rsidR="007D02A8" w:rsidRPr="00A716B4" w:rsidRDefault="007D02A8" w:rsidP="00B612E0">
            <w:pPr>
              <w:pStyle w:val="Text1"/>
              <w:spacing w:beforeLines="20" w:before="48" w:afterLines="20" w:after="48"/>
              <w:ind w:left="134"/>
              <w:jc w:val="left"/>
              <w:rPr>
                <w:noProof/>
                <w:sz w:val="16"/>
                <w:szCs w:val="16"/>
              </w:rPr>
            </w:pPr>
            <w:r w:rsidRPr="00A716B4">
              <w:rPr>
                <w:noProof/>
                <w:sz w:val="16"/>
                <w:szCs w:val="16"/>
              </w:rPr>
              <w:t>01 01 01 01 (Investigación indirecta)</w:t>
            </w:r>
          </w:p>
        </w:tc>
        <w:tc>
          <w:tcPr>
            <w:tcW w:w="839" w:type="dxa"/>
            <w:shd w:val="clear" w:color="auto" w:fill="auto"/>
            <w:vAlign w:val="center"/>
          </w:tcPr>
          <w:p w:rsidR="007D02A8" w:rsidRPr="00B612E0" w:rsidRDefault="007D02A8" w:rsidP="00B612E0">
            <w:pPr>
              <w:spacing w:beforeLines="20" w:before="48" w:afterLines="20" w:after="48"/>
              <w:jc w:val="center"/>
              <w:rPr>
                <w:noProof/>
                <w:sz w:val="16"/>
                <w:szCs w:val="16"/>
              </w:rPr>
            </w:pPr>
          </w:p>
        </w:tc>
        <w:tc>
          <w:tcPr>
            <w:tcW w:w="731" w:type="dxa"/>
            <w:shd w:val="clear" w:color="auto" w:fill="auto"/>
            <w:vAlign w:val="center"/>
          </w:tcPr>
          <w:p w:rsidR="007D02A8" w:rsidRPr="00B612E0" w:rsidRDefault="007D02A8" w:rsidP="00B612E0">
            <w:pPr>
              <w:spacing w:beforeLines="20" w:before="48" w:afterLines="20" w:after="48"/>
              <w:jc w:val="center"/>
              <w:rPr>
                <w:noProof/>
                <w:sz w:val="16"/>
                <w:szCs w:val="16"/>
              </w:rPr>
            </w:pPr>
          </w:p>
        </w:tc>
        <w:tc>
          <w:tcPr>
            <w:tcW w:w="731" w:type="dxa"/>
            <w:shd w:val="clear" w:color="auto" w:fill="auto"/>
            <w:vAlign w:val="center"/>
          </w:tcPr>
          <w:p w:rsidR="007D02A8" w:rsidRPr="00B612E0" w:rsidRDefault="007D02A8" w:rsidP="00B612E0">
            <w:pPr>
              <w:spacing w:beforeLines="20" w:before="48" w:afterLines="20" w:after="48"/>
              <w:jc w:val="center"/>
              <w:rPr>
                <w:noProof/>
                <w:sz w:val="16"/>
                <w:szCs w:val="16"/>
              </w:rPr>
            </w:pPr>
          </w:p>
        </w:tc>
        <w:tc>
          <w:tcPr>
            <w:tcW w:w="731" w:type="dxa"/>
            <w:shd w:val="clear" w:color="auto" w:fill="auto"/>
            <w:vAlign w:val="center"/>
          </w:tcPr>
          <w:p w:rsidR="007D02A8" w:rsidRPr="00B612E0" w:rsidRDefault="007D02A8" w:rsidP="00B612E0">
            <w:pPr>
              <w:spacing w:beforeLines="20" w:before="48" w:afterLines="20" w:after="48"/>
              <w:jc w:val="center"/>
              <w:rPr>
                <w:noProof/>
                <w:sz w:val="16"/>
                <w:szCs w:val="16"/>
              </w:rPr>
            </w:pPr>
          </w:p>
        </w:tc>
        <w:tc>
          <w:tcPr>
            <w:tcW w:w="731" w:type="dxa"/>
            <w:shd w:val="clear" w:color="auto" w:fill="auto"/>
            <w:vAlign w:val="center"/>
          </w:tcPr>
          <w:p w:rsidR="007D02A8" w:rsidRPr="00B612E0" w:rsidRDefault="007D02A8" w:rsidP="00B612E0">
            <w:pPr>
              <w:spacing w:beforeLines="20" w:before="48" w:afterLines="20" w:after="48"/>
              <w:jc w:val="center"/>
              <w:rPr>
                <w:noProof/>
                <w:sz w:val="16"/>
                <w:szCs w:val="16"/>
              </w:rPr>
            </w:pPr>
          </w:p>
        </w:tc>
        <w:tc>
          <w:tcPr>
            <w:tcW w:w="731" w:type="dxa"/>
            <w:shd w:val="clear" w:color="auto" w:fill="auto"/>
            <w:vAlign w:val="center"/>
          </w:tcPr>
          <w:p w:rsidR="007D02A8" w:rsidRPr="00B612E0" w:rsidRDefault="007D02A8" w:rsidP="00B612E0">
            <w:pPr>
              <w:spacing w:beforeLines="20" w:before="48" w:afterLines="20" w:after="48"/>
              <w:jc w:val="center"/>
              <w:rPr>
                <w:noProof/>
                <w:sz w:val="16"/>
                <w:szCs w:val="16"/>
              </w:rPr>
            </w:pPr>
          </w:p>
        </w:tc>
        <w:tc>
          <w:tcPr>
            <w:tcW w:w="731" w:type="dxa"/>
            <w:shd w:val="clear" w:color="auto" w:fill="auto"/>
            <w:vAlign w:val="center"/>
          </w:tcPr>
          <w:p w:rsidR="007D02A8" w:rsidRPr="00B612E0" w:rsidRDefault="007D02A8" w:rsidP="00B612E0">
            <w:pPr>
              <w:spacing w:beforeLines="20" w:before="48" w:afterLines="20" w:after="48"/>
              <w:jc w:val="center"/>
              <w:rPr>
                <w:noProof/>
                <w:sz w:val="16"/>
                <w:szCs w:val="16"/>
              </w:rPr>
            </w:pPr>
          </w:p>
        </w:tc>
      </w:tr>
      <w:tr w:rsidR="007D02A8" w:rsidRPr="00B612E0" w:rsidTr="00B612E0">
        <w:trPr>
          <w:gridBefore w:val="1"/>
          <w:wBefore w:w="15" w:type="dxa"/>
          <w:trHeight w:val="289"/>
          <w:jc w:val="center"/>
        </w:trPr>
        <w:tc>
          <w:tcPr>
            <w:tcW w:w="4646" w:type="dxa"/>
            <w:gridSpan w:val="2"/>
            <w:shd w:val="clear" w:color="auto" w:fill="auto"/>
            <w:vAlign w:val="center"/>
          </w:tcPr>
          <w:p w:rsidR="007D02A8" w:rsidRPr="00A716B4" w:rsidRDefault="007D02A8" w:rsidP="00B612E0">
            <w:pPr>
              <w:pStyle w:val="Text1"/>
              <w:spacing w:beforeLines="20" w:before="48" w:afterLines="20" w:after="48"/>
              <w:ind w:left="134"/>
              <w:jc w:val="left"/>
              <w:rPr>
                <w:noProof/>
                <w:sz w:val="16"/>
                <w:szCs w:val="16"/>
              </w:rPr>
            </w:pPr>
            <w:r w:rsidRPr="00A716B4">
              <w:rPr>
                <w:noProof/>
                <w:sz w:val="16"/>
                <w:szCs w:val="16"/>
              </w:rPr>
              <w:t xml:space="preserve"> 01 01 01 11 (Investigación directa)</w:t>
            </w:r>
          </w:p>
        </w:tc>
        <w:tc>
          <w:tcPr>
            <w:tcW w:w="839" w:type="dxa"/>
            <w:shd w:val="clear" w:color="auto" w:fill="auto"/>
            <w:vAlign w:val="center"/>
          </w:tcPr>
          <w:p w:rsidR="007D02A8" w:rsidRPr="00B612E0" w:rsidRDefault="007D02A8" w:rsidP="00B612E0">
            <w:pPr>
              <w:spacing w:beforeLines="20" w:before="48" w:afterLines="20" w:after="48"/>
              <w:jc w:val="center"/>
              <w:rPr>
                <w:noProof/>
                <w:sz w:val="16"/>
                <w:szCs w:val="16"/>
              </w:rPr>
            </w:pPr>
          </w:p>
        </w:tc>
        <w:tc>
          <w:tcPr>
            <w:tcW w:w="731" w:type="dxa"/>
            <w:shd w:val="clear" w:color="auto" w:fill="auto"/>
            <w:vAlign w:val="center"/>
          </w:tcPr>
          <w:p w:rsidR="007D02A8" w:rsidRPr="00B612E0" w:rsidRDefault="007D02A8" w:rsidP="00B612E0">
            <w:pPr>
              <w:spacing w:beforeLines="20" w:before="48" w:afterLines="20" w:after="48"/>
              <w:jc w:val="center"/>
              <w:rPr>
                <w:noProof/>
                <w:sz w:val="16"/>
                <w:szCs w:val="16"/>
              </w:rPr>
            </w:pPr>
          </w:p>
        </w:tc>
        <w:tc>
          <w:tcPr>
            <w:tcW w:w="731" w:type="dxa"/>
            <w:shd w:val="clear" w:color="auto" w:fill="auto"/>
            <w:vAlign w:val="center"/>
          </w:tcPr>
          <w:p w:rsidR="007D02A8" w:rsidRPr="00B612E0" w:rsidRDefault="007D02A8" w:rsidP="00B612E0">
            <w:pPr>
              <w:spacing w:beforeLines="20" w:before="48" w:afterLines="20" w:after="48"/>
              <w:jc w:val="center"/>
              <w:rPr>
                <w:noProof/>
                <w:sz w:val="16"/>
                <w:szCs w:val="16"/>
              </w:rPr>
            </w:pPr>
          </w:p>
        </w:tc>
        <w:tc>
          <w:tcPr>
            <w:tcW w:w="731" w:type="dxa"/>
            <w:shd w:val="clear" w:color="auto" w:fill="auto"/>
            <w:vAlign w:val="center"/>
          </w:tcPr>
          <w:p w:rsidR="007D02A8" w:rsidRPr="00B612E0" w:rsidRDefault="007D02A8" w:rsidP="00B612E0">
            <w:pPr>
              <w:spacing w:beforeLines="20" w:before="48" w:afterLines="20" w:after="48"/>
              <w:jc w:val="center"/>
              <w:rPr>
                <w:noProof/>
                <w:sz w:val="16"/>
                <w:szCs w:val="16"/>
              </w:rPr>
            </w:pPr>
          </w:p>
        </w:tc>
        <w:tc>
          <w:tcPr>
            <w:tcW w:w="731" w:type="dxa"/>
            <w:shd w:val="clear" w:color="auto" w:fill="auto"/>
            <w:vAlign w:val="center"/>
          </w:tcPr>
          <w:p w:rsidR="007D02A8" w:rsidRPr="00B612E0" w:rsidRDefault="007D02A8" w:rsidP="00B612E0">
            <w:pPr>
              <w:spacing w:beforeLines="20" w:before="48" w:afterLines="20" w:after="48"/>
              <w:jc w:val="center"/>
              <w:rPr>
                <w:noProof/>
                <w:sz w:val="16"/>
                <w:szCs w:val="16"/>
              </w:rPr>
            </w:pPr>
          </w:p>
        </w:tc>
        <w:tc>
          <w:tcPr>
            <w:tcW w:w="731" w:type="dxa"/>
            <w:shd w:val="clear" w:color="auto" w:fill="auto"/>
            <w:vAlign w:val="center"/>
          </w:tcPr>
          <w:p w:rsidR="007D02A8" w:rsidRPr="00B612E0" w:rsidRDefault="007D02A8" w:rsidP="00B612E0">
            <w:pPr>
              <w:spacing w:beforeLines="20" w:before="48" w:afterLines="20" w:after="48"/>
              <w:jc w:val="center"/>
              <w:rPr>
                <w:noProof/>
                <w:sz w:val="16"/>
                <w:szCs w:val="16"/>
              </w:rPr>
            </w:pPr>
          </w:p>
        </w:tc>
        <w:tc>
          <w:tcPr>
            <w:tcW w:w="731" w:type="dxa"/>
            <w:shd w:val="clear" w:color="auto" w:fill="auto"/>
            <w:vAlign w:val="center"/>
          </w:tcPr>
          <w:p w:rsidR="007D02A8" w:rsidRPr="00B612E0" w:rsidRDefault="007D02A8" w:rsidP="00B612E0">
            <w:pPr>
              <w:spacing w:beforeLines="20" w:before="48" w:afterLines="20" w:after="48"/>
              <w:jc w:val="center"/>
              <w:rPr>
                <w:noProof/>
                <w:sz w:val="16"/>
                <w:szCs w:val="16"/>
              </w:rPr>
            </w:pPr>
          </w:p>
        </w:tc>
      </w:tr>
      <w:tr w:rsidR="007D02A8" w:rsidRPr="00B612E0" w:rsidTr="00B612E0">
        <w:trPr>
          <w:gridBefore w:val="1"/>
          <w:wBefore w:w="15" w:type="dxa"/>
          <w:trHeight w:val="289"/>
          <w:jc w:val="center"/>
        </w:trPr>
        <w:tc>
          <w:tcPr>
            <w:tcW w:w="4646" w:type="dxa"/>
            <w:gridSpan w:val="2"/>
            <w:shd w:val="clear" w:color="auto" w:fill="auto"/>
            <w:vAlign w:val="center"/>
          </w:tcPr>
          <w:p w:rsidR="007D02A8" w:rsidRPr="00B612E0" w:rsidRDefault="007D02A8" w:rsidP="00B612E0">
            <w:pPr>
              <w:pStyle w:val="Text1"/>
              <w:spacing w:beforeLines="20" w:before="48" w:afterLines="20" w:after="48"/>
              <w:ind w:left="134"/>
              <w:jc w:val="left"/>
              <w:rPr>
                <w:noProof/>
                <w:sz w:val="16"/>
              </w:rPr>
            </w:pPr>
            <w:r w:rsidRPr="00B612E0">
              <w:rPr>
                <w:noProof/>
                <w:sz w:val="16"/>
              </w:rPr>
              <w:t>Otras líneas presupuestarias (especifíquense)</w:t>
            </w:r>
          </w:p>
        </w:tc>
        <w:tc>
          <w:tcPr>
            <w:tcW w:w="839" w:type="dxa"/>
            <w:shd w:val="clear" w:color="auto" w:fill="auto"/>
            <w:vAlign w:val="center"/>
          </w:tcPr>
          <w:p w:rsidR="007D02A8" w:rsidRPr="00B612E0" w:rsidRDefault="007D02A8" w:rsidP="00B612E0">
            <w:pPr>
              <w:spacing w:beforeLines="20" w:before="48" w:afterLines="20" w:after="48"/>
              <w:jc w:val="center"/>
              <w:rPr>
                <w:noProof/>
                <w:sz w:val="16"/>
                <w:szCs w:val="16"/>
              </w:rPr>
            </w:pPr>
          </w:p>
        </w:tc>
        <w:tc>
          <w:tcPr>
            <w:tcW w:w="731" w:type="dxa"/>
            <w:shd w:val="clear" w:color="auto" w:fill="auto"/>
            <w:vAlign w:val="center"/>
          </w:tcPr>
          <w:p w:rsidR="007D02A8" w:rsidRPr="00B612E0" w:rsidRDefault="007D02A8" w:rsidP="00B612E0">
            <w:pPr>
              <w:spacing w:beforeLines="20" w:before="48" w:afterLines="20" w:after="48"/>
              <w:jc w:val="center"/>
              <w:rPr>
                <w:noProof/>
                <w:sz w:val="16"/>
                <w:szCs w:val="16"/>
              </w:rPr>
            </w:pPr>
          </w:p>
        </w:tc>
        <w:tc>
          <w:tcPr>
            <w:tcW w:w="731" w:type="dxa"/>
            <w:shd w:val="clear" w:color="auto" w:fill="auto"/>
            <w:vAlign w:val="center"/>
          </w:tcPr>
          <w:p w:rsidR="007D02A8" w:rsidRPr="00B612E0" w:rsidRDefault="007D02A8" w:rsidP="00B612E0">
            <w:pPr>
              <w:spacing w:beforeLines="20" w:before="48" w:afterLines="20" w:after="48"/>
              <w:jc w:val="center"/>
              <w:rPr>
                <w:noProof/>
                <w:sz w:val="16"/>
                <w:szCs w:val="16"/>
              </w:rPr>
            </w:pPr>
          </w:p>
        </w:tc>
        <w:tc>
          <w:tcPr>
            <w:tcW w:w="731" w:type="dxa"/>
            <w:shd w:val="clear" w:color="auto" w:fill="auto"/>
            <w:vAlign w:val="center"/>
          </w:tcPr>
          <w:p w:rsidR="007D02A8" w:rsidRPr="00B612E0" w:rsidRDefault="007D02A8" w:rsidP="00B612E0">
            <w:pPr>
              <w:spacing w:beforeLines="20" w:before="48" w:afterLines="20" w:after="48"/>
              <w:jc w:val="center"/>
              <w:rPr>
                <w:noProof/>
                <w:sz w:val="16"/>
                <w:szCs w:val="16"/>
              </w:rPr>
            </w:pPr>
          </w:p>
        </w:tc>
        <w:tc>
          <w:tcPr>
            <w:tcW w:w="731" w:type="dxa"/>
            <w:shd w:val="clear" w:color="auto" w:fill="auto"/>
            <w:vAlign w:val="center"/>
          </w:tcPr>
          <w:p w:rsidR="007D02A8" w:rsidRPr="00B612E0" w:rsidRDefault="007D02A8" w:rsidP="00B612E0">
            <w:pPr>
              <w:spacing w:beforeLines="20" w:before="48" w:afterLines="20" w:after="48"/>
              <w:jc w:val="center"/>
              <w:rPr>
                <w:noProof/>
                <w:sz w:val="16"/>
                <w:szCs w:val="16"/>
              </w:rPr>
            </w:pPr>
          </w:p>
        </w:tc>
        <w:tc>
          <w:tcPr>
            <w:tcW w:w="731" w:type="dxa"/>
            <w:shd w:val="clear" w:color="auto" w:fill="auto"/>
            <w:vAlign w:val="center"/>
          </w:tcPr>
          <w:p w:rsidR="007D02A8" w:rsidRPr="00B612E0" w:rsidRDefault="007D02A8" w:rsidP="00B612E0">
            <w:pPr>
              <w:spacing w:beforeLines="20" w:before="48" w:afterLines="20" w:after="48"/>
              <w:jc w:val="center"/>
              <w:rPr>
                <w:noProof/>
                <w:sz w:val="16"/>
                <w:szCs w:val="16"/>
              </w:rPr>
            </w:pPr>
          </w:p>
        </w:tc>
        <w:tc>
          <w:tcPr>
            <w:tcW w:w="731" w:type="dxa"/>
            <w:shd w:val="clear" w:color="auto" w:fill="auto"/>
            <w:vAlign w:val="center"/>
          </w:tcPr>
          <w:p w:rsidR="007D02A8" w:rsidRPr="00B612E0" w:rsidRDefault="007D02A8" w:rsidP="00B612E0">
            <w:pPr>
              <w:spacing w:beforeLines="20" w:before="48" w:afterLines="20" w:after="48"/>
              <w:jc w:val="center"/>
              <w:rPr>
                <w:noProof/>
                <w:sz w:val="16"/>
                <w:szCs w:val="16"/>
              </w:rPr>
            </w:pPr>
          </w:p>
        </w:tc>
      </w:tr>
      <w:tr w:rsidR="007D02A8" w:rsidRPr="00A716B4" w:rsidTr="00B612E0">
        <w:trPr>
          <w:trHeight w:val="248"/>
          <w:jc w:val="center"/>
        </w:trPr>
        <w:tc>
          <w:tcPr>
            <w:tcW w:w="9886" w:type="dxa"/>
            <w:gridSpan w:val="10"/>
            <w:shd w:val="clear" w:color="auto" w:fill="auto"/>
            <w:vAlign w:val="center"/>
          </w:tcPr>
          <w:p w:rsidR="007D02A8" w:rsidRPr="00A716B4" w:rsidRDefault="007D02A8" w:rsidP="00B612E0">
            <w:pPr>
              <w:pStyle w:val="Text1"/>
              <w:spacing w:before="60" w:after="60"/>
              <w:ind w:left="0"/>
              <w:jc w:val="left"/>
              <w:rPr>
                <w:b/>
                <w:noProof/>
                <w:sz w:val="16"/>
                <w:szCs w:val="16"/>
              </w:rPr>
            </w:pPr>
            <w:r w:rsidRPr="00A716B4">
              <w:rPr>
                <w:b/>
                <w:noProof/>
                <w:sz w:val="16"/>
                <w:szCs w:val="16"/>
              </w:rPr>
              <w:sym w:font="Wingdings" w:char="F09F"/>
            </w:r>
            <w:r w:rsidRPr="00A716B4">
              <w:rPr>
                <w:b/>
                <w:bCs/>
                <w:noProof/>
                <w:sz w:val="16"/>
                <w:szCs w:val="16"/>
              </w:rPr>
              <w:t>Personal externo (en equivalentes a jornada completa:</w:t>
            </w:r>
            <w:r w:rsidRPr="00A716B4">
              <w:rPr>
                <w:b/>
                <w:noProof/>
                <w:sz w:val="16"/>
                <w:szCs w:val="16"/>
              </w:rPr>
              <w:t xml:space="preserve"> EJC)</w:t>
            </w:r>
            <w:r w:rsidRPr="00A716B4">
              <w:rPr>
                <w:rStyle w:val="FootnoteReference"/>
                <w:b/>
                <w:noProof/>
                <w:sz w:val="16"/>
                <w:szCs w:val="16"/>
              </w:rPr>
              <w:footnoteReference w:id="45"/>
            </w:r>
          </w:p>
          <w:p w:rsidR="007D02A8" w:rsidRPr="00A716B4" w:rsidRDefault="007D02A8" w:rsidP="00B612E0">
            <w:pPr>
              <w:pStyle w:val="Text1"/>
              <w:spacing w:before="0" w:after="0"/>
              <w:ind w:left="0"/>
              <w:jc w:val="left"/>
              <w:rPr>
                <w:noProof/>
                <w:sz w:val="16"/>
                <w:szCs w:val="16"/>
              </w:rPr>
            </w:pPr>
          </w:p>
        </w:tc>
      </w:tr>
      <w:tr w:rsidR="007D02A8" w:rsidRPr="00B612E0" w:rsidTr="00B612E0">
        <w:trPr>
          <w:gridBefore w:val="1"/>
          <w:wBefore w:w="15" w:type="dxa"/>
          <w:trHeight w:val="289"/>
          <w:jc w:val="center"/>
        </w:trPr>
        <w:tc>
          <w:tcPr>
            <w:tcW w:w="4646" w:type="dxa"/>
            <w:gridSpan w:val="2"/>
            <w:shd w:val="clear" w:color="auto" w:fill="auto"/>
            <w:vAlign w:val="center"/>
          </w:tcPr>
          <w:p w:rsidR="007D02A8" w:rsidRPr="00A716B4" w:rsidRDefault="007D02A8" w:rsidP="00B612E0">
            <w:pPr>
              <w:pStyle w:val="Text1"/>
              <w:spacing w:beforeLines="20" w:before="48" w:afterLines="20" w:after="48"/>
              <w:ind w:left="136"/>
              <w:jc w:val="left"/>
              <w:rPr>
                <w:b/>
                <w:noProof/>
                <w:sz w:val="16"/>
                <w:szCs w:val="16"/>
              </w:rPr>
            </w:pPr>
            <w:r w:rsidRPr="00A716B4">
              <w:rPr>
                <w:noProof/>
                <w:sz w:val="16"/>
                <w:szCs w:val="16"/>
              </w:rPr>
              <w:t>20 02 01 (ENCS)</w:t>
            </w:r>
          </w:p>
        </w:tc>
        <w:tc>
          <w:tcPr>
            <w:tcW w:w="839" w:type="dxa"/>
            <w:shd w:val="clear" w:color="auto" w:fill="auto"/>
            <w:vAlign w:val="center"/>
          </w:tcPr>
          <w:p w:rsidR="007D02A8" w:rsidRPr="00B612E0" w:rsidRDefault="007D02A8" w:rsidP="00B612E0">
            <w:pPr>
              <w:spacing w:beforeLines="20" w:before="48" w:afterLines="20" w:after="48"/>
              <w:jc w:val="center"/>
              <w:rPr>
                <w:noProof/>
                <w:sz w:val="16"/>
                <w:szCs w:val="16"/>
              </w:rPr>
            </w:pPr>
            <w:r w:rsidRPr="00B612E0">
              <w:rPr>
                <w:noProof/>
                <w:sz w:val="16"/>
                <w:szCs w:val="16"/>
              </w:rPr>
              <w:t>1</w:t>
            </w:r>
          </w:p>
        </w:tc>
        <w:tc>
          <w:tcPr>
            <w:tcW w:w="731" w:type="dxa"/>
            <w:shd w:val="clear" w:color="auto" w:fill="auto"/>
            <w:vAlign w:val="center"/>
          </w:tcPr>
          <w:p w:rsidR="007D02A8" w:rsidRPr="00B612E0" w:rsidRDefault="007D02A8" w:rsidP="00B612E0">
            <w:pPr>
              <w:spacing w:beforeLines="20" w:before="48" w:afterLines="20" w:after="48"/>
              <w:jc w:val="center"/>
              <w:rPr>
                <w:noProof/>
                <w:sz w:val="16"/>
                <w:szCs w:val="16"/>
              </w:rPr>
            </w:pPr>
            <w:r w:rsidRPr="00B612E0">
              <w:rPr>
                <w:noProof/>
                <w:sz w:val="16"/>
                <w:szCs w:val="16"/>
              </w:rPr>
              <w:t>1</w:t>
            </w:r>
          </w:p>
        </w:tc>
        <w:tc>
          <w:tcPr>
            <w:tcW w:w="731" w:type="dxa"/>
            <w:shd w:val="clear" w:color="auto" w:fill="auto"/>
            <w:vAlign w:val="center"/>
          </w:tcPr>
          <w:p w:rsidR="007D02A8" w:rsidRPr="00B612E0" w:rsidRDefault="007D02A8" w:rsidP="00B612E0">
            <w:pPr>
              <w:spacing w:beforeLines="20" w:before="48" w:afterLines="20" w:after="48"/>
              <w:jc w:val="center"/>
              <w:rPr>
                <w:noProof/>
                <w:sz w:val="16"/>
                <w:szCs w:val="16"/>
              </w:rPr>
            </w:pPr>
          </w:p>
        </w:tc>
        <w:tc>
          <w:tcPr>
            <w:tcW w:w="731" w:type="dxa"/>
            <w:shd w:val="clear" w:color="auto" w:fill="auto"/>
            <w:vAlign w:val="center"/>
          </w:tcPr>
          <w:p w:rsidR="007D02A8" w:rsidRPr="00B612E0" w:rsidRDefault="007D02A8" w:rsidP="00B612E0">
            <w:pPr>
              <w:spacing w:beforeLines="20" w:before="48" w:afterLines="20" w:after="48"/>
              <w:jc w:val="center"/>
              <w:rPr>
                <w:noProof/>
                <w:sz w:val="16"/>
                <w:szCs w:val="16"/>
              </w:rPr>
            </w:pPr>
          </w:p>
        </w:tc>
        <w:tc>
          <w:tcPr>
            <w:tcW w:w="731" w:type="dxa"/>
            <w:shd w:val="clear" w:color="auto" w:fill="auto"/>
            <w:vAlign w:val="center"/>
          </w:tcPr>
          <w:p w:rsidR="007D02A8" w:rsidRPr="00B612E0" w:rsidRDefault="007D02A8" w:rsidP="00B612E0">
            <w:pPr>
              <w:spacing w:beforeLines="20" w:before="48" w:afterLines="20" w:after="48"/>
              <w:jc w:val="center"/>
              <w:rPr>
                <w:noProof/>
                <w:sz w:val="16"/>
                <w:szCs w:val="16"/>
              </w:rPr>
            </w:pPr>
          </w:p>
        </w:tc>
        <w:tc>
          <w:tcPr>
            <w:tcW w:w="731" w:type="dxa"/>
            <w:shd w:val="clear" w:color="auto" w:fill="auto"/>
            <w:vAlign w:val="center"/>
          </w:tcPr>
          <w:p w:rsidR="007D02A8" w:rsidRPr="00B612E0" w:rsidRDefault="007D02A8" w:rsidP="00B612E0">
            <w:pPr>
              <w:spacing w:beforeLines="20" w:before="48" w:afterLines="20" w:after="48"/>
              <w:jc w:val="center"/>
              <w:rPr>
                <w:noProof/>
                <w:sz w:val="16"/>
                <w:szCs w:val="16"/>
              </w:rPr>
            </w:pPr>
          </w:p>
        </w:tc>
        <w:tc>
          <w:tcPr>
            <w:tcW w:w="731" w:type="dxa"/>
            <w:shd w:val="clear" w:color="auto" w:fill="auto"/>
            <w:vAlign w:val="center"/>
          </w:tcPr>
          <w:p w:rsidR="007D02A8" w:rsidRPr="00B612E0" w:rsidRDefault="007D02A8" w:rsidP="00B612E0">
            <w:pPr>
              <w:spacing w:beforeLines="20" w:before="48" w:afterLines="20" w:after="48"/>
              <w:jc w:val="center"/>
              <w:rPr>
                <w:noProof/>
                <w:sz w:val="16"/>
                <w:szCs w:val="16"/>
              </w:rPr>
            </w:pPr>
          </w:p>
        </w:tc>
      </w:tr>
      <w:tr w:rsidR="007D02A8" w:rsidRPr="00B612E0" w:rsidTr="00B612E0">
        <w:trPr>
          <w:gridBefore w:val="1"/>
          <w:wBefore w:w="15" w:type="dxa"/>
          <w:trHeight w:val="289"/>
          <w:jc w:val="center"/>
        </w:trPr>
        <w:tc>
          <w:tcPr>
            <w:tcW w:w="4646" w:type="dxa"/>
            <w:gridSpan w:val="2"/>
            <w:shd w:val="clear" w:color="auto" w:fill="auto"/>
            <w:vAlign w:val="center"/>
          </w:tcPr>
          <w:p w:rsidR="007D02A8" w:rsidRPr="00B612E0" w:rsidRDefault="007D02A8" w:rsidP="00B612E0">
            <w:pPr>
              <w:pStyle w:val="Text1"/>
              <w:spacing w:beforeLines="20" w:before="48" w:afterLines="20" w:after="48"/>
              <w:ind w:left="136"/>
              <w:jc w:val="left"/>
              <w:rPr>
                <w:noProof/>
                <w:sz w:val="16"/>
              </w:rPr>
            </w:pPr>
            <w:r w:rsidRPr="00B612E0">
              <w:rPr>
                <w:noProof/>
                <w:sz w:val="16"/>
              </w:rPr>
              <w:t>20 02 03 (AC, AL, ENCS, INT y JPD en las Delegaciones)</w:t>
            </w:r>
          </w:p>
        </w:tc>
        <w:tc>
          <w:tcPr>
            <w:tcW w:w="839" w:type="dxa"/>
            <w:shd w:val="clear" w:color="auto" w:fill="auto"/>
            <w:vAlign w:val="center"/>
          </w:tcPr>
          <w:p w:rsidR="007D02A8" w:rsidRPr="00B612E0" w:rsidRDefault="007D02A8" w:rsidP="00B612E0">
            <w:pPr>
              <w:spacing w:beforeLines="20" w:before="48" w:afterLines="20" w:after="48"/>
              <w:jc w:val="center"/>
              <w:rPr>
                <w:noProof/>
                <w:sz w:val="16"/>
                <w:szCs w:val="16"/>
              </w:rPr>
            </w:pPr>
          </w:p>
        </w:tc>
        <w:tc>
          <w:tcPr>
            <w:tcW w:w="731" w:type="dxa"/>
            <w:shd w:val="clear" w:color="auto" w:fill="auto"/>
            <w:vAlign w:val="center"/>
          </w:tcPr>
          <w:p w:rsidR="007D02A8" w:rsidRPr="00B612E0" w:rsidRDefault="007D02A8" w:rsidP="00B612E0">
            <w:pPr>
              <w:spacing w:beforeLines="20" w:before="48" w:afterLines="20" w:after="48"/>
              <w:jc w:val="center"/>
              <w:rPr>
                <w:noProof/>
                <w:sz w:val="16"/>
                <w:szCs w:val="16"/>
              </w:rPr>
            </w:pPr>
          </w:p>
        </w:tc>
        <w:tc>
          <w:tcPr>
            <w:tcW w:w="731" w:type="dxa"/>
            <w:shd w:val="clear" w:color="auto" w:fill="auto"/>
            <w:vAlign w:val="center"/>
          </w:tcPr>
          <w:p w:rsidR="007D02A8" w:rsidRPr="00B612E0" w:rsidRDefault="007D02A8" w:rsidP="00B612E0">
            <w:pPr>
              <w:spacing w:beforeLines="20" w:before="48" w:afterLines="20" w:after="48"/>
              <w:jc w:val="center"/>
              <w:rPr>
                <w:noProof/>
                <w:sz w:val="16"/>
                <w:szCs w:val="16"/>
              </w:rPr>
            </w:pPr>
          </w:p>
        </w:tc>
        <w:tc>
          <w:tcPr>
            <w:tcW w:w="731" w:type="dxa"/>
            <w:shd w:val="clear" w:color="auto" w:fill="auto"/>
            <w:vAlign w:val="center"/>
          </w:tcPr>
          <w:p w:rsidR="007D02A8" w:rsidRPr="00B612E0" w:rsidRDefault="007D02A8" w:rsidP="00B612E0">
            <w:pPr>
              <w:spacing w:beforeLines="20" w:before="48" w:afterLines="20" w:after="48"/>
              <w:jc w:val="center"/>
              <w:rPr>
                <w:noProof/>
                <w:sz w:val="16"/>
                <w:szCs w:val="16"/>
              </w:rPr>
            </w:pPr>
          </w:p>
        </w:tc>
        <w:tc>
          <w:tcPr>
            <w:tcW w:w="731" w:type="dxa"/>
            <w:shd w:val="clear" w:color="auto" w:fill="auto"/>
            <w:vAlign w:val="center"/>
          </w:tcPr>
          <w:p w:rsidR="007D02A8" w:rsidRPr="00B612E0" w:rsidRDefault="007D02A8" w:rsidP="00B612E0">
            <w:pPr>
              <w:spacing w:beforeLines="20" w:before="48" w:afterLines="20" w:after="48"/>
              <w:jc w:val="center"/>
              <w:rPr>
                <w:noProof/>
                <w:sz w:val="16"/>
                <w:szCs w:val="16"/>
              </w:rPr>
            </w:pPr>
          </w:p>
        </w:tc>
        <w:tc>
          <w:tcPr>
            <w:tcW w:w="731" w:type="dxa"/>
            <w:shd w:val="clear" w:color="auto" w:fill="auto"/>
            <w:vAlign w:val="center"/>
          </w:tcPr>
          <w:p w:rsidR="007D02A8" w:rsidRPr="00B612E0" w:rsidRDefault="007D02A8" w:rsidP="00B612E0">
            <w:pPr>
              <w:spacing w:beforeLines="20" w:before="48" w:afterLines="20" w:after="48"/>
              <w:jc w:val="center"/>
              <w:rPr>
                <w:noProof/>
                <w:sz w:val="16"/>
                <w:szCs w:val="16"/>
              </w:rPr>
            </w:pPr>
          </w:p>
        </w:tc>
        <w:tc>
          <w:tcPr>
            <w:tcW w:w="731" w:type="dxa"/>
            <w:shd w:val="clear" w:color="auto" w:fill="auto"/>
            <w:vAlign w:val="center"/>
          </w:tcPr>
          <w:p w:rsidR="007D02A8" w:rsidRPr="00B612E0" w:rsidRDefault="007D02A8" w:rsidP="00B612E0">
            <w:pPr>
              <w:spacing w:beforeLines="20" w:before="48" w:afterLines="20" w:after="48"/>
              <w:jc w:val="center"/>
              <w:rPr>
                <w:noProof/>
                <w:sz w:val="16"/>
                <w:szCs w:val="16"/>
              </w:rPr>
            </w:pPr>
          </w:p>
        </w:tc>
      </w:tr>
      <w:tr w:rsidR="007D02A8" w:rsidRPr="00B612E0" w:rsidTr="00B612E0">
        <w:trPr>
          <w:gridBefore w:val="1"/>
          <w:wBefore w:w="15" w:type="dxa"/>
          <w:trHeight w:val="289"/>
          <w:jc w:val="center"/>
        </w:trPr>
        <w:tc>
          <w:tcPr>
            <w:tcW w:w="2376" w:type="dxa"/>
            <w:vMerge w:val="restart"/>
            <w:shd w:val="clear" w:color="auto" w:fill="auto"/>
            <w:vAlign w:val="center"/>
          </w:tcPr>
          <w:p w:rsidR="007D02A8" w:rsidRPr="00B612E0" w:rsidRDefault="007D02A8" w:rsidP="00B612E0">
            <w:pPr>
              <w:pStyle w:val="Text1"/>
              <w:spacing w:beforeLines="20" w:before="48" w:afterLines="20" w:after="48"/>
              <w:ind w:left="136"/>
              <w:jc w:val="left"/>
              <w:rPr>
                <w:b/>
                <w:noProof/>
                <w:sz w:val="16"/>
                <w:szCs w:val="16"/>
              </w:rPr>
            </w:pPr>
            <w:r w:rsidRPr="00B612E0">
              <w:rPr>
                <w:b/>
                <w:noProof/>
                <w:sz w:val="16"/>
                <w:szCs w:val="16"/>
              </w:rPr>
              <w:t>XX</w:t>
            </w:r>
            <w:r w:rsidRPr="00B612E0">
              <w:rPr>
                <w:noProof/>
                <w:sz w:val="16"/>
                <w:szCs w:val="16"/>
              </w:rPr>
              <w:t xml:space="preserve"> 01 xx </w:t>
            </w:r>
            <w:r w:rsidRPr="00B612E0">
              <w:rPr>
                <w:b/>
                <w:noProof/>
                <w:sz w:val="16"/>
                <w:szCs w:val="16"/>
              </w:rPr>
              <w:t>yy zz</w:t>
            </w:r>
            <w:r w:rsidRPr="004F35E2">
              <w:rPr>
                <w:rStyle w:val="FootnoteReference"/>
                <w:b/>
                <w:noProof/>
                <w:sz w:val="16"/>
              </w:rPr>
              <w:footnoteReference w:id="46"/>
            </w:r>
          </w:p>
          <w:p w:rsidR="007D02A8" w:rsidRPr="00B612E0" w:rsidRDefault="007D02A8" w:rsidP="00B612E0">
            <w:pPr>
              <w:pStyle w:val="Text1"/>
              <w:spacing w:beforeLines="20" w:before="48" w:afterLines="20" w:after="48"/>
              <w:ind w:left="136"/>
              <w:jc w:val="left"/>
              <w:rPr>
                <w:b/>
                <w:noProof/>
                <w:sz w:val="16"/>
                <w:szCs w:val="16"/>
              </w:rPr>
            </w:pPr>
          </w:p>
        </w:tc>
        <w:tc>
          <w:tcPr>
            <w:tcW w:w="2270" w:type="dxa"/>
            <w:shd w:val="clear" w:color="auto" w:fill="auto"/>
            <w:vAlign w:val="center"/>
          </w:tcPr>
          <w:p w:rsidR="007D02A8" w:rsidRPr="00B612E0" w:rsidRDefault="007D02A8" w:rsidP="00B612E0">
            <w:pPr>
              <w:pStyle w:val="Text1"/>
              <w:spacing w:beforeLines="20" w:before="48" w:afterLines="20" w:after="48"/>
              <w:ind w:left="136"/>
              <w:jc w:val="left"/>
              <w:rPr>
                <w:b/>
                <w:noProof/>
                <w:sz w:val="16"/>
                <w:szCs w:val="16"/>
              </w:rPr>
            </w:pPr>
            <w:r w:rsidRPr="00B612E0">
              <w:rPr>
                <w:noProof/>
                <w:sz w:val="16"/>
              </w:rPr>
              <w:t>- en la Sede</w:t>
            </w:r>
          </w:p>
          <w:p w:rsidR="007D02A8" w:rsidRPr="00B612E0" w:rsidRDefault="007D02A8" w:rsidP="00B612E0">
            <w:pPr>
              <w:pStyle w:val="Text1"/>
              <w:spacing w:beforeLines="20" w:before="48" w:afterLines="20" w:after="48"/>
              <w:ind w:left="136"/>
              <w:jc w:val="left"/>
              <w:rPr>
                <w:b/>
                <w:noProof/>
                <w:sz w:val="16"/>
                <w:szCs w:val="16"/>
              </w:rPr>
            </w:pPr>
          </w:p>
        </w:tc>
        <w:tc>
          <w:tcPr>
            <w:tcW w:w="839" w:type="dxa"/>
            <w:shd w:val="clear" w:color="auto" w:fill="auto"/>
            <w:vAlign w:val="center"/>
          </w:tcPr>
          <w:p w:rsidR="007D02A8" w:rsidRPr="00B612E0" w:rsidRDefault="007D02A8" w:rsidP="00B612E0">
            <w:pPr>
              <w:pStyle w:val="Text1"/>
              <w:spacing w:beforeLines="20" w:before="48" w:afterLines="20" w:after="48"/>
              <w:ind w:left="0"/>
              <w:rPr>
                <w:noProof/>
                <w:sz w:val="16"/>
                <w:szCs w:val="16"/>
              </w:rPr>
            </w:pPr>
          </w:p>
        </w:tc>
        <w:tc>
          <w:tcPr>
            <w:tcW w:w="731" w:type="dxa"/>
            <w:shd w:val="clear" w:color="auto" w:fill="auto"/>
            <w:vAlign w:val="center"/>
          </w:tcPr>
          <w:p w:rsidR="007D02A8" w:rsidRPr="00B612E0" w:rsidRDefault="007D02A8" w:rsidP="00B612E0">
            <w:pPr>
              <w:spacing w:beforeLines="20" w:before="48" w:afterLines="20" w:after="48"/>
              <w:jc w:val="center"/>
              <w:rPr>
                <w:noProof/>
                <w:sz w:val="16"/>
                <w:szCs w:val="16"/>
              </w:rPr>
            </w:pPr>
          </w:p>
        </w:tc>
        <w:tc>
          <w:tcPr>
            <w:tcW w:w="731" w:type="dxa"/>
            <w:shd w:val="clear" w:color="auto" w:fill="auto"/>
            <w:vAlign w:val="center"/>
          </w:tcPr>
          <w:p w:rsidR="007D02A8" w:rsidRPr="00B612E0" w:rsidRDefault="007D02A8" w:rsidP="00B612E0">
            <w:pPr>
              <w:spacing w:beforeLines="20" w:before="48" w:afterLines="20" w:after="48"/>
              <w:jc w:val="center"/>
              <w:rPr>
                <w:noProof/>
                <w:sz w:val="16"/>
                <w:szCs w:val="16"/>
              </w:rPr>
            </w:pPr>
          </w:p>
        </w:tc>
        <w:tc>
          <w:tcPr>
            <w:tcW w:w="731" w:type="dxa"/>
            <w:shd w:val="clear" w:color="auto" w:fill="auto"/>
            <w:vAlign w:val="center"/>
          </w:tcPr>
          <w:p w:rsidR="007D02A8" w:rsidRPr="00B612E0" w:rsidRDefault="007D02A8" w:rsidP="00B612E0">
            <w:pPr>
              <w:spacing w:beforeLines="20" w:before="48" w:afterLines="20" w:after="48"/>
              <w:jc w:val="center"/>
              <w:rPr>
                <w:noProof/>
                <w:sz w:val="16"/>
                <w:szCs w:val="16"/>
              </w:rPr>
            </w:pPr>
          </w:p>
        </w:tc>
        <w:tc>
          <w:tcPr>
            <w:tcW w:w="731" w:type="dxa"/>
            <w:shd w:val="clear" w:color="auto" w:fill="auto"/>
            <w:vAlign w:val="center"/>
          </w:tcPr>
          <w:p w:rsidR="007D02A8" w:rsidRPr="00B612E0" w:rsidRDefault="007D02A8" w:rsidP="00B612E0">
            <w:pPr>
              <w:spacing w:beforeLines="20" w:before="48" w:afterLines="20" w:after="48"/>
              <w:jc w:val="center"/>
              <w:rPr>
                <w:noProof/>
                <w:sz w:val="16"/>
                <w:szCs w:val="16"/>
              </w:rPr>
            </w:pPr>
          </w:p>
        </w:tc>
        <w:tc>
          <w:tcPr>
            <w:tcW w:w="731" w:type="dxa"/>
            <w:shd w:val="clear" w:color="auto" w:fill="auto"/>
            <w:vAlign w:val="center"/>
          </w:tcPr>
          <w:p w:rsidR="007D02A8" w:rsidRPr="00B612E0" w:rsidRDefault="007D02A8" w:rsidP="00B612E0">
            <w:pPr>
              <w:spacing w:beforeLines="20" w:before="48" w:afterLines="20" w:after="48"/>
              <w:jc w:val="center"/>
              <w:rPr>
                <w:noProof/>
                <w:sz w:val="16"/>
                <w:szCs w:val="16"/>
              </w:rPr>
            </w:pPr>
          </w:p>
        </w:tc>
        <w:tc>
          <w:tcPr>
            <w:tcW w:w="731" w:type="dxa"/>
            <w:shd w:val="clear" w:color="auto" w:fill="auto"/>
            <w:vAlign w:val="center"/>
          </w:tcPr>
          <w:p w:rsidR="007D02A8" w:rsidRPr="00B612E0" w:rsidRDefault="007D02A8" w:rsidP="00B612E0">
            <w:pPr>
              <w:spacing w:beforeLines="20" w:before="48" w:afterLines="20" w:after="48"/>
              <w:jc w:val="center"/>
              <w:rPr>
                <w:noProof/>
                <w:sz w:val="16"/>
                <w:szCs w:val="16"/>
              </w:rPr>
            </w:pPr>
          </w:p>
        </w:tc>
      </w:tr>
      <w:tr w:rsidR="007D02A8" w:rsidRPr="00B612E0" w:rsidTr="00B612E0">
        <w:trPr>
          <w:gridBefore w:val="1"/>
          <w:wBefore w:w="15" w:type="dxa"/>
          <w:trHeight w:val="289"/>
          <w:jc w:val="center"/>
        </w:trPr>
        <w:tc>
          <w:tcPr>
            <w:tcW w:w="2376" w:type="dxa"/>
            <w:vMerge/>
            <w:shd w:val="clear" w:color="auto" w:fill="auto"/>
            <w:vAlign w:val="center"/>
          </w:tcPr>
          <w:p w:rsidR="007D02A8" w:rsidRPr="00B612E0" w:rsidRDefault="007D02A8" w:rsidP="00B612E0">
            <w:pPr>
              <w:pStyle w:val="Text1"/>
              <w:spacing w:beforeLines="20" w:before="48" w:afterLines="20" w:after="48"/>
              <w:ind w:left="136"/>
              <w:jc w:val="left"/>
              <w:rPr>
                <w:b/>
                <w:noProof/>
                <w:sz w:val="16"/>
                <w:szCs w:val="16"/>
              </w:rPr>
            </w:pPr>
          </w:p>
        </w:tc>
        <w:tc>
          <w:tcPr>
            <w:tcW w:w="2270" w:type="dxa"/>
            <w:shd w:val="clear" w:color="auto" w:fill="auto"/>
            <w:vAlign w:val="center"/>
          </w:tcPr>
          <w:p w:rsidR="007D02A8" w:rsidRPr="00B612E0" w:rsidRDefault="007D02A8" w:rsidP="00B612E0">
            <w:pPr>
              <w:pStyle w:val="Text1"/>
              <w:spacing w:beforeLines="20" w:before="48" w:afterLines="20" w:after="48"/>
              <w:ind w:left="136"/>
              <w:jc w:val="left"/>
              <w:rPr>
                <w:b/>
                <w:noProof/>
                <w:sz w:val="16"/>
                <w:szCs w:val="16"/>
              </w:rPr>
            </w:pPr>
            <w:r w:rsidRPr="00B612E0">
              <w:rPr>
                <w:noProof/>
                <w:sz w:val="16"/>
              </w:rPr>
              <w:t xml:space="preserve">- en las Delegaciones </w:t>
            </w:r>
          </w:p>
        </w:tc>
        <w:tc>
          <w:tcPr>
            <w:tcW w:w="839" w:type="dxa"/>
            <w:shd w:val="clear" w:color="auto" w:fill="auto"/>
            <w:vAlign w:val="center"/>
          </w:tcPr>
          <w:p w:rsidR="007D02A8" w:rsidRPr="00B612E0" w:rsidRDefault="007D02A8" w:rsidP="00B612E0">
            <w:pPr>
              <w:pStyle w:val="Text1"/>
              <w:spacing w:beforeLines="20" w:before="48" w:afterLines="20" w:after="48"/>
              <w:ind w:left="0"/>
              <w:rPr>
                <w:noProof/>
                <w:sz w:val="16"/>
                <w:szCs w:val="16"/>
              </w:rPr>
            </w:pPr>
          </w:p>
        </w:tc>
        <w:tc>
          <w:tcPr>
            <w:tcW w:w="731" w:type="dxa"/>
            <w:shd w:val="clear" w:color="auto" w:fill="auto"/>
            <w:vAlign w:val="center"/>
          </w:tcPr>
          <w:p w:rsidR="007D02A8" w:rsidRPr="00B612E0" w:rsidRDefault="007D02A8" w:rsidP="00B612E0">
            <w:pPr>
              <w:spacing w:beforeLines="20" w:before="48" w:afterLines="20" w:after="48"/>
              <w:jc w:val="center"/>
              <w:rPr>
                <w:noProof/>
                <w:sz w:val="16"/>
                <w:szCs w:val="16"/>
              </w:rPr>
            </w:pPr>
          </w:p>
        </w:tc>
        <w:tc>
          <w:tcPr>
            <w:tcW w:w="731" w:type="dxa"/>
            <w:shd w:val="clear" w:color="auto" w:fill="auto"/>
            <w:vAlign w:val="center"/>
          </w:tcPr>
          <w:p w:rsidR="007D02A8" w:rsidRPr="00B612E0" w:rsidRDefault="007D02A8" w:rsidP="00B612E0">
            <w:pPr>
              <w:spacing w:beforeLines="20" w:before="48" w:afterLines="20" w:after="48"/>
              <w:jc w:val="center"/>
              <w:rPr>
                <w:noProof/>
                <w:sz w:val="16"/>
                <w:szCs w:val="16"/>
              </w:rPr>
            </w:pPr>
          </w:p>
        </w:tc>
        <w:tc>
          <w:tcPr>
            <w:tcW w:w="731" w:type="dxa"/>
            <w:shd w:val="clear" w:color="auto" w:fill="auto"/>
            <w:vAlign w:val="center"/>
          </w:tcPr>
          <w:p w:rsidR="007D02A8" w:rsidRPr="00B612E0" w:rsidRDefault="007D02A8" w:rsidP="00B612E0">
            <w:pPr>
              <w:spacing w:beforeLines="20" w:before="48" w:afterLines="20" w:after="48"/>
              <w:jc w:val="center"/>
              <w:rPr>
                <w:noProof/>
                <w:sz w:val="16"/>
                <w:szCs w:val="16"/>
              </w:rPr>
            </w:pPr>
          </w:p>
        </w:tc>
        <w:tc>
          <w:tcPr>
            <w:tcW w:w="731" w:type="dxa"/>
            <w:shd w:val="clear" w:color="auto" w:fill="auto"/>
            <w:vAlign w:val="center"/>
          </w:tcPr>
          <w:p w:rsidR="007D02A8" w:rsidRPr="00B612E0" w:rsidRDefault="007D02A8" w:rsidP="00B612E0">
            <w:pPr>
              <w:spacing w:beforeLines="20" w:before="48" w:afterLines="20" w:after="48"/>
              <w:jc w:val="center"/>
              <w:rPr>
                <w:noProof/>
                <w:sz w:val="16"/>
                <w:szCs w:val="16"/>
              </w:rPr>
            </w:pPr>
          </w:p>
        </w:tc>
        <w:tc>
          <w:tcPr>
            <w:tcW w:w="731" w:type="dxa"/>
            <w:shd w:val="clear" w:color="auto" w:fill="auto"/>
            <w:vAlign w:val="center"/>
          </w:tcPr>
          <w:p w:rsidR="007D02A8" w:rsidRPr="00B612E0" w:rsidRDefault="007D02A8" w:rsidP="00B612E0">
            <w:pPr>
              <w:spacing w:beforeLines="20" w:before="48" w:afterLines="20" w:after="48"/>
              <w:jc w:val="center"/>
              <w:rPr>
                <w:noProof/>
                <w:sz w:val="16"/>
                <w:szCs w:val="16"/>
              </w:rPr>
            </w:pPr>
          </w:p>
        </w:tc>
        <w:tc>
          <w:tcPr>
            <w:tcW w:w="731" w:type="dxa"/>
            <w:shd w:val="clear" w:color="auto" w:fill="auto"/>
            <w:vAlign w:val="center"/>
          </w:tcPr>
          <w:p w:rsidR="007D02A8" w:rsidRPr="00B612E0" w:rsidRDefault="007D02A8" w:rsidP="00B612E0">
            <w:pPr>
              <w:spacing w:beforeLines="20" w:before="48" w:afterLines="20" w:after="48"/>
              <w:jc w:val="center"/>
              <w:rPr>
                <w:noProof/>
                <w:sz w:val="16"/>
                <w:szCs w:val="16"/>
              </w:rPr>
            </w:pPr>
          </w:p>
        </w:tc>
      </w:tr>
      <w:tr w:rsidR="007D02A8" w:rsidRPr="00B612E0" w:rsidTr="00B612E0">
        <w:trPr>
          <w:gridBefore w:val="1"/>
          <w:wBefore w:w="15" w:type="dxa"/>
          <w:trHeight w:val="289"/>
          <w:jc w:val="center"/>
        </w:trPr>
        <w:tc>
          <w:tcPr>
            <w:tcW w:w="4646" w:type="dxa"/>
            <w:gridSpan w:val="2"/>
            <w:shd w:val="clear" w:color="auto" w:fill="auto"/>
            <w:vAlign w:val="center"/>
          </w:tcPr>
          <w:p w:rsidR="007D02A8" w:rsidRPr="00A716B4" w:rsidRDefault="007D02A8" w:rsidP="00B612E0">
            <w:pPr>
              <w:pStyle w:val="Text1"/>
              <w:spacing w:beforeLines="20" w:before="48" w:afterLines="20" w:after="48"/>
              <w:ind w:left="136"/>
              <w:jc w:val="left"/>
              <w:rPr>
                <w:noProof/>
                <w:sz w:val="16"/>
                <w:szCs w:val="16"/>
              </w:rPr>
            </w:pPr>
            <w:r w:rsidRPr="00A716B4">
              <w:rPr>
                <w:noProof/>
                <w:sz w:val="16"/>
                <w:szCs w:val="16"/>
              </w:rPr>
              <w:t>01 01 01 02 (AC, ENCS, INT; investigación indirecta)</w:t>
            </w:r>
          </w:p>
        </w:tc>
        <w:tc>
          <w:tcPr>
            <w:tcW w:w="839" w:type="dxa"/>
            <w:shd w:val="clear" w:color="auto" w:fill="auto"/>
            <w:vAlign w:val="center"/>
          </w:tcPr>
          <w:p w:rsidR="007D02A8" w:rsidRPr="00B612E0" w:rsidRDefault="007D02A8" w:rsidP="00B612E0">
            <w:pPr>
              <w:spacing w:beforeLines="20" w:before="48" w:afterLines="20" w:after="48"/>
              <w:jc w:val="center"/>
              <w:rPr>
                <w:noProof/>
                <w:sz w:val="16"/>
                <w:szCs w:val="16"/>
              </w:rPr>
            </w:pPr>
          </w:p>
        </w:tc>
        <w:tc>
          <w:tcPr>
            <w:tcW w:w="731" w:type="dxa"/>
            <w:shd w:val="clear" w:color="auto" w:fill="auto"/>
            <w:vAlign w:val="center"/>
          </w:tcPr>
          <w:p w:rsidR="007D02A8" w:rsidRPr="00B612E0" w:rsidRDefault="007D02A8" w:rsidP="00B612E0">
            <w:pPr>
              <w:spacing w:beforeLines="20" w:before="48" w:afterLines="20" w:after="48"/>
              <w:jc w:val="center"/>
              <w:rPr>
                <w:noProof/>
                <w:sz w:val="16"/>
                <w:szCs w:val="16"/>
              </w:rPr>
            </w:pPr>
          </w:p>
        </w:tc>
        <w:tc>
          <w:tcPr>
            <w:tcW w:w="731" w:type="dxa"/>
            <w:shd w:val="clear" w:color="auto" w:fill="auto"/>
            <w:vAlign w:val="center"/>
          </w:tcPr>
          <w:p w:rsidR="007D02A8" w:rsidRPr="00B612E0" w:rsidRDefault="007D02A8" w:rsidP="00B612E0">
            <w:pPr>
              <w:spacing w:beforeLines="20" w:before="48" w:afterLines="20" w:after="48"/>
              <w:jc w:val="center"/>
              <w:rPr>
                <w:noProof/>
                <w:sz w:val="16"/>
                <w:szCs w:val="16"/>
              </w:rPr>
            </w:pPr>
          </w:p>
        </w:tc>
        <w:tc>
          <w:tcPr>
            <w:tcW w:w="731" w:type="dxa"/>
            <w:shd w:val="clear" w:color="auto" w:fill="auto"/>
            <w:vAlign w:val="center"/>
          </w:tcPr>
          <w:p w:rsidR="007D02A8" w:rsidRPr="00B612E0" w:rsidRDefault="007D02A8" w:rsidP="00B612E0">
            <w:pPr>
              <w:spacing w:beforeLines="20" w:before="48" w:afterLines="20" w:after="48"/>
              <w:jc w:val="center"/>
              <w:rPr>
                <w:noProof/>
                <w:sz w:val="16"/>
                <w:szCs w:val="16"/>
              </w:rPr>
            </w:pPr>
          </w:p>
        </w:tc>
        <w:tc>
          <w:tcPr>
            <w:tcW w:w="731" w:type="dxa"/>
            <w:shd w:val="clear" w:color="auto" w:fill="auto"/>
            <w:vAlign w:val="center"/>
          </w:tcPr>
          <w:p w:rsidR="007D02A8" w:rsidRPr="00B612E0" w:rsidRDefault="007D02A8" w:rsidP="00B612E0">
            <w:pPr>
              <w:spacing w:beforeLines="20" w:before="48" w:afterLines="20" w:after="48"/>
              <w:jc w:val="center"/>
              <w:rPr>
                <w:noProof/>
                <w:sz w:val="16"/>
                <w:szCs w:val="16"/>
              </w:rPr>
            </w:pPr>
          </w:p>
        </w:tc>
        <w:tc>
          <w:tcPr>
            <w:tcW w:w="731" w:type="dxa"/>
            <w:shd w:val="clear" w:color="auto" w:fill="auto"/>
            <w:vAlign w:val="center"/>
          </w:tcPr>
          <w:p w:rsidR="007D02A8" w:rsidRPr="00B612E0" w:rsidRDefault="007D02A8" w:rsidP="00B612E0">
            <w:pPr>
              <w:spacing w:beforeLines="20" w:before="48" w:afterLines="20" w:after="48"/>
              <w:jc w:val="center"/>
              <w:rPr>
                <w:noProof/>
                <w:sz w:val="16"/>
                <w:szCs w:val="16"/>
              </w:rPr>
            </w:pPr>
          </w:p>
        </w:tc>
        <w:tc>
          <w:tcPr>
            <w:tcW w:w="731" w:type="dxa"/>
            <w:shd w:val="clear" w:color="auto" w:fill="auto"/>
            <w:vAlign w:val="center"/>
          </w:tcPr>
          <w:p w:rsidR="007D02A8" w:rsidRPr="00B612E0" w:rsidRDefault="007D02A8" w:rsidP="00B612E0">
            <w:pPr>
              <w:spacing w:beforeLines="20" w:before="48" w:afterLines="20" w:after="48"/>
              <w:jc w:val="center"/>
              <w:rPr>
                <w:noProof/>
                <w:sz w:val="16"/>
                <w:szCs w:val="16"/>
              </w:rPr>
            </w:pPr>
          </w:p>
        </w:tc>
      </w:tr>
      <w:tr w:rsidR="007D02A8" w:rsidRPr="00B612E0" w:rsidTr="00B612E0">
        <w:trPr>
          <w:gridBefore w:val="1"/>
          <w:wBefore w:w="15" w:type="dxa"/>
          <w:trHeight w:val="289"/>
          <w:jc w:val="center"/>
        </w:trPr>
        <w:tc>
          <w:tcPr>
            <w:tcW w:w="4646" w:type="dxa"/>
            <w:gridSpan w:val="2"/>
            <w:shd w:val="clear" w:color="auto" w:fill="auto"/>
            <w:vAlign w:val="center"/>
          </w:tcPr>
          <w:p w:rsidR="007D02A8" w:rsidRPr="00B612E0" w:rsidRDefault="007D02A8" w:rsidP="00B612E0">
            <w:pPr>
              <w:pStyle w:val="Text1"/>
              <w:spacing w:beforeLines="20" w:before="48" w:afterLines="20" w:after="48"/>
              <w:ind w:left="136"/>
              <w:jc w:val="left"/>
              <w:rPr>
                <w:noProof/>
                <w:color w:val="FF0000"/>
                <w:sz w:val="16"/>
                <w:szCs w:val="16"/>
              </w:rPr>
            </w:pPr>
            <w:r w:rsidRPr="00B612E0">
              <w:rPr>
                <w:noProof/>
                <w:sz w:val="16"/>
              </w:rPr>
              <w:t xml:space="preserve"> 01 01 01 12 (AC, INT, ENCS; investigación directa)</w:t>
            </w:r>
          </w:p>
        </w:tc>
        <w:tc>
          <w:tcPr>
            <w:tcW w:w="839" w:type="dxa"/>
            <w:shd w:val="clear" w:color="auto" w:fill="auto"/>
            <w:vAlign w:val="center"/>
          </w:tcPr>
          <w:p w:rsidR="007D02A8" w:rsidRPr="00B612E0" w:rsidRDefault="007D02A8" w:rsidP="00B612E0">
            <w:pPr>
              <w:spacing w:beforeLines="20" w:before="48" w:afterLines="20" w:after="48"/>
              <w:jc w:val="center"/>
              <w:rPr>
                <w:noProof/>
                <w:sz w:val="16"/>
                <w:szCs w:val="16"/>
              </w:rPr>
            </w:pPr>
          </w:p>
        </w:tc>
        <w:tc>
          <w:tcPr>
            <w:tcW w:w="731" w:type="dxa"/>
            <w:shd w:val="clear" w:color="auto" w:fill="auto"/>
            <w:vAlign w:val="center"/>
          </w:tcPr>
          <w:p w:rsidR="007D02A8" w:rsidRPr="00B612E0" w:rsidRDefault="007D02A8" w:rsidP="00B612E0">
            <w:pPr>
              <w:spacing w:beforeLines="20" w:before="48" w:afterLines="20" w:after="48"/>
              <w:jc w:val="center"/>
              <w:rPr>
                <w:noProof/>
                <w:sz w:val="16"/>
                <w:szCs w:val="16"/>
              </w:rPr>
            </w:pPr>
          </w:p>
        </w:tc>
        <w:tc>
          <w:tcPr>
            <w:tcW w:w="731" w:type="dxa"/>
            <w:shd w:val="clear" w:color="auto" w:fill="auto"/>
            <w:vAlign w:val="center"/>
          </w:tcPr>
          <w:p w:rsidR="007D02A8" w:rsidRPr="00B612E0" w:rsidRDefault="007D02A8" w:rsidP="00B612E0">
            <w:pPr>
              <w:spacing w:beforeLines="20" w:before="48" w:afterLines="20" w:after="48"/>
              <w:jc w:val="center"/>
              <w:rPr>
                <w:noProof/>
                <w:sz w:val="16"/>
                <w:szCs w:val="16"/>
              </w:rPr>
            </w:pPr>
          </w:p>
        </w:tc>
        <w:tc>
          <w:tcPr>
            <w:tcW w:w="731" w:type="dxa"/>
            <w:shd w:val="clear" w:color="auto" w:fill="auto"/>
            <w:vAlign w:val="center"/>
          </w:tcPr>
          <w:p w:rsidR="007D02A8" w:rsidRPr="00B612E0" w:rsidRDefault="007D02A8" w:rsidP="00B612E0">
            <w:pPr>
              <w:spacing w:beforeLines="20" w:before="48" w:afterLines="20" w:after="48"/>
              <w:jc w:val="center"/>
              <w:rPr>
                <w:noProof/>
                <w:sz w:val="16"/>
                <w:szCs w:val="16"/>
              </w:rPr>
            </w:pPr>
          </w:p>
        </w:tc>
        <w:tc>
          <w:tcPr>
            <w:tcW w:w="731" w:type="dxa"/>
            <w:shd w:val="clear" w:color="auto" w:fill="auto"/>
            <w:vAlign w:val="center"/>
          </w:tcPr>
          <w:p w:rsidR="007D02A8" w:rsidRPr="00B612E0" w:rsidRDefault="007D02A8" w:rsidP="00B612E0">
            <w:pPr>
              <w:spacing w:beforeLines="20" w:before="48" w:afterLines="20" w:after="48"/>
              <w:jc w:val="center"/>
              <w:rPr>
                <w:noProof/>
                <w:sz w:val="16"/>
                <w:szCs w:val="16"/>
              </w:rPr>
            </w:pPr>
          </w:p>
        </w:tc>
        <w:tc>
          <w:tcPr>
            <w:tcW w:w="731" w:type="dxa"/>
            <w:shd w:val="clear" w:color="auto" w:fill="auto"/>
            <w:vAlign w:val="center"/>
          </w:tcPr>
          <w:p w:rsidR="007D02A8" w:rsidRPr="00B612E0" w:rsidRDefault="007D02A8" w:rsidP="00B612E0">
            <w:pPr>
              <w:spacing w:beforeLines="20" w:before="48" w:afterLines="20" w:after="48"/>
              <w:jc w:val="center"/>
              <w:rPr>
                <w:noProof/>
                <w:sz w:val="16"/>
                <w:szCs w:val="16"/>
              </w:rPr>
            </w:pPr>
          </w:p>
        </w:tc>
        <w:tc>
          <w:tcPr>
            <w:tcW w:w="731" w:type="dxa"/>
            <w:shd w:val="clear" w:color="auto" w:fill="auto"/>
            <w:vAlign w:val="center"/>
          </w:tcPr>
          <w:p w:rsidR="007D02A8" w:rsidRPr="00B612E0" w:rsidRDefault="007D02A8" w:rsidP="00B612E0">
            <w:pPr>
              <w:spacing w:beforeLines="20" w:before="48" w:afterLines="20" w:after="48"/>
              <w:jc w:val="center"/>
              <w:rPr>
                <w:noProof/>
                <w:sz w:val="16"/>
                <w:szCs w:val="16"/>
              </w:rPr>
            </w:pPr>
          </w:p>
        </w:tc>
      </w:tr>
      <w:tr w:rsidR="007D02A8" w:rsidRPr="00B612E0" w:rsidTr="00B612E0">
        <w:trPr>
          <w:gridBefore w:val="1"/>
          <w:wBefore w:w="15" w:type="dxa"/>
          <w:trHeight w:val="289"/>
          <w:jc w:val="center"/>
        </w:trPr>
        <w:tc>
          <w:tcPr>
            <w:tcW w:w="4646" w:type="dxa"/>
            <w:gridSpan w:val="2"/>
            <w:shd w:val="clear" w:color="auto" w:fill="auto"/>
            <w:vAlign w:val="center"/>
          </w:tcPr>
          <w:p w:rsidR="007D02A8" w:rsidRPr="00B612E0" w:rsidRDefault="007D02A8" w:rsidP="00B612E0">
            <w:pPr>
              <w:pStyle w:val="Text1"/>
              <w:spacing w:beforeLines="20" w:before="48" w:afterLines="20" w:after="48"/>
              <w:ind w:left="136"/>
              <w:jc w:val="left"/>
              <w:rPr>
                <w:noProof/>
                <w:sz w:val="16"/>
              </w:rPr>
            </w:pPr>
            <w:r w:rsidRPr="00B612E0">
              <w:rPr>
                <w:noProof/>
                <w:sz w:val="16"/>
              </w:rPr>
              <w:t>Otras líneas presupuestarias (especifíquense)</w:t>
            </w:r>
          </w:p>
        </w:tc>
        <w:tc>
          <w:tcPr>
            <w:tcW w:w="839" w:type="dxa"/>
            <w:shd w:val="clear" w:color="auto" w:fill="auto"/>
            <w:vAlign w:val="center"/>
          </w:tcPr>
          <w:p w:rsidR="007D02A8" w:rsidRPr="00B612E0" w:rsidRDefault="007D02A8" w:rsidP="00B612E0">
            <w:pPr>
              <w:spacing w:beforeLines="20" w:before="48" w:afterLines="20" w:after="48"/>
              <w:jc w:val="center"/>
              <w:rPr>
                <w:noProof/>
                <w:sz w:val="16"/>
                <w:szCs w:val="16"/>
              </w:rPr>
            </w:pPr>
          </w:p>
        </w:tc>
        <w:tc>
          <w:tcPr>
            <w:tcW w:w="731" w:type="dxa"/>
            <w:shd w:val="clear" w:color="auto" w:fill="auto"/>
            <w:vAlign w:val="center"/>
          </w:tcPr>
          <w:p w:rsidR="007D02A8" w:rsidRPr="00B612E0" w:rsidRDefault="007D02A8" w:rsidP="00B612E0">
            <w:pPr>
              <w:spacing w:beforeLines="20" w:before="48" w:afterLines="20" w:after="48"/>
              <w:jc w:val="center"/>
              <w:rPr>
                <w:noProof/>
                <w:sz w:val="16"/>
                <w:szCs w:val="16"/>
              </w:rPr>
            </w:pPr>
          </w:p>
        </w:tc>
        <w:tc>
          <w:tcPr>
            <w:tcW w:w="731" w:type="dxa"/>
            <w:shd w:val="clear" w:color="auto" w:fill="auto"/>
            <w:vAlign w:val="center"/>
          </w:tcPr>
          <w:p w:rsidR="007D02A8" w:rsidRPr="00B612E0" w:rsidRDefault="007D02A8" w:rsidP="00B612E0">
            <w:pPr>
              <w:spacing w:beforeLines="20" w:before="48" w:afterLines="20" w:after="48"/>
              <w:jc w:val="center"/>
              <w:rPr>
                <w:noProof/>
                <w:sz w:val="16"/>
                <w:szCs w:val="16"/>
              </w:rPr>
            </w:pPr>
          </w:p>
        </w:tc>
        <w:tc>
          <w:tcPr>
            <w:tcW w:w="731" w:type="dxa"/>
            <w:shd w:val="clear" w:color="auto" w:fill="auto"/>
            <w:vAlign w:val="center"/>
          </w:tcPr>
          <w:p w:rsidR="007D02A8" w:rsidRPr="00B612E0" w:rsidRDefault="007D02A8" w:rsidP="00B612E0">
            <w:pPr>
              <w:spacing w:beforeLines="20" w:before="48" w:afterLines="20" w:after="48"/>
              <w:jc w:val="center"/>
              <w:rPr>
                <w:noProof/>
                <w:sz w:val="16"/>
                <w:szCs w:val="16"/>
              </w:rPr>
            </w:pPr>
          </w:p>
        </w:tc>
        <w:tc>
          <w:tcPr>
            <w:tcW w:w="731" w:type="dxa"/>
            <w:shd w:val="clear" w:color="auto" w:fill="auto"/>
            <w:vAlign w:val="center"/>
          </w:tcPr>
          <w:p w:rsidR="007D02A8" w:rsidRPr="00B612E0" w:rsidRDefault="007D02A8" w:rsidP="00B612E0">
            <w:pPr>
              <w:spacing w:beforeLines="20" w:before="48" w:afterLines="20" w:after="48"/>
              <w:jc w:val="center"/>
              <w:rPr>
                <w:noProof/>
                <w:sz w:val="16"/>
                <w:szCs w:val="16"/>
              </w:rPr>
            </w:pPr>
          </w:p>
        </w:tc>
        <w:tc>
          <w:tcPr>
            <w:tcW w:w="731" w:type="dxa"/>
            <w:shd w:val="clear" w:color="auto" w:fill="auto"/>
            <w:vAlign w:val="center"/>
          </w:tcPr>
          <w:p w:rsidR="007D02A8" w:rsidRPr="00B612E0" w:rsidRDefault="007D02A8" w:rsidP="00B612E0">
            <w:pPr>
              <w:spacing w:beforeLines="20" w:before="48" w:afterLines="20" w:after="48"/>
              <w:jc w:val="center"/>
              <w:rPr>
                <w:noProof/>
                <w:sz w:val="16"/>
                <w:szCs w:val="16"/>
              </w:rPr>
            </w:pPr>
          </w:p>
        </w:tc>
        <w:tc>
          <w:tcPr>
            <w:tcW w:w="731" w:type="dxa"/>
            <w:shd w:val="clear" w:color="auto" w:fill="auto"/>
            <w:vAlign w:val="center"/>
          </w:tcPr>
          <w:p w:rsidR="007D02A8" w:rsidRPr="00B612E0" w:rsidRDefault="007D02A8" w:rsidP="00B612E0">
            <w:pPr>
              <w:spacing w:beforeLines="20" w:before="48" w:afterLines="20" w:after="48"/>
              <w:jc w:val="center"/>
              <w:rPr>
                <w:noProof/>
                <w:sz w:val="16"/>
                <w:szCs w:val="16"/>
              </w:rPr>
            </w:pPr>
          </w:p>
        </w:tc>
      </w:tr>
      <w:tr w:rsidR="007D02A8" w:rsidRPr="00B612E0" w:rsidTr="00B612E0">
        <w:trPr>
          <w:gridBefore w:val="1"/>
          <w:wBefore w:w="15" w:type="dxa"/>
          <w:trHeight w:val="289"/>
          <w:jc w:val="center"/>
        </w:trPr>
        <w:tc>
          <w:tcPr>
            <w:tcW w:w="4646" w:type="dxa"/>
            <w:gridSpan w:val="2"/>
            <w:tcBorders>
              <w:top w:val="double" w:sz="4" w:space="0" w:color="auto"/>
            </w:tcBorders>
            <w:shd w:val="clear" w:color="auto" w:fill="auto"/>
            <w:vAlign w:val="center"/>
          </w:tcPr>
          <w:p w:rsidR="007D02A8" w:rsidRPr="00B612E0" w:rsidRDefault="007D02A8" w:rsidP="00B612E0">
            <w:pPr>
              <w:pStyle w:val="Text1"/>
              <w:spacing w:beforeLines="20" w:before="48" w:afterLines="20" w:after="48"/>
              <w:ind w:left="136"/>
              <w:jc w:val="left"/>
              <w:rPr>
                <w:noProof/>
                <w:sz w:val="16"/>
                <w:szCs w:val="16"/>
              </w:rPr>
            </w:pPr>
            <w:r w:rsidRPr="00B612E0">
              <w:rPr>
                <w:b/>
                <w:noProof/>
                <w:sz w:val="16"/>
              </w:rPr>
              <w:t>TOTAL</w:t>
            </w:r>
          </w:p>
        </w:tc>
        <w:tc>
          <w:tcPr>
            <w:tcW w:w="839" w:type="dxa"/>
            <w:tcBorders>
              <w:top w:val="double" w:sz="4" w:space="0" w:color="auto"/>
            </w:tcBorders>
            <w:shd w:val="clear" w:color="auto" w:fill="auto"/>
            <w:vAlign w:val="center"/>
          </w:tcPr>
          <w:p w:rsidR="007D02A8" w:rsidRPr="00B612E0" w:rsidRDefault="007D02A8" w:rsidP="00B612E0">
            <w:pPr>
              <w:spacing w:beforeLines="20" w:before="48" w:afterLines="20" w:after="48"/>
              <w:jc w:val="center"/>
              <w:rPr>
                <w:b/>
                <w:noProof/>
                <w:sz w:val="16"/>
                <w:szCs w:val="16"/>
              </w:rPr>
            </w:pPr>
            <w:r w:rsidRPr="00B612E0">
              <w:rPr>
                <w:b/>
                <w:noProof/>
                <w:sz w:val="16"/>
                <w:szCs w:val="16"/>
              </w:rPr>
              <w:t>10</w:t>
            </w:r>
          </w:p>
        </w:tc>
        <w:tc>
          <w:tcPr>
            <w:tcW w:w="731" w:type="dxa"/>
            <w:tcBorders>
              <w:top w:val="double" w:sz="4" w:space="0" w:color="auto"/>
            </w:tcBorders>
            <w:shd w:val="clear" w:color="auto" w:fill="auto"/>
            <w:vAlign w:val="center"/>
          </w:tcPr>
          <w:p w:rsidR="007D02A8" w:rsidRPr="00B612E0" w:rsidRDefault="007D02A8" w:rsidP="00B612E0">
            <w:pPr>
              <w:spacing w:beforeLines="20" w:before="48" w:afterLines="20" w:after="48"/>
              <w:jc w:val="center"/>
              <w:rPr>
                <w:b/>
                <w:noProof/>
                <w:sz w:val="16"/>
                <w:szCs w:val="16"/>
              </w:rPr>
            </w:pPr>
            <w:r w:rsidRPr="00B612E0">
              <w:rPr>
                <w:b/>
                <w:noProof/>
                <w:sz w:val="16"/>
                <w:szCs w:val="16"/>
              </w:rPr>
              <w:t>10</w:t>
            </w:r>
          </w:p>
        </w:tc>
        <w:tc>
          <w:tcPr>
            <w:tcW w:w="731" w:type="dxa"/>
            <w:tcBorders>
              <w:top w:val="double" w:sz="4" w:space="0" w:color="auto"/>
            </w:tcBorders>
            <w:shd w:val="clear" w:color="auto" w:fill="auto"/>
            <w:vAlign w:val="center"/>
          </w:tcPr>
          <w:p w:rsidR="007D02A8" w:rsidRPr="00B612E0" w:rsidRDefault="007D02A8" w:rsidP="00B612E0">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rsidR="007D02A8" w:rsidRPr="00B612E0" w:rsidRDefault="007D02A8" w:rsidP="00B612E0">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rsidR="007D02A8" w:rsidRPr="00B612E0" w:rsidRDefault="007D02A8" w:rsidP="00B612E0">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rsidR="007D02A8" w:rsidRPr="00B612E0" w:rsidRDefault="007D02A8" w:rsidP="00B612E0">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rsidR="007D02A8" w:rsidRPr="00B612E0" w:rsidRDefault="007D02A8" w:rsidP="00B612E0">
            <w:pPr>
              <w:spacing w:beforeLines="20" w:before="48" w:afterLines="20" w:after="48"/>
              <w:jc w:val="center"/>
              <w:rPr>
                <w:b/>
                <w:noProof/>
                <w:sz w:val="16"/>
                <w:szCs w:val="16"/>
              </w:rPr>
            </w:pPr>
          </w:p>
        </w:tc>
      </w:tr>
    </w:tbl>
    <w:p w:rsidR="007D02A8" w:rsidRPr="00B612E0" w:rsidRDefault="007D02A8" w:rsidP="007D02A8">
      <w:pPr>
        <w:pStyle w:val="Text1"/>
        <w:spacing w:before="60" w:after="60"/>
        <w:ind w:left="851"/>
        <w:rPr>
          <w:noProof/>
          <w:sz w:val="18"/>
          <w:szCs w:val="18"/>
        </w:rPr>
      </w:pPr>
      <w:r w:rsidRPr="00B612E0">
        <w:rPr>
          <w:b/>
          <w:bCs/>
          <w:noProof/>
          <w:sz w:val="18"/>
          <w:szCs w:val="18"/>
        </w:rPr>
        <w:t>XX</w:t>
      </w:r>
      <w:r w:rsidRPr="00B612E0">
        <w:rPr>
          <w:noProof/>
          <w:sz w:val="18"/>
          <w:szCs w:val="18"/>
        </w:rPr>
        <w:t xml:space="preserve"> es la política o título en cuestión.</w:t>
      </w:r>
    </w:p>
    <w:p w:rsidR="007D02A8" w:rsidRPr="00B612E0" w:rsidRDefault="007D02A8" w:rsidP="007D02A8">
      <w:pPr>
        <w:pStyle w:val="Text1"/>
        <w:rPr>
          <w:noProof/>
          <w:sz w:val="18"/>
          <w:szCs w:val="18"/>
        </w:rPr>
      </w:pPr>
      <w:r w:rsidRPr="00B612E0">
        <w:rPr>
          <w:noProof/>
          <w:sz w:val="18"/>
        </w:rPr>
        <w:t>Las necesidades de recursos humanos serán cubiertas por el personal de las DG ya destinado a la gestión de la acción o reorganizado internamente en las DG, completado en su caso por cualquier dotación adicional que pudiera asignarse a las DG gestoras en el marco del procedimiento de asignación anual y a la luz de los imperativos presupuestarios existentes.</w:t>
      </w:r>
    </w:p>
    <w:p w:rsidR="007D02A8" w:rsidRPr="00B612E0" w:rsidRDefault="007D02A8" w:rsidP="007D02A8">
      <w:pPr>
        <w:rPr>
          <w:noProof/>
          <w:sz w:val="20"/>
        </w:rPr>
      </w:pPr>
      <w:r w:rsidRPr="00B612E0">
        <w:rPr>
          <w:noProof/>
          <w:sz w:val="20"/>
        </w:rPr>
        <w:t>Descripción de las tareas:</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7D02A8" w:rsidRPr="00B612E0" w:rsidTr="00B612E0">
        <w:tc>
          <w:tcPr>
            <w:tcW w:w="3240" w:type="dxa"/>
          </w:tcPr>
          <w:p w:rsidR="007D02A8" w:rsidRPr="00B612E0" w:rsidRDefault="007D02A8" w:rsidP="00B612E0">
            <w:pPr>
              <w:rPr>
                <w:noProof/>
                <w:sz w:val="20"/>
              </w:rPr>
            </w:pPr>
            <w:r w:rsidRPr="00B612E0">
              <w:rPr>
                <w:noProof/>
                <w:sz w:val="20"/>
              </w:rPr>
              <w:t>Funcionarios y agentes temporales</w:t>
            </w:r>
          </w:p>
        </w:tc>
        <w:tc>
          <w:tcPr>
            <w:tcW w:w="7200" w:type="dxa"/>
          </w:tcPr>
          <w:p w:rsidR="007D02A8" w:rsidRPr="00B612E0" w:rsidRDefault="007D02A8" w:rsidP="00B612E0">
            <w:pPr>
              <w:rPr>
                <w:noProof/>
                <w:sz w:val="20"/>
              </w:rPr>
            </w:pPr>
            <w:r w:rsidRPr="00B612E0">
              <w:rPr>
                <w:noProof/>
                <w:sz w:val="20"/>
              </w:rPr>
              <w:t>Se encomendará al personal el desarrollo, el seguimiento y la aplicación del presente Reglamento, las especificaciones técnicas adoptadas sobre la base del mismo, el seguimiento de la ejecución técnica (a través de contratos marco y subvenciones), así como el apoyo a los Estados miembros para el desarrollo de sus aplicaciones nacionales.</w:t>
            </w:r>
          </w:p>
          <w:p w:rsidR="007D02A8" w:rsidRPr="00B612E0" w:rsidRDefault="007D02A8" w:rsidP="00B612E0">
            <w:pPr>
              <w:rPr>
                <w:noProof/>
                <w:sz w:val="20"/>
              </w:rPr>
            </w:pPr>
          </w:p>
        </w:tc>
      </w:tr>
      <w:tr w:rsidR="007D02A8" w:rsidRPr="00B612E0" w:rsidTr="00B612E0">
        <w:tc>
          <w:tcPr>
            <w:tcW w:w="3240" w:type="dxa"/>
          </w:tcPr>
          <w:p w:rsidR="007D02A8" w:rsidRPr="00B612E0" w:rsidRDefault="007D02A8" w:rsidP="00B612E0">
            <w:pPr>
              <w:spacing w:before="60" w:after="60"/>
              <w:rPr>
                <w:noProof/>
                <w:sz w:val="20"/>
              </w:rPr>
            </w:pPr>
            <w:r w:rsidRPr="00B612E0">
              <w:rPr>
                <w:noProof/>
                <w:sz w:val="20"/>
              </w:rPr>
              <w:t>Personal externo</w:t>
            </w:r>
          </w:p>
        </w:tc>
        <w:tc>
          <w:tcPr>
            <w:tcW w:w="7200" w:type="dxa"/>
          </w:tcPr>
          <w:p w:rsidR="007D02A8" w:rsidRPr="00B612E0" w:rsidRDefault="007D02A8" w:rsidP="00B612E0">
            <w:pPr>
              <w:rPr>
                <w:noProof/>
                <w:sz w:val="20"/>
              </w:rPr>
            </w:pPr>
          </w:p>
        </w:tc>
      </w:tr>
    </w:tbl>
    <w:p w:rsidR="007D02A8" w:rsidRPr="00B612E0" w:rsidRDefault="007D02A8" w:rsidP="007D02A8">
      <w:pPr>
        <w:rPr>
          <w:noProof/>
        </w:rPr>
        <w:sectPr w:rsidR="007D02A8" w:rsidRPr="00B612E0" w:rsidSect="00FF77AA">
          <w:pgSz w:w="11907" w:h="16840"/>
          <w:pgMar w:top="1134" w:right="1418" w:bottom="1134" w:left="1418" w:header="709" w:footer="709" w:gutter="0"/>
          <w:cols w:space="708"/>
          <w:docGrid w:linePitch="360"/>
        </w:sectPr>
      </w:pPr>
    </w:p>
    <w:p w:rsidR="007D02A8" w:rsidRPr="00B612E0" w:rsidRDefault="007D02A8" w:rsidP="007D02A8">
      <w:pPr>
        <w:pStyle w:val="ManualHeading3"/>
        <w:rPr>
          <w:noProof/>
        </w:rPr>
      </w:pPr>
      <w:bookmarkStart w:id="39" w:name="_Toc514938056"/>
      <w:bookmarkStart w:id="40" w:name="_Toc520485055"/>
      <w:r w:rsidRPr="00B612E0">
        <w:rPr>
          <w:noProof/>
        </w:rPr>
        <w:t>3.2.4</w:t>
      </w:r>
      <w:r w:rsidR="00234966">
        <w:rPr>
          <w:noProof/>
        </w:rPr>
        <w:t>.</w:t>
      </w:r>
      <w:r w:rsidRPr="00B612E0">
        <w:rPr>
          <w:noProof/>
        </w:rPr>
        <w:tab/>
        <w:t>Compatibilidad con el marco financiero plurianual vigente</w:t>
      </w:r>
      <w:bookmarkEnd w:id="39"/>
      <w:bookmarkEnd w:id="40"/>
      <w:r w:rsidRPr="00B612E0">
        <w:rPr>
          <w:noProof/>
        </w:rPr>
        <w:t xml:space="preserve"> </w:t>
      </w:r>
    </w:p>
    <w:p w:rsidR="007D02A8" w:rsidRPr="00B612E0" w:rsidRDefault="007D02A8" w:rsidP="007D02A8">
      <w:pPr>
        <w:pStyle w:val="Text1"/>
        <w:rPr>
          <w:noProof/>
        </w:rPr>
      </w:pPr>
      <w:r w:rsidRPr="00B612E0">
        <w:rPr>
          <w:noProof/>
        </w:rPr>
        <w:t>La propuesta/iniciativa:</w:t>
      </w:r>
    </w:p>
    <w:p w:rsidR="007D02A8" w:rsidRPr="00B612E0" w:rsidRDefault="007D02A8" w:rsidP="007D02A8">
      <w:pPr>
        <w:pStyle w:val="ListDash1"/>
        <w:rPr>
          <w:noProof/>
        </w:rPr>
      </w:pPr>
      <w:r w:rsidRPr="00B612E0">
        <w:rPr>
          <w:noProof/>
        </w:rPr>
        <w:sym w:font="Wingdings" w:char="F06E"/>
      </w:r>
      <w:r w:rsidRPr="00B612E0">
        <w:rPr>
          <w:noProof/>
        </w:rPr>
        <w:t xml:space="preserve"> puede financiarse mediante redistribución dentro de las rúbricas pertinentes del marco financiero plurianual (MFP).</w:t>
      </w:r>
    </w:p>
    <w:p w:rsidR="007D02A8" w:rsidRPr="00B612E0" w:rsidRDefault="007D02A8" w:rsidP="007D02A8">
      <w:pPr>
        <w:pStyle w:val="Text1"/>
        <w:pBdr>
          <w:top w:val="single" w:sz="4" w:space="1" w:color="auto"/>
          <w:left w:val="single" w:sz="4" w:space="4" w:color="auto"/>
          <w:bottom w:val="single" w:sz="4" w:space="1" w:color="auto"/>
          <w:right w:val="single" w:sz="4" w:space="4" w:color="auto"/>
        </w:pBdr>
        <w:rPr>
          <w:noProof/>
          <w:sz w:val="20"/>
        </w:rPr>
      </w:pPr>
      <w:r w:rsidRPr="00B612E0">
        <w:rPr>
          <w:noProof/>
          <w:sz w:val="20"/>
        </w:rPr>
        <w:t xml:space="preserve">El programa Europa Digital financiará los costes de esta iniciativa. </w:t>
      </w:r>
    </w:p>
    <w:p w:rsidR="007D02A8" w:rsidRPr="00B612E0" w:rsidRDefault="007D02A8" w:rsidP="007D02A8">
      <w:pPr>
        <w:pStyle w:val="ListDash1"/>
        <w:rPr>
          <w:noProof/>
        </w:rPr>
      </w:pPr>
      <w:r w:rsidRPr="00B612E0">
        <w:rPr>
          <w:noProof/>
        </w:rPr>
        <w:sym w:font="Wingdings" w:char="F0A8"/>
      </w:r>
      <w:r w:rsidRPr="00B612E0">
        <w:rPr>
          <w:noProof/>
        </w:rPr>
        <w:t xml:space="preserve"> requiere el uso del margen no asignado con cargo a la rúbrica pertinente del MFP o el uso de los instrumentos especiales tal como se define en el Reglamento del MFP.</w:t>
      </w:r>
    </w:p>
    <w:p w:rsidR="007D02A8" w:rsidRPr="00B612E0" w:rsidRDefault="007D02A8" w:rsidP="007D02A8">
      <w:pPr>
        <w:pStyle w:val="ListDash1"/>
        <w:rPr>
          <w:noProof/>
        </w:rPr>
      </w:pPr>
      <w:r w:rsidRPr="00B612E0">
        <w:rPr>
          <w:noProof/>
        </w:rPr>
        <w:sym w:font="Wingdings" w:char="F0A8"/>
      </w:r>
      <w:r w:rsidRPr="00B612E0">
        <w:rPr>
          <w:noProof/>
        </w:rPr>
        <w:t xml:space="preserve"> requiere una revisión del MFP.</w:t>
      </w:r>
    </w:p>
    <w:p w:rsidR="007D02A8" w:rsidRPr="00B612E0" w:rsidRDefault="007D02A8" w:rsidP="007D02A8">
      <w:pPr>
        <w:pStyle w:val="Text1"/>
        <w:pBdr>
          <w:top w:val="single" w:sz="4" w:space="1" w:color="auto"/>
          <w:left w:val="single" w:sz="4" w:space="4" w:color="auto"/>
          <w:bottom w:val="single" w:sz="4" w:space="1" w:color="auto"/>
          <w:right w:val="single" w:sz="4" w:space="4" w:color="auto"/>
        </w:pBdr>
        <w:rPr>
          <w:noProof/>
          <w:sz w:val="20"/>
        </w:rPr>
      </w:pPr>
      <w:r w:rsidRPr="00B612E0">
        <w:rPr>
          <w:noProof/>
          <w:sz w:val="20"/>
        </w:rPr>
        <w:t xml:space="preserve"> </w:t>
      </w:r>
    </w:p>
    <w:p w:rsidR="007D02A8" w:rsidRPr="00B612E0" w:rsidRDefault="007D02A8" w:rsidP="007D02A8">
      <w:pPr>
        <w:pStyle w:val="ManualHeading3"/>
        <w:rPr>
          <w:bCs/>
          <w:noProof/>
          <w:szCs w:val="24"/>
        </w:rPr>
      </w:pPr>
      <w:bookmarkStart w:id="41" w:name="_Toc514938058"/>
      <w:bookmarkStart w:id="42" w:name="_Toc520485056"/>
      <w:r w:rsidRPr="00B612E0">
        <w:rPr>
          <w:noProof/>
        </w:rPr>
        <w:t>3.2.5</w:t>
      </w:r>
      <w:r w:rsidR="00234966">
        <w:rPr>
          <w:noProof/>
        </w:rPr>
        <w:t>.</w:t>
      </w:r>
      <w:r w:rsidRPr="00B612E0">
        <w:rPr>
          <w:noProof/>
        </w:rPr>
        <w:tab/>
        <w:t>Contribución de terceros</w:t>
      </w:r>
      <w:bookmarkEnd w:id="41"/>
      <w:bookmarkEnd w:id="42"/>
      <w:r w:rsidRPr="00B612E0">
        <w:rPr>
          <w:noProof/>
        </w:rPr>
        <w:t xml:space="preserve"> </w:t>
      </w:r>
    </w:p>
    <w:p w:rsidR="007D02A8" w:rsidRPr="00B612E0" w:rsidRDefault="007D02A8" w:rsidP="007D02A8">
      <w:pPr>
        <w:pStyle w:val="Text1"/>
        <w:rPr>
          <w:noProof/>
        </w:rPr>
      </w:pPr>
      <w:r w:rsidRPr="00B612E0">
        <w:rPr>
          <w:noProof/>
        </w:rPr>
        <w:t>La propuesta/iniciativa:</w:t>
      </w:r>
    </w:p>
    <w:p w:rsidR="007D02A8" w:rsidRPr="00B612E0" w:rsidRDefault="007D02A8" w:rsidP="007D02A8">
      <w:pPr>
        <w:pStyle w:val="ListDash1"/>
        <w:rPr>
          <w:noProof/>
        </w:rPr>
      </w:pPr>
      <w:r w:rsidRPr="00B612E0">
        <w:rPr>
          <w:noProof/>
        </w:rPr>
        <w:sym w:font="Wingdings" w:char="F06E"/>
      </w:r>
      <w:r w:rsidRPr="00B612E0">
        <w:rPr>
          <w:noProof/>
        </w:rPr>
        <w:t xml:space="preserve"> no prevé la cofinanciación por terceros</w:t>
      </w:r>
    </w:p>
    <w:p w:rsidR="007D02A8" w:rsidRPr="00B612E0" w:rsidRDefault="007D02A8" w:rsidP="007D02A8">
      <w:pPr>
        <w:pStyle w:val="ListDash1"/>
        <w:rPr>
          <w:noProof/>
        </w:rPr>
      </w:pPr>
      <w:r w:rsidRPr="00B612E0">
        <w:rPr>
          <w:noProof/>
        </w:rPr>
        <w:sym w:font="Wingdings" w:char="F0A8"/>
      </w:r>
      <w:r w:rsidRPr="00B612E0">
        <w:rPr>
          <w:noProof/>
        </w:rPr>
        <w:t xml:space="preserve"> prevé la cofinanciación por terceros que se estima a continuación:</w:t>
      </w:r>
    </w:p>
    <w:p w:rsidR="007D02A8" w:rsidRPr="00B612E0" w:rsidRDefault="007D02A8" w:rsidP="007D02A8">
      <w:pPr>
        <w:jc w:val="right"/>
        <w:rPr>
          <w:noProof/>
          <w:sz w:val="20"/>
        </w:rPr>
      </w:pPr>
      <w:r w:rsidRPr="00B612E0">
        <w:rPr>
          <w:noProof/>
          <w:sz w:val="20"/>
        </w:rPr>
        <w:t>Créditos en millones EUR (al tercer decimal)</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123"/>
        <w:gridCol w:w="874"/>
        <w:gridCol w:w="874"/>
        <w:gridCol w:w="874"/>
        <w:gridCol w:w="873"/>
        <w:gridCol w:w="873"/>
        <w:gridCol w:w="873"/>
        <w:gridCol w:w="875"/>
        <w:gridCol w:w="1050"/>
      </w:tblGrid>
      <w:tr w:rsidR="007D02A8" w:rsidRPr="00B612E0" w:rsidTr="00B612E0">
        <w:trPr>
          <w:cantSplit/>
        </w:trPr>
        <w:tc>
          <w:tcPr>
            <w:tcW w:w="1142" w:type="pct"/>
          </w:tcPr>
          <w:p w:rsidR="007D02A8" w:rsidRPr="00B612E0" w:rsidRDefault="007D02A8" w:rsidP="00B612E0">
            <w:pPr>
              <w:spacing w:before="60" w:after="60"/>
              <w:rPr>
                <w:noProof/>
                <w:sz w:val="20"/>
              </w:rPr>
            </w:pPr>
          </w:p>
        </w:tc>
        <w:tc>
          <w:tcPr>
            <w:tcW w:w="470" w:type="pct"/>
            <w:vAlign w:val="center"/>
          </w:tcPr>
          <w:p w:rsidR="007D02A8" w:rsidRPr="00B612E0" w:rsidRDefault="007D02A8" w:rsidP="00B612E0">
            <w:pPr>
              <w:jc w:val="center"/>
              <w:rPr>
                <w:noProof/>
                <w:sz w:val="20"/>
              </w:rPr>
            </w:pPr>
            <w:r w:rsidRPr="00B612E0">
              <w:rPr>
                <w:noProof/>
                <w:sz w:val="20"/>
              </w:rPr>
              <w:t>Año</w:t>
            </w:r>
            <w:r w:rsidRPr="00B612E0">
              <w:rPr>
                <w:noProof/>
              </w:rPr>
              <w:t xml:space="preserve"> </w:t>
            </w:r>
            <w:r w:rsidRPr="00B612E0">
              <w:rPr>
                <w:noProof/>
              </w:rPr>
              <w:br/>
            </w:r>
            <w:r w:rsidRPr="00B612E0">
              <w:rPr>
                <w:b/>
                <w:noProof/>
                <w:sz w:val="20"/>
              </w:rPr>
              <w:t>N</w:t>
            </w:r>
            <w:r w:rsidRPr="00B612E0">
              <w:rPr>
                <w:rStyle w:val="FootnoteReference"/>
                <w:b/>
                <w:noProof/>
                <w:sz w:val="20"/>
              </w:rPr>
              <w:footnoteReference w:id="47"/>
            </w:r>
          </w:p>
        </w:tc>
        <w:tc>
          <w:tcPr>
            <w:tcW w:w="470" w:type="pct"/>
            <w:vAlign w:val="center"/>
          </w:tcPr>
          <w:p w:rsidR="007D02A8" w:rsidRPr="00B612E0" w:rsidRDefault="007D02A8" w:rsidP="00B612E0">
            <w:pPr>
              <w:jc w:val="center"/>
              <w:rPr>
                <w:noProof/>
                <w:sz w:val="20"/>
              </w:rPr>
            </w:pPr>
            <w:r w:rsidRPr="00B612E0">
              <w:rPr>
                <w:noProof/>
                <w:sz w:val="20"/>
              </w:rPr>
              <w:t>Año</w:t>
            </w:r>
            <w:r w:rsidRPr="00B612E0">
              <w:rPr>
                <w:noProof/>
              </w:rPr>
              <w:t xml:space="preserve"> </w:t>
            </w:r>
            <w:r w:rsidRPr="00B612E0">
              <w:rPr>
                <w:noProof/>
              </w:rPr>
              <w:br/>
            </w:r>
            <w:r w:rsidRPr="00B612E0">
              <w:rPr>
                <w:b/>
                <w:noProof/>
                <w:sz w:val="20"/>
              </w:rPr>
              <w:t>N+1</w:t>
            </w:r>
          </w:p>
        </w:tc>
        <w:tc>
          <w:tcPr>
            <w:tcW w:w="470" w:type="pct"/>
            <w:vAlign w:val="center"/>
          </w:tcPr>
          <w:p w:rsidR="007D02A8" w:rsidRPr="00B612E0" w:rsidRDefault="007D02A8" w:rsidP="00B612E0">
            <w:pPr>
              <w:jc w:val="center"/>
              <w:rPr>
                <w:noProof/>
                <w:sz w:val="20"/>
              </w:rPr>
            </w:pPr>
            <w:r w:rsidRPr="00B612E0">
              <w:rPr>
                <w:noProof/>
                <w:sz w:val="20"/>
              </w:rPr>
              <w:t>Año</w:t>
            </w:r>
            <w:r w:rsidRPr="00B612E0">
              <w:rPr>
                <w:noProof/>
              </w:rPr>
              <w:t xml:space="preserve"> </w:t>
            </w:r>
            <w:r w:rsidRPr="00B612E0">
              <w:rPr>
                <w:noProof/>
              </w:rPr>
              <w:br/>
            </w:r>
            <w:r w:rsidRPr="00B612E0">
              <w:rPr>
                <w:b/>
                <w:noProof/>
                <w:sz w:val="20"/>
              </w:rPr>
              <w:t>N+2</w:t>
            </w:r>
          </w:p>
        </w:tc>
        <w:tc>
          <w:tcPr>
            <w:tcW w:w="470" w:type="pct"/>
            <w:vAlign w:val="center"/>
          </w:tcPr>
          <w:p w:rsidR="007D02A8" w:rsidRPr="00B612E0" w:rsidRDefault="007D02A8" w:rsidP="00B612E0">
            <w:pPr>
              <w:jc w:val="center"/>
              <w:rPr>
                <w:noProof/>
                <w:sz w:val="20"/>
              </w:rPr>
            </w:pPr>
            <w:r w:rsidRPr="00B612E0">
              <w:rPr>
                <w:noProof/>
                <w:sz w:val="20"/>
              </w:rPr>
              <w:t>Año</w:t>
            </w:r>
            <w:r w:rsidRPr="00B612E0">
              <w:rPr>
                <w:noProof/>
              </w:rPr>
              <w:t xml:space="preserve"> </w:t>
            </w:r>
            <w:r w:rsidRPr="00B612E0">
              <w:rPr>
                <w:noProof/>
              </w:rPr>
              <w:br/>
            </w:r>
            <w:r w:rsidRPr="00B612E0">
              <w:rPr>
                <w:b/>
                <w:noProof/>
                <w:sz w:val="20"/>
              </w:rPr>
              <w:t>N+3</w:t>
            </w:r>
          </w:p>
        </w:tc>
        <w:tc>
          <w:tcPr>
            <w:tcW w:w="1411" w:type="pct"/>
            <w:gridSpan w:val="3"/>
            <w:vAlign w:val="center"/>
          </w:tcPr>
          <w:p w:rsidR="007D02A8" w:rsidRPr="00B612E0" w:rsidRDefault="007D02A8" w:rsidP="00B612E0">
            <w:pPr>
              <w:jc w:val="center"/>
              <w:rPr>
                <w:b/>
                <w:noProof/>
                <w:sz w:val="20"/>
              </w:rPr>
            </w:pPr>
            <w:r w:rsidRPr="00B612E0">
              <w:rPr>
                <w:noProof/>
                <w:sz w:val="20"/>
              </w:rPr>
              <w:t>Insértense tantos años como sea necesario para reflejar la duración de la incidencia (véase el punto 1.6)</w:t>
            </w:r>
          </w:p>
        </w:tc>
        <w:tc>
          <w:tcPr>
            <w:tcW w:w="565" w:type="pct"/>
            <w:vAlign w:val="center"/>
          </w:tcPr>
          <w:p w:rsidR="007D02A8" w:rsidRPr="00B612E0" w:rsidRDefault="007D02A8" w:rsidP="00B612E0">
            <w:pPr>
              <w:spacing w:before="60" w:after="60"/>
              <w:jc w:val="center"/>
              <w:rPr>
                <w:noProof/>
                <w:sz w:val="20"/>
              </w:rPr>
            </w:pPr>
            <w:r w:rsidRPr="00B612E0">
              <w:rPr>
                <w:noProof/>
                <w:sz w:val="20"/>
              </w:rPr>
              <w:t>Total</w:t>
            </w:r>
          </w:p>
        </w:tc>
      </w:tr>
      <w:tr w:rsidR="007D02A8" w:rsidRPr="00B612E0" w:rsidTr="00B612E0">
        <w:trPr>
          <w:cantSplit/>
        </w:trPr>
        <w:tc>
          <w:tcPr>
            <w:tcW w:w="1142" w:type="pct"/>
          </w:tcPr>
          <w:p w:rsidR="007D02A8" w:rsidRPr="00B612E0" w:rsidRDefault="007D02A8" w:rsidP="00234966">
            <w:pPr>
              <w:jc w:val="left"/>
              <w:rPr>
                <w:noProof/>
              </w:rPr>
            </w:pPr>
            <w:r w:rsidRPr="00B612E0">
              <w:rPr>
                <w:noProof/>
                <w:sz w:val="20"/>
              </w:rPr>
              <w:t>Especifíquese el organismo de cofinanciación</w:t>
            </w:r>
            <w:r w:rsidRPr="00B612E0">
              <w:rPr>
                <w:i/>
                <w:noProof/>
                <w:sz w:val="20"/>
              </w:rPr>
              <w:t xml:space="preserve"> </w:t>
            </w:r>
          </w:p>
        </w:tc>
        <w:tc>
          <w:tcPr>
            <w:tcW w:w="470" w:type="pct"/>
            <w:vAlign w:val="center"/>
          </w:tcPr>
          <w:p w:rsidR="007D02A8" w:rsidRPr="00B612E0" w:rsidRDefault="007D02A8" w:rsidP="00B612E0">
            <w:pPr>
              <w:spacing w:before="60" w:after="60"/>
              <w:jc w:val="center"/>
              <w:rPr>
                <w:noProof/>
                <w:sz w:val="20"/>
              </w:rPr>
            </w:pPr>
          </w:p>
        </w:tc>
        <w:tc>
          <w:tcPr>
            <w:tcW w:w="470" w:type="pct"/>
            <w:vAlign w:val="center"/>
          </w:tcPr>
          <w:p w:rsidR="007D02A8" w:rsidRPr="00B612E0" w:rsidRDefault="007D02A8" w:rsidP="00B612E0">
            <w:pPr>
              <w:spacing w:before="60" w:after="60"/>
              <w:jc w:val="center"/>
              <w:rPr>
                <w:noProof/>
                <w:sz w:val="20"/>
              </w:rPr>
            </w:pPr>
          </w:p>
        </w:tc>
        <w:tc>
          <w:tcPr>
            <w:tcW w:w="470" w:type="pct"/>
            <w:vAlign w:val="center"/>
          </w:tcPr>
          <w:p w:rsidR="007D02A8" w:rsidRPr="00B612E0" w:rsidRDefault="007D02A8" w:rsidP="00B612E0">
            <w:pPr>
              <w:spacing w:before="60" w:after="60"/>
              <w:jc w:val="center"/>
              <w:rPr>
                <w:noProof/>
                <w:sz w:val="20"/>
              </w:rPr>
            </w:pPr>
          </w:p>
        </w:tc>
        <w:tc>
          <w:tcPr>
            <w:tcW w:w="470" w:type="pct"/>
            <w:vAlign w:val="center"/>
          </w:tcPr>
          <w:p w:rsidR="007D02A8" w:rsidRPr="00B612E0" w:rsidRDefault="007D02A8" w:rsidP="00B612E0">
            <w:pPr>
              <w:spacing w:before="60" w:after="60"/>
              <w:jc w:val="center"/>
              <w:rPr>
                <w:noProof/>
                <w:sz w:val="20"/>
              </w:rPr>
            </w:pPr>
          </w:p>
        </w:tc>
        <w:tc>
          <w:tcPr>
            <w:tcW w:w="470" w:type="pct"/>
            <w:vAlign w:val="center"/>
          </w:tcPr>
          <w:p w:rsidR="007D02A8" w:rsidRPr="00B612E0" w:rsidRDefault="007D02A8" w:rsidP="00B612E0">
            <w:pPr>
              <w:spacing w:before="60" w:after="60"/>
              <w:jc w:val="center"/>
              <w:rPr>
                <w:noProof/>
                <w:sz w:val="20"/>
              </w:rPr>
            </w:pPr>
          </w:p>
        </w:tc>
        <w:tc>
          <w:tcPr>
            <w:tcW w:w="470" w:type="pct"/>
            <w:vAlign w:val="center"/>
          </w:tcPr>
          <w:p w:rsidR="007D02A8" w:rsidRPr="00B612E0" w:rsidRDefault="007D02A8" w:rsidP="00B612E0">
            <w:pPr>
              <w:spacing w:before="60" w:after="60"/>
              <w:jc w:val="center"/>
              <w:rPr>
                <w:noProof/>
                <w:sz w:val="20"/>
              </w:rPr>
            </w:pPr>
          </w:p>
        </w:tc>
        <w:tc>
          <w:tcPr>
            <w:tcW w:w="470" w:type="pct"/>
            <w:vAlign w:val="center"/>
          </w:tcPr>
          <w:p w:rsidR="007D02A8" w:rsidRPr="00B612E0" w:rsidRDefault="007D02A8" w:rsidP="00B612E0">
            <w:pPr>
              <w:spacing w:before="60" w:after="60"/>
              <w:jc w:val="center"/>
              <w:rPr>
                <w:noProof/>
                <w:sz w:val="20"/>
              </w:rPr>
            </w:pPr>
          </w:p>
        </w:tc>
        <w:tc>
          <w:tcPr>
            <w:tcW w:w="565" w:type="pct"/>
            <w:vAlign w:val="center"/>
          </w:tcPr>
          <w:p w:rsidR="007D02A8" w:rsidRPr="00B612E0" w:rsidRDefault="007D02A8" w:rsidP="00B612E0">
            <w:pPr>
              <w:spacing w:before="60" w:after="60"/>
              <w:jc w:val="center"/>
              <w:rPr>
                <w:noProof/>
                <w:sz w:val="20"/>
              </w:rPr>
            </w:pPr>
          </w:p>
        </w:tc>
      </w:tr>
      <w:tr w:rsidR="007D02A8" w:rsidRPr="00B612E0" w:rsidTr="00B612E0">
        <w:trPr>
          <w:cantSplit/>
        </w:trPr>
        <w:tc>
          <w:tcPr>
            <w:tcW w:w="1142" w:type="pct"/>
          </w:tcPr>
          <w:p w:rsidR="007D02A8" w:rsidRPr="00B612E0" w:rsidRDefault="007D02A8" w:rsidP="00B612E0">
            <w:pPr>
              <w:spacing w:before="60" w:after="60"/>
              <w:jc w:val="left"/>
              <w:rPr>
                <w:noProof/>
                <w:sz w:val="20"/>
              </w:rPr>
            </w:pPr>
            <w:r w:rsidRPr="00B612E0">
              <w:rPr>
                <w:noProof/>
                <w:sz w:val="20"/>
              </w:rPr>
              <w:t xml:space="preserve">TOTAL créditos cofinanciados </w:t>
            </w:r>
          </w:p>
        </w:tc>
        <w:tc>
          <w:tcPr>
            <w:tcW w:w="470" w:type="pct"/>
            <w:vAlign w:val="center"/>
          </w:tcPr>
          <w:p w:rsidR="007D02A8" w:rsidRPr="00B612E0" w:rsidRDefault="007D02A8" w:rsidP="00B612E0">
            <w:pPr>
              <w:spacing w:before="60" w:after="60"/>
              <w:jc w:val="center"/>
              <w:rPr>
                <w:noProof/>
                <w:sz w:val="20"/>
              </w:rPr>
            </w:pPr>
          </w:p>
        </w:tc>
        <w:tc>
          <w:tcPr>
            <w:tcW w:w="470" w:type="pct"/>
            <w:vAlign w:val="center"/>
          </w:tcPr>
          <w:p w:rsidR="007D02A8" w:rsidRPr="00B612E0" w:rsidRDefault="007D02A8" w:rsidP="00B612E0">
            <w:pPr>
              <w:spacing w:before="60" w:after="60"/>
              <w:jc w:val="center"/>
              <w:rPr>
                <w:noProof/>
                <w:sz w:val="20"/>
              </w:rPr>
            </w:pPr>
          </w:p>
        </w:tc>
        <w:tc>
          <w:tcPr>
            <w:tcW w:w="470" w:type="pct"/>
            <w:vAlign w:val="center"/>
          </w:tcPr>
          <w:p w:rsidR="007D02A8" w:rsidRPr="00B612E0" w:rsidRDefault="007D02A8" w:rsidP="00B612E0">
            <w:pPr>
              <w:spacing w:before="60" w:after="60"/>
              <w:jc w:val="center"/>
              <w:rPr>
                <w:noProof/>
                <w:sz w:val="20"/>
              </w:rPr>
            </w:pPr>
          </w:p>
        </w:tc>
        <w:tc>
          <w:tcPr>
            <w:tcW w:w="470" w:type="pct"/>
            <w:vAlign w:val="center"/>
          </w:tcPr>
          <w:p w:rsidR="007D02A8" w:rsidRPr="00B612E0" w:rsidRDefault="007D02A8" w:rsidP="00B612E0">
            <w:pPr>
              <w:spacing w:before="60" w:after="60"/>
              <w:jc w:val="center"/>
              <w:rPr>
                <w:noProof/>
                <w:sz w:val="20"/>
              </w:rPr>
            </w:pPr>
          </w:p>
        </w:tc>
        <w:tc>
          <w:tcPr>
            <w:tcW w:w="470" w:type="pct"/>
            <w:vAlign w:val="center"/>
          </w:tcPr>
          <w:p w:rsidR="007D02A8" w:rsidRPr="00B612E0" w:rsidRDefault="007D02A8" w:rsidP="00B612E0">
            <w:pPr>
              <w:spacing w:before="60" w:after="60"/>
              <w:jc w:val="center"/>
              <w:rPr>
                <w:noProof/>
                <w:sz w:val="20"/>
              </w:rPr>
            </w:pPr>
          </w:p>
        </w:tc>
        <w:tc>
          <w:tcPr>
            <w:tcW w:w="470" w:type="pct"/>
            <w:vAlign w:val="center"/>
          </w:tcPr>
          <w:p w:rsidR="007D02A8" w:rsidRPr="00B612E0" w:rsidRDefault="007D02A8" w:rsidP="00B612E0">
            <w:pPr>
              <w:spacing w:before="60" w:after="60"/>
              <w:jc w:val="center"/>
              <w:rPr>
                <w:noProof/>
                <w:sz w:val="20"/>
              </w:rPr>
            </w:pPr>
          </w:p>
        </w:tc>
        <w:tc>
          <w:tcPr>
            <w:tcW w:w="470" w:type="pct"/>
            <w:vAlign w:val="center"/>
          </w:tcPr>
          <w:p w:rsidR="007D02A8" w:rsidRPr="00B612E0" w:rsidRDefault="007D02A8" w:rsidP="00B612E0">
            <w:pPr>
              <w:spacing w:before="60" w:after="60"/>
              <w:jc w:val="center"/>
              <w:rPr>
                <w:noProof/>
                <w:sz w:val="20"/>
              </w:rPr>
            </w:pPr>
          </w:p>
        </w:tc>
        <w:tc>
          <w:tcPr>
            <w:tcW w:w="565" w:type="pct"/>
            <w:vAlign w:val="center"/>
          </w:tcPr>
          <w:p w:rsidR="007D02A8" w:rsidRPr="00B612E0" w:rsidRDefault="007D02A8" w:rsidP="00B612E0">
            <w:pPr>
              <w:spacing w:before="60" w:after="60"/>
              <w:jc w:val="center"/>
              <w:rPr>
                <w:noProof/>
                <w:sz w:val="20"/>
              </w:rPr>
            </w:pPr>
          </w:p>
        </w:tc>
      </w:tr>
    </w:tbl>
    <w:p w:rsidR="007D02A8" w:rsidRPr="00B612E0" w:rsidRDefault="007D02A8" w:rsidP="007D02A8">
      <w:pPr>
        <w:pStyle w:val="ManualHeading2"/>
        <w:rPr>
          <w:bCs/>
          <w:noProof/>
          <w:szCs w:val="24"/>
        </w:rPr>
      </w:pPr>
      <w:r w:rsidRPr="00B612E0">
        <w:rPr>
          <w:noProof/>
        </w:rPr>
        <w:br w:type="page"/>
      </w:r>
      <w:bookmarkStart w:id="43" w:name="_Toc514938059"/>
      <w:bookmarkStart w:id="44" w:name="_Toc520485057"/>
      <w:r w:rsidRPr="00B612E0">
        <w:rPr>
          <w:noProof/>
        </w:rPr>
        <w:t>3.3.</w:t>
      </w:r>
      <w:r w:rsidRPr="00B612E0">
        <w:rPr>
          <w:noProof/>
        </w:rPr>
        <w:tab/>
        <w:t>Incidencia estimada en los ingresos</w:t>
      </w:r>
      <w:bookmarkEnd w:id="43"/>
      <w:bookmarkEnd w:id="44"/>
      <w:r w:rsidRPr="00B612E0">
        <w:rPr>
          <w:noProof/>
        </w:rPr>
        <w:t xml:space="preserve"> </w:t>
      </w:r>
    </w:p>
    <w:p w:rsidR="007D02A8" w:rsidRPr="00B612E0" w:rsidRDefault="007D02A8" w:rsidP="007D02A8">
      <w:pPr>
        <w:pStyle w:val="ListDash1"/>
        <w:rPr>
          <w:noProof/>
        </w:rPr>
      </w:pPr>
      <w:r w:rsidRPr="00B612E0">
        <w:rPr>
          <w:noProof/>
        </w:rPr>
        <w:sym w:font="Wingdings" w:char="F06E"/>
      </w:r>
      <w:r w:rsidRPr="00B612E0">
        <w:rPr>
          <w:noProof/>
        </w:rPr>
        <w:t xml:space="preserve"> La propuesta/iniciativa no tiene incidencia financiera en los ingresos.</w:t>
      </w:r>
    </w:p>
    <w:p w:rsidR="007D02A8" w:rsidRPr="00B612E0" w:rsidRDefault="007D02A8" w:rsidP="007D02A8">
      <w:pPr>
        <w:pStyle w:val="ListDash1"/>
        <w:rPr>
          <w:noProof/>
        </w:rPr>
      </w:pPr>
      <w:r w:rsidRPr="00B612E0">
        <w:rPr>
          <w:noProof/>
        </w:rPr>
        <w:sym w:font="Wingdings" w:char="F0A8"/>
      </w:r>
      <w:r w:rsidRPr="00B612E0">
        <w:rPr>
          <w:noProof/>
        </w:rPr>
        <w:t xml:space="preserve"> La propuesta/iniciativa tiene la incidencia financiera que se indica a continuación:</w:t>
      </w:r>
    </w:p>
    <w:p w:rsidR="007D02A8" w:rsidRPr="00B612E0" w:rsidRDefault="007D02A8" w:rsidP="007D02A8">
      <w:pPr>
        <w:pStyle w:val="ListNumberLevel3"/>
        <w:tabs>
          <w:tab w:val="clear" w:pos="2126"/>
        </w:tabs>
        <w:rPr>
          <w:noProof/>
        </w:rPr>
      </w:pPr>
      <w:r w:rsidRPr="00B612E0">
        <w:rPr>
          <w:noProof/>
        </w:rPr>
        <w:sym w:font="Wingdings" w:char="F0A8"/>
      </w:r>
      <w:r w:rsidRPr="00B612E0">
        <w:rPr>
          <w:noProof/>
        </w:rPr>
        <w:t xml:space="preserve"> en los recursos propios </w:t>
      </w:r>
    </w:p>
    <w:p w:rsidR="007D02A8" w:rsidRPr="00B612E0" w:rsidRDefault="007D02A8" w:rsidP="007D02A8">
      <w:pPr>
        <w:pStyle w:val="ListNumberLevel3"/>
        <w:tabs>
          <w:tab w:val="clear" w:pos="2126"/>
        </w:tabs>
        <w:rPr>
          <w:noProof/>
        </w:rPr>
      </w:pPr>
      <w:r w:rsidRPr="00B612E0">
        <w:rPr>
          <w:noProof/>
        </w:rPr>
        <w:sym w:font="Wingdings" w:char="F0A8"/>
      </w:r>
      <w:r w:rsidRPr="00B612E0">
        <w:rPr>
          <w:noProof/>
        </w:rPr>
        <w:t xml:space="preserve"> en otros ingresos</w:t>
      </w:r>
    </w:p>
    <w:p w:rsidR="007D02A8" w:rsidRPr="00B612E0" w:rsidRDefault="007D02A8" w:rsidP="007D02A8">
      <w:pPr>
        <w:pStyle w:val="ListNumberLevel3"/>
        <w:tabs>
          <w:tab w:val="clear" w:pos="2126"/>
        </w:tabs>
        <w:rPr>
          <w:noProof/>
        </w:rPr>
      </w:pPr>
      <w:r w:rsidRPr="00B612E0">
        <w:rPr>
          <w:noProof/>
        </w:rPr>
        <w:t xml:space="preserve">indíquese si los ingresos se asignan a las líneas de gasto </w:t>
      </w:r>
      <w:r w:rsidRPr="00B612E0">
        <w:rPr>
          <w:noProof/>
        </w:rPr>
        <w:sym w:font="Wingdings" w:char="F0A8"/>
      </w:r>
      <w:r w:rsidRPr="00B612E0">
        <w:rPr>
          <w:noProof/>
        </w:rPr>
        <w:tab/>
      </w:r>
    </w:p>
    <w:p w:rsidR="007D02A8" w:rsidRPr="00B612E0" w:rsidRDefault="007D02A8" w:rsidP="007D02A8">
      <w:pPr>
        <w:ind w:left="4320"/>
        <w:jc w:val="right"/>
        <w:rPr>
          <w:i/>
          <w:noProof/>
          <w:sz w:val="16"/>
        </w:rPr>
      </w:pPr>
      <w:r w:rsidRPr="00B612E0">
        <w:rPr>
          <w:noProof/>
          <w:sz w:val="20"/>
        </w:rPr>
        <w:t xml:space="preserve">     En millones EUR (al tercer decimal)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4"/>
        <w:gridCol w:w="1159"/>
        <w:gridCol w:w="901"/>
        <w:gridCol w:w="788"/>
        <w:gridCol w:w="788"/>
        <w:gridCol w:w="944"/>
        <w:gridCol w:w="944"/>
        <w:gridCol w:w="944"/>
        <w:gridCol w:w="947"/>
      </w:tblGrid>
      <w:tr w:rsidR="007D02A8" w:rsidRPr="00B612E0" w:rsidTr="00B612E0">
        <w:trPr>
          <w:trHeight w:val="388"/>
        </w:trPr>
        <w:tc>
          <w:tcPr>
            <w:tcW w:w="1009" w:type="pct"/>
            <w:vMerge w:val="restart"/>
            <w:vAlign w:val="center"/>
          </w:tcPr>
          <w:p w:rsidR="007D02A8" w:rsidRPr="00B612E0" w:rsidRDefault="007D02A8" w:rsidP="00234966">
            <w:pPr>
              <w:spacing w:before="40" w:after="40"/>
              <w:jc w:val="left"/>
              <w:rPr>
                <w:noProof/>
                <w:sz w:val="18"/>
              </w:rPr>
            </w:pPr>
            <w:r w:rsidRPr="00B612E0">
              <w:rPr>
                <w:noProof/>
                <w:sz w:val="18"/>
              </w:rPr>
              <w:t>Línea presupuestaria de ingresos:</w:t>
            </w:r>
          </w:p>
        </w:tc>
        <w:tc>
          <w:tcPr>
            <w:tcW w:w="624" w:type="pct"/>
            <w:vMerge w:val="restart"/>
            <w:vAlign w:val="center"/>
          </w:tcPr>
          <w:p w:rsidR="007D02A8" w:rsidRPr="00B612E0" w:rsidRDefault="007D02A8" w:rsidP="00B612E0">
            <w:pPr>
              <w:jc w:val="center"/>
              <w:rPr>
                <w:noProof/>
                <w:sz w:val="18"/>
              </w:rPr>
            </w:pPr>
            <w:r w:rsidRPr="00B612E0">
              <w:rPr>
                <w:noProof/>
                <w:sz w:val="18"/>
              </w:rPr>
              <w:t>Créditos disponibles para el ejercicio actual</w:t>
            </w:r>
          </w:p>
        </w:tc>
        <w:tc>
          <w:tcPr>
            <w:tcW w:w="3367" w:type="pct"/>
            <w:gridSpan w:val="7"/>
            <w:vAlign w:val="center"/>
          </w:tcPr>
          <w:p w:rsidR="007D02A8" w:rsidRPr="00B612E0" w:rsidRDefault="007D02A8" w:rsidP="00B612E0">
            <w:pPr>
              <w:jc w:val="center"/>
              <w:rPr>
                <w:noProof/>
                <w:sz w:val="18"/>
              </w:rPr>
            </w:pPr>
            <w:r w:rsidRPr="00B612E0">
              <w:rPr>
                <w:noProof/>
                <w:sz w:val="18"/>
              </w:rPr>
              <w:t>Impacto de la propuesta/iniciativa</w:t>
            </w:r>
            <w:r w:rsidRPr="00B612E0">
              <w:rPr>
                <w:rStyle w:val="FootnoteReference"/>
                <w:noProof/>
                <w:sz w:val="18"/>
              </w:rPr>
              <w:footnoteReference w:id="48"/>
            </w:r>
          </w:p>
        </w:tc>
      </w:tr>
      <w:tr w:rsidR="007D02A8" w:rsidRPr="00B612E0" w:rsidTr="00B612E0">
        <w:trPr>
          <w:trHeight w:val="388"/>
        </w:trPr>
        <w:tc>
          <w:tcPr>
            <w:tcW w:w="1009" w:type="pct"/>
            <w:vMerge/>
          </w:tcPr>
          <w:p w:rsidR="007D02A8" w:rsidRPr="00B612E0" w:rsidRDefault="007D02A8" w:rsidP="00B612E0">
            <w:pPr>
              <w:spacing w:before="40" w:after="40"/>
              <w:rPr>
                <w:noProof/>
                <w:sz w:val="18"/>
              </w:rPr>
            </w:pPr>
          </w:p>
        </w:tc>
        <w:tc>
          <w:tcPr>
            <w:tcW w:w="624" w:type="pct"/>
            <w:vMerge/>
          </w:tcPr>
          <w:p w:rsidR="007D02A8" w:rsidRPr="00B612E0" w:rsidRDefault="007D02A8" w:rsidP="00B612E0">
            <w:pPr>
              <w:spacing w:beforeLines="40" w:before="96" w:afterLines="40" w:after="96"/>
              <w:rPr>
                <w:i/>
                <w:noProof/>
                <w:sz w:val="18"/>
              </w:rPr>
            </w:pPr>
          </w:p>
        </w:tc>
        <w:tc>
          <w:tcPr>
            <w:tcW w:w="485" w:type="pct"/>
            <w:vAlign w:val="center"/>
          </w:tcPr>
          <w:p w:rsidR="007D02A8" w:rsidRPr="00B612E0" w:rsidRDefault="007D02A8" w:rsidP="00B612E0">
            <w:pPr>
              <w:jc w:val="center"/>
              <w:rPr>
                <w:noProof/>
                <w:sz w:val="18"/>
              </w:rPr>
            </w:pPr>
            <w:r w:rsidRPr="00B612E0">
              <w:rPr>
                <w:noProof/>
                <w:sz w:val="18"/>
              </w:rPr>
              <w:t>Año</w:t>
            </w:r>
            <w:r w:rsidRPr="00B612E0">
              <w:rPr>
                <w:noProof/>
              </w:rPr>
              <w:t xml:space="preserve"> </w:t>
            </w:r>
            <w:r w:rsidRPr="00B612E0">
              <w:rPr>
                <w:noProof/>
              </w:rPr>
              <w:br/>
            </w:r>
            <w:r w:rsidRPr="00B612E0">
              <w:rPr>
                <w:b/>
                <w:noProof/>
                <w:sz w:val="18"/>
              </w:rPr>
              <w:t>N</w:t>
            </w:r>
          </w:p>
        </w:tc>
        <w:tc>
          <w:tcPr>
            <w:tcW w:w="424" w:type="pct"/>
            <w:vAlign w:val="center"/>
          </w:tcPr>
          <w:p w:rsidR="007D02A8" w:rsidRPr="00B612E0" w:rsidRDefault="007D02A8" w:rsidP="00B612E0">
            <w:pPr>
              <w:jc w:val="center"/>
              <w:rPr>
                <w:noProof/>
                <w:sz w:val="18"/>
              </w:rPr>
            </w:pPr>
            <w:r w:rsidRPr="00B612E0">
              <w:rPr>
                <w:noProof/>
                <w:sz w:val="18"/>
              </w:rPr>
              <w:t>Año</w:t>
            </w:r>
            <w:r w:rsidRPr="00B612E0">
              <w:rPr>
                <w:noProof/>
              </w:rPr>
              <w:t xml:space="preserve"> </w:t>
            </w:r>
            <w:r w:rsidRPr="00B612E0">
              <w:rPr>
                <w:noProof/>
              </w:rPr>
              <w:br/>
            </w:r>
            <w:r w:rsidRPr="00B612E0">
              <w:rPr>
                <w:b/>
                <w:noProof/>
                <w:sz w:val="18"/>
              </w:rPr>
              <w:t>N+1</w:t>
            </w:r>
          </w:p>
        </w:tc>
        <w:tc>
          <w:tcPr>
            <w:tcW w:w="424" w:type="pct"/>
            <w:vAlign w:val="center"/>
          </w:tcPr>
          <w:p w:rsidR="007D02A8" w:rsidRPr="00B612E0" w:rsidRDefault="007D02A8" w:rsidP="00B612E0">
            <w:pPr>
              <w:jc w:val="center"/>
              <w:rPr>
                <w:noProof/>
                <w:sz w:val="18"/>
              </w:rPr>
            </w:pPr>
            <w:r w:rsidRPr="00B612E0">
              <w:rPr>
                <w:noProof/>
                <w:sz w:val="18"/>
              </w:rPr>
              <w:t>Año</w:t>
            </w:r>
            <w:r w:rsidRPr="00B612E0">
              <w:rPr>
                <w:noProof/>
              </w:rPr>
              <w:t xml:space="preserve"> </w:t>
            </w:r>
            <w:r w:rsidRPr="00B612E0">
              <w:rPr>
                <w:noProof/>
              </w:rPr>
              <w:br/>
            </w:r>
            <w:r w:rsidRPr="00B612E0">
              <w:rPr>
                <w:b/>
                <w:noProof/>
                <w:sz w:val="18"/>
              </w:rPr>
              <w:t>N+2</w:t>
            </w:r>
          </w:p>
        </w:tc>
        <w:tc>
          <w:tcPr>
            <w:tcW w:w="508" w:type="pct"/>
            <w:vAlign w:val="center"/>
          </w:tcPr>
          <w:p w:rsidR="007D02A8" w:rsidRPr="00B612E0" w:rsidRDefault="007D02A8" w:rsidP="00B612E0">
            <w:pPr>
              <w:jc w:val="center"/>
              <w:rPr>
                <w:noProof/>
                <w:sz w:val="18"/>
              </w:rPr>
            </w:pPr>
            <w:r w:rsidRPr="00B612E0">
              <w:rPr>
                <w:noProof/>
                <w:sz w:val="18"/>
              </w:rPr>
              <w:t>Año</w:t>
            </w:r>
            <w:r w:rsidRPr="00B612E0">
              <w:rPr>
                <w:noProof/>
              </w:rPr>
              <w:t xml:space="preserve"> </w:t>
            </w:r>
            <w:r w:rsidRPr="00B612E0">
              <w:rPr>
                <w:noProof/>
              </w:rPr>
              <w:br/>
            </w:r>
            <w:r w:rsidRPr="00B612E0">
              <w:rPr>
                <w:b/>
                <w:noProof/>
                <w:sz w:val="18"/>
              </w:rPr>
              <w:t>N+3</w:t>
            </w:r>
          </w:p>
        </w:tc>
        <w:tc>
          <w:tcPr>
            <w:tcW w:w="1525" w:type="pct"/>
            <w:gridSpan w:val="3"/>
            <w:vAlign w:val="center"/>
          </w:tcPr>
          <w:p w:rsidR="007D02A8" w:rsidRPr="00B612E0" w:rsidRDefault="007D02A8" w:rsidP="00B612E0">
            <w:pPr>
              <w:jc w:val="center"/>
              <w:rPr>
                <w:b/>
                <w:noProof/>
                <w:sz w:val="18"/>
              </w:rPr>
            </w:pPr>
            <w:r w:rsidRPr="00B612E0">
              <w:rPr>
                <w:noProof/>
                <w:sz w:val="18"/>
              </w:rPr>
              <w:t>Insértense tantos años como sea necesario para reflejar la duración de la incidencia (véase el punto 1.6)</w:t>
            </w:r>
          </w:p>
        </w:tc>
      </w:tr>
      <w:tr w:rsidR="007D02A8" w:rsidRPr="00B612E0" w:rsidTr="00B612E0">
        <w:trPr>
          <w:trHeight w:val="388"/>
        </w:trPr>
        <w:tc>
          <w:tcPr>
            <w:tcW w:w="1009" w:type="pct"/>
            <w:vAlign w:val="center"/>
          </w:tcPr>
          <w:p w:rsidR="007D02A8" w:rsidRPr="00B612E0" w:rsidRDefault="007D02A8" w:rsidP="00B612E0">
            <w:pPr>
              <w:spacing w:before="40" w:after="40"/>
              <w:rPr>
                <w:noProof/>
                <w:sz w:val="18"/>
              </w:rPr>
            </w:pPr>
            <w:r w:rsidRPr="00B612E0">
              <w:rPr>
                <w:noProof/>
                <w:sz w:val="18"/>
              </w:rPr>
              <w:t>Artículo…................</w:t>
            </w:r>
          </w:p>
        </w:tc>
        <w:tc>
          <w:tcPr>
            <w:tcW w:w="624" w:type="pct"/>
          </w:tcPr>
          <w:p w:rsidR="007D02A8" w:rsidRPr="00B612E0" w:rsidRDefault="007D02A8" w:rsidP="00B612E0">
            <w:pPr>
              <w:spacing w:beforeLines="40" w:before="96" w:afterLines="40" w:after="96"/>
              <w:jc w:val="center"/>
              <w:rPr>
                <w:i/>
                <w:noProof/>
                <w:sz w:val="18"/>
              </w:rPr>
            </w:pPr>
          </w:p>
        </w:tc>
        <w:tc>
          <w:tcPr>
            <w:tcW w:w="485" w:type="pct"/>
          </w:tcPr>
          <w:p w:rsidR="007D02A8" w:rsidRPr="00B612E0" w:rsidRDefault="007D02A8" w:rsidP="00B612E0">
            <w:pPr>
              <w:spacing w:beforeLines="40" w:before="96" w:afterLines="40" w:after="96"/>
              <w:jc w:val="center"/>
              <w:rPr>
                <w:noProof/>
                <w:sz w:val="18"/>
              </w:rPr>
            </w:pPr>
          </w:p>
        </w:tc>
        <w:tc>
          <w:tcPr>
            <w:tcW w:w="424" w:type="pct"/>
          </w:tcPr>
          <w:p w:rsidR="007D02A8" w:rsidRPr="00B612E0" w:rsidRDefault="007D02A8" w:rsidP="00B612E0">
            <w:pPr>
              <w:spacing w:beforeLines="40" w:before="96" w:afterLines="40" w:after="96"/>
              <w:jc w:val="center"/>
              <w:rPr>
                <w:noProof/>
                <w:sz w:val="18"/>
              </w:rPr>
            </w:pPr>
          </w:p>
        </w:tc>
        <w:tc>
          <w:tcPr>
            <w:tcW w:w="424" w:type="pct"/>
          </w:tcPr>
          <w:p w:rsidR="007D02A8" w:rsidRPr="00B612E0" w:rsidRDefault="007D02A8" w:rsidP="00B612E0">
            <w:pPr>
              <w:spacing w:beforeLines="40" w:before="96" w:afterLines="40" w:after="96"/>
              <w:jc w:val="center"/>
              <w:rPr>
                <w:noProof/>
                <w:sz w:val="18"/>
              </w:rPr>
            </w:pPr>
          </w:p>
        </w:tc>
        <w:tc>
          <w:tcPr>
            <w:tcW w:w="508" w:type="pct"/>
          </w:tcPr>
          <w:p w:rsidR="007D02A8" w:rsidRPr="00B612E0" w:rsidRDefault="007D02A8" w:rsidP="00B612E0">
            <w:pPr>
              <w:spacing w:beforeLines="40" w:before="96" w:afterLines="40" w:after="96"/>
              <w:jc w:val="center"/>
              <w:rPr>
                <w:noProof/>
                <w:sz w:val="18"/>
              </w:rPr>
            </w:pPr>
          </w:p>
        </w:tc>
        <w:tc>
          <w:tcPr>
            <w:tcW w:w="508" w:type="pct"/>
          </w:tcPr>
          <w:p w:rsidR="007D02A8" w:rsidRPr="00B612E0" w:rsidRDefault="007D02A8" w:rsidP="00B612E0">
            <w:pPr>
              <w:spacing w:beforeLines="40" w:before="96" w:afterLines="40" w:after="96"/>
              <w:jc w:val="center"/>
              <w:rPr>
                <w:noProof/>
                <w:sz w:val="18"/>
              </w:rPr>
            </w:pPr>
          </w:p>
        </w:tc>
        <w:tc>
          <w:tcPr>
            <w:tcW w:w="508" w:type="pct"/>
          </w:tcPr>
          <w:p w:rsidR="007D02A8" w:rsidRPr="00B612E0" w:rsidRDefault="007D02A8" w:rsidP="00B612E0">
            <w:pPr>
              <w:spacing w:beforeLines="40" w:before="96" w:afterLines="40" w:after="96"/>
              <w:jc w:val="center"/>
              <w:rPr>
                <w:noProof/>
                <w:sz w:val="18"/>
              </w:rPr>
            </w:pPr>
          </w:p>
        </w:tc>
        <w:tc>
          <w:tcPr>
            <w:tcW w:w="508" w:type="pct"/>
          </w:tcPr>
          <w:p w:rsidR="007D02A8" w:rsidRPr="00B612E0" w:rsidRDefault="007D02A8" w:rsidP="00B612E0">
            <w:pPr>
              <w:spacing w:beforeLines="40" w:before="96" w:afterLines="40" w:after="96"/>
              <w:jc w:val="center"/>
              <w:rPr>
                <w:noProof/>
                <w:sz w:val="18"/>
              </w:rPr>
            </w:pPr>
          </w:p>
        </w:tc>
      </w:tr>
    </w:tbl>
    <w:p w:rsidR="007D02A8" w:rsidRPr="00B612E0" w:rsidRDefault="007D02A8" w:rsidP="007D02A8">
      <w:pPr>
        <w:pStyle w:val="Text1"/>
        <w:rPr>
          <w:noProof/>
          <w:sz w:val="20"/>
        </w:rPr>
      </w:pPr>
      <w:r w:rsidRPr="00B612E0">
        <w:rPr>
          <w:noProof/>
          <w:sz w:val="20"/>
        </w:rPr>
        <w:t>En el caso de los ingresos afectados, especificar la línea o las líneas presupuestarias de gasto en las que repercutan.</w:t>
      </w:r>
    </w:p>
    <w:p w:rsidR="007D02A8" w:rsidRPr="00B612E0" w:rsidRDefault="007D02A8" w:rsidP="007D02A8">
      <w:pPr>
        <w:pStyle w:val="Text1"/>
        <w:pBdr>
          <w:top w:val="single" w:sz="4" w:space="1" w:color="auto"/>
          <w:left w:val="single" w:sz="4" w:space="4" w:color="auto"/>
          <w:bottom w:val="single" w:sz="4" w:space="1" w:color="auto"/>
          <w:right w:val="single" w:sz="4" w:space="4" w:color="auto"/>
        </w:pBdr>
        <w:rPr>
          <w:noProof/>
        </w:rPr>
      </w:pPr>
    </w:p>
    <w:p w:rsidR="007D02A8" w:rsidRPr="00B612E0" w:rsidRDefault="007D02A8" w:rsidP="007D02A8">
      <w:pPr>
        <w:pStyle w:val="Text1"/>
        <w:rPr>
          <w:noProof/>
          <w:sz w:val="20"/>
        </w:rPr>
      </w:pPr>
      <w:r w:rsidRPr="00B612E0">
        <w:rPr>
          <w:noProof/>
          <w:sz w:val="20"/>
        </w:rPr>
        <w:t>Otras observaciones (por ejemplo, método/fórmula utilizada para calcular la incidencia en los ingresos o cualquier otra información).</w:t>
      </w:r>
    </w:p>
    <w:p w:rsidR="007D02A8" w:rsidRPr="00B612E0" w:rsidRDefault="007D02A8" w:rsidP="007D02A8">
      <w:pPr>
        <w:pStyle w:val="Text1"/>
        <w:pBdr>
          <w:top w:val="single" w:sz="4" w:space="1" w:color="auto"/>
          <w:left w:val="single" w:sz="4" w:space="4" w:color="auto"/>
          <w:bottom w:val="single" w:sz="4" w:space="1" w:color="auto"/>
          <w:right w:val="single" w:sz="4" w:space="4" w:color="auto"/>
        </w:pBdr>
        <w:rPr>
          <w:noProof/>
        </w:rPr>
      </w:pPr>
    </w:p>
    <w:p w:rsidR="00322C13" w:rsidRPr="00B612E0" w:rsidRDefault="00322C13" w:rsidP="00853201">
      <w:pPr>
        <w:rPr>
          <w:noProof/>
        </w:rPr>
      </w:pPr>
    </w:p>
    <w:sectPr w:rsidR="00322C13" w:rsidRPr="00B612E0" w:rsidSect="00FF77AA">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35E2" w:rsidRDefault="004F35E2" w:rsidP="00322C13">
      <w:pPr>
        <w:spacing w:before="0" w:after="0"/>
      </w:pPr>
      <w:r>
        <w:separator/>
      </w:r>
    </w:p>
  </w:endnote>
  <w:endnote w:type="continuationSeparator" w:id="0">
    <w:p w:rsidR="004F35E2" w:rsidRDefault="004F35E2" w:rsidP="00322C13">
      <w:pPr>
        <w:spacing w:before="0" w:after="0"/>
      </w:pPr>
      <w:r>
        <w:continuationSeparator/>
      </w:r>
    </w:p>
  </w:endnote>
  <w:endnote w:type="continuationNotice" w:id="1">
    <w:p w:rsidR="004F35E2" w:rsidRDefault="004F35E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E2" w:rsidRPr="00FF77AA" w:rsidRDefault="00FF77AA" w:rsidP="00FF77AA">
    <w:pPr>
      <w:pStyle w:val="Footer"/>
      <w:rPr>
        <w:rFonts w:ascii="Arial" w:hAnsi="Arial" w:cs="Arial"/>
        <w:b/>
        <w:sz w:val="48"/>
      </w:rPr>
    </w:pPr>
    <w:r w:rsidRPr="00FF77AA">
      <w:rPr>
        <w:rFonts w:ascii="Arial" w:hAnsi="Arial" w:cs="Arial"/>
        <w:b/>
        <w:sz w:val="48"/>
      </w:rPr>
      <w:t>ES</w:t>
    </w:r>
    <w:r w:rsidRPr="00FF77AA">
      <w:rPr>
        <w:rFonts w:ascii="Arial" w:hAnsi="Arial" w:cs="Arial"/>
        <w:b/>
        <w:sz w:val="48"/>
      </w:rPr>
      <w:tab/>
    </w:r>
    <w:r w:rsidRPr="00FF77AA">
      <w:rPr>
        <w:rFonts w:ascii="Arial" w:hAnsi="Arial" w:cs="Arial"/>
        <w:b/>
        <w:sz w:val="48"/>
      </w:rPr>
      <w:tab/>
    </w:r>
    <w:r w:rsidRPr="00FF77AA">
      <w:tab/>
    </w:r>
    <w:r w:rsidRPr="00FF77AA">
      <w:rPr>
        <w:rFonts w:ascii="Arial" w:hAnsi="Arial" w:cs="Arial"/>
        <w:b/>
        <w:sz w:val="48"/>
      </w:rPr>
      <w:t>ES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7AA" w:rsidRPr="00FF77AA" w:rsidRDefault="00FF77AA" w:rsidP="00FF77AA">
    <w:pPr>
      <w:pStyle w:val="Footer"/>
      <w:rPr>
        <w:rFonts w:ascii="Arial" w:hAnsi="Arial" w:cs="Arial"/>
        <w:b/>
        <w:sz w:val="48"/>
      </w:rPr>
    </w:pPr>
    <w:r w:rsidRPr="00FF77AA">
      <w:rPr>
        <w:rFonts w:ascii="Arial" w:hAnsi="Arial" w:cs="Arial"/>
        <w:b/>
        <w:sz w:val="48"/>
      </w:rPr>
      <w:t>ES</w:t>
    </w:r>
    <w:r w:rsidRPr="00FF77AA">
      <w:rPr>
        <w:rFonts w:ascii="Arial" w:hAnsi="Arial" w:cs="Arial"/>
        <w:b/>
        <w:sz w:val="48"/>
      </w:rPr>
      <w:tab/>
    </w:r>
    <w:r>
      <w:fldChar w:fldCharType="begin"/>
    </w:r>
    <w:r>
      <w:instrText xml:space="preserve"> PAGE  \* MERGEFORMAT </w:instrText>
    </w:r>
    <w:r>
      <w:fldChar w:fldCharType="separate"/>
    </w:r>
    <w:r w:rsidR="00EA1116">
      <w:rPr>
        <w:noProof/>
      </w:rPr>
      <w:t>17</w:t>
    </w:r>
    <w:r>
      <w:fldChar w:fldCharType="end"/>
    </w:r>
    <w:r>
      <w:tab/>
    </w:r>
    <w:r w:rsidRPr="00FF77AA">
      <w:tab/>
    </w:r>
    <w:r w:rsidRPr="00FF77AA">
      <w:rPr>
        <w:rFonts w:ascii="Arial" w:hAnsi="Arial" w:cs="Arial"/>
        <w:b/>
        <w:sz w:val="48"/>
      </w:rPr>
      <w:t>ES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7AA" w:rsidRPr="00FF77AA" w:rsidRDefault="00FF77AA" w:rsidP="00FF77A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7AA" w:rsidRPr="00FF77AA" w:rsidRDefault="00FF77AA" w:rsidP="00FF77AA">
    <w:pPr>
      <w:pStyle w:val="FooterLandscape"/>
      <w:rPr>
        <w:rFonts w:ascii="Arial" w:hAnsi="Arial" w:cs="Arial"/>
        <w:b/>
        <w:sz w:val="48"/>
      </w:rPr>
    </w:pPr>
    <w:r w:rsidRPr="00FF77AA">
      <w:rPr>
        <w:rFonts w:ascii="Arial" w:hAnsi="Arial" w:cs="Arial"/>
        <w:b/>
        <w:sz w:val="48"/>
      </w:rPr>
      <w:t>ES</w:t>
    </w:r>
    <w:r w:rsidRPr="00FF77AA">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FF77AA">
      <w:tab/>
    </w:r>
    <w:r w:rsidRPr="00FF77AA">
      <w:rPr>
        <w:rFonts w:ascii="Arial" w:hAnsi="Arial" w:cs="Arial"/>
        <w:b/>
        <w:sz w:val="48"/>
      </w:rPr>
      <w:t>ES</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7AA" w:rsidRPr="00FF77AA" w:rsidRDefault="00FF77AA" w:rsidP="00FF77AA">
    <w:pPr>
      <w:pStyle w:val="FooterLandscape"/>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E2" w:rsidRPr="00FF77AA" w:rsidRDefault="00FF77AA" w:rsidP="00FF77AA">
    <w:pPr>
      <w:pStyle w:val="Footer"/>
      <w:rPr>
        <w:rFonts w:ascii="Arial" w:hAnsi="Arial" w:cs="Arial"/>
        <w:b/>
        <w:sz w:val="48"/>
      </w:rPr>
    </w:pPr>
    <w:r w:rsidRPr="00FF77AA">
      <w:rPr>
        <w:rFonts w:ascii="Arial" w:hAnsi="Arial" w:cs="Arial"/>
        <w:b/>
        <w:sz w:val="48"/>
      </w:rPr>
      <w:t>ES</w:t>
    </w:r>
    <w:r w:rsidRPr="00FF77AA">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FF77AA">
      <w:tab/>
    </w:r>
    <w:r w:rsidRPr="00FF77AA">
      <w:rPr>
        <w:rFonts w:ascii="Arial" w:hAnsi="Arial" w:cs="Arial"/>
        <w:b/>
        <w:sz w:val="48"/>
      </w:rPr>
      <w:t>ES</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7AA" w:rsidRPr="00FF77AA" w:rsidRDefault="00FF77AA" w:rsidP="00FF77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35E2" w:rsidRDefault="004F35E2" w:rsidP="00322C13">
      <w:pPr>
        <w:spacing w:before="0" w:after="0"/>
      </w:pPr>
      <w:r>
        <w:separator/>
      </w:r>
    </w:p>
  </w:footnote>
  <w:footnote w:type="continuationSeparator" w:id="0">
    <w:p w:rsidR="004F35E2" w:rsidRDefault="004F35E2" w:rsidP="00322C13">
      <w:pPr>
        <w:spacing w:before="0" w:after="0"/>
      </w:pPr>
      <w:r>
        <w:continuationSeparator/>
      </w:r>
    </w:p>
  </w:footnote>
  <w:footnote w:type="continuationNotice" w:id="1">
    <w:p w:rsidR="004F35E2" w:rsidRDefault="004F35E2">
      <w:pPr>
        <w:spacing w:before="0" w:after="0"/>
      </w:pPr>
    </w:p>
  </w:footnote>
  <w:footnote w:id="2">
    <w:p w:rsidR="004F35E2" w:rsidRPr="00B612E0" w:rsidRDefault="004F35E2" w:rsidP="00D066D2">
      <w:pPr>
        <w:pStyle w:val="FootnoteText"/>
        <w:rPr>
          <w:lang w:val="es-ES"/>
        </w:rPr>
      </w:pPr>
      <w:r>
        <w:rPr>
          <w:rStyle w:val="FootnoteReference"/>
        </w:rPr>
        <w:footnoteRef/>
      </w:r>
      <w:r w:rsidRPr="00B612E0">
        <w:rPr>
          <w:lang w:val="es-ES"/>
        </w:rPr>
        <w:tab/>
        <w:t>Reglamento (UE) 2021/953 del Parlamento Europeo y del Consejo de 14 de junio de 2021 relativo a un marco para la expedición, verificación y aceptación de certificados COVID-19 interoperables de vacunación, de prueba diagnóstica y de recuperación (certificado COVID digital de la UE) a fin de facilitar la libre circulación durante la pandemia de COVID-19 (DO L 211 de 15.6.2021, p. 1).</w:t>
      </w:r>
    </w:p>
  </w:footnote>
  <w:footnote w:id="3">
    <w:p w:rsidR="004F35E2" w:rsidRPr="00B612E0" w:rsidRDefault="004F35E2" w:rsidP="00D066D2">
      <w:pPr>
        <w:pStyle w:val="FootnoteText"/>
        <w:rPr>
          <w:lang w:val="es-ES"/>
        </w:rPr>
      </w:pPr>
      <w:r>
        <w:rPr>
          <w:rStyle w:val="FootnoteReference"/>
        </w:rPr>
        <w:footnoteRef/>
      </w:r>
      <w:r w:rsidRPr="00B612E0">
        <w:rPr>
          <w:lang w:val="es-ES"/>
        </w:rPr>
        <w:tab/>
        <w:t>Acompañado por el Reglamento (UE) 2021/954 del Parlamento Europeo y del Consejo de 14 de junio de 2021 relativo a un marco para la expedición, verificación y aceptación de certificados COVID-19 interoperables de vacunación, de prueba diagnóstica y de recuperación (certificado COVID digital de la UE) con respecto a los nacionales de terceros países que se encuentren o residan legalmente en los territorios de los Estados miembros durante la pandemia de COVID-19 (DO L 211 de 15.6.2021, p. 24).</w:t>
      </w:r>
    </w:p>
  </w:footnote>
  <w:footnote w:id="4">
    <w:p w:rsidR="004F35E2" w:rsidRPr="00B612E0" w:rsidRDefault="004F35E2" w:rsidP="004F138C">
      <w:pPr>
        <w:pStyle w:val="FootnoteText"/>
        <w:jc w:val="left"/>
        <w:rPr>
          <w:lang w:val="es-ES"/>
        </w:rPr>
      </w:pPr>
      <w:r>
        <w:rPr>
          <w:rStyle w:val="FootnoteReference"/>
        </w:rPr>
        <w:footnoteRef/>
      </w:r>
      <w:r w:rsidRPr="00B612E0">
        <w:rPr>
          <w:lang w:val="es-ES"/>
        </w:rPr>
        <w:tab/>
        <w:t xml:space="preserve">Disponible en: </w:t>
      </w:r>
      <w:hyperlink r:id="rId1" w:history="1">
        <w:r w:rsidRPr="00B612E0">
          <w:rPr>
            <w:rStyle w:val="Hyperlink"/>
            <w:lang w:val="es-ES"/>
          </w:rPr>
          <w:t>https://www.europarl.europa.eu/at-your-service/files/be-heard/eurobarometer/2021/soteu-flash-survey/soteu-2021-report-en.pdf</w:t>
        </w:r>
      </w:hyperlink>
    </w:p>
  </w:footnote>
  <w:footnote w:id="5">
    <w:p w:rsidR="004F35E2" w:rsidRPr="00B612E0" w:rsidRDefault="004F35E2">
      <w:pPr>
        <w:pStyle w:val="FootnoteText"/>
        <w:rPr>
          <w:lang w:val="es-ES"/>
        </w:rPr>
      </w:pPr>
      <w:r>
        <w:rPr>
          <w:rStyle w:val="FootnoteReference"/>
        </w:rPr>
        <w:footnoteRef/>
      </w:r>
      <w:r w:rsidRPr="00B612E0">
        <w:rPr>
          <w:lang w:val="es-ES"/>
        </w:rPr>
        <w:tab/>
      </w:r>
      <w:hyperlink r:id="rId2" w:history="1">
        <w:r w:rsidRPr="00B612E0">
          <w:rPr>
            <w:rStyle w:val="Hyperlink"/>
            <w:lang w:val="es-ES"/>
          </w:rPr>
          <w:t>https://www.medrxiv.org/content/10.1101/2021.10.21.21265355v2</w:t>
        </w:r>
      </w:hyperlink>
      <w:r w:rsidRPr="00B612E0">
        <w:rPr>
          <w:lang w:val="es-ES"/>
        </w:rPr>
        <w:t xml:space="preserve"> </w:t>
      </w:r>
    </w:p>
  </w:footnote>
  <w:footnote w:id="6">
    <w:p w:rsidR="004F35E2" w:rsidRPr="00B612E0" w:rsidRDefault="004F35E2">
      <w:pPr>
        <w:pStyle w:val="FootnoteText"/>
        <w:rPr>
          <w:lang w:val="es-ES"/>
        </w:rPr>
      </w:pPr>
      <w:r>
        <w:rPr>
          <w:rStyle w:val="FootnoteReference"/>
        </w:rPr>
        <w:footnoteRef/>
      </w:r>
      <w:r w:rsidRPr="00B612E0">
        <w:rPr>
          <w:lang w:val="es-ES"/>
        </w:rPr>
        <w:tab/>
      </w:r>
      <w:hyperlink r:id="rId3" w:history="1">
        <w:r w:rsidRPr="00B612E0">
          <w:rPr>
            <w:rStyle w:val="Hyperlink"/>
            <w:lang w:val="es-ES"/>
          </w:rPr>
          <w:t>https://www.bruegel.org/2022/01/the-effect-of-covid-certificates-on-vaccine-uptake-public-health-and-the-economy/</w:t>
        </w:r>
      </w:hyperlink>
      <w:r w:rsidRPr="00B612E0">
        <w:rPr>
          <w:lang w:val="es-ES"/>
        </w:rPr>
        <w:t xml:space="preserve"> </w:t>
      </w:r>
    </w:p>
  </w:footnote>
  <w:footnote w:id="7">
    <w:p w:rsidR="004F35E2" w:rsidRPr="00B612E0" w:rsidRDefault="004F35E2" w:rsidP="007D7466">
      <w:pPr>
        <w:pStyle w:val="FootnoteText"/>
        <w:rPr>
          <w:lang w:val="es-ES"/>
        </w:rPr>
      </w:pPr>
      <w:r>
        <w:rPr>
          <w:rStyle w:val="FootnoteReference"/>
        </w:rPr>
        <w:footnoteRef/>
      </w:r>
      <w:r w:rsidRPr="00B612E0">
        <w:rPr>
          <w:lang w:val="es-ES"/>
        </w:rPr>
        <w:tab/>
        <w:t>Islandia, Liechtenstein y Noruega.</w:t>
      </w:r>
    </w:p>
  </w:footnote>
  <w:footnote w:id="8">
    <w:p w:rsidR="004F35E2" w:rsidRPr="00B612E0" w:rsidRDefault="004F35E2" w:rsidP="007D7466">
      <w:pPr>
        <w:pStyle w:val="FootnoteText"/>
        <w:rPr>
          <w:lang w:val="es-ES"/>
        </w:rPr>
      </w:pPr>
      <w:r>
        <w:rPr>
          <w:rStyle w:val="FootnoteReference"/>
        </w:rPr>
        <w:footnoteRef/>
      </w:r>
      <w:r w:rsidRPr="00B612E0">
        <w:rPr>
          <w:lang w:val="es-ES"/>
        </w:rPr>
        <w:tab/>
        <w:t>Los ciudadanos de la Unión y de Suiza disfrutan de derechos recíprocos de entrada y residencia basados en el Acuerdo sobre la libre circulación de personas entre la Comunidad Europea y sus Estados miembros, por una parte, y la Confederación Suiza, por otra (DO L 114 de 30.4.2002, p. 6).</w:t>
      </w:r>
    </w:p>
  </w:footnote>
  <w:footnote w:id="9">
    <w:p w:rsidR="004F35E2" w:rsidRPr="00B612E0" w:rsidRDefault="004F35E2" w:rsidP="007D7466">
      <w:pPr>
        <w:pStyle w:val="FootnoteText"/>
        <w:rPr>
          <w:lang w:val="es-ES"/>
        </w:rPr>
      </w:pPr>
      <w:r>
        <w:rPr>
          <w:rStyle w:val="FootnoteReference"/>
        </w:rPr>
        <w:footnoteRef/>
      </w:r>
      <w:r w:rsidRPr="00B612E0">
        <w:rPr>
          <w:lang w:val="es-ES"/>
        </w:rPr>
        <w:tab/>
      </w:r>
      <w:hyperlink r:id="rId4" w:anchor="recognition-of-covid-certificates-from-third-non-eu-countries" w:history="1">
        <w:r w:rsidRPr="00B612E0">
          <w:rPr>
            <w:rStyle w:val="Hyperlink"/>
            <w:lang w:val="es-ES"/>
          </w:rPr>
          <w:t>https://ec.europa.eu/info/live-work-travel-eu/coronavirus-response/safe-covid-19-vaccines-europeans/eu-digital-covid-certificate_es#recognition-of-covid-certificates-from-third-non-eu-countries</w:t>
        </w:r>
      </w:hyperlink>
      <w:r w:rsidRPr="00B612E0">
        <w:rPr>
          <w:lang w:val="es-ES"/>
        </w:rPr>
        <w:t xml:space="preserve"> </w:t>
      </w:r>
    </w:p>
  </w:footnote>
  <w:footnote w:id="10">
    <w:p w:rsidR="004F35E2" w:rsidRPr="00B612E0" w:rsidRDefault="004F35E2">
      <w:pPr>
        <w:pStyle w:val="FootnoteText"/>
        <w:rPr>
          <w:lang w:val="es-ES"/>
        </w:rPr>
      </w:pPr>
      <w:r>
        <w:rPr>
          <w:rStyle w:val="FootnoteReference"/>
        </w:rPr>
        <w:footnoteRef/>
      </w:r>
      <w:r w:rsidRPr="00B612E0">
        <w:rPr>
          <w:lang w:val="es-ES"/>
        </w:rPr>
        <w:tab/>
      </w:r>
      <w:hyperlink r:id="rId5" w:history="1">
        <w:r w:rsidRPr="00B612E0">
          <w:rPr>
            <w:rStyle w:val="Hyperlink"/>
            <w:lang w:val="es-ES"/>
          </w:rPr>
          <w:t>https://wttc.org/News-Article/WTTC-identifies-digital-solutions-for-governments-worldwide-to-significantly-restore-international-mobility</w:t>
        </w:r>
      </w:hyperlink>
      <w:r w:rsidRPr="00B612E0">
        <w:rPr>
          <w:lang w:val="es-ES"/>
        </w:rPr>
        <w:t xml:space="preserve"> </w:t>
      </w:r>
    </w:p>
  </w:footnote>
  <w:footnote w:id="11">
    <w:p w:rsidR="004F35E2" w:rsidRPr="00B612E0" w:rsidRDefault="004F35E2">
      <w:pPr>
        <w:pStyle w:val="FootnoteText"/>
        <w:rPr>
          <w:lang w:val="es-ES"/>
        </w:rPr>
      </w:pPr>
      <w:r>
        <w:rPr>
          <w:rStyle w:val="FootnoteReference"/>
        </w:rPr>
        <w:footnoteRef/>
      </w:r>
      <w:r w:rsidRPr="00B612E0">
        <w:rPr>
          <w:lang w:val="es-ES"/>
        </w:rPr>
        <w:tab/>
      </w:r>
      <w:hyperlink r:id="rId6" w:history="1">
        <w:r w:rsidRPr="00B612E0">
          <w:rPr>
            <w:rStyle w:val="Hyperlink"/>
            <w:lang w:val="es-ES"/>
          </w:rPr>
          <w:t>https://www.iata.org/en/pressroom/2021-releases/2021-08-26-01/</w:t>
        </w:r>
      </w:hyperlink>
      <w:r w:rsidRPr="00B612E0">
        <w:rPr>
          <w:lang w:val="es-ES"/>
        </w:rPr>
        <w:t xml:space="preserve"> </w:t>
      </w:r>
    </w:p>
  </w:footnote>
  <w:footnote w:id="12">
    <w:p w:rsidR="004F35E2" w:rsidRPr="00B612E0" w:rsidRDefault="004F35E2" w:rsidP="004B554B">
      <w:pPr>
        <w:pStyle w:val="FootnoteText"/>
        <w:rPr>
          <w:lang w:val="es-ES"/>
        </w:rPr>
      </w:pPr>
      <w:r>
        <w:rPr>
          <w:rStyle w:val="FootnoteReference"/>
        </w:rPr>
        <w:footnoteRef/>
      </w:r>
      <w:r w:rsidRPr="00B612E0">
        <w:rPr>
          <w:lang w:val="es-ES"/>
        </w:rPr>
        <w:tab/>
        <w:t>Mediante un acto de ejecución adoptado con arreglo al artículo 8, apartado 2, del Reglamento (UE) 2021/953.</w:t>
      </w:r>
    </w:p>
  </w:footnote>
  <w:footnote w:id="13">
    <w:p w:rsidR="004F35E2" w:rsidRPr="00B612E0" w:rsidRDefault="004F35E2">
      <w:pPr>
        <w:pStyle w:val="FootnoteText"/>
        <w:rPr>
          <w:lang w:val="es-ES"/>
        </w:rPr>
      </w:pPr>
      <w:r>
        <w:rPr>
          <w:rStyle w:val="FootnoteReference"/>
        </w:rPr>
        <w:footnoteRef/>
      </w:r>
      <w:r w:rsidRPr="00B612E0">
        <w:rPr>
          <w:lang w:val="es-ES"/>
        </w:rPr>
        <w:tab/>
        <w:t>Recomendación (UE) 2022/107 del Consejo de 25 de enero de 2022 sobre un enfoque coordinado para facilitar la libre circulación segura durante la pandemia de COVID-19 y por la que se sustituye la Recomendación (UE) 2020/1475 (DO L 18 de 27.1.2022, p. 110).</w:t>
      </w:r>
    </w:p>
  </w:footnote>
  <w:footnote w:id="14">
    <w:p w:rsidR="004F35E2" w:rsidRPr="00B612E0" w:rsidRDefault="004F35E2" w:rsidP="00061F5B">
      <w:pPr>
        <w:pStyle w:val="FootnoteText"/>
        <w:rPr>
          <w:lang w:val="es-ES"/>
        </w:rPr>
      </w:pPr>
      <w:r>
        <w:rPr>
          <w:rStyle w:val="FootnoteReference"/>
        </w:rPr>
        <w:footnoteRef/>
      </w:r>
      <w:r w:rsidRPr="00B612E0">
        <w:rPr>
          <w:lang w:val="es-ES"/>
        </w:rPr>
        <w:tab/>
      </w:r>
      <w:hyperlink r:id="rId7" w:history="1">
        <w:r w:rsidRPr="00B612E0">
          <w:rPr>
            <w:rStyle w:val="Hyperlink"/>
            <w:lang w:val="es-ES"/>
          </w:rPr>
          <w:t>https://vaccinetracker.ecdc.europa.eu/public/extensions/COVID-19/vaccine-tracker.html</w:t>
        </w:r>
      </w:hyperlink>
      <w:r w:rsidRPr="00B612E0">
        <w:rPr>
          <w:lang w:val="es-ES"/>
        </w:rPr>
        <w:t xml:space="preserve"> </w:t>
      </w:r>
    </w:p>
  </w:footnote>
  <w:footnote w:id="15">
    <w:p w:rsidR="004F35E2" w:rsidRPr="00B612E0" w:rsidRDefault="004F35E2" w:rsidP="00A41F28">
      <w:pPr>
        <w:pStyle w:val="FootnoteText"/>
        <w:rPr>
          <w:lang w:val="es-ES"/>
        </w:rPr>
      </w:pPr>
      <w:r>
        <w:rPr>
          <w:rStyle w:val="FootnoteReference"/>
        </w:rPr>
        <w:footnoteRef/>
      </w:r>
      <w:r w:rsidRPr="00B612E0">
        <w:rPr>
          <w:lang w:val="es-ES"/>
        </w:rPr>
        <w:tab/>
      </w:r>
      <w:hyperlink r:id="rId8" w:history="1">
        <w:r w:rsidRPr="00B612E0">
          <w:rPr>
            <w:rStyle w:val="Hyperlink"/>
            <w:lang w:val="es-ES"/>
          </w:rPr>
          <w:t>https://www.ecdc.europa.eu/sites/default/files/documents/RRA-19th%20update-27-jan-2022.pdf</w:t>
        </w:r>
      </w:hyperlink>
      <w:r w:rsidRPr="00B612E0">
        <w:rPr>
          <w:lang w:val="es-ES"/>
        </w:rPr>
        <w:t xml:space="preserve"> </w:t>
      </w:r>
    </w:p>
  </w:footnote>
  <w:footnote w:id="16">
    <w:p w:rsidR="004F35E2" w:rsidRPr="00B612E0" w:rsidRDefault="004F35E2" w:rsidP="00BB5BF5">
      <w:pPr>
        <w:pStyle w:val="FootnoteText"/>
        <w:rPr>
          <w:lang w:val="es-ES"/>
        </w:rPr>
      </w:pPr>
      <w:r>
        <w:rPr>
          <w:rStyle w:val="FootnoteReference"/>
        </w:rPr>
        <w:footnoteRef/>
      </w:r>
      <w:r w:rsidRPr="00B612E0">
        <w:rPr>
          <w:lang w:val="es-ES"/>
        </w:rPr>
        <w:tab/>
      </w:r>
      <w:hyperlink r:id="rId9" w:history="1">
        <w:r w:rsidRPr="00B612E0">
          <w:rPr>
            <w:rStyle w:val="Hyperlink"/>
            <w:lang w:val="es-ES"/>
          </w:rPr>
          <w:t>https://ec.europa.eu/health/health-security-and-infectious-diseases/crisis-management/covid-19-diagnostic-tests_es</w:t>
        </w:r>
      </w:hyperlink>
      <w:r w:rsidRPr="00B612E0">
        <w:rPr>
          <w:lang w:val="es-ES"/>
        </w:rPr>
        <w:t xml:space="preserve"> </w:t>
      </w:r>
    </w:p>
  </w:footnote>
  <w:footnote w:id="17">
    <w:p w:rsidR="004F35E2" w:rsidRPr="00B612E0" w:rsidRDefault="004F35E2" w:rsidP="00BB5BF5">
      <w:pPr>
        <w:pStyle w:val="FootnoteText"/>
        <w:rPr>
          <w:lang w:val="es-ES"/>
        </w:rPr>
      </w:pPr>
      <w:r>
        <w:rPr>
          <w:rStyle w:val="FootnoteReference"/>
        </w:rPr>
        <w:footnoteRef/>
      </w:r>
      <w:r w:rsidRPr="00B612E0">
        <w:rPr>
          <w:lang w:val="es-ES"/>
        </w:rPr>
        <w:tab/>
      </w:r>
      <w:hyperlink r:id="rId10" w:history="1">
        <w:r w:rsidRPr="00B612E0">
          <w:rPr>
            <w:rStyle w:val="Hyperlink"/>
            <w:lang w:val="es-ES"/>
          </w:rPr>
          <w:t>https://ec.europa.eu/health/system/files/2022-01/covid-19_rat_common-list_en.pdf</w:t>
        </w:r>
      </w:hyperlink>
      <w:r w:rsidRPr="00B612E0">
        <w:rPr>
          <w:lang w:val="es-ES"/>
        </w:rPr>
        <w:t xml:space="preserve"> </w:t>
      </w:r>
    </w:p>
  </w:footnote>
  <w:footnote w:id="18">
    <w:p w:rsidR="004F35E2" w:rsidRPr="00B612E0" w:rsidRDefault="004F35E2" w:rsidP="00435581">
      <w:pPr>
        <w:pStyle w:val="FootnoteText"/>
        <w:rPr>
          <w:lang w:val="es-ES"/>
        </w:rPr>
      </w:pPr>
      <w:r>
        <w:rPr>
          <w:rStyle w:val="FootnoteReference"/>
        </w:rPr>
        <w:footnoteRef/>
      </w:r>
      <w:r w:rsidRPr="00B612E0">
        <w:rPr>
          <w:lang w:val="es-ES"/>
        </w:rPr>
        <w:tab/>
        <w:t>Reglamento (CE) n.º</w:t>
      </w:r>
      <w:r>
        <w:rPr>
          <w:lang w:val="es-ES"/>
        </w:rPr>
        <w:t xml:space="preserve"> </w:t>
      </w:r>
      <w:r w:rsidRPr="00B612E0">
        <w:rPr>
          <w:lang w:val="es-ES"/>
        </w:rPr>
        <w:t>726/2004 del Parlamento Europeo y del Consejo de 31 de marzo de 2004 por el que se establecen procedimientos comunitarios para la autorización y el control de los medicamentos de uso humano y veterinario y por el que se crea la Agencia Europea de Medicamentos (DO L</w:t>
      </w:r>
      <w:r>
        <w:rPr>
          <w:lang w:val="es-ES"/>
        </w:rPr>
        <w:t xml:space="preserve"> </w:t>
      </w:r>
      <w:r w:rsidRPr="00B612E0">
        <w:rPr>
          <w:lang w:val="es-ES"/>
        </w:rPr>
        <w:t>136 de 30.4.2004, p.</w:t>
      </w:r>
      <w:r>
        <w:rPr>
          <w:lang w:val="es-ES"/>
        </w:rPr>
        <w:t xml:space="preserve"> </w:t>
      </w:r>
      <w:r w:rsidRPr="00B612E0">
        <w:rPr>
          <w:lang w:val="es-ES"/>
        </w:rPr>
        <w:t>1).</w:t>
      </w:r>
    </w:p>
  </w:footnote>
  <w:footnote w:id="19">
    <w:p w:rsidR="004F35E2" w:rsidRPr="00B612E0" w:rsidRDefault="004F35E2">
      <w:pPr>
        <w:pStyle w:val="FootnoteText"/>
        <w:rPr>
          <w:lang w:val="es-ES"/>
        </w:rPr>
      </w:pPr>
      <w:r>
        <w:rPr>
          <w:rStyle w:val="FootnoteReference"/>
        </w:rPr>
        <w:footnoteRef/>
      </w:r>
      <w:r w:rsidRPr="00B612E0">
        <w:rPr>
          <w:lang w:val="es-ES"/>
        </w:rPr>
        <w:tab/>
      </w:r>
      <w:r w:rsidRPr="00B612E0">
        <w:rPr>
          <w:rStyle w:val="iceouttxt"/>
          <w:lang w:val="es-ES"/>
        </w:rPr>
        <w:t>Informe de la Comisión al Parlamento Europeo y al Consejo de conformidad con el artículo 16, apartado 1, del Reglamento (UE) 2021/953 del Parlamento Europeo y del Consejo relativo a un marco para la expedición, verificación y aceptación de certificados COVID-19 interoperables de vacunación, de prueba diagnóstica y de recuperación (certificado COVID digital de la UE) a fin de facilitar la libre circulación durante la pandemia de COVID-19 [COM(2021) 649 final].</w:t>
      </w:r>
    </w:p>
  </w:footnote>
  <w:footnote w:id="20">
    <w:p w:rsidR="004F35E2" w:rsidRPr="00B612E0" w:rsidRDefault="004F35E2" w:rsidP="00F057D0">
      <w:pPr>
        <w:pStyle w:val="FootnoteText"/>
        <w:rPr>
          <w:lang w:val="es-ES"/>
        </w:rPr>
      </w:pPr>
      <w:r w:rsidRPr="004F35E2">
        <w:rPr>
          <w:rStyle w:val="FootnoteReference"/>
        </w:rPr>
        <w:footnoteRef/>
      </w:r>
      <w:r>
        <w:rPr>
          <w:lang w:val="es-ES"/>
        </w:rPr>
        <w:tab/>
      </w:r>
      <w:r w:rsidRPr="00B612E0">
        <w:rPr>
          <w:lang w:val="es-ES"/>
        </w:rPr>
        <w:t>Directiva 2004/38/CE del Parlamento Europeo y del Consejo, de 29 de abril de 2004, relativa al derecho de los ciudadanos de la Unión y de los miembros de sus familias a circular y residir libremente en el territorio de los Estados miembros por la que se modifica el Reglamento (CEE) n.º 1612/68 y se derogan las Directivas 64/221/CEE, 68/360/CEE, 72/194/CEE, 73/148/CEE, 75/34/CEE, 75/35/CEE, 90/364/CEE, 90/365/CEE y 93/96/CEE (DO L 158 de 30.4.2004, p. 77).</w:t>
      </w:r>
    </w:p>
  </w:footnote>
  <w:footnote w:id="21">
    <w:p w:rsidR="004F35E2" w:rsidRPr="00B612E0" w:rsidRDefault="004F35E2">
      <w:pPr>
        <w:pStyle w:val="FootnoteText"/>
        <w:rPr>
          <w:lang w:val="es-ES"/>
        </w:rPr>
      </w:pPr>
      <w:r>
        <w:rPr>
          <w:rStyle w:val="FootnoteReference"/>
        </w:rPr>
        <w:footnoteRef/>
      </w:r>
      <w:r w:rsidRPr="00B612E0">
        <w:rPr>
          <w:lang w:val="es-ES"/>
        </w:rPr>
        <w:tab/>
        <w:t>DO L 211 de 15.6.2021, p. 24.</w:t>
      </w:r>
    </w:p>
  </w:footnote>
  <w:footnote w:id="22">
    <w:p w:rsidR="004F35E2" w:rsidRPr="00B612E0" w:rsidRDefault="004F35E2">
      <w:pPr>
        <w:pStyle w:val="FootnoteText"/>
        <w:rPr>
          <w:lang w:val="es-ES"/>
        </w:rPr>
      </w:pPr>
      <w:r>
        <w:rPr>
          <w:rStyle w:val="FootnoteReference"/>
        </w:rPr>
        <w:footnoteRef/>
      </w:r>
      <w:r w:rsidRPr="00B612E0">
        <w:rPr>
          <w:lang w:val="es-ES"/>
        </w:rPr>
        <w:tab/>
        <w:t>COM(2021) 754 final.</w:t>
      </w:r>
    </w:p>
  </w:footnote>
  <w:footnote w:id="23">
    <w:p w:rsidR="004F35E2" w:rsidRPr="00B612E0" w:rsidRDefault="004F35E2" w:rsidP="00496FEB">
      <w:pPr>
        <w:pStyle w:val="FootnoteText"/>
        <w:rPr>
          <w:lang w:val="es-ES"/>
        </w:rPr>
      </w:pPr>
      <w:r>
        <w:rPr>
          <w:rStyle w:val="FootnoteReference"/>
        </w:rPr>
        <w:footnoteRef/>
      </w:r>
      <w:r w:rsidRPr="00B612E0">
        <w:rPr>
          <w:lang w:val="es-ES"/>
        </w:rPr>
        <w:tab/>
        <w:t>Reglamento (UE) 2016/399 del Parlamento Europeo y del Consejo, de 9 de marzo de 2016, por el que se establece un Código de normas de la Unión para el cruce de personas por las fronteras (Código de fronteras Schengen) (DO L 77 de 23.3.2016, p. 1).</w:t>
      </w:r>
    </w:p>
  </w:footnote>
  <w:footnote w:id="24">
    <w:p w:rsidR="004F35E2" w:rsidRPr="00B612E0" w:rsidRDefault="004F35E2">
      <w:pPr>
        <w:pStyle w:val="FootnoteText"/>
        <w:rPr>
          <w:lang w:val="es-ES"/>
        </w:rPr>
      </w:pPr>
      <w:r>
        <w:rPr>
          <w:rStyle w:val="FootnoteReference"/>
        </w:rPr>
        <w:footnoteRef/>
      </w:r>
      <w:r w:rsidRPr="00B612E0">
        <w:rPr>
          <w:lang w:val="es-ES"/>
        </w:rPr>
        <w:tab/>
      </w:r>
      <w:hyperlink r:id="rId11" w:history="1">
        <w:r w:rsidRPr="00B612E0">
          <w:rPr>
            <w:rStyle w:val="Hyperlink"/>
            <w:lang w:val="es-ES"/>
          </w:rPr>
          <w:t>https://www.ecdc.europa.eu/sites/default/files/documents/RRA-19-update-27-jan-2022.pdf</w:t>
        </w:r>
      </w:hyperlink>
      <w:r w:rsidRPr="00B612E0">
        <w:rPr>
          <w:lang w:val="es-ES"/>
        </w:rPr>
        <w:t xml:space="preserve"> </w:t>
      </w:r>
    </w:p>
  </w:footnote>
  <w:footnote w:id="25">
    <w:p w:rsidR="004F35E2" w:rsidRPr="00B612E0" w:rsidRDefault="004F35E2" w:rsidP="00F057D0">
      <w:pPr>
        <w:pStyle w:val="FootnoteText"/>
        <w:rPr>
          <w:lang w:val="es-ES"/>
        </w:rPr>
      </w:pPr>
      <w:r>
        <w:rPr>
          <w:rStyle w:val="FootnoteReference"/>
        </w:rPr>
        <w:footnoteRef/>
      </w:r>
      <w:r w:rsidRPr="00B612E0">
        <w:rPr>
          <w:lang w:val="es-ES"/>
        </w:rPr>
        <w:tab/>
        <w:t>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(DO L 119 de 4.5.2016, p. 1).</w:t>
      </w:r>
    </w:p>
  </w:footnote>
  <w:footnote w:id="26">
    <w:p w:rsidR="004F35E2" w:rsidRPr="00B612E0" w:rsidRDefault="004F35E2" w:rsidP="00CE611C">
      <w:pPr>
        <w:pStyle w:val="FootnoteText"/>
        <w:rPr>
          <w:lang w:val="es-ES"/>
        </w:rPr>
      </w:pPr>
      <w:r>
        <w:rPr>
          <w:rStyle w:val="FootnoteReference"/>
        </w:rPr>
        <w:footnoteRef/>
      </w:r>
      <w:r w:rsidRPr="00B612E0">
        <w:rPr>
          <w:lang w:val="es-ES"/>
        </w:rPr>
        <w:tab/>
        <w:t>Reglamento (UE) 2021/953 del Parlamento Europeo y del Consejo de 14 de junio de 2021 relativo a un marco para la expedición, verificación y aceptación de certificados COVID-19 interoperables de vacunación, de prueba diagnóstica y de recuperación (certificado COVID digital de la UE) a fin de facilitar la libre circulación durante la pandemia de COVID-19 (DO L 211 de 15.6.2021, p. 1).</w:t>
      </w:r>
    </w:p>
  </w:footnote>
  <w:footnote w:id="27">
    <w:p w:rsidR="004F35E2" w:rsidRPr="00B612E0" w:rsidRDefault="004F35E2">
      <w:pPr>
        <w:pStyle w:val="FootnoteText"/>
        <w:rPr>
          <w:lang w:val="es-ES"/>
        </w:rPr>
      </w:pPr>
      <w:r>
        <w:rPr>
          <w:rStyle w:val="FootnoteReference"/>
        </w:rPr>
        <w:footnoteRef/>
      </w:r>
      <w:r w:rsidRPr="00B612E0">
        <w:rPr>
          <w:lang w:val="es-ES"/>
        </w:rPr>
        <w:tab/>
      </w:r>
      <w:hyperlink r:id="rId12" w:history="1">
        <w:r w:rsidRPr="00B612E0">
          <w:rPr>
            <w:rStyle w:val="Hyperlink"/>
            <w:lang w:val="es-ES"/>
          </w:rPr>
          <w:t>https://ec.europa.eu/health/health-security-and-infectious-diseases/crisis-management/covid-19-diagnostic-tests_es</w:t>
        </w:r>
      </w:hyperlink>
      <w:r w:rsidRPr="00B612E0">
        <w:rPr>
          <w:lang w:val="es-ES"/>
        </w:rPr>
        <w:t xml:space="preserve"> </w:t>
      </w:r>
    </w:p>
  </w:footnote>
  <w:footnote w:id="28">
    <w:p w:rsidR="004F35E2" w:rsidRPr="00B612E0" w:rsidRDefault="004F35E2">
      <w:pPr>
        <w:pStyle w:val="FootnoteText"/>
        <w:rPr>
          <w:lang w:val="es-ES"/>
        </w:rPr>
      </w:pPr>
      <w:r>
        <w:rPr>
          <w:rStyle w:val="FootnoteReference"/>
        </w:rPr>
        <w:footnoteRef/>
      </w:r>
      <w:r w:rsidRPr="00B612E0">
        <w:rPr>
          <w:lang w:val="es-ES"/>
        </w:rPr>
        <w:tab/>
      </w:r>
      <w:hyperlink r:id="rId13" w:history="1">
        <w:r w:rsidRPr="00B612E0">
          <w:rPr>
            <w:rStyle w:val="Hyperlink"/>
            <w:lang w:val="es-ES"/>
          </w:rPr>
          <w:t>https://ec.europa.eu/health/system/files/2022-01/covid-19_rat_common-list_en.pdf</w:t>
        </w:r>
      </w:hyperlink>
      <w:r w:rsidRPr="00B612E0">
        <w:rPr>
          <w:lang w:val="es-ES"/>
        </w:rPr>
        <w:t xml:space="preserve"> </w:t>
      </w:r>
    </w:p>
  </w:footnote>
  <w:footnote w:id="29">
    <w:p w:rsidR="004F35E2" w:rsidRPr="00B612E0" w:rsidRDefault="004F35E2">
      <w:pPr>
        <w:pStyle w:val="FootnoteText"/>
        <w:rPr>
          <w:lang w:val="es-ES"/>
        </w:rPr>
      </w:pPr>
      <w:r>
        <w:rPr>
          <w:rStyle w:val="FootnoteReference"/>
        </w:rPr>
        <w:footnoteRef/>
      </w:r>
      <w:r w:rsidRPr="00B612E0">
        <w:rPr>
          <w:lang w:val="es-ES"/>
        </w:rPr>
        <w:tab/>
        <w:t>Decisión n.º</w:t>
      </w:r>
      <w:r>
        <w:rPr>
          <w:lang w:val="es-ES"/>
        </w:rPr>
        <w:t xml:space="preserve"> </w:t>
      </w:r>
      <w:r w:rsidRPr="00B612E0">
        <w:rPr>
          <w:lang w:val="es-ES"/>
        </w:rPr>
        <w:t>1082/2013/UE del Parlamento Europeo y del Consejo, de 22 de octubre de 2013, sobre las amenazas transfronterizas graves para la salud y por la que se deroga la Decisión n.º</w:t>
      </w:r>
      <w:r>
        <w:rPr>
          <w:lang w:val="es-ES"/>
        </w:rPr>
        <w:t xml:space="preserve"> </w:t>
      </w:r>
      <w:r w:rsidRPr="00B612E0">
        <w:rPr>
          <w:lang w:val="es-ES"/>
        </w:rPr>
        <w:t>2119/98/CE (DO L</w:t>
      </w:r>
      <w:r>
        <w:rPr>
          <w:lang w:val="es-ES"/>
        </w:rPr>
        <w:t> </w:t>
      </w:r>
      <w:r w:rsidRPr="00B612E0">
        <w:rPr>
          <w:lang w:val="es-ES"/>
        </w:rPr>
        <w:t>293 de 5.11.2013, p.</w:t>
      </w:r>
      <w:r>
        <w:rPr>
          <w:lang w:val="es-ES"/>
        </w:rPr>
        <w:t xml:space="preserve"> </w:t>
      </w:r>
      <w:r w:rsidRPr="00B612E0">
        <w:rPr>
          <w:lang w:val="es-ES"/>
        </w:rPr>
        <w:t>1).</w:t>
      </w:r>
    </w:p>
  </w:footnote>
  <w:footnote w:id="30">
    <w:p w:rsidR="004F35E2" w:rsidRPr="00B612E0" w:rsidRDefault="004F35E2" w:rsidP="00435581">
      <w:pPr>
        <w:pStyle w:val="FootnoteText"/>
        <w:rPr>
          <w:lang w:val="es-ES"/>
        </w:rPr>
      </w:pPr>
      <w:r>
        <w:rPr>
          <w:rStyle w:val="FootnoteReference"/>
        </w:rPr>
        <w:footnoteRef/>
      </w:r>
      <w:r w:rsidRPr="00B612E0">
        <w:rPr>
          <w:lang w:val="es-ES"/>
        </w:rPr>
        <w:tab/>
        <w:t>Reglamento (CE) n.º</w:t>
      </w:r>
      <w:r>
        <w:rPr>
          <w:lang w:val="es-ES"/>
        </w:rPr>
        <w:t xml:space="preserve"> </w:t>
      </w:r>
      <w:r w:rsidRPr="00B612E0">
        <w:rPr>
          <w:lang w:val="es-ES"/>
        </w:rPr>
        <w:t>726/2004 del Parlamento Europeo y del Consejo de 31 de marzo de 2004 por el que se establecen procedimientos comunitarios para la autorización y el control de los medicamentos de uso humano y veterinario y por el que se crea la Agencia Europea de Medicamentos (DO L</w:t>
      </w:r>
      <w:r>
        <w:rPr>
          <w:lang w:val="es-ES"/>
        </w:rPr>
        <w:t xml:space="preserve"> </w:t>
      </w:r>
      <w:r w:rsidRPr="00B612E0">
        <w:rPr>
          <w:lang w:val="es-ES"/>
        </w:rPr>
        <w:t>136 de 30.4.2004, p.</w:t>
      </w:r>
      <w:r>
        <w:rPr>
          <w:lang w:val="es-ES"/>
        </w:rPr>
        <w:t xml:space="preserve"> </w:t>
      </w:r>
      <w:r w:rsidRPr="00B612E0">
        <w:rPr>
          <w:lang w:val="es-ES"/>
        </w:rPr>
        <w:t>1).</w:t>
      </w:r>
    </w:p>
  </w:footnote>
  <w:footnote w:id="31">
    <w:p w:rsidR="004F35E2" w:rsidRPr="00B612E0" w:rsidRDefault="004F35E2">
      <w:pPr>
        <w:pStyle w:val="FootnoteText"/>
        <w:rPr>
          <w:lang w:val="es-ES"/>
        </w:rPr>
      </w:pPr>
      <w:r>
        <w:rPr>
          <w:rStyle w:val="FootnoteReference"/>
        </w:rPr>
        <w:footnoteRef/>
      </w:r>
      <w:r w:rsidRPr="00B612E0">
        <w:rPr>
          <w:lang w:val="es-ES"/>
        </w:rPr>
        <w:tab/>
      </w:r>
      <w:hyperlink r:id="rId14" w:history="1">
        <w:r w:rsidRPr="00B612E0">
          <w:rPr>
            <w:rStyle w:val="Hyperlink"/>
            <w:lang w:val="es-ES"/>
          </w:rPr>
          <w:t>https://vaccinetracker.ecdc.europa.eu/public/extensions/COVID-19/vaccine-tracker.html</w:t>
        </w:r>
      </w:hyperlink>
      <w:r w:rsidRPr="00B612E0">
        <w:rPr>
          <w:lang w:val="es-ES"/>
        </w:rPr>
        <w:t xml:space="preserve"> </w:t>
      </w:r>
    </w:p>
  </w:footnote>
  <w:footnote w:id="32">
    <w:p w:rsidR="004F35E2" w:rsidRPr="00B612E0" w:rsidRDefault="004F35E2">
      <w:pPr>
        <w:pStyle w:val="FootnoteText"/>
        <w:rPr>
          <w:lang w:val="es-ES"/>
        </w:rPr>
      </w:pPr>
      <w:r>
        <w:rPr>
          <w:rStyle w:val="FootnoteReference"/>
        </w:rPr>
        <w:footnoteRef/>
      </w:r>
      <w:r w:rsidRPr="00B612E0">
        <w:rPr>
          <w:lang w:val="es-ES"/>
        </w:rPr>
        <w:tab/>
      </w:r>
      <w:hyperlink r:id="rId15" w:history="1">
        <w:r w:rsidRPr="00B612E0">
          <w:rPr>
            <w:rStyle w:val="Hyperlink"/>
            <w:lang w:val="es-ES"/>
          </w:rPr>
          <w:t>https://www.ecdc.europa.eu/sites/default/files/documents/RRA-19th%20update-27-jan-2022.pdf</w:t>
        </w:r>
      </w:hyperlink>
      <w:r w:rsidRPr="00B612E0">
        <w:rPr>
          <w:lang w:val="es-ES"/>
        </w:rPr>
        <w:t xml:space="preserve"> </w:t>
      </w:r>
    </w:p>
  </w:footnote>
  <w:footnote w:id="33">
    <w:p w:rsidR="004F35E2" w:rsidRPr="00B612E0" w:rsidRDefault="004F35E2">
      <w:pPr>
        <w:pStyle w:val="FootnoteText"/>
        <w:rPr>
          <w:lang w:val="es-ES"/>
        </w:rPr>
      </w:pPr>
      <w:r w:rsidRPr="004F35E2">
        <w:rPr>
          <w:rStyle w:val="FootnoteReference"/>
        </w:rPr>
        <w:footnoteRef/>
      </w:r>
      <w:r>
        <w:rPr>
          <w:lang w:val="es-ES"/>
        </w:rPr>
        <w:tab/>
      </w:r>
      <w:r w:rsidRPr="00B612E0">
        <w:rPr>
          <w:lang w:val="es-ES"/>
        </w:rPr>
        <w:t>Deberá añadirse la referencia.</w:t>
      </w:r>
    </w:p>
  </w:footnote>
  <w:footnote w:id="34">
    <w:p w:rsidR="004F35E2" w:rsidRPr="00B612E0" w:rsidRDefault="004F35E2">
      <w:pPr>
        <w:pStyle w:val="FootnoteText"/>
        <w:rPr>
          <w:lang w:val="es-ES"/>
        </w:rPr>
      </w:pPr>
      <w:r w:rsidRPr="004F35E2">
        <w:rPr>
          <w:rStyle w:val="FootnoteReference"/>
        </w:rPr>
        <w:footnoteRef/>
      </w:r>
      <w:r>
        <w:rPr>
          <w:lang w:val="es-ES"/>
        </w:rPr>
        <w:tab/>
      </w:r>
      <w:r w:rsidRPr="00B612E0">
        <w:rPr>
          <w:lang w:val="es-ES"/>
        </w:rPr>
        <w:t>Reglamento (UE) 2021/954 del Parlamento Europeo y del Consejo de 14 de junio de 2021 relativo a un marco para la expedición, verificación y aceptación de certificados COVID-19 interoperables de vacunación, de prueba diagnóstica y de recuperación (certificado COVID digital de la UE) con respecto a los nacionales de terceros países que se encuentren o residan legalmente en los territorios de los Estados miembros durante la pandemia de COVID-19 (DO L 211 de 15.6.2021, p. 24).</w:t>
      </w:r>
    </w:p>
  </w:footnote>
  <w:footnote w:id="35">
    <w:p w:rsidR="004F35E2" w:rsidRPr="00B612E0" w:rsidRDefault="004F35E2">
      <w:pPr>
        <w:pStyle w:val="FootnoteText"/>
        <w:rPr>
          <w:lang w:val="es-ES"/>
        </w:rPr>
      </w:pPr>
      <w:r w:rsidRPr="004F35E2">
        <w:rPr>
          <w:rStyle w:val="FootnoteReference"/>
        </w:rPr>
        <w:footnoteRef/>
      </w:r>
      <w:r>
        <w:rPr>
          <w:lang w:val="es-ES"/>
        </w:rPr>
        <w:tab/>
      </w:r>
      <w:r w:rsidRPr="00B612E0">
        <w:rPr>
          <w:lang w:val="es-ES"/>
        </w:rPr>
        <w:t>Reglamento (UE) 2016/399 del Parlamento Europeo y del Consejo, de 9 de marzo de 2016, por el que se establece un Código de normas de la Unión para el cruce de personas por las fronteras (Código de fronteras Schengen) (DO L</w:t>
      </w:r>
      <w:r>
        <w:rPr>
          <w:lang w:val="es-ES"/>
        </w:rPr>
        <w:t xml:space="preserve"> </w:t>
      </w:r>
      <w:r w:rsidRPr="00B612E0">
        <w:rPr>
          <w:lang w:val="es-ES"/>
        </w:rPr>
        <w:t>77 de 23.3.2016, p.</w:t>
      </w:r>
      <w:r>
        <w:rPr>
          <w:lang w:val="es-ES"/>
        </w:rPr>
        <w:t xml:space="preserve"> </w:t>
      </w:r>
      <w:r w:rsidRPr="00B612E0">
        <w:rPr>
          <w:lang w:val="es-ES"/>
        </w:rPr>
        <w:t>1).</w:t>
      </w:r>
    </w:p>
  </w:footnote>
  <w:footnote w:id="36">
    <w:p w:rsidR="004F35E2" w:rsidRPr="00B612E0" w:rsidRDefault="004F35E2">
      <w:pPr>
        <w:pStyle w:val="FootnoteText"/>
        <w:rPr>
          <w:lang w:val="es-ES"/>
        </w:rPr>
      </w:pPr>
      <w:r w:rsidRPr="004F35E2">
        <w:rPr>
          <w:rStyle w:val="FootnoteReference"/>
        </w:rPr>
        <w:footnoteRef/>
      </w:r>
      <w:r>
        <w:rPr>
          <w:lang w:val="es-ES"/>
        </w:rPr>
        <w:tab/>
      </w:r>
      <w:r w:rsidRPr="00B612E0">
        <w:rPr>
          <w:lang w:val="es-ES"/>
        </w:rPr>
        <w:t>Deberá añadirse la referencia.</w:t>
      </w:r>
    </w:p>
  </w:footnote>
  <w:footnote w:id="37">
    <w:p w:rsidR="004F35E2" w:rsidRPr="00B612E0" w:rsidRDefault="004F35E2" w:rsidP="007D02A8">
      <w:pPr>
        <w:pStyle w:val="FootnoteText"/>
        <w:rPr>
          <w:szCs w:val="24"/>
          <w:lang w:val="es-ES"/>
        </w:rPr>
      </w:pPr>
      <w:r>
        <w:rPr>
          <w:rStyle w:val="FootnoteReference"/>
        </w:rPr>
        <w:footnoteRef/>
      </w:r>
      <w:r w:rsidRPr="00B612E0">
        <w:rPr>
          <w:lang w:val="es-ES"/>
        </w:rPr>
        <w:tab/>
        <w:t>Conforme al artículo</w:t>
      </w:r>
      <w:r>
        <w:rPr>
          <w:lang w:val="es-ES"/>
        </w:rPr>
        <w:t xml:space="preserve"> </w:t>
      </w:r>
      <w:r w:rsidRPr="00B612E0">
        <w:rPr>
          <w:lang w:val="es-ES"/>
        </w:rPr>
        <w:t>58, apartado</w:t>
      </w:r>
      <w:r>
        <w:rPr>
          <w:lang w:val="es-ES"/>
        </w:rPr>
        <w:t xml:space="preserve"> </w:t>
      </w:r>
      <w:r w:rsidRPr="00B612E0">
        <w:rPr>
          <w:lang w:val="es-ES"/>
        </w:rPr>
        <w:t>2, letras a) o b), del Reglamento Financiero.</w:t>
      </w:r>
    </w:p>
  </w:footnote>
  <w:footnote w:id="38">
    <w:p w:rsidR="004F35E2" w:rsidRPr="00B612E0" w:rsidRDefault="004F35E2" w:rsidP="007D02A8">
      <w:pPr>
        <w:pStyle w:val="FootnoteText"/>
        <w:rPr>
          <w:szCs w:val="24"/>
          <w:lang w:val="es-ES"/>
        </w:rPr>
      </w:pPr>
      <w:r>
        <w:rPr>
          <w:rStyle w:val="FootnoteReference"/>
        </w:rPr>
        <w:footnoteRef/>
      </w:r>
      <w:r w:rsidRPr="00B612E0">
        <w:rPr>
          <w:lang w:val="es-ES"/>
        </w:rPr>
        <w:tab/>
        <w:t xml:space="preserve">Los detalles de los modos de gestión y las referencias al Reglamento Financiero pueden consultarse en el sitio BudgWeb: </w:t>
      </w:r>
      <w:hyperlink r:id="rId16" w:history="1">
        <w:r w:rsidRPr="00B612E0">
          <w:rPr>
            <w:rStyle w:val="Hyperlink"/>
            <w:sz w:val="18"/>
            <w:lang w:val="es-ES"/>
          </w:rPr>
          <w:t>http://www.cc.cec/budg/man/budgmanag/budgmanag_en.html</w:t>
        </w:r>
      </w:hyperlink>
    </w:p>
  </w:footnote>
  <w:footnote w:id="39">
    <w:p w:rsidR="004F35E2" w:rsidRPr="00B612E0" w:rsidRDefault="004F35E2" w:rsidP="007D02A8">
      <w:pPr>
        <w:pStyle w:val="FootnoteText"/>
        <w:rPr>
          <w:szCs w:val="24"/>
          <w:lang w:val="es-ES"/>
        </w:rPr>
      </w:pPr>
      <w:r>
        <w:rPr>
          <w:rStyle w:val="FootnoteReference"/>
        </w:rPr>
        <w:footnoteRef/>
      </w:r>
      <w:r w:rsidRPr="00B612E0">
        <w:rPr>
          <w:lang w:val="es-ES"/>
        </w:rPr>
        <w:tab/>
        <w:t>CD = créditos disociados / CND = créditos no disociados.</w:t>
      </w:r>
    </w:p>
  </w:footnote>
  <w:footnote w:id="40">
    <w:p w:rsidR="004F35E2" w:rsidRPr="00B612E0" w:rsidRDefault="004F35E2" w:rsidP="007D02A8">
      <w:pPr>
        <w:pStyle w:val="FootnoteText"/>
        <w:rPr>
          <w:szCs w:val="24"/>
          <w:lang w:val="es-ES"/>
        </w:rPr>
      </w:pPr>
      <w:r>
        <w:rPr>
          <w:rStyle w:val="FootnoteReference"/>
        </w:rPr>
        <w:footnoteRef/>
      </w:r>
      <w:r w:rsidRPr="00B612E0">
        <w:rPr>
          <w:lang w:val="es-ES"/>
        </w:rPr>
        <w:tab/>
        <w:t xml:space="preserve">AELC: Asociación Europea de Libre Comercio. </w:t>
      </w:r>
    </w:p>
  </w:footnote>
  <w:footnote w:id="41">
    <w:p w:rsidR="004F35E2" w:rsidRPr="00B612E0" w:rsidRDefault="004F35E2" w:rsidP="007D02A8">
      <w:pPr>
        <w:pStyle w:val="FootnoteText"/>
        <w:rPr>
          <w:szCs w:val="24"/>
          <w:lang w:val="es-ES"/>
        </w:rPr>
      </w:pPr>
      <w:r>
        <w:rPr>
          <w:rStyle w:val="FootnoteReference"/>
        </w:rPr>
        <w:footnoteRef/>
      </w:r>
      <w:r w:rsidRPr="00B612E0">
        <w:rPr>
          <w:lang w:val="es-ES"/>
        </w:rPr>
        <w:tab/>
        <w:t>Países candidatos y, cuando proceda, países candidatos potenciales de los Balcanes Occidentales.</w:t>
      </w:r>
    </w:p>
  </w:footnote>
  <w:footnote w:id="42">
    <w:p w:rsidR="004F35E2" w:rsidRPr="00B612E0" w:rsidRDefault="004F35E2" w:rsidP="007D02A8">
      <w:pPr>
        <w:pStyle w:val="FootnoteText"/>
        <w:ind w:left="0" w:firstLine="0"/>
        <w:rPr>
          <w:lang w:val="es-ES"/>
        </w:rPr>
      </w:pPr>
      <w:r w:rsidRPr="004F35E2">
        <w:rPr>
          <w:rStyle w:val="FootnoteReference"/>
        </w:rPr>
        <w:footnoteRef/>
      </w:r>
      <w:r>
        <w:rPr>
          <w:lang w:val="es-ES"/>
        </w:rPr>
        <w:tab/>
      </w:r>
      <w:r w:rsidRPr="00B612E0">
        <w:rPr>
          <w:lang w:val="es-ES"/>
        </w:rPr>
        <w:t xml:space="preserve">Los importes asignados en 2022 en el marco del Programa Europa Digital se indican a título informativo, pues ya están cubiertos por la ficha financiera legislativa de la propuesta de Reglamento del Parlamento Europeo y del Consejo relativo a un marco para la expedición, verificación y aceptación de certificados interoperables de vacunación, de prueba diagnóstica y de recuperación para facilitar la libre circulación durante la pandemia de COVID-19 (certificado verde digital) </w:t>
      </w:r>
      <w:hyperlink r:id="rId17" w:history="1">
        <w:r w:rsidRPr="00B612E0">
          <w:rPr>
            <w:rStyle w:val="Hyperlink"/>
            <w:lang w:val="es-ES"/>
          </w:rPr>
          <w:t>COM/2021/130 final</w:t>
        </w:r>
      </w:hyperlink>
      <w:r w:rsidRPr="00B612E0">
        <w:rPr>
          <w:lang w:val="es-ES"/>
        </w:rPr>
        <w:t>. Los créditos de 2023 están sujetos a la aprobación del presupuesto de 2023, el programa de trabajo del PED y la adopción de la correspondiente decisión de financiación.</w:t>
      </w:r>
    </w:p>
  </w:footnote>
  <w:footnote w:id="43">
    <w:p w:rsidR="004F35E2" w:rsidRPr="00B612E0" w:rsidRDefault="004F35E2" w:rsidP="007D02A8">
      <w:pPr>
        <w:pStyle w:val="FootnoteText"/>
        <w:rPr>
          <w:szCs w:val="24"/>
          <w:lang w:val="es-ES"/>
        </w:rPr>
      </w:pPr>
      <w:r>
        <w:rPr>
          <w:rStyle w:val="FootnoteReference"/>
        </w:rPr>
        <w:footnoteRef/>
      </w:r>
      <w:r w:rsidRPr="00B612E0">
        <w:rPr>
          <w:lang w:val="es-ES"/>
        </w:rPr>
        <w:tab/>
        <w:t>Los resultados son los productos y servicios por suministrar (por ejemplo, número de intercambios de estudiantes financiados, número de kilómetros de carretera construidos, etc.).</w:t>
      </w:r>
    </w:p>
  </w:footnote>
  <w:footnote w:id="44">
    <w:p w:rsidR="004F35E2" w:rsidRPr="00B612E0" w:rsidRDefault="004F35E2" w:rsidP="007D02A8">
      <w:pPr>
        <w:pStyle w:val="FootnoteText"/>
        <w:rPr>
          <w:lang w:val="es-ES"/>
        </w:rPr>
      </w:pPr>
      <w:r w:rsidRPr="004F35E2">
        <w:rPr>
          <w:rStyle w:val="FootnoteReference"/>
        </w:rPr>
        <w:footnoteRef/>
      </w:r>
      <w:r>
        <w:rPr>
          <w:lang w:val="es-ES"/>
        </w:rPr>
        <w:tab/>
      </w:r>
      <w:r w:rsidRPr="00B612E0">
        <w:rPr>
          <w:lang w:val="es-ES"/>
        </w:rPr>
        <w:t>Asistencia técnica o administrativa y gastos de apoyo a la ejecución de programas o acciones de la UE (antiguas líneas «BA»), investigación indirecta, investigación directa.</w:t>
      </w:r>
    </w:p>
  </w:footnote>
  <w:footnote w:id="45">
    <w:p w:rsidR="004F35E2" w:rsidRPr="00B612E0" w:rsidRDefault="004F35E2" w:rsidP="007D02A8">
      <w:pPr>
        <w:pStyle w:val="FootnoteText"/>
        <w:rPr>
          <w:szCs w:val="24"/>
          <w:lang w:val="es-ES"/>
        </w:rPr>
      </w:pPr>
      <w:r w:rsidRPr="004F35E2">
        <w:rPr>
          <w:rStyle w:val="FootnoteReference"/>
        </w:rPr>
        <w:footnoteRef/>
      </w:r>
      <w:r>
        <w:rPr>
          <w:lang w:val="es-ES"/>
        </w:rPr>
        <w:tab/>
      </w:r>
      <w:r w:rsidRPr="00B612E0">
        <w:rPr>
          <w:lang w:val="es-ES"/>
        </w:rPr>
        <w:t xml:space="preserve">AC = agente contractual; AL = agente local; ENCS = experto nacional en comisión de servicios; INT = personal de agencia; JPD = joven profesional en Delegación. </w:t>
      </w:r>
    </w:p>
  </w:footnote>
  <w:footnote w:id="46">
    <w:p w:rsidR="004F35E2" w:rsidRPr="00B612E0" w:rsidRDefault="004F35E2" w:rsidP="007D02A8">
      <w:pPr>
        <w:pStyle w:val="FootnoteText"/>
        <w:rPr>
          <w:szCs w:val="24"/>
          <w:lang w:val="es-ES"/>
        </w:rPr>
      </w:pPr>
      <w:r>
        <w:rPr>
          <w:rStyle w:val="FootnoteReference"/>
        </w:rPr>
        <w:footnoteRef/>
      </w:r>
      <w:r w:rsidRPr="00B612E0">
        <w:rPr>
          <w:lang w:val="es-ES"/>
        </w:rPr>
        <w:tab/>
        <w:t>Sublímite para el personal externo con cargo a créditos de operaciones (antiguas líneas «BA»).</w:t>
      </w:r>
    </w:p>
  </w:footnote>
  <w:footnote w:id="47">
    <w:p w:rsidR="004F35E2" w:rsidRPr="00B612E0" w:rsidRDefault="004F35E2" w:rsidP="007D02A8">
      <w:pPr>
        <w:pStyle w:val="FootnoteText"/>
        <w:rPr>
          <w:lang w:val="es-ES"/>
        </w:rPr>
      </w:pPr>
      <w:r>
        <w:rPr>
          <w:rStyle w:val="FootnoteReference"/>
        </w:rPr>
        <w:footnoteRef/>
      </w:r>
      <w:r w:rsidRPr="00B612E0">
        <w:rPr>
          <w:lang w:val="es-ES"/>
        </w:rPr>
        <w:tab/>
        <w:t>El año N es el año de comienzo de la ejecución de la propuesta/iniciativa. Sustitúyase «N» por el primer año de aplicación previsto (por ejemplo: 2021). Igual para los años siguientes.</w:t>
      </w:r>
    </w:p>
  </w:footnote>
  <w:footnote w:id="48">
    <w:p w:rsidR="004F35E2" w:rsidRPr="00B612E0" w:rsidRDefault="004F35E2" w:rsidP="007D02A8">
      <w:pPr>
        <w:pStyle w:val="FootnoteText"/>
        <w:rPr>
          <w:szCs w:val="24"/>
          <w:lang w:val="es-ES"/>
        </w:rPr>
      </w:pPr>
      <w:r>
        <w:rPr>
          <w:rStyle w:val="FootnoteReference"/>
        </w:rPr>
        <w:footnoteRef/>
      </w:r>
      <w:r w:rsidRPr="00B612E0">
        <w:rPr>
          <w:lang w:val="es-ES"/>
        </w:rPr>
        <w:tab/>
        <w:t>Por lo que se refiere a los recursos propios tradicionales (derechos de aduana, cotizaciones sobre el azúcar), los importes indicados deben ser importes netos, es decir, los importes brutos tras la deducción del 20 % de los gastos de recaudación.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7AA" w:rsidRPr="00FF77AA" w:rsidRDefault="00FF77AA" w:rsidP="00FF77AA">
    <w:pPr>
      <w:pStyle w:val="HeaderLandscap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7AA" w:rsidRPr="00FF77AA" w:rsidRDefault="00FF77AA" w:rsidP="00FF77AA">
    <w:pPr>
      <w:pStyle w:val="HeaderLandscap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E2" w:rsidRPr="00B612E0" w:rsidRDefault="004F35E2" w:rsidP="00FF77A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7AA" w:rsidRPr="00FF77AA" w:rsidRDefault="00FF77AA" w:rsidP="00FF77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FC7CC09A"/>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AA74C52E"/>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50FC5326"/>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EFC0515A"/>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D9923828"/>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3808134"/>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4D508910"/>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D3782474"/>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9"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8"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9"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1"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3" w15:restartNumberingAfterBreak="0">
    <w:nsid w:val="64A12FA4"/>
    <w:multiLevelType w:val="multilevel"/>
    <w:tmpl w:val="428ECF3E"/>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5"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22"/>
    <w:lvlOverride w:ilvl="0">
      <w:startOverride w:val="1"/>
    </w:lvlOverride>
  </w:num>
  <w:num w:numId="10">
    <w:abstractNumId w:val="25"/>
    <w:lvlOverride w:ilvl="0">
      <w:startOverride w:val="1"/>
    </w:lvlOverride>
  </w:num>
  <w:num w:numId="11">
    <w:abstractNumId w:val="8"/>
  </w:num>
  <w:num w:numId="12">
    <w:abstractNumId w:val="18"/>
  </w:num>
  <w:num w:numId="13">
    <w:abstractNumId w:val="17"/>
  </w:num>
  <w:num w:numId="14">
    <w:abstractNumId w:val="22"/>
  </w:num>
  <w:num w:numId="15">
    <w:abstractNumId w:val="13"/>
  </w:num>
  <w:num w:numId="16">
    <w:abstractNumId w:val="24"/>
  </w:num>
  <w:num w:numId="17">
    <w:abstractNumId w:val="12"/>
  </w:num>
  <w:num w:numId="18">
    <w:abstractNumId w:val="14"/>
  </w:num>
  <w:num w:numId="19">
    <w:abstractNumId w:val="10"/>
  </w:num>
  <w:num w:numId="20">
    <w:abstractNumId w:val="23"/>
  </w:num>
  <w:num w:numId="21">
    <w:abstractNumId w:val="9"/>
  </w:num>
  <w:num w:numId="22">
    <w:abstractNumId w:val="16"/>
  </w:num>
  <w:num w:numId="23">
    <w:abstractNumId w:val="20"/>
  </w:num>
  <w:num w:numId="24">
    <w:abstractNumId w:val="21"/>
  </w:num>
  <w:num w:numId="25">
    <w:abstractNumId w:val="11"/>
  </w:num>
  <w:num w:numId="26">
    <w:abstractNumId w:val="19"/>
  </w:num>
  <w:num w:numId="27">
    <w:abstractNumId w:val="25"/>
  </w:num>
  <w:num w:numId="28">
    <w:abstractNumId w:val="22"/>
  </w:num>
  <w:num w:numId="29">
    <w:abstractNumId w:val="13"/>
  </w:num>
  <w:num w:numId="30">
    <w:abstractNumId w:val="24"/>
  </w:num>
  <w:num w:numId="31">
    <w:abstractNumId w:val="12"/>
  </w:num>
  <w:num w:numId="32">
    <w:abstractNumId w:val="14"/>
  </w:num>
  <w:num w:numId="33">
    <w:abstractNumId w:val="10"/>
  </w:num>
  <w:num w:numId="34">
    <w:abstractNumId w:val="23"/>
  </w:num>
  <w:num w:numId="35">
    <w:abstractNumId w:val="9"/>
  </w:num>
  <w:num w:numId="36">
    <w:abstractNumId w:val="16"/>
  </w:num>
  <w:num w:numId="37">
    <w:abstractNumId w:val="20"/>
  </w:num>
  <w:num w:numId="38">
    <w:abstractNumId w:val="21"/>
  </w:num>
  <w:num w:numId="39">
    <w:abstractNumId w:val="11"/>
  </w:num>
  <w:num w:numId="40">
    <w:abstractNumId w:val="19"/>
  </w:num>
  <w:num w:numId="41">
    <w:abstractNumId w:val="25"/>
  </w:num>
  <w:num w:numId="42">
    <w:abstractNumId w:val="23"/>
  </w:num>
  <w:num w:numId="43">
    <w:abstractNumId w:val="23"/>
  </w:num>
  <w:num w:numId="44">
    <w:abstractNumId w:val="23"/>
  </w:num>
  <w:num w:numId="45">
    <w:abstractNumId w:val="15"/>
  </w:num>
  <w:num w:numId="46">
    <w:abstractNumId w:val="10"/>
  </w:num>
  <w:num w:numId="47">
    <w:abstractNumId w:val="10"/>
  </w:num>
  <w:num w:numId="48">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FR" w:vendorID="64" w:dllVersion="131078" w:nlCheck="1" w:checkStyle="0"/>
  <w:activeWritingStyle w:appName="MSWord" w:lang="en-GB" w:vendorID="64" w:dllVersion="131078" w:nlCheck="1" w:checkStyle="1"/>
  <w:activeWritingStyle w:appName="MSWord" w:lang="en-IE" w:vendorID="64" w:dllVersion="131078" w:nlCheck="1" w:checkStyle="1"/>
  <w:activeWritingStyle w:appName="MSWord" w:lang="en-US" w:vendorID="64" w:dllVersion="131078" w:nlCheck="1" w:checkStyle="1"/>
  <w:activeWritingStyle w:appName="MSWord" w:lang="es-ES" w:vendorID="64" w:dllVersion="131078" w:nlCheck="1" w:checkStyle="0"/>
  <w:activeWritingStyle w:appName="MSWord" w:lang="es-ES_tradnl" w:vendorID="64" w:dllVersion="131078" w:nlCheck="1" w:checkStyle="0"/>
  <w:attachedTemplate r:id="rId1"/>
  <w:revisionView w:markup="0"/>
  <w:defaultTabStop w:val="720"/>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2-02-11 16:55:13"/>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2"/>
    <w:docVar w:name="DQCResult_ModifiedMarkers" w:val="0;0"/>
    <w:docVar w:name="DQCResult_ModifiedNumbering" w:val="0;0"/>
    <w:docVar w:name="DQCResult_Objects" w:val="0;0"/>
    <w:docVar w:name="DQCResult_Sections" w:val="0;0"/>
    <w:docVar w:name="DQCResult_StructureCheck" w:val="0;0"/>
    <w:docVar w:name="DQCResult_SuperfluousWhitespace" w:val="0;9"/>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ED091574-D3D6-4363-A653-20DAB8697658"/>
    <w:docVar w:name="LW_COVERPAGE_TYPE" w:val="1"/>
    <w:docVar w:name="LW_CROSSREFERENCE" w:val="&lt;UNUSED&gt;"/>
    <w:docVar w:name="LW_DocType" w:val="COM"/>
    <w:docVar w:name="LW_EMISSION" w:val="3.2.2022"/>
    <w:docVar w:name="LW_EMISSION_ISODATE" w:val="2022-02-03"/>
    <w:docVar w:name="LW_EMISSION_LOCATION" w:val="BRX"/>
    <w:docVar w:name="LW_EMISSION_PREFIX" w:val="Bruselas,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Texto pertinente a efectos del EEE)"/>
    <w:docVar w:name="LW_LANGUE" w:val="ES"/>
    <w:docVar w:name="LW_LEVEL_OF_SENSITIVITY" w:val="Standard treatment"/>
    <w:docVar w:name="LW_NOM.INST" w:val="COMISIÓN EUROPEA"/>
    <w:docVar w:name="LW_NOM.INST_JOINTDOC" w:val="&lt;EMPTY&gt;"/>
    <w:docVar w:name="LW_PART_NBR" w:val="1"/>
    <w:docVar w:name="LW_PART_NBR_TOTAL" w:val="1"/>
    <w:docVar w:name="LW_REF.II.NEW.CP" w:val="COD"/>
    <w:docVar w:name="LW_REF.II.NEW.CP_NUMBER" w:val="0031"/>
    <w:docVar w:name="LW_REF.II.NEW.CP_YEAR" w:val="2022"/>
    <w:docVar w:name="LW_REF.INST.NEW" w:val="COM"/>
    <w:docVar w:name="LW_REF.INST.NEW_ADOPTED" w:val="final"/>
    <w:docVar w:name="LW_REF.INST.NEW_TEXT" w:val="(2022) 5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uesta de"/>
    <w:docVar w:name="LW_SUPERTITRE" w:val="&lt;UNUSED&gt;"/>
    <w:docVar w:name="LW_TITRE.OBJ.CP" w:val="por el que se modifica el Reglamento (UE) 2021/953 relativo a un marco para la expedición, verificación y aceptación de certificados COVID-19 interoperables de vacunación, de prueba diagnóstica y de recuperación (certificado COVID digital de la UE) a fin de facilitar la libre circulación durante la pandemia de COVID-19"/>
    <w:docVar w:name="LW_TYPE.DOC.CP" w:val="REGLAMENTO DEL PARLAMENTO EUROPEO Y DEL CONSEJO"/>
    <w:docVar w:name="LwApiVersions" w:val="LW4CoDe 1.23.2.0; LW 8.0, Build 20211117"/>
  </w:docVars>
  <w:rsids>
    <w:rsidRoot w:val="00322C13"/>
    <w:rsid w:val="000025AB"/>
    <w:rsid w:val="0000746E"/>
    <w:rsid w:val="000222F9"/>
    <w:rsid w:val="0002470C"/>
    <w:rsid w:val="00027C6B"/>
    <w:rsid w:val="00030496"/>
    <w:rsid w:val="00036CFC"/>
    <w:rsid w:val="00041121"/>
    <w:rsid w:val="00047EE0"/>
    <w:rsid w:val="00052A01"/>
    <w:rsid w:val="00061F5B"/>
    <w:rsid w:val="00066283"/>
    <w:rsid w:val="00066E0B"/>
    <w:rsid w:val="00071193"/>
    <w:rsid w:val="0008581B"/>
    <w:rsid w:val="00090444"/>
    <w:rsid w:val="000A17AA"/>
    <w:rsid w:val="000A42DC"/>
    <w:rsid w:val="000A6AB3"/>
    <w:rsid w:val="000A7517"/>
    <w:rsid w:val="000B0A6B"/>
    <w:rsid w:val="000B0D75"/>
    <w:rsid w:val="000B146C"/>
    <w:rsid w:val="000B4504"/>
    <w:rsid w:val="000C0F57"/>
    <w:rsid w:val="000C4AE9"/>
    <w:rsid w:val="000C4CBB"/>
    <w:rsid w:val="000D1697"/>
    <w:rsid w:val="000D472B"/>
    <w:rsid w:val="000D637E"/>
    <w:rsid w:val="000E198E"/>
    <w:rsid w:val="000E20EE"/>
    <w:rsid w:val="000E2D26"/>
    <w:rsid w:val="000E6FA7"/>
    <w:rsid w:val="000E7D0C"/>
    <w:rsid w:val="000F2BAA"/>
    <w:rsid w:val="000F4B75"/>
    <w:rsid w:val="000F4CD4"/>
    <w:rsid w:val="000F7206"/>
    <w:rsid w:val="000F7947"/>
    <w:rsid w:val="00100520"/>
    <w:rsid w:val="0010202B"/>
    <w:rsid w:val="001032A4"/>
    <w:rsid w:val="00114EB9"/>
    <w:rsid w:val="001416B3"/>
    <w:rsid w:val="0015391A"/>
    <w:rsid w:val="00174F7E"/>
    <w:rsid w:val="00187718"/>
    <w:rsid w:val="0019102B"/>
    <w:rsid w:val="001941F8"/>
    <w:rsid w:val="001A4501"/>
    <w:rsid w:val="001A57F3"/>
    <w:rsid w:val="001A718C"/>
    <w:rsid w:val="001C18CC"/>
    <w:rsid w:val="001C2816"/>
    <w:rsid w:val="001C39CA"/>
    <w:rsid w:val="001D07A9"/>
    <w:rsid w:val="001D18FD"/>
    <w:rsid w:val="001D33EA"/>
    <w:rsid w:val="001D4E1E"/>
    <w:rsid w:val="001E5AA7"/>
    <w:rsid w:val="001F5492"/>
    <w:rsid w:val="001F718A"/>
    <w:rsid w:val="00201598"/>
    <w:rsid w:val="00206303"/>
    <w:rsid w:val="00215B23"/>
    <w:rsid w:val="00216F08"/>
    <w:rsid w:val="002274A8"/>
    <w:rsid w:val="00232E98"/>
    <w:rsid w:val="002331CD"/>
    <w:rsid w:val="00234966"/>
    <w:rsid w:val="00246A52"/>
    <w:rsid w:val="002540FD"/>
    <w:rsid w:val="002616BE"/>
    <w:rsid w:val="00261AA6"/>
    <w:rsid w:val="002620FA"/>
    <w:rsid w:val="0026360C"/>
    <w:rsid w:val="00265467"/>
    <w:rsid w:val="00271A41"/>
    <w:rsid w:val="002907D8"/>
    <w:rsid w:val="002920DD"/>
    <w:rsid w:val="002A73A3"/>
    <w:rsid w:val="002B25F0"/>
    <w:rsid w:val="002B52C6"/>
    <w:rsid w:val="002C17D2"/>
    <w:rsid w:val="002C2E11"/>
    <w:rsid w:val="002C69E6"/>
    <w:rsid w:val="002D1064"/>
    <w:rsid w:val="002D1695"/>
    <w:rsid w:val="002D7E41"/>
    <w:rsid w:val="002F48E2"/>
    <w:rsid w:val="003018F1"/>
    <w:rsid w:val="00305C48"/>
    <w:rsid w:val="00307C30"/>
    <w:rsid w:val="003162A9"/>
    <w:rsid w:val="003172DA"/>
    <w:rsid w:val="003219E8"/>
    <w:rsid w:val="00322243"/>
    <w:rsid w:val="00322C13"/>
    <w:rsid w:val="00326894"/>
    <w:rsid w:val="00327ECE"/>
    <w:rsid w:val="003363C7"/>
    <w:rsid w:val="003378C4"/>
    <w:rsid w:val="00342350"/>
    <w:rsid w:val="00350FCF"/>
    <w:rsid w:val="0036365E"/>
    <w:rsid w:val="00376DF4"/>
    <w:rsid w:val="00381F5B"/>
    <w:rsid w:val="003837CB"/>
    <w:rsid w:val="00392DBF"/>
    <w:rsid w:val="003A06F1"/>
    <w:rsid w:val="003C1F9C"/>
    <w:rsid w:val="003F0D8B"/>
    <w:rsid w:val="0040226C"/>
    <w:rsid w:val="004029A6"/>
    <w:rsid w:val="00410C6C"/>
    <w:rsid w:val="00427CBF"/>
    <w:rsid w:val="00433363"/>
    <w:rsid w:val="00434FCA"/>
    <w:rsid w:val="00435581"/>
    <w:rsid w:val="00437C0E"/>
    <w:rsid w:val="004442A7"/>
    <w:rsid w:val="00452629"/>
    <w:rsid w:val="00460C7F"/>
    <w:rsid w:val="004639D3"/>
    <w:rsid w:val="00470D13"/>
    <w:rsid w:val="0047711C"/>
    <w:rsid w:val="004776BE"/>
    <w:rsid w:val="004807C9"/>
    <w:rsid w:val="00481CF2"/>
    <w:rsid w:val="0049417E"/>
    <w:rsid w:val="00494377"/>
    <w:rsid w:val="00494766"/>
    <w:rsid w:val="00495833"/>
    <w:rsid w:val="00496769"/>
    <w:rsid w:val="00496FEB"/>
    <w:rsid w:val="004A0C93"/>
    <w:rsid w:val="004A13D4"/>
    <w:rsid w:val="004A3527"/>
    <w:rsid w:val="004A7428"/>
    <w:rsid w:val="004B1352"/>
    <w:rsid w:val="004B18AA"/>
    <w:rsid w:val="004B554B"/>
    <w:rsid w:val="004C4EE0"/>
    <w:rsid w:val="004D2A17"/>
    <w:rsid w:val="004E6513"/>
    <w:rsid w:val="004F138C"/>
    <w:rsid w:val="004F35E2"/>
    <w:rsid w:val="0050092F"/>
    <w:rsid w:val="0050465F"/>
    <w:rsid w:val="00506F56"/>
    <w:rsid w:val="00516338"/>
    <w:rsid w:val="00516FC4"/>
    <w:rsid w:val="0053101F"/>
    <w:rsid w:val="00531E27"/>
    <w:rsid w:val="00532DF9"/>
    <w:rsid w:val="0054311D"/>
    <w:rsid w:val="00545DFA"/>
    <w:rsid w:val="00547EE8"/>
    <w:rsid w:val="0055763E"/>
    <w:rsid w:val="00557F54"/>
    <w:rsid w:val="00570FF2"/>
    <w:rsid w:val="0057503B"/>
    <w:rsid w:val="00581885"/>
    <w:rsid w:val="005851EE"/>
    <w:rsid w:val="00590631"/>
    <w:rsid w:val="00590EDC"/>
    <w:rsid w:val="005911AD"/>
    <w:rsid w:val="005920EE"/>
    <w:rsid w:val="005A2226"/>
    <w:rsid w:val="005A4B34"/>
    <w:rsid w:val="005B1073"/>
    <w:rsid w:val="005B17A3"/>
    <w:rsid w:val="005B2BC6"/>
    <w:rsid w:val="005C00AA"/>
    <w:rsid w:val="005D1972"/>
    <w:rsid w:val="005E2042"/>
    <w:rsid w:val="005F258D"/>
    <w:rsid w:val="005F3A5B"/>
    <w:rsid w:val="0060427D"/>
    <w:rsid w:val="0060703E"/>
    <w:rsid w:val="0060736E"/>
    <w:rsid w:val="006129CC"/>
    <w:rsid w:val="006140E5"/>
    <w:rsid w:val="00617674"/>
    <w:rsid w:val="00631AE5"/>
    <w:rsid w:val="00636CA7"/>
    <w:rsid w:val="006416A6"/>
    <w:rsid w:val="00642B52"/>
    <w:rsid w:val="00647F38"/>
    <w:rsid w:val="00650EAB"/>
    <w:rsid w:val="00653535"/>
    <w:rsid w:val="0066048E"/>
    <w:rsid w:val="00661CD3"/>
    <w:rsid w:val="0066386C"/>
    <w:rsid w:val="00684416"/>
    <w:rsid w:val="006912A6"/>
    <w:rsid w:val="006A71C5"/>
    <w:rsid w:val="006B1488"/>
    <w:rsid w:val="006B177D"/>
    <w:rsid w:val="006C186E"/>
    <w:rsid w:val="006C1E5C"/>
    <w:rsid w:val="006C53B7"/>
    <w:rsid w:val="006D1C58"/>
    <w:rsid w:val="006D4FF0"/>
    <w:rsid w:val="006E0CF0"/>
    <w:rsid w:val="006E1086"/>
    <w:rsid w:val="006E72FE"/>
    <w:rsid w:val="006F2126"/>
    <w:rsid w:val="0070128F"/>
    <w:rsid w:val="007017F7"/>
    <w:rsid w:val="007069AD"/>
    <w:rsid w:val="007254D0"/>
    <w:rsid w:val="007351AC"/>
    <w:rsid w:val="0073762C"/>
    <w:rsid w:val="007465BD"/>
    <w:rsid w:val="0075451C"/>
    <w:rsid w:val="00754839"/>
    <w:rsid w:val="00761794"/>
    <w:rsid w:val="00770FA1"/>
    <w:rsid w:val="00771C20"/>
    <w:rsid w:val="00773462"/>
    <w:rsid w:val="007800DB"/>
    <w:rsid w:val="00781D67"/>
    <w:rsid w:val="00783AAA"/>
    <w:rsid w:val="007904BC"/>
    <w:rsid w:val="007974D0"/>
    <w:rsid w:val="007A298D"/>
    <w:rsid w:val="007A48B1"/>
    <w:rsid w:val="007B0E22"/>
    <w:rsid w:val="007B1037"/>
    <w:rsid w:val="007B437A"/>
    <w:rsid w:val="007C06F6"/>
    <w:rsid w:val="007C333B"/>
    <w:rsid w:val="007C405A"/>
    <w:rsid w:val="007C5809"/>
    <w:rsid w:val="007C7EE1"/>
    <w:rsid w:val="007D02A8"/>
    <w:rsid w:val="007D2BE4"/>
    <w:rsid w:val="007D7466"/>
    <w:rsid w:val="007E412B"/>
    <w:rsid w:val="007F32D2"/>
    <w:rsid w:val="007F41BE"/>
    <w:rsid w:val="007F79F0"/>
    <w:rsid w:val="00804E6B"/>
    <w:rsid w:val="00804F9F"/>
    <w:rsid w:val="008126C9"/>
    <w:rsid w:val="00812AF8"/>
    <w:rsid w:val="00820067"/>
    <w:rsid w:val="0082546D"/>
    <w:rsid w:val="00831B5A"/>
    <w:rsid w:val="00836DBE"/>
    <w:rsid w:val="00837676"/>
    <w:rsid w:val="00840FFE"/>
    <w:rsid w:val="008413A2"/>
    <w:rsid w:val="008503EE"/>
    <w:rsid w:val="00853201"/>
    <w:rsid w:val="00854519"/>
    <w:rsid w:val="00855429"/>
    <w:rsid w:val="00855F94"/>
    <w:rsid w:val="00860528"/>
    <w:rsid w:val="0086593A"/>
    <w:rsid w:val="00871374"/>
    <w:rsid w:val="00874087"/>
    <w:rsid w:val="008961FF"/>
    <w:rsid w:val="00897E0B"/>
    <w:rsid w:val="008A2144"/>
    <w:rsid w:val="008A31D2"/>
    <w:rsid w:val="008B4DD7"/>
    <w:rsid w:val="008B54D2"/>
    <w:rsid w:val="008C451E"/>
    <w:rsid w:val="008D1377"/>
    <w:rsid w:val="008E2D4C"/>
    <w:rsid w:val="008E31F0"/>
    <w:rsid w:val="009019AC"/>
    <w:rsid w:val="00913A9C"/>
    <w:rsid w:val="009222DC"/>
    <w:rsid w:val="009235DE"/>
    <w:rsid w:val="0092434B"/>
    <w:rsid w:val="00924DBF"/>
    <w:rsid w:val="00926833"/>
    <w:rsid w:val="00927BDE"/>
    <w:rsid w:val="009324BC"/>
    <w:rsid w:val="0093260C"/>
    <w:rsid w:val="00933085"/>
    <w:rsid w:val="0093580D"/>
    <w:rsid w:val="0093713A"/>
    <w:rsid w:val="009522AC"/>
    <w:rsid w:val="00956E24"/>
    <w:rsid w:val="009656FE"/>
    <w:rsid w:val="00967CC0"/>
    <w:rsid w:val="009705DB"/>
    <w:rsid w:val="009754C7"/>
    <w:rsid w:val="0098144B"/>
    <w:rsid w:val="00982038"/>
    <w:rsid w:val="00983F80"/>
    <w:rsid w:val="00986B33"/>
    <w:rsid w:val="00987AD5"/>
    <w:rsid w:val="009944B4"/>
    <w:rsid w:val="009B0E22"/>
    <w:rsid w:val="009B154C"/>
    <w:rsid w:val="009B7138"/>
    <w:rsid w:val="009C1487"/>
    <w:rsid w:val="009C174C"/>
    <w:rsid w:val="009D4413"/>
    <w:rsid w:val="009E0A95"/>
    <w:rsid w:val="009E0C1A"/>
    <w:rsid w:val="009E654A"/>
    <w:rsid w:val="009E76EA"/>
    <w:rsid w:val="009F36C6"/>
    <w:rsid w:val="009F4CA2"/>
    <w:rsid w:val="00A01918"/>
    <w:rsid w:val="00A028BB"/>
    <w:rsid w:val="00A3009F"/>
    <w:rsid w:val="00A41F28"/>
    <w:rsid w:val="00A42044"/>
    <w:rsid w:val="00A43824"/>
    <w:rsid w:val="00A52211"/>
    <w:rsid w:val="00A56EF6"/>
    <w:rsid w:val="00A716B4"/>
    <w:rsid w:val="00A74238"/>
    <w:rsid w:val="00A76FFD"/>
    <w:rsid w:val="00A827CA"/>
    <w:rsid w:val="00A91737"/>
    <w:rsid w:val="00A92D51"/>
    <w:rsid w:val="00A92F5D"/>
    <w:rsid w:val="00AB1312"/>
    <w:rsid w:val="00AB27F3"/>
    <w:rsid w:val="00AB3391"/>
    <w:rsid w:val="00AB53CD"/>
    <w:rsid w:val="00AD2D2C"/>
    <w:rsid w:val="00AE0D24"/>
    <w:rsid w:val="00AE6E2E"/>
    <w:rsid w:val="00AF287B"/>
    <w:rsid w:val="00AF7A81"/>
    <w:rsid w:val="00B00867"/>
    <w:rsid w:val="00B11110"/>
    <w:rsid w:val="00B258EB"/>
    <w:rsid w:val="00B44E6E"/>
    <w:rsid w:val="00B51F96"/>
    <w:rsid w:val="00B52E4F"/>
    <w:rsid w:val="00B53A6E"/>
    <w:rsid w:val="00B5749D"/>
    <w:rsid w:val="00B612E0"/>
    <w:rsid w:val="00B63AC8"/>
    <w:rsid w:val="00B66CE8"/>
    <w:rsid w:val="00B6761F"/>
    <w:rsid w:val="00B73B29"/>
    <w:rsid w:val="00B752E3"/>
    <w:rsid w:val="00B80175"/>
    <w:rsid w:val="00B802DF"/>
    <w:rsid w:val="00B836C3"/>
    <w:rsid w:val="00B85939"/>
    <w:rsid w:val="00B976C5"/>
    <w:rsid w:val="00BA22CC"/>
    <w:rsid w:val="00BA4502"/>
    <w:rsid w:val="00BA5413"/>
    <w:rsid w:val="00BB4930"/>
    <w:rsid w:val="00BB4FF9"/>
    <w:rsid w:val="00BB5BF5"/>
    <w:rsid w:val="00BC10D8"/>
    <w:rsid w:val="00BC424D"/>
    <w:rsid w:val="00BE246D"/>
    <w:rsid w:val="00BF17AA"/>
    <w:rsid w:val="00BF7398"/>
    <w:rsid w:val="00C04D3F"/>
    <w:rsid w:val="00C06639"/>
    <w:rsid w:val="00C06E3F"/>
    <w:rsid w:val="00C14025"/>
    <w:rsid w:val="00C14F12"/>
    <w:rsid w:val="00C17044"/>
    <w:rsid w:val="00C22744"/>
    <w:rsid w:val="00C22DA4"/>
    <w:rsid w:val="00C24556"/>
    <w:rsid w:val="00C3330F"/>
    <w:rsid w:val="00C4006D"/>
    <w:rsid w:val="00C40CD7"/>
    <w:rsid w:val="00C4616C"/>
    <w:rsid w:val="00C53ADF"/>
    <w:rsid w:val="00C57183"/>
    <w:rsid w:val="00C61BDA"/>
    <w:rsid w:val="00C63593"/>
    <w:rsid w:val="00C65916"/>
    <w:rsid w:val="00C733DA"/>
    <w:rsid w:val="00C803A9"/>
    <w:rsid w:val="00C85016"/>
    <w:rsid w:val="00C85F2A"/>
    <w:rsid w:val="00C905AA"/>
    <w:rsid w:val="00CB35B6"/>
    <w:rsid w:val="00CB7D32"/>
    <w:rsid w:val="00CC573D"/>
    <w:rsid w:val="00CD2F51"/>
    <w:rsid w:val="00CE487C"/>
    <w:rsid w:val="00CE5D84"/>
    <w:rsid w:val="00CE611C"/>
    <w:rsid w:val="00CF0C61"/>
    <w:rsid w:val="00CF49C6"/>
    <w:rsid w:val="00CF7088"/>
    <w:rsid w:val="00D002B2"/>
    <w:rsid w:val="00D0397E"/>
    <w:rsid w:val="00D05807"/>
    <w:rsid w:val="00D066D2"/>
    <w:rsid w:val="00D128D3"/>
    <w:rsid w:val="00D14648"/>
    <w:rsid w:val="00D1677C"/>
    <w:rsid w:val="00D20227"/>
    <w:rsid w:val="00D322E8"/>
    <w:rsid w:val="00D3298E"/>
    <w:rsid w:val="00D42318"/>
    <w:rsid w:val="00D65CCE"/>
    <w:rsid w:val="00D70067"/>
    <w:rsid w:val="00D7239B"/>
    <w:rsid w:val="00D82768"/>
    <w:rsid w:val="00D92A68"/>
    <w:rsid w:val="00DA1AE4"/>
    <w:rsid w:val="00DA1F1B"/>
    <w:rsid w:val="00DC1B55"/>
    <w:rsid w:val="00DD008F"/>
    <w:rsid w:val="00DD6BFF"/>
    <w:rsid w:val="00DD747A"/>
    <w:rsid w:val="00DE2EAB"/>
    <w:rsid w:val="00DF4DA8"/>
    <w:rsid w:val="00E043A7"/>
    <w:rsid w:val="00E07AC3"/>
    <w:rsid w:val="00E21E70"/>
    <w:rsid w:val="00E256B3"/>
    <w:rsid w:val="00E2624F"/>
    <w:rsid w:val="00E26E65"/>
    <w:rsid w:val="00E31655"/>
    <w:rsid w:val="00E33FA6"/>
    <w:rsid w:val="00E52F7C"/>
    <w:rsid w:val="00E5407E"/>
    <w:rsid w:val="00E63C3C"/>
    <w:rsid w:val="00E63E36"/>
    <w:rsid w:val="00E66C2F"/>
    <w:rsid w:val="00E7102A"/>
    <w:rsid w:val="00E7441F"/>
    <w:rsid w:val="00E77DB0"/>
    <w:rsid w:val="00E77EE2"/>
    <w:rsid w:val="00E8604D"/>
    <w:rsid w:val="00E911E4"/>
    <w:rsid w:val="00E945B1"/>
    <w:rsid w:val="00EA0752"/>
    <w:rsid w:val="00EA1116"/>
    <w:rsid w:val="00EA71D9"/>
    <w:rsid w:val="00EB194A"/>
    <w:rsid w:val="00EB1970"/>
    <w:rsid w:val="00EB75EA"/>
    <w:rsid w:val="00ED0120"/>
    <w:rsid w:val="00ED013E"/>
    <w:rsid w:val="00EF46CD"/>
    <w:rsid w:val="00EF6692"/>
    <w:rsid w:val="00EF7372"/>
    <w:rsid w:val="00F057D0"/>
    <w:rsid w:val="00F11F0D"/>
    <w:rsid w:val="00F20062"/>
    <w:rsid w:val="00F20701"/>
    <w:rsid w:val="00F302F9"/>
    <w:rsid w:val="00F30383"/>
    <w:rsid w:val="00F307B2"/>
    <w:rsid w:val="00F36DAC"/>
    <w:rsid w:val="00F376EC"/>
    <w:rsid w:val="00F444A0"/>
    <w:rsid w:val="00F4705B"/>
    <w:rsid w:val="00F500AF"/>
    <w:rsid w:val="00F6181A"/>
    <w:rsid w:val="00F63A20"/>
    <w:rsid w:val="00F66525"/>
    <w:rsid w:val="00F75DCB"/>
    <w:rsid w:val="00F8038D"/>
    <w:rsid w:val="00F81CBF"/>
    <w:rsid w:val="00F81EB2"/>
    <w:rsid w:val="00F910D9"/>
    <w:rsid w:val="00F9206E"/>
    <w:rsid w:val="00F94D79"/>
    <w:rsid w:val="00F96167"/>
    <w:rsid w:val="00FA14DA"/>
    <w:rsid w:val="00FB513B"/>
    <w:rsid w:val="00FC1FA4"/>
    <w:rsid w:val="00FD0976"/>
    <w:rsid w:val="00FD2E9B"/>
    <w:rsid w:val="00FE73F4"/>
    <w:rsid w:val="00FE7E2F"/>
    <w:rsid w:val="00FF7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EF8D043A-E02B-4CA0-9118-39A57C50A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s-ES_tradnl"/>
    </w:rPr>
  </w:style>
  <w:style w:type="paragraph" w:styleId="Heading1">
    <w:name w:val="heading 1"/>
    <w:basedOn w:val="Normal"/>
    <w:next w:val="Text1"/>
    <w:link w:val="Heading1Char"/>
    <w:uiPriority w:val="9"/>
    <w:qFormat/>
    <w:rsid w:val="009B7138"/>
    <w:pPr>
      <w:keepNext/>
      <w:numPr>
        <w:numId w:val="4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9B7138"/>
    <w:pPr>
      <w:keepNext/>
      <w:numPr>
        <w:ilvl w:val="1"/>
        <w:numId w:val="4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9B7138"/>
    <w:pPr>
      <w:keepNext/>
      <w:numPr>
        <w:ilvl w:val="2"/>
        <w:numId w:val="44"/>
      </w:numPr>
      <w:outlineLvl w:val="2"/>
    </w:pPr>
    <w:rPr>
      <w:rFonts w:eastAsiaTheme="majorEastAsia"/>
      <w:bCs/>
      <w:i/>
    </w:rPr>
  </w:style>
  <w:style w:type="paragraph" w:styleId="Heading4">
    <w:name w:val="heading 4"/>
    <w:basedOn w:val="Normal"/>
    <w:next w:val="Text1"/>
    <w:link w:val="Heading4Char"/>
    <w:uiPriority w:val="9"/>
    <w:semiHidden/>
    <w:unhideWhenUsed/>
    <w:qFormat/>
    <w:rsid w:val="009B7138"/>
    <w:pPr>
      <w:keepNext/>
      <w:numPr>
        <w:ilvl w:val="3"/>
        <w:numId w:val="44"/>
      </w:numPr>
      <w:outlineLvl w:val="3"/>
    </w:pPr>
    <w:rPr>
      <w:rFonts w:eastAsiaTheme="majorEastAsia"/>
      <w:bCs/>
      <w:iCs/>
    </w:rPr>
  </w:style>
  <w:style w:type="paragraph" w:styleId="Heading5">
    <w:name w:val="heading 5"/>
    <w:basedOn w:val="Normal"/>
    <w:next w:val="Text2"/>
    <w:link w:val="Heading5Char"/>
    <w:uiPriority w:val="9"/>
    <w:semiHidden/>
    <w:unhideWhenUsed/>
    <w:qFormat/>
    <w:rsid w:val="007F32D2"/>
    <w:pPr>
      <w:keepNext/>
      <w:numPr>
        <w:ilvl w:val="4"/>
        <w:numId w:val="44"/>
      </w:numPr>
      <w:outlineLvl w:val="4"/>
    </w:pPr>
    <w:rPr>
      <w:rFonts w:eastAsiaTheme="majorEastAsia"/>
    </w:rPr>
  </w:style>
  <w:style w:type="paragraph" w:styleId="Heading6">
    <w:name w:val="heading 6"/>
    <w:basedOn w:val="Normal"/>
    <w:next w:val="Text2"/>
    <w:link w:val="Heading6Char"/>
    <w:uiPriority w:val="9"/>
    <w:semiHidden/>
    <w:unhideWhenUsed/>
    <w:qFormat/>
    <w:rsid w:val="007F32D2"/>
    <w:pPr>
      <w:keepNext/>
      <w:numPr>
        <w:ilvl w:val="5"/>
        <w:numId w:val="44"/>
      </w:numPr>
      <w:outlineLvl w:val="5"/>
    </w:pPr>
    <w:rPr>
      <w:rFonts w:eastAsiaTheme="majorEastAsia"/>
      <w:iCs/>
    </w:rPr>
  </w:style>
  <w:style w:type="paragraph" w:styleId="Heading7">
    <w:name w:val="heading 7"/>
    <w:basedOn w:val="Normal"/>
    <w:next w:val="Text2"/>
    <w:link w:val="Heading7Char"/>
    <w:uiPriority w:val="9"/>
    <w:semiHidden/>
    <w:unhideWhenUsed/>
    <w:qFormat/>
    <w:rsid w:val="007F32D2"/>
    <w:pPr>
      <w:keepNext/>
      <w:numPr>
        <w:ilvl w:val="6"/>
        <w:numId w:val="44"/>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DF4DA8"/>
    <w:pPr>
      <w:numPr>
        <w:numId w:val="1"/>
      </w:numPr>
      <w:contextualSpacing/>
    </w:pPr>
  </w:style>
  <w:style w:type="paragraph" w:styleId="ListBullet2">
    <w:name w:val="List Bullet 2"/>
    <w:basedOn w:val="Normal"/>
    <w:uiPriority w:val="99"/>
    <w:semiHidden/>
    <w:unhideWhenUsed/>
    <w:rsid w:val="00DF4DA8"/>
    <w:pPr>
      <w:numPr>
        <w:numId w:val="2"/>
      </w:numPr>
      <w:contextualSpacing/>
    </w:pPr>
  </w:style>
  <w:style w:type="paragraph" w:styleId="ListBullet3">
    <w:name w:val="List Bullet 3"/>
    <w:basedOn w:val="Normal"/>
    <w:uiPriority w:val="99"/>
    <w:semiHidden/>
    <w:unhideWhenUsed/>
    <w:rsid w:val="00DF4DA8"/>
    <w:pPr>
      <w:numPr>
        <w:numId w:val="3"/>
      </w:numPr>
      <w:contextualSpacing/>
    </w:pPr>
  </w:style>
  <w:style w:type="paragraph" w:styleId="ListBullet4">
    <w:name w:val="List Bullet 4"/>
    <w:basedOn w:val="Normal"/>
    <w:uiPriority w:val="99"/>
    <w:semiHidden/>
    <w:unhideWhenUsed/>
    <w:rsid w:val="00DF4DA8"/>
    <w:pPr>
      <w:numPr>
        <w:numId w:val="4"/>
      </w:numPr>
      <w:contextualSpacing/>
    </w:pPr>
  </w:style>
  <w:style w:type="character" w:customStyle="1" w:styleId="titxdkkzwvy9yqo8olape">
    <w:name w:val="titxdkkzwvy9yqo8olape"/>
    <w:basedOn w:val="DefaultParagraphFont"/>
    <w:rsid w:val="00DF4DA8"/>
  </w:style>
  <w:style w:type="character" w:customStyle="1" w:styleId="acopre">
    <w:name w:val="acopre"/>
    <w:basedOn w:val="DefaultParagraphFont"/>
    <w:rsid w:val="00DF4DA8"/>
  </w:style>
  <w:style w:type="character" w:styleId="Emphasis">
    <w:name w:val="Emphasis"/>
    <w:basedOn w:val="DefaultParagraphFont"/>
    <w:uiPriority w:val="20"/>
    <w:qFormat/>
    <w:rsid w:val="00DF4DA8"/>
    <w:rPr>
      <w:i/>
      <w:iCs/>
    </w:rPr>
  </w:style>
  <w:style w:type="character" w:styleId="Hyperlink">
    <w:name w:val="Hyperlink"/>
    <w:basedOn w:val="DefaultParagraphFont"/>
    <w:qFormat/>
    <w:rsid w:val="00DF4DA8"/>
    <w:rPr>
      <w:color w:val="0000FF" w:themeColor="hyperlink"/>
      <w:u w:val="single"/>
    </w:rPr>
  </w:style>
  <w:style w:type="character" w:customStyle="1" w:styleId="highlight">
    <w:name w:val="highlight"/>
    <w:basedOn w:val="DefaultParagraphFont"/>
    <w:rsid w:val="004A7428"/>
  </w:style>
  <w:style w:type="paragraph" w:customStyle="1" w:styleId="Fichefinancirestandardtitreacte">
    <w:name w:val="Fiche financière (standard) titre (acte)"/>
    <w:basedOn w:val="Normal"/>
    <w:next w:val="Normal"/>
    <w:rsid w:val="00871374"/>
    <w:pPr>
      <w:jc w:val="center"/>
    </w:pPr>
    <w:rPr>
      <w:rFonts w:eastAsia="Times New Roman"/>
      <w:b/>
      <w:u w:val="single"/>
      <w:lang w:val="es-ES" w:eastAsia="en-GB"/>
    </w:rPr>
  </w:style>
  <w:style w:type="paragraph" w:customStyle="1" w:styleId="Fichefinancirestandardtitre">
    <w:name w:val="Fiche financière (standard) titre"/>
    <w:basedOn w:val="Normal"/>
    <w:next w:val="Normal"/>
    <w:rsid w:val="00871374"/>
    <w:pPr>
      <w:jc w:val="center"/>
    </w:pPr>
    <w:rPr>
      <w:rFonts w:eastAsia="Times New Roman"/>
      <w:b/>
      <w:u w:val="single"/>
      <w:lang w:val="es-ES" w:eastAsia="en-GB"/>
    </w:rPr>
  </w:style>
  <w:style w:type="paragraph" w:styleId="Caption">
    <w:name w:val="caption"/>
    <w:basedOn w:val="Normal"/>
    <w:next w:val="Normal"/>
    <w:uiPriority w:val="35"/>
    <w:semiHidden/>
    <w:unhideWhenUsed/>
    <w:qFormat/>
    <w:rsid w:val="0015391A"/>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15391A"/>
    <w:pPr>
      <w:spacing w:after="0"/>
    </w:pPr>
  </w:style>
  <w:style w:type="paragraph" w:styleId="ListNumber">
    <w:name w:val="List Number"/>
    <w:basedOn w:val="Normal"/>
    <w:uiPriority w:val="99"/>
    <w:semiHidden/>
    <w:unhideWhenUsed/>
    <w:rsid w:val="0015391A"/>
    <w:pPr>
      <w:numPr>
        <w:numId w:val="5"/>
      </w:numPr>
      <w:contextualSpacing/>
    </w:pPr>
  </w:style>
  <w:style w:type="paragraph" w:styleId="ListNumber2">
    <w:name w:val="List Number 2"/>
    <w:basedOn w:val="Normal"/>
    <w:uiPriority w:val="99"/>
    <w:semiHidden/>
    <w:unhideWhenUsed/>
    <w:rsid w:val="0015391A"/>
    <w:pPr>
      <w:numPr>
        <w:numId w:val="6"/>
      </w:numPr>
      <w:contextualSpacing/>
    </w:pPr>
  </w:style>
  <w:style w:type="paragraph" w:styleId="ListNumber3">
    <w:name w:val="List Number 3"/>
    <w:basedOn w:val="Normal"/>
    <w:uiPriority w:val="99"/>
    <w:semiHidden/>
    <w:unhideWhenUsed/>
    <w:rsid w:val="0015391A"/>
    <w:pPr>
      <w:numPr>
        <w:numId w:val="7"/>
      </w:numPr>
      <w:contextualSpacing/>
    </w:pPr>
  </w:style>
  <w:style w:type="paragraph" w:styleId="ListNumber4">
    <w:name w:val="List Number 4"/>
    <w:basedOn w:val="Normal"/>
    <w:uiPriority w:val="99"/>
    <w:semiHidden/>
    <w:unhideWhenUsed/>
    <w:rsid w:val="0015391A"/>
    <w:pPr>
      <w:numPr>
        <w:numId w:val="8"/>
      </w:numPr>
      <w:contextualSpacing/>
    </w:pPr>
  </w:style>
  <w:style w:type="character" w:styleId="CommentReference">
    <w:name w:val="annotation reference"/>
    <w:basedOn w:val="DefaultParagraphFont"/>
    <w:uiPriority w:val="99"/>
    <w:semiHidden/>
    <w:unhideWhenUsed/>
    <w:rsid w:val="0092434B"/>
    <w:rPr>
      <w:sz w:val="16"/>
      <w:szCs w:val="16"/>
    </w:rPr>
  </w:style>
  <w:style w:type="paragraph" w:styleId="CommentText">
    <w:name w:val="annotation text"/>
    <w:basedOn w:val="Normal"/>
    <w:link w:val="CommentTextChar"/>
    <w:uiPriority w:val="99"/>
    <w:semiHidden/>
    <w:unhideWhenUsed/>
    <w:rsid w:val="0092434B"/>
    <w:rPr>
      <w:sz w:val="20"/>
      <w:szCs w:val="20"/>
    </w:rPr>
  </w:style>
  <w:style w:type="character" w:customStyle="1" w:styleId="CommentTextChar">
    <w:name w:val="Comment Text Char"/>
    <w:basedOn w:val="DefaultParagraphFont"/>
    <w:link w:val="CommentText"/>
    <w:uiPriority w:val="99"/>
    <w:semiHidden/>
    <w:rsid w:val="0092434B"/>
    <w:rPr>
      <w:rFonts w:ascii="Times New Roman" w:hAnsi="Times New Roman" w:cs="Times New Roman"/>
      <w:sz w:val="20"/>
      <w:szCs w:val="20"/>
      <w:lang w:val="es-ES"/>
    </w:rPr>
  </w:style>
  <w:style w:type="paragraph" w:styleId="CommentSubject">
    <w:name w:val="annotation subject"/>
    <w:basedOn w:val="CommentText"/>
    <w:next w:val="CommentText"/>
    <w:link w:val="CommentSubjectChar"/>
    <w:uiPriority w:val="99"/>
    <w:semiHidden/>
    <w:unhideWhenUsed/>
    <w:rsid w:val="0092434B"/>
    <w:rPr>
      <w:b/>
      <w:bCs/>
    </w:rPr>
  </w:style>
  <w:style w:type="character" w:customStyle="1" w:styleId="CommentSubjectChar">
    <w:name w:val="Comment Subject Char"/>
    <w:basedOn w:val="CommentTextChar"/>
    <w:link w:val="CommentSubject"/>
    <w:uiPriority w:val="99"/>
    <w:semiHidden/>
    <w:rsid w:val="0092434B"/>
    <w:rPr>
      <w:rFonts w:ascii="Times New Roman" w:hAnsi="Times New Roman" w:cs="Times New Roman"/>
      <w:b/>
      <w:bCs/>
      <w:sz w:val="20"/>
      <w:szCs w:val="20"/>
      <w:lang w:val="es-ES"/>
    </w:rPr>
  </w:style>
  <w:style w:type="paragraph" w:styleId="BalloonText">
    <w:name w:val="Balloon Text"/>
    <w:basedOn w:val="Normal"/>
    <w:link w:val="BalloonTextChar"/>
    <w:uiPriority w:val="99"/>
    <w:semiHidden/>
    <w:unhideWhenUsed/>
    <w:rsid w:val="00E07AC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7AC3"/>
    <w:rPr>
      <w:rFonts w:ascii="Segoe UI" w:hAnsi="Segoe UI" w:cs="Segoe UI"/>
      <w:sz w:val="18"/>
      <w:szCs w:val="18"/>
      <w:lang w:val="es-ES"/>
    </w:rPr>
  </w:style>
  <w:style w:type="character" w:customStyle="1" w:styleId="oj-super">
    <w:name w:val="oj-super"/>
    <w:basedOn w:val="DefaultParagraphFont"/>
    <w:rsid w:val="008A31D2"/>
  </w:style>
  <w:style w:type="paragraph" w:styleId="Revision">
    <w:name w:val="Revision"/>
    <w:hidden/>
    <w:uiPriority w:val="99"/>
    <w:semiHidden/>
    <w:rsid w:val="00305C48"/>
    <w:pPr>
      <w:spacing w:after="0" w:line="240" w:lineRule="auto"/>
    </w:pPr>
    <w:rPr>
      <w:rFonts w:ascii="Times New Roman" w:hAnsi="Times New Roman" w:cs="Times New Roman"/>
      <w:sz w:val="24"/>
    </w:rPr>
  </w:style>
  <w:style w:type="character" w:styleId="FollowedHyperlink">
    <w:name w:val="FollowedHyperlink"/>
    <w:basedOn w:val="DefaultParagraphFont"/>
    <w:uiPriority w:val="99"/>
    <w:semiHidden/>
    <w:unhideWhenUsed/>
    <w:rsid w:val="002C17D2"/>
    <w:rPr>
      <w:color w:val="800080" w:themeColor="followedHyperlink"/>
      <w:u w:val="single"/>
    </w:rPr>
  </w:style>
  <w:style w:type="character" w:customStyle="1" w:styleId="iceouttxt">
    <w:name w:val="iceouttxt"/>
    <w:basedOn w:val="DefaultParagraphFont"/>
    <w:rsid w:val="000D637E"/>
  </w:style>
  <w:style w:type="paragraph" w:customStyle="1" w:styleId="ListBullet1">
    <w:name w:val="List Bullet 1"/>
    <w:basedOn w:val="Normal"/>
    <w:rsid w:val="007D02A8"/>
    <w:pPr>
      <w:numPr>
        <w:numId w:val="11"/>
      </w:numPr>
    </w:pPr>
    <w:rPr>
      <w:rFonts w:eastAsia="Times New Roman"/>
      <w:lang w:eastAsia="de-DE"/>
    </w:rPr>
  </w:style>
  <w:style w:type="paragraph" w:customStyle="1" w:styleId="ListDash1">
    <w:name w:val="List Dash 1"/>
    <w:basedOn w:val="Normal"/>
    <w:rsid w:val="007D02A8"/>
    <w:pPr>
      <w:numPr>
        <w:numId w:val="12"/>
      </w:numPr>
    </w:pPr>
    <w:rPr>
      <w:rFonts w:eastAsia="Times New Roman"/>
      <w:lang w:eastAsia="de-DE"/>
    </w:rPr>
  </w:style>
  <w:style w:type="paragraph" w:customStyle="1" w:styleId="ListDash2">
    <w:name w:val="List Dash 2"/>
    <w:basedOn w:val="Normal"/>
    <w:rsid w:val="007D02A8"/>
    <w:pPr>
      <w:numPr>
        <w:numId w:val="13"/>
      </w:numPr>
    </w:pPr>
    <w:rPr>
      <w:rFonts w:eastAsia="Times New Roman"/>
      <w:lang w:eastAsia="de-DE"/>
    </w:rPr>
  </w:style>
  <w:style w:type="paragraph" w:customStyle="1" w:styleId="ListNumberLevel3">
    <w:name w:val="List Number (Level 3)"/>
    <w:basedOn w:val="Normal"/>
    <w:rsid w:val="007D02A8"/>
    <w:pPr>
      <w:tabs>
        <w:tab w:val="num" w:pos="2126"/>
      </w:tabs>
      <w:ind w:left="2126" w:hanging="709"/>
    </w:pPr>
    <w:rPr>
      <w:rFonts w:eastAsia="Times New Roman"/>
      <w:lang w:eastAsia="de-DE"/>
    </w:rPr>
  </w:style>
  <w:style w:type="paragraph" w:customStyle="1" w:styleId="Text20">
    <w:name w:val="Text 2"/>
    <w:basedOn w:val="Normal"/>
    <w:rsid w:val="009B7138"/>
    <w:pPr>
      <w:ind w:left="1417"/>
    </w:pPr>
  </w:style>
  <w:style w:type="paragraph" w:styleId="Header">
    <w:name w:val="header"/>
    <w:basedOn w:val="Normal"/>
    <w:link w:val="HeaderChar"/>
    <w:uiPriority w:val="99"/>
    <w:unhideWhenUsed/>
    <w:rsid w:val="00FF77AA"/>
    <w:pPr>
      <w:tabs>
        <w:tab w:val="center" w:pos="4535"/>
        <w:tab w:val="right" w:pos="9071"/>
      </w:tabs>
      <w:spacing w:before="0"/>
    </w:pPr>
  </w:style>
  <w:style w:type="character" w:customStyle="1" w:styleId="HeaderChar">
    <w:name w:val="Header Char"/>
    <w:basedOn w:val="DefaultParagraphFont"/>
    <w:link w:val="Header"/>
    <w:uiPriority w:val="99"/>
    <w:rsid w:val="00FF77AA"/>
    <w:rPr>
      <w:rFonts w:ascii="Times New Roman" w:hAnsi="Times New Roman" w:cs="Times New Roman"/>
      <w:sz w:val="24"/>
      <w:lang w:val="es-ES_tradnl"/>
    </w:rPr>
  </w:style>
  <w:style w:type="paragraph" w:styleId="Footer">
    <w:name w:val="footer"/>
    <w:basedOn w:val="Normal"/>
    <w:link w:val="FooterChar"/>
    <w:uiPriority w:val="99"/>
    <w:unhideWhenUsed/>
    <w:rsid w:val="00FF77AA"/>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FF77AA"/>
    <w:rPr>
      <w:rFonts w:ascii="Times New Roman" w:hAnsi="Times New Roman" w:cs="Times New Roman"/>
      <w:sz w:val="24"/>
      <w:lang w:val="es-ES_tradnl"/>
    </w:rPr>
  </w:style>
  <w:style w:type="paragraph" w:styleId="FootnoteText">
    <w:name w:val="footnote text"/>
    <w:basedOn w:val="Normal"/>
    <w:link w:val="FootnoteTextChar"/>
    <w:uiPriority w:val="99"/>
    <w:semiHidden/>
    <w:unhideWhenUsed/>
    <w:rsid w:val="009B713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9B713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9B7138"/>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sid w:val="009B7138"/>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sid w:val="009B7138"/>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sid w:val="009B7138"/>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rsid w:val="009B7138"/>
    <w:pPr>
      <w:spacing w:after="240"/>
      <w:jc w:val="center"/>
    </w:pPr>
    <w:rPr>
      <w:b/>
      <w:sz w:val="28"/>
    </w:rPr>
  </w:style>
  <w:style w:type="paragraph" w:styleId="TOC1">
    <w:name w:val="toc 1"/>
    <w:basedOn w:val="Normal"/>
    <w:next w:val="Normal"/>
    <w:uiPriority w:val="39"/>
    <w:semiHidden/>
    <w:unhideWhenUsed/>
    <w:rsid w:val="009B7138"/>
    <w:pPr>
      <w:tabs>
        <w:tab w:val="right" w:leader="dot" w:pos="9071"/>
      </w:tabs>
      <w:spacing w:before="60"/>
      <w:ind w:left="850" w:hanging="850"/>
      <w:jc w:val="left"/>
    </w:pPr>
  </w:style>
  <w:style w:type="paragraph" w:styleId="TOC2">
    <w:name w:val="toc 2"/>
    <w:basedOn w:val="Normal"/>
    <w:next w:val="Normal"/>
    <w:uiPriority w:val="39"/>
    <w:semiHidden/>
    <w:unhideWhenUsed/>
    <w:rsid w:val="009B7138"/>
    <w:pPr>
      <w:tabs>
        <w:tab w:val="right" w:leader="dot" w:pos="9071"/>
      </w:tabs>
      <w:spacing w:before="60"/>
      <w:ind w:left="850" w:hanging="850"/>
      <w:jc w:val="left"/>
    </w:pPr>
  </w:style>
  <w:style w:type="paragraph" w:styleId="TOC3">
    <w:name w:val="toc 3"/>
    <w:basedOn w:val="Normal"/>
    <w:next w:val="Normal"/>
    <w:uiPriority w:val="39"/>
    <w:semiHidden/>
    <w:unhideWhenUsed/>
    <w:rsid w:val="009B7138"/>
    <w:pPr>
      <w:tabs>
        <w:tab w:val="right" w:leader="dot" w:pos="9071"/>
      </w:tabs>
      <w:spacing w:before="60"/>
      <w:ind w:left="850" w:hanging="850"/>
      <w:jc w:val="left"/>
    </w:pPr>
  </w:style>
  <w:style w:type="paragraph" w:styleId="TOC4">
    <w:name w:val="toc 4"/>
    <w:basedOn w:val="Normal"/>
    <w:next w:val="Normal"/>
    <w:uiPriority w:val="39"/>
    <w:semiHidden/>
    <w:unhideWhenUsed/>
    <w:rsid w:val="009B7138"/>
    <w:pPr>
      <w:tabs>
        <w:tab w:val="right" w:leader="dot" w:pos="9071"/>
      </w:tabs>
      <w:spacing w:before="60"/>
      <w:ind w:left="850" w:hanging="850"/>
      <w:jc w:val="left"/>
    </w:pPr>
  </w:style>
  <w:style w:type="paragraph" w:styleId="TOC5">
    <w:name w:val="toc 5"/>
    <w:basedOn w:val="Normal"/>
    <w:next w:val="Normal"/>
    <w:uiPriority w:val="39"/>
    <w:semiHidden/>
    <w:unhideWhenUsed/>
    <w:rsid w:val="009B7138"/>
    <w:pPr>
      <w:tabs>
        <w:tab w:val="right" w:leader="dot" w:pos="9071"/>
      </w:tabs>
      <w:spacing w:before="300"/>
      <w:jc w:val="left"/>
    </w:pPr>
  </w:style>
  <w:style w:type="paragraph" w:styleId="TOC6">
    <w:name w:val="toc 6"/>
    <w:basedOn w:val="Normal"/>
    <w:next w:val="Normal"/>
    <w:uiPriority w:val="39"/>
    <w:semiHidden/>
    <w:unhideWhenUsed/>
    <w:rsid w:val="009B7138"/>
    <w:pPr>
      <w:tabs>
        <w:tab w:val="right" w:leader="dot" w:pos="9071"/>
      </w:tabs>
      <w:spacing w:before="240"/>
      <w:jc w:val="left"/>
    </w:pPr>
  </w:style>
  <w:style w:type="paragraph" w:styleId="TOC7">
    <w:name w:val="toc 7"/>
    <w:basedOn w:val="Normal"/>
    <w:next w:val="Normal"/>
    <w:uiPriority w:val="39"/>
    <w:semiHidden/>
    <w:unhideWhenUsed/>
    <w:rsid w:val="009B7138"/>
    <w:pPr>
      <w:tabs>
        <w:tab w:val="right" w:leader="dot" w:pos="9071"/>
      </w:tabs>
      <w:spacing w:before="180"/>
      <w:jc w:val="left"/>
    </w:pPr>
  </w:style>
  <w:style w:type="paragraph" w:styleId="TOC8">
    <w:name w:val="toc 8"/>
    <w:basedOn w:val="Normal"/>
    <w:next w:val="Normal"/>
    <w:uiPriority w:val="39"/>
    <w:semiHidden/>
    <w:unhideWhenUsed/>
    <w:rsid w:val="009B7138"/>
    <w:pPr>
      <w:tabs>
        <w:tab w:val="right" w:leader="dot" w:pos="9071"/>
      </w:tabs>
      <w:jc w:val="left"/>
    </w:pPr>
  </w:style>
  <w:style w:type="paragraph" w:styleId="TOC9">
    <w:name w:val="toc 9"/>
    <w:basedOn w:val="Normal"/>
    <w:next w:val="Normal"/>
    <w:uiPriority w:val="39"/>
    <w:semiHidden/>
    <w:unhideWhenUsed/>
    <w:rsid w:val="009B7138"/>
    <w:pPr>
      <w:tabs>
        <w:tab w:val="right" w:leader="dot" w:pos="9071"/>
      </w:tabs>
    </w:pPr>
  </w:style>
  <w:style w:type="paragraph" w:customStyle="1" w:styleId="HeaderLandscape">
    <w:name w:val="HeaderLandscape"/>
    <w:basedOn w:val="Normal"/>
    <w:rsid w:val="00FF77AA"/>
    <w:pPr>
      <w:tabs>
        <w:tab w:val="center" w:pos="7285"/>
        <w:tab w:val="right" w:pos="14003"/>
      </w:tabs>
      <w:spacing w:before="0"/>
    </w:pPr>
  </w:style>
  <w:style w:type="paragraph" w:customStyle="1" w:styleId="FooterLandscape">
    <w:name w:val="FooterLandscape"/>
    <w:basedOn w:val="Normal"/>
    <w:rsid w:val="00FF77AA"/>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9B7138"/>
    <w:rPr>
      <w:shd w:val="clear" w:color="auto" w:fill="auto"/>
      <w:vertAlign w:val="superscript"/>
    </w:rPr>
  </w:style>
  <w:style w:type="paragraph" w:customStyle="1" w:styleId="HeaderSensitivity">
    <w:name w:val="Header Sensitivity"/>
    <w:basedOn w:val="Normal"/>
    <w:rsid w:val="00FF77AA"/>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FF77AA"/>
    <w:pPr>
      <w:spacing w:before="0"/>
      <w:jc w:val="right"/>
    </w:pPr>
    <w:rPr>
      <w:sz w:val="28"/>
    </w:rPr>
  </w:style>
  <w:style w:type="paragraph" w:customStyle="1" w:styleId="FooterSensitivity">
    <w:name w:val="Footer Sensitivity"/>
    <w:basedOn w:val="Normal"/>
    <w:rsid w:val="00FF77AA"/>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9B7138"/>
    <w:pPr>
      <w:ind w:left="850"/>
    </w:pPr>
  </w:style>
  <w:style w:type="paragraph" w:customStyle="1" w:styleId="Text2">
    <w:name w:val="Text 2"/>
    <w:basedOn w:val="Normal"/>
    <w:rsid w:val="009B7138"/>
    <w:pPr>
      <w:ind w:left="1417"/>
    </w:pPr>
  </w:style>
  <w:style w:type="paragraph" w:customStyle="1" w:styleId="Text3">
    <w:name w:val="Text 3"/>
    <w:basedOn w:val="Normal"/>
    <w:rsid w:val="009B7138"/>
    <w:pPr>
      <w:ind w:left="1984"/>
    </w:pPr>
  </w:style>
  <w:style w:type="paragraph" w:customStyle="1" w:styleId="Text4">
    <w:name w:val="Text 4"/>
    <w:basedOn w:val="Normal"/>
    <w:rsid w:val="009B7138"/>
    <w:pPr>
      <w:ind w:left="2551"/>
    </w:pPr>
  </w:style>
  <w:style w:type="paragraph" w:customStyle="1" w:styleId="NormalCentered">
    <w:name w:val="Normal Centered"/>
    <w:basedOn w:val="Normal"/>
    <w:rsid w:val="009B7138"/>
    <w:pPr>
      <w:jc w:val="center"/>
    </w:pPr>
  </w:style>
  <w:style w:type="paragraph" w:customStyle="1" w:styleId="NormalLeft">
    <w:name w:val="Normal Left"/>
    <w:basedOn w:val="Normal"/>
    <w:rsid w:val="009B7138"/>
    <w:pPr>
      <w:jc w:val="left"/>
    </w:pPr>
  </w:style>
  <w:style w:type="paragraph" w:customStyle="1" w:styleId="NormalRight">
    <w:name w:val="Normal Right"/>
    <w:basedOn w:val="Normal"/>
    <w:rsid w:val="009B7138"/>
    <w:pPr>
      <w:jc w:val="right"/>
    </w:pPr>
  </w:style>
  <w:style w:type="paragraph" w:customStyle="1" w:styleId="QuotedText">
    <w:name w:val="Quoted Text"/>
    <w:basedOn w:val="Normal"/>
    <w:rsid w:val="009B7138"/>
    <w:pPr>
      <w:ind w:left="1417"/>
    </w:pPr>
  </w:style>
  <w:style w:type="paragraph" w:customStyle="1" w:styleId="Point0">
    <w:name w:val="Point 0"/>
    <w:basedOn w:val="Normal"/>
    <w:rsid w:val="009B7138"/>
    <w:pPr>
      <w:ind w:left="850" w:hanging="850"/>
    </w:pPr>
  </w:style>
  <w:style w:type="paragraph" w:customStyle="1" w:styleId="Point1">
    <w:name w:val="Point 1"/>
    <w:basedOn w:val="Normal"/>
    <w:rsid w:val="009B7138"/>
    <w:pPr>
      <w:ind w:left="1417" w:hanging="567"/>
    </w:pPr>
  </w:style>
  <w:style w:type="paragraph" w:customStyle="1" w:styleId="Point2">
    <w:name w:val="Point 2"/>
    <w:basedOn w:val="Normal"/>
    <w:rsid w:val="009B7138"/>
    <w:pPr>
      <w:ind w:left="1984" w:hanging="567"/>
    </w:pPr>
  </w:style>
  <w:style w:type="paragraph" w:customStyle="1" w:styleId="Point3">
    <w:name w:val="Point 3"/>
    <w:basedOn w:val="Normal"/>
    <w:rsid w:val="009B7138"/>
    <w:pPr>
      <w:ind w:left="2551" w:hanging="567"/>
    </w:pPr>
  </w:style>
  <w:style w:type="paragraph" w:customStyle="1" w:styleId="Point4">
    <w:name w:val="Point 4"/>
    <w:basedOn w:val="Normal"/>
    <w:rsid w:val="009B7138"/>
    <w:pPr>
      <w:ind w:left="3118" w:hanging="567"/>
    </w:pPr>
  </w:style>
  <w:style w:type="paragraph" w:customStyle="1" w:styleId="Tiret0">
    <w:name w:val="Tiret 0"/>
    <w:basedOn w:val="Point0"/>
    <w:rsid w:val="009B7138"/>
    <w:pPr>
      <w:numPr>
        <w:numId w:val="28"/>
      </w:numPr>
    </w:pPr>
  </w:style>
  <w:style w:type="paragraph" w:customStyle="1" w:styleId="Tiret1">
    <w:name w:val="Tiret 1"/>
    <w:basedOn w:val="Point1"/>
    <w:rsid w:val="009B7138"/>
    <w:pPr>
      <w:numPr>
        <w:numId w:val="29"/>
      </w:numPr>
    </w:pPr>
  </w:style>
  <w:style w:type="paragraph" w:customStyle="1" w:styleId="Tiret2">
    <w:name w:val="Tiret 2"/>
    <w:basedOn w:val="Point2"/>
    <w:rsid w:val="009B7138"/>
    <w:pPr>
      <w:numPr>
        <w:numId w:val="30"/>
      </w:numPr>
    </w:pPr>
  </w:style>
  <w:style w:type="paragraph" w:customStyle="1" w:styleId="Tiret3">
    <w:name w:val="Tiret 3"/>
    <w:basedOn w:val="Point3"/>
    <w:rsid w:val="009B7138"/>
    <w:pPr>
      <w:numPr>
        <w:numId w:val="31"/>
      </w:numPr>
    </w:pPr>
  </w:style>
  <w:style w:type="paragraph" w:customStyle="1" w:styleId="Tiret4">
    <w:name w:val="Tiret 4"/>
    <w:basedOn w:val="Point4"/>
    <w:rsid w:val="009B7138"/>
    <w:pPr>
      <w:numPr>
        <w:numId w:val="32"/>
      </w:numPr>
    </w:pPr>
  </w:style>
  <w:style w:type="paragraph" w:customStyle="1" w:styleId="PointDouble0">
    <w:name w:val="PointDouble 0"/>
    <w:basedOn w:val="Normal"/>
    <w:rsid w:val="009B7138"/>
    <w:pPr>
      <w:tabs>
        <w:tab w:val="left" w:pos="850"/>
      </w:tabs>
      <w:ind w:left="1417" w:hanging="1417"/>
    </w:pPr>
  </w:style>
  <w:style w:type="paragraph" w:customStyle="1" w:styleId="PointDouble1">
    <w:name w:val="PointDouble 1"/>
    <w:basedOn w:val="Normal"/>
    <w:rsid w:val="009B7138"/>
    <w:pPr>
      <w:tabs>
        <w:tab w:val="left" w:pos="1417"/>
      </w:tabs>
      <w:ind w:left="1984" w:hanging="1134"/>
    </w:pPr>
  </w:style>
  <w:style w:type="paragraph" w:customStyle="1" w:styleId="PointDouble2">
    <w:name w:val="PointDouble 2"/>
    <w:basedOn w:val="Normal"/>
    <w:rsid w:val="009B7138"/>
    <w:pPr>
      <w:tabs>
        <w:tab w:val="left" w:pos="1984"/>
      </w:tabs>
      <w:ind w:left="2551" w:hanging="1134"/>
    </w:pPr>
  </w:style>
  <w:style w:type="paragraph" w:customStyle="1" w:styleId="PointDouble3">
    <w:name w:val="PointDouble 3"/>
    <w:basedOn w:val="Normal"/>
    <w:rsid w:val="009B7138"/>
    <w:pPr>
      <w:tabs>
        <w:tab w:val="left" w:pos="2551"/>
      </w:tabs>
      <w:ind w:left="3118" w:hanging="1134"/>
    </w:pPr>
  </w:style>
  <w:style w:type="paragraph" w:customStyle="1" w:styleId="PointDouble4">
    <w:name w:val="PointDouble 4"/>
    <w:basedOn w:val="Normal"/>
    <w:rsid w:val="009B7138"/>
    <w:pPr>
      <w:tabs>
        <w:tab w:val="left" w:pos="3118"/>
      </w:tabs>
      <w:ind w:left="3685" w:hanging="1134"/>
    </w:pPr>
  </w:style>
  <w:style w:type="paragraph" w:customStyle="1" w:styleId="PointTriple0">
    <w:name w:val="PointTriple 0"/>
    <w:basedOn w:val="Normal"/>
    <w:rsid w:val="009B7138"/>
    <w:pPr>
      <w:tabs>
        <w:tab w:val="left" w:pos="850"/>
        <w:tab w:val="left" w:pos="1417"/>
      </w:tabs>
      <w:ind w:left="1984" w:hanging="1984"/>
    </w:pPr>
  </w:style>
  <w:style w:type="paragraph" w:customStyle="1" w:styleId="PointTriple1">
    <w:name w:val="PointTriple 1"/>
    <w:basedOn w:val="Normal"/>
    <w:rsid w:val="009B7138"/>
    <w:pPr>
      <w:tabs>
        <w:tab w:val="left" w:pos="1417"/>
        <w:tab w:val="left" w:pos="1984"/>
      </w:tabs>
      <w:ind w:left="2551" w:hanging="1701"/>
    </w:pPr>
  </w:style>
  <w:style w:type="paragraph" w:customStyle="1" w:styleId="PointTriple2">
    <w:name w:val="PointTriple 2"/>
    <w:basedOn w:val="Normal"/>
    <w:rsid w:val="009B7138"/>
    <w:pPr>
      <w:tabs>
        <w:tab w:val="left" w:pos="1984"/>
        <w:tab w:val="left" w:pos="2551"/>
      </w:tabs>
      <w:ind w:left="3118" w:hanging="1701"/>
    </w:pPr>
  </w:style>
  <w:style w:type="paragraph" w:customStyle="1" w:styleId="PointTriple3">
    <w:name w:val="PointTriple 3"/>
    <w:basedOn w:val="Normal"/>
    <w:rsid w:val="009B7138"/>
    <w:pPr>
      <w:tabs>
        <w:tab w:val="left" w:pos="2551"/>
        <w:tab w:val="left" w:pos="3118"/>
      </w:tabs>
      <w:ind w:left="3685" w:hanging="1701"/>
    </w:pPr>
  </w:style>
  <w:style w:type="paragraph" w:customStyle="1" w:styleId="PointTriple4">
    <w:name w:val="PointTriple 4"/>
    <w:basedOn w:val="Normal"/>
    <w:rsid w:val="009B7138"/>
    <w:pPr>
      <w:tabs>
        <w:tab w:val="left" w:pos="3118"/>
        <w:tab w:val="left" w:pos="3685"/>
      </w:tabs>
      <w:ind w:left="4252" w:hanging="1701"/>
    </w:pPr>
  </w:style>
  <w:style w:type="paragraph" w:customStyle="1" w:styleId="NumPar1">
    <w:name w:val="NumPar 1"/>
    <w:basedOn w:val="Normal"/>
    <w:next w:val="Text1"/>
    <w:rsid w:val="009B7138"/>
    <w:pPr>
      <w:numPr>
        <w:numId w:val="48"/>
      </w:numPr>
    </w:pPr>
  </w:style>
  <w:style w:type="paragraph" w:customStyle="1" w:styleId="NumPar2">
    <w:name w:val="NumPar 2"/>
    <w:basedOn w:val="Normal"/>
    <w:next w:val="Text1"/>
    <w:rsid w:val="009B7138"/>
    <w:pPr>
      <w:numPr>
        <w:ilvl w:val="1"/>
        <w:numId w:val="48"/>
      </w:numPr>
    </w:pPr>
  </w:style>
  <w:style w:type="paragraph" w:customStyle="1" w:styleId="NumPar3">
    <w:name w:val="NumPar 3"/>
    <w:basedOn w:val="Normal"/>
    <w:next w:val="Text1"/>
    <w:rsid w:val="009B7138"/>
    <w:pPr>
      <w:numPr>
        <w:ilvl w:val="2"/>
        <w:numId w:val="48"/>
      </w:numPr>
    </w:pPr>
  </w:style>
  <w:style w:type="paragraph" w:customStyle="1" w:styleId="NumPar4">
    <w:name w:val="NumPar 4"/>
    <w:basedOn w:val="Normal"/>
    <w:next w:val="Text1"/>
    <w:rsid w:val="009B7138"/>
    <w:pPr>
      <w:numPr>
        <w:ilvl w:val="3"/>
        <w:numId w:val="48"/>
      </w:numPr>
    </w:pPr>
  </w:style>
  <w:style w:type="paragraph" w:customStyle="1" w:styleId="ManualNumPar1">
    <w:name w:val="Manual NumPar 1"/>
    <w:basedOn w:val="Normal"/>
    <w:next w:val="Text1"/>
    <w:rsid w:val="009B7138"/>
    <w:pPr>
      <w:ind w:left="850" w:hanging="850"/>
    </w:pPr>
  </w:style>
  <w:style w:type="paragraph" w:customStyle="1" w:styleId="ManualNumPar2">
    <w:name w:val="Manual NumPar 2"/>
    <w:basedOn w:val="Normal"/>
    <w:next w:val="Text1"/>
    <w:rsid w:val="009B7138"/>
    <w:pPr>
      <w:ind w:left="850" w:hanging="850"/>
    </w:pPr>
  </w:style>
  <w:style w:type="paragraph" w:customStyle="1" w:styleId="ManualNumPar3">
    <w:name w:val="Manual NumPar 3"/>
    <w:basedOn w:val="Normal"/>
    <w:next w:val="Text1"/>
    <w:rsid w:val="009B7138"/>
    <w:pPr>
      <w:ind w:left="850" w:hanging="850"/>
    </w:pPr>
  </w:style>
  <w:style w:type="paragraph" w:customStyle="1" w:styleId="ManualNumPar4">
    <w:name w:val="Manual NumPar 4"/>
    <w:basedOn w:val="Normal"/>
    <w:next w:val="Text1"/>
    <w:rsid w:val="009B7138"/>
    <w:pPr>
      <w:ind w:left="850" w:hanging="850"/>
    </w:pPr>
  </w:style>
  <w:style w:type="paragraph" w:customStyle="1" w:styleId="QuotedNumPar">
    <w:name w:val="Quoted NumPar"/>
    <w:basedOn w:val="Normal"/>
    <w:rsid w:val="009B7138"/>
    <w:pPr>
      <w:ind w:left="1417" w:hanging="567"/>
    </w:pPr>
  </w:style>
  <w:style w:type="paragraph" w:customStyle="1" w:styleId="ManualHeading1">
    <w:name w:val="Manual Heading 1"/>
    <w:basedOn w:val="Normal"/>
    <w:next w:val="Text1"/>
    <w:rsid w:val="009B713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9B7138"/>
    <w:pPr>
      <w:keepNext/>
      <w:tabs>
        <w:tab w:val="left" w:pos="850"/>
      </w:tabs>
      <w:ind w:left="850" w:hanging="850"/>
      <w:outlineLvl w:val="1"/>
    </w:pPr>
    <w:rPr>
      <w:b/>
    </w:rPr>
  </w:style>
  <w:style w:type="paragraph" w:customStyle="1" w:styleId="ManualHeading3">
    <w:name w:val="Manual Heading 3"/>
    <w:basedOn w:val="Normal"/>
    <w:next w:val="Text1"/>
    <w:rsid w:val="009B7138"/>
    <w:pPr>
      <w:keepNext/>
      <w:tabs>
        <w:tab w:val="left" w:pos="850"/>
      </w:tabs>
      <w:ind w:left="850" w:hanging="850"/>
      <w:outlineLvl w:val="2"/>
    </w:pPr>
    <w:rPr>
      <w:i/>
    </w:rPr>
  </w:style>
  <w:style w:type="paragraph" w:customStyle="1" w:styleId="ManualHeading4">
    <w:name w:val="Manual Heading 4"/>
    <w:basedOn w:val="Normal"/>
    <w:next w:val="Text1"/>
    <w:rsid w:val="009B7138"/>
    <w:pPr>
      <w:keepNext/>
      <w:tabs>
        <w:tab w:val="left" w:pos="850"/>
      </w:tabs>
      <w:ind w:left="850" w:hanging="850"/>
      <w:outlineLvl w:val="3"/>
    </w:pPr>
  </w:style>
  <w:style w:type="paragraph" w:customStyle="1" w:styleId="ChapterTitle">
    <w:name w:val="ChapterTitle"/>
    <w:basedOn w:val="Normal"/>
    <w:next w:val="Normal"/>
    <w:rsid w:val="009B7138"/>
    <w:pPr>
      <w:keepNext/>
      <w:spacing w:after="360"/>
      <w:jc w:val="center"/>
    </w:pPr>
    <w:rPr>
      <w:b/>
      <w:sz w:val="32"/>
    </w:rPr>
  </w:style>
  <w:style w:type="paragraph" w:customStyle="1" w:styleId="PartTitle">
    <w:name w:val="PartTitle"/>
    <w:basedOn w:val="Normal"/>
    <w:next w:val="ChapterTitle"/>
    <w:rsid w:val="009B7138"/>
    <w:pPr>
      <w:keepNext/>
      <w:pageBreakBefore/>
      <w:spacing w:after="360"/>
      <w:jc w:val="center"/>
    </w:pPr>
    <w:rPr>
      <w:b/>
      <w:sz w:val="36"/>
    </w:rPr>
  </w:style>
  <w:style w:type="paragraph" w:customStyle="1" w:styleId="SectionTitle">
    <w:name w:val="SectionTitle"/>
    <w:basedOn w:val="Normal"/>
    <w:next w:val="Heading1"/>
    <w:rsid w:val="009B7138"/>
    <w:pPr>
      <w:keepNext/>
      <w:spacing w:after="360"/>
      <w:jc w:val="center"/>
    </w:pPr>
    <w:rPr>
      <w:b/>
      <w:smallCaps/>
      <w:sz w:val="28"/>
    </w:rPr>
  </w:style>
  <w:style w:type="paragraph" w:customStyle="1" w:styleId="TableTitle">
    <w:name w:val="Table Title"/>
    <w:basedOn w:val="Normal"/>
    <w:next w:val="Normal"/>
    <w:rsid w:val="009B7138"/>
    <w:pPr>
      <w:jc w:val="center"/>
    </w:pPr>
    <w:rPr>
      <w:b/>
    </w:rPr>
  </w:style>
  <w:style w:type="character" w:customStyle="1" w:styleId="Marker">
    <w:name w:val="Marker"/>
    <w:basedOn w:val="DefaultParagraphFont"/>
    <w:rsid w:val="009B7138"/>
    <w:rPr>
      <w:color w:val="0000FF"/>
      <w:shd w:val="clear" w:color="auto" w:fill="auto"/>
    </w:rPr>
  </w:style>
  <w:style w:type="character" w:customStyle="1" w:styleId="Marker1">
    <w:name w:val="Marker1"/>
    <w:basedOn w:val="DefaultParagraphFont"/>
    <w:rsid w:val="009B7138"/>
    <w:rPr>
      <w:color w:val="008000"/>
      <w:shd w:val="clear" w:color="auto" w:fill="auto"/>
    </w:rPr>
  </w:style>
  <w:style w:type="character" w:customStyle="1" w:styleId="Marker2">
    <w:name w:val="Marker2"/>
    <w:basedOn w:val="DefaultParagraphFont"/>
    <w:rsid w:val="009B7138"/>
    <w:rPr>
      <w:color w:val="FF0000"/>
      <w:shd w:val="clear" w:color="auto" w:fill="auto"/>
    </w:rPr>
  </w:style>
  <w:style w:type="paragraph" w:customStyle="1" w:styleId="Point0number">
    <w:name w:val="Point 0 (number)"/>
    <w:basedOn w:val="Normal"/>
    <w:rsid w:val="009B7138"/>
    <w:pPr>
      <w:numPr>
        <w:numId w:val="35"/>
      </w:numPr>
    </w:pPr>
  </w:style>
  <w:style w:type="paragraph" w:customStyle="1" w:styleId="Point1number">
    <w:name w:val="Point 1 (number)"/>
    <w:basedOn w:val="Normal"/>
    <w:rsid w:val="009B7138"/>
    <w:pPr>
      <w:numPr>
        <w:ilvl w:val="2"/>
        <w:numId w:val="35"/>
      </w:numPr>
    </w:pPr>
  </w:style>
  <w:style w:type="paragraph" w:customStyle="1" w:styleId="Point2number">
    <w:name w:val="Point 2 (number)"/>
    <w:basedOn w:val="Normal"/>
    <w:rsid w:val="009B7138"/>
    <w:pPr>
      <w:numPr>
        <w:ilvl w:val="4"/>
        <w:numId w:val="35"/>
      </w:numPr>
    </w:pPr>
  </w:style>
  <w:style w:type="paragraph" w:customStyle="1" w:styleId="Point3number">
    <w:name w:val="Point 3 (number)"/>
    <w:basedOn w:val="Normal"/>
    <w:rsid w:val="009B7138"/>
    <w:pPr>
      <w:numPr>
        <w:ilvl w:val="6"/>
        <w:numId w:val="35"/>
      </w:numPr>
    </w:pPr>
  </w:style>
  <w:style w:type="paragraph" w:customStyle="1" w:styleId="Point0letter">
    <w:name w:val="Point 0 (letter)"/>
    <w:basedOn w:val="Normal"/>
    <w:rsid w:val="009B7138"/>
    <w:pPr>
      <w:numPr>
        <w:ilvl w:val="1"/>
        <w:numId w:val="35"/>
      </w:numPr>
    </w:pPr>
  </w:style>
  <w:style w:type="paragraph" w:customStyle="1" w:styleId="Point1letter">
    <w:name w:val="Point 1 (letter)"/>
    <w:basedOn w:val="Normal"/>
    <w:rsid w:val="009B7138"/>
    <w:pPr>
      <w:numPr>
        <w:ilvl w:val="3"/>
        <w:numId w:val="35"/>
      </w:numPr>
    </w:pPr>
  </w:style>
  <w:style w:type="paragraph" w:customStyle="1" w:styleId="Point2letter">
    <w:name w:val="Point 2 (letter)"/>
    <w:basedOn w:val="Normal"/>
    <w:rsid w:val="009B7138"/>
    <w:pPr>
      <w:numPr>
        <w:ilvl w:val="5"/>
        <w:numId w:val="35"/>
      </w:numPr>
    </w:pPr>
  </w:style>
  <w:style w:type="paragraph" w:customStyle="1" w:styleId="Point3letter">
    <w:name w:val="Point 3 (letter)"/>
    <w:basedOn w:val="Normal"/>
    <w:rsid w:val="009B7138"/>
    <w:pPr>
      <w:numPr>
        <w:ilvl w:val="7"/>
        <w:numId w:val="35"/>
      </w:numPr>
    </w:pPr>
  </w:style>
  <w:style w:type="paragraph" w:customStyle="1" w:styleId="Point4letter">
    <w:name w:val="Point 4 (letter)"/>
    <w:basedOn w:val="Normal"/>
    <w:rsid w:val="009B7138"/>
    <w:pPr>
      <w:numPr>
        <w:ilvl w:val="8"/>
        <w:numId w:val="35"/>
      </w:numPr>
    </w:pPr>
  </w:style>
  <w:style w:type="paragraph" w:customStyle="1" w:styleId="Bullet0">
    <w:name w:val="Bullet 0"/>
    <w:basedOn w:val="Normal"/>
    <w:rsid w:val="009B7138"/>
    <w:pPr>
      <w:numPr>
        <w:numId w:val="36"/>
      </w:numPr>
    </w:pPr>
  </w:style>
  <w:style w:type="paragraph" w:customStyle="1" w:styleId="Bullet1">
    <w:name w:val="Bullet 1"/>
    <w:basedOn w:val="Normal"/>
    <w:rsid w:val="009B7138"/>
    <w:pPr>
      <w:numPr>
        <w:numId w:val="37"/>
      </w:numPr>
    </w:pPr>
  </w:style>
  <w:style w:type="paragraph" w:customStyle="1" w:styleId="Bullet2">
    <w:name w:val="Bullet 2"/>
    <w:basedOn w:val="Normal"/>
    <w:rsid w:val="009B7138"/>
    <w:pPr>
      <w:numPr>
        <w:numId w:val="38"/>
      </w:numPr>
    </w:pPr>
  </w:style>
  <w:style w:type="paragraph" w:customStyle="1" w:styleId="Bullet3">
    <w:name w:val="Bullet 3"/>
    <w:basedOn w:val="Normal"/>
    <w:rsid w:val="009B7138"/>
    <w:pPr>
      <w:numPr>
        <w:numId w:val="39"/>
      </w:numPr>
    </w:pPr>
  </w:style>
  <w:style w:type="paragraph" w:customStyle="1" w:styleId="Bullet4">
    <w:name w:val="Bullet 4"/>
    <w:basedOn w:val="Normal"/>
    <w:rsid w:val="009B7138"/>
    <w:pPr>
      <w:numPr>
        <w:numId w:val="40"/>
      </w:numPr>
    </w:pPr>
  </w:style>
  <w:style w:type="paragraph" w:customStyle="1" w:styleId="Langue">
    <w:name w:val="Langue"/>
    <w:basedOn w:val="Normal"/>
    <w:next w:val="Rfrenceinterne"/>
    <w:rsid w:val="009B713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9B7138"/>
    <w:pPr>
      <w:spacing w:before="0" w:after="0"/>
      <w:jc w:val="left"/>
    </w:pPr>
    <w:rPr>
      <w:rFonts w:ascii="Arial" w:hAnsi="Arial" w:cs="Arial"/>
    </w:rPr>
  </w:style>
  <w:style w:type="paragraph" w:customStyle="1" w:styleId="Emission">
    <w:name w:val="Emission"/>
    <w:basedOn w:val="Normal"/>
    <w:next w:val="Rfrenceinstitutionnelle"/>
    <w:rsid w:val="009B7138"/>
    <w:pPr>
      <w:spacing w:before="0" w:after="0"/>
      <w:ind w:left="5103"/>
      <w:jc w:val="left"/>
    </w:pPr>
  </w:style>
  <w:style w:type="paragraph" w:customStyle="1" w:styleId="Rfrenceinstitutionnelle">
    <w:name w:val="Référence institutionnelle"/>
    <w:basedOn w:val="Normal"/>
    <w:next w:val="Confidentialit"/>
    <w:rsid w:val="009B7138"/>
    <w:pPr>
      <w:spacing w:before="0" w:after="240"/>
      <w:ind w:left="5103"/>
      <w:jc w:val="left"/>
    </w:pPr>
  </w:style>
  <w:style w:type="paragraph" w:customStyle="1" w:styleId="Pagedecouverture">
    <w:name w:val="Page de couverture"/>
    <w:basedOn w:val="Normal"/>
    <w:next w:val="Normal"/>
    <w:rsid w:val="009B7138"/>
    <w:pPr>
      <w:spacing w:before="0" w:after="0"/>
    </w:pPr>
  </w:style>
  <w:style w:type="paragraph" w:customStyle="1" w:styleId="Declassification">
    <w:name w:val="Declassification"/>
    <w:basedOn w:val="Normal"/>
    <w:next w:val="Normal"/>
    <w:rsid w:val="009B7138"/>
    <w:pPr>
      <w:spacing w:before="0" w:after="0"/>
    </w:pPr>
  </w:style>
  <w:style w:type="paragraph" w:customStyle="1" w:styleId="Disclaimer">
    <w:name w:val="Disclaimer"/>
    <w:basedOn w:val="Normal"/>
    <w:rsid w:val="009B713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9B7138"/>
    <w:pPr>
      <w:spacing w:before="0" w:after="0" w:line="276" w:lineRule="auto"/>
      <w:ind w:left="5103"/>
      <w:jc w:val="left"/>
    </w:pPr>
    <w:rPr>
      <w:sz w:val="28"/>
    </w:rPr>
  </w:style>
  <w:style w:type="paragraph" w:customStyle="1" w:styleId="DateMarking">
    <w:name w:val="DateMarking"/>
    <w:basedOn w:val="Normal"/>
    <w:rsid w:val="009B7138"/>
    <w:pPr>
      <w:spacing w:before="0" w:after="0" w:line="276" w:lineRule="auto"/>
      <w:ind w:left="5103"/>
      <w:jc w:val="left"/>
    </w:pPr>
    <w:rPr>
      <w:i/>
      <w:sz w:val="28"/>
    </w:rPr>
  </w:style>
  <w:style w:type="paragraph" w:customStyle="1" w:styleId="ReleasableTo">
    <w:name w:val="ReleasableTo"/>
    <w:basedOn w:val="Normal"/>
    <w:rsid w:val="009B7138"/>
    <w:pPr>
      <w:spacing w:before="0" w:after="0" w:line="276" w:lineRule="auto"/>
      <w:ind w:left="5103"/>
      <w:jc w:val="left"/>
    </w:pPr>
    <w:rPr>
      <w:i/>
      <w:sz w:val="28"/>
    </w:rPr>
  </w:style>
  <w:style w:type="paragraph" w:customStyle="1" w:styleId="Annexetitreexpos">
    <w:name w:val="Annexe titre (exposé)"/>
    <w:basedOn w:val="Normal"/>
    <w:next w:val="Normal"/>
    <w:rsid w:val="009B7138"/>
    <w:pPr>
      <w:jc w:val="center"/>
    </w:pPr>
    <w:rPr>
      <w:b/>
      <w:u w:val="single"/>
    </w:rPr>
  </w:style>
  <w:style w:type="paragraph" w:customStyle="1" w:styleId="Annexetitre">
    <w:name w:val="Annexe titre"/>
    <w:basedOn w:val="Normal"/>
    <w:next w:val="Normal"/>
    <w:rsid w:val="009B7138"/>
    <w:pPr>
      <w:jc w:val="center"/>
    </w:pPr>
    <w:rPr>
      <w:b/>
      <w:u w:val="single"/>
    </w:rPr>
  </w:style>
  <w:style w:type="paragraph" w:customStyle="1" w:styleId="Annexetitrefichefinancire">
    <w:name w:val="Annexe titre (fiche financière)"/>
    <w:basedOn w:val="Normal"/>
    <w:next w:val="Normal"/>
    <w:rsid w:val="009B7138"/>
    <w:pPr>
      <w:jc w:val="center"/>
    </w:pPr>
    <w:rPr>
      <w:b/>
      <w:u w:val="single"/>
    </w:rPr>
  </w:style>
  <w:style w:type="paragraph" w:customStyle="1" w:styleId="Applicationdirecte">
    <w:name w:val="Application directe"/>
    <w:basedOn w:val="Normal"/>
    <w:next w:val="Fait"/>
    <w:rsid w:val="009B7138"/>
    <w:pPr>
      <w:spacing w:before="480"/>
    </w:pPr>
  </w:style>
  <w:style w:type="paragraph" w:customStyle="1" w:styleId="Avertissementtitre">
    <w:name w:val="Avertissement titre"/>
    <w:basedOn w:val="Normal"/>
    <w:next w:val="Normal"/>
    <w:rsid w:val="009B7138"/>
    <w:pPr>
      <w:keepNext/>
      <w:spacing w:before="480"/>
    </w:pPr>
    <w:rPr>
      <w:u w:val="single"/>
    </w:rPr>
  </w:style>
  <w:style w:type="paragraph" w:customStyle="1" w:styleId="Confidence">
    <w:name w:val="Confidence"/>
    <w:basedOn w:val="Normal"/>
    <w:next w:val="Normal"/>
    <w:rsid w:val="009B7138"/>
    <w:pPr>
      <w:spacing w:before="360"/>
      <w:jc w:val="center"/>
    </w:pPr>
  </w:style>
  <w:style w:type="paragraph" w:customStyle="1" w:styleId="Confidentialit">
    <w:name w:val="Confidentialité"/>
    <w:basedOn w:val="Normal"/>
    <w:next w:val="TypedudocumentPagedecouverture"/>
    <w:rsid w:val="009B7138"/>
    <w:pPr>
      <w:spacing w:before="240" w:after="240"/>
      <w:ind w:left="5103"/>
      <w:jc w:val="left"/>
    </w:pPr>
    <w:rPr>
      <w:i/>
      <w:sz w:val="32"/>
    </w:rPr>
  </w:style>
  <w:style w:type="paragraph" w:customStyle="1" w:styleId="Considrant">
    <w:name w:val="Considérant"/>
    <w:basedOn w:val="Normal"/>
    <w:rsid w:val="009B7138"/>
    <w:pPr>
      <w:numPr>
        <w:numId w:val="41"/>
      </w:numPr>
    </w:pPr>
  </w:style>
  <w:style w:type="paragraph" w:customStyle="1" w:styleId="Corrigendum">
    <w:name w:val="Corrigendum"/>
    <w:basedOn w:val="Normal"/>
    <w:next w:val="Normal"/>
    <w:rsid w:val="009B7138"/>
    <w:pPr>
      <w:spacing w:before="0" w:after="240"/>
      <w:jc w:val="left"/>
    </w:pPr>
  </w:style>
  <w:style w:type="paragraph" w:customStyle="1" w:styleId="Datedadoption">
    <w:name w:val="Date d'adoption"/>
    <w:basedOn w:val="Normal"/>
    <w:next w:val="Titreobjet"/>
    <w:rsid w:val="009B7138"/>
    <w:pPr>
      <w:spacing w:before="360" w:after="0"/>
      <w:jc w:val="center"/>
    </w:pPr>
    <w:rPr>
      <w:b/>
    </w:rPr>
  </w:style>
  <w:style w:type="paragraph" w:customStyle="1" w:styleId="Exposdesmotifstitre">
    <w:name w:val="Exposé des motifs titre"/>
    <w:basedOn w:val="Normal"/>
    <w:next w:val="Normal"/>
    <w:rsid w:val="009B7138"/>
    <w:pPr>
      <w:jc w:val="center"/>
    </w:pPr>
    <w:rPr>
      <w:b/>
      <w:u w:val="single"/>
    </w:rPr>
  </w:style>
  <w:style w:type="paragraph" w:customStyle="1" w:styleId="Fait">
    <w:name w:val="Fait à"/>
    <w:basedOn w:val="Normal"/>
    <w:next w:val="Institutionquisigne"/>
    <w:rsid w:val="009B7138"/>
    <w:pPr>
      <w:keepNext/>
      <w:spacing w:after="0"/>
    </w:pPr>
  </w:style>
  <w:style w:type="paragraph" w:customStyle="1" w:styleId="Formuledadoption">
    <w:name w:val="Formule d'adoption"/>
    <w:basedOn w:val="Normal"/>
    <w:next w:val="Titrearticle"/>
    <w:rsid w:val="009B7138"/>
    <w:pPr>
      <w:keepNext/>
    </w:pPr>
  </w:style>
  <w:style w:type="paragraph" w:customStyle="1" w:styleId="Institutionquiagit">
    <w:name w:val="Institution qui agit"/>
    <w:basedOn w:val="Normal"/>
    <w:next w:val="Normal"/>
    <w:rsid w:val="009B7138"/>
    <w:pPr>
      <w:keepNext/>
      <w:spacing w:before="600"/>
    </w:pPr>
  </w:style>
  <w:style w:type="paragraph" w:customStyle="1" w:styleId="Institutionquisigne">
    <w:name w:val="Institution qui signe"/>
    <w:basedOn w:val="Normal"/>
    <w:next w:val="Personnequisigne"/>
    <w:rsid w:val="009B7138"/>
    <w:pPr>
      <w:keepNext/>
      <w:tabs>
        <w:tab w:val="left" w:pos="4252"/>
      </w:tabs>
      <w:spacing w:before="720" w:after="0"/>
    </w:pPr>
    <w:rPr>
      <w:i/>
    </w:rPr>
  </w:style>
  <w:style w:type="paragraph" w:customStyle="1" w:styleId="ManualConsidrant">
    <w:name w:val="Manual Considérant"/>
    <w:basedOn w:val="Normal"/>
    <w:rsid w:val="009B7138"/>
    <w:pPr>
      <w:ind w:left="709" w:hanging="709"/>
    </w:pPr>
  </w:style>
  <w:style w:type="paragraph" w:customStyle="1" w:styleId="Personnequisigne">
    <w:name w:val="Personne qui signe"/>
    <w:basedOn w:val="Normal"/>
    <w:next w:val="Institutionquisigne"/>
    <w:rsid w:val="009B7138"/>
    <w:pPr>
      <w:tabs>
        <w:tab w:val="left" w:pos="4252"/>
      </w:tabs>
      <w:spacing w:before="0" w:after="0"/>
      <w:jc w:val="left"/>
    </w:pPr>
    <w:rPr>
      <w:i/>
    </w:rPr>
  </w:style>
  <w:style w:type="paragraph" w:customStyle="1" w:styleId="Rfrenceinterinstitutionnelle">
    <w:name w:val="Référence interinstitutionnelle"/>
    <w:basedOn w:val="Normal"/>
    <w:next w:val="Statut"/>
    <w:rsid w:val="009B7138"/>
    <w:pPr>
      <w:spacing w:before="0" w:after="0"/>
      <w:ind w:left="5103"/>
      <w:jc w:val="left"/>
    </w:pPr>
  </w:style>
  <w:style w:type="paragraph" w:customStyle="1" w:styleId="Rfrenceinterne">
    <w:name w:val="Référence interne"/>
    <w:basedOn w:val="Normal"/>
    <w:next w:val="Rfrenceinterinstitutionnelle"/>
    <w:rsid w:val="009B7138"/>
    <w:pPr>
      <w:spacing w:before="0" w:after="0"/>
      <w:ind w:left="5103"/>
      <w:jc w:val="left"/>
    </w:pPr>
  </w:style>
  <w:style w:type="paragraph" w:customStyle="1" w:styleId="Statut">
    <w:name w:val="Statut"/>
    <w:basedOn w:val="Normal"/>
    <w:next w:val="Typedudocument"/>
    <w:rsid w:val="009B7138"/>
    <w:pPr>
      <w:spacing w:before="360" w:after="0"/>
      <w:jc w:val="center"/>
    </w:pPr>
  </w:style>
  <w:style w:type="paragraph" w:customStyle="1" w:styleId="Titrearticle">
    <w:name w:val="Titre article"/>
    <w:basedOn w:val="Normal"/>
    <w:next w:val="Normal"/>
    <w:rsid w:val="009B7138"/>
    <w:pPr>
      <w:keepNext/>
      <w:spacing w:before="360"/>
      <w:jc w:val="center"/>
    </w:pPr>
    <w:rPr>
      <w:i/>
    </w:rPr>
  </w:style>
  <w:style w:type="paragraph" w:customStyle="1" w:styleId="Titreobjet">
    <w:name w:val="Titre objet"/>
    <w:basedOn w:val="Normal"/>
    <w:next w:val="IntrtEEE"/>
    <w:rsid w:val="009B7138"/>
    <w:pPr>
      <w:spacing w:before="360" w:after="360"/>
      <w:jc w:val="center"/>
    </w:pPr>
    <w:rPr>
      <w:b/>
    </w:rPr>
  </w:style>
  <w:style w:type="paragraph" w:customStyle="1" w:styleId="Typedudocument">
    <w:name w:val="Type du document"/>
    <w:basedOn w:val="Normal"/>
    <w:next w:val="Titreobjet"/>
    <w:rsid w:val="009B7138"/>
    <w:pPr>
      <w:spacing w:before="360" w:after="0"/>
      <w:jc w:val="center"/>
    </w:pPr>
    <w:rPr>
      <w:b/>
    </w:rPr>
  </w:style>
  <w:style w:type="character" w:customStyle="1" w:styleId="Added">
    <w:name w:val="Added"/>
    <w:basedOn w:val="DefaultParagraphFont"/>
    <w:rsid w:val="009B7138"/>
    <w:rPr>
      <w:b/>
      <w:u w:val="single"/>
      <w:shd w:val="clear" w:color="auto" w:fill="auto"/>
    </w:rPr>
  </w:style>
  <w:style w:type="character" w:customStyle="1" w:styleId="Deleted">
    <w:name w:val="Deleted"/>
    <w:basedOn w:val="DefaultParagraphFont"/>
    <w:rsid w:val="009B7138"/>
    <w:rPr>
      <w:strike/>
      <w:dstrike w:val="0"/>
      <w:shd w:val="clear" w:color="auto" w:fill="auto"/>
    </w:rPr>
  </w:style>
  <w:style w:type="paragraph" w:customStyle="1" w:styleId="Address">
    <w:name w:val="Address"/>
    <w:basedOn w:val="Normal"/>
    <w:next w:val="Normal"/>
    <w:rsid w:val="009B7138"/>
    <w:pPr>
      <w:keepLines/>
      <w:spacing w:line="360" w:lineRule="auto"/>
      <w:ind w:left="3402"/>
      <w:jc w:val="left"/>
    </w:pPr>
  </w:style>
  <w:style w:type="paragraph" w:customStyle="1" w:styleId="Objetexterne">
    <w:name w:val="Objet externe"/>
    <w:basedOn w:val="Normal"/>
    <w:next w:val="Normal"/>
    <w:rsid w:val="009B7138"/>
    <w:rPr>
      <w:i/>
      <w:caps/>
    </w:rPr>
  </w:style>
  <w:style w:type="paragraph" w:customStyle="1" w:styleId="Supertitre">
    <w:name w:val="Supertitre"/>
    <w:basedOn w:val="Normal"/>
    <w:next w:val="Normal"/>
    <w:rsid w:val="009B7138"/>
    <w:pPr>
      <w:spacing w:before="0" w:after="600"/>
      <w:jc w:val="center"/>
    </w:pPr>
    <w:rPr>
      <w:b/>
    </w:rPr>
  </w:style>
  <w:style w:type="paragraph" w:customStyle="1" w:styleId="Languesfaisantfoi">
    <w:name w:val="Langues faisant foi"/>
    <w:basedOn w:val="Normal"/>
    <w:next w:val="Normal"/>
    <w:rsid w:val="009B7138"/>
    <w:pPr>
      <w:spacing w:before="360" w:after="0"/>
      <w:jc w:val="center"/>
    </w:pPr>
  </w:style>
  <w:style w:type="paragraph" w:customStyle="1" w:styleId="Rfrencecroise">
    <w:name w:val="Référence croisée"/>
    <w:basedOn w:val="Normal"/>
    <w:rsid w:val="009B7138"/>
    <w:pPr>
      <w:spacing w:before="0" w:after="0"/>
      <w:jc w:val="center"/>
    </w:pPr>
  </w:style>
  <w:style w:type="paragraph" w:customStyle="1" w:styleId="Fichefinanciretitre">
    <w:name w:val="Fiche financière titre"/>
    <w:basedOn w:val="Normal"/>
    <w:next w:val="Normal"/>
    <w:rsid w:val="009B7138"/>
    <w:pPr>
      <w:jc w:val="center"/>
    </w:pPr>
    <w:rPr>
      <w:b/>
      <w:u w:val="single"/>
    </w:rPr>
  </w:style>
  <w:style w:type="paragraph" w:customStyle="1" w:styleId="DatedadoptionPagedecouverture">
    <w:name w:val="Date d'adoption (Page de couverture)"/>
    <w:basedOn w:val="Datedadoption"/>
    <w:next w:val="TitreobjetPagedecouverture"/>
    <w:rsid w:val="009B7138"/>
  </w:style>
  <w:style w:type="paragraph" w:customStyle="1" w:styleId="RfrenceinterinstitutionnellePagedecouverture">
    <w:name w:val="Référence interinstitutionnelle (Page de couverture)"/>
    <w:basedOn w:val="Rfrenceinterinstitutionnelle"/>
    <w:next w:val="Confidentialit"/>
    <w:rsid w:val="009B7138"/>
  </w:style>
  <w:style w:type="paragraph" w:customStyle="1" w:styleId="StatutPagedecouverture">
    <w:name w:val="Statut (Page de couverture)"/>
    <w:basedOn w:val="Statut"/>
    <w:next w:val="TypedudocumentPagedecouverture"/>
    <w:rsid w:val="009B7138"/>
  </w:style>
  <w:style w:type="paragraph" w:customStyle="1" w:styleId="TitreobjetPagedecouverture">
    <w:name w:val="Titre objet (Page de couverture)"/>
    <w:basedOn w:val="Titreobjet"/>
    <w:next w:val="IntrtEEEPagedecouverture"/>
    <w:rsid w:val="009B7138"/>
  </w:style>
  <w:style w:type="paragraph" w:customStyle="1" w:styleId="TypedudocumentPagedecouverture">
    <w:name w:val="Type du document (Page de couverture)"/>
    <w:basedOn w:val="Typedudocument"/>
    <w:next w:val="TitreobjetPagedecouverture"/>
    <w:rsid w:val="009B7138"/>
  </w:style>
  <w:style w:type="paragraph" w:customStyle="1" w:styleId="Volume">
    <w:name w:val="Volume"/>
    <w:basedOn w:val="Normal"/>
    <w:next w:val="Confidentialit"/>
    <w:rsid w:val="009B7138"/>
    <w:pPr>
      <w:spacing w:before="0" w:after="240"/>
      <w:ind w:left="5103"/>
      <w:jc w:val="left"/>
    </w:pPr>
  </w:style>
  <w:style w:type="paragraph" w:customStyle="1" w:styleId="IntrtEEE">
    <w:name w:val="Intérêt EEE"/>
    <w:basedOn w:val="Languesfaisantfoi"/>
    <w:next w:val="Normal"/>
    <w:rsid w:val="009B7138"/>
    <w:pPr>
      <w:spacing w:after="240"/>
    </w:pPr>
  </w:style>
  <w:style w:type="paragraph" w:customStyle="1" w:styleId="Accompagnant">
    <w:name w:val="Accompagnant"/>
    <w:basedOn w:val="Normal"/>
    <w:next w:val="Typeacteprincipal"/>
    <w:rsid w:val="009B7138"/>
    <w:pPr>
      <w:spacing w:before="0" w:after="240"/>
      <w:jc w:val="center"/>
    </w:pPr>
    <w:rPr>
      <w:b/>
      <w:i/>
    </w:rPr>
  </w:style>
  <w:style w:type="paragraph" w:customStyle="1" w:styleId="Typeacteprincipal">
    <w:name w:val="Type acte principal"/>
    <w:basedOn w:val="Normal"/>
    <w:next w:val="Objetacteprincipal"/>
    <w:rsid w:val="009B7138"/>
    <w:pPr>
      <w:spacing w:before="0" w:after="240"/>
      <w:jc w:val="center"/>
    </w:pPr>
    <w:rPr>
      <w:b/>
    </w:rPr>
  </w:style>
  <w:style w:type="paragraph" w:customStyle="1" w:styleId="Objetacteprincipal">
    <w:name w:val="Objet acte principal"/>
    <w:basedOn w:val="Normal"/>
    <w:next w:val="Titrearticle"/>
    <w:rsid w:val="009B7138"/>
    <w:pPr>
      <w:spacing w:before="0" w:after="360"/>
      <w:jc w:val="center"/>
    </w:pPr>
    <w:rPr>
      <w:b/>
    </w:rPr>
  </w:style>
  <w:style w:type="paragraph" w:customStyle="1" w:styleId="IntrtEEEPagedecouverture">
    <w:name w:val="Intérêt EEE (Page de couverture)"/>
    <w:basedOn w:val="IntrtEEE"/>
    <w:next w:val="Rfrencecroise"/>
    <w:rsid w:val="009B7138"/>
  </w:style>
  <w:style w:type="paragraph" w:customStyle="1" w:styleId="AccompagnantPagedecouverture">
    <w:name w:val="Accompagnant (Page de couverture)"/>
    <w:basedOn w:val="Accompagnant"/>
    <w:next w:val="TypeacteprincipalPagedecouverture"/>
    <w:rsid w:val="009B7138"/>
  </w:style>
  <w:style w:type="paragraph" w:customStyle="1" w:styleId="TypeacteprincipalPagedecouverture">
    <w:name w:val="Type acte principal (Page de couverture)"/>
    <w:basedOn w:val="Typeacteprincipal"/>
    <w:next w:val="ObjetacteprincipalPagedecouverture"/>
    <w:rsid w:val="009B7138"/>
  </w:style>
  <w:style w:type="paragraph" w:customStyle="1" w:styleId="ObjetacteprincipalPagedecouverture">
    <w:name w:val="Objet acte principal (Page de couverture)"/>
    <w:basedOn w:val="Objetacteprincipal"/>
    <w:next w:val="Rfrencecroise"/>
    <w:rsid w:val="009B7138"/>
  </w:style>
  <w:style w:type="paragraph" w:customStyle="1" w:styleId="LanguesfaisantfoiPagedecouverture">
    <w:name w:val="Langues faisant foi (Page de couverture)"/>
    <w:basedOn w:val="Normal"/>
    <w:next w:val="Normal"/>
    <w:rsid w:val="009B7138"/>
    <w:pPr>
      <w:spacing w:before="360" w:after="0"/>
      <w:jc w:val="center"/>
    </w:pPr>
  </w:style>
  <w:style w:type="character" w:customStyle="1" w:styleId="Heading5Char">
    <w:name w:val="Heading 5 Char"/>
    <w:basedOn w:val="DefaultParagraphFont"/>
    <w:link w:val="Heading5"/>
    <w:uiPriority w:val="9"/>
    <w:semiHidden/>
    <w:rsid w:val="007F32D2"/>
    <w:rPr>
      <w:rFonts w:ascii="Times New Roman" w:eastAsiaTheme="majorEastAsia" w:hAnsi="Times New Roman" w:cs="Times New Roman"/>
      <w:sz w:val="24"/>
      <w:lang w:val="es-ES_tradnl"/>
    </w:rPr>
  </w:style>
  <w:style w:type="character" w:customStyle="1" w:styleId="Heading6Char">
    <w:name w:val="Heading 6 Char"/>
    <w:basedOn w:val="DefaultParagraphFont"/>
    <w:link w:val="Heading6"/>
    <w:uiPriority w:val="9"/>
    <w:semiHidden/>
    <w:rsid w:val="007F32D2"/>
    <w:rPr>
      <w:rFonts w:ascii="Times New Roman" w:eastAsiaTheme="majorEastAsia" w:hAnsi="Times New Roman" w:cs="Times New Roman"/>
      <w:iCs/>
      <w:sz w:val="24"/>
      <w:lang w:val="es-ES_tradnl"/>
    </w:rPr>
  </w:style>
  <w:style w:type="character" w:customStyle="1" w:styleId="Heading7Char">
    <w:name w:val="Heading 7 Char"/>
    <w:basedOn w:val="DefaultParagraphFont"/>
    <w:link w:val="Heading7"/>
    <w:uiPriority w:val="9"/>
    <w:semiHidden/>
    <w:rsid w:val="007F32D2"/>
    <w:rPr>
      <w:rFonts w:ascii="Times New Roman" w:eastAsiaTheme="majorEastAsia" w:hAnsi="Times New Roman" w:cs="Times New Roman"/>
      <w:iCs/>
      <w:sz w:val="24"/>
      <w:lang w:val="es-ES_tradnl"/>
    </w:rPr>
  </w:style>
  <w:style w:type="paragraph" w:customStyle="1" w:styleId="ManualHeading5">
    <w:name w:val="Manual Heading 5"/>
    <w:basedOn w:val="Normal"/>
    <w:next w:val="Text2"/>
    <w:rsid w:val="007F32D2"/>
    <w:pPr>
      <w:keepNext/>
      <w:tabs>
        <w:tab w:val="left" w:pos="1417"/>
      </w:tabs>
      <w:ind w:left="1417" w:hanging="1417"/>
      <w:outlineLvl w:val="4"/>
    </w:pPr>
  </w:style>
  <w:style w:type="paragraph" w:customStyle="1" w:styleId="ManualHeading6">
    <w:name w:val="Manual Heading 6"/>
    <w:basedOn w:val="Normal"/>
    <w:next w:val="Text2"/>
    <w:rsid w:val="007F32D2"/>
    <w:pPr>
      <w:keepNext/>
      <w:tabs>
        <w:tab w:val="left" w:pos="1417"/>
      </w:tabs>
      <w:ind w:left="1417" w:hanging="1417"/>
      <w:outlineLvl w:val="5"/>
    </w:pPr>
  </w:style>
  <w:style w:type="paragraph" w:customStyle="1" w:styleId="ManualHeading7">
    <w:name w:val="Manual Heading 7"/>
    <w:basedOn w:val="Normal"/>
    <w:next w:val="Text2"/>
    <w:rsid w:val="007F32D2"/>
    <w:pPr>
      <w:keepNext/>
      <w:tabs>
        <w:tab w:val="left" w:pos="1417"/>
      </w:tabs>
      <w:ind w:left="1417" w:hanging="1417"/>
      <w:outlineLvl w:val="6"/>
    </w:pPr>
  </w:style>
  <w:style w:type="paragraph" w:customStyle="1" w:styleId="Text5">
    <w:name w:val="Text 5"/>
    <w:basedOn w:val="Normal"/>
    <w:rsid w:val="007F32D2"/>
    <w:pPr>
      <w:ind w:left="3118"/>
    </w:pPr>
  </w:style>
  <w:style w:type="paragraph" w:customStyle="1" w:styleId="Text6">
    <w:name w:val="Text 6"/>
    <w:basedOn w:val="Normal"/>
    <w:rsid w:val="007F32D2"/>
    <w:pPr>
      <w:ind w:left="3685"/>
    </w:pPr>
  </w:style>
  <w:style w:type="paragraph" w:customStyle="1" w:styleId="Point5">
    <w:name w:val="Point 5"/>
    <w:basedOn w:val="Normal"/>
    <w:rsid w:val="007F32D2"/>
    <w:pPr>
      <w:ind w:left="3685" w:hanging="567"/>
    </w:pPr>
  </w:style>
  <w:style w:type="paragraph" w:customStyle="1" w:styleId="Tiret5">
    <w:name w:val="Tiret 5"/>
    <w:basedOn w:val="Point5"/>
    <w:rsid w:val="007F32D2"/>
    <w:pPr>
      <w:numPr>
        <w:numId w:val="45"/>
      </w:numPr>
    </w:pPr>
  </w:style>
  <w:style w:type="paragraph" w:customStyle="1" w:styleId="NumPar5">
    <w:name w:val="NumPar 5"/>
    <w:basedOn w:val="Normal"/>
    <w:next w:val="Text2"/>
    <w:rsid w:val="007F32D2"/>
    <w:pPr>
      <w:numPr>
        <w:ilvl w:val="4"/>
        <w:numId w:val="48"/>
      </w:numPr>
    </w:pPr>
  </w:style>
  <w:style w:type="paragraph" w:customStyle="1" w:styleId="NumPar6">
    <w:name w:val="NumPar 6"/>
    <w:basedOn w:val="Normal"/>
    <w:next w:val="Text2"/>
    <w:rsid w:val="007F32D2"/>
    <w:pPr>
      <w:numPr>
        <w:ilvl w:val="5"/>
        <w:numId w:val="48"/>
      </w:numPr>
    </w:pPr>
  </w:style>
  <w:style w:type="paragraph" w:customStyle="1" w:styleId="NumPar7">
    <w:name w:val="NumPar 7"/>
    <w:basedOn w:val="Normal"/>
    <w:next w:val="Text2"/>
    <w:rsid w:val="007F32D2"/>
    <w:pPr>
      <w:numPr>
        <w:ilvl w:val="6"/>
        <w:numId w:val="48"/>
      </w:numPr>
    </w:pPr>
  </w:style>
  <w:style w:type="paragraph" w:customStyle="1" w:styleId="ManualNumPar5">
    <w:name w:val="Manual NumPar 5"/>
    <w:basedOn w:val="Normal"/>
    <w:next w:val="Text2"/>
    <w:rsid w:val="007F32D2"/>
    <w:pPr>
      <w:ind w:left="1417" w:hanging="1417"/>
    </w:pPr>
  </w:style>
  <w:style w:type="paragraph" w:customStyle="1" w:styleId="ManualNumPar6">
    <w:name w:val="Manual NumPar 6"/>
    <w:basedOn w:val="Normal"/>
    <w:next w:val="Text2"/>
    <w:rsid w:val="007F32D2"/>
    <w:pPr>
      <w:ind w:left="1417" w:hanging="1417"/>
    </w:pPr>
  </w:style>
  <w:style w:type="paragraph" w:customStyle="1" w:styleId="ManualNumPar7">
    <w:name w:val="Manual NumPar 7"/>
    <w:basedOn w:val="Normal"/>
    <w:next w:val="Text2"/>
    <w:rsid w:val="007F32D2"/>
    <w:pPr>
      <w:ind w:left="1417" w:hanging="141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272257">
      <w:bodyDiv w:val="1"/>
      <w:marLeft w:val="0"/>
      <w:marRight w:val="0"/>
      <w:marTop w:val="0"/>
      <w:marBottom w:val="0"/>
      <w:divBdr>
        <w:top w:val="none" w:sz="0" w:space="0" w:color="auto"/>
        <w:left w:val="none" w:sz="0" w:space="0" w:color="auto"/>
        <w:bottom w:val="none" w:sz="0" w:space="0" w:color="auto"/>
        <w:right w:val="none" w:sz="0" w:space="0" w:color="auto"/>
      </w:divBdr>
    </w:div>
    <w:div w:id="1054431560">
      <w:bodyDiv w:val="1"/>
      <w:marLeft w:val="0"/>
      <w:marRight w:val="0"/>
      <w:marTop w:val="0"/>
      <w:marBottom w:val="0"/>
      <w:divBdr>
        <w:top w:val="none" w:sz="0" w:space="0" w:color="auto"/>
        <w:left w:val="none" w:sz="0" w:space="0" w:color="auto"/>
        <w:bottom w:val="none" w:sz="0" w:space="0" w:color="auto"/>
        <w:right w:val="none" w:sz="0" w:space="0" w:color="auto"/>
      </w:divBdr>
    </w:div>
    <w:div w:id="1101141653">
      <w:bodyDiv w:val="1"/>
      <w:marLeft w:val="0"/>
      <w:marRight w:val="0"/>
      <w:marTop w:val="0"/>
      <w:marBottom w:val="0"/>
      <w:divBdr>
        <w:top w:val="none" w:sz="0" w:space="0" w:color="auto"/>
        <w:left w:val="none" w:sz="0" w:space="0" w:color="auto"/>
        <w:bottom w:val="none" w:sz="0" w:space="0" w:color="auto"/>
        <w:right w:val="none" w:sz="0" w:space="0" w:color="auto"/>
      </w:divBdr>
    </w:div>
    <w:div w:id="1218318712">
      <w:bodyDiv w:val="1"/>
      <w:marLeft w:val="0"/>
      <w:marRight w:val="0"/>
      <w:marTop w:val="0"/>
      <w:marBottom w:val="0"/>
      <w:divBdr>
        <w:top w:val="none" w:sz="0" w:space="0" w:color="auto"/>
        <w:left w:val="none" w:sz="0" w:space="0" w:color="auto"/>
        <w:bottom w:val="none" w:sz="0" w:space="0" w:color="auto"/>
        <w:right w:val="none" w:sz="0" w:space="0" w:color="auto"/>
      </w:divBdr>
    </w:div>
    <w:div w:id="1579628653">
      <w:bodyDiv w:val="1"/>
      <w:marLeft w:val="0"/>
      <w:marRight w:val="0"/>
      <w:marTop w:val="0"/>
      <w:marBottom w:val="0"/>
      <w:divBdr>
        <w:top w:val="none" w:sz="0" w:space="0" w:color="auto"/>
        <w:left w:val="none" w:sz="0" w:space="0" w:color="auto"/>
        <w:bottom w:val="none" w:sz="0" w:space="0" w:color="auto"/>
        <w:right w:val="none" w:sz="0" w:space="0" w:color="auto"/>
      </w:divBdr>
    </w:div>
    <w:div w:id="1879001206">
      <w:bodyDiv w:val="1"/>
      <w:marLeft w:val="0"/>
      <w:marRight w:val="0"/>
      <w:marTop w:val="0"/>
      <w:marBottom w:val="0"/>
      <w:divBdr>
        <w:top w:val="none" w:sz="0" w:space="0" w:color="auto"/>
        <w:left w:val="none" w:sz="0" w:space="0" w:color="auto"/>
        <w:bottom w:val="none" w:sz="0" w:space="0" w:color="auto"/>
        <w:right w:val="none" w:sz="0" w:space="0" w:color="auto"/>
      </w:divBdr>
    </w:div>
    <w:div w:id="18921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4.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www.ecdc.europa.eu/sites/default/files/documents/RRA-19th%20update-27-jan-2022.pdf" TargetMode="External"/><Relationship Id="rId13" Type="http://schemas.openxmlformats.org/officeDocument/2006/relationships/hyperlink" Target="https://ec.europa.eu/health/system/files/2022-01/covid-19_rat_common-list_en.pdf" TargetMode="External"/><Relationship Id="rId3" Type="http://schemas.openxmlformats.org/officeDocument/2006/relationships/hyperlink" Target="https://www.bruegel.org/2022/01/the-effect-of-covid-certificates-on-vaccine-uptake-public-health-and-the-economy/" TargetMode="External"/><Relationship Id="rId7" Type="http://schemas.openxmlformats.org/officeDocument/2006/relationships/hyperlink" Target="https://vaccinetracker.ecdc.europa.eu/public/extensions/COVID-19/vaccine-tracker.html" TargetMode="External"/><Relationship Id="rId12" Type="http://schemas.openxmlformats.org/officeDocument/2006/relationships/hyperlink" Target="https://ec.europa.eu/health/health-security-and-infectious-diseases/crisis-management/covid-19-diagnostic-tests_en" TargetMode="External"/><Relationship Id="rId17" Type="http://schemas.openxmlformats.org/officeDocument/2006/relationships/hyperlink" Target="https://eur-lex.europa.eu/legal-content/EN/TXT/?uri=CELEX:52021PC0130" TargetMode="External"/><Relationship Id="rId2" Type="http://schemas.openxmlformats.org/officeDocument/2006/relationships/hyperlink" Target="https://www.medrxiv.org/content/10.1101/2021.10.21.21265355v2" TargetMode="External"/><Relationship Id="rId16" Type="http://schemas.openxmlformats.org/officeDocument/2006/relationships/hyperlink" Target="http://www.cc.cec/budg/man/budgmanag/budgmanag_en.html." TargetMode="External"/><Relationship Id="rId1" Type="http://schemas.openxmlformats.org/officeDocument/2006/relationships/hyperlink" Target="https://www.europarl.europa.eu/at-your-service/files/be-heard/eurobarometer/2021/soteu-flash-survey/soteu-2021-report-en.pdf" TargetMode="External"/><Relationship Id="rId6" Type="http://schemas.openxmlformats.org/officeDocument/2006/relationships/hyperlink" Target="https://www.iata.org/en/pressroom/2021-releases/2021-08-26-01/" TargetMode="External"/><Relationship Id="rId11" Type="http://schemas.openxmlformats.org/officeDocument/2006/relationships/hyperlink" Target="https://www.ecdc.europa.eu/sites/default/files/documents/RRA-19-update-27-jan-2022.pdf" TargetMode="External"/><Relationship Id="rId5" Type="http://schemas.openxmlformats.org/officeDocument/2006/relationships/hyperlink" Target="https://wttc.org/News-Article/WTTC-identifies-digital-solutions-for-governments-worldwide-to-significantly-restore-international-mobility" TargetMode="External"/><Relationship Id="rId15" Type="http://schemas.openxmlformats.org/officeDocument/2006/relationships/hyperlink" Target="https://www.ecdc.europa.eu/sites/default/files/documents/RRA-19th%20update-27-jan-2022.pdf" TargetMode="External"/><Relationship Id="rId10" Type="http://schemas.openxmlformats.org/officeDocument/2006/relationships/hyperlink" Target="https://ec.europa.eu/health/system/files/2022-01/covid-19_rat_common-list_en.pdf" TargetMode="External"/><Relationship Id="rId4" Type="http://schemas.openxmlformats.org/officeDocument/2006/relationships/hyperlink" Target="https://ec.europa.eu/info/live-work-travel-eu/coronavirus-response/safe-covid-19-vaccines-europeans/eu-digital-covid-certificate_es" TargetMode="External"/><Relationship Id="rId9" Type="http://schemas.openxmlformats.org/officeDocument/2006/relationships/hyperlink" Target="https://ec.europa.eu/health/health-security-and-infectious-diseases/crisis-management/covid-19-diagnostic-tests_es" TargetMode="External"/><Relationship Id="rId14" Type="http://schemas.openxmlformats.org/officeDocument/2006/relationships/hyperlink" Target="https://vaccinetracker.ecdc.europa.eu/public/extensions/COVID-19/vaccine-tracker.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91F492E5-8A0B-4874-8246-38E803E09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3</TotalTime>
  <Pages>33</Pages>
  <Words>11530</Words>
  <Characters>62612</Characters>
  <Application>Microsoft Office Word</Application>
  <DocSecurity>0</DocSecurity>
  <Lines>1565</Lines>
  <Paragraphs>623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35</cp:revision>
  <dcterms:created xsi:type="dcterms:W3CDTF">2022-02-11T13:37:00Z</dcterms:created>
  <dcterms:modified xsi:type="dcterms:W3CDTF">2022-02-11T15:55:00Z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7.0.1, Build 20200226</vt:lpwstr>
  </property>
  <property fmtid="{D5CDD505-2E9C-101B-9397-08002B2CF9AE}" pid="5" name="Created using">
    <vt:lpwstr>LW 7.0.1, Build 20200226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DQCStatus">
    <vt:lpwstr>Green (DQC version 03)</vt:lpwstr>
  </property>
  <property name="OP_sanitized" fmtid="{D5CDD505-2E9C-101B-9397-08002B2CF9AE}" pid="11">
    <vt:lpwstr>True</vt:lpwstr>
  </property>
</Properties>
</file>