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10A6B4" w14:textId="083B6478" w:rsidR="00593F6B" w:rsidRDefault="00D30906" w:rsidP="00D30906">
      <w:pPr>
        <w:pStyle w:val="Pagedecouverture"/>
        <w:rPr>
          <w:noProof/>
        </w:rPr>
      </w:pPr>
      <w:bookmarkStart w:id="0" w:name="LW_BM_COVERPAGE"/>
      <w:r>
        <w:rPr>
          <w:noProof/>
        </w:rPr>
        <w:pict w14:anchorId="5B33A5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alt="E7A85BBD-51F8-41D8-9CD7-269636015128" style="width:455.25pt;height:324pt">
            <v:imagedata r:id="rId8" o:title=""/>
          </v:shape>
        </w:pict>
      </w:r>
    </w:p>
    <w:bookmarkEnd w:id="0"/>
    <w:p w14:paraId="6DD839BB" w14:textId="77777777" w:rsidR="00AA655D" w:rsidRDefault="00AA655D" w:rsidP="00AA655D">
      <w:pPr>
        <w:rPr>
          <w:noProof/>
        </w:rPr>
        <w:sectPr w:rsidR="00AA655D" w:rsidSect="00D30906">
          <w:headerReference w:type="even" r:id="rId9"/>
          <w:headerReference w:type="default" r:id="rId10"/>
          <w:footerReference w:type="even" r:id="rId11"/>
          <w:footerReference w:type="default" r:id="rId12"/>
          <w:headerReference w:type="first" r:id="rId13"/>
          <w:footerReference w:type="first" r:id="rId14"/>
          <w:pgSz w:w="11906" w:h="16838"/>
          <w:pgMar w:top="1134" w:right="1417" w:bottom="1134" w:left="1417" w:header="709" w:footer="709" w:gutter="0"/>
          <w:pgNumType w:start="0"/>
          <w:cols w:space="720"/>
          <w:docGrid w:linePitch="360"/>
        </w:sectPr>
      </w:pPr>
    </w:p>
    <w:p w14:paraId="794B7281" w14:textId="4E3E9D72" w:rsidR="00E35577" w:rsidRPr="00E35577" w:rsidRDefault="00E35577" w:rsidP="00E35577">
      <w:pPr>
        <w:pStyle w:val="Typedudocument"/>
        <w:rPr>
          <w:noProof/>
        </w:rPr>
      </w:pPr>
      <w:bookmarkStart w:id="1" w:name="_GoBack"/>
      <w:bookmarkEnd w:id="1"/>
      <w:r w:rsidRPr="00E35577">
        <w:rPr>
          <w:noProof/>
        </w:rPr>
        <w:lastRenderedPageBreak/>
        <w:t>INFORME DE LA COMISIÓN AL PARLAMENTO EUROPEO Y AL CONSEJO</w:t>
      </w:r>
    </w:p>
    <w:p w14:paraId="0B746F9D" w14:textId="17AEAC3F" w:rsidR="00E35577" w:rsidRPr="00E35577" w:rsidRDefault="00E35577" w:rsidP="00E35577">
      <w:pPr>
        <w:pStyle w:val="Titreobjet"/>
        <w:rPr>
          <w:noProof/>
        </w:rPr>
      </w:pPr>
      <w:r w:rsidRPr="00E35577">
        <w:rPr>
          <w:noProof/>
        </w:rPr>
        <w:t>sobre la aplicación del Reglamento (UE) 2021/821, por el que se establece un régimen de la Unión de control de las exportaciones, el corretaje, la asistencia técnica, el tránsito y la transferencia de productos de doble uso</w:t>
      </w:r>
    </w:p>
    <w:p w14:paraId="337A4BEE" w14:textId="2A835584" w:rsidR="00AA655D" w:rsidRDefault="00AA655D" w:rsidP="00AA655D">
      <w:pPr>
        <w:keepNext/>
        <w:tabs>
          <w:tab w:val="left" w:pos="850"/>
        </w:tabs>
        <w:spacing w:after="120"/>
        <w:ind w:left="850" w:hanging="850"/>
        <w:jc w:val="both"/>
        <w:outlineLvl w:val="0"/>
        <w:rPr>
          <w:rFonts w:eastAsia="Times New Roman"/>
          <w:b/>
          <w:smallCaps/>
          <w:noProof/>
        </w:rPr>
      </w:pPr>
      <w:r>
        <w:rPr>
          <w:b/>
          <w:smallCaps/>
          <w:noProof/>
        </w:rPr>
        <w:t>1.</w:t>
      </w:r>
      <w:r>
        <w:rPr>
          <w:b/>
          <w:smallCaps/>
          <w:noProof/>
        </w:rPr>
        <w:tab/>
        <w:t>Introducción</w:t>
      </w:r>
    </w:p>
    <w:p w14:paraId="75BFB06A" w14:textId="7361D179" w:rsidR="00566F87" w:rsidRDefault="00AA655D" w:rsidP="001322C7">
      <w:pPr>
        <w:autoSpaceDE w:val="0"/>
        <w:autoSpaceDN w:val="0"/>
        <w:adjustRightInd w:val="0"/>
        <w:spacing w:before="200" w:after="200"/>
        <w:jc w:val="both"/>
        <w:rPr>
          <w:rFonts w:eastAsia="Times New Roman"/>
          <w:noProof/>
        </w:rPr>
      </w:pPr>
      <w:r>
        <w:rPr>
          <w:noProof/>
        </w:rPr>
        <w:t>El presente informe proporciona información sobre la aplicación de los controles de las exportaciones de productos de doble uso de la UE en 2021 y ofrece datos agregados sobre el control de las exportaciones correspondientes a 2020. Fue elaborado por la Comisión con aportaciones de los Estados miembros</w:t>
      </w:r>
      <w:r>
        <w:rPr>
          <w:rFonts w:eastAsia="Times New Roman"/>
          <w:noProof/>
          <w:vertAlign w:val="superscript"/>
          <w:lang w:eastAsia="en-GB"/>
        </w:rPr>
        <w:footnoteReference w:id="1"/>
      </w:r>
      <w:r>
        <w:rPr>
          <w:noProof/>
        </w:rPr>
        <w:t xml:space="preserve"> en el Grupo de coordinación sobre productos de doble uso (Grupo CPDU). En 2021 se adoptó un nuevo Reglamento sobre el control de las exportaciones, que marca un hito importante en el desarrollo de la política de control de las exportaciones de la UE</w:t>
      </w:r>
      <w:r w:rsidR="005C3629">
        <w:rPr>
          <w:rStyle w:val="FootnoteReference"/>
          <w:rFonts w:eastAsia="Times New Roman"/>
          <w:noProof/>
          <w:lang w:eastAsia="en-GB"/>
        </w:rPr>
        <w:footnoteReference w:id="2"/>
      </w:r>
      <w:r>
        <w:rPr>
          <w:noProof/>
        </w:rPr>
        <w:t>.</w:t>
      </w:r>
    </w:p>
    <w:p w14:paraId="55DFD33C" w14:textId="77777777" w:rsidR="00672FC3" w:rsidRDefault="00B823D9" w:rsidP="00AA655D">
      <w:pPr>
        <w:spacing w:before="100" w:beforeAutospacing="1" w:after="100" w:afterAutospacing="1"/>
        <w:jc w:val="both"/>
        <w:rPr>
          <w:rFonts w:eastAsia="Times New Roman"/>
          <w:noProof/>
        </w:rPr>
      </w:pPr>
      <w:r>
        <w:rPr>
          <w:noProof/>
        </w:rPr>
        <w:t xml:space="preserve">El presente informe se aprueba junto con el informe anual sobre el control de las inversiones extranjeras directas («IED»), ya que el control de las exportaciones y el control de las IED proporcionan controles estratégicos del comercio y la inversión para garantizar la seguridad en la Unión Europea. </w:t>
      </w:r>
    </w:p>
    <w:p w14:paraId="06B7810A" w14:textId="3CE1C9ED" w:rsidR="00DE7589" w:rsidRPr="00971BC1" w:rsidRDefault="00DE7589" w:rsidP="00AA655D">
      <w:pPr>
        <w:spacing w:before="100" w:beforeAutospacing="1" w:after="100" w:afterAutospacing="1"/>
        <w:jc w:val="both"/>
        <w:rPr>
          <w:rFonts w:eastAsia="Times New Roman"/>
          <w:noProof/>
        </w:rPr>
      </w:pPr>
      <w:r>
        <w:rPr>
          <w:noProof/>
        </w:rPr>
        <w:t xml:space="preserve">El informe abarca las actividades de 2021 y, por lo tanto, no cubre aspectos de los controles de las exportaciones relacionados con la guerra de agresión de Rusia en Ucrania ni las medidas adoptadas en forma de restricciones a la exportación en respuesta a dicha guerra. Estos acontecimientos han situado en primer plano la cuestión del acceso ruso y bielorruso a las tecnologías de doble uso, aunque en el contexto de la aplicación de sanciones, incluidas las prohibiciones y restricciones a la exportación, por parte de la Unión. </w:t>
      </w:r>
    </w:p>
    <w:p w14:paraId="48DE00BF" w14:textId="77777777" w:rsidR="00AA655D" w:rsidRDefault="00AA655D" w:rsidP="00AA655D">
      <w:pPr>
        <w:keepNext/>
        <w:tabs>
          <w:tab w:val="left" w:pos="850"/>
        </w:tabs>
        <w:spacing w:after="120"/>
        <w:ind w:left="850" w:hanging="850"/>
        <w:jc w:val="both"/>
        <w:outlineLvl w:val="0"/>
        <w:rPr>
          <w:rFonts w:eastAsia="Times New Roman"/>
          <w:b/>
          <w:smallCaps/>
          <w:noProof/>
        </w:rPr>
      </w:pPr>
      <w:bookmarkStart w:id="2" w:name="_Toc368065771"/>
      <w:r>
        <w:rPr>
          <w:b/>
          <w:smallCaps/>
          <w:noProof/>
        </w:rPr>
        <w:t>2.</w:t>
      </w:r>
      <w:r>
        <w:rPr>
          <w:b/>
          <w:smallCaps/>
          <w:noProof/>
        </w:rPr>
        <w:tab/>
        <w:t>Evolución del marco normativo y reglamentario</w:t>
      </w:r>
      <w:bookmarkEnd w:id="2"/>
    </w:p>
    <w:p w14:paraId="07CF8E5C" w14:textId="77777777" w:rsidR="00AA655D" w:rsidRDefault="00AA655D" w:rsidP="00AA655D">
      <w:pPr>
        <w:keepNext/>
        <w:tabs>
          <w:tab w:val="left" w:pos="850"/>
        </w:tabs>
        <w:spacing w:after="120"/>
        <w:ind w:left="850" w:hanging="850"/>
        <w:jc w:val="both"/>
        <w:outlineLvl w:val="1"/>
        <w:rPr>
          <w:rFonts w:eastAsia="Times New Roman"/>
          <w:b/>
          <w:noProof/>
        </w:rPr>
      </w:pPr>
      <w:bookmarkStart w:id="3" w:name="_Toc368065772"/>
      <w:r>
        <w:rPr>
          <w:b/>
          <w:noProof/>
        </w:rPr>
        <w:t>2.1.</w:t>
      </w:r>
      <w:r>
        <w:rPr>
          <w:b/>
          <w:noProof/>
        </w:rPr>
        <w:tab/>
        <w:t xml:space="preserve">Política de control de las exportaciones </w:t>
      </w:r>
    </w:p>
    <w:p w14:paraId="40951346" w14:textId="77777777" w:rsidR="00FC2A23" w:rsidRDefault="00FC2A23" w:rsidP="00ED213C">
      <w:pPr>
        <w:pStyle w:val="Briefingtext"/>
        <w:rPr>
          <w:rFonts w:ascii="Times New Roman" w:hAnsi="Times New Roman" w:cs="Times New Roman"/>
          <w:noProof/>
          <w:sz w:val="24"/>
        </w:rPr>
      </w:pPr>
      <w:r>
        <w:rPr>
          <w:rFonts w:ascii="Times New Roman" w:hAnsi="Times New Roman"/>
          <w:noProof/>
          <w:sz w:val="24"/>
        </w:rPr>
        <w:t>2.1.1.</w:t>
      </w:r>
      <w:r>
        <w:rPr>
          <w:rFonts w:ascii="Times New Roman" w:hAnsi="Times New Roman"/>
          <w:noProof/>
          <w:sz w:val="24"/>
        </w:rPr>
        <w:tab/>
        <w:t>Modernización de los controles de las exportaciones de la UE: nuevo Reglamento sobre el control de las exportaciones</w:t>
      </w:r>
    </w:p>
    <w:p w14:paraId="32113295" w14:textId="1ECE91B2" w:rsidR="00D94BA7" w:rsidRPr="00ED213C" w:rsidRDefault="00234D91" w:rsidP="00ED213C">
      <w:pPr>
        <w:pStyle w:val="Briefingtext"/>
        <w:rPr>
          <w:rFonts w:ascii="Times New Roman" w:eastAsiaTheme="minorHAnsi" w:hAnsi="Times New Roman" w:cs="Times New Roman"/>
          <w:noProof/>
          <w:sz w:val="24"/>
        </w:rPr>
      </w:pPr>
      <w:r>
        <w:rPr>
          <w:rFonts w:ascii="Times New Roman" w:hAnsi="Times New Roman"/>
          <w:noProof/>
          <w:sz w:val="24"/>
        </w:rPr>
        <w:t>Tras la adopción de un nuevo Reglamento sobre el control de las exportaciones el 19 de mayo de 2021 y su entrada en vigor el 9 de septiembre de 2021, la Comisión y los Estados miembros han iniciado su aplicación de manera eficaz</w:t>
      </w:r>
      <w:r w:rsidR="0003416D">
        <w:rPr>
          <w:rStyle w:val="FootnoteReference"/>
          <w:rFonts w:ascii="Times New Roman" w:hAnsi="Times New Roman" w:cs="Times New Roman"/>
          <w:noProof/>
          <w:sz w:val="24"/>
          <w:lang w:eastAsia="en-GB"/>
        </w:rPr>
        <w:footnoteReference w:id="3"/>
      </w:r>
      <w:r>
        <w:rPr>
          <w:rFonts w:ascii="Times New Roman" w:hAnsi="Times New Roman"/>
          <w:noProof/>
          <w:sz w:val="24"/>
        </w:rPr>
        <w:t xml:space="preserve"> en una serie de nuevos ámbitos, como la transparencia, el cumplimiento y el desarrollo de capacidades. El Grupo CPDU desempeñó un papel clave, como se describe en el capítulo 3, y amplió la «infraestructura institucional» de control de las exportaciones de la UE mediante la creación de una serie de grupos de expertos para desarrollar nuevas políticas, directrices, procedimientos, etc. En el anexo del presente informe se establecen las distintas líneas de trabajo y los plazos indicativos correspondientes.</w:t>
      </w:r>
    </w:p>
    <w:p w14:paraId="58CE42E9" w14:textId="77777777" w:rsidR="00FC2A23" w:rsidRDefault="00FC2A23" w:rsidP="00AA655D">
      <w:pPr>
        <w:adjustRightInd w:val="0"/>
        <w:jc w:val="both"/>
        <w:rPr>
          <w:rFonts w:eastAsia="Calibri"/>
          <w:noProof/>
        </w:rPr>
      </w:pPr>
      <w:r>
        <w:rPr>
          <w:noProof/>
        </w:rPr>
        <w:t>2.1.2</w:t>
      </w:r>
      <w:r>
        <w:rPr>
          <w:noProof/>
        </w:rPr>
        <w:tab/>
        <w:t>Consultas y divulgación</w:t>
      </w:r>
    </w:p>
    <w:p w14:paraId="7BE9DB1A" w14:textId="77777777" w:rsidR="00FC2A23" w:rsidRDefault="00FC2A23" w:rsidP="00AA655D">
      <w:pPr>
        <w:adjustRightInd w:val="0"/>
        <w:jc w:val="both"/>
        <w:rPr>
          <w:rFonts w:eastAsia="Calibri"/>
          <w:noProof/>
        </w:rPr>
      </w:pPr>
    </w:p>
    <w:p w14:paraId="55877B51" w14:textId="77777777" w:rsidR="00F840E8" w:rsidRDefault="00AE4F8A" w:rsidP="00F840E8">
      <w:pPr>
        <w:adjustRightInd w:val="0"/>
        <w:jc w:val="both"/>
        <w:rPr>
          <w:rFonts w:eastAsia="Calibri"/>
          <w:noProof/>
        </w:rPr>
      </w:pPr>
      <w:r>
        <w:rPr>
          <w:noProof/>
        </w:rPr>
        <w:t>En 2021, la Comisión llevó a cabo una serie de consultas específicas con partes interesadas de la sociedad civil y la industria</w:t>
      </w:r>
      <w:r w:rsidR="00FC2A23">
        <w:rPr>
          <w:rStyle w:val="FootnoteReference"/>
          <w:rFonts w:eastAsia="Calibri"/>
          <w:noProof/>
        </w:rPr>
        <w:footnoteReference w:id="4"/>
      </w:r>
      <w:r>
        <w:rPr>
          <w:noProof/>
        </w:rPr>
        <w:t>, entre otras cosas, sobre las prioridades del recién creado Consejo UE-EE. UU. de Comercio y Tecnología («TTC», por sus siglas en inglés) (véase la sección 2.1.3). La Comisión organizó también, junto con la Presidencia eslovena del Consejo de la UE, el Foro anual sobre el Control de las Exportaciones el 8 de diciembre de 2021, que brindó la oportunidad de intercambiar puntos de vista sobre la aplicación de los controles de las exportaciones de la UE y el régimen modernizado de control de las exportaciones de la UE con más de ochocientas partes interesadas de la industria y la sociedad civil</w:t>
      </w:r>
      <w:r w:rsidR="00F840E8">
        <w:rPr>
          <w:rStyle w:val="FootnoteReference"/>
          <w:rFonts w:eastAsia="Calibri"/>
          <w:noProof/>
        </w:rPr>
        <w:footnoteReference w:id="5"/>
      </w:r>
      <w:r>
        <w:rPr>
          <w:noProof/>
        </w:rPr>
        <w:t xml:space="preserve">. </w:t>
      </w:r>
    </w:p>
    <w:p w14:paraId="4992AA77" w14:textId="77777777" w:rsidR="003B2BCC" w:rsidRPr="00F840E8" w:rsidRDefault="003B2BCC" w:rsidP="00F840E8">
      <w:pPr>
        <w:adjustRightInd w:val="0"/>
        <w:jc w:val="both"/>
        <w:rPr>
          <w:rFonts w:eastAsia="Calibri"/>
          <w:noProof/>
        </w:rPr>
      </w:pPr>
    </w:p>
    <w:p w14:paraId="1AA2817B" w14:textId="665ACBF2" w:rsidR="00BA7E94" w:rsidRDefault="00C52F45" w:rsidP="00AE4F8A">
      <w:pPr>
        <w:keepNext/>
        <w:adjustRightInd w:val="0"/>
        <w:jc w:val="both"/>
        <w:rPr>
          <w:rFonts w:eastAsia="Calibri"/>
          <w:noProof/>
        </w:rPr>
      </w:pPr>
      <w:r>
        <w:rPr>
          <w:noProof/>
        </w:rPr>
        <w:t>2.1.3</w:t>
      </w:r>
      <w:r>
        <w:rPr>
          <w:noProof/>
        </w:rPr>
        <w:tab/>
        <w:t xml:space="preserve">Cooperación con terceros países </w:t>
      </w:r>
    </w:p>
    <w:p w14:paraId="674E14E3" w14:textId="77777777" w:rsidR="006B5489" w:rsidRDefault="006B5489" w:rsidP="00AA655D">
      <w:pPr>
        <w:adjustRightInd w:val="0"/>
        <w:jc w:val="both"/>
        <w:rPr>
          <w:rFonts w:eastAsia="Calibri"/>
          <w:noProof/>
        </w:rPr>
      </w:pPr>
    </w:p>
    <w:p w14:paraId="39843410" w14:textId="43F96FB0" w:rsidR="00D00286" w:rsidRDefault="00AD489D" w:rsidP="00611E09">
      <w:pPr>
        <w:adjustRightInd w:val="0"/>
        <w:jc w:val="both"/>
        <w:rPr>
          <w:rFonts w:eastAsia="Calibri"/>
          <w:noProof/>
        </w:rPr>
      </w:pPr>
      <w:r>
        <w:rPr>
          <w:noProof/>
        </w:rPr>
        <w:t>En junio de 2021, la UE y los Estados Unidos crearon el Consejo de Comercio y Tecnología, que se reunió por primera vez en Pittsburgh el 29 de septiembre de 2021 y llegó a un acuerdo sobre una ambiciosa declaración conjunta, incluida la cooperación en materia de control de las exportaciones</w:t>
      </w:r>
      <w:r w:rsidR="00625D02">
        <w:rPr>
          <w:rStyle w:val="FootnoteReference"/>
          <w:rFonts w:eastAsia="Calibri"/>
          <w:noProof/>
        </w:rPr>
        <w:footnoteReference w:id="6"/>
      </w:r>
      <w:r>
        <w:rPr>
          <w:noProof/>
        </w:rPr>
        <w:t xml:space="preserve">. Uno de los diez grupos de trabajo está dedicado a los controles de las exportaciones, el intercambio de información y el trabajo sobre temas como las novedades legislativas y reglamentarias, las evaluaciones de riesgos y las buenas prácticas de concesión de licencias, así como sobre enfoques para el cumplimiento y la aplicación de la normativa por parte de la industria. Además, este grupo de trabajo tiene por objeto promover enfoques convergentes de control de las tecnologías de doble uso sensibles y llevar a cabo un acercamiento conjunto de la industria sobre los controles de las exportaciones de productos de doble uso. </w:t>
      </w:r>
    </w:p>
    <w:p w14:paraId="1FCE1D5C" w14:textId="77777777" w:rsidR="00D00286" w:rsidRDefault="00D00286" w:rsidP="00611E09">
      <w:pPr>
        <w:adjustRightInd w:val="0"/>
        <w:jc w:val="both"/>
        <w:rPr>
          <w:rFonts w:eastAsia="Calibri"/>
          <w:noProof/>
        </w:rPr>
      </w:pPr>
    </w:p>
    <w:p w14:paraId="41491A34" w14:textId="77777777" w:rsidR="003F48E9" w:rsidRDefault="00D00286" w:rsidP="00611E09">
      <w:pPr>
        <w:adjustRightInd w:val="0"/>
        <w:jc w:val="both"/>
        <w:rPr>
          <w:rFonts w:eastAsia="Calibri"/>
          <w:noProof/>
        </w:rPr>
      </w:pPr>
      <w:r>
        <w:rPr>
          <w:noProof/>
        </w:rPr>
        <w:t xml:space="preserve">El objetivo del TTC es garantizar una mayor coordinación de los enfoques en materia de comercio y tecnología, de modo que se adopte un enfoque holístico en diferentes líneas de trabajo. En este contexto, los controles de las exportaciones también afectan a aspectos de otros grupos, como los relativos a las cadenas de suministro seguras y, en particular, a los semiconductores, o al control de la inversión extranjera. </w:t>
      </w:r>
    </w:p>
    <w:p w14:paraId="2C7F172E" w14:textId="77777777" w:rsidR="00EE54F5" w:rsidRPr="003F48E9" w:rsidRDefault="00EE54F5" w:rsidP="003F48E9">
      <w:pPr>
        <w:adjustRightInd w:val="0"/>
        <w:jc w:val="both"/>
        <w:rPr>
          <w:rFonts w:eastAsia="Calibri"/>
          <w:noProof/>
        </w:rPr>
      </w:pPr>
    </w:p>
    <w:p w14:paraId="22A914D5" w14:textId="77777777" w:rsidR="004F028A" w:rsidRDefault="00AE4F8A" w:rsidP="00611E09">
      <w:pPr>
        <w:adjustRightInd w:val="0"/>
        <w:jc w:val="both"/>
        <w:rPr>
          <w:rFonts w:eastAsia="Calibri"/>
          <w:noProof/>
        </w:rPr>
      </w:pPr>
      <w:r>
        <w:rPr>
          <w:noProof/>
        </w:rPr>
        <w:t>En general, la UE y los Estados Unidos acordaron en Pittsburgh reforzar la cooperación en los siguientes ámbitos:</w:t>
      </w:r>
    </w:p>
    <w:p w14:paraId="4B90F00B" w14:textId="77777777" w:rsidR="00AE4F8A" w:rsidRPr="004F028A" w:rsidRDefault="00AE4F8A" w:rsidP="00611E09">
      <w:pPr>
        <w:adjustRightInd w:val="0"/>
        <w:jc w:val="both"/>
        <w:rPr>
          <w:rFonts w:eastAsia="Calibri"/>
          <w:noProof/>
        </w:rPr>
      </w:pPr>
    </w:p>
    <w:p w14:paraId="1255A679" w14:textId="46EA0891" w:rsidR="004F028A" w:rsidRPr="00E22496" w:rsidRDefault="004F028A" w:rsidP="00E22496">
      <w:pPr>
        <w:pStyle w:val="ListParagraph"/>
        <w:numPr>
          <w:ilvl w:val="0"/>
          <w:numId w:val="5"/>
        </w:numPr>
        <w:adjustRightInd w:val="0"/>
        <w:jc w:val="both"/>
        <w:rPr>
          <w:rFonts w:ascii="Times New Roman" w:hAnsi="Times New Roman" w:cs="Times New Roman"/>
          <w:noProof/>
          <w:sz w:val="24"/>
        </w:rPr>
      </w:pPr>
      <w:r>
        <w:rPr>
          <w:rFonts w:ascii="Times New Roman" w:hAnsi="Times New Roman"/>
          <w:noProof/>
          <w:sz w:val="24"/>
        </w:rPr>
        <w:t>consultas técnicas sobre la evolución actual y futura de la legislación y la reglamentación, incluidos los ajustes periódicos de las listas de control y las excepciones específicas a las licencias/autorizaciones generales de exportación, y la elaboración de directrices;</w:t>
      </w:r>
    </w:p>
    <w:p w14:paraId="7AE02694" w14:textId="77777777" w:rsidR="004F028A" w:rsidRPr="00E22496" w:rsidRDefault="004F028A" w:rsidP="00E22496">
      <w:pPr>
        <w:pStyle w:val="ListParagraph"/>
        <w:numPr>
          <w:ilvl w:val="0"/>
          <w:numId w:val="5"/>
        </w:numPr>
        <w:adjustRightInd w:val="0"/>
        <w:jc w:val="both"/>
        <w:rPr>
          <w:rFonts w:ascii="Times New Roman" w:hAnsi="Times New Roman" w:cs="Times New Roman"/>
          <w:noProof/>
          <w:sz w:val="24"/>
        </w:rPr>
      </w:pPr>
      <w:r>
        <w:rPr>
          <w:rFonts w:ascii="Times New Roman" w:hAnsi="Times New Roman"/>
          <w:noProof/>
          <w:sz w:val="24"/>
        </w:rPr>
        <w:t>consultas técnicas y desarrollo de enfoques convergentes de control de tecnologías sensibles de doble uso, e intercambio de información sobre los riesgos asociados a la exportación o transferencia de tecnologías sensibles a los destinos y entidades preocupantes;</w:t>
      </w:r>
    </w:p>
    <w:p w14:paraId="0434E591" w14:textId="77777777" w:rsidR="004F028A" w:rsidRPr="00E22496" w:rsidRDefault="004F028A" w:rsidP="00E22496">
      <w:pPr>
        <w:pStyle w:val="ListParagraph"/>
        <w:numPr>
          <w:ilvl w:val="0"/>
          <w:numId w:val="5"/>
        </w:numPr>
        <w:adjustRightInd w:val="0"/>
        <w:jc w:val="both"/>
        <w:rPr>
          <w:rFonts w:ascii="Times New Roman" w:hAnsi="Times New Roman" w:cs="Times New Roman"/>
          <w:noProof/>
          <w:sz w:val="24"/>
        </w:rPr>
      </w:pPr>
      <w:r>
        <w:rPr>
          <w:rFonts w:ascii="Times New Roman" w:hAnsi="Times New Roman"/>
          <w:noProof/>
          <w:sz w:val="24"/>
        </w:rPr>
        <w:t>consultas técnicas sobre enfoques y acciones en materia de cumplimiento y ejecución;</w:t>
      </w:r>
    </w:p>
    <w:p w14:paraId="7C57B16E" w14:textId="1B5782BD" w:rsidR="004F028A" w:rsidRPr="00E22496" w:rsidRDefault="004F028A" w:rsidP="00E22496">
      <w:pPr>
        <w:pStyle w:val="ListParagraph"/>
        <w:numPr>
          <w:ilvl w:val="0"/>
          <w:numId w:val="5"/>
        </w:numPr>
        <w:adjustRightInd w:val="0"/>
        <w:jc w:val="both"/>
        <w:rPr>
          <w:rFonts w:ascii="Times New Roman" w:hAnsi="Times New Roman" w:cs="Times New Roman"/>
          <w:noProof/>
          <w:sz w:val="24"/>
        </w:rPr>
      </w:pPr>
      <w:r>
        <w:rPr>
          <w:rFonts w:ascii="Times New Roman" w:hAnsi="Times New Roman"/>
          <w:noProof/>
          <w:sz w:val="24"/>
        </w:rPr>
        <w:t>ayuda al desarrollo de capacidades a terceros países para desarrollar sus marcos jurídicos y apoyar su capacidad de aplicar y hacer cumplir el control; y</w:t>
      </w:r>
    </w:p>
    <w:p w14:paraId="4B3ECD49" w14:textId="77777777" w:rsidR="008C1E2F" w:rsidRPr="00E22496" w:rsidRDefault="004F028A" w:rsidP="00E22496">
      <w:pPr>
        <w:pStyle w:val="ListParagraph"/>
        <w:numPr>
          <w:ilvl w:val="0"/>
          <w:numId w:val="5"/>
        </w:numPr>
        <w:adjustRightInd w:val="0"/>
        <w:jc w:val="both"/>
        <w:rPr>
          <w:rFonts w:ascii="Times New Roman" w:hAnsi="Times New Roman" w:cs="Times New Roman"/>
          <w:noProof/>
          <w:sz w:val="24"/>
        </w:rPr>
      </w:pPr>
      <w:r>
        <w:rPr>
          <w:rFonts w:ascii="Times New Roman" w:hAnsi="Times New Roman"/>
          <w:noProof/>
          <w:sz w:val="24"/>
        </w:rPr>
        <w:t>consultas técnicas relativas a la cooperación multilateral e internacional, también en relación con los regímenes multilaterales de control de las exportaciones, según proceda.</w:t>
      </w:r>
    </w:p>
    <w:p w14:paraId="43563AF7" w14:textId="77777777" w:rsidR="00611E09" w:rsidRDefault="00611E09" w:rsidP="00D33243">
      <w:pPr>
        <w:adjustRightInd w:val="0"/>
        <w:jc w:val="both"/>
        <w:rPr>
          <w:rFonts w:eastAsia="Calibri"/>
          <w:noProof/>
        </w:rPr>
      </w:pPr>
    </w:p>
    <w:p w14:paraId="5E210094" w14:textId="77777777" w:rsidR="008A7E98" w:rsidRPr="008A7E98" w:rsidRDefault="00611E09" w:rsidP="00E72244">
      <w:pPr>
        <w:adjustRightInd w:val="0"/>
        <w:jc w:val="both"/>
        <w:rPr>
          <w:rFonts w:eastAsia="Calibri"/>
          <w:noProof/>
        </w:rPr>
      </w:pPr>
      <w:r>
        <w:rPr>
          <w:noProof/>
        </w:rPr>
        <w:t>El Grupo de Trabajo sobre el Control de las Exportaciones del TTC colaboró activamente con las partes interesadas para preparar su trabajo. El 27 de octubre de 2021 se celebró una reunión conjunta de partes interesadas</w:t>
      </w:r>
      <w:r w:rsidR="00D33243">
        <w:rPr>
          <w:rStyle w:val="FootnoteReference"/>
          <w:rFonts w:eastAsia="Calibri"/>
          <w:noProof/>
        </w:rPr>
        <w:footnoteReference w:id="7"/>
      </w:r>
      <w:r>
        <w:rPr>
          <w:noProof/>
        </w:rPr>
        <w:t xml:space="preserve"> en la que participaron más de doscientos representantes de la industria y de la sociedad civil y expertos académicos para debatir sus prioridades, a la que siguió una consulta pública en diciembre de 2021 y enero de 2022, en paralelo con los Estados Unidos</w:t>
      </w:r>
      <w:r w:rsidR="00D00286">
        <w:rPr>
          <w:rStyle w:val="FootnoteReference"/>
          <w:rFonts w:eastAsia="Calibri"/>
          <w:noProof/>
        </w:rPr>
        <w:footnoteReference w:id="8"/>
      </w:r>
      <w:r>
        <w:rPr>
          <w:noProof/>
        </w:rPr>
        <w:t>.</w:t>
      </w:r>
    </w:p>
    <w:p w14:paraId="3320085B" w14:textId="77777777" w:rsidR="008A7E98" w:rsidRPr="00B4777D" w:rsidRDefault="008A7E98" w:rsidP="00D33243">
      <w:pPr>
        <w:adjustRightInd w:val="0"/>
        <w:jc w:val="both"/>
        <w:rPr>
          <w:rFonts w:eastAsia="Calibri"/>
          <w:noProof/>
        </w:rPr>
      </w:pPr>
    </w:p>
    <w:p w14:paraId="6EED55AF" w14:textId="77777777" w:rsidR="003F48E9" w:rsidRDefault="003F48E9" w:rsidP="003F48E9">
      <w:pPr>
        <w:adjustRightInd w:val="0"/>
        <w:jc w:val="both"/>
        <w:rPr>
          <w:rFonts w:eastAsia="Calibri"/>
          <w:noProof/>
        </w:rPr>
      </w:pPr>
      <w:r>
        <w:rPr>
          <w:noProof/>
        </w:rPr>
        <w:t>El 26 de octubre de 2021, la Comisión organizó un diálogo sobre el control de las exportaciones con los seis socios de los Balcanes Occidentales</w:t>
      </w:r>
      <w:r>
        <w:rPr>
          <w:rStyle w:val="FootnoteReference"/>
          <w:rFonts w:eastAsia="Calibri"/>
          <w:noProof/>
        </w:rPr>
        <w:footnoteReference w:id="9"/>
      </w:r>
      <w:r>
        <w:rPr>
          <w:noProof/>
        </w:rPr>
        <w:t xml:space="preserve"> para apoyar sus esfuerzos por adaptarse al acervo comunitario, incluidos los controles de las exportaciones de productos de doble uso de la UE. La UE reafirmó su disposición a seguir apoyando la adaptación a los controles de las exportaciones de la UE y se ofreció a poner a disposición de los países de los Balcanes Occidentales, a petición de estos, la herramienta de expedición electrónica de licencias de la UE. </w:t>
      </w:r>
    </w:p>
    <w:p w14:paraId="21FD177B" w14:textId="77777777" w:rsidR="00BA7E94" w:rsidRDefault="00BA7E94" w:rsidP="00AA655D">
      <w:pPr>
        <w:adjustRightInd w:val="0"/>
        <w:jc w:val="both"/>
        <w:rPr>
          <w:rFonts w:eastAsia="Times New Roman"/>
          <w:noProof/>
          <w:lang w:eastAsia="en-GB"/>
        </w:rPr>
      </w:pPr>
    </w:p>
    <w:p w14:paraId="057A9BBC" w14:textId="77777777" w:rsidR="00AA655D" w:rsidRDefault="00AA655D" w:rsidP="007B799A">
      <w:pPr>
        <w:keepNext/>
        <w:tabs>
          <w:tab w:val="left" w:pos="850"/>
        </w:tabs>
        <w:spacing w:after="120"/>
        <w:ind w:left="850" w:hanging="850"/>
        <w:jc w:val="both"/>
        <w:outlineLvl w:val="1"/>
        <w:rPr>
          <w:rFonts w:eastAsia="Times New Roman"/>
          <w:b/>
          <w:noProof/>
        </w:rPr>
      </w:pPr>
      <w:r>
        <w:rPr>
          <w:b/>
          <w:noProof/>
        </w:rPr>
        <w:t>2.2.</w:t>
      </w:r>
      <w:r>
        <w:rPr>
          <w:b/>
          <w:noProof/>
        </w:rPr>
        <w:tab/>
        <w:t xml:space="preserve">Modificaciones conforme al Reglamento (UE) 2021/821 </w:t>
      </w:r>
      <w:bookmarkEnd w:id="3"/>
    </w:p>
    <w:p w14:paraId="4BB52ACD" w14:textId="67903948" w:rsidR="00AA655D" w:rsidRPr="00D02DF3" w:rsidRDefault="00FC2A23" w:rsidP="007B799A">
      <w:pPr>
        <w:keepNext/>
        <w:contextualSpacing/>
        <w:jc w:val="both"/>
        <w:rPr>
          <w:rFonts w:eastAsia="Times New Roman"/>
          <w:noProof/>
          <w:u w:val="single"/>
        </w:rPr>
      </w:pPr>
      <w:bookmarkStart w:id="4" w:name="DQCNUMB_1"/>
      <w:bookmarkEnd w:id="4"/>
      <w:r>
        <w:rPr>
          <w:noProof/>
          <w:u w:val="single"/>
        </w:rPr>
        <w:t>2.2.1. Actualización de la lista de control de la UE</w:t>
      </w:r>
    </w:p>
    <w:p w14:paraId="0037DA76" w14:textId="77777777" w:rsidR="00AA655D" w:rsidRDefault="00AA655D" w:rsidP="00E4160C">
      <w:pPr>
        <w:keepNext/>
        <w:contextualSpacing/>
        <w:jc w:val="both"/>
        <w:rPr>
          <w:rFonts w:eastAsia="Times New Roman"/>
          <w:noProof/>
        </w:rPr>
      </w:pPr>
    </w:p>
    <w:p w14:paraId="79C48820" w14:textId="62462518" w:rsidR="00AA655D" w:rsidRDefault="00A3660F" w:rsidP="00AA655D">
      <w:pPr>
        <w:contextualSpacing/>
        <w:jc w:val="both"/>
        <w:rPr>
          <w:rFonts w:eastAsia="Times New Roman"/>
          <w:noProof/>
        </w:rPr>
      </w:pPr>
      <w:r>
        <w:rPr>
          <w:noProof/>
        </w:rPr>
        <w:t>La lista de control de la UE que figura en el anexo I del Reglamento contiene esencialmente una lista de productos de doble uso, incluido el soporte lógico (</w:t>
      </w:r>
      <w:r>
        <w:rPr>
          <w:i/>
          <w:iCs/>
          <w:noProof/>
        </w:rPr>
        <w:t>software</w:t>
      </w:r>
      <w:r>
        <w:rPr>
          <w:noProof/>
        </w:rPr>
        <w:t>) y la tecnología, que deben someterse a controles, dado que pueden destinarse a usos tanto civiles como militares. Se actualiza periódicamente para reflejar los cambios en los regímenes multilaterales de control de las exportaciones. Se modificó una vez en 2021</w:t>
      </w:r>
      <w:r w:rsidR="003F1C04">
        <w:rPr>
          <w:rFonts w:eastAsia="Times New Roman"/>
          <w:noProof/>
          <w:vertAlign w:val="superscript"/>
          <w:lang w:eastAsia="en-GB"/>
        </w:rPr>
        <w:footnoteReference w:id="10"/>
      </w:r>
      <w:r>
        <w:rPr>
          <w:noProof/>
        </w:rPr>
        <w:t xml:space="preserve"> para incorporar las decisiones acordadas entre marzo y diciembre de 2020 en el contexto de dichos regímenes (en particular, en el marco del Acuerdo de Wassenaar y en el Grupo de Australia). </w:t>
      </w:r>
    </w:p>
    <w:p w14:paraId="03A73ABA" w14:textId="77777777" w:rsidR="00AA655D" w:rsidRDefault="00AA655D" w:rsidP="00AA655D">
      <w:pPr>
        <w:contextualSpacing/>
        <w:jc w:val="both"/>
        <w:rPr>
          <w:rFonts w:eastAsia="Times New Roman"/>
          <w:noProof/>
        </w:rPr>
      </w:pPr>
    </w:p>
    <w:p w14:paraId="4184A040" w14:textId="7FCF8446" w:rsidR="00F517AC" w:rsidRPr="00E35074" w:rsidRDefault="007B6F8D" w:rsidP="00E35074">
      <w:pPr>
        <w:pBdr>
          <w:top w:val="single" w:sz="4" w:space="1" w:color="auto"/>
          <w:left w:val="single" w:sz="4" w:space="4" w:color="auto"/>
          <w:bottom w:val="single" w:sz="4" w:space="1" w:color="auto"/>
          <w:right w:val="single" w:sz="4" w:space="4" w:color="auto"/>
        </w:pBdr>
        <w:jc w:val="both"/>
        <w:rPr>
          <w:rFonts w:eastAsia="Times New Roman"/>
          <w:b/>
          <w:noProof/>
          <w:sz w:val="22"/>
        </w:rPr>
      </w:pPr>
      <w:r>
        <w:rPr>
          <w:b/>
          <w:noProof/>
          <w:sz w:val="22"/>
        </w:rPr>
        <w:t>Modificaciones de la lista de control de la UE en 2021</w:t>
      </w:r>
    </w:p>
    <w:p w14:paraId="18049750" w14:textId="77777777" w:rsidR="005A04DF" w:rsidRDefault="005A04DF" w:rsidP="005A04DF">
      <w:pPr>
        <w:pBdr>
          <w:top w:val="single" w:sz="4" w:space="1" w:color="auto"/>
          <w:left w:val="single" w:sz="4" w:space="4" w:color="auto"/>
          <w:bottom w:val="single" w:sz="4" w:space="1" w:color="auto"/>
          <w:right w:val="single" w:sz="4" w:space="4" w:color="auto"/>
        </w:pBdr>
        <w:jc w:val="both"/>
        <w:rPr>
          <w:rFonts w:eastAsia="Times New Roman"/>
          <w:noProof/>
          <w:sz w:val="22"/>
        </w:rPr>
      </w:pPr>
    </w:p>
    <w:p w14:paraId="1B5109E2" w14:textId="1467A288" w:rsidR="005A04DF" w:rsidRDefault="005A04DF" w:rsidP="00933503">
      <w:pPr>
        <w:pBdr>
          <w:top w:val="single" w:sz="4" w:space="1" w:color="auto"/>
          <w:left w:val="single" w:sz="4" w:space="4" w:color="auto"/>
          <w:bottom w:val="single" w:sz="4" w:space="1" w:color="auto"/>
          <w:right w:val="single" w:sz="4" w:space="4" w:color="auto"/>
        </w:pBdr>
        <w:jc w:val="both"/>
        <w:rPr>
          <w:rFonts w:eastAsia="Times New Roman"/>
          <w:noProof/>
          <w:sz w:val="22"/>
        </w:rPr>
      </w:pPr>
      <w:r>
        <w:rPr>
          <w:noProof/>
          <w:sz w:val="22"/>
        </w:rPr>
        <w:t xml:space="preserve">Las modificaciones se refieren, en particular, al control de cámaras de contención biológica, aislantes o cámaras de seguridad biológica (2B352.f.2 nota 2) con el fin de incluir cualquier aislante que reúna todas las características mencionadas en la descripción del producto, independientemente de su uso previsto y de su denominación. La lista de control de la UE de 2021 también introduce un cambio en la definición de «superaleaciones», con el fin de especificar la resistencia a la rotura por tracción de dichos materiales. </w:t>
      </w:r>
    </w:p>
    <w:p w14:paraId="0EF4EE19" w14:textId="77777777" w:rsidR="005A04DF" w:rsidRPr="005A04DF" w:rsidRDefault="005A04DF" w:rsidP="005A04DF">
      <w:pPr>
        <w:pBdr>
          <w:top w:val="single" w:sz="4" w:space="1" w:color="auto"/>
          <w:left w:val="single" w:sz="4" w:space="4" w:color="auto"/>
          <w:bottom w:val="single" w:sz="4" w:space="1" w:color="auto"/>
          <w:right w:val="single" w:sz="4" w:space="4" w:color="auto"/>
        </w:pBdr>
        <w:jc w:val="both"/>
        <w:rPr>
          <w:rFonts w:eastAsia="Times New Roman"/>
          <w:noProof/>
          <w:sz w:val="22"/>
        </w:rPr>
      </w:pPr>
    </w:p>
    <w:p w14:paraId="655EF8DA" w14:textId="77777777" w:rsidR="00AA655D" w:rsidRDefault="00AA655D" w:rsidP="00AA655D">
      <w:pPr>
        <w:jc w:val="both"/>
        <w:rPr>
          <w:rFonts w:eastAsia="Times New Roman"/>
          <w:noProof/>
        </w:rPr>
      </w:pPr>
    </w:p>
    <w:p w14:paraId="077DBB7F" w14:textId="35A2BE64" w:rsidR="00AA655D" w:rsidRPr="0065536F" w:rsidRDefault="00AA655D" w:rsidP="00AA655D">
      <w:pPr>
        <w:jc w:val="both"/>
        <w:rPr>
          <w:rFonts w:eastAsia="Times New Roman"/>
          <w:noProof/>
        </w:rPr>
      </w:pPr>
      <w:r>
        <w:rPr>
          <w:noProof/>
        </w:rPr>
        <w:t>La lista de control de la UE actualizada y consolidada entró en vigor el 7 de enero de 2022, permitiendo así a la UE cumplir sus compromisos internacionales. La Comisión publicó unas orientaciones que ofrecen una visión general de todos los cambios introducidos en la lista de control de productos de doble uso de la UE de 2021 resumida en una «nota de síntesis»</w:t>
      </w:r>
      <w:r w:rsidR="00CA4709" w:rsidRPr="006A67E3">
        <w:rPr>
          <w:rFonts w:eastAsia="Times New Roman"/>
          <w:noProof/>
          <w:vertAlign w:val="superscript"/>
          <w:lang w:eastAsia="en-GB"/>
        </w:rPr>
        <w:footnoteReference w:id="11"/>
      </w:r>
      <w:r>
        <w:rPr>
          <w:noProof/>
        </w:rPr>
        <w:t>.</w:t>
      </w:r>
    </w:p>
    <w:p w14:paraId="7D8EAF54" w14:textId="77777777" w:rsidR="00AA655D" w:rsidRDefault="00AA655D" w:rsidP="00AA655D">
      <w:pPr>
        <w:jc w:val="both"/>
        <w:rPr>
          <w:rFonts w:eastAsia="Times New Roman"/>
          <w:noProof/>
          <w:lang w:eastAsia="en-GB"/>
        </w:rPr>
      </w:pPr>
    </w:p>
    <w:p w14:paraId="65E9328F" w14:textId="77777777" w:rsidR="00AA655D" w:rsidRDefault="00AA655D" w:rsidP="007B799A">
      <w:pPr>
        <w:keepNext/>
        <w:tabs>
          <w:tab w:val="left" w:pos="850"/>
        </w:tabs>
        <w:spacing w:after="120"/>
        <w:ind w:left="850" w:hanging="850"/>
        <w:jc w:val="both"/>
        <w:outlineLvl w:val="1"/>
        <w:rPr>
          <w:rFonts w:eastAsia="Times New Roman"/>
          <w:b/>
          <w:noProof/>
        </w:rPr>
      </w:pPr>
      <w:bookmarkStart w:id="5" w:name="_Toc368065773"/>
      <w:r>
        <w:rPr>
          <w:b/>
          <w:noProof/>
        </w:rPr>
        <w:t>2.3.</w:t>
      </w:r>
      <w:r>
        <w:rPr>
          <w:b/>
          <w:noProof/>
        </w:rPr>
        <w:tab/>
        <w:t>Medidas nacionales de aplicación y cumplimiento</w:t>
      </w:r>
      <w:bookmarkEnd w:id="5"/>
    </w:p>
    <w:p w14:paraId="3E457A55" w14:textId="77777777" w:rsidR="00AA655D" w:rsidRPr="00971BC1" w:rsidRDefault="00DF60EB" w:rsidP="007B799A">
      <w:pPr>
        <w:keepNext/>
        <w:spacing w:before="100" w:beforeAutospacing="1" w:after="100" w:afterAutospacing="1"/>
        <w:jc w:val="both"/>
        <w:rPr>
          <w:rFonts w:eastAsia="Times New Roman"/>
          <w:noProof/>
          <w:u w:val="single"/>
        </w:rPr>
      </w:pPr>
      <w:r>
        <w:rPr>
          <w:noProof/>
          <w:u w:val="single"/>
        </w:rPr>
        <w:t xml:space="preserve">2.3.1. Medidas de aplicación </w:t>
      </w:r>
    </w:p>
    <w:p w14:paraId="0A72D551" w14:textId="2B38FCD1" w:rsidR="00A3660F" w:rsidRPr="00971BC1" w:rsidRDefault="00AA655D" w:rsidP="00AA655D">
      <w:pPr>
        <w:spacing w:before="100" w:beforeAutospacing="1" w:after="100" w:afterAutospacing="1"/>
        <w:jc w:val="both"/>
        <w:rPr>
          <w:rFonts w:eastAsia="Times New Roman"/>
          <w:noProof/>
        </w:rPr>
      </w:pPr>
      <w:r>
        <w:rPr>
          <w:noProof/>
        </w:rPr>
        <w:t xml:space="preserve">El Reglamento es de carácter plenamente vinculante y directamente aplicable en todos los Estados miembros. No obstante, establece que los Estados miembros pueden adoptar determinadas medidas para la aplicación de disposiciones específicas, como, por ejemplo, si debe solicitarse una licencia para determinados productos de doble uso, cuando el exportador pueda sospechar que los productos van a utilizarse de una manera no permitida por el Reglamento. Exige que la información sobre dichas medidas nacionales se publique en el </w:t>
      </w:r>
      <w:r>
        <w:rPr>
          <w:i/>
          <w:iCs/>
          <w:noProof/>
        </w:rPr>
        <w:t>Diario Oficial de la Unión Europea</w:t>
      </w:r>
      <w:r>
        <w:rPr>
          <w:noProof/>
        </w:rPr>
        <w:t>. Por consiguiente, la Comisión publicó una nota informativa el 8 de febrero de 2021</w:t>
      </w:r>
      <w:r w:rsidRPr="00971BC1">
        <w:rPr>
          <w:rFonts w:eastAsia="Times New Roman"/>
          <w:noProof/>
          <w:vertAlign w:val="superscript"/>
          <w:lang w:eastAsia="en-GB"/>
        </w:rPr>
        <w:footnoteReference w:id="12"/>
      </w:r>
      <w:r>
        <w:rPr>
          <w:noProof/>
        </w:rPr>
        <w:t>, que ofrece una visión de conjunto actualizada de las medidas adoptadas por los Estados miembros, incluidas, entre otras, la extensión de los controles del corretaje y del tránsito, la ampliación de los controles a productos no incluidos en la lista por motivos de seguridad pública y consideraciones de derechos humanos, la introducción de autorizaciones generales de exportación nacionales y la aplicación de controles de las transferencias dentro de la UE de productos no incluidos en la lista. Esta nota informativa refleja las acciones de la UE para garantizar la transparencia de la norma aplicable y los esfuerzos para apoyar la aplicación coherente y eficaz de los controles por parte de los exportadores en toda la UE.</w:t>
      </w:r>
    </w:p>
    <w:p w14:paraId="726E2E02" w14:textId="77777777" w:rsidR="00AA655D" w:rsidRPr="00A45200" w:rsidRDefault="00DF60EB" w:rsidP="008C4021">
      <w:pPr>
        <w:keepNext/>
        <w:spacing w:before="100" w:beforeAutospacing="1" w:after="100" w:afterAutospacing="1"/>
        <w:jc w:val="both"/>
        <w:rPr>
          <w:rFonts w:eastAsia="Times New Roman"/>
          <w:noProof/>
          <w:u w:val="single"/>
        </w:rPr>
      </w:pPr>
      <w:r>
        <w:rPr>
          <w:noProof/>
          <w:u w:val="single"/>
        </w:rPr>
        <w:t xml:space="preserve">2.3.2. Medidas de cumplimiento </w:t>
      </w:r>
    </w:p>
    <w:p w14:paraId="07E7FBAA" w14:textId="77777777" w:rsidR="00AA655D" w:rsidRDefault="003B2BCC" w:rsidP="00AA655D">
      <w:pPr>
        <w:spacing w:before="100" w:beforeAutospacing="1" w:after="100" w:afterAutospacing="1"/>
        <w:jc w:val="both"/>
        <w:rPr>
          <w:rFonts w:eastAsia="Times New Roman"/>
          <w:noProof/>
        </w:rPr>
      </w:pPr>
      <w:r>
        <w:rPr>
          <w:noProof/>
        </w:rPr>
        <w:t>La Comisión no fue informada de ninguna novedad en 2021. La lista de medidas nacionales de cumplimiento, publicada junto con el informe anual sobre el control de las exportaciones de 2019</w:t>
      </w:r>
      <w:r w:rsidR="00326187" w:rsidRPr="00A45200">
        <w:rPr>
          <w:rStyle w:val="FootnoteReference"/>
          <w:rFonts w:eastAsia="Times New Roman"/>
          <w:noProof/>
          <w:lang w:eastAsia="en-GB"/>
        </w:rPr>
        <w:footnoteReference w:id="13"/>
      </w:r>
      <w:r>
        <w:rPr>
          <w:noProof/>
        </w:rPr>
        <w:t>, sigue siendo válida.</w:t>
      </w:r>
    </w:p>
    <w:p w14:paraId="69AE62D3" w14:textId="77777777" w:rsidR="00933503" w:rsidRDefault="00933503" w:rsidP="00B50753">
      <w:pPr>
        <w:keepNext/>
        <w:tabs>
          <w:tab w:val="left" w:pos="850"/>
        </w:tabs>
        <w:spacing w:after="120"/>
        <w:ind w:left="850" w:hanging="850"/>
        <w:jc w:val="both"/>
        <w:outlineLvl w:val="1"/>
        <w:rPr>
          <w:rFonts w:eastAsia="Times New Roman"/>
          <w:b/>
          <w:noProof/>
        </w:rPr>
      </w:pPr>
      <w:r>
        <w:rPr>
          <w:b/>
          <w:noProof/>
        </w:rPr>
        <w:t>2.4 Exportaciones procedentes de Irlanda del Norte</w:t>
      </w:r>
    </w:p>
    <w:p w14:paraId="62123016" w14:textId="77777777" w:rsidR="00933503" w:rsidRDefault="00933503" w:rsidP="00933503">
      <w:pPr>
        <w:jc w:val="both"/>
        <w:rPr>
          <w:noProof/>
        </w:rPr>
      </w:pPr>
      <w:r>
        <w:rPr>
          <w:noProof/>
        </w:rPr>
        <w:t>Las exportaciones de productos de doble uso de la UE al Reino Unido quedaron sujetas a control en virtud del Reglamento con la salida del Reino Unido de la Unión el 1 de enero de 2021, al igual que las exportaciones a cualquier otro tercer país.</w:t>
      </w:r>
    </w:p>
    <w:p w14:paraId="6ECBAA5C" w14:textId="77777777" w:rsidR="00933503" w:rsidRDefault="00933503" w:rsidP="00933503">
      <w:pPr>
        <w:jc w:val="both"/>
        <w:rPr>
          <w:rFonts w:eastAsia="Times New Roman"/>
          <w:noProof/>
          <w:lang w:eastAsia="en-GB"/>
        </w:rPr>
      </w:pPr>
    </w:p>
    <w:p w14:paraId="16537A9E" w14:textId="711632AA" w:rsidR="00E72244" w:rsidRDefault="00933503" w:rsidP="00933503">
      <w:pPr>
        <w:jc w:val="both"/>
        <w:rPr>
          <w:rFonts w:eastAsia="Times New Roman"/>
          <w:noProof/>
        </w:rPr>
      </w:pPr>
      <w:r>
        <w:rPr>
          <w:noProof/>
        </w:rPr>
        <w:t>Se establecen disposiciones específicas en el Protocolo sobre Irlanda del Norte</w:t>
      </w:r>
      <w:r>
        <w:rPr>
          <w:rStyle w:val="FootnoteReference"/>
          <w:noProof/>
        </w:rPr>
        <w:footnoteReference w:id="14"/>
      </w:r>
      <w:r>
        <w:rPr>
          <w:noProof/>
        </w:rPr>
        <w:t>, que dispone que el Reglamento se aplica a y en el Reino Unido en lo que respecta a Irlanda del Norte</w:t>
      </w:r>
      <w:r w:rsidRPr="00873489">
        <w:rPr>
          <w:rStyle w:val="FootnoteReference"/>
          <w:noProof/>
        </w:rPr>
        <w:footnoteReference w:id="15"/>
      </w:r>
      <w:r>
        <w:rPr>
          <w:noProof/>
        </w:rPr>
        <w:t>, y que el Reino Unido actúa como autoridad competente en virtud del Reglamento para las exportaciones de Irlanda del Norte a terceros países fuera de la UE. La Comisión desarrolló una herramienta electrónica segura y específica para apoyar el intercambio de información con la autoridad competente del Reino Unido encargada de aplicar el Reglamento en y desde Irlanda del Norte. Esto permite a esta autoridad acceder a la información sobre denegaciones relativas a transacciones fundamentalmente idénticas emitidas por el Estado miembro de la UE y celebrar consultas bilaterales con el Estado miembro emisor, según lo previsto en el Reglamento</w:t>
      </w:r>
      <w:r w:rsidR="00D529BB">
        <w:rPr>
          <w:rStyle w:val="FootnoteReference"/>
          <w:rFonts w:eastAsia="Times New Roman"/>
          <w:noProof/>
          <w:lang w:eastAsia="en-GB"/>
        </w:rPr>
        <w:footnoteReference w:id="16"/>
      </w:r>
      <w:r>
        <w:rPr>
          <w:noProof/>
        </w:rPr>
        <w:t xml:space="preserve">. </w:t>
      </w:r>
    </w:p>
    <w:p w14:paraId="1B93C828" w14:textId="77777777" w:rsidR="00F72887" w:rsidRDefault="00F72887" w:rsidP="00E72244">
      <w:pPr>
        <w:jc w:val="both"/>
        <w:rPr>
          <w:rFonts w:eastAsia="Times New Roman"/>
          <w:noProof/>
          <w:lang w:eastAsia="en-GB"/>
        </w:rPr>
      </w:pPr>
    </w:p>
    <w:p w14:paraId="0F726852" w14:textId="77777777" w:rsidR="00AA655D" w:rsidRDefault="00AA655D" w:rsidP="00AA655D">
      <w:pPr>
        <w:keepNext/>
        <w:tabs>
          <w:tab w:val="left" w:pos="850"/>
        </w:tabs>
        <w:spacing w:after="120"/>
        <w:ind w:left="850" w:hanging="850"/>
        <w:jc w:val="both"/>
        <w:outlineLvl w:val="0"/>
        <w:rPr>
          <w:rFonts w:eastAsia="Times New Roman"/>
          <w:b/>
          <w:smallCaps/>
          <w:noProof/>
        </w:rPr>
      </w:pPr>
      <w:bookmarkStart w:id="6" w:name="_Toc368065775"/>
      <w:r>
        <w:rPr>
          <w:b/>
          <w:smallCaps/>
          <w:noProof/>
        </w:rPr>
        <w:t>3.</w:t>
      </w:r>
      <w:r>
        <w:rPr>
          <w:b/>
          <w:smallCaps/>
          <w:noProof/>
        </w:rPr>
        <w:tab/>
        <w:t>Actividades del Grupo de coordinación sobre productos de doble uso</w:t>
      </w:r>
      <w:bookmarkEnd w:id="6"/>
    </w:p>
    <w:p w14:paraId="3318D7B3" w14:textId="2566AADD" w:rsidR="00AA655D" w:rsidRDefault="00C6061E" w:rsidP="00AA655D">
      <w:pPr>
        <w:spacing w:before="100" w:beforeAutospacing="1" w:after="100" w:afterAutospacing="1"/>
        <w:jc w:val="both"/>
        <w:rPr>
          <w:rFonts w:eastAsia="Times New Roman"/>
          <w:noProof/>
        </w:rPr>
      </w:pPr>
      <w:r>
        <w:rPr>
          <w:noProof/>
        </w:rPr>
        <w:t>El Grupo CPDU reúne a expertos de la Comisión y de los Estados miembros para examinar cualquier cuestión relativa a la aplicación de los controles de las exportaciones</w:t>
      </w:r>
      <w:r w:rsidR="00933503">
        <w:rPr>
          <w:rStyle w:val="FootnoteReference"/>
          <w:rFonts w:eastAsia="Times New Roman"/>
          <w:noProof/>
          <w:lang w:eastAsia="en-GB"/>
        </w:rPr>
        <w:footnoteReference w:id="17"/>
      </w:r>
      <w:r>
        <w:rPr>
          <w:noProof/>
        </w:rPr>
        <w:t xml:space="preserve">. En 2021 celebró seis reuniones. </w:t>
      </w:r>
    </w:p>
    <w:p w14:paraId="5B17B38F" w14:textId="77777777" w:rsidR="00AA655D" w:rsidRDefault="00AA655D" w:rsidP="00AA655D">
      <w:pPr>
        <w:keepNext/>
        <w:tabs>
          <w:tab w:val="left" w:pos="850"/>
        </w:tabs>
        <w:spacing w:after="120"/>
        <w:ind w:left="850" w:hanging="850"/>
        <w:jc w:val="both"/>
        <w:outlineLvl w:val="1"/>
        <w:rPr>
          <w:rFonts w:eastAsia="Times New Roman"/>
          <w:b/>
          <w:noProof/>
        </w:rPr>
      </w:pPr>
      <w:r>
        <w:rPr>
          <w:b/>
          <w:noProof/>
        </w:rPr>
        <w:t>3.1.</w:t>
      </w:r>
      <w:r>
        <w:rPr>
          <w:b/>
          <w:noProof/>
        </w:rPr>
        <w:tab/>
        <w:t>Consultas sobre cuestiones de aplicación: intercambio general de información</w:t>
      </w:r>
    </w:p>
    <w:p w14:paraId="3750645E" w14:textId="33AC9241" w:rsidR="00AA655D" w:rsidRDefault="00AA655D" w:rsidP="003A26B9">
      <w:pPr>
        <w:jc w:val="both"/>
        <w:rPr>
          <w:rFonts w:eastAsia="Calibri"/>
          <w:noProof/>
        </w:rPr>
      </w:pPr>
      <w:r>
        <w:rPr>
          <w:noProof/>
        </w:rPr>
        <w:t xml:space="preserve">La Comisión y los representantes de los Estados miembros en el Grupo CPDU </w:t>
      </w:r>
      <w:r>
        <w:rPr>
          <w:b/>
          <w:i/>
          <w:noProof/>
        </w:rPr>
        <w:t>realizaron intercambios generales de información sobre cuestiones relacionadas con el control de las exportaciones</w:t>
      </w:r>
      <w:r>
        <w:rPr>
          <w:noProof/>
        </w:rPr>
        <w:t xml:space="preserve">, por ejemplo, en apoyo de la modernización legislativa de los controles de las exportaciones de la UE. </w:t>
      </w:r>
    </w:p>
    <w:p w14:paraId="222747D0" w14:textId="77777777" w:rsidR="00AA655D" w:rsidRDefault="00AA655D" w:rsidP="00AA655D">
      <w:pPr>
        <w:jc w:val="both"/>
        <w:rPr>
          <w:rFonts w:eastAsia="Calibri"/>
          <w:noProof/>
          <w:lang w:eastAsia="en-GB"/>
        </w:rPr>
      </w:pPr>
    </w:p>
    <w:p w14:paraId="57FAABFC" w14:textId="703E5A66" w:rsidR="00AA655D" w:rsidRDefault="001B5C4A" w:rsidP="003A26B9">
      <w:pPr>
        <w:pStyle w:val="Default"/>
        <w:jc w:val="both"/>
        <w:rPr>
          <w:rFonts w:ascii="Times New Roman" w:eastAsia="Calibri" w:hAnsi="Times New Roman" w:cs="Times New Roman"/>
          <w:noProof/>
          <w:color w:val="auto"/>
        </w:rPr>
      </w:pPr>
      <w:r>
        <w:rPr>
          <w:rFonts w:ascii="Times New Roman" w:hAnsi="Times New Roman"/>
          <w:noProof/>
          <w:color w:val="auto"/>
        </w:rPr>
        <w:t xml:space="preserve">La Comisión coordinó un intercambio de información entre los Estados miembros en el Grupo CPDU sobre las </w:t>
      </w:r>
      <w:r>
        <w:rPr>
          <w:rFonts w:ascii="Times New Roman" w:hAnsi="Times New Roman"/>
          <w:b/>
          <w:i/>
          <w:noProof/>
          <w:color w:val="auto"/>
        </w:rPr>
        <w:t>medidas nacionales de aplicación</w:t>
      </w:r>
      <w:r>
        <w:rPr>
          <w:rFonts w:ascii="Times New Roman" w:hAnsi="Times New Roman"/>
          <w:noProof/>
          <w:color w:val="auto"/>
        </w:rPr>
        <w:t xml:space="preserve"> y preparó la actualización de la nota informativa sobre medidas nacionales con el apoyo del Grupo CPDU</w:t>
      </w:r>
      <w:r w:rsidRPr="001B5C4A">
        <w:rPr>
          <w:rFonts w:ascii="Times New Roman" w:eastAsia="Calibri" w:hAnsi="Times New Roman" w:cs="Times New Roman"/>
          <w:noProof/>
          <w:color w:val="auto"/>
          <w:vertAlign w:val="superscript"/>
          <w:lang w:eastAsia="en-GB"/>
        </w:rPr>
        <w:footnoteReference w:id="18"/>
      </w:r>
      <w:r>
        <w:rPr>
          <w:rFonts w:ascii="Times New Roman" w:hAnsi="Times New Roman"/>
          <w:noProof/>
          <w:color w:val="auto"/>
        </w:rPr>
        <w:t>.</w:t>
      </w:r>
    </w:p>
    <w:p w14:paraId="46A4CFF1" w14:textId="77777777" w:rsidR="00FE6013" w:rsidRDefault="00FE6013" w:rsidP="00AA655D">
      <w:pPr>
        <w:pStyle w:val="Default"/>
        <w:jc w:val="both"/>
        <w:rPr>
          <w:rFonts w:ascii="Times New Roman" w:eastAsia="Calibri" w:hAnsi="Times New Roman" w:cs="Times New Roman"/>
          <w:noProof/>
          <w:color w:val="auto"/>
          <w:lang w:eastAsia="en-GB"/>
        </w:rPr>
      </w:pPr>
    </w:p>
    <w:p w14:paraId="3BCA31E2" w14:textId="231EFA96" w:rsidR="00FE6013" w:rsidRDefault="00FE6013" w:rsidP="003A26B9">
      <w:pPr>
        <w:pStyle w:val="Default"/>
        <w:jc w:val="both"/>
        <w:rPr>
          <w:rFonts w:ascii="Times New Roman" w:eastAsia="Calibri" w:hAnsi="Times New Roman" w:cs="Times New Roman"/>
          <w:noProof/>
          <w:color w:val="auto"/>
        </w:rPr>
      </w:pPr>
      <w:r>
        <w:rPr>
          <w:rFonts w:ascii="Times New Roman" w:hAnsi="Times New Roman"/>
          <w:noProof/>
          <w:color w:val="auto"/>
        </w:rPr>
        <w:t>Con la entrada en vigor del nuevo Reglamento en septiembre de 2021, el Grupo CPDU comenzó a trabajar en su aplicación y acordó intercambiar información periódicamente. Por ejemplo, la Comisión invitó a los Estados miembros del Grupo CPDU a empezar a reflexionar sobre las nuevas disposiciones del Reglamento, que exigen la publicación de medidas nacionales y listas nacionales de control (artículos 9 y 10).</w:t>
      </w:r>
    </w:p>
    <w:p w14:paraId="56E88311" w14:textId="77777777" w:rsidR="001B5C4A" w:rsidRDefault="001B5C4A" w:rsidP="00AA655D">
      <w:pPr>
        <w:pStyle w:val="Default"/>
        <w:jc w:val="both"/>
        <w:rPr>
          <w:rFonts w:ascii="Times New Roman" w:eastAsia="Calibri" w:hAnsi="Times New Roman" w:cs="Times New Roman"/>
          <w:noProof/>
          <w:color w:val="auto"/>
          <w:lang w:eastAsia="en-GB"/>
        </w:rPr>
      </w:pPr>
    </w:p>
    <w:p w14:paraId="30F90675" w14:textId="146E56E1" w:rsidR="00AA655D" w:rsidRDefault="00AA655D" w:rsidP="003A26B9">
      <w:pPr>
        <w:pStyle w:val="Default"/>
        <w:jc w:val="both"/>
        <w:rPr>
          <w:rFonts w:ascii="Times New Roman" w:eastAsia="Calibri" w:hAnsi="Times New Roman" w:cs="Times New Roman"/>
          <w:noProof/>
          <w:color w:val="auto"/>
        </w:rPr>
      </w:pPr>
      <w:r>
        <w:rPr>
          <w:rFonts w:ascii="Times New Roman" w:hAnsi="Times New Roman"/>
          <w:noProof/>
          <w:color w:val="auto"/>
        </w:rPr>
        <w:t xml:space="preserve">La Comisión recopiló información sobre los </w:t>
      </w:r>
      <w:r>
        <w:rPr>
          <w:rFonts w:ascii="Times New Roman" w:hAnsi="Times New Roman"/>
          <w:b/>
          <w:i/>
          <w:noProof/>
          <w:color w:val="auto"/>
        </w:rPr>
        <w:t>datos de concesión de licencias</w:t>
      </w:r>
      <w:r>
        <w:rPr>
          <w:rFonts w:ascii="Times New Roman" w:hAnsi="Times New Roman"/>
          <w:noProof/>
          <w:color w:val="auto"/>
        </w:rPr>
        <w:t xml:space="preserve"> </w:t>
      </w:r>
      <w:r>
        <w:rPr>
          <w:rFonts w:ascii="Times New Roman" w:hAnsi="Times New Roman"/>
          <w:i/>
          <w:iCs/>
          <w:noProof/>
          <w:color w:val="auto"/>
        </w:rPr>
        <w:t>con el apoyo del Grupo CPDU</w:t>
      </w:r>
      <w:r>
        <w:rPr>
          <w:rFonts w:ascii="Times New Roman" w:hAnsi="Times New Roman"/>
          <w:noProof/>
          <w:color w:val="auto"/>
        </w:rPr>
        <w:t xml:space="preserve"> para ofrecer una visión general de la aplicación de los controles de las exportaciones y aumentar la transparencia pública sobre los controles de las exportaciones de doble uso de la UE (en la elaboración de este informe anual se utilizaron los datos agregados de la UE en 2020). </w:t>
      </w:r>
    </w:p>
    <w:p w14:paraId="5C7983D4" w14:textId="77777777" w:rsidR="00D529BB" w:rsidRPr="00D529BB" w:rsidRDefault="00D529BB" w:rsidP="00D529BB">
      <w:pPr>
        <w:pStyle w:val="Default"/>
        <w:jc w:val="both"/>
        <w:rPr>
          <w:rFonts w:ascii="Times New Roman" w:eastAsia="Calibri" w:hAnsi="Times New Roman" w:cs="Times New Roman"/>
          <w:noProof/>
          <w:color w:val="auto"/>
          <w:lang w:eastAsia="en-GB"/>
        </w:rPr>
      </w:pPr>
    </w:p>
    <w:p w14:paraId="3CC3473D" w14:textId="52CE8DBD" w:rsidR="00AA655D" w:rsidRDefault="00161E18" w:rsidP="00AA655D">
      <w:pPr>
        <w:jc w:val="both"/>
        <w:rPr>
          <w:rFonts w:eastAsia="Calibri"/>
          <w:noProof/>
        </w:rPr>
      </w:pPr>
      <w:r>
        <w:rPr>
          <w:noProof/>
        </w:rPr>
        <w:t xml:space="preserve">El Grupo CPDU llevó a cabo un </w:t>
      </w:r>
      <w:r>
        <w:rPr>
          <w:b/>
          <w:i/>
          <w:noProof/>
        </w:rPr>
        <w:t>intercambio técnico de información sobre la aplicación de controles de las tecnologías de cibervigilancia</w:t>
      </w:r>
      <w:r>
        <w:rPr>
          <w:noProof/>
        </w:rPr>
        <w:t xml:space="preserve"> en 2020. Los datos recogidos de los Estados miembros muestran una disminución del número de licencias para la exportación de estas tecnologías (véase el cuadro 1), con un total de treinta y nueve licencias expedidas en 2020 para productos de cibervigilancia incluidos en la lista</w:t>
      </w:r>
      <w:r w:rsidR="00277A08" w:rsidRPr="00683668">
        <w:rPr>
          <w:rStyle w:val="FootnoteReference"/>
          <w:rFonts w:eastAsia="Calibri"/>
          <w:noProof/>
        </w:rPr>
        <w:footnoteReference w:id="19"/>
      </w:r>
      <w:r>
        <w:rPr>
          <w:noProof/>
        </w:rPr>
        <w:t xml:space="preserve">. En ese mismo período se emitieron treinta y dos denegaciones respecto a productos de cibervigilancia. </w:t>
      </w:r>
    </w:p>
    <w:p w14:paraId="59206A4B" w14:textId="387273BB" w:rsidR="006F4A24" w:rsidRDefault="006F4A24" w:rsidP="00AA655D">
      <w:pPr>
        <w:jc w:val="both"/>
        <w:rPr>
          <w:rFonts w:eastAsia="Calibri"/>
          <w:noProof/>
        </w:rPr>
      </w:pPr>
    </w:p>
    <w:p w14:paraId="6024B928" w14:textId="1903D220" w:rsidR="00C41009" w:rsidRPr="00F72887" w:rsidRDefault="00C41009" w:rsidP="00AA655D">
      <w:pPr>
        <w:jc w:val="both"/>
        <w:rPr>
          <w:rFonts w:eastAsia="Calibri"/>
          <w:noProof/>
        </w:rPr>
      </w:pPr>
      <w:r w:rsidRPr="00C41009">
        <w:rPr>
          <w:noProof/>
          <w:lang w:val="en-GB" w:eastAsia="en-GB"/>
        </w:rPr>
        <w:drawing>
          <wp:inline distT="0" distB="0" distL="0" distR="0" wp14:anchorId="7B4B52DD" wp14:editId="648924CB">
            <wp:extent cx="6092324" cy="2678723"/>
            <wp:effectExtent l="0" t="0" r="381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096234" cy="2680442"/>
                    </a:xfrm>
                    <a:prstGeom prst="rect">
                      <a:avLst/>
                    </a:prstGeom>
                    <a:noFill/>
                    <a:ln>
                      <a:noFill/>
                    </a:ln>
                  </pic:spPr>
                </pic:pic>
              </a:graphicData>
            </a:graphic>
          </wp:inline>
        </w:drawing>
      </w:r>
    </w:p>
    <w:p w14:paraId="2CBA0FEC" w14:textId="77777777" w:rsidR="00277A08" w:rsidRPr="006F4A24" w:rsidRDefault="005A616B" w:rsidP="00AA655D">
      <w:pPr>
        <w:jc w:val="both"/>
        <w:rPr>
          <w:rFonts w:eastAsia="Times New Roman"/>
          <w:i/>
          <w:noProof/>
          <w:sz w:val="20"/>
          <w:szCs w:val="20"/>
        </w:rPr>
      </w:pPr>
      <w:r>
        <w:rPr>
          <w:i/>
          <w:noProof/>
          <w:sz w:val="20"/>
        </w:rPr>
        <w:t>Cuadro 1. Número de licencias individuales para productos de cibervigilancia incluidos en la lista.</w:t>
      </w:r>
    </w:p>
    <w:p w14:paraId="79019118" w14:textId="77777777" w:rsidR="00F72887" w:rsidRDefault="00F72887" w:rsidP="00AA655D">
      <w:pPr>
        <w:jc w:val="both"/>
        <w:rPr>
          <w:rFonts w:eastAsia="Calibri"/>
          <w:noProof/>
          <w:lang w:eastAsia="en-GB"/>
        </w:rPr>
      </w:pPr>
    </w:p>
    <w:p w14:paraId="4C28470B" w14:textId="77777777" w:rsidR="00AA655D" w:rsidRDefault="00AA655D" w:rsidP="007B799A">
      <w:pPr>
        <w:keepNext/>
        <w:tabs>
          <w:tab w:val="left" w:pos="850"/>
        </w:tabs>
        <w:spacing w:after="120"/>
        <w:ind w:left="850" w:hanging="850"/>
        <w:jc w:val="both"/>
        <w:outlineLvl w:val="1"/>
        <w:rPr>
          <w:rFonts w:eastAsia="Times New Roman"/>
          <w:b/>
          <w:noProof/>
        </w:rPr>
      </w:pPr>
      <w:r>
        <w:rPr>
          <w:b/>
          <w:noProof/>
        </w:rPr>
        <w:t>3.2.</w:t>
      </w:r>
      <w:r>
        <w:rPr>
          <w:b/>
          <w:noProof/>
        </w:rPr>
        <w:tab/>
        <w:t xml:space="preserve">Intercambio técnico de información: cuestiones de aplicación </w:t>
      </w:r>
    </w:p>
    <w:p w14:paraId="1A4CA346" w14:textId="44CEF25F" w:rsidR="000813D6" w:rsidRDefault="00E47706" w:rsidP="00E47706">
      <w:pPr>
        <w:pStyle w:val="ListParagraph"/>
        <w:ind w:left="0"/>
        <w:jc w:val="both"/>
        <w:rPr>
          <w:rFonts w:ascii="Times New Roman" w:hAnsi="Times New Roman" w:cs="Times New Roman"/>
          <w:noProof/>
          <w:sz w:val="24"/>
          <w:szCs w:val="24"/>
        </w:rPr>
      </w:pPr>
      <w:bookmarkStart w:id="7" w:name="_Toc368065777"/>
      <w:r>
        <w:rPr>
          <w:rFonts w:ascii="Times New Roman" w:hAnsi="Times New Roman"/>
          <w:noProof/>
          <w:sz w:val="24"/>
        </w:rPr>
        <w:t>Bajo la coordinación de la Comisión, el Grupo CPDU emprendió iniciativas para abordar determinados problemas de aplicación técnica y creó grupos de expertos específicos para aplicar los requisitos del nuevo Reglamento.</w:t>
      </w:r>
    </w:p>
    <w:p w14:paraId="09208009" w14:textId="77777777" w:rsidR="000813D6" w:rsidRDefault="000813D6" w:rsidP="000813D6">
      <w:pPr>
        <w:pStyle w:val="ListParagraph"/>
        <w:ind w:left="0"/>
        <w:jc w:val="both"/>
        <w:rPr>
          <w:rFonts w:ascii="Times New Roman" w:hAnsi="Times New Roman" w:cs="Times New Roman"/>
          <w:noProof/>
          <w:sz w:val="24"/>
          <w:szCs w:val="24"/>
        </w:rPr>
      </w:pPr>
    </w:p>
    <w:p w14:paraId="3EDC9750" w14:textId="555E59BF" w:rsidR="008B1E49" w:rsidRDefault="00E47706" w:rsidP="00E47706">
      <w:pPr>
        <w:pStyle w:val="ListParagraph"/>
        <w:ind w:left="0"/>
        <w:jc w:val="both"/>
        <w:rPr>
          <w:rFonts w:ascii="Times New Roman" w:hAnsi="Times New Roman" w:cs="Times New Roman"/>
          <w:noProof/>
          <w:sz w:val="24"/>
          <w:szCs w:val="24"/>
        </w:rPr>
      </w:pPr>
      <w:r>
        <w:rPr>
          <w:rFonts w:ascii="Times New Roman" w:hAnsi="Times New Roman"/>
          <w:noProof/>
          <w:sz w:val="24"/>
        </w:rPr>
        <w:t>Las autoridades competentes de los Estados miembros del Grupo CPDU aportaron sus conocimientos técnicos en apoyo de las actualizaciones de la lista de control de la UE y entablaron debates sobre una serie de cuestiones específicas relativas a la aplicación, como la necesidad de mejorar el intercambio de información en virtud de autorizaciones generales de exportación comunitaria (AGEC) y en virtud de licencias globales o el desarrollo de un mecanismo de consulta entre las autoridades competentes sobre la información relativa a los exportadores que utilizan licencias globales.</w:t>
      </w:r>
    </w:p>
    <w:p w14:paraId="2FA59AD3" w14:textId="77777777" w:rsidR="00B8354C" w:rsidRDefault="00B8354C" w:rsidP="00AA655D">
      <w:pPr>
        <w:pStyle w:val="ListParagraph"/>
        <w:ind w:left="0"/>
        <w:jc w:val="both"/>
        <w:rPr>
          <w:rFonts w:ascii="Times New Roman" w:hAnsi="Times New Roman" w:cs="Times New Roman"/>
          <w:noProof/>
          <w:sz w:val="24"/>
          <w:szCs w:val="24"/>
        </w:rPr>
      </w:pPr>
    </w:p>
    <w:p w14:paraId="7F31646B" w14:textId="77777777" w:rsidR="00B8354C" w:rsidRPr="00B8354C" w:rsidRDefault="00553BA1" w:rsidP="00FE3D3A">
      <w:pPr>
        <w:jc w:val="both"/>
        <w:rPr>
          <w:noProof/>
        </w:rPr>
      </w:pPr>
      <w:r>
        <w:rPr>
          <w:noProof/>
        </w:rPr>
        <w:t xml:space="preserve">Por lo que se refiere a los grupos de expertos técnicos, cuyo papel se reconoce ahora en el nuevo Reglamento, se reactivó el </w:t>
      </w:r>
      <w:r>
        <w:rPr>
          <w:noProof/>
          <w:u w:val="single"/>
        </w:rPr>
        <w:t>Grupo de expertos en tecnología de vigilancia (STEG)</w:t>
      </w:r>
      <w:r>
        <w:rPr>
          <w:noProof/>
        </w:rPr>
        <w:t xml:space="preserve"> y se revisó su mandato para reflejar las nuevas disposiciones del Reglamento. El STEG permite a expertos de los Estados miembros contribuir al desarrollo de los controles de la UE sobre las exportaciones de tecnologías de cibervigilancia. El mandato del STEG incluye el intercambio de información sobre los riesgos asociados a las exportaciones de productos de cibervigilancia y debates técnicos sobre productos específicos de cibervigilancia, así como el desarrollo de directrices de diligencia debida para los exportadores. En 2021, los expertos compartieron información pertinente para determinados productos, como centros de seguimiento y soluciones de conservación de datos, vehículos de vigilancia y sistemas del Protocolo de Transmisión de la Voz por Internet (VoIP), como parte de su revisión técnica de las posibles tecnologías de cibervigilancia. </w:t>
      </w:r>
    </w:p>
    <w:p w14:paraId="24E65FEC" w14:textId="77777777" w:rsidR="00B8354C" w:rsidRPr="00B8354C" w:rsidRDefault="00B8354C" w:rsidP="00B8354C">
      <w:pPr>
        <w:pStyle w:val="ListParagraph"/>
        <w:jc w:val="both"/>
        <w:rPr>
          <w:rFonts w:ascii="Times New Roman" w:hAnsi="Times New Roman" w:cs="Times New Roman"/>
          <w:noProof/>
          <w:sz w:val="24"/>
          <w:szCs w:val="24"/>
        </w:rPr>
      </w:pPr>
    </w:p>
    <w:p w14:paraId="34FAAEBC" w14:textId="63D36BB5" w:rsidR="00B8354C" w:rsidRPr="00613135" w:rsidRDefault="00613135" w:rsidP="00E47706">
      <w:pPr>
        <w:jc w:val="both"/>
        <w:rPr>
          <w:noProof/>
        </w:rPr>
      </w:pPr>
      <w:r>
        <w:rPr>
          <w:noProof/>
          <w:u w:val="single"/>
        </w:rPr>
        <w:t>El Grupo de Expertos Técnicos sobre la Elaboración de Directrices para la Investigación sobre Productos de Doble Uso</w:t>
      </w:r>
      <w:r>
        <w:rPr>
          <w:noProof/>
        </w:rPr>
        <w:t xml:space="preserve"> (TEG-DUR) ultimó las orientaciones de la UE sobre los programas internos de cumplimiento para la investigación relacionada con productos de doble uso, que se aplican también a la transferencia de tecnología y conocimientos asociados a dicha investigación. Estas orientaciones se adoptaron como Recomendación de la Comisión en septiembre de 2021</w:t>
      </w:r>
      <w:r w:rsidR="00FE6013">
        <w:rPr>
          <w:rStyle w:val="FootnoteReference"/>
          <w:noProof/>
        </w:rPr>
        <w:footnoteReference w:id="20"/>
      </w:r>
      <w:r>
        <w:rPr>
          <w:noProof/>
        </w:rPr>
        <w:t xml:space="preserve"> y tienen por objeto ayudar a los investigadores, a los responsables de investigación y al personal encargado del cumplimiento de universidades y organismos de investigación a detectar, gestionar y mitigar los riesgos asociados a la colaboración con socios establecidos fuera de la UE (o investigadores de fuera de la UE) en proyectos de investigación que pueden estar realmente sujetos a controles de las exportaciones de productos de doble uso. Las orientaciones de la UE sirven de herramienta de referencia común para las autoridades competentes de los Estados miembros a la hora de desarrollar programas de divulgación específicos y para decidir sobre las autorizaciones de exportación de productos de doble uso enumerados en el anexo I del Reglamento. Las orientaciones no son vinculantes y los organismos de investigación y los investigadores tienen la responsabilidad de cumplir sus obligaciones en virtud del Reglamento. Posteriormente, el Grupo CPDU comenzó a elaborar un plan de acciones para apoyar la aplicación y el seguimiento de las orientaciones.</w:t>
      </w:r>
    </w:p>
    <w:p w14:paraId="100E3F83" w14:textId="77777777" w:rsidR="00B8354C" w:rsidRPr="00B8354C" w:rsidRDefault="00B8354C" w:rsidP="00B8354C">
      <w:pPr>
        <w:pStyle w:val="ListParagraph"/>
        <w:jc w:val="both"/>
        <w:rPr>
          <w:rFonts w:ascii="Times New Roman" w:hAnsi="Times New Roman" w:cs="Times New Roman"/>
          <w:noProof/>
          <w:sz w:val="24"/>
          <w:szCs w:val="24"/>
        </w:rPr>
      </w:pPr>
    </w:p>
    <w:p w14:paraId="0DA73692" w14:textId="1FDA0ED9" w:rsidR="00B8354C" w:rsidRDefault="001E51C4" w:rsidP="00A534CB">
      <w:pPr>
        <w:pStyle w:val="ListParagraph"/>
        <w:ind w:left="0"/>
        <w:jc w:val="both"/>
        <w:rPr>
          <w:rFonts w:ascii="Times New Roman" w:hAnsi="Times New Roman" w:cs="Times New Roman"/>
          <w:noProof/>
          <w:sz w:val="24"/>
          <w:szCs w:val="24"/>
        </w:rPr>
      </w:pPr>
      <w:r>
        <w:rPr>
          <w:rFonts w:ascii="Times New Roman" w:hAnsi="Times New Roman"/>
          <w:noProof/>
          <w:sz w:val="24"/>
        </w:rPr>
        <w:t xml:space="preserve">Se puso en marcha un nuevo </w:t>
      </w:r>
      <w:r>
        <w:rPr>
          <w:rFonts w:ascii="Times New Roman" w:hAnsi="Times New Roman"/>
          <w:noProof/>
          <w:sz w:val="24"/>
          <w:u w:val="single"/>
        </w:rPr>
        <w:t>Grupo de Expertos Técnicos sobre Tecnologías Emergentes</w:t>
      </w:r>
      <w:r>
        <w:rPr>
          <w:rFonts w:ascii="Times New Roman" w:hAnsi="Times New Roman"/>
          <w:noProof/>
          <w:sz w:val="24"/>
        </w:rPr>
        <w:t xml:space="preserve"> (ETEG) como foro específico para el intercambio de información sobre los riesgos asociados a las exportaciones de tecnologías emergentes y los retos asociados a su control. El ETEG celebró su primera reunión en octubre de 2021.</w:t>
      </w:r>
    </w:p>
    <w:p w14:paraId="62E5386F" w14:textId="77777777" w:rsidR="00613135" w:rsidRDefault="00613135" w:rsidP="00B8354C">
      <w:pPr>
        <w:pStyle w:val="ListParagraph"/>
        <w:ind w:left="0"/>
        <w:jc w:val="both"/>
        <w:rPr>
          <w:rFonts w:ascii="Times New Roman" w:hAnsi="Times New Roman" w:cs="Times New Roman"/>
          <w:noProof/>
          <w:sz w:val="24"/>
          <w:szCs w:val="24"/>
        </w:rPr>
      </w:pPr>
    </w:p>
    <w:p w14:paraId="0EB2D969" w14:textId="787D0DB8" w:rsidR="000859BC" w:rsidRDefault="005530D5" w:rsidP="001E51C4">
      <w:pPr>
        <w:jc w:val="both"/>
        <w:rPr>
          <w:noProof/>
        </w:rPr>
      </w:pPr>
      <w:r>
        <w:rPr>
          <w:noProof/>
        </w:rPr>
        <w:t xml:space="preserve">La Comisión también preparó un proyecto de mandato, aprobado por el Grupo CPDU, para un </w:t>
      </w:r>
      <w:r>
        <w:rPr>
          <w:noProof/>
          <w:u w:val="single"/>
        </w:rPr>
        <w:t>Grupo de Expertos Técnicos sobre Recopilación de Datos y Transparencia</w:t>
      </w:r>
      <w:r>
        <w:rPr>
          <w:noProof/>
        </w:rPr>
        <w:t xml:space="preserve"> (TEG-Transparencia) y para un mecanismo de coordinación del cumplimiento, que apoyará el intercambio de información y el desarrollo de mejores prácticas entre las autoridades responsables de la concesión de licencias y las autoridades encargadas de velar por el cumplimiento en la UE.</w:t>
      </w:r>
    </w:p>
    <w:p w14:paraId="7E4B57E0" w14:textId="77777777" w:rsidR="000859BC" w:rsidRDefault="000859BC" w:rsidP="00AF5618">
      <w:pPr>
        <w:jc w:val="both"/>
        <w:rPr>
          <w:noProof/>
        </w:rPr>
      </w:pPr>
    </w:p>
    <w:p w14:paraId="2B771833" w14:textId="77777777" w:rsidR="00AF5618" w:rsidRPr="00D44B9E" w:rsidRDefault="00AF5618" w:rsidP="00D44B9E">
      <w:pPr>
        <w:jc w:val="both"/>
        <w:rPr>
          <w:rFonts w:eastAsia="SimSun"/>
          <w:noProof/>
        </w:rPr>
      </w:pPr>
      <w:r>
        <w:rPr>
          <w:noProof/>
        </w:rPr>
        <w:t xml:space="preserve">Por último, el Grupo CPDU mantuvo debates iniciales sobre la creación de un </w:t>
      </w:r>
      <w:r>
        <w:rPr>
          <w:noProof/>
          <w:u w:val="single"/>
        </w:rPr>
        <w:t>Grupo de Expertos Técnicos sobre el Desarrollo de Capacidades</w:t>
      </w:r>
      <w:r>
        <w:rPr>
          <w:noProof/>
        </w:rPr>
        <w:t xml:space="preserve"> con vistas a apoyar la formación periódica y el intercambio de conocimientos especializados en la comunidad de productos de doble uso de la UE.</w:t>
      </w:r>
    </w:p>
    <w:p w14:paraId="12E81EB1" w14:textId="77777777" w:rsidR="00AA655D" w:rsidRDefault="00AA655D" w:rsidP="00A44C7E">
      <w:pPr>
        <w:pStyle w:val="ListParagraph"/>
        <w:ind w:left="0"/>
        <w:jc w:val="both"/>
        <w:rPr>
          <w:noProof/>
        </w:rPr>
      </w:pPr>
    </w:p>
    <w:p w14:paraId="6DEE2EAF" w14:textId="77777777" w:rsidR="00AA655D" w:rsidRDefault="00AA655D" w:rsidP="00AA655D">
      <w:pPr>
        <w:keepNext/>
        <w:tabs>
          <w:tab w:val="left" w:pos="850"/>
        </w:tabs>
        <w:spacing w:after="120"/>
        <w:ind w:left="850" w:hanging="850"/>
        <w:jc w:val="both"/>
        <w:outlineLvl w:val="1"/>
        <w:rPr>
          <w:rFonts w:eastAsia="Times New Roman"/>
          <w:b/>
          <w:noProof/>
        </w:rPr>
      </w:pPr>
      <w:r>
        <w:rPr>
          <w:b/>
          <w:noProof/>
        </w:rPr>
        <w:t>3.3.</w:t>
      </w:r>
      <w:r>
        <w:rPr>
          <w:b/>
          <w:noProof/>
        </w:rPr>
        <w:tab/>
        <w:t>Directrices de la UE sobre el control de las exportaciones de productos de doble uso</w:t>
      </w:r>
      <w:bookmarkEnd w:id="7"/>
    </w:p>
    <w:p w14:paraId="6581ED3A" w14:textId="77777777" w:rsidR="00427377" w:rsidRDefault="00427377" w:rsidP="00AA655D">
      <w:pPr>
        <w:spacing w:before="100" w:beforeAutospacing="1" w:after="100" w:afterAutospacing="1"/>
        <w:jc w:val="both"/>
        <w:rPr>
          <w:rFonts w:eastAsia="Calibri"/>
          <w:noProof/>
        </w:rPr>
      </w:pPr>
      <w:r>
        <w:rPr>
          <w:noProof/>
        </w:rPr>
        <w:t>Las directrices para la investigación sobre productos de doble uso mencionadas anteriormente en la sección 3.2 fueron adoptadas por la Comisión y publicadas el 23 de septiembre de 2021</w:t>
      </w:r>
      <w:r>
        <w:rPr>
          <w:rStyle w:val="FootnoteReference"/>
          <w:rFonts w:eastAsia="Calibri"/>
          <w:noProof/>
        </w:rPr>
        <w:footnoteReference w:id="21"/>
      </w:r>
      <w:r>
        <w:rPr>
          <w:noProof/>
        </w:rPr>
        <w:t xml:space="preserve">. </w:t>
      </w:r>
    </w:p>
    <w:p w14:paraId="4476BB70" w14:textId="77777777" w:rsidR="00E73C9B" w:rsidRDefault="00453DEE" w:rsidP="005530D5">
      <w:pPr>
        <w:spacing w:before="100" w:beforeAutospacing="1" w:after="100" w:afterAutospacing="1"/>
        <w:jc w:val="both"/>
        <w:rPr>
          <w:rFonts w:eastAsia="Times New Roman"/>
          <w:noProof/>
        </w:rPr>
      </w:pPr>
      <w:r>
        <w:rPr>
          <w:noProof/>
        </w:rPr>
        <w:t xml:space="preserve">El nuevo Reglamento introduce disposiciones para que el control de las exportaciones de productos de cibervigilancia no incluidos en la lista vaya acompañado de directrices que sirvan de apoyo para su aplicación eficaz por parte de los exportadores. Estos controles abordan el riesgo de que dichos productos se utilicen en relación con represiones internas o violaciones graves de los derechos humanos o del Derecho internacional humanitario. El STEG ha estado trabajando en la preparación de dichas directrices, incluidas, entre otras cosas, medidas de diligencia debida para evaluar los riesgos relacionados con la exportación de dichos productos a los usuarios finales y para usos finales específicos.  </w:t>
      </w:r>
    </w:p>
    <w:p w14:paraId="1A018AB6" w14:textId="1389C768" w:rsidR="00F46B8C" w:rsidRPr="00FF7F39" w:rsidRDefault="00AA655D" w:rsidP="00FF7F39">
      <w:pPr>
        <w:keepNext/>
        <w:tabs>
          <w:tab w:val="left" w:pos="850"/>
        </w:tabs>
        <w:spacing w:after="120"/>
        <w:ind w:left="850" w:hanging="850"/>
        <w:jc w:val="both"/>
        <w:outlineLvl w:val="1"/>
        <w:rPr>
          <w:noProof/>
          <w:color w:val="000000"/>
        </w:rPr>
      </w:pPr>
      <w:bookmarkStart w:id="8" w:name="_Toc368065779"/>
      <w:r>
        <w:rPr>
          <w:b/>
          <w:noProof/>
        </w:rPr>
        <w:t>3.4.</w:t>
      </w:r>
      <w:r>
        <w:rPr>
          <w:b/>
          <w:noProof/>
        </w:rPr>
        <w:tab/>
        <w:t xml:space="preserve">Herramientas informáticas para el intercambio de información entre los Estados miembros y para la expedición electrónica de licencias </w:t>
      </w:r>
      <w:bookmarkEnd w:id="8"/>
    </w:p>
    <w:p w14:paraId="4833257C" w14:textId="77777777" w:rsidR="00D44B9E" w:rsidRDefault="00F46B8C" w:rsidP="00D736A8">
      <w:pPr>
        <w:jc w:val="both"/>
        <w:rPr>
          <w:rFonts w:ascii="-webkit-standard" w:hAnsi="-webkit-standard"/>
          <w:noProof/>
          <w:color w:val="000000"/>
        </w:rPr>
      </w:pPr>
      <w:r>
        <w:rPr>
          <w:rFonts w:ascii="-webkit-standard" w:hAnsi="-webkit-standard"/>
          <w:noProof/>
          <w:color w:val="000000"/>
        </w:rPr>
        <w:t xml:space="preserve">La Comisión, con el apoyo del Grupo CPDU, siguió desarrollando el sistema electrónico para productos de doble uso (DUeS) como columna vertebral informática de la red de control de las exportaciones de la UE. Esta plataforma desempeña un papel clave en la aplicación eficaz del Reglamento, por ejemplo, el intercambio de información previsto en el artículo 5. </w:t>
      </w:r>
    </w:p>
    <w:p w14:paraId="6D31D6D1" w14:textId="77777777" w:rsidR="00A44C7E" w:rsidRDefault="00A44C7E" w:rsidP="00D736A8">
      <w:pPr>
        <w:jc w:val="both"/>
        <w:rPr>
          <w:rFonts w:ascii="-webkit-standard" w:hAnsi="-webkit-standard"/>
          <w:noProof/>
          <w:color w:val="000000"/>
        </w:rPr>
      </w:pPr>
    </w:p>
    <w:p w14:paraId="2C0B08C9" w14:textId="77777777" w:rsidR="009111B9" w:rsidRDefault="009111B9" w:rsidP="00D736A8">
      <w:pPr>
        <w:jc w:val="both"/>
        <w:rPr>
          <w:rFonts w:ascii="-webkit-standard" w:hAnsi="-webkit-standard"/>
          <w:noProof/>
          <w:color w:val="000000"/>
        </w:rPr>
      </w:pPr>
      <w:r>
        <w:rPr>
          <w:rFonts w:ascii="-webkit-standard" w:hAnsi="-webkit-standard"/>
          <w:noProof/>
          <w:color w:val="000000"/>
        </w:rPr>
        <w:t>Se han desarrollado nuevas funcionalidades para apoyar el intercambio de información sobre denegaciones de transferencias dentro de la UE y para contribuir a la revisión y actualización periódicas de la información sobre denegaciones por parte de las autoridades competentes.</w:t>
      </w:r>
    </w:p>
    <w:p w14:paraId="3E5CE069" w14:textId="77777777" w:rsidR="009111B9" w:rsidRDefault="009111B9" w:rsidP="00D736A8">
      <w:pPr>
        <w:jc w:val="both"/>
        <w:rPr>
          <w:rFonts w:ascii="-webkit-standard" w:hAnsi="-webkit-standard"/>
          <w:noProof/>
          <w:color w:val="000000"/>
        </w:rPr>
      </w:pPr>
    </w:p>
    <w:p w14:paraId="0C19EA60" w14:textId="77777777" w:rsidR="00E63524" w:rsidRDefault="009111B9" w:rsidP="00D736A8">
      <w:pPr>
        <w:jc w:val="both"/>
        <w:rPr>
          <w:rFonts w:ascii="-webkit-standard" w:hAnsi="-webkit-standard"/>
          <w:noProof/>
          <w:color w:val="000000"/>
        </w:rPr>
      </w:pPr>
      <w:r>
        <w:rPr>
          <w:rFonts w:ascii="-webkit-standard" w:hAnsi="-webkit-standard"/>
          <w:noProof/>
          <w:color w:val="000000"/>
        </w:rPr>
        <w:t xml:space="preserve">En vista del </w:t>
      </w:r>
      <w:r>
        <w:rPr>
          <w:rFonts w:ascii="-webkit-standard" w:hAnsi="-webkit-standard"/>
          <w:i/>
          <w:iCs/>
          <w:noProof/>
          <w:color w:val="000000"/>
        </w:rPr>
        <w:t>Brexit</w:t>
      </w:r>
      <w:r>
        <w:rPr>
          <w:rFonts w:ascii="-webkit-standard" w:hAnsi="-webkit-standard"/>
          <w:noProof/>
          <w:color w:val="000000"/>
        </w:rPr>
        <w:t xml:space="preserve">, en enero de 2021 se introdujo una nueva funcionalidad de apoyo al intercambio de información con el Reino Unido en virtud del Protocolo sobre Irlanda del Norte. </w:t>
      </w:r>
    </w:p>
    <w:p w14:paraId="59410A43" w14:textId="77777777" w:rsidR="00473192" w:rsidRPr="009925EE" w:rsidRDefault="00473192" w:rsidP="00AA655D">
      <w:pPr>
        <w:jc w:val="both"/>
        <w:rPr>
          <w:rFonts w:ascii="-webkit-standard" w:hAnsi="-webkit-standard"/>
          <w:noProof/>
          <w:color w:val="000000"/>
        </w:rPr>
      </w:pPr>
    </w:p>
    <w:p w14:paraId="2F339EAF" w14:textId="0F5EF0A1" w:rsidR="00150045" w:rsidRPr="00150045" w:rsidRDefault="0060453A" w:rsidP="009D6D2B">
      <w:pPr>
        <w:jc w:val="both"/>
        <w:rPr>
          <w:rFonts w:ascii="-webkit-standard" w:hAnsi="-webkit-standard"/>
          <w:noProof/>
          <w:color w:val="000000"/>
        </w:rPr>
      </w:pPr>
      <w:r>
        <w:rPr>
          <w:rFonts w:ascii="-webkit-standard" w:hAnsi="-webkit-standard"/>
          <w:noProof/>
          <w:color w:val="000000"/>
        </w:rPr>
        <w:t xml:space="preserve">Tras varios años de preparativos, 2021 fue el primer año de funcionamiento del sistema de expedición electrónica de licencias sobre productos de doble uso, con su introducción en dos Estados miembros: Letonia y Rumanía. La expedición electrónica de licencias permite a las autoridades competentes y a los exportadores gestionar los controles en línea de manera más eficiente y reducir la carga administrativa asociada a los controles. Su objetivo es sustituir los sistemas fuera de línea o los sistemas electrónicos nacionales obsoletos, permitiendo un intercambio de información más ágil —también en la notificación de datos sobre licencias a la Comisión— y creando un mayor potencial para el intercambio de datos en el conjunto de la UE. El desarrollo del sistema de expedición electrónica de licencias continuó en 2021, con la adhesión de otras autoridades competentes al proyecto piloto (Italia y Bélgica, donde la Región Valona puso en marcha el proyecto en 2022, y Eslovenia, donde el lanzamiento está previsto para principios de 2023). Más allá de la UE, como parte de sus diálogos con los países socios, la Comisión está estudiando opciones para proporcionar la herramienta de expedición electrónica de licencias a los socios, por ejemplo, la autoridad nacional de Bosnia y Herzegovina, que ha mostrado interés en utilizar la herramienta. </w:t>
      </w:r>
    </w:p>
    <w:p w14:paraId="6A5B5A17" w14:textId="77777777" w:rsidR="00150045" w:rsidRPr="00150045" w:rsidRDefault="00150045" w:rsidP="00150045">
      <w:pPr>
        <w:jc w:val="both"/>
        <w:rPr>
          <w:rFonts w:ascii="-webkit-standard" w:hAnsi="-webkit-standard"/>
          <w:noProof/>
          <w:color w:val="000000"/>
        </w:rPr>
      </w:pPr>
    </w:p>
    <w:p w14:paraId="4D9C1F3D" w14:textId="0FF70471" w:rsidR="0068231A" w:rsidRDefault="00150045" w:rsidP="00150045">
      <w:pPr>
        <w:jc w:val="both"/>
        <w:rPr>
          <w:rFonts w:ascii="-webkit-standard" w:hAnsi="-webkit-standard"/>
          <w:noProof/>
          <w:color w:val="000000"/>
        </w:rPr>
      </w:pPr>
      <w:r>
        <w:rPr>
          <w:rFonts w:ascii="-webkit-standard" w:hAnsi="-webkit-standard"/>
          <w:noProof/>
          <w:color w:val="000000"/>
        </w:rPr>
        <w:t>El proyecto de expedición electrónica de licencias se está desarrollando en nuevas direcciones para aumentar la eficacia de los controles, por ejemplo, conectando el sistema de expedición electrónica de licencias con los sistemas aduaneros nacionales a través del entorno de ventanilla única para las aduanas</w:t>
      </w:r>
      <w:r>
        <w:rPr>
          <w:noProof/>
        </w:rPr>
        <w:t>.</w:t>
      </w:r>
      <w:r>
        <w:rPr>
          <w:rFonts w:ascii="-webkit-standard" w:hAnsi="-webkit-standard"/>
          <w:noProof/>
          <w:color w:val="000000"/>
        </w:rPr>
        <w:t xml:space="preserve"> Esto hará que el intercambio de información transfronterizo y con las autoridades aduaneras sea mucho más fácil, reduciendo la carga normativa para los operadores y permitiendo la gestión automática de la cantidad de licencias. Esto se haría a través de la plataforma de intercambio de certificados «CERTEX» gestionada por la DG TAXUD. </w:t>
      </w:r>
    </w:p>
    <w:p w14:paraId="79673CCD" w14:textId="77777777" w:rsidR="00CF0448" w:rsidRDefault="00CF0448" w:rsidP="00150045">
      <w:pPr>
        <w:jc w:val="both"/>
        <w:rPr>
          <w:rFonts w:ascii="-webkit-standard" w:hAnsi="-webkit-standard"/>
          <w:noProof/>
          <w:color w:val="000000"/>
        </w:rPr>
      </w:pPr>
    </w:p>
    <w:p w14:paraId="3621C95B" w14:textId="3A349090" w:rsidR="00A74C55" w:rsidRDefault="00A74C55" w:rsidP="00A74C55">
      <w:pPr>
        <w:jc w:val="both"/>
        <w:rPr>
          <w:rFonts w:ascii="-webkit-standard" w:hAnsi="-webkit-standard"/>
          <w:noProof/>
          <w:color w:val="000000"/>
        </w:rPr>
      </w:pPr>
      <w:r>
        <w:rPr>
          <w:rFonts w:ascii="-webkit-standard" w:hAnsi="-webkit-standard"/>
          <w:noProof/>
          <w:color w:val="000000"/>
        </w:rPr>
        <w:t xml:space="preserve">A petición de los Estados miembros que ya utilizan sistemas de expedición electrónica de licencias, la Comisión puso en marcha un nuevo proyecto de «puente para la expedición electrónica de licencias» para permitir la conexión de los sistemas nacionales de expedición de licencias a los sistemas aduaneros. </w:t>
      </w:r>
    </w:p>
    <w:p w14:paraId="60D50463" w14:textId="77777777" w:rsidR="00A74C55" w:rsidRDefault="00A74C55" w:rsidP="00150045">
      <w:pPr>
        <w:jc w:val="both"/>
        <w:rPr>
          <w:rFonts w:ascii="-webkit-standard" w:hAnsi="-webkit-standard"/>
          <w:noProof/>
          <w:color w:val="000000"/>
        </w:rPr>
      </w:pPr>
    </w:p>
    <w:p w14:paraId="3A4DB4FD" w14:textId="77777777" w:rsidR="00AA655D" w:rsidRPr="00CB7673" w:rsidRDefault="00AA655D" w:rsidP="00AA655D">
      <w:pPr>
        <w:keepNext/>
        <w:tabs>
          <w:tab w:val="left" w:pos="850"/>
        </w:tabs>
        <w:spacing w:after="120"/>
        <w:ind w:left="850" w:hanging="850"/>
        <w:jc w:val="both"/>
        <w:outlineLvl w:val="1"/>
        <w:rPr>
          <w:rFonts w:eastAsia="Times New Roman"/>
          <w:b/>
          <w:noProof/>
        </w:rPr>
      </w:pPr>
      <w:bookmarkStart w:id="9" w:name="_Toc368065781"/>
      <w:r>
        <w:rPr>
          <w:b/>
          <w:noProof/>
        </w:rPr>
        <w:t>3.5.</w:t>
      </w:r>
      <w:r>
        <w:rPr>
          <w:b/>
          <w:noProof/>
        </w:rPr>
        <w:tab/>
        <w:t>Aplicación y cumplimiento</w:t>
      </w:r>
      <w:bookmarkEnd w:id="9"/>
    </w:p>
    <w:p w14:paraId="522516D1" w14:textId="670AE85E" w:rsidR="00AA655D" w:rsidRPr="00F8090F" w:rsidRDefault="00AA655D" w:rsidP="00AA655D">
      <w:pPr>
        <w:spacing w:before="100" w:beforeAutospacing="1" w:after="100" w:afterAutospacing="1"/>
        <w:jc w:val="both"/>
        <w:rPr>
          <w:rFonts w:eastAsia="Calibri"/>
          <w:noProof/>
        </w:rPr>
      </w:pPr>
      <w:r>
        <w:rPr>
          <w:noProof/>
        </w:rPr>
        <w:t xml:space="preserve">La Comisión supervisó un intercambio de información sobre la aplicación y el cumplimiento de los controles con el apoyo del Grupo CPDU. Según los datos disponibles, la red de control de las exportaciones de la UE —formada por personal de las autoridades competentes sobre expedición de licencias de los Estados miembros y la Comisión— estaba compuesta por más de 345 miembros. En lo relativo al cumplimiento a nivel nacional, en 2020 se registraron setenta y ocho incumplimientos de la normativa sobre el control de las exportaciones, y las autoridades nacionales encargadas del cumplimiento de la legislación aplicaron ocho sanciones administrativas y siete sanciones penales. </w:t>
      </w:r>
    </w:p>
    <w:p w14:paraId="73E91FA6" w14:textId="77777777" w:rsidR="00AA655D" w:rsidRDefault="001926CB" w:rsidP="008C4021">
      <w:pPr>
        <w:keepNext/>
        <w:spacing w:before="100" w:beforeAutospacing="1" w:after="100" w:afterAutospacing="1"/>
        <w:jc w:val="both"/>
        <w:rPr>
          <w:rFonts w:eastAsia="Times New Roman"/>
          <w:b/>
          <w:noProof/>
        </w:rPr>
      </w:pPr>
      <w:r>
        <w:rPr>
          <w:b/>
          <w:noProof/>
        </w:rPr>
        <w:t>3.6.</w:t>
      </w:r>
      <w:r>
        <w:rPr>
          <w:b/>
          <w:noProof/>
        </w:rPr>
        <w:tab/>
        <w:t>Desarrollo de capacidades</w:t>
      </w:r>
    </w:p>
    <w:p w14:paraId="51700755" w14:textId="4FB23896" w:rsidR="001D3C5E" w:rsidRDefault="001D3C5E" w:rsidP="00AA655D">
      <w:pPr>
        <w:spacing w:before="100" w:beforeAutospacing="1" w:after="100" w:afterAutospacing="1"/>
        <w:jc w:val="both"/>
        <w:rPr>
          <w:noProof/>
          <w:highlight w:val="yellow"/>
        </w:rPr>
      </w:pPr>
      <w:r>
        <w:rPr>
          <w:noProof/>
        </w:rPr>
        <w:t>En 2021, el Centro Común de Investigación de la Comisión, con el apoyo de la DG Comercio y el Grupo CPDU, contribuyó a la preparación del 14.º seminario técnico del JRC y la Administración Nacional de Seguridad Nuclear para las autoridades encargadas de conceder las licencias. Fue organizado por el Centro Común de Investigación de la Comisión y el Departamento de Energía de los Estados Unidos. Se celebró en varias sesiones entre septiembre y noviembre de 2021. El seminario se centró en la cibervigilancia, las criptomonedas, las cadenas de bloques y la financiación de la proliferación.</w:t>
      </w:r>
    </w:p>
    <w:p w14:paraId="51D63499" w14:textId="77777777" w:rsidR="00AA655D" w:rsidRDefault="001926CB" w:rsidP="00AA655D">
      <w:pPr>
        <w:spacing w:before="100" w:beforeAutospacing="1" w:after="100" w:afterAutospacing="1"/>
        <w:jc w:val="both"/>
        <w:rPr>
          <w:rFonts w:eastAsia="Times New Roman"/>
          <w:b/>
          <w:noProof/>
        </w:rPr>
      </w:pPr>
      <w:r>
        <w:rPr>
          <w:b/>
          <w:noProof/>
        </w:rPr>
        <w:t>3.7.</w:t>
      </w:r>
      <w:r>
        <w:rPr>
          <w:b/>
          <w:noProof/>
        </w:rPr>
        <w:tab/>
        <w:t xml:space="preserve">Transparencia y diálogo con la industria y las universidades </w:t>
      </w:r>
    </w:p>
    <w:p w14:paraId="21ACC0ED" w14:textId="70588335" w:rsidR="00F840E8" w:rsidRPr="009119FA" w:rsidRDefault="00F840E8" w:rsidP="009D6D2B">
      <w:pPr>
        <w:spacing w:before="100" w:beforeAutospacing="1" w:after="100" w:afterAutospacing="1"/>
        <w:jc w:val="both"/>
        <w:rPr>
          <w:rFonts w:eastAsia="Times New Roman"/>
          <w:noProof/>
        </w:rPr>
      </w:pPr>
      <w:r>
        <w:rPr>
          <w:noProof/>
        </w:rPr>
        <w:t>Como se menciona en la sección 2.1.2, la Comisión, con el apoyo del Grupo CPDU, organizó el Foro sobre el Control de las Exportaciones de 2021 y preparó documentación para ayudar a los exportadores a aplicar el Reglamento, incluidas las directrices para la investigación sobre productos de doble uso y una «Nota de síntesis general de las modificaciones de 2020» en la que se explican los cambios en la lista de control.</w:t>
      </w:r>
    </w:p>
    <w:p w14:paraId="7B721AC9" w14:textId="77777777" w:rsidR="00114F71" w:rsidRDefault="00114F71" w:rsidP="00114F71">
      <w:pPr>
        <w:keepNext/>
        <w:tabs>
          <w:tab w:val="left" w:pos="850"/>
        </w:tabs>
        <w:spacing w:after="120"/>
        <w:jc w:val="both"/>
        <w:outlineLvl w:val="0"/>
        <w:rPr>
          <w:rFonts w:eastAsia="Times New Roman"/>
          <w:b/>
          <w:smallCaps/>
          <w:noProof/>
        </w:rPr>
      </w:pPr>
      <w:r>
        <w:rPr>
          <w:b/>
          <w:smallCaps/>
          <w:noProof/>
        </w:rPr>
        <w:t>4.</w:t>
      </w:r>
      <w:r>
        <w:rPr>
          <w:b/>
          <w:smallCaps/>
          <w:noProof/>
        </w:rPr>
        <w:tab/>
        <w:t xml:space="preserve">Control de las exportaciones de la UE: datos principales </w:t>
      </w:r>
    </w:p>
    <w:p w14:paraId="637A974A" w14:textId="34A17CB7" w:rsidR="00114F71" w:rsidRPr="00897C8D" w:rsidRDefault="00114F71" w:rsidP="00A46A0C">
      <w:pPr>
        <w:spacing w:before="100" w:beforeAutospacing="1" w:after="100" w:afterAutospacing="1"/>
        <w:jc w:val="both"/>
        <w:rPr>
          <w:rFonts w:eastAsia="Times New Roman"/>
          <w:noProof/>
        </w:rPr>
      </w:pPr>
      <w:r>
        <w:rPr>
          <w:noProof/>
        </w:rPr>
        <w:t xml:space="preserve">En la actualidad sigue siendo difícil obtener información fiable sobre las exportaciones generales de productos de doble uso (incluidos los productos de doble uso que no figuran en la lista), ya que no existe una categoría oficial de «productos de doble uso» en las estadísticas económicas y comerciales oficiales. Sin embargo, la Comisión y los Estados miembros recopilan datos que permiten realizar estimaciones aproximadas de las exportaciones de productos de doble uso, basándose, por un lado, en los datos específicos de las licencias recogidos por las autoridades competentes y, por otro, en las estadísticas de las declaraciones de exportación a las aduanas de la UE que incluyen productos de doble uso. Más adelante se presentan las estimaciones de los datos de exportación correspondientes a 2020. Cabe señalar que en las estimaciones presentadas no se incluyen servicios ni transferencias intangibles de tecnología vinculados al comercio de productos de doble uso. </w:t>
      </w:r>
    </w:p>
    <w:p w14:paraId="710ADEE7" w14:textId="77777777" w:rsidR="00114F71" w:rsidRPr="00897C8D" w:rsidRDefault="00114F71" w:rsidP="00114F71">
      <w:pPr>
        <w:keepNext/>
        <w:tabs>
          <w:tab w:val="left" w:pos="850"/>
        </w:tabs>
        <w:spacing w:after="120"/>
        <w:ind w:left="850" w:hanging="850"/>
        <w:jc w:val="both"/>
        <w:outlineLvl w:val="1"/>
        <w:rPr>
          <w:rFonts w:eastAsia="Times New Roman"/>
          <w:b/>
          <w:noProof/>
        </w:rPr>
      </w:pPr>
      <w:r>
        <w:rPr>
          <w:b/>
          <w:noProof/>
        </w:rPr>
        <w:t>4.1.</w:t>
      </w:r>
      <w:r>
        <w:rPr>
          <w:b/>
          <w:noProof/>
        </w:rPr>
        <w:tab/>
        <w:t xml:space="preserve">Comercio de productos de doble uso en la UE: productos y destinos </w:t>
      </w:r>
    </w:p>
    <w:p w14:paraId="491628C5" w14:textId="3DD70D18" w:rsidR="00114F71" w:rsidRDefault="00114F71" w:rsidP="00114F71">
      <w:pPr>
        <w:spacing w:before="100" w:beforeAutospacing="1" w:after="100" w:afterAutospacing="1"/>
        <w:jc w:val="both"/>
        <w:rPr>
          <w:noProof/>
        </w:rPr>
      </w:pPr>
      <w:r>
        <w:rPr>
          <w:noProof/>
        </w:rPr>
        <w:t>En 2021, el Reglamento se aplicó principalmente a la exportación de unos 1 884 productos de doble uso que figuran en el anexo I (la denominada «lista de control de la UE»), clasificados en diez categorías del anexo I del Reglamento (UE) 821/2021</w:t>
      </w:r>
      <w:r w:rsidR="00E36851">
        <w:rPr>
          <w:rStyle w:val="FootnoteReference"/>
          <w:rFonts w:eastAsia="Times New Roman"/>
          <w:noProof/>
          <w:lang w:eastAsia="en-GB"/>
        </w:rPr>
        <w:footnoteReference w:id="22"/>
      </w:r>
      <w:r>
        <w:rPr>
          <w:noProof/>
        </w:rPr>
        <w:t xml:space="preserve"> (gráfico 1). Estos productos de doble uso están relacionados con unas mil «mercancías» de la «nomenclatura aduanera», entre las que se incluyen productos químicos, metales y productos minerales no metálicos, ordenadores, productos electrónicos y ópticos, equipos eléctricos, maquinaria, vehículos y equipos de transporte, etc., que normalmente pertenecen a la gama de alta tecnología de este gran campo de productos diversos. </w:t>
      </w:r>
    </w:p>
    <w:p w14:paraId="7E1E2975" w14:textId="44B58D9F" w:rsidR="00154C67" w:rsidRDefault="00154C67" w:rsidP="00114F71">
      <w:pPr>
        <w:spacing w:before="100" w:beforeAutospacing="1" w:after="100" w:afterAutospacing="1"/>
        <w:jc w:val="both"/>
        <w:rPr>
          <w:rFonts w:eastAsia="Times New Roman"/>
          <w:noProof/>
        </w:rPr>
      </w:pPr>
      <w:r w:rsidRPr="00154C67">
        <w:rPr>
          <w:noProof/>
          <w:lang w:val="en-GB" w:eastAsia="en-GB"/>
        </w:rPr>
        <w:drawing>
          <wp:inline distT="0" distB="0" distL="0" distR="0" wp14:anchorId="3FCEFBB6" wp14:editId="2E49AE0A">
            <wp:extent cx="5774795" cy="2754924"/>
            <wp:effectExtent l="0" t="0" r="0" b="762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5386" t="22430" b="17287"/>
                    <a:stretch/>
                  </pic:blipFill>
                  <pic:spPr bwMode="auto">
                    <a:xfrm>
                      <a:off x="0" y="0"/>
                      <a:ext cx="5791048" cy="2762678"/>
                    </a:xfrm>
                    <a:prstGeom prst="rect">
                      <a:avLst/>
                    </a:prstGeom>
                    <a:noFill/>
                    <a:ln>
                      <a:noFill/>
                    </a:ln>
                    <a:extLst>
                      <a:ext uri="{53640926-AAD7-44D8-BBD7-CCE9431645EC}">
                        <a14:shadowObscured xmlns:a14="http://schemas.microsoft.com/office/drawing/2010/main"/>
                      </a:ext>
                    </a:extLst>
                  </pic:spPr>
                </pic:pic>
              </a:graphicData>
            </a:graphic>
          </wp:inline>
        </w:drawing>
      </w:r>
    </w:p>
    <w:p w14:paraId="5C5CB1DD" w14:textId="083A3FCF" w:rsidR="00114F71" w:rsidRPr="00897C8D" w:rsidRDefault="00114F71" w:rsidP="00114F71">
      <w:pPr>
        <w:spacing w:after="100" w:afterAutospacing="1"/>
        <w:jc w:val="both"/>
        <w:rPr>
          <w:rFonts w:eastAsia="Times New Roman"/>
          <w:i/>
          <w:noProof/>
          <w:sz w:val="20"/>
          <w:szCs w:val="20"/>
        </w:rPr>
      </w:pPr>
      <w:r>
        <w:rPr>
          <w:i/>
          <w:noProof/>
          <w:sz w:val="20"/>
        </w:rPr>
        <w:br/>
        <w:t>Gráfico 1. Número de productos de doble uso clasificados en las diez categorías del anexo I del Reglamento (UE) 2021/821.</w:t>
      </w:r>
    </w:p>
    <w:p w14:paraId="6B204220" w14:textId="77777777" w:rsidR="00114F71" w:rsidRDefault="00114F71" w:rsidP="00114F71">
      <w:pPr>
        <w:spacing w:after="100" w:afterAutospacing="1"/>
        <w:jc w:val="both"/>
        <w:rPr>
          <w:rFonts w:eastAsia="Times New Roman"/>
          <w:noProof/>
        </w:rPr>
      </w:pPr>
      <w:r>
        <w:rPr>
          <w:noProof/>
        </w:rPr>
        <w:t>Los cálculos estadísticos de la importancia relativa del comercio de productos de doble uso indican que las exportaciones de este tipo de productos representan aproximadamente el 2,7 % de las exportaciones totales de la Europa de los Veintisiete (en el seno de esta y a terceros países) dentro del extenso «ámbito de exportaciones de productos de doble uso»</w:t>
      </w:r>
      <w:r>
        <w:rPr>
          <w:rFonts w:eastAsia="Times New Roman"/>
          <w:noProof/>
          <w:vertAlign w:val="superscript"/>
          <w:lang w:eastAsia="en-GB"/>
        </w:rPr>
        <w:footnoteReference w:id="23"/>
      </w:r>
      <w:r>
        <w:rPr>
          <w:noProof/>
        </w:rPr>
        <w:t xml:space="preserve"> de mercancías aduaneras que pueden incluir, en distintos grados, algunos productos de doble uso (gráfico 2). Esto situaría el valor del comercio de productos de doble uso en 128 000 millones de euros en 2020. </w:t>
      </w:r>
    </w:p>
    <w:p w14:paraId="06895F85" w14:textId="3D5ADEA8" w:rsidR="00154C67" w:rsidRPr="003361D2" w:rsidRDefault="00154C67" w:rsidP="00114F71">
      <w:pPr>
        <w:spacing w:after="100" w:afterAutospacing="1"/>
        <w:jc w:val="center"/>
        <w:rPr>
          <w:rFonts w:eastAsia="Times New Roman"/>
          <w:noProof/>
        </w:rPr>
      </w:pPr>
      <w:r w:rsidRPr="00154C67">
        <w:rPr>
          <w:noProof/>
          <w:lang w:val="en-GB" w:eastAsia="en-GB"/>
        </w:rPr>
        <w:drawing>
          <wp:inline distT="0" distB="0" distL="0" distR="0" wp14:anchorId="6923ABF8" wp14:editId="5A7E36EB">
            <wp:extent cx="4029557" cy="2520461"/>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1674" t="25512" r="17647" b="23797"/>
                    <a:stretch/>
                  </pic:blipFill>
                  <pic:spPr bwMode="auto">
                    <a:xfrm>
                      <a:off x="0" y="0"/>
                      <a:ext cx="4042294" cy="2528428"/>
                    </a:xfrm>
                    <a:prstGeom prst="rect">
                      <a:avLst/>
                    </a:prstGeom>
                    <a:noFill/>
                    <a:ln>
                      <a:noFill/>
                    </a:ln>
                    <a:extLst>
                      <a:ext uri="{53640926-AAD7-44D8-BBD7-CCE9431645EC}">
                        <a14:shadowObscured xmlns:a14="http://schemas.microsoft.com/office/drawing/2010/main"/>
                      </a:ext>
                    </a:extLst>
                  </pic:spPr>
                </pic:pic>
              </a:graphicData>
            </a:graphic>
          </wp:inline>
        </w:drawing>
      </w:r>
    </w:p>
    <w:p w14:paraId="3D12E786" w14:textId="437D9C74" w:rsidR="00114F71" w:rsidRDefault="00114F71" w:rsidP="00114F71">
      <w:pPr>
        <w:spacing w:after="100" w:afterAutospacing="1"/>
        <w:jc w:val="center"/>
        <w:rPr>
          <w:rFonts w:eastAsia="Times New Roman"/>
          <w:i/>
          <w:noProof/>
          <w:sz w:val="20"/>
          <w:szCs w:val="20"/>
        </w:rPr>
      </w:pPr>
      <w:r>
        <w:rPr>
          <w:i/>
          <w:noProof/>
          <w:sz w:val="20"/>
        </w:rPr>
        <w:t>Gráfico 2</w:t>
      </w:r>
      <w:r w:rsidR="00AC79FC">
        <w:rPr>
          <w:i/>
          <w:noProof/>
          <w:sz w:val="20"/>
        </w:rPr>
        <w:t>.</w:t>
      </w:r>
      <w:r>
        <w:rPr>
          <w:i/>
          <w:noProof/>
          <w:sz w:val="20"/>
        </w:rPr>
        <w:t xml:space="preserve"> Estimaciones estadísticas de las exportaciones de productos de doble uso en la UE y a terceros países.</w:t>
      </w:r>
    </w:p>
    <w:p w14:paraId="1948CCDC" w14:textId="6B1AA574" w:rsidR="00114F71" w:rsidRDefault="00114F71" w:rsidP="00D76008">
      <w:pPr>
        <w:spacing w:before="100" w:beforeAutospacing="1" w:after="100" w:afterAutospacing="1"/>
        <w:jc w:val="both"/>
        <w:rPr>
          <w:rFonts w:eastAsia="Times New Roman"/>
          <w:noProof/>
        </w:rPr>
      </w:pPr>
      <w:r>
        <w:rPr>
          <w:noProof/>
        </w:rPr>
        <w:t>Las estimaciones estadísticas también indican los principales destinos de las exportaciones y ponen de manifiesto que una gran parte de ellas se dirigen hacia países que se benefician de autorizaciones generales de exportación de la Unión (AGEC). La clasificación de los países de destino refleja el mercado de exportación de la UE en una cesta de mercancías relacionadas principalmente con productos de doble uso (gráficos 3 y 4)</w:t>
      </w:r>
      <w:r>
        <w:rPr>
          <w:rFonts w:eastAsia="Times New Roman"/>
          <w:noProof/>
          <w:vertAlign w:val="superscript"/>
          <w:lang w:eastAsia="en-GB"/>
        </w:rPr>
        <w:footnoteReference w:id="24"/>
      </w:r>
      <w:r>
        <w:rPr>
          <w:noProof/>
        </w:rPr>
        <w:t xml:space="preserve">. </w:t>
      </w:r>
    </w:p>
    <w:p w14:paraId="0F5D9FC8" w14:textId="28F277BC" w:rsidR="00114F71" w:rsidRDefault="00154C67" w:rsidP="00154C67">
      <w:pPr>
        <w:spacing w:before="100" w:beforeAutospacing="1" w:after="100" w:afterAutospacing="1"/>
        <w:jc w:val="both"/>
        <w:rPr>
          <w:rFonts w:eastAsia="Times New Roman"/>
          <w:i/>
          <w:noProof/>
          <w:sz w:val="20"/>
          <w:szCs w:val="20"/>
        </w:rPr>
      </w:pPr>
      <w:r w:rsidRPr="00154C67">
        <w:rPr>
          <w:noProof/>
          <w:lang w:val="en-GB" w:eastAsia="en-GB"/>
        </w:rPr>
        <w:drawing>
          <wp:inline distT="0" distB="0" distL="0" distR="0" wp14:anchorId="2EE26407" wp14:editId="16643AA0">
            <wp:extent cx="5515708" cy="4138427"/>
            <wp:effectExtent l="0" t="0" r="889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5514" t="14554" r="9217"/>
                    <a:stretch/>
                  </pic:blipFill>
                  <pic:spPr bwMode="auto">
                    <a:xfrm>
                      <a:off x="0" y="0"/>
                      <a:ext cx="5526616" cy="4146611"/>
                    </a:xfrm>
                    <a:prstGeom prst="rect">
                      <a:avLst/>
                    </a:prstGeom>
                    <a:noFill/>
                    <a:ln>
                      <a:noFill/>
                    </a:ln>
                    <a:extLst>
                      <a:ext uri="{53640926-AAD7-44D8-BBD7-CCE9431645EC}">
                        <a14:shadowObscured xmlns:a14="http://schemas.microsoft.com/office/drawing/2010/main"/>
                      </a:ext>
                    </a:extLst>
                  </pic:spPr>
                </pic:pic>
              </a:graphicData>
            </a:graphic>
          </wp:inline>
        </w:drawing>
      </w:r>
      <w:r w:rsidR="00114F71">
        <w:rPr>
          <w:i/>
          <w:noProof/>
          <w:sz w:val="20"/>
        </w:rPr>
        <w:t>Gráfico 3. Estimaciones de las exportaciones de productos de doble uso de la UE: los veinticinco principales países de destino de las exportaciones y sus subregiones en 2020.</w:t>
      </w:r>
    </w:p>
    <w:p w14:paraId="15C770EF" w14:textId="77777777" w:rsidR="00114F71" w:rsidRDefault="00114F71" w:rsidP="00114F71">
      <w:pPr>
        <w:spacing w:after="100" w:afterAutospacing="1"/>
        <w:jc w:val="center"/>
        <w:rPr>
          <w:rFonts w:eastAsia="Times New Roman"/>
          <w:i/>
          <w:noProof/>
          <w:sz w:val="20"/>
          <w:szCs w:val="20"/>
          <w:lang w:eastAsia="en-GB"/>
        </w:rPr>
      </w:pPr>
    </w:p>
    <w:p w14:paraId="176ED5F3" w14:textId="6D0D0B99" w:rsidR="00114F71" w:rsidRDefault="00154C67" w:rsidP="00154C67">
      <w:pPr>
        <w:spacing w:before="120" w:after="100" w:afterAutospacing="1"/>
        <w:rPr>
          <w:rFonts w:eastAsia="Times New Roman"/>
          <w:i/>
          <w:noProof/>
          <w:sz w:val="20"/>
          <w:szCs w:val="20"/>
        </w:rPr>
      </w:pPr>
      <w:r w:rsidRPr="00154C67">
        <w:rPr>
          <w:noProof/>
          <w:lang w:val="en-GB" w:eastAsia="en-GB"/>
        </w:rPr>
        <w:drawing>
          <wp:inline distT="0" distB="0" distL="0" distR="0" wp14:anchorId="67348859" wp14:editId="3F2B2989">
            <wp:extent cx="5914939" cy="32004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4553" b="13183"/>
                    <a:stretch/>
                  </pic:blipFill>
                  <pic:spPr bwMode="auto">
                    <a:xfrm>
                      <a:off x="0" y="0"/>
                      <a:ext cx="5927619" cy="3207261"/>
                    </a:xfrm>
                    <a:prstGeom prst="rect">
                      <a:avLst/>
                    </a:prstGeom>
                    <a:noFill/>
                    <a:ln>
                      <a:noFill/>
                    </a:ln>
                    <a:extLst>
                      <a:ext uri="{53640926-AAD7-44D8-BBD7-CCE9431645EC}">
                        <a14:shadowObscured xmlns:a14="http://schemas.microsoft.com/office/drawing/2010/main"/>
                      </a:ext>
                    </a:extLst>
                  </pic:spPr>
                </pic:pic>
              </a:graphicData>
            </a:graphic>
          </wp:inline>
        </w:drawing>
      </w:r>
      <w:r w:rsidR="00114F71">
        <w:rPr>
          <w:i/>
          <w:noProof/>
          <w:sz w:val="20"/>
        </w:rPr>
        <w:t>Gráfico 4. Estimaciones de las exportaciones de productos de doble uso de la UE: países de destino por regiones y subregiones en 2020.</w:t>
      </w:r>
    </w:p>
    <w:p w14:paraId="12127C22" w14:textId="77777777" w:rsidR="00114F71" w:rsidRDefault="00114F71" w:rsidP="00114F71">
      <w:pPr>
        <w:keepNext/>
        <w:tabs>
          <w:tab w:val="left" w:pos="850"/>
        </w:tabs>
        <w:spacing w:after="120"/>
        <w:ind w:left="850" w:hanging="850"/>
        <w:jc w:val="both"/>
        <w:outlineLvl w:val="1"/>
        <w:rPr>
          <w:rFonts w:eastAsia="Times New Roman"/>
          <w:b/>
          <w:noProof/>
        </w:rPr>
      </w:pPr>
      <w:r>
        <w:rPr>
          <w:b/>
          <w:noProof/>
        </w:rPr>
        <w:t>4.2.</w:t>
      </w:r>
      <w:r>
        <w:rPr>
          <w:b/>
          <w:noProof/>
        </w:rPr>
        <w:tab/>
        <w:t xml:space="preserve">Licencias de exportación de productos de doble uso en la UE: solicitudes, licencias y denegaciones </w:t>
      </w:r>
    </w:p>
    <w:p w14:paraId="6A30E84F" w14:textId="7B21EEF1" w:rsidR="00114F71" w:rsidRDefault="00114F71" w:rsidP="00114F71">
      <w:pPr>
        <w:spacing w:before="100" w:beforeAutospacing="1" w:after="100" w:afterAutospacing="1"/>
        <w:jc w:val="both"/>
        <w:rPr>
          <w:rFonts w:eastAsia="Times New Roman"/>
          <w:noProof/>
        </w:rPr>
      </w:pPr>
      <w:r>
        <w:rPr>
          <w:noProof/>
        </w:rPr>
        <w:t>Con arreglo a lo dispuesto en el artículo 23, apartado 2, del Reglamento, según el cual «los Estados miembros adoptarán todas las disposiciones oportunas [...] para establecer una cooperación directa y un intercambio de información entre las autoridades competentes con vistas a aumentar la eficacia del régimen de control de las exportaciones de la Unión», la Comisión y los Estados miembros han intercambiado información y datos sobre la concesión licencias con el objetivo de comprender mejor los controles de las exportaciones y su efecto económico. Este intercambio ha sido apoyado por el Grupo CPDU. A continuación, se presentan algunos de los datos recopilados correspondientes al período que cubre el presente informe; cabe señalar, sin embargo, que no todos los Estados miembros recopilan todos los datos. La información facilitada a continuación representa estimaciones aproximadas de las cantidades y los valores agregados dentro de los límites de los datos facilitados por los Estados miembros.</w:t>
      </w:r>
    </w:p>
    <w:p w14:paraId="714D153C" w14:textId="4833DAE2" w:rsidR="00114F71" w:rsidRDefault="00FC33F0" w:rsidP="00FC33F0">
      <w:pPr>
        <w:spacing w:after="120"/>
        <w:jc w:val="both"/>
        <w:rPr>
          <w:rFonts w:eastAsia="Times New Roman"/>
          <w:noProof/>
        </w:rPr>
      </w:pPr>
      <w:r>
        <w:rPr>
          <w:noProof/>
        </w:rPr>
        <w:t>En 2020 el valor total</w:t>
      </w:r>
      <w:r w:rsidR="00114F71" w:rsidRPr="00D106B0">
        <w:rPr>
          <w:rFonts w:eastAsia="Times New Roman"/>
          <w:noProof/>
          <w:vertAlign w:val="superscript"/>
          <w:lang w:eastAsia="en-GB"/>
        </w:rPr>
        <w:footnoteReference w:id="25"/>
      </w:r>
      <w:r>
        <w:rPr>
          <w:noProof/>
        </w:rPr>
        <w:t xml:space="preserve"> de las solicitudes ascendió a 38 400 millones EUR, y las exportaciones de productos de doble uso controladas representaron el 2,3 % del total de las exportaciones a terceros países. El comercio autorizado de productos de doble uso ascendió a 31 000 millones EUR, lo que representa el 1,9 % del total de las exportaciones hacia terceros países, y la mayor parte de las transacciones autorizadas se realizaron en el marco de licencias individuales</w:t>
      </w:r>
      <w:r w:rsidR="00114F71" w:rsidRPr="00D106B0">
        <w:rPr>
          <w:rStyle w:val="FootnoteReference"/>
          <w:rFonts w:eastAsia="Times New Roman"/>
          <w:noProof/>
          <w:lang w:eastAsia="en-GB"/>
        </w:rPr>
        <w:footnoteReference w:id="26"/>
      </w:r>
      <w:r>
        <w:rPr>
          <w:noProof/>
        </w:rPr>
        <w:t xml:space="preserve"> (en 2020 se concedieron unas 19 412 licencias individuales) y licencias globales</w:t>
      </w:r>
      <w:r w:rsidR="00114F71" w:rsidRPr="00D106B0">
        <w:rPr>
          <w:rStyle w:val="FootnoteReference"/>
          <w:rFonts w:eastAsia="Times New Roman"/>
          <w:noProof/>
          <w:lang w:eastAsia="en-GB"/>
        </w:rPr>
        <w:footnoteReference w:id="27"/>
      </w:r>
      <w:r>
        <w:rPr>
          <w:noProof/>
        </w:rPr>
        <w:t xml:space="preserve"> (por su valor). Solo se denegó una pequeña parte de las exportaciones: se emitieron 559 denegaciones en 2020, lo que representa, aproximadamente, el 1,4 % del valor de las exportaciones controladas de productos de doble uso en ese año y el 0,03 % del total de las exportaciones a terceros países. Las diferencias en los datos que indican una disminución en comparación con los años anteriores se deben al </w:t>
      </w:r>
      <w:r>
        <w:rPr>
          <w:i/>
          <w:iCs/>
          <w:noProof/>
        </w:rPr>
        <w:t>Brexit</w:t>
      </w:r>
      <w:r>
        <w:rPr>
          <w:noProof/>
        </w:rPr>
        <w:t xml:space="preserve"> y al hecho de que el Reino Unido no facilitó datos desde 2019. En cuanto a los destinos para licencias de exportación, los veinticinco destinos principales fuera de la UE representaron el 94 % del valor autorizado y los principales destinos fueron China, los Estados Unidos, Taiwán, Corea del Sur y Rusia. Con respecto a las transferencias dentro de la UE, los principales destinos fueron Francia, Suecia, Finlandia, Alemania, España y Bélgica. El desglose de las licencias por categorías de productos del anexo I del Reglamento sobre productos de doble uso muestra que la principal categoría por valor en 2020 fue la categoría 5 sobre «Telecomunicaciones y "seguridad de la información"», seguida de la categoría 0 sobre «Materiales, instalaciones y equipos nucleares» y la categoría 3 sobre «Electrónica».</w:t>
      </w:r>
    </w:p>
    <w:p w14:paraId="0689130D" w14:textId="167D195A" w:rsidR="00C41009" w:rsidRDefault="00C41009" w:rsidP="00114F71">
      <w:pPr>
        <w:spacing w:before="100" w:beforeAutospacing="1" w:after="100" w:afterAutospacing="1"/>
        <w:jc w:val="center"/>
        <w:rPr>
          <w:rFonts w:eastAsia="Times New Roman"/>
          <w:noProof/>
        </w:rPr>
      </w:pPr>
      <w:r w:rsidRPr="00C41009">
        <w:rPr>
          <w:noProof/>
          <w:lang w:val="en-GB" w:eastAsia="en-GB"/>
        </w:rPr>
        <w:drawing>
          <wp:inline distT="0" distB="0" distL="0" distR="0" wp14:anchorId="6B06BE80" wp14:editId="62ACB3DD">
            <wp:extent cx="4918075" cy="2672715"/>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918075" cy="2672715"/>
                    </a:xfrm>
                    <a:prstGeom prst="rect">
                      <a:avLst/>
                    </a:prstGeom>
                    <a:noFill/>
                    <a:ln>
                      <a:noFill/>
                    </a:ln>
                  </pic:spPr>
                </pic:pic>
              </a:graphicData>
            </a:graphic>
          </wp:inline>
        </w:drawing>
      </w:r>
    </w:p>
    <w:p w14:paraId="3B0FFF6D" w14:textId="24CD1125" w:rsidR="00114F71" w:rsidRDefault="00114F71" w:rsidP="00114F71">
      <w:pPr>
        <w:spacing w:after="240"/>
        <w:jc w:val="center"/>
        <w:rPr>
          <w:rFonts w:eastAsia="Times New Roman"/>
          <w:i/>
          <w:noProof/>
          <w:sz w:val="20"/>
          <w:szCs w:val="20"/>
        </w:rPr>
      </w:pPr>
      <w:r>
        <w:rPr>
          <w:i/>
          <w:noProof/>
          <w:sz w:val="20"/>
        </w:rPr>
        <w:t>Gráfico 5. Volumen (número) de las autorizaciones concedidas y denegadas en el período 2016-2020</w:t>
      </w:r>
      <w:r w:rsidRPr="00897C8D">
        <w:rPr>
          <w:rFonts w:eastAsia="Times New Roman"/>
          <w:i/>
          <w:noProof/>
          <w:sz w:val="20"/>
          <w:szCs w:val="20"/>
          <w:vertAlign w:val="superscript"/>
          <w:lang w:eastAsia="en-GB"/>
        </w:rPr>
        <w:footnoteReference w:id="28"/>
      </w:r>
      <w:r>
        <w:rPr>
          <w:i/>
          <w:noProof/>
          <w:sz w:val="20"/>
        </w:rPr>
        <w:t>.</w:t>
      </w:r>
    </w:p>
    <w:p w14:paraId="43D2606B" w14:textId="02CAF83D" w:rsidR="00C41009" w:rsidRDefault="00C41009" w:rsidP="00114F71">
      <w:pPr>
        <w:spacing w:after="120"/>
        <w:jc w:val="center"/>
        <w:rPr>
          <w:rFonts w:eastAsia="Calibri"/>
          <w:noProof/>
        </w:rPr>
      </w:pPr>
      <w:r w:rsidRPr="00C41009">
        <w:rPr>
          <w:noProof/>
          <w:lang w:val="en-GB" w:eastAsia="en-GB"/>
        </w:rPr>
        <w:drawing>
          <wp:inline distT="0" distB="0" distL="0" distR="0" wp14:anchorId="0A3E723F" wp14:editId="5DB1A31A">
            <wp:extent cx="4888230" cy="2696210"/>
            <wp:effectExtent l="0" t="0" r="7620" b="889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888230" cy="2696210"/>
                    </a:xfrm>
                    <a:prstGeom prst="rect">
                      <a:avLst/>
                    </a:prstGeom>
                    <a:noFill/>
                    <a:ln>
                      <a:noFill/>
                    </a:ln>
                  </pic:spPr>
                </pic:pic>
              </a:graphicData>
            </a:graphic>
          </wp:inline>
        </w:drawing>
      </w:r>
    </w:p>
    <w:p w14:paraId="37535D94" w14:textId="77777777" w:rsidR="00114F71" w:rsidRDefault="00114F71" w:rsidP="00114F71">
      <w:pPr>
        <w:spacing w:after="120"/>
        <w:jc w:val="center"/>
        <w:rPr>
          <w:rFonts w:eastAsia="Times New Roman"/>
          <w:i/>
          <w:noProof/>
          <w:sz w:val="20"/>
          <w:szCs w:val="20"/>
          <w:vertAlign w:val="superscript"/>
        </w:rPr>
      </w:pPr>
      <w:r>
        <w:rPr>
          <w:i/>
          <w:noProof/>
          <w:sz w:val="20"/>
        </w:rPr>
        <w:t>Gráfico 6. Valor (millones EUR) de autorizaciones concedidas y denegadas en el período 2016-2020.</w:t>
      </w:r>
      <w:r>
        <w:rPr>
          <w:i/>
          <w:noProof/>
          <w:sz w:val="20"/>
          <w:vertAlign w:val="superscript"/>
        </w:rPr>
        <w:t xml:space="preserve"> </w:t>
      </w:r>
    </w:p>
    <w:p w14:paraId="1439CE36" w14:textId="77777777" w:rsidR="00114F71" w:rsidRDefault="00114F71" w:rsidP="00114F71">
      <w:pPr>
        <w:spacing w:after="120"/>
        <w:jc w:val="center"/>
        <w:rPr>
          <w:rFonts w:eastAsia="Times New Roman"/>
          <w:i/>
          <w:noProof/>
          <w:sz w:val="20"/>
          <w:szCs w:val="20"/>
          <w:vertAlign w:val="superscript"/>
          <w:lang w:eastAsia="en-GB"/>
        </w:rPr>
      </w:pPr>
    </w:p>
    <w:p w14:paraId="42E1F37C" w14:textId="75835505" w:rsidR="00C41009" w:rsidRPr="00B31C58" w:rsidRDefault="00C41009" w:rsidP="00114F71">
      <w:pPr>
        <w:spacing w:after="120"/>
        <w:jc w:val="center"/>
        <w:rPr>
          <w:rFonts w:eastAsia="Times New Roman"/>
          <w:i/>
          <w:noProof/>
          <w:vertAlign w:val="superscript"/>
        </w:rPr>
      </w:pPr>
      <w:r w:rsidRPr="00C41009">
        <w:rPr>
          <w:noProof/>
          <w:lang w:val="en-GB" w:eastAsia="en-GB"/>
        </w:rPr>
        <w:drawing>
          <wp:inline distT="0" distB="0" distL="0" distR="0" wp14:anchorId="37F9D204" wp14:editId="28E77183">
            <wp:extent cx="5760720" cy="3248909"/>
            <wp:effectExtent l="0" t="0" r="0" b="889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720" cy="3248909"/>
                    </a:xfrm>
                    <a:prstGeom prst="rect">
                      <a:avLst/>
                    </a:prstGeom>
                    <a:noFill/>
                    <a:ln>
                      <a:noFill/>
                    </a:ln>
                  </pic:spPr>
                </pic:pic>
              </a:graphicData>
            </a:graphic>
          </wp:inline>
        </w:drawing>
      </w:r>
    </w:p>
    <w:p w14:paraId="48138912" w14:textId="77777777" w:rsidR="00114F71" w:rsidRDefault="00114F71" w:rsidP="00114F71">
      <w:pPr>
        <w:spacing w:after="120"/>
        <w:jc w:val="center"/>
        <w:rPr>
          <w:rFonts w:eastAsia="Times New Roman"/>
          <w:i/>
          <w:noProof/>
          <w:sz w:val="20"/>
          <w:szCs w:val="20"/>
        </w:rPr>
      </w:pPr>
      <w:r>
        <w:rPr>
          <w:i/>
          <w:noProof/>
          <w:sz w:val="20"/>
        </w:rPr>
        <w:t>Gráfico 7. Volumen (número) de autorizaciones por tipo de licencia en 2020.</w:t>
      </w:r>
    </w:p>
    <w:p w14:paraId="307E6024" w14:textId="77777777" w:rsidR="00114F71" w:rsidRDefault="00114F71" w:rsidP="00114F71">
      <w:pPr>
        <w:spacing w:after="120"/>
        <w:jc w:val="center"/>
        <w:rPr>
          <w:rFonts w:eastAsia="Times New Roman"/>
          <w:i/>
          <w:noProof/>
          <w:sz w:val="20"/>
          <w:szCs w:val="20"/>
          <w:lang w:eastAsia="en-GB"/>
        </w:rPr>
      </w:pPr>
    </w:p>
    <w:p w14:paraId="37E51B35" w14:textId="42E488B7" w:rsidR="00C41009" w:rsidRDefault="00C41009" w:rsidP="00114F71">
      <w:pPr>
        <w:spacing w:after="120"/>
        <w:jc w:val="center"/>
        <w:rPr>
          <w:rFonts w:eastAsia="Times New Roman"/>
          <w:i/>
          <w:noProof/>
          <w:sz w:val="20"/>
          <w:szCs w:val="20"/>
        </w:rPr>
      </w:pPr>
      <w:r w:rsidRPr="00C41009">
        <w:rPr>
          <w:noProof/>
          <w:lang w:val="en-GB" w:eastAsia="en-GB"/>
        </w:rPr>
        <w:drawing>
          <wp:inline distT="0" distB="0" distL="0" distR="0" wp14:anchorId="7B8948C1" wp14:editId="2FE70B7B">
            <wp:extent cx="5760720" cy="3206098"/>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720" cy="3206098"/>
                    </a:xfrm>
                    <a:prstGeom prst="rect">
                      <a:avLst/>
                    </a:prstGeom>
                    <a:noFill/>
                    <a:ln>
                      <a:noFill/>
                    </a:ln>
                  </pic:spPr>
                </pic:pic>
              </a:graphicData>
            </a:graphic>
          </wp:inline>
        </w:drawing>
      </w:r>
    </w:p>
    <w:p w14:paraId="23A58B7F" w14:textId="77777777" w:rsidR="00114F71" w:rsidRPr="002C0B4B" w:rsidRDefault="00114F71" w:rsidP="00114F71">
      <w:pPr>
        <w:spacing w:after="100" w:afterAutospacing="1"/>
        <w:jc w:val="center"/>
        <w:rPr>
          <w:rFonts w:eastAsia="Times New Roman"/>
          <w:i/>
          <w:noProof/>
          <w:sz w:val="20"/>
          <w:szCs w:val="20"/>
        </w:rPr>
      </w:pPr>
      <w:r>
        <w:rPr>
          <w:i/>
          <w:noProof/>
          <w:sz w:val="20"/>
        </w:rPr>
        <w:t>Gráfico 8. Valor (millones EUR) de autorizaciones por tipo en 2020.</w:t>
      </w:r>
    </w:p>
    <w:p w14:paraId="20E55297" w14:textId="77777777" w:rsidR="00114F71" w:rsidRDefault="00114F71" w:rsidP="00114F71">
      <w:pPr>
        <w:pStyle w:val="ListParagraph"/>
        <w:spacing w:before="60" w:after="60"/>
        <w:ind w:left="0"/>
        <w:contextualSpacing/>
        <w:jc w:val="both"/>
        <w:rPr>
          <w:rFonts w:ascii="Times New Roman" w:eastAsiaTheme="minorHAnsi" w:hAnsi="Times New Roman" w:cs="Times New Roman"/>
          <w:noProof/>
          <w:sz w:val="24"/>
          <w:szCs w:val="24"/>
          <w:lang w:eastAsia="en-US"/>
        </w:rPr>
      </w:pPr>
    </w:p>
    <w:p w14:paraId="5B9622BE" w14:textId="6A933028" w:rsidR="00726061" w:rsidRDefault="00726061" w:rsidP="00114F71">
      <w:pPr>
        <w:keepNext/>
        <w:rPr>
          <w:noProof/>
        </w:rPr>
      </w:pPr>
      <w:r w:rsidRPr="00726061">
        <w:rPr>
          <w:noProof/>
          <w:lang w:val="en-GB" w:eastAsia="en-GB"/>
        </w:rPr>
        <w:drawing>
          <wp:inline distT="0" distB="0" distL="0" distR="0" wp14:anchorId="395E3A9A" wp14:editId="5F289564">
            <wp:extent cx="5867400" cy="356563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t="9589" b="9250"/>
                    <a:stretch/>
                  </pic:blipFill>
                  <pic:spPr bwMode="auto">
                    <a:xfrm>
                      <a:off x="0" y="0"/>
                      <a:ext cx="5875363" cy="3570469"/>
                    </a:xfrm>
                    <a:prstGeom prst="rect">
                      <a:avLst/>
                    </a:prstGeom>
                    <a:noFill/>
                    <a:ln>
                      <a:noFill/>
                    </a:ln>
                    <a:extLst>
                      <a:ext uri="{53640926-AAD7-44D8-BBD7-CCE9431645EC}">
                        <a14:shadowObscured xmlns:a14="http://schemas.microsoft.com/office/drawing/2010/main"/>
                      </a:ext>
                    </a:extLst>
                  </pic:spPr>
                </pic:pic>
              </a:graphicData>
            </a:graphic>
          </wp:inline>
        </w:drawing>
      </w:r>
    </w:p>
    <w:p w14:paraId="2E896040" w14:textId="5969AA90" w:rsidR="00726061" w:rsidRPr="00726061" w:rsidRDefault="00114F71" w:rsidP="00726061">
      <w:pPr>
        <w:spacing w:after="100" w:afterAutospacing="1"/>
        <w:jc w:val="center"/>
        <w:rPr>
          <w:i/>
          <w:noProof/>
          <w:sz w:val="20"/>
        </w:rPr>
      </w:pPr>
      <w:r>
        <w:rPr>
          <w:i/>
          <w:noProof/>
          <w:sz w:val="20"/>
        </w:rPr>
        <w:t xml:space="preserve">Gráfico 9. Principales destinos de las autorizaciones fuera de la UE en 2020.  </w:t>
      </w:r>
    </w:p>
    <w:p w14:paraId="5B3D498D" w14:textId="77777777" w:rsidR="00114F71" w:rsidRPr="0036208F" w:rsidRDefault="00114F71" w:rsidP="00114F71">
      <w:pPr>
        <w:spacing w:after="100" w:afterAutospacing="1"/>
        <w:jc w:val="center"/>
        <w:rPr>
          <w:rFonts w:eastAsia="Times New Roman"/>
          <w:i/>
          <w:noProof/>
          <w:sz w:val="20"/>
          <w:szCs w:val="20"/>
          <w:lang w:eastAsia="en-GB"/>
        </w:rPr>
      </w:pPr>
    </w:p>
    <w:p w14:paraId="593B89F3" w14:textId="08F1E993" w:rsidR="00FA2028" w:rsidRDefault="00726061" w:rsidP="00114F71">
      <w:pPr>
        <w:keepNext/>
        <w:jc w:val="center"/>
        <w:rPr>
          <w:noProof/>
        </w:rPr>
      </w:pPr>
      <w:r w:rsidRPr="00726061">
        <w:rPr>
          <w:noProof/>
          <w:lang w:val="en-GB" w:eastAsia="en-GB"/>
        </w:rPr>
        <w:drawing>
          <wp:inline distT="0" distB="0" distL="0" distR="0" wp14:anchorId="2AD2C4AC" wp14:editId="3AA5D624">
            <wp:extent cx="5441058" cy="3300046"/>
            <wp:effectExtent l="0" t="0" r="762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11301" b="7696"/>
                    <a:stretch/>
                  </pic:blipFill>
                  <pic:spPr bwMode="auto">
                    <a:xfrm>
                      <a:off x="0" y="0"/>
                      <a:ext cx="5450065" cy="3305509"/>
                    </a:xfrm>
                    <a:prstGeom prst="rect">
                      <a:avLst/>
                    </a:prstGeom>
                    <a:noFill/>
                    <a:ln>
                      <a:noFill/>
                    </a:ln>
                    <a:extLst>
                      <a:ext uri="{53640926-AAD7-44D8-BBD7-CCE9431645EC}">
                        <a14:shadowObscured xmlns:a14="http://schemas.microsoft.com/office/drawing/2010/main"/>
                      </a:ext>
                    </a:extLst>
                  </pic:spPr>
                </pic:pic>
              </a:graphicData>
            </a:graphic>
          </wp:inline>
        </w:drawing>
      </w:r>
    </w:p>
    <w:p w14:paraId="10EC96AE" w14:textId="77777777" w:rsidR="00114F71" w:rsidRPr="0076127C" w:rsidRDefault="00114F71" w:rsidP="00114F71">
      <w:pPr>
        <w:spacing w:after="100" w:afterAutospacing="1"/>
        <w:jc w:val="center"/>
        <w:rPr>
          <w:rFonts w:eastAsia="Times New Roman"/>
          <w:i/>
          <w:noProof/>
          <w:sz w:val="20"/>
          <w:szCs w:val="20"/>
        </w:rPr>
      </w:pPr>
      <w:r>
        <w:rPr>
          <w:i/>
          <w:noProof/>
          <w:sz w:val="20"/>
        </w:rPr>
        <w:t>Gráfico 10. Destinos de las autorizaciones dentro de la UE en 2020.</w:t>
      </w:r>
    </w:p>
    <w:p w14:paraId="5F5D5877" w14:textId="77777777" w:rsidR="00114F71" w:rsidRDefault="00114F71" w:rsidP="00114F71">
      <w:pPr>
        <w:rPr>
          <w:b/>
          <w:noProof/>
        </w:rPr>
      </w:pPr>
    </w:p>
    <w:p w14:paraId="74A5CEE6" w14:textId="4774D950" w:rsidR="00726061" w:rsidRDefault="00726061" w:rsidP="00114F71">
      <w:pPr>
        <w:spacing w:after="100" w:afterAutospacing="1"/>
        <w:jc w:val="center"/>
        <w:rPr>
          <w:i/>
          <w:noProof/>
          <w:sz w:val="20"/>
        </w:rPr>
      </w:pPr>
      <w:r w:rsidRPr="00726061">
        <w:rPr>
          <w:noProof/>
          <w:lang w:val="en-GB" w:eastAsia="en-GB"/>
        </w:rPr>
        <w:drawing>
          <wp:inline distT="0" distB="0" distL="0" distR="0" wp14:anchorId="39550551" wp14:editId="700F0857">
            <wp:extent cx="5766756" cy="3253154"/>
            <wp:effectExtent l="0" t="0" r="5715" b="444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16951" b="7707"/>
                    <a:stretch/>
                  </pic:blipFill>
                  <pic:spPr bwMode="auto">
                    <a:xfrm>
                      <a:off x="0" y="0"/>
                      <a:ext cx="5787790" cy="3265020"/>
                    </a:xfrm>
                    <a:prstGeom prst="rect">
                      <a:avLst/>
                    </a:prstGeom>
                    <a:noFill/>
                    <a:ln>
                      <a:noFill/>
                    </a:ln>
                    <a:extLst>
                      <a:ext uri="{53640926-AAD7-44D8-BBD7-CCE9431645EC}">
                        <a14:shadowObscured xmlns:a14="http://schemas.microsoft.com/office/drawing/2010/main"/>
                      </a:ext>
                    </a:extLst>
                  </pic:spPr>
                </pic:pic>
              </a:graphicData>
            </a:graphic>
          </wp:inline>
        </w:drawing>
      </w:r>
    </w:p>
    <w:p w14:paraId="79B29E31" w14:textId="653D1D9C" w:rsidR="00114F71" w:rsidRDefault="00114F71" w:rsidP="00114F71">
      <w:pPr>
        <w:spacing w:after="100" w:afterAutospacing="1"/>
        <w:jc w:val="center"/>
        <w:rPr>
          <w:rFonts w:eastAsia="Times New Roman"/>
          <w:i/>
          <w:noProof/>
          <w:sz w:val="20"/>
          <w:szCs w:val="20"/>
        </w:rPr>
      </w:pPr>
      <w:r>
        <w:rPr>
          <w:i/>
          <w:noProof/>
          <w:sz w:val="20"/>
        </w:rPr>
        <w:br/>
        <w:t>Gráfico 11. Autorizaciones de las diez categorías del anexo I del Reglamento sobre productos de doble uso.</w:t>
      </w:r>
    </w:p>
    <w:p w14:paraId="546BC891" w14:textId="77777777" w:rsidR="00FA2028" w:rsidRPr="008D4935" w:rsidRDefault="00FA2028" w:rsidP="00114F71">
      <w:pPr>
        <w:spacing w:after="100" w:afterAutospacing="1"/>
        <w:jc w:val="center"/>
        <w:rPr>
          <w:rFonts w:eastAsia="Times New Roman"/>
          <w:i/>
          <w:noProof/>
          <w:sz w:val="20"/>
          <w:szCs w:val="20"/>
          <w:lang w:eastAsia="en-GB"/>
        </w:rPr>
      </w:pPr>
    </w:p>
    <w:p w14:paraId="45FA4BCD" w14:textId="26D643CF" w:rsidR="00AA655D" w:rsidRDefault="00AA655D" w:rsidP="00AA655D">
      <w:pPr>
        <w:keepNext/>
        <w:tabs>
          <w:tab w:val="left" w:pos="850"/>
        </w:tabs>
        <w:spacing w:after="120"/>
        <w:ind w:left="850" w:hanging="850"/>
        <w:jc w:val="both"/>
        <w:outlineLvl w:val="0"/>
        <w:rPr>
          <w:rFonts w:eastAsia="Times New Roman"/>
          <w:b/>
          <w:smallCaps/>
          <w:noProof/>
        </w:rPr>
      </w:pPr>
      <w:bookmarkStart w:id="10" w:name="DQCNUMB_3"/>
      <w:bookmarkEnd w:id="10"/>
      <w:r>
        <w:rPr>
          <w:b/>
          <w:smallCaps/>
          <w:noProof/>
        </w:rPr>
        <w:t>5.</w:t>
      </w:r>
      <w:r>
        <w:rPr>
          <w:b/>
          <w:smallCaps/>
          <w:noProof/>
        </w:rPr>
        <w:tab/>
        <w:t>Conclusión</w:t>
      </w:r>
    </w:p>
    <w:p w14:paraId="2E3ACB3E" w14:textId="77777777" w:rsidR="00B41926" w:rsidRPr="00D106B0" w:rsidRDefault="004423DD" w:rsidP="004C057A">
      <w:pPr>
        <w:jc w:val="both"/>
        <w:rPr>
          <w:noProof/>
        </w:rPr>
      </w:pPr>
      <w:r>
        <w:rPr>
          <w:noProof/>
        </w:rPr>
        <w:t xml:space="preserve">A raíz de las diversas acciones emprendidas en 2021, la Comisión y los Estados miembros seguirán centrándose en el cumplimiento de los nuevos requisitos y mandatos en virtud del nuevo Reglamento. Esto incluye continuar el trabajo en los diversos grupos de expertos técnicos para mejorar los controles de las tecnologías de cibervigilancia, mejorar el intercambio de información y la transparencia, la aplicación de los controles de las exportaciones, las tecnologías emergentes y el desarrollo de programas de formación y desarrollo de capacidades de la UE para las autoridades responsables de la concesión de licencias y la aplicación de la legislación de los Estados miembros. </w:t>
      </w:r>
    </w:p>
    <w:p w14:paraId="2093E636" w14:textId="77777777" w:rsidR="001926CB" w:rsidRDefault="001926CB" w:rsidP="00CA7673">
      <w:pPr>
        <w:jc w:val="both"/>
        <w:rPr>
          <w:noProof/>
        </w:rPr>
      </w:pPr>
    </w:p>
    <w:p w14:paraId="64F3738A" w14:textId="60D73494" w:rsidR="00AA655D" w:rsidRDefault="004C057A" w:rsidP="001926CB">
      <w:pPr>
        <w:jc w:val="both"/>
        <w:rPr>
          <w:noProof/>
        </w:rPr>
      </w:pPr>
      <w:r>
        <w:rPr>
          <w:noProof/>
        </w:rPr>
        <w:t>Estas acciones de la UE en virtud del nuevo Reglamento también permitirán a la UE cooperar más eficazmente con sus socios para promover la convergencia mundial de los controles, reducir las fricciones comerciales y aumentar la previsibilidad para las empresas, promover los valores de la UE y defender la paz y la seguridad internacionales.</w:t>
      </w:r>
    </w:p>
    <w:p w14:paraId="6AA471BC" w14:textId="77777777" w:rsidR="00B930EF" w:rsidRDefault="00B930EF" w:rsidP="001926CB">
      <w:pPr>
        <w:jc w:val="both"/>
        <w:rPr>
          <w:noProof/>
        </w:rPr>
      </w:pPr>
    </w:p>
    <w:p w14:paraId="41AC3C1F" w14:textId="77777777" w:rsidR="00B930EF" w:rsidRDefault="00B930EF" w:rsidP="001926CB">
      <w:pPr>
        <w:jc w:val="both"/>
        <w:rPr>
          <w:b/>
          <w:noProof/>
        </w:rPr>
        <w:sectPr w:rsidR="00B930EF">
          <w:headerReference w:type="even" r:id="rId27"/>
          <w:headerReference w:type="default" r:id="rId28"/>
          <w:footerReference w:type="even" r:id="rId29"/>
          <w:footerReference w:type="default" r:id="rId30"/>
          <w:headerReference w:type="first" r:id="rId31"/>
          <w:footerReference w:type="first" r:id="rId32"/>
          <w:pgSz w:w="11906" w:h="16838"/>
          <w:pgMar w:top="1417" w:right="1417" w:bottom="1417" w:left="1417" w:header="708" w:footer="708" w:gutter="0"/>
          <w:cols w:space="720"/>
          <w:docGrid w:linePitch="360"/>
        </w:sectPr>
      </w:pPr>
    </w:p>
    <w:tbl>
      <w:tblPr>
        <w:tblW w:w="15727" w:type="dxa"/>
        <w:tblInd w:w="-1185" w:type="dxa"/>
        <w:tblCellMar>
          <w:left w:w="0" w:type="dxa"/>
          <w:right w:w="0" w:type="dxa"/>
        </w:tblCellMar>
        <w:tblLook w:val="0420" w:firstRow="1" w:lastRow="0" w:firstColumn="0" w:lastColumn="0" w:noHBand="0" w:noVBand="1"/>
      </w:tblPr>
      <w:tblGrid>
        <w:gridCol w:w="1206"/>
        <w:gridCol w:w="1585"/>
        <w:gridCol w:w="1644"/>
        <w:gridCol w:w="1666"/>
        <w:gridCol w:w="1203"/>
        <w:gridCol w:w="1203"/>
        <w:gridCol w:w="1203"/>
        <w:gridCol w:w="1204"/>
        <w:gridCol w:w="1203"/>
        <w:gridCol w:w="1203"/>
        <w:gridCol w:w="1203"/>
        <w:gridCol w:w="1204"/>
      </w:tblGrid>
      <w:tr w:rsidR="00B930EF" w:rsidRPr="00454CF6" w14:paraId="610F321C" w14:textId="77777777" w:rsidTr="007C1E5E">
        <w:trPr>
          <w:trHeight w:val="745"/>
        </w:trPr>
        <w:tc>
          <w:tcPr>
            <w:tcW w:w="5933" w:type="dxa"/>
            <w:gridSpan w:val="4"/>
            <w:tcBorders>
              <w:top w:val="single" w:sz="8" w:space="0" w:color="BFBFBF"/>
              <w:left w:val="single" w:sz="6" w:space="0" w:color="FFFFFF"/>
              <w:bottom w:val="single" w:sz="8" w:space="0" w:color="BFBFBF"/>
              <w:right w:val="single" w:sz="8" w:space="0" w:color="BFBFBF"/>
            </w:tcBorders>
            <w:shd w:val="clear" w:color="auto" w:fill="FFC000"/>
            <w:tcMar>
              <w:top w:w="72" w:type="dxa"/>
              <w:left w:w="144" w:type="dxa"/>
              <w:bottom w:w="72" w:type="dxa"/>
              <w:right w:w="144" w:type="dxa"/>
            </w:tcMar>
            <w:vAlign w:val="center"/>
            <w:hideMark/>
          </w:tcPr>
          <w:p w14:paraId="078B50A6" w14:textId="77777777" w:rsidR="00B930EF" w:rsidRPr="00454CF6" w:rsidRDefault="00B930EF" w:rsidP="007C1E5E">
            <w:pPr>
              <w:jc w:val="center"/>
              <w:rPr>
                <w:rFonts w:ascii="Arial" w:eastAsia="Times New Roman" w:hAnsi="Arial" w:cs="Arial"/>
                <w:noProof/>
                <w:sz w:val="36"/>
                <w:szCs w:val="36"/>
              </w:rPr>
            </w:pPr>
            <w:r>
              <w:rPr>
                <w:rFonts w:ascii="Arial" w:hAnsi="Arial"/>
                <w:noProof/>
                <w:color w:val="000000" w:themeColor="text1"/>
                <w:sz w:val="36"/>
              </w:rPr>
              <w:t>2021</w:t>
            </w:r>
          </w:p>
        </w:tc>
        <w:tc>
          <w:tcPr>
            <w:tcW w:w="4897" w:type="dxa"/>
            <w:gridSpan w:val="4"/>
            <w:tcBorders>
              <w:top w:val="single" w:sz="8" w:space="0" w:color="BFBFBF"/>
              <w:left w:val="single" w:sz="8" w:space="0" w:color="BFBFBF"/>
              <w:bottom w:val="single" w:sz="8" w:space="0" w:color="BFBFBF"/>
              <w:right w:val="single" w:sz="8" w:space="0" w:color="BFBFBF"/>
            </w:tcBorders>
            <w:shd w:val="clear" w:color="auto" w:fill="00B050"/>
            <w:tcMar>
              <w:top w:w="72" w:type="dxa"/>
              <w:left w:w="144" w:type="dxa"/>
              <w:bottom w:w="72" w:type="dxa"/>
              <w:right w:w="144" w:type="dxa"/>
            </w:tcMar>
            <w:vAlign w:val="center"/>
            <w:hideMark/>
          </w:tcPr>
          <w:p w14:paraId="06A1AC8D" w14:textId="77777777" w:rsidR="00B930EF" w:rsidRPr="00454CF6" w:rsidRDefault="00B930EF" w:rsidP="007C1E5E">
            <w:pPr>
              <w:jc w:val="center"/>
              <w:rPr>
                <w:rFonts w:ascii="Arial" w:eastAsia="Times New Roman" w:hAnsi="Arial" w:cs="Arial"/>
                <w:noProof/>
                <w:sz w:val="36"/>
                <w:szCs w:val="36"/>
              </w:rPr>
            </w:pPr>
            <w:r>
              <w:rPr>
                <w:rFonts w:ascii="Arial" w:hAnsi="Arial"/>
                <w:noProof/>
                <w:color w:val="000000" w:themeColor="text1"/>
                <w:sz w:val="36"/>
              </w:rPr>
              <w:t>2022</w:t>
            </w:r>
          </w:p>
        </w:tc>
        <w:tc>
          <w:tcPr>
            <w:tcW w:w="4897" w:type="dxa"/>
            <w:gridSpan w:val="4"/>
            <w:tcBorders>
              <w:top w:val="single" w:sz="8" w:space="0" w:color="BFBFBF"/>
              <w:left w:val="single" w:sz="8" w:space="0" w:color="BFBFBF"/>
              <w:bottom w:val="single" w:sz="8" w:space="0" w:color="BFBFBF"/>
              <w:right w:val="single" w:sz="8" w:space="0" w:color="BFBFBF"/>
            </w:tcBorders>
            <w:shd w:val="clear" w:color="auto" w:fill="0070C0"/>
            <w:tcMar>
              <w:top w:w="72" w:type="dxa"/>
              <w:left w:w="144" w:type="dxa"/>
              <w:bottom w:w="72" w:type="dxa"/>
              <w:right w:w="144" w:type="dxa"/>
            </w:tcMar>
            <w:vAlign w:val="center"/>
            <w:hideMark/>
          </w:tcPr>
          <w:p w14:paraId="03655233" w14:textId="77777777" w:rsidR="00B930EF" w:rsidRPr="00454CF6" w:rsidRDefault="00B930EF" w:rsidP="007C1E5E">
            <w:pPr>
              <w:jc w:val="center"/>
              <w:rPr>
                <w:rFonts w:ascii="Arial" w:eastAsia="Times New Roman" w:hAnsi="Arial" w:cs="Arial"/>
                <w:noProof/>
                <w:sz w:val="36"/>
                <w:szCs w:val="36"/>
              </w:rPr>
            </w:pPr>
            <w:r>
              <w:rPr>
                <w:rFonts w:ascii="Arial" w:hAnsi="Arial"/>
                <w:noProof/>
                <w:color w:val="000000" w:themeColor="text1"/>
                <w:sz w:val="36"/>
              </w:rPr>
              <w:t>2023</w:t>
            </w:r>
          </w:p>
        </w:tc>
      </w:tr>
      <w:tr w:rsidR="00B930EF" w:rsidRPr="00454CF6" w14:paraId="3954FEB4" w14:textId="77777777" w:rsidTr="007C1E5E">
        <w:trPr>
          <w:trHeight w:val="745"/>
        </w:trPr>
        <w:tc>
          <w:tcPr>
            <w:tcW w:w="1226"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1F02563B" w14:textId="77777777" w:rsidR="00B930EF" w:rsidRPr="00454CF6" w:rsidRDefault="00B930EF" w:rsidP="007C1E5E">
            <w:pPr>
              <w:jc w:val="center"/>
              <w:rPr>
                <w:rFonts w:ascii="Arial" w:eastAsia="Times New Roman" w:hAnsi="Arial" w:cs="Arial"/>
                <w:noProof/>
                <w:sz w:val="36"/>
                <w:szCs w:val="36"/>
              </w:rPr>
            </w:pPr>
            <w:r>
              <w:rPr>
                <w:rFonts w:ascii="Arial" w:hAnsi="Arial"/>
                <w:noProof/>
                <w:color w:val="000000" w:themeColor="text1"/>
              </w:rPr>
              <w:t>T1</w:t>
            </w:r>
          </w:p>
        </w:tc>
        <w:tc>
          <w:tcPr>
            <w:tcW w:w="1586"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37B2EB27" w14:textId="77777777" w:rsidR="00B930EF" w:rsidRPr="00454CF6" w:rsidRDefault="00B930EF" w:rsidP="007C1E5E">
            <w:pPr>
              <w:jc w:val="center"/>
              <w:rPr>
                <w:rFonts w:ascii="Arial" w:eastAsia="Times New Roman" w:hAnsi="Arial" w:cs="Arial"/>
                <w:noProof/>
                <w:sz w:val="36"/>
                <w:szCs w:val="36"/>
              </w:rPr>
            </w:pPr>
            <w:r>
              <w:rPr>
                <w:rFonts w:ascii="Arial" w:hAnsi="Arial"/>
                <w:noProof/>
                <w:color w:val="000000" w:themeColor="text1"/>
              </w:rPr>
              <w:t>T2</w:t>
            </w:r>
          </w:p>
        </w:tc>
        <w:tc>
          <w:tcPr>
            <w:tcW w:w="1587"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65F40936" w14:textId="77777777" w:rsidR="00B930EF" w:rsidRPr="00454CF6" w:rsidRDefault="00B930EF" w:rsidP="007C1E5E">
            <w:pPr>
              <w:jc w:val="center"/>
              <w:rPr>
                <w:rFonts w:ascii="Arial" w:eastAsia="Times New Roman" w:hAnsi="Arial" w:cs="Arial"/>
                <w:noProof/>
                <w:sz w:val="36"/>
                <w:szCs w:val="36"/>
              </w:rPr>
            </w:pPr>
            <w:r>
              <w:rPr>
                <w:rFonts w:ascii="Arial" w:hAnsi="Arial"/>
                <w:noProof/>
                <w:color w:val="000000" w:themeColor="text1"/>
              </w:rPr>
              <w:t>T3</w:t>
            </w:r>
          </w:p>
        </w:tc>
        <w:tc>
          <w:tcPr>
            <w:tcW w:w="1533"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5E1258D9" w14:textId="77777777" w:rsidR="00B930EF" w:rsidRPr="00454CF6" w:rsidRDefault="00B930EF" w:rsidP="007C1E5E">
            <w:pPr>
              <w:jc w:val="center"/>
              <w:rPr>
                <w:rFonts w:ascii="Arial" w:eastAsia="Times New Roman" w:hAnsi="Arial" w:cs="Arial"/>
                <w:noProof/>
                <w:sz w:val="36"/>
                <w:szCs w:val="36"/>
              </w:rPr>
            </w:pPr>
            <w:r>
              <w:rPr>
                <w:rFonts w:ascii="Arial" w:hAnsi="Arial"/>
                <w:noProof/>
                <w:color w:val="000000" w:themeColor="text1"/>
              </w:rPr>
              <w:t>T4</w:t>
            </w: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vAlign w:val="center"/>
            <w:hideMark/>
          </w:tcPr>
          <w:p w14:paraId="00E75CD2" w14:textId="77777777" w:rsidR="00B930EF" w:rsidRPr="00454CF6" w:rsidRDefault="00B930EF" w:rsidP="007C1E5E">
            <w:pPr>
              <w:jc w:val="center"/>
              <w:rPr>
                <w:rFonts w:ascii="Arial" w:eastAsia="Times New Roman" w:hAnsi="Arial" w:cs="Arial"/>
                <w:noProof/>
                <w:sz w:val="36"/>
                <w:szCs w:val="36"/>
              </w:rPr>
            </w:pPr>
            <w:r>
              <w:rPr>
                <w:rFonts w:ascii="Arial" w:hAnsi="Arial"/>
                <w:noProof/>
                <w:color w:val="000000" w:themeColor="text1"/>
              </w:rPr>
              <w:t>T1</w:t>
            </w: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vAlign w:val="center"/>
            <w:hideMark/>
          </w:tcPr>
          <w:p w14:paraId="46E08B8D" w14:textId="77777777" w:rsidR="00B930EF" w:rsidRPr="00454CF6" w:rsidRDefault="00B930EF" w:rsidP="007C1E5E">
            <w:pPr>
              <w:jc w:val="center"/>
              <w:rPr>
                <w:rFonts w:ascii="Arial" w:eastAsia="Times New Roman" w:hAnsi="Arial" w:cs="Arial"/>
                <w:noProof/>
                <w:sz w:val="36"/>
                <w:szCs w:val="36"/>
              </w:rPr>
            </w:pPr>
            <w:r>
              <w:rPr>
                <w:rFonts w:ascii="Arial" w:hAnsi="Arial"/>
                <w:noProof/>
                <w:color w:val="000000" w:themeColor="text1"/>
              </w:rPr>
              <w:t>T2</w:t>
            </w: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vAlign w:val="center"/>
            <w:hideMark/>
          </w:tcPr>
          <w:p w14:paraId="2F5680F5" w14:textId="77777777" w:rsidR="00B930EF" w:rsidRPr="00454CF6" w:rsidRDefault="00B930EF" w:rsidP="007C1E5E">
            <w:pPr>
              <w:jc w:val="center"/>
              <w:rPr>
                <w:rFonts w:ascii="Arial" w:eastAsia="Times New Roman" w:hAnsi="Arial" w:cs="Arial"/>
                <w:noProof/>
                <w:sz w:val="36"/>
                <w:szCs w:val="36"/>
              </w:rPr>
            </w:pPr>
            <w:r>
              <w:rPr>
                <w:rFonts w:ascii="Arial" w:hAnsi="Arial"/>
                <w:noProof/>
                <w:color w:val="000000" w:themeColor="text1"/>
              </w:rPr>
              <w:t>T3</w:t>
            </w: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vAlign w:val="center"/>
            <w:hideMark/>
          </w:tcPr>
          <w:p w14:paraId="249E090D" w14:textId="77777777" w:rsidR="00B930EF" w:rsidRPr="00454CF6" w:rsidRDefault="00B930EF" w:rsidP="007C1E5E">
            <w:pPr>
              <w:jc w:val="center"/>
              <w:rPr>
                <w:rFonts w:ascii="Arial" w:eastAsia="Times New Roman" w:hAnsi="Arial" w:cs="Arial"/>
                <w:noProof/>
                <w:sz w:val="36"/>
                <w:szCs w:val="36"/>
              </w:rPr>
            </w:pPr>
            <w:r>
              <w:rPr>
                <w:rFonts w:ascii="Arial" w:hAnsi="Arial"/>
                <w:noProof/>
                <w:color w:val="000000" w:themeColor="text1"/>
              </w:rPr>
              <w:t>T4</w:t>
            </w: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5DCE0D97" w14:textId="77777777" w:rsidR="00B930EF" w:rsidRPr="00454CF6" w:rsidRDefault="00B930EF" w:rsidP="007C1E5E">
            <w:pPr>
              <w:jc w:val="center"/>
              <w:rPr>
                <w:rFonts w:ascii="Arial" w:eastAsia="Times New Roman" w:hAnsi="Arial" w:cs="Arial"/>
                <w:noProof/>
                <w:sz w:val="36"/>
                <w:szCs w:val="36"/>
              </w:rPr>
            </w:pPr>
            <w:r>
              <w:rPr>
                <w:rFonts w:ascii="Arial" w:hAnsi="Arial"/>
                <w:noProof/>
                <w:color w:val="000000" w:themeColor="text1"/>
              </w:rPr>
              <w:t>T1</w:t>
            </w: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44EC39D7" w14:textId="77777777" w:rsidR="00B930EF" w:rsidRPr="00454CF6" w:rsidRDefault="00B930EF" w:rsidP="007C1E5E">
            <w:pPr>
              <w:jc w:val="center"/>
              <w:rPr>
                <w:rFonts w:ascii="Arial" w:eastAsia="Times New Roman" w:hAnsi="Arial" w:cs="Arial"/>
                <w:noProof/>
                <w:sz w:val="36"/>
                <w:szCs w:val="36"/>
              </w:rPr>
            </w:pPr>
            <w:r>
              <w:rPr>
                <w:rFonts w:ascii="Arial" w:hAnsi="Arial"/>
                <w:noProof/>
                <w:color w:val="000000" w:themeColor="text1"/>
              </w:rPr>
              <w:t>T2</w:t>
            </w: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3573BABB" w14:textId="77777777" w:rsidR="00B930EF" w:rsidRPr="00454CF6" w:rsidRDefault="00B930EF" w:rsidP="007C1E5E">
            <w:pPr>
              <w:jc w:val="center"/>
              <w:rPr>
                <w:rFonts w:ascii="Arial" w:eastAsia="Times New Roman" w:hAnsi="Arial" w:cs="Arial"/>
                <w:noProof/>
                <w:sz w:val="36"/>
                <w:szCs w:val="36"/>
              </w:rPr>
            </w:pPr>
            <w:r>
              <w:rPr>
                <w:rFonts w:ascii="Arial" w:hAnsi="Arial"/>
                <w:noProof/>
                <w:color w:val="000000" w:themeColor="text1"/>
              </w:rPr>
              <w:t>T3</w:t>
            </w: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33CF78AB" w14:textId="77777777" w:rsidR="00B930EF" w:rsidRPr="00454CF6" w:rsidRDefault="00B930EF" w:rsidP="007C1E5E">
            <w:pPr>
              <w:jc w:val="center"/>
              <w:rPr>
                <w:rFonts w:ascii="Arial" w:eastAsia="Times New Roman" w:hAnsi="Arial" w:cs="Arial"/>
                <w:noProof/>
                <w:sz w:val="36"/>
                <w:szCs w:val="36"/>
              </w:rPr>
            </w:pPr>
            <w:r>
              <w:rPr>
                <w:rFonts w:ascii="Arial" w:hAnsi="Arial"/>
                <w:noProof/>
                <w:color w:val="000000" w:themeColor="text1"/>
              </w:rPr>
              <w:t>T4</w:t>
            </w:r>
          </w:p>
        </w:tc>
      </w:tr>
      <w:tr w:rsidR="00B930EF" w:rsidRPr="00454CF6" w14:paraId="33F0F9B0" w14:textId="77777777" w:rsidTr="007C1E5E">
        <w:trPr>
          <w:trHeight w:val="1075"/>
        </w:trPr>
        <w:tc>
          <w:tcPr>
            <w:tcW w:w="1226"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0CBC1D47" w14:textId="77777777" w:rsidR="00B930EF" w:rsidRPr="00454CF6" w:rsidRDefault="00B930EF" w:rsidP="007C1E5E">
            <w:pPr>
              <w:spacing w:line="256" w:lineRule="auto"/>
              <w:rPr>
                <w:rFonts w:ascii="Arial" w:eastAsia="Times New Roman" w:hAnsi="Arial" w:cs="Arial"/>
                <w:noProof/>
                <w:sz w:val="36"/>
                <w:szCs w:val="36"/>
                <w:lang w:val="en-US" w:eastAsia="fr-BE"/>
              </w:rPr>
            </w:pPr>
          </w:p>
        </w:tc>
        <w:tc>
          <w:tcPr>
            <w:tcW w:w="1586" w:type="dxa"/>
            <w:tcBorders>
              <w:top w:val="single" w:sz="8" w:space="0" w:color="BFBFBF"/>
              <w:left w:val="single" w:sz="8" w:space="0" w:color="BFBFBF"/>
              <w:bottom w:val="single" w:sz="8" w:space="0" w:color="BFBFBF"/>
              <w:right w:val="single" w:sz="8" w:space="0" w:color="BFBFBF"/>
            </w:tcBorders>
            <w:shd w:val="clear" w:color="auto" w:fill="ED8D2F"/>
            <w:tcMar>
              <w:top w:w="72" w:type="dxa"/>
              <w:left w:w="144" w:type="dxa"/>
              <w:bottom w:w="72" w:type="dxa"/>
              <w:right w:w="144" w:type="dxa"/>
            </w:tcMar>
            <w:vAlign w:val="center"/>
            <w:hideMark/>
          </w:tcPr>
          <w:p w14:paraId="27BBF720" w14:textId="77777777" w:rsidR="00B930EF" w:rsidRPr="00454CF6" w:rsidRDefault="00B930EF" w:rsidP="007C1E5E">
            <w:pPr>
              <w:jc w:val="center"/>
              <w:textAlignment w:val="baseline"/>
              <w:rPr>
                <w:rFonts w:ascii="Arial" w:eastAsia="Times New Roman" w:hAnsi="Arial" w:cs="Arial"/>
                <w:noProof/>
                <w:sz w:val="36"/>
                <w:szCs w:val="36"/>
              </w:rPr>
            </w:pPr>
            <w:r>
              <w:rPr>
                <w:rFonts w:ascii="Calibri" w:hAnsi="Calibri"/>
                <w:noProof/>
                <w:color w:val="FFFFFF"/>
              </w:rPr>
              <w:t>Reactivación del Grupo de Expertos en Tecnología de Vigilancia</w:t>
            </w:r>
          </w:p>
        </w:tc>
        <w:tc>
          <w:tcPr>
            <w:tcW w:w="1587"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7104414B" w14:textId="77777777" w:rsidR="00B930EF" w:rsidRPr="00454CF6" w:rsidRDefault="00B930EF" w:rsidP="007C1E5E">
            <w:pPr>
              <w:rPr>
                <w:rFonts w:ascii="Arial" w:eastAsia="Times New Roman" w:hAnsi="Arial" w:cs="Arial"/>
                <w:noProof/>
                <w:sz w:val="36"/>
                <w:szCs w:val="36"/>
              </w:rPr>
            </w:pPr>
            <w:r>
              <w:rPr>
                <w:rFonts w:ascii="Calibri" w:hAnsi="Calibri"/>
                <w:noProof/>
                <w:lang w:val="en-GB" w:eastAsia="en-GB"/>
              </w:rPr>
              <mc:AlternateContent>
                <mc:Choice Requires="wps">
                  <w:drawing>
                    <wp:anchor distT="0" distB="0" distL="114300" distR="114300" simplePos="0" relativeHeight="251640832" behindDoc="0" locked="0" layoutInCell="1" allowOverlap="1" wp14:anchorId="4497707B" wp14:editId="00C2EE7D">
                      <wp:simplePos x="0" y="0"/>
                      <wp:positionH relativeFrom="column">
                        <wp:posOffset>-67945</wp:posOffset>
                      </wp:positionH>
                      <wp:positionV relativeFrom="paragraph">
                        <wp:posOffset>-48260</wp:posOffset>
                      </wp:positionV>
                      <wp:extent cx="4949190" cy="457200"/>
                      <wp:effectExtent l="0" t="0" r="3810" b="0"/>
                      <wp:wrapNone/>
                      <wp:docPr id="1" name="Google Shape;136;p3"/>
                      <wp:cNvGraphicFramePr/>
                      <a:graphic xmlns:a="http://schemas.openxmlformats.org/drawingml/2006/main">
                        <a:graphicData uri="http://schemas.microsoft.com/office/word/2010/wordprocessingShape">
                          <wps:wsp>
                            <wps:cNvSpPr/>
                            <wps:spPr>
                              <a:xfrm>
                                <a:off x="0" y="0"/>
                                <a:ext cx="4949190" cy="457200"/>
                              </a:xfrm>
                              <a:prstGeom prst="homePlate">
                                <a:avLst>
                                  <a:gd name="adj" fmla="val 50000"/>
                                </a:avLst>
                              </a:prstGeom>
                              <a:solidFill>
                                <a:srgbClr val="ED8D2F"/>
                              </a:solidFill>
                              <a:ln>
                                <a:noFill/>
                              </a:ln>
                            </wps:spPr>
                            <wps:txbx>
                              <w:txbxContent>
                                <w:p w14:paraId="4029CFA4" w14:textId="77777777" w:rsidR="00B930EF" w:rsidRDefault="00B930EF" w:rsidP="00B930EF">
                                  <w:pPr>
                                    <w:pStyle w:val="NormalWeb"/>
                                    <w:spacing w:after="0"/>
                                    <w:jc w:val="center"/>
                                    <w:textAlignment w:val="baseline"/>
                                  </w:pPr>
                                  <w:r>
                                    <w:rPr>
                                      <w:rFonts w:ascii="Calibri" w:hAnsi="Calibri"/>
                                      <w:color w:val="FFFFFF"/>
                                    </w:rPr>
                                    <w:t>Orientaciones sobre diligencia debida</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4497707B"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Google Shape;136;p3" o:spid="_x0000_s1026" type="#_x0000_t15" style="position:absolute;margin-left:-5.35pt;margin-top:-3.8pt;width:389.7pt;height:36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" adj="20602" fillcolor="#ed8d2f" stroked="f">
                      <v:textbox inset="2.53958mm,1.2694mm,2.53958mm,1.2694mm">
                        <w:txbxContent>
                          <w:p w14:paraId="4029CFA4" w14:textId="77777777" w:rsidR="00B930EF" w:rsidRDefault="00B930EF" w:rsidP="00B930EF">
                            <w:pPr>
                              <w:pStyle w:val="NormalWeb"/>
                              <w:spacing w:after="0"/>
                              <w:jc w:val="center"/>
                              <w:textAlignment w:val="baseline"/>
                            </w:pPr>
                            <w:r>
                              <w:rPr>
                                <w:rFonts w:ascii="Calibri" w:hAnsi="Calibri"/>
                                <w:color w:val="FFFFFF"/>
                              </w:rPr>
                              <w:t>Orientaciones sobre diligencia debida</w:t>
                            </w:r>
                          </w:p>
                        </w:txbxContent>
                      </v:textbox>
                    </v:shape>
                  </w:pict>
                </mc:Fallback>
              </mc:AlternateContent>
            </w:r>
            <w:r>
              <w:rPr>
                <w:rFonts w:ascii="Calibri" w:hAnsi="Calibri"/>
                <w:noProof/>
                <w:lang w:val="en-GB" w:eastAsia="en-GB"/>
              </w:rPr>
              <mc:AlternateContent>
                <mc:Choice Requires="wps">
                  <w:drawing>
                    <wp:anchor distT="0" distB="0" distL="114300" distR="114300" simplePos="0" relativeHeight="251644928" behindDoc="0" locked="0" layoutInCell="1" allowOverlap="1" wp14:anchorId="5143CFAE" wp14:editId="31832EBD">
                      <wp:simplePos x="0" y="0"/>
                      <wp:positionH relativeFrom="column">
                        <wp:posOffset>-65405</wp:posOffset>
                      </wp:positionH>
                      <wp:positionV relativeFrom="paragraph">
                        <wp:posOffset>412115</wp:posOffset>
                      </wp:positionV>
                      <wp:extent cx="7959090" cy="397510"/>
                      <wp:effectExtent l="0" t="0" r="3810" b="2540"/>
                      <wp:wrapNone/>
                      <wp:docPr id="2" name="Google Shape;136;p3"/>
                      <wp:cNvGraphicFramePr/>
                      <a:graphic xmlns:a="http://schemas.openxmlformats.org/drawingml/2006/main">
                        <a:graphicData uri="http://schemas.microsoft.com/office/word/2010/wordprocessingShape">
                          <wps:wsp>
                            <wps:cNvSpPr/>
                            <wps:spPr>
                              <a:xfrm>
                                <a:off x="0" y="0"/>
                                <a:ext cx="7959090" cy="397510"/>
                              </a:xfrm>
                              <a:prstGeom prst="homePlate">
                                <a:avLst>
                                  <a:gd name="adj" fmla="val 50000"/>
                                </a:avLst>
                              </a:prstGeom>
                              <a:solidFill>
                                <a:srgbClr val="ED8D2F"/>
                              </a:solidFill>
                              <a:ln>
                                <a:noFill/>
                              </a:ln>
                            </wps:spPr>
                            <wps:txbx>
                              <w:txbxContent>
                                <w:p w14:paraId="348D05ED" w14:textId="77777777" w:rsidR="00B930EF" w:rsidRDefault="00B930EF" w:rsidP="00B930EF">
                                  <w:pPr>
                                    <w:pStyle w:val="NormalWeb"/>
                                    <w:spacing w:after="0"/>
                                    <w:jc w:val="center"/>
                                    <w:textAlignment w:val="baseline"/>
                                  </w:pPr>
                                  <w:r>
                                    <w:rPr>
                                      <w:rFonts w:ascii="Calibri" w:hAnsi="Calibri"/>
                                      <w:color w:val="FFFFFF"/>
                                    </w:rPr>
                                    <w:t>Apoyo técnico a los controles del artículo 5 / Publicación de la «lista de alerta rápida de la UE»</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143CFAE" id="_x0000_s1027" type="#_x0000_t15" style="position:absolute;margin-left:-5.15pt;margin-top:32.45pt;width:626.7pt;height:31.3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" adj="21061" fillcolor="#ed8d2f" stroked="f">
                      <v:textbox inset="2.53958mm,1.2694mm,2.53958mm,1.2694mm">
                        <w:txbxContent>
                          <w:p w14:paraId="348D05ED" w14:textId="77777777" w:rsidR="00B930EF" w:rsidRDefault="00B930EF" w:rsidP="00B930EF">
                            <w:pPr>
                              <w:pStyle w:val="NormalWeb"/>
                              <w:spacing w:after="0"/>
                              <w:jc w:val="center"/>
                              <w:textAlignment w:val="baseline"/>
                            </w:pPr>
                            <w:r>
                              <w:rPr>
                                <w:rFonts w:ascii="Calibri" w:hAnsi="Calibri"/>
                                <w:color w:val="FFFFFF"/>
                              </w:rPr>
                              <w:t>Apoyo técnico a los controles del artículo 5 / Publicación de la «lista de alerta rápida de la UE»</w:t>
                            </w:r>
                          </w:p>
                        </w:txbxContent>
                      </v:textbox>
                    </v:shape>
                  </w:pict>
                </mc:Fallback>
              </mc:AlternateContent>
            </w:r>
            <w:r>
              <w:rPr>
                <w:rFonts w:ascii="Calibri" w:hAnsi="Calibri"/>
                <w:noProof/>
              </w:rPr>
              <w:t xml:space="preserve"> </w:t>
            </w:r>
          </w:p>
        </w:tc>
        <w:tc>
          <w:tcPr>
            <w:tcW w:w="1533"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4B49BCB4" w14:textId="77777777" w:rsidR="00B930EF" w:rsidRPr="00E35577" w:rsidRDefault="00B930EF" w:rsidP="007C1E5E">
            <w:pPr>
              <w:spacing w:line="256" w:lineRule="auto"/>
              <w:rPr>
                <w:rFonts w:ascii="Arial" w:eastAsia="Times New Roman" w:hAnsi="Arial" w:cs="Arial"/>
                <w:noProof/>
                <w:sz w:val="36"/>
                <w:szCs w:val="36"/>
                <w:lang w:val="es-ES_tradnl" w:eastAsia="fr-BE"/>
              </w:rPr>
            </w:pP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66D912F0"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30B88151"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3145CB21"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5D8E8E7F"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40FD925A"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5AE455F8"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04C2EBAE"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44D82ADB" w14:textId="77777777" w:rsidR="00B930EF" w:rsidRPr="00454CF6" w:rsidRDefault="00B930EF" w:rsidP="007C1E5E">
            <w:pPr>
              <w:spacing w:line="256" w:lineRule="auto"/>
              <w:rPr>
                <w:rFonts w:ascii="Calibri" w:eastAsia="Calibri" w:hAnsi="Calibri"/>
                <w:noProof/>
                <w:sz w:val="20"/>
                <w:szCs w:val="20"/>
                <w:lang w:eastAsia="en-GB"/>
              </w:rPr>
            </w:pPr>
          </w:p>
        </w:tc>
      </w:tr>
      <w:tr w:rsidR="00B930EF" w:rsidRPr="00153595" w14:paraId="50A82EF9" w14:textId="77777777" w:rsidTr="007C1E5E">
        <w:trPr>
          <w:trHeight w:val="628"/>
        </w:trPr>
        <w:tc>
          <w:tcPr>
            <w:tcW w:w="1226"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3EA79E84" w14:textId="77777777" w:rsidR="00B930EF" w:rsidRPr="00454CF6" w:rsidRDefault="00B930EF" w:rsidP="007C1E5E">
            <w:pPr>
              <w:spacing w:line="256" w:lineRule="auto"/>
              <w:rPr>
                <w:rFonts w:ascii="Calibri" w:eastAsia="Calibri" w:hAnsi="Calibri"/>
                <w:noProof/>
                <w:sz w:val="20"/>
                <w:szCs w:val="20"/>
                <w:lang w:eastAsia="en-GB"/>
              </w:rPr>
            </w:pPr>
          </w:p>
        </w:tc>
        <w:tc>
          <w:tcPr>
            <w:tcW w:w="1586"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3F791607" w14:textId="77777777" w:rsidR="00B930EF" w:rsidRPr="00454CF6" w:rsidRDefault="00B930EF" w:rsidP="007C1E5E">
            <w:pPr>
              <w:spacing w:line="256" w:lineRule="auto"/>
              <w:rPr>
                <w:rFonts w:ascii="Calibri" w:eastAsia="Calibri" w:hAnsi="Calibri"/>
                <w:noProof/>
                <w:sz w:val="20"/>
                <w:szCs w:val="20"/>
                <w:lang w:eastAsia="en-GB"/>
              </w:rPr>
            </w:pPr>
          </w:p>
        </w:tc>
        <w:tc>
          <w:tcPr>
            <w:tcW w:w="1587" w:type="dxa"/>
            <w:tcBorders>
              <w:top w:val="single" w:sz="8" w:space="0" w:color="BFBFBF"/>
              <w:left w:val="single" w:sz="8" w:space="0" w:color="BFBFBF"/>
              <w:bottom w:val="single" w:sz="8" w:space="0" w:color="BFBFBF"/>
              <w:right w:val="single" w:sz="8" w:space="0" w:color="BFBFBF"/>
            </w:tcBorders>
            <w:shd w:val="clear" w:color="auto" w:fill="002060"/>
            <w:tcMar>
              <w:top w:w="72" w:type="dxa"/>
              <w:left w:w="144" w:type="dxa"/>
              <w:bottom w:w="72" w:type="dxa"/>
              <w:right w:w="144" w:type="dxa"/>
            </w:tcMar>
            <w:vAlign w:val="center"/>
            <w:hideMark/>
          </w:tcPr>
          <w:p w14:paraId="234EEFD9" w14:textId="77777777" w:rsidR="00B930EF" w:rsidRPr="00454CF6" w:rsidRDefault="00B930EF" w:rsidP="007C1E5E">
            <w:pPr>
              <w:jc w:val="center"/>
              <w:textAlignment w:val="baseline"/>
              <w:rPr>
                <w:rFonts w:ascii="Arial" w:eastAsia="Times New Roman" w:hAnsi="Arial" w:cs="Arial"/>
                <w:noProof/>
                <w:sz w:val="36"/>
                <w:szCs w:val="36"/>
              </w:rPr>
            </w:pPr>
            <w:r>
              <w:rPr>
                <w:rFonts w:ascii="Calibri" w:hAnsi="Calibri"/>
                <w:noProof/>
                <w:color w:val="FFFFFF"/>
              </w:rPr>
              <w:t>Creación de un Grupo de Expertos sobre Tecnologías Emergentes</w:t>
            </w:r>
          </w:p>
        </w:tc>
        <w:tc>
          <w:tcPr>
            <w:tcW w:w="1533"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2654217D" w14:textId="77777777" w:rsidR="00B930EF" w:rsidRPr="00454CF6" w:rsidRDefault="00B930EF" w:rsidP="007C1E5E">
            <w:pPr>
              <w:rPr>
                <w:rFonts w:ascii="Arial" w:eastAsia="Times New Roman" w:hAnsi="Arial" w:cs="Arial"/>
                <w:noProof/>
                <w:sz w:val="36"/>
                <w:szCs w:val="36"/>
              </w:rPr>
            </w:pPr>
            <w:r>
              <w:rPr>
                <w:rFonts w:ascii="Calibri" w:hAnsi="Calibri"/>
                <w:noProof/>
                <w:lang w:val="en-GB" w:eastAsia="en-GB"/>
              </w:rPr>
              <mc:AlternateContent>
                <mc:Choice Requires="wps">
                  <w:drawing>
                    <wp:anchor distT="0" distB="0" distL="114300" distR="114300" simplePos="0" relativeHeight="251649024" behindDoc="0" locked="0" layoutInCell="1" allowOverlap="1" wp14:anchorId="10A4D684" wp14:editId="1EC62EDE">
                      <wp:simplePos x="0" y="0"/>
                      <wp:positionH relativeFrom="column">
                        <wp:posOffset>-74930</wp:posOffset>
                      </wp:positionH>
                      <wp:positionV relativeFrom="paragraph">
                        <wp:posOffset>-50165</wp:posOffset>
                      </wp:positionV>
                      <wp:extent cx="6973570" cy="494665"/>
                      <wp:effectExtent l="0" t="0" r="0" b="635"/>
                      <wp:wrapNone/>
                      <wp:docPr id="8" name="Google Shape;137;p3"/>
                      <wp:cNvGraphicFramePr/>
                      <a:graphic xmlns:a="http://schemas.openxmlformats.org/drawingml/2006/main">
                        <a:graphicData uri="http://schemas.microsoft.com/office/word/2010/wordprocessingShape">
                          <wps:wsp>
                            <wps:cNvSpPr/>
                            <wps:spPr>
                              <a:xfrm>
                                <a:off x="0" y="0"/>
                                <a:ext cx="6973570" cy="494665"/>
                              </a:xfrm>
                              <a:prstGeom prst="homePlate">
                                <a:avLst>
                                  <a:gd name="adj" fmla="val 50000"/>
                                </a:avLst>
                              </a:prstGeom>
                              <a:solidFill>
                                <a:srgbClr val="002060"/>
                              </a:solidFill>
                              <a:ln>
                                <a:noFill/>
                              </a:ln>
                            </wps:spPr>
                            <wps:txbx>
                              <w:txbxContent>
                                <w:p w14:paraId="40C463D9" w14:textId="77777777" w:rsidR="00B930EF" w:rsidRDefault="00B930EF" w:rsidP="00B930EF">
                                  <w:pPr>
                                    <w:pStyle w:val="NormalWeb"/>
                                    <w:spacing w:after="0"/>
                                    <w:jc w:val="center"/>
                                    <w:textAlignment w:val="baseline"/>
                                  </w:pPr>
                                  <w:r>
                                    <w:rPr>
                                      <w:rFonts w:ascii="Calibri" w:hAnsi="Calibri"/>
                                      <w:color w:val="FFFFFF"/>
                                    </w:rPr>
                                    <w:t>Apoyo técnico al control de las tecnologías emergentes</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10A4D684" id="Google Shape;137;p3" o:spid="_x0000_s1028" type="#_x0000_t15" style="position:absolute;margin-left:-5.9pt;margin-top:-3.95pt;width:549.1pt;height:38.9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" adj="20834" fillcolor="#002060" stroked="f">
                      <v:textbox inset="2.53958mm,1.2694mm,2.53958mm,1.2694mm">
                        <w:txbxContent>
                          <w:p w14:paraId="40C463D9" w14:textId="77777777" w:rsidR="00B930EF" w:rsidRDefault="00B930EF" w:rsidP="00B930EF">
                            <w:pPr>
                              <w:pStyle w:val="NormalWeb"/>
                              <w:spacing w:after="0"/>
                              <w:jc w:val="center"/>
                              <w:textAlignment w:val="baseline"/>
                            </w:pPr>
                            <w:r>
                              <w:rPr>
                                <w:rFonts w:ascii="Calibri" w:hAnsi="Calibri"/>
                                <w:color w:val="FFFFFF"/>
                              </w:rPr>
                              <w:t>Apoyo técnico al control de las tecnologías emergentes</w:t>
                            </w:r>
                          </w:p>
                        </w:txbxContent>
                      </v:textbox>
                    </v:shape>
                  </w:pict>
                </mc:Fallback>
              </mc:AlternateContent>
            </w: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04958118" w14:textId="77777777" w:rsidR="00B930EF" w:rsidRPr="00E35577" w:rsidRDefault="00B930EF" w:rsidP="007C1E5E">
            <w:pPr>
              <w:spacing w:line="256" w:lineRule="auto"/>
              <w:rPr>
                <w:rFonts w:ascii="Arial" w:eastAsia="Times New Roman" w:hAnsi="Arial" w:cs="Arial"/>
                <w:noProof/>
                <w:sz w:val="36"/>
                <w:szCs w:val="36"/>
                <w:lang w:val="es-ES_tradnl" w:eastAsia="fr-BE"/>
              </w:rPr>
            </w:pP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76863089"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1500E82A"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5ED7586A"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0667CD74"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574180AE"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06F26D21"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1D513D45" w14:textId="77777777" w:rsidR="00B930EF" w:rsidRPr="00454CF6" w:rsidRDefault="00B930EF" w:rsidP="007C1E5E">
            <w:pPr>
              <w:spacing w:line="256" w:lineRule="auto"/>
              <w:rPr>
                <w:rFonts w:ascii="Calibri" w:eastAsia="Calibri" w:hAnsi="Calibri"/>
                <w:noProof/>
                <w:sz w:val="20"/>
                <w:szCs w:val="20"/>
                <w:lang w:eastAsia="en-GB"/>
              </w:rPr>
            </w:pPr>
          </w:p>
        </w:tc>
      </w:tr>
      <w:tr w:rsidR="00B930EF" w:rsidRPr="00153595" w14:paraId="79D13B64" w14:textId="77777777" w:rsidTr="007C1E5E">
        <w:trPr>
          <w:trHeight w:val="745"/>
        </w:trPr>
        <w:tc>
          <w:tcPr>
            <w:tcW w:w="1226"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5F1ED50E" w14:textId="77777777" w:rsidR="00B930EF" w:rsidRPr="00E566AE" w:rsidRDefault="00B930EF" w:rsidP="007C1E5E">
            <w:pPr>
              <w:rPr>
                <w:rFonts w:eastAsia="Times New Roman"/>
                <w:noProof/>
                <w:sz w:val="20"/>
                <w:szCs w:val="20"/>
              </w:rPr>
            </w:pPr>
            <w:r>
              <w:rPr>
                <w:rFonts w:ascii="Calibri" w:hAnsi="Calibri"/>
                <w:noProof/>
                <w:lang w:val="en-GB" w:eastAsia="en-GB"/>
              </w:rPr>
              <mc:AlternateContent>
                <mc:Choice Requires="wps">
                  <w:drawing>
                    <wp:anchor distT="0" distB="0" distL="114300" distR="114300" simplePos="0" relativeHeight="251653120" behindDoc="0" locked="0" layoutInCell="1" allowOverlap="1" wp14:anchorId="3400B4DE" wp14:editId="1A2787A9">
                      <wp:simplePos x="0" y="0"/>
                      <wp:positionH relativeFrom="column">
                        <wp:posOffset>-78105</wp:posOffset>
                      </wp:positionH>
                      <wp:positionV relativeFrom="paragraph">
                        <wp:posOffset>-38100</wp:posOffset>
                      </wp:positionV>
                      <wp:extent cx="9725660" cy="551815"/>
                      <wp:effectExtent l="0" t="0" r="8890" b="635"/>
                      <wp:wrapNone/>
                      <wp:docPr id="5" name="Google Shape;137;p3"/>
                      <wp:cNvGraphicFramePr/>
                      <a:graphic xmlns:a="http://schemas.openxmlformats.org/drawingml/2006/main">
                        <a:graphicData uri="http://schemas.microsoft.com/office/word/2010/wordprocessingShape">
                          <wps:wsp>
                            <wps:cNvSpPr/>
                            <wps:spPr>
                              <a:xfrm>
                                <a:off x="0" y="0"/>
                                <a:ext cx="9725660" cy="551815"/>
                              </a:xfrm>
                              <a:prstGeom prst="homePlate">
                                <a:avLst>
                                  <a:gd name="adj" fmla="val 50000"/>
                                </a:avLst>
                              </a:prstGeom>
                              <a:solidFill>
                                <a:srgbClr val="034EA2">
                                  <a:lumMod val="40000"/>
                                  <a:lumOff val="60000"/>
                                </a:srgbClr>
                              </a:solidFill>
                              <a:ln>
                                <a:noFill/>
                              </a:ln>
                            </wps:spPr>
                            <wps:txbx>
                              <w:txbxContent>
                                <w:p w14:paraId="69350C4B" w14:textId="77777777" w:rsidR="00B930EF" w:rsidRDefault="00B930EF" w:rsidP="00B930EF">
                                  <w:pPr>
                                    <w:pStyle w:val="NormalWeb"/>
                                    <w:spacing w:after="0"/>
                                    <w:jc w:val="center"/>
                                    <w:textAlignment w:val="baseline"/>
                                  </w:pPr>
                                  <w:r>
                                    <w:rPr>
                                      <w:rFonts w:ascii="Calibri" w:hAnsi="Calibri"/>
                                      <w:color w:val="FFFFFF"/>
                                    </w:rPr>
                                    <w:t>Colaboración con socios en materia de productos de cibervigilancia, tecnologías emergentes y otras cuestiones (Estados Unidos, Japón)</w:t>
                                  </w:r>
                                </w:p>
                              </w:txbxContent>
                            </wps:txbx>
                            <wps:bodyPr spcFirstLastPara="1" wrap="square" lIns="91425" tIns="45700" rIns="91425" bIns="45700" anchor="ctr" anchorCtr="0">
                              <a:noAutofit/>
                            </wps:bodyPr>
                          </wps:wsp>
                        </a:graphicData>
                      </a:graphic>
                      <wp14:sizeRelH relativeFrom="margin">
                        <wp14:pctWidth>0</wp14:pctWidth>
                      </wp14:sizeRelH>
                      <wp14:sizeRelV relativeFrom="page">
                        <wp14:pctHeight>0</wp14:pctHeight>
                      </wp14:sizeRelV>
                    </wp:anchor>
                  </w:drawing>
                </mc:Choice>
                <mc:Fallback>
                  <w:pict>
                    <v:shape w14:anchorId="3400B4DE" id="_x0000_s1029" type="#_x0000_t15" style="position:absolute;margin-left:-6.15pt;margin-top:-3pt;width:765.8pt;height:43.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" adj="20987" fillcolor="#78b6fc" stroked="f">
                      <v:textbox inset="2.53958mm,1.2694mm,2.53958mm,1.2694mm">
                        <w:txbxContent>
                          <w:p w14:paraId="69350C4B" w14:textId="77777777" w:rsidR="00B930EF" w:rsidRDefault="00B930EF" w:rsidP="00B930EF">
                            <w:pPr>
                              <w:pStyle w:val="NormalWeb"/>
                              <w:spacing w:after="0"/>
                              <w:jc w:val="center"/>
                              <w:textAlignment w:val="baseline"/>
                            </w:pPr>
                            <w:r>
                              <w:rPr>
                                <w:rFonts w:ascii="Calibri" w:hAnsi="Calibri"/>
                                <w:color w:val="FFFFFF"/>
                              </w:rPr>
                              <w:t>Colaboración con socios en materia de productos de cibervigilancia, tecnologías emergentes y otras cuestiones (Estados Unidos, Japón)</w:t>
                            </w:r>
                          </w:p>
                        </w:txbxContent>
                      </v:textbox>
                    </v:shape>
                  </w:pict>
                </mc:Fallback>
              </mc:AlternateContent>
            </w:r>
          </w:p>
        </w:tc>
        <w:tc>
          <w:tcPr>
            <w:tcW w:w="1586"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3CE068AE" w14:textId="77777777" w:rsidR="00B930EF" w:rsidRPr="00E35577" w:rsidRDefault="00B930EF" w:rsidP="007C1E5E">
            <w:pPr>
              <w:spacing w:line="256" w:lineRule="auto"/>
              <w:rPr>
                <w:rFonts w:eastAsia="Times New Roman"/>
                <w:noProof/>
                <w:sz w:val="20"/>
                <w:szCs w:val="20"/>
                <w:lang w:val="es-ES_tradnl" w:eastAsia="fr-BE"/>
              </w:rPr>
            </w:pPr>
          </w:p>
        </w:tc>
        <w:tc>
          <w:tcPr>
            <w:tcW w:w="1587"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081CB8F3" w14:textId="77777777" w:rsidR="00B930EF" w:rsidRPr="00454CF6" w:rsidRDefault="00B930EF" w:rsidP="007C1E5E">
            <w:pPr>
              <w:spacing w:line="256" w:lineRule="auto"/>
              <w:rPr>
                <w:rFonts w:ascii="Calibri" w:eastAsia="Calibri" w:hAnsi="Calibri"/>
                <w:noProof/>
                <w:sz w:val="20"/>
                <w:szCs w:val="20"/>
                <w:lang w:eastAsia="en-GB"/>
              </w:rPr>
            </w:pPr>
          </w:p>
        </w:tc>
        <w:tc>
          <w:tcPr>
            <w:tcW w:w="1533"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50EFFEAB"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2209CF66"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6D663765"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05681881"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0580B541"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35B62E6B"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291F945E"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3B8B974A"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7537D41C" w14:textId="77777777" w:rsidR="00B930EF" w:rsidRPr="00454CF6" w:rsidRDefault="00B930EF" w:rsidP="007C1E5E">
            <w:pPr>
              <w:spacing w:line="256" w:lineRule="auto"/>
              <w:rPr>
                <w:rFonts w:ascii="Calibri" w:eastAsia="Calibri" w:hAnsi="Calibri"/>
                <w:noProof/>
                <w:sz w:val="20"/>
                <w:szCs w:val="20"/>
                <w:lang w:eastAsia="en-GB"/>
              </w:rPr>
            </w:pPr>
          </w:p>
        </w:tc>
      </w:tr>
      <w:tr w:rsidR="00B930EF" w:rsidRPr="00454CF6" w14:paraId="451A2144" w14:textId="77777777" w:rsidTr="007C1E5E">
        <w:trPr>
          <w:trHeight w:val="661"/>
        </w:trPr>
        <w:tc>
          <w:tcPr>
            <w:tcW w:w="1226"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6AE06A08" w14:textId="77777777" w:rsidR="00B930EF" w:rsidRPr="00454CF6" w:rsidRDefault="00B930EF" w:rsidP="007C1E5E">
            <w:pPr>
              <w:spacing w:line="256" w:lineRule="auto"/>
              <w:rPr>
                <w:rFonts w:ascii="Calibri" w:eastAsia="Calibri" w:hAnsi="Calibri"/>
                <w:noProof/>
                <w:sz w:val="20"/>
                <w:szCs w:val="20"/>
                <w:lang w:eastAsia="en-GB"/>
              </w:rPr>
            </w:pPr>
          </w:p>
        </w:tc>
        <w:tc>
          <w:tcPr>
            <w:tcW w:w="1586"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3E5094BD" w14:textId="77777777" w:rsidR="00B930EF" w:rsidRPr="00454CF6" w:rsidRDefault="00B930EF" w:rsidP="007C1E5E">
            <w:pPr>
              <w:spacing w:line="256" w:lineRule="auto"/>
              <w:rPr>
                <w:rFonts w:ascii="Calibri" w:eastAsia="Calibri" w:hAnsi="Calibri"/>
                <w:noProof/>
                <w:sz w:val="20"/>
                <w:szCs w:val="20"/>
                <w:lang w:eastAsia="en-GB"/>
              </w:rPr>
            </w:pPr>
          </w:p>
        </w:tc>
        <w:tc>
          <w:tcPr>
            <w:tcW w:w="1587" w:type="dxa"/>
            <w:tcBorders>
              <w:top w:val="single" w:sz="8" w:space="0" w:color="BFBFBF"/>
              <w:left w:val="single" w:sz="8" w:space="0" w:color="BFBFBF"/>
              <w:bottom w:val="single" w:sz="8" w:space="0" w:color="BFBFBF"/>
              <w:right w:val="single" w:sz="8" w:space="0" w:color="BFBFBF"/>
            </w:tcBorders>
            <w:shd w:val="clear" w:color="auto" w:fill="FFFFFF" w:themeFill="background1"/>
            <w:tcMar>
              <w:top w:w="72" w:type="dxa"/>
              <w:left w:w="144" w:type="dxa"/>
              <w:bottom w:w="72" w:type="dxa"/>
              <w:right w:w="144" w:type="dxa"/>
            </w:tcMar>
            <w:hideMark/>
          </w:tcPr>
          <w:p w14:paraId="3466FCCA" w14:textId="77777777" w:rsidR="00B930EF" w:rsidRPr="00E35577" w:rsidRDefault="00B930EF" w:rsidP="007C1E5E">
            <w:pPr>
              <w:jc w:val="center"/>
              <w:textAlignment w:val="baseline"/>
              <w:rPr>
                <w:rFonts w:ascii="Arial" w:eastAsia="Times New Roman" w:hAnsi="Arial" w:cs="Arial"/>
                <w:noProof/>
                <w:sz w:val="36"/>
                <w:szCs w:val="36"/>
                <w:lang w:val="es-ES_tradnl" w:eastAsia="fr-BE"/>
              </w:rPr>
            </w:pPr>
          </w:p>
        </w:tc>
        <w:tc>
          <w:tcPr>
            <w:tcW w:w="1533"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6DFC9AF6" w14:textId="77777777" w:rsidR="00B930EF" w:rsidRPr="00454CF6" w:rsidRDefault="00B930EF" w:rsidP="007C1E5E">
            <w:pPr>
              <w:rPr>
                <w:rFonts w:ascii="Arial" w:eastAsia="Times New Roman" w:hAnsi="Arial" w:cs="Arial"/>
                <w:noProof/>
                <w:sz w:val="36"/>
                <w:szCs w:val="36"/>
              </w:rPr>
            </w:pPr>
            <w:r>
              <w:rPr>
                <w:rFonts w:ascii="Calibri" w:hAnsi="Calibri"/>
                <w:noProof/>
                <w:lang w:val="en-GB" w:eastAsia="en-GB"/>
              </w:rPr>
              <mc:AlternateContent>
                <mc:Choice Requires="wps">
                  <w:drawing>
                    <wp:anchor distT="0" distB="0" distL="114300" distR="114300" simplePos="0" relativeHeight="251657216" behindDoc="0" locked="0" layoutInCell="1" allowOverlap="1" wp14:anchorId="798C1E28" wp14:editId="0F6DD47A">
                      <wp:simplePos x="0" y="0"/>
                      <wp:positionH relativeFrom="column">
                        <wp:posOffset>873760</wp:posOffset>
                      </wp:positionH>
                      <wp:positionV relativeFrom="paragraph">
                        <wp:posOffset>-40640</wp:posOffset>
                      </wp:positionV>
                      <wp:extent cx="3234690" cy="593725"/>
                      <wp:effectExtent l="0" t="0" r="3810" b="0"/>
                      <wp:wrapNone/>
                      <wp:docPr id="6" name="Google Shape;141;p3"/>
                      <wp:cNvGraphicFramePr/>
                      <a:graphic xmlns:a="http://schemas.openxmlformats.org/drawingml/2006/main">
                        <a:graphicData uri="http://schemas.microsoft.com/office/word/2010/wordprocessingShape">
                          <wps:wsp>
                            <wps:cNvSpPr/>
                            <wps:spPr>
                              <a:xfrm>
                                <a:off x="0" y="0"/>
                                <a:ext cx="3234690" cy="593725"/>
                              </a:xfrm>
                              <a:prstGeom prst="homePlate">
                                <a:avLst>
                                  <a:gd name="adj" fmla="val 50000"/>
                                </a:avLst>
                              </a:prstGeom>
                              <a:solidFill>
                                <a:srgbClr val="6AA84F"/>
                              </a:solidFill>
                              <a:ln>
                                <a:noFill/>
                              </a:ln>
                            </wps:spPr>
                            <wps:txbx>
                              <w:txbxContent>
                                <w:p w14:paraId="43D5E9F3" w14:textId="77777777" w:rsidR="00B930EF" w:rsidRDefault="00B930EF" w:rsidP="00B930EF">
                                  <w:pPr>
                                    <w:pStyle w:val="NormalWeb"/>
                                    <w:spacing w:after="0"/>
                                    <w:jc w:val="center"/>
                                    <w:textAlignment w:val="baseline"/>
                                  </w:pPr>
                                  <w:r>
                                    <w:rPr>
                                      <w:rFonts w:ascii="Calibri" w:hAnsi="Calibri"/>
                                      <w:color w:val="FFFFFF"/>
                                      <w:sz w:val="22"/>
                                    </w:rPr>
                                    <w:t>Desarrollo de herramientas informáticas específicas y desarrollo de directrices sobre transparencia</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98C1E28" id="Google Shape;141;p3" o:spid="_x0000_s1030" type="#_x0000_t15" style="position:absolute;margin-left:68.8pt;margin-top:-3.2pt;width:254.7pt;height:46.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" adj="19618" fillcolor="#6aa84f" stroked="f">
                      <v:textbox inset="2.53958mm,1.2694mm,2.53958mm,1.2694mm">
                        <w:txbxContent>
                          <w:p w14:paraId="43D5E9F3" w14:textId="77777777" w:rsidR="00B930EF" w:rsidRDefault="00B930EF" w:rsidP="00B930EF">
                            <w:pPr>
                              <w:pStyle w:val="NormalWeb"/>
                              <w:spacing w:after="0"/>
                              <w:jc w:val="center"/>
                              <w:textAlignment w:val="baseline"/>
                            </w:pPr>
                            <w:r>
                              <w:rPr>
                                <w:rFonts w:ascii="Calibri" w:hAnsi="Calibri"/>
                                <w:color w:val="FFFFFF"/>
                                <w:sz w:val="22"/>
                              </w:rPr>
                              <w:t>Desarrollo de herramientas informáticas específicas y desarrollo de directrices sobre transparencia</w:t>
                            </w:r>
                          </w:p>
                        </w:txbxContent>
                      </v:textbox>
                    </v:shape>
                  </w:pict>
                </mc:Fallback>
              </mc:AlternateContent>
            </w:r>
            <w:r>
              <w:rPr>
                <w:rFonts w:ascii="Calibri" w:hAnsi="Calibri"/>
                <w:noProof/>
                <w:color w:val="FFFFFF"/>
              </w:rPr>
              <w:t>Creación de un Grupo de Expertos Técnicos sobre Transparencia</w:t>
            </w:r>
            <w:r>
              <w:rPr>
                <w:rFonts w:ascii="Calibri" w:hAnsi="Calibri"/>
                <w:noProof/>
              </w:rPr>
              <w:t xml:space="preserve"> </w:t>
            </w: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0ED1B772" w14:textId="77777777" w:rsidR="00B930EF" w:rsidRPr="00E35577" w:rsidRDefault="00B930EF" w:rsidP="007C1E5E">
            <w:pPr>
              <w:spacing w:line="256" w:lineRule="auto"/>
              <w:rPr>
                <w:rFonts w:ascii="Arial" w:eastAsia="Times New Roman" w:hAnsi="Arial" w:cs="Arial"/>
                <w:noProof/>
                <w:sz w:val="36"/>
                <w:szCs w:val="36"/>
                <w:lang w:val="es-ES_tradnl" w:eastAsia="fr-BE"/>
              </w:rPr>
            </w:pP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1E774F6E"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622EFF95"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400FE20D"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3C5FEE48" w14:textId="77777777" w:rsidR="00B930EF" w:rsidRPr="00454CF6" w:rsidRDefault="00B930EF" w:rsidP="007C1E5E">
            <w:pPr>
              <w:rPr>
                <w:rFonts w:eastAsia="Times New Roman"/>
                <w:noProof/>
                <w:sz w:val="20"/>
                <w:szCs w:val="20"/>
              </w:rPr>
            </w:pPr>
            <w:r>
              <w:rPr>
                <w:rFonts w:ascii="Calibri" w:hAnsi="Calibri"/>
                <w:noProof/>
                <w:lang w:val="en-GB" w:eastAsia="en-GB"/>
              </w:rPr>
              <mc:AlternateContent>
                <mc:Choice Requires="wps">
                  <w:drawing>
                    <wp:anchor distT="0" distB="0" distL="114300" distR="114300" simplePos="0" relativeHeight="251669504" behindDoc="0" locked="0" layoutInCell="1" allowOverlap="1" wp14:anchorId="037D0E30" wp14:editId="6F95EDF3">
                      <wp:simplePos x="0" y="0"/>
                      <wp:positionH relativeFrom="column">
                        <wp:posOffset>64769</wp:posOffset>
                      </wp:positionH>
                      <wp:positionV relativeFrom="paragraph">
                        <wp:posOffset>-34925</wp:posOffset>
                      </wp:positionV>
                      <wp:extent cx="2097405" cy="584200"/>
                      <wp:effectExtent l="0" t="0" r="0" b="6350"/>
                      <wp:wrapNone/>
                      <wp:docPr id="11" name="Google Shape;141;p3"/>
                      <wp:cNvGraphicFramePr/>
                      <a:graphic xmlns:a="http://schemas.openxmlformats.org/drawingml/2006/main">
                        <a:graphicData uri="http://schemas.microsoft.com/office/word/2010/wordprocessingShape">
                          <wps:wsp>
                            <wps:cNvSpPr/>
                            <wps:spPr>
                              <a:xfrm>
                                <a:off x="0" y="0"/>
                                <a:ext cx="2097405" cy="584200"/>
                              </a:xfrm>
                              <a:prstGeom prst="homePlate">
                                <a:avLst>
                                  <a:gd name="adj" fmla="val 50000"/>
                                </a:avLst>
                              </a:prstGeom>
                              <a:solidFill>
                                <a:srgbClr val="6AA84F"/>
                              </a:solidFill>
                              <a:ln>
                                <a:noFill/>
                              </a:ln>
                            </wps:spPr>
                            <wps:txbx>
                              <w:txbxContent>
                                <w:p w14:paraId="5449E716" w14:textId="77777777" w:rsidR="00B930EF" w:rsidRDefault="00B930EF" w:rsidP="00B930EF">
                                  <w:pPr>
                                    <w:pStyle w:val="NormalWeb"/>
                                    <w:spacing w:after="0"/>
                                    <w:jc w:val="center"/>
                                    <w:textAlignment w:val="baseline"/>
                                  </w:pPr>
                                  <w:r>
                                    <w:rPr>
                                      <w:rFonts w:ascii="Calibri" w:hAnsi="Calibri"/>
                                      <w:color w:val="FFFFFF"/>
                                      <w:sz w:val="22"/>
                                    </w:rPr>
                                    <w:t>Informe anual relativo al ejercicio 2023 (incluidos los datos de 2022)</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37D0E30" id="_x0000_s1031" type="#_x0000_t15" style="position:absolute;margin-left:5.1pt;margin-top:-2.75pt;width:165.15pt;height:4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" adj="18592" fillcolor="#6aa84f" stroked="f">
                      <v:textbox inset="2.53958mm,1.2694mm,2.53958mm,1.2694mm">
                        <w:txbxContent>
                          <w:p w14:paraId="5449E716" w14:textId="77777777" w:rsidR="00B930EF" w:rsidRDefault="00B930EF" w:rsidP="00B930EF">
                            <w:pPr>
                              <w:pStyle w:val="NormalWeb"/>
                              <w:spacing w:after="0"/>
                              <w:jc w:val="center"/>
                              <w:textAlignment w:val="baseline"/>
                            </w:pPr>
                            <w:r>
                              <w:rPr>
                                <w:rFonts w:ascii="Calibri" w:hAnsi="Calibri"/>
                                <w:color w:val="FFFFFF"/>
                                <w:sz w:val="22"/>
                              </w:rPr>
                              <w:t>Informe anual relativo al ejercicio 2023 (incluidos los datos de 2022)</w:t>
                            </w:r>
                          </w:p>
                        </w:txbxContent>
                      </v:textbox>
                    </v:shape>
                  </w:pict>
                </mc:Fallback>
              </mc:AlternateContent>
            </w: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474506AA" w14:textId="77777777" w:rsidR="00B930EF" w:rsidRPr="00E35577" w:rsidRDefault="00B930EF" w:rsidP="007C1E5E">
            <w:pPr>
              <w:spacing w:line="256" w:lineRule="auto"/>
              <w:rPr>
                <w:rFonts w:eastAsia="Times New Roman"/>
                <w:noProof/>
                <w:sz w:val="20"/>
                <w:szCs w:val="20"/>
                <w:lang w:val="es-ES_tradnl" w:eastAsia="fr-BE"/>
              </w:rPr>
            </w:pP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3E1D7EAD"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0C91814D" w14:textId="77777777" w:rsidR="00B930EF" w:rsidRPr="00454CF6" w:rsidRDefault="00B930EF" w:rsidP="007C1E5E">
            <w:pPr>
              <w:spacing w:line="256" w:lineRule="auto"/>
              <w:rPr>
                <w:rFonts w:ascii="Calibri" w:eastAsia="Calibri" w:hAnsi="Calibri"/>
                <w:noProof/>
                <w:sz w:val="20"/>
                <w:szCs w:val="20"/>
                <w:lang w:eastAsia="en-GB"/>
              </w:rPr>
            </w:pPr>
          </w:p>
        </w:tc>
      </w:tr>
      <w:tr w:rsidR="00B930EF" w:rsidRPr="00AC6D10" w14:paraId="6782AB96" w14:textId="77777777" w:rsidTr="007C1E5E">
        <w:trPr>
          <w:trHeight w:val="536"/>
        </w:trPr>
        <w:tc>
          <w:tcPr>
            <w:tcW w:w="1226"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167B13AF" w14:textId="77777777" w:rsidR="00B930EF" w:rsidRPr="00454CF6" w:rsidRDefault="00B930EF" w:rsidP="007C1E5E">
            <w:pPr>
              <w:spacing w:line="256" w:lineRule="auto"/>
              <w:rPr>
                <w:rFonts w:ascii="Calibri" w:eastAsia="Calibri" w:hAnsi="Calibri"/>
                <w:noProof/>
                <w:sz w:val="20"/>
                <w:szCs w:val="20"/>
                <w:lang w:eastAsia="en-GB"/>
              </w:rPr>
            </w:pPr>
          </w:p>
        </w:tc>
        <w:tc>
          <w:tcPr>
            <w:tcW w:w="1586"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0AAEDC39" w14:textId="77777777" w:rsidR="00B930EF" w:rsidRPr="00454CF6" w:rsidRDefault="00B930EF" w:rsidP="007C1E5E">
            <w:pPr>
              <w:spacing w:line="256" w:lineRule="auto"/>
              <w:rPr>
                <w:rFonts w:ascii="Calibri" w:eastAsia="Calibri" w:hAnsi="Calibri"/>
                <w:noProof/>
                <w:sz w:val="20"/>
                <w:szCs w:val="20"/>
                <w:lang w:eastAsia="en-GB"/>
              </w:rPr>
            </w:pPr>
          </w:p>
        </w:tc>
        <w:tc>
          <w:tcPr>
            <w:tcW w:w="1587" w:type="dxa"/>
            <w:tcBorders>
              <w:top w:val="single" w:sz="8" w:space="0" w:color="BFBFBF"/>
              <w:left w:val="single" w:sz="8" w:space="0" w:color="BFBFBF"/>
              <w:bottom w:val="single" w:sz="8" w:space="0" w:color="BFBFBF"/>
              <w:right w:val="single" w:sz="8" w:space="0" w:color="BFBFBF"/>
            </w:tcBorders>
            <w:shd w:val="clear" w:color="auto" w:fill="C00000"/>
            <w:tcMar>
              <w:top w:w="72" w:type="dxa"/>
              <w:left w:w="144" w:type="dxa"/>
              <w:bottom w:w="72" w:type="dxa"/>
              <w:right w:w="144" w:type="dxa"/>
            </w:tcMar>
            <w:hideMark/>
          </w:tcPr>
          <w:p w14:paraId="71431A4C" w14:textId="77777777" w:rsidR="00B930EF" w:rsidRPr="00454CF6" w:rsidRDefault="00B930EF" w:rsidP="007C1E5E">
            <w:pPr>
              <w:jc w:val="center"/>
              <w:textAlignment w:val="baseline"/>
              <w:rPr>
                <w:rFonts w:ascii="Arial" w:eastAsia="Times New Roman" w:hAnsi="Arial" w:cs="Arial"/>
                <w:noProof/>
                <w:sz w:val="36"/>
                <w:szCs w:val="36"/>
              </w:rPr>
            </w:pPr>
            <w:r>
              <w:rPr>
                <w:rFonts w:ascii="Calibri" w:hAnsi="Calibri"/>
                <w:noProof/>
                <w:color w:val="FFFFFF"/>
              </w:rPr>
              <w:t>Creación de un grupo para garantizar el cumplimiento de la normativa</w:t>
            </w:r>
          </w:p>
        </w:tc>
        <w:tc>
          <w:tcPr>
            <w:tcW w:w="1533"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3654BA2A" w14:textId="77777777" w:rsidR="00B930EF" w:rsidRPr="00454CF6" w:rsidRDefault="00B930EF" w:rsidP="007C1E5E">
            <w:pPr>
              <w:rPr>
                <w:rFonts w:ascii="Arial" w:eastAsia="Times New Roman" w:hAnsi="Arial" w:cs="Arial"/>
                <w:noProof/>
                <w:sz w:val="36"/>
                <w:szCs w:val="36"/>
              </w:rPr>
            </w:pPr>
            <w:r>
              <w:rPr>
                <w:rFonts w:ascii="Calibri" w:hAnsi="Calibri"/>
                <w:noProof/>
                <w:lang w:val="en-GB" w:eastAsia="en-GB"/>
              </w:rPr>
              <mc:AlternateContent>
                <mc:Choice Requires="wps">
                  <w:drawing>
                    <wp:anchor distT="0" distB="0" distL="114300" distR="114300" simplePos="0" relativeHeight="251661312" behindDoc="0" locked="0" layoutInCell="1" allowOverlap="1" wp14:anchorId="65D66B0D" wp14:editId="6DD5C197">
                      <wp:simplePos x="0" y="0"/>
                      <wp:positionH relativeFrom="column">
                        <wp:posOffset>-76835</wp:posOffset>
                      </wp:positionH>
                      <wp:positionV relativeFrom="paragraph">
                        <wp:posOffset>-42545</wp:posOffset>
                      </wp:positionV>
                      <wp:extent cx="6980555" cy="609600"/>
                      <wp:effectExtent l="0" t="0" r="0" b="0"/>
                      <wp:wrapNone/>
                      <wp:docPr id="12" name="Google Shape;142;p3"/>
                      <wp:cNvGraphicFramePr/>
                      <a:graphic xmlns:a="http://schemas.openxmlformats.org/drawingml/2006/main">
                        <a:graphicData uri="http://schemas.microsoft.com/office/word/2010/wordprocessingShape">
                          <wps:wsp>
                            <wps:cNvSpPr/>
                            <wps:spPr>
                              <a:xfrm>
                                <a:off x="0" y="0"/>
                                <a:ext cx="6980555" cy="609600"/>
                              </a:xfrm>
                              <a:prstGeom prst="homePlate">
                                <a:avLst>
                                  <a:gd name="adj" fmla="val 50000"/>
                                </a:avLst>
                              </a:prstGeom>
                              <a:solidFill>
                                <a:srgbClr val="C00000"/>
                              </a:solidFill>
                              <a:ln>
                                <a:noFill/>
                              </a:ln>
                            </wps:spPr>
                            <wps:txbx>
                              <w:txbxContent>
                                <w:p w14:paraId="6BDA5B5C" w14:textId="77777777" w:rsidR="00B930EF" w:rsidRDefault="00B930EF" w:rsidP="00B930EF">
                                  <w:pPr>
                                    <w:pStyle w:val="NormalWeb"/>
                                    <w:spacing w:after="0"/>
                                    <w:jc w:val="center"/>
                                    <w:textAlignment w:val="baseline"/>
                                  </w:pPr>
                                  <w:r>
                                    <w:rPr>
                                      <w:rFonts w:ascii="Calibri" w:hAnsi="Calibri"/>
                                      <w:color w:val="FFFFFF"/>
                                      <w:sz w:val="22"/>
                                    </w:rPr>
                                    <w:t>Ejecución de acciones específicas (por ejemplo, herramientas de intercambio de información, notas de orientación, operaciones conjuntas)</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5D66B0D" id="Google Shape;142;p3" o:spid="_x0000_s1032" type="#_x0000_t15" style="position:absolute;margin-left:-6.05pt;margin-top:-3.35pt;width:549.65pt;height: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" adj="20657" fillcolor="#c00000" stroked="f">
                      <v:textbox inset="2.53958mm,1.2694mm,2.53958mm,1.2694mm">
                        <w:txbxContent>
                          <w:p w14:paraId="6BDA5B5C" w14:textId="77777777" w:rsidR="00B930EF" w:rsidRDefault="00B930EF" w:rsidP="00B930EF">
                            <w:pPr>
                              <w:pStyle w:val="NormalWeb"/>
                              <w:spacing w:after="0"/>
                              <w:jc w:val="center"/>
                              <w:textAlignment w:val="baseline"/>
                            </w:pPr>
                            <w:r>
                              <w:rPr>
                                <w:rFonts w:ascii="Calibri" w:hAnsi="Calibri"/>
                                <w:color w:val="FFFFFF"/>
                                <w:sz w:val="22"/>
                              </w:rPr>
                              <w:t>Ejecución de acciones específicas (por ejemplo, herramientas de intercambio de información, notas de orientación, operaciones conjuntas)</w:t>
                            </w:r>
                          </w:p>
                        </w:txbxContent>
                      </v:textbox>
                    </v:shape>
                  </w:pict>
                </mc:Fallback>
              </mc:AlternateContent>
            </w: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6B76AE1A" w14:textId="77777777" w:rsidR="00B930EF" w:rsidRPr="00E35577" w:rsidRDefault="00B930EF" w:rsidP="007C1E5E">
            <w:pPr>
              <w:spacing w:line="256" w:lineRule="auto"/>
              <w:rPr>
                <w:rFonts w:ascii="Arial" w:eastAsia="Times New Roman" w:hAnsi="Arial" w:cs="Arial"/>
                <w:noProof/>
                <w:sz w:val="36"/>
                <w:szCs w:val="36"/>
                <w:lang w:val="es-ES_tradnl" w:eastAsia="fr-BE"/>
              </w:rPr>
            </w:pP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43021B46"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42DD21C6"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38657E80"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28B2B89D"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6B6116C8"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06B3D5E5"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3C216093" w14:textId="77777777" w:rsidR="00B930EF" w:rsidRPr="00454CF6" w:rsidRDefault="00B930EF" w:rsidP="007C1E5E">
            <w:pPr>
              <w:spacing w:line="256" w:lineRule="auto"/>
              <w:rPr>
                <w:rFonts w:ascii="Calibri" w:eastAsia="Calibri" w:hAnsi="Calibri"/>
                <w:noProof/>
                <w:sz w:val="20"/>
                <w:szCs w:val="20"/>
                <w:lang w:eastAsia="en-GB"/>
              </w:rPr>
            </w:pPr>
          </w:p>
        </w:tc>
      </w:tr>
      <w:tr w:rsidR="00B930EF" w:rsidRPr="00153595" w14:paraId="31C05CA4" w14:textId="77777777" w:rsidTr="007C1E5E">
        <w:trPr>
          <w:trHeight w:val="1002"/>
        </w:trPr>
        <w:tc>
          <w:tcPr>
            <w:tcW w:w="1226"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1AFD7E93" w14:textId="77777777" w:rsidR="00B930EF" w:rsidRPr="00454CF6" w:rsidRDefault="00B930EF" w:rsidP="007C1E5E">
            <w:pPr>
              <w:spacing w:line="256" w:lineRule="auto"/>
              <w:rPr>
                <w:rFonts w:ascii="Calibri" w:eastAsia="Calibri" w:hAnsi="Calibri"/>
                <w:noProof/>
                <w:sz w:val="20"/>
                <w:szCs w:val="20"/>
                <w:lang w:eastAsia="en-GB"/>
              </w:rPr>
            </w:pPr>
          </w:p>
        </w:tc>
        <w:tc>
          <w:tcPr>
            <w:tcW w:w="1586"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09ED8228" w14:textId="77777777" w:rsidR="00B930EF" w:rsidRPr="00454CF6" w:rsidRDefault="00B930EF" w:rsidP="007C1E5E">
            <w:pPr>
              <w:spacing w:line="256" w:lineRule="auto"/>
              <w:rPr>
                <w:rFonts w:ascii="Calibri" w:eastAsia="Calibri" w:hAnsi="Calibri"/>
                <w:noProof/>
                <w:sz w:val="20"/>
                <w:szCs w:val="20"/>
                <w:lang w:eastAsia="en-GB"/>
              </w:rPr>
            </w:pPr>
          </w:p>
        </w:tc>
        <w:tc>
          <w:tcPr>
            <w:tcW w:w="1587"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vAlign w:val="center"/>
            <w:hideMark/>
          </w:tcPr>
          <w:p w14:paraId="77A6E735" w14:textId="77777777" w:rsidR="00B930EF" w:rsidRPr="00454CF6" w:rsidRDefault="00B930EF" w:rsidP="007C1E5E">
            <w:pPr>
              <w:spacing w:line="256" w:lineRule="auto"/>
              <w:rPr>
                <w:rFonts w:ascii="Calibri" w:eastAsia="Calibri" w:hAnsi="Calibri"/>
                <w:noProof/>
                <w:sz w:val="20"/>
                <w:szCs w:val="20"/>
                <w:lang w:eastAsia="en-GB"/>
              </w:rPr>
            </w:pPr>
          </w:p>
        </w:tc>
        <w:tc>
          <w:tcPr>
            <w:tcW w:w="1533" w:type="dxa"/>
            <w:tcBorders>
              <w:top w:val="single" w:sz="8" w:space="0" w:color="BFBFBF"/>
              <w:left w:val="single" w:sz="8" w:space="0" w:color="BFBFBF"/>
              <w:bottom w:val="single" w:sz="8" w:space="0" w:color="BFBFBF"/>
              <w:right w:val="single" w:sz="8" w:space="0" w:color="BFBFBF"/>
            </w:tcBorders>
            <w:shd w:val="clear" w:color="auto" w:fill="DD7E6B"/>
            <w:tcMar>
              <w:top w:w="72" w:type="dxa"/>
              <w:left w:w="144" w:type="dxa"/>
              <w:bottom w:w="72" w:type="dxa"/>
              <w:right w:w="144" w:type="dxa"/>
            </w:tcMar>
            <w:hideMark/>
          </w:tcPr>
          <w:p w14:paraId="5900E2AD" w14:textId="77777777" w:rsidR="00B930EF" w:rsidRPr="00454CF6" w:rsidRDefault="00B930EF" w:rsidP="007C1E5E">
            <w:pPr>
              <w:jc w:val="center"/>
              <w:textAlignment w:val="baseline"/>
              <w:rPr>
                <w:rFonts w:ascii="Arial" w:eastAsia="Times New Roman" w:hAnsi="Arial" w:cs="Arial"/>
                <w:noProof/>
                <w:sz w:val="36"/>
                <w:szCs w:val="36"/>
              </w:rPr>
            </w:pPr>
            <w:r>
              <w:rPr>
                <w:rFonts w:ascii="Calibri" w:hAnsi="Calibri"/>
                <w:noProof/>
                <w:color w:val="FFFFFF"/>
              </w:rPr>
              <w:t>Creación de un grupo de desarrollo de capacidades</w:t>
            </w: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1204DB98" w14:textId="77777777" w:rsidR="00B930EF" w:rsidRPr="00454CF6" w:rsidRDefault="00B930EF" w:rsidP="007C1E5E">
            <w:pPr>
              <w:rPr>
                <w:rFonts w:ascii="Arial" w:eastAsia="Times New Roman" w:hAnsi="Arial" w:cs="Arial"/>
                <w:noProof/>
                <w:sz w:val="36"/>
                <w:szCs w:val="36"/>
              </w:rPr>
            </w:pPr>
            <w:r>
              <w:rPr>
                <w:rFonts w:ascii="Calibri" w:hAnsi="Calibri"/>
                <w:noProof/>
                <w:lang w:val="en-GB" w:eastAsia="en-GB"/>
              </w:rPr>
              <mc:AlternateContent>
                <mc:Choice Requires="wps">
                  <w:drawing>
                    <wp:anchor distT="0" distB="0" distL="114300" distR="114300" simplePos="0" relativeHeight="251664384" behindDoc="0" locked="0" layoutInCell="1" allowOverlap="1" wp14:anchorId="3C709EF7" wp14:editId="478F2CCB">
                      <wp:simplePos x="0" y="0"/>
                      <wp:positionH relativeFrom="column">
                        <wp:posOffset>-77470</wp:posOffset>
                      </wp:positionH>
                      <wp:positionV relativeFrom="paragraph">
                        <wp:posOffset>-43180</wp:posOffset>
                      </wp:positionV>
                      <wp:extent cx="2537460" cy="710360"/>
                      <wp:effectExtent l="0" t="0" r="0" b="0"/>
                      <wp:wrapNone/>
                      <wp:docPr id="13" name="Google Shape;139;p3"/>
                      <wp:cNvGraphicFramePr/>
                      <a:graphic xmlns:a="http://schemas.openxmlformats.org/drawingml/2006/main">
                        <a:graphicData uri="http://schemas.microsoft.com/office/word/2010/wordprocessingShape">
                          <wps:wsp>
                            <wps:cNvSpPr/>
                            <wps:spPr>
                              <a:xfrm>
                                <a:off x="0" y="0"/>
                                <a:ext cx="2537460" cy="710360"/>
                              </a:xfrm>
                              <a:prstGeom prst="homePlate">
                                <a:avLst>
                                  <a:gd name="adj" fmla="val 50000"/>
                                </a:avLst>
                              </a:prstGeom>
                              <a:solidFill>
                                <a:srgbClr val="DD7E6B"/>
                              </a:solidFill>
                              <a:ln>
                                <a:noFill/>
                              </a:ln>
                            </wps:spPr>
                            <wps:txbx>
                              <w:txbxContent>
                                <w:p w14:paraId="31685C92" w14:textId="77777777" w:rsidR="00B930EF" w:rsidRDefault="00B930EF" w:rsidP="00B930EF">
                                  <w:pPr>
                                    <w:pStyle w:val="NormalWeb"/>
                                    <w:spacing w:after="0"/>
                                    <w:jc w:val="center"/>
                                    <w:textAlignment w:val="baseline"/>
                                  </w:pPr>
                                  <w:r>
                                    <w:rPr>
                                      <w:rFonts w:ascii="Calibri" w:hAnsi="Calibri"/>
                                      <w:color w:val="FFFFFF"/>
                                      <w:sz w:val="22"/>
                                    </w:rPr>
                                    <w:t>Estudio de viabilidad</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C709EF7" id="Google Shape;139;p3" o:spid="_x0000_s1033" type="#_x0000_t15" style="position:absolute;margin-left:-6.1pt;margin-top:-3.4pt;width:199.8pt;height:55.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" adj="18577" fillcolor="#dd7e6b" stroked="f">
                      <v:textbox inset="2.53958mm,1.2694mm,2.53958mm,1.2694mm">
                        <w:txbxContent>
                          <w:p w14:paraId="31685C92" w14:textId="77777777" w:rsidR="00B930EF" w:rsidRDefault="00B930EF" w:rsidP="00B930EF">
                            <w:pPr>
                              <w:pStyle w:val="NormalWeb"/>
                              <w:spacing w:after="0"/>
                              <w:jc w:val="center"/>
                              <w:textAlignment w:val="baseline"/>
                            </w:pPr>
                            <w:r>
                              <w:rPr>
                                <w:rFonts w:ascii="Calibri" w:hAnsi="Calibri"/>
                                <w:color w:val="FFFFFF"/>
                                <w:sz w:val="22"/>
                              </w:rPr>
                              <w:t>Estudio de viabilidad</w:t>
                            </w:r>
                          </w:p>
                        </w:txbxContent>
                      </v:textbox>
                    </v:shape>
                  </w:pict>
                </mc:Fallback>
              </mc:AlternateContent>
            </w: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5F691A67" w14:textId="77777777" w:rsidR="00B930EF" w:rsidRPr="00E35577" w:rsidRDefault="00B930EF" w:rsidP="007C1E5E">
            <w:pPr>
              <w:spacing w:line="256" w:lineRule="auto"/>
              <w:rPr>
                <w:rFonts w:ascii="Arial" w:eastAsia="Times New Roman" w:hAnsi="Arial" w:cs="Arial"/>
                <w:noProof/>
                <w:sz w:val="36"/>
                <w:szCs w:val="36"/>
                <w:lang w:val="es-ES_tradnl" w:eastAsia="fr-BE"/>
              </w:rPr>
            </w:pP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5E26C67F" w14:textId="77777777" w:rsidR="00B930EF" w:rsidRPr="00454CF6" w:rsidRDefault="00B930EF" w:rsidP="007C1E5E">
            <w:pPr>
              <w:rPr>
                <w:rFonts w:eastAsia="Times New Roman"/>
                <w:noProof/>
                <w:sz w:val="20"/>
                <w:szCs w:val="20"/>
              </w:rPr>
            </w:pPr>
            <w:r>
              <w:rPr>
                <w:rFonts w:ascii="Calibri" w:hAnsi="Calibri"/>
                <w:noProof/>
                <w:lang w:val="en-GB" w:eastAsia="en-GB"/>
              </w:rPr>
              <mc:AlternateContent>
                <mc:Choice Requires="wps">
                  <w:drawing>
                    <wp:anchor distT="0" distB="0" distL="114300" distR="114300" simplePos="0" relativeHeight="251673600" behindDoc="0" locked="0" layoutInCell="1" allowOverlap="1" wp14:anchorId="5AB63106" wp14:editId="1A83A5BF">
                      <wp:simplePos x="0" y="0"/>
                      <wp:positionH relativeFrom="column">
                        <wp:posOffset>1031239</wp:posOffset>
                      </wp:positionH>
                      <wp:positionV relativeFrom="paragraph">
                        <wp:posOffset>-31750</wp:posOffset>
                      </wp:positionV>
                      <wp:extent cx="1914525" cy="702373"/>
                      <wp:effectExtent l="0" t="0" r="9525" b="2540"/>
                      <wp:wrapNone/>
                      <wp:docPr id="14" name="Google Shape;139;p3"/>
                      <wp:cNvGraphicFramePr/>
                      <a:graphic xmlns:a="http://schemas.openxmlformats.org/drawingml/2006/main">
                        <a:graphicData uri="http://schemas.microsoft.com/office/word/2010/wordprocessingShape">
                          <wps:wsp>
                            <wps:cNvSpPr/>
                            <wps:spPr>
                              <a:xfrm>
                                <a:off x="0" y="0"/>
                                <a:ext cx="1914525" cy="702373"/>
                              </a:xfrm>
                              <a:prstGeom prst="homePlate">
                                <a:avLst>
                                  <a:gd name="adj" fmla="val 50000"/>
                                </a:avLst>
                              </a:prstGeom>
                              <a:solidFill>
                                <a:srgbClr val="DD7E6B"/>
                              </a:solidFill>
                              <a:ln>
                                <a:noFill/>
                              </a:ln>
                            </wps:spPr>
                            <wps:txbx>
                              <w:txbxContent>
                                <w:p w14:paraId="1A1BEDB7" w14:textId="77777777" w:rsidR="00B930EF" w:rsidRDefault="00B930EF" w:rsidP="00B930EF">
                                  <w:pPr>
                                    <w:pStyle w:val="NormalWeb"/>
                                    <w:spacing w:after="0"/>
                                    <w:jc w:val="center"/>
                                    <w:textAlignment w:val="baseline"/>
                                  </w:pPr>
                                  <w:r>
                                    <w:rPr>
                                      <w:rFonts w:ascii="Calibri" w:hAnsi="Calibri"/>
                                      <w:color w:val="FFFFFF"/>
                                      <w:sz w:val="22"/>
                                    </w:rPr>
                                    <w:t>Programas de formación de la UE</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AB63106" id="_x0000_s1034" type="#_x0000_t15" style="position:absolute;margin-left:81.2pt;margin-top:-2.5pt;width:150.75pt;height:55.3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" adj="17638" fillcolor="#dd7e6b" stroked="f">
                      <v:textbox inset="2.53958mm,1.2694mm,2.53958mm,1.2694mm">
                        <w:txbxContent>
                          <w:p w14:paraId="1A1BEDB7" w14:textId="77777777" w:rsidR="00B930EF" w:rsidRDefault="00B930EF" w:rsidP="00B930EF">
                            <w:pPr>
                              <w:pStyle w:val="NormalWeb"/>
                              <w:spacing w:after="0"/>
                              <w:jc w:val="center"/>
                              <w:textAlignment w:val="baseline"/>
                            </w:pPr>
                            <w:r>
                              <w:rPr>
                                <w:rFonts w:ascii="Calibri" w:hAnsi="Calibri"/>
                                <w:color w:val="FFFFFF"/>
                                <w:sz w:val="22"/>
                              </w:rPr>
                              <w:t>Programas de formación de la UE</w:t>
                            </w:r>
                          </w:p>
                        </w:txbxContent>
                      </v:textbox>
                    </v:shape>
                  </w:pict>
                </mc:Fallback>
              </mc:AlternateContent>
            </w:r>
          </w:p>
        </w:tc>
        <w:tc>
          <w:tcPr>
            <w:tcW w:w="1224" w:type="dxa"/>
            <w:tcBorders>
              <w:top w:val="single" w:sz="8" w:space="0" w:color="BFBFBF"/>
              <w:left w:val="single" w:sz="8" w:space="0" w:color="BFBFBF"/>
              <w:bottom w:val="single" w:sz="8" w:space="0" w:color="BFBFBF"/>
              <w:right w:val="single" w:sz="8" w:space="0" w:color="BFBFBF"/>
            </w:tcBorders>
            <w:shd w:val="clear" w:color="auto" w:fill="D3E8F9"/>
            <w:tcMar>
              <w:top w:w="72" w:type="dxa"/>
              <w:left w:w="144" w:type="dxa"/>
              <w:bottom w:w="72" w:type="dxa"/>
              <w:right w:w="144" w:type="dxa"/>
            </w:tcMar>
            <w:hideMark/>
          </w:tcPr>
          <w:p w14:paraId="1099D141" w14:textId="77777777" w:rsidR="00B930EF" w:rsidRPr="00E35577" w:rsidRDefault="00B930EF" w:rsidP="007C1E5E">
            <w:pPr>
              <w:spacing w:line="256" w:lineRule="auto"/>
              <w:rPr>
                <w:rFonts w:eastAsia="Times New Roman"/>
                <w:noProof/>
                <w:sz w:val="20"/>
                <w:szCs w:val="20"/>
                <w:lang w:val="es-ES_tradnl" w:eastAsia="fr-BE"/>
              </w:rPr>
            </w:pP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77FD594A" w14:textId="77777777" w:rsidR="00B930EF" w:rsidRPr="00454CF6" w:rsidRDefault="00B930EF" w:rsidP="007C1E5E">
            <w:pPr>
              <w:rPr>
                <w:rFonts w:eastAsia="Times New Roman"/>
                <w:noProof/>
                <w:sz w:val="20"/>
                <w:szCs w:val="20"/>
              </w:rPr>
            </w:pPr>
            <w:r>
              <w:rPr>
                <w:rFonts w:ascii="Calibri" w:hAnsi="Calibri"/>
                <w:noProof/>
                <w:lang w:val="en-GB" w:eastAsia="en-GB"/>
              </w:rPr>
              <mc:AlternateContent>
                <mc:Choice Requires="wps">
                  <w:drawing>
                    <wp:anchor distT="0" distB="0" distL="114300" distR="114300" simplePos="0" relativeHeight="251677696" behindDoc="0" locked="0" layoutInCell="1" allowOverlap="1" wp14:anchorId="477A5FD0" wp14:editId="3CBA76B8">
                      <wp:simplePos x="0" y="0"/>
                      <wp:positionH relativeFrom="column">
                        <wp:posOffset>1476375</wp:posOffset>
                      </wp:positionH>
                      <wp:positionV relativeFrom="paragraph">
                        <wp:posOffset>-43180</wp:posOffset>
                      </wp:positionV>
                      <wp:extent cx="1447165" cy="709930"/>
                      <wp:effectExtent l="0" t="0" r="635" b="0"/>
                      <wp:wrapNone/>
                      <wp:docPr id="15" name="Google Shape;139;p3"/>
                      <wp:cNvGraphicFramePr/>
                      <a:graphic xmlns:a="http://schemas.openxmlformats.org/drawingml/2006/main">
                        <a:graphicData uri="http://schemas.microsoft.com/office/word/2010/wordprocessingShape">
                          <wps:wsp>
                            <wps:cNvSpPr/>
                            <wps:spPr>
                              <a:xfrm>
                                <a:off x="0" y="0"/>
                                <a:ext cx="1447165" cy="709930"/>
                              </a:xfrm>
                              <a:prstGeom prst="homePlate">
                                <a:avLst>
                                  <a:gd name="adj" fmla="val 50000"/>
                                </a:avLst>
                              </a:prstGeom>
                              <a:solidFill>
                                <a:srgbClr val="DD7E6B"/>
                              </a:solidFill>
                              <a:ln>
                                <a:noFill/>
                              </a:ln>
                            </wps:spPr>
                            <wps:txbx>
                              <w:txbxContent>
                                <w:p w14:paraId="5DE04533" w14:textId="77777777" w:rsidR="00B930EF" w:rsidRDefault="00B930EF" w:rsidP="00B930EF">
                                  <w:pPr>
                                    <w:pStyle w:val="NormalWeb"/>
                                    <w:spacing w:after="0"/>
                                    <w:jc w:val="center"/>
                                    <w:textAlignment w:val="baseline"/>
                                  </w:pPr>
                                  <w:r>
                                    <w:rPr>
                                      <w:rFonts w:ascii="Calibri" w:hAnsi="Calibri"/>
                                      <w:color w:val="FFFFFF"/>
                                      <w:sz w:val="22"/>
                                    </w:rPr>
                                    <w:t>Puesta en marcha del programa</w:t>
                                  </w:r>
                                </w:p>
                              </w:txbxContent>
                            </wps:txbx>
                            <wps:bodyPr spcFirstLastPara="1" wrap="square" lIns="91425" tIns="45700" rIns="91425" bIns="4570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77A5FD0" id="_x0000_s1035" type="#_x0000_t15" style="position:absolute;margin-left:116.25pt;margin-top:-3.4pt;width:113.95pt;height:55.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" adj="16302" fillcolor="#dd7e6b" stroked="f">
                      <v:textbox inset="2.53958mm,1.2694mm,2.53958mm,1.2694mm">
                        <w:txbxContent>
                          <w:p w14:paraId="5DE04533" w14:textId="77777777" w:rsidR="00B930EF" w:rsidRDefault="00B930EF" w:rsidP="00B930EF">
                            <w:pPr>
                              <w:pStyle w:val="NormalWeb"/>
                              <w:spacing w:after="0"/>
                              <w:jc w:val="center"/>
                              <w:textAlignment w:val="baseline"/>
                            </w:pPr>
                            <w:r>
                              <w:rPr>
                                <w:rFonts w:ascii="Calibri" w:hAnsi="Calibri"/>
                                <w:color w:val="FFFFFF"/>
                                <w:sz w:val="22"/>
                              </w:rPr>
                              <w:t>Puesta en marcha del programa</w:t>
                            </w:r>
                          </w:p>
                        </w:txbxContent>
                      </v:textbox>
                    </v:shape>
                  </w:pict>
                </mc:Fallback>
              </mc:AlternateContent>
            </w: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4D57724E" w14:textId="77777777" w:rsidR="00B930EF" w:rsidRPr="00E35577" w:rsidRDefault="00B930EF" w:rsidP="007C1E5E">
            <w:pPr>
              <w:spacing w:line="256" w:lineRule="auto"/>
              <w:rPr>
                <w:rFonts w:eastAsia="Times New Roman"/>
                <w:noProof/>
                <w:sz w:val="20"/>
                <w:szCs w:val="20"/>
                <w:lang w:val="es-ES_tradnl" w:eastAsia="fr-BE"/>
              </w:rPr>
            </w:pP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2EC8EF15" w14:textId="77777777" w:rsidR="00B930EF" w:rsidRPr="00454CF6" w:rsidRDefault="00B930EF" w:rsidP="007C1E5E">
            <w:pPr>
              <w:spacing w:line="256" w:lineRule="auto"/>
              <w:rPr>
                <w:rFonts w:ascii="Calibri" w:eastAsia="Calibri" w:hAnsi="Calibri"/>
                <w:noProof/>
                <w:sz w:val="20"/>
                <w:szCs w:val="20"/>
                <w:lang w:eastAsia="en-GB"/>
              </w:rPr>
            </w:pPr>
          </w:p>
        </w:tc>
        <w:tc>
          <w:tcPr>
            <w:tcW w:w="1224" w:type="dxa"/>
            <w:tcBorders>
              <w:top w:val="single" w:sz="8" w:space="0" w:color="BFBFBF"/>
              <w:left w:val="single" w:sz="8" w:space="0" w:color="BFBFBF"/>
              <w:bottom w:val="single" w:sz="8" w:space="0" w:color="BFBFBF"/>
              <w:right w:val="single" w:sz="8" w:space="0" w:color="BFBFBF"/>
            </w:tcBorders>
            <w:tcMar>
              <w:top w:w="72" w:type="dxa"/>
              <w:left w:w="144" w:type="dxa"/>
              <w:bottom w:w="72" w:type="dxa"/>
              <w:right w:w="144" w:type="dxa"/>
            </w:tcMar>
            <w:hideMark/>
          </w:tcPr>
          <w:p w14:paraId="6D88BCD0" w14:textId="77777777" w:rsidR="00B930EF" w:rsidRPr="00454CF6" w:rsidRDefault="00B930EF" w:rsidP="007C1E5E">
            <w:pPr>
              <w:spacing w:line="256" w:lineRule="auto"/>
              <w:rPr>
                <w:rFonts w:ascii="Calibri" w:eastAsia="Calibri" w:hAnsi="Calibri"/>
                <w:noProof/>
                <w:sz w:val="20"/>
                <w:szCs w:val="20"/>
                <w:lang w:eastAsia="en-GB"/>
              </w:rPr>
            </w:pPr>
          </w:p>
        </w:tc>
      </w:tr>
    </w:tbl>
    <w:p w14:paraId="3BAEDAC4" w14:textId="77777777" w:rsidR="00B930EF" w:rsidRPr="00E35577" w:rsidRDefault="00B930EF" w:rsidP="001926CB">
      <w:pPr>
        <w:jc w:val="both"/>
        <w:rPr>
          <w:b/>
          <w:noProof/>
          <w:lang w:val="es-ES_tradnl"/>
        </w:rPr>
      </w:pPr>
    </w:p>
    <w:sectPr w:rsidR="00B930EF" w:rsidRPr="00E35577" w:rsidSect="00F37385">
      <w:headerReference w:type="even" r:id="rId33"/>
      <w:headerReference w:type="default" r:id="rId34"/>
      <w:footerReference w:type="even" r:id="rId35"/>
      <w:footerReference w:type="default" r:id="rId36"/>
      <w:headerReference w:type="first" r:id="rId37"/>
      <w:footerReference w:type="first" r:id="rId38"/>
      <w:pgSz w:w="15840" w:h="12240" w:orient="landscape"/>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FF43B" w16cex:dateUtc="2022-05-18T20:39:00Z"/>
  <w16cex:commentExtensible w16cex:durableId="262FF400" w16cex:dateUtc="2022-05-18T20:38:00Z"/>
  <w16cex:commentExtensible w16cex:durableId="262FF47F" w16cex:dateUtc="2022-05-18T20:41:00Z"/>
  <w16cex:commentExtensible w16cex:durableId="262FF4BB" w16cex:dateUtc="2022-05-18T20:42:00Z"/>
  <w16cex:commentExtensible w16cex:durableId="262FF820" w16cex:dateUtc="2022-05-18T20:56:00Z"/>
  <w16cex:commentExtensible w16cex:durableId="262FF6C6" w16cex:dateUtc="2022-05-18T20:50:00Z"/>
  <w16cex:commentExtensible w16cex:durableId="262FF6FB" w16cex:dateUtc="2022-05-18T20:51:00Z"/>
  <w16cex:commentExtensible w16cex:durableId="262FF908" w16cex:dateUtc="2022-05-18T21:00:00Z"/>
  <w16cex:commentExtensible w16cex:durableId="2630659D" w16cex:dateUtc="2022-05-19T04:43:00Z"/>
  <w16cex:commentExtensible w16cex:durableId="26306647" w16cex:dateUtc="2022-05-19T04:46:00Z"/>
  <w16cex:commentExtensible w16cex:durableId="26306648" w16cex:dateUtc="2022-05-19T04:46:00Z"/>
  <w16cex:commentExtensible w16cex:durableId="26306A02" w16cex:dateUtc="2022-05-19T05:02:00Z"/>
  <w16cex:commentExtensible w16cex:durableId="2630687A" w16cex:dateUtc="2022-05-19T04:55:00Z"/>
  <w16cex:commentExtensible w16cex:durableId="26306EB5" w16cex:dateUtc="2022-05-19T05:22:00Z"/>
  <w16cex:commentExtensible w16cex:durableId="26306F31" w16cex:dateUtc="2022-05-19T05:24:00Z"/>
  <w16cex:commentExtensible w16cex:durableId="26306F7F" w16cex:dateUtc="2022-05-19T05:25:00Z"/>
  <w16cex:commentExtensible w16cex:durableId="26307497" w16cex:dateUtc="2022-05-19T05:47:00Z"/>
  <w16cex:commentExtensible w16cex:durableId="263070A0" w16cex:dateUtc="2022-05-19T05:30:00Z"/>
  <w16cex:commentExtensible w16cex:durableId="26307092" w16cex:dateUtc="2022-05-19T05:30:00Z"/>
  <w16cex:commentExtensible w16cex:durableId="263070D0" w16cex:dateUtc="2022-05-19T05:31:00Z"/>
  <w16cex:commentExtensible w16cex:durableId="26307144" w16cex:dateUtc="2022-05-19T05:33:00Z"/>
  <w16cex:commentExtensible w16cex:durableId="2630711E" w16cex:dateUtc="2022-05-19T05:32:00Z"/>
  <w16cex:commentExtensible w16cex:durableId="262FEDA7" w16cex:dateUtc="2022-05-17T09:57:00Z"/>
  <w16cex:commentExtensible w16cex:durableId="262FEDA8" w16cex:dateUtc="2022-05-17T09:58:00Z"/>
  <w16cex:commentExtensible w16cex:durableId="2630730C" w16cex:dateUtc="2022-05-19T05:41:00Z"/>
  <w16cex:commentExtensible w16cex:durableId="2630742B" w16cex:dateUtc="2022-05-19T05:45:00Z"/>
  <w16cex:commentExtensible w16cex:durableId="263074C5" w16cex:dateUtc="2022-05-19T05:48:00Z"/>
  <w16cex:commentExtensible w16cex:durableId="2630775D" w16cex:dateUtc="2022-05-19T05:59:00Z"/>
  <w16cex:commentExtensible w16cex:durableId="26307549" w16cex:dateUtc="2022-05-19T05:50:00Z"/>
  <w16cex:commentExtensible w16cex:durableId="262FEDA9" w16cex:dateUtc="2022-05-17T10: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92062DC" w16cid:durableId="262FF43B"/>
  <w16cid:commentId w16cid:paraId="142D1FEC" w16cid:durableId="262FF400"/>
  <w16cid:commentId w16cid:paraId="25E53286" w16cid:durableId="262FF47F"/>
  <w16cid:commentId w16cid:paraId="4F2038DB" w16cid:durableId="262FF4BB"/>
  <w16cid:commentId w16cid:paraId="7378F62A" w16cid:durableId="262FF820"/>
  <w16cid:commentId w16cid:paraId="1F6C9D8E" w16cid:durableId="262FF6C6"/>
  <w16cid:commentId w16cid:paraId="03247523" w16cid:durableId="262FF6FB"/>
  <w16cid:commentId w16cid:paraId="3D57F74D" w16cid:durableId="262FF908"/>
  <w16cid:commentId w16cid:paraId="73B8A297" w16cid:durableId="2630659D"/>
  <w16cid:commentId w16cid:paraId="0CA11C54" w16cid:durableId="26306647"/>
  <w16cid:commentId w16cid:paraId="75D07285" w16cid:durableId="26306648"/>
  <w16cid:commentId w16cid:paraId="1F9B4DFE" w16cid:durableId="26306A02"/>
  <w16cid:commentId w16cid:paraId="1D8E66C8" w16cid:durableId="2630687A"/>
  <w16cid:commentId w16cid:paraId="0F9399D5" w16cid:durableId="26306EB5"/>
  <w16cid:commentId w16cid:paraId="230BC999" w16cid:durableId="26306F31"/>
  <w16cid:commentId w16cid:paraId="1741621C" w16cid:durableId="26306F7F"/>
  <w16cid:commentId w16cid:paraId="43B4947F" w16cid:durableId="26307497"/>
  <w16cid:commentId w16cid:paraId="35184114" w16cid:durableId="263070A0"/>
  <w16cid:commentId w16cid:paraId="34202578" w16cid:durableId="26307092"/>
  <w16cid:commentId w16cid:paraId="61A6564C" w16cid:durableId="263070D0"/>
  <w16cid:commentId w16cid:paraId="1CBB9215" w16cid:durableId="26307144"/>
  <w16cid:commentId w16cid:paraId="0C9D4AB4" w16cid:durableId="2630711E"/>
  <w16cid:commentId w16cid:paraId="576BEFB5" w16cid:durableId="262FEDA7"/>
  <w16cid:commentId w16cid:paraId="0EF2B0D0" w16cid:durableId="262FEDA8"/>
  <w16cid:commentId w16cid:paraId="46ABAD77" w16cid:durableId="2630730C"/>
  <w16cid:commentId w16cid:paraId="087D94C8" w16cid:durableId="2630742B"/>
  <w16cid:commentId w16cid:paraId="0354301A" w16cid:durableId="263074C5"/>
  <w16cid:commentId w16cid:paraId="6748E52E" w16cid:durableId="2630775D"/>
  <w16cid:commentId w16cid:paraId="1C88B467" w16cid:durableId="26307549"/>
  <w16cid:commentId w16cid:paraId="0F75CFB7" w16cid:durableId="262FEDA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3EA380" w14:textId="77777777" w:rsidR="00E3345E" w:rsidRDefault="00E3345E" w:rsidP="00AA655D">
      <w:r>
        <w:separator/>
      </w:r>
    </w:p>
  </w:endnote>
  <w:endnote w:type="continuationSeparator" w:id="0">
    <w:p w14:paraId="04B17DF7" w14:textId="77777777" w:rsidR="00E3345E" w:rsidRDefault="00E3345E" w:rsidP="00AA6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ebkit-standar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3003B" w14:textId="77777777" w:rsidR="00D30906" w:rsidRPr="00D30906" w:rsidRDefault="00D30906" w:rsidP="00D309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2C0E81" w14:textId="54769360" w:rsidR="00E35577" w:rsidRPr="00D30906" w:rsidRDefault="00D30906" w:rsidP="00D30906">
    <w:pPr>
      <w:pStyle w:val="FooterCoverPage"/>
      <w:rPr>
        <w:rFonts w:ascii="Arial" w:hAnsi="Arial" w:cs="Arial"/>
        <w:b/>
        <w:sz w:val="48"/>
      </w:rPr>
    </w:pPr>
    <w:r w:rsidRPr="00D30906">
      <w:rPr>
        <w:rFonts w:ascii="Arial" w:hAnsi="Arial" w:cs="Arial"/>
        <w:b/>
        <w:sz w:val="48"/>
      </w:rPr>
      <w:t>ES</w:t>
    </w:r>
    <w:r w:rsidRPr="00D30906">
      <w:rPr>
        <w:rFonts w:ascii="Arial" w:hAnsi="Arial" w:cs="Arial"/>
        <w:b/>
        <w:sz w:val="48"/>
      </w:rPr>
      <w:tab/>
    </w:r>
    <w:r w:rsidRPr="00D30906">
      <w:rPr>
        <w:rFonts w:ascii="Arial" w:hAnsi="Arial" w:cs="Arial"/>
        <w:b/>
        <w:sz w:val="48"/>
      </w:rPr>
      <w:tab/>
    </w:r>
    <w:r w:rsidRPr="00D30906">
      <w:tab/>
    </w:r>
    <w:r w:rsidRPr="00D30906">
      <w:rPr>
        <w:rFonts w:ascii="Arial" w:hAnsi="Arial" w:cs="Arial"/>
        <w:b/>
        <w:sz w:val="48"/>
      </w:rPr>
      <w:t>ES</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47C5CA" w14:textId="77777777" w:rsidR="00D30906" w:rsidRPr="00D30906" w:rsidRDefault="00D30906" w:rsidP="00D30906">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246841" w14:textId="77777777" w:rsidR="009A3092" w:rsidRDefault="009A3092">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2301958"/>
      <w:docPartObj>
        <w:docPartGallery w:val="Page Numbers (Bottom of Page)"/>
        <w:docPartUnique/>
      </w:docPartObj>
    </w:sdtPr>
    <w:sdtEndPr>
      <w:rPr>
        <w:noProof/>
      </w:rPr>
    </w:sdtEndPr>
    <w:sdtContent>
      <w:p w14:paraId="46D5E56D" w14:textId="0F164626" w:rsidR="009A3092" w:rsidRDefault="009A3092">
        <w:pPr>
          <w:pStyle w:val="Footer"/>
          <w:jc w:val="center"/>
        </w:pPr>
        <w:r>
          <w:fldChar w:fldCharType="begin"/>
        </w:r>
        <w:r>
          <w:instrText xml:space="preserve"> PAGE   \* MERGEFORMAT </w:instrText>
        </w:r>
        <w:r>
          <w:fldChar w:fldCharType="separate"/>
        </w:r>
        <w:r w:rsidR="00D30906">
          <w:rPr>
            <w:noProof/>
          </w:rPr>
          <w:t>1</w:t>
        </w:r>
        <w:r>
          <w:fldChar w:fldCharType="end"/>
        </w:r>
      </w:p>
    </w:sdtContent>
  </w:sdt>
  <w:p w14:paraId="16CF654F" w14:textId="77777777" w:rsidR="009A3092" w:rsidRDefault="009A309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5C932" w14:textId="77777777" w:rsidR="009A3092" w:rsidRDefault="009A309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6A35FB" w14:textId="77777777" w:rsidR="00153595" w:rsidRDefault="00D3090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C5D0B" w14:textId="77777777" w:rsidR="00153595" w:rsidRDefault="00D3090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6D1D9" w14:textId="77777777" w:rsidR="00153595" w:rsidRDefault="00D309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F7B4B9" w14:textId="77777777" w:rsidR="00E3345E" w:rsidRDefault="00E3345E" w:rsidP="00AA655D">
      <w:r>
        <w:separator/>
      </w:r>
    </w:p>
  </w:footnote>
  <w:footnote w:type="continuationSeparator" w:id="0">
    <w:p w14:paraId="7640760E" w14:textId="77777777" w:rsidR="00E3345E" w:rsidRDefault="00E3345E" w:rsidP="00AA655D">
      <w:r>
        <w:continuationSeparator/>
      </w:r>
    </w:p>
  </w:footnote>
  <w:footnote w:id="1">
    <w:p w14:paraId="2D698357" w14:textId="77777777" w:rsidR="009A3092" w:rsidRDefault="009A3092" w:rsidP="00AA655D">
      <w:pPr>
        <w:jc w:val="both"/>
        <w:rPr>
          <w:sz w:val="20"/>
          <w:szCs w:val="20"/>
        </w:rPr>
      </w:pPr>
      <w:r>
        <w:rPr>
          <w:rStyle w:val="FootnoteReference"/>
        </w:rPr>
        <w:footnoteRef/>
      </w:r>
      <w:r>
        <w:t xml:space="preserve"> </w:t>
      </w:r>
      <w:r>
        <w:rPr>
          <w:sz w:val="20"/>
        </w:rPr>
        <w:t>Las autoridades competentes de algunos Estados miembros también informan públicamente sobre el comercio de productos de doble uso.</w:t>
      </w:r>
    </w:p>
  </w:footnote>
  <w:footnote w:id="2">
    <w:p w14:paraId="43E06D68" w14:textId="77777777" w:rsidR="009A3092" w:rsidRPr="008C2769" w:rsidRDefault="009A3092" w:rsidP="005C3629">
      <w:pPr>
        <w:pStyle w:val="FootnoteText"/>
      </w:pPr>
      <w:r>
        <w:rPr>
          <w:rStyle w:val="FootnoteReference"/>
        </w:rPr>
        <w:footnoteRef/>
      </w:r>
      <w:r>
        <w:t xml:space="preserve"> Reglamento (UE) 2021/821 del Parlamento Europeo y del Consejo, de 20 de mayo de 2021, por el que se establece un régimen de la Unión de control de las exportaciones, el corretaje, la asistencia técnica, el tránsito y la transferencia de productos de doble uso (versión refundida) (DO L 206 de 11.6.2021, p. 1) </w:t>
      </w:r>
      <w:hyperlink r:id="rId1" w:history="1">
        <w:r>
          <w:rPr>
            <w:rStyle w:val="Hyperlink"/>
          </w:rPr>
          <w:t>https://eur-lex.europa.eu/eli/reg/2021/821/oj</w:t>
        </w:r>
      </w:hyperlink>
      <w:r>
        <w:t>.</w:t>
      </w:r>
    </w:p>
  </w:footnote>
  <w:footnote w:id="3">
    <w:p w14:paraId="13D20F97" w14:textId="77777777" w:rsidR="009A3092" w:rsidRPr="0082359A" w:rsidRDefault="009A3092">
      <w:pPr>
        <w:pStyle w:val="FootnoteText"/>
      </w:pPr>
      <w:r>
        <w:rPr>
          <w:rStyle w:val="FootnoteReference"/>
        </w:rPr>
        <w:footnoteRef/>
      </w:r>
      <w:r>
        <w:t xml:space="preserve"> El informe anual anterior contiene una descripción de los elementos clave del nuevo Reglamento (sección 2.1.1., «Modernización legislativa»).</w:t>
      </w:r>
    </w:p>
  </w:footnote>
  <w:footnote w:id="4">
    <w:p w14:paraId="7CACE167" w14:textId="77777777" w:rsidR="009A3092" w:rsidRPr="00FC2A23" w:rsidRDefault="009A3092">
      <w:pPr>
        <w:pStyle w:val="FootnoteText"/>
      </w:pPr>
      <w:r>
        <w:rPr>
          <w:rStyle w:val="FootnoteReference"/>
        </w:rPr>
        <w:footnoteRef/>
      </w:r>
      <w:r>
        <w:t xml:space="preserve"> Esto también forma parte de nuestra «asociación con el sector privado», que es un elemento clave de la modernización de los controles de las exportaciones de la UE.</w:t>
      </w:r>
    </w:p>
  </w:footnote>
  <w:footnote w:id="5">
    <w:p w14:paraId="0F502C8C" w14:textId="67D0E445" w:rsidR="009A3092" w:rsidRPr="0082359A" w:rsidRDefault="009A3092">
      <w:pPr>
        <w:pStyle w:val="FootnoteText"/>
      </w:pPr>
      <w:r>
        <w:rPr>
          <w:rStyle w:val="FootnoteReference"/>
        </w:rPr>
        <w:footnoteRef/>
      </w:r>
      <w:r>
        <w:t xml:space="preserve"> https://trade.ec.europa.eu/doclib/docs/2021/november/tradoc_159949.pdf.</w:t>
      </w:r>
    </w:p>
  </w:footnote>
  <w:footnote w:id="6">
    <w:p w14:paraId="11C9C1B7" w14:textId="77777777" w:rsidR="009A3092" w:rsidRPr="0082359A" w:rsidRDefault="009A3092">
      <w:pPr>
        <w:pStyle w:val="FootnoteText"/>
      </w:pPr>
      <w:r>
        <w:rPr>
          <w:rStyle w:val="FootnoteReference"/>
        </w:rPr>
        <w:footnoteRef/>
      </w:r>
      <w:r>
        <w:t xml:space="preserve"> </w:t>
      </w:r>
      <w:hyperlink r:id="rId2" w:history="1">
        <w:r>
          <w:rPr>
            <w:rStyle w:val="Hyperlink"/>
          </w:rPr>
          <w:t>https://ec.europa.eu/commission/presscorner/detail/es/STATEMENT_21_4951</w:t>
        </w:r>
      </w:hyperlink>
      <w:r>
        <w:rPr>
          <w:rStyle w:val="Hyperlink"/>
        </w:rPr>
        <w:t>.</w:t>
      </w:r>
      <w:r>
        <w:t xml:space="preserve"> </w:t>
      </w:r>
    </w:p>
  </w:footnote>
  <w:footnote w:id="7">
    <w:p w14:paraId="04194E91" w14:textId="77777777" w:rsidR="009A3092" w:rsidRPr="0082359A" w:rsidRDefault="009A3092">
      <w:pPr>
        <w:pStyle w:val="FootnoteText"/>
      </w:pPr>
      <w:r>
        <w:rPr>
          <w:rStyle w:val="FootnoteReference"/>
        </w:rPr>
        <w:footnoteRef/>
      </w:r>
      <w:r>
        <w:t xml:space="preserve"> </w:t>
      </w:r>
      <w:hyperlink r:id="rId3" w:history="1">
        <w:r>
          <w:rPr>
            <w:rStyle w:val="Hyperlink"/>
          </w:rPr>
          <w:t>https://trade.ec.europa.eu/doclib/docs/2021/december/tradoc_159950.pdf</w:t>
        </w:r>
      </w:hyperlink>
      <w:r>
        <w:t>.</w:t>
      </w:r>
    </w:p>
  </w:footnote>
  <w:footnote w:id="8">
    <w:p w14:paraId="59E7D648" w14:textId="44E77154" w:rsidR="00D00286" w:rsidRPr="00D00286" w:rsidRDefault="00D00286">
      <w:pPr>
        <w:pStyle w:val="FootnoteText"/>
      </w:pPr>
      <w:r>
        <w:rPr>
          <w:rStyle w:val="FootnoteReference"/>
        </w:rPr>
        <w:footnoteRef/>
      </w:r>
      <w:r>
        <w:t xml:space="preserve"> </w:t>
      </w:r>
      <w:hyperlink r:id="rId4" w:history="1">
        <w:r w:rsidR="007010DD" w:rsidRPr="005A58CE">
          <w:rPr>
            <w:rStyle w:val="Hyperlink"/>
          </w:rPr>
          <w:t>https://futurium.ec.europa.eu/en/EU-US-TTC/wg7/documents/summary-public-feedback-consultation-working-group-7</w:t>
        </w:r>
      </w:hyperlink>
      <w:r w:rsidR="007010DD">
        <w:t>.</w:t>
      </w:r>
      <w:r>
        <w:t xml:space="preserve"> </w:t>
      </w:r>
    </w:p>
  </w:footnote>
  <w:footnote w:id="9">
    <w:p w14:paraId="2E147E8B" w14:textId="77777777" w:rsidR="009A3092" w:rsidRPr="0082359A" w:rsidRDefault="009A3092" w:rsidP="003F48E9">
      <w:pPr>
        <w:pStyle w:val="FootnoteText"/>
      </w:pPr>
      <w:r>
        <w:rPr>
          <w:rStyle w:val="FootnoteReference"/>
        </w:rPr>
        <w:footnoteRef/>
      </w:r>
      <w:r>
        <w:t xml:space="preserve"> Albania, Bosnia y Herzegovina, Kosovo*, Macedonia del Norte, Montenegro y Serbia.</w:t>
      </w:r>
    </w:p>
  </w:footnote>
  <w:footnote w:id="10">
    <w:p w14:paraId="63477409" w14:textId="77777777" w:rsidR="009A3092" w:rsidRDefault="009A3092" w:rsidP="003F1C04">
      <w:pPr>
        <w:pStyle w:val="FootnoteText"/>
        <w:jc w:val="both"/>
      </w:pPr>
      <w:r>
        <w:rPr>
          <w:rStyle w:val="FootnoteReference"/>
        </w:rPr>
        <w:footnoteRef/>
      </w:r>
      <w:r>
        <w:t xml:space="preserve"> Reglamento Delegado (UE) 2022/1 de la Comisión, de 20 de octubre de 2021 (DO L 3 de 6.1.2022, p. 1).</w:t>
      </w:r>
    </w:p>
  </w:footnote>
  <w:footnote w:id="11">
    <w:p w14:paraId="77267077" w14:textId="77777777" w:rsidR="009A3092" w:rsidRDefault="009A3092" w:rsidP="00CA4709">
      <w:pPr>
        <w:pStyle w:val="FootnoteText"/>
        <w:jc w:val="both"/>
      </w:pPr>
      <w:r>
        <w:rPr>
          <w:rStyle w:val="FootnoteReference"/>
        </w:rPr>
        <w:footnoteRef/>
      </w:r>
      <w:r>
        <w:t xml:space="preserve"> La nota de síntesis puede consultarse en la dirección siguiente:  </w:t>
      </w:r>
      <w:hyperlink r:id="rId5" w:history="1">
        <w:r>
          <w:rPr>
            <w:rStyle w:val="Hyperlink"/>
          </w:rPr>
          <w:t>https://trade.ec.europa.eu/doclib/docs/2021/november/tradoc_159903.pdf</w:t>
        </w:r>
      </w:hyperlink>
      <w:r>
        <w:t xml:space="preserve">. </w:t>
      </w:r>
    </w:p>
  </w:footnote>
  <w:footnote w:id="12">
    <w:p w14:paraId="18B5856F" w14:textId="588D3863" w:rsidR="009A3092" w:rsidRPr="0082359A" w:rsidRDefault="009A3092" w:rsidP="00AA655D">
      <w:pPr>
        <w:pStyle w:val="FootnoteText"/>
        <w:rPr>
          <w:rStyle w:val="Hyperlink"/>
        </w:rPr>
      </w:pPr>
      <w:r>
        <w:rPr>
          <w:rStyle w:val="FootnoteReference"/>
        </w:rPr>
        <w:footnoteRef/>
      </w:r>
      <w:r>
        <w:t xml:space="preserve"> </w:t>
      </w:r>
      <w:hyperlink r:id="rId6" w:history="1">
        <w:r>
          <w:rPr>
            <w:rStyle w:val="Hyperlink"/>
          </w:rPr>
          <w:t>https://trade.ec.europa.eu/doclib/docs/2022/februarT/tradoc_160037.pdf</w:t>
        </w:r>
      </w:hyperlink>
      <w:r>
        <w:t xml:space="preserve">.    </w:t>
      </w:r>
      <w:r>
        <w:rPr>
          <w:rStyle w:val="Hyperlink"/>
        </w:rPr>
        <w:t xml:space="preserve"> </w:t>
      </w:r>
    </w:p>
  </w:footnote>
  <w:footnote w:id="13">
    <w:p w14:paraId="06CCC513" w14:textId="77777777" w:rsidR="009A3092" w:rsidRPr="0082359A" w:rsidRDefault="009A3092">
      <w:pPr>
        <w:pStyle w:val="FootnoteText"/>
        <w:rPr>
          <w:rStyle w:val="Hyperlink"/>
        </w:rPr>
      </w:pPr>
      <w:r>
        <w:rPr>
          <w:rStyle w:val="FootnoteReference"/>
        </w:rPr>
        <w:footnoteRef/>
      </w:r>
      <w:r>
        <w:rPr>
          <w:rStyle w:val="Hyperlink"/>
        </w:rPr>
        <w:t xml:space="preserve"> </w:t>
      </w:r>
      <w:hyperlink r:id="rId7" w:history="1">
        <w:r>
          <w:rPr>
            <w:rStyle w:val="Hyperlink"/>
          </w:rPr>
          <w:t>https://ec.europa.eu/transparency/documents-register/detail?ref=COM(2019)562&amp;lang=es</w:t>
        </w:r>
      </w:hyperlink>
      <w:r>
        <w:t>.</w:t>
      </w:r>
      <w:r>
        <w:rPr>
          <w:rStyle w:val="Hyperlink"/>
        </w:rPr>
        <w:t xml:space="preserve">  </w:t>
      </w:r>
    </w:p>
  </w:footnote>
  <w:footnote w:id="14">
    <w:p w14:paraId="78B123E5" w14:textId="77777777" w:rsidR="009A3092" w:rsidRPr="00E35074" w:rsidRDefault="009A3092" w:rsidP="00933503">
      <w:pPr>
        <w:pStyle w:val="Default"/>
        <w:rPr>
          <w:rFonts w:ascii="Times New Roman" w:eastAsia="Calibri" w:hAnsi="Times New Roman" w:cs="Times New Roman"/>
          <w:color w:val="auto"/>
          <w:sz w:val="20"/>
          <w:szCs w:val="20"/>
        </w:rPr>
      </w:pPr>
      <w:r>
        <w:rPr>
          <w:rStyle w:val="FootnoteReference"/>
          <w:rFonts w:eastAsia="Calibri"/>
          <w:sz w:val="22"/>
        </w:rPr>
        <w:footnoteRef/>
      </w:r>
      <w:r>
        <w:rPr>
          <w:rFonts w:ascii="Times New Roman" w:hAnsi="Times New Roman"/>
          <w:color w:val="auto"/>
          <w:sz w:val="20"/>
        </w:rPr>
        <w:t xml:space="preserve"> DO L 29 de 31.1.2020, p. 7 («Acuerdo de Retirada»).  </w:t>
      </w:r>
    </w:p>
  </w:footnote>
  <w:footnote w:id="15">
    <w:p w14:paraId="3EBAF8A9" w14:textId="77777777" w:rsidR="009A3092" w:rsidRPr="001503B0" w:rsidRDefault="009A3092" w:rsidP="00933503">
      <w:pPr>
        <w:pStyle w:val="FootnoteText"/>
      </w:pPr>
      <w:r>
        <w:rPr>
          <w:rStyle w:val="FootnoteReference"/>
        </w:rPr>
        <w:footnoteRef/>
      </w:r>
      <w:r>
        <w:t xml:space="preserve"> Artículo 5, apartado 4, del Protocolo sobre Irlanda del Norte y sección 47 del anexo 2 de dicho Protocolo.</w:t>
      </w:r>
    </w:p>
  </w:footnote>
  <w:footnote w:id="16">
    <w:p w14:paraId="25E23799" w14:textId="77777777" w:rsidR="009A3092" w:rsidRPr="00D529BB" w:rsidRDefault="009A3092">
      <w:pPr>
        <w:pStyle w:val="FootnoteText"/>
      </w:pPr>
      <w:r>
        <w:rPr>
          <w:rStyle w:val="FootnoteReference"/>
        </w:rPr>
        <w:footnoteRef/>
      </w:r>
      <w:r>
        <w:t>El Grupo CPDU aprobó esta nueva funcionalidad del DUeS.</w:t>
      </w:r>
    </w:p>
  </w:footnote>
  <w:footnote w:id="17">
    <w:p w14:paraId="727BB801" w14:textId="77777777" w:rsidR="009A3092" w:rsidRPr="0082359A" w:rsidRDefault="009A3092">
      <w:pPr>
        <w:pStyle w:val="FootnoteText"/>
      </w:pPr>
      <w:r>
        <w:rPr>
          <w:rStyle w:val="FootnoteReference"/>
        </w:rPr>
        <w:footnoteRef/>
      </w:r>
      <w:r>
        <w:t xml:space="preserve"> Este informe es también el informe anual exigido por el nuevo Reglamento sobre las actividades, exámenes y consultas del Grupo CPDU.</w:t>
      </w:r>
    </w:p>
  </w:footnote>
  <w:footnote w:id="18">
    <w:p w14:paraId="0F4EECE3" w14:textId="77777777" w:rsidR="009A3092" w:rsidRPr="001B5C4A" w:rsidRDefault="009A3092" w:rsidP="001B5C4A">
      <w:pPr>
        <w:pStyle w:val="FootnoteText"/>
      </w:pPr>
      <w:r>
        <w:rPr>
          <w:rStyle w:val="FootnoteReference"/>
        </w:rPr>
        <w:footnoteRef/>
      </w:r>
      <w:r>
        <w:t xml:space="preserve"> La nota informativa actualizada se publicó el 8 de febrero de 2022, Nota del DO 2022/C66/27.</w:t>
      </w:r>
    </w:p>
  </w:footnote>
  <w:footnote w:id="19">
    <w:p w14:paraId="61E270F1" w14:textId="77777777" w:rsidR="009A3092" w:rsidRPr="00277A08" w:rsidRDefault="009A3092">
      <w:pPr>
        <w:pStyle w:val="FootnoteText"/>
      </w:pPr>
      <w:r>
        <w:rPr>
          <w:rStyle w:val="FootnoteReference"/>
        </w:rPr>
        <w:footnoteRef/>
      </w:r>
      <w:r>
        <w:t xml:space="preserve"> Equipos de interceptación de telecomunicaciones móviles, sistemas de vigilancia de red IP, programas informáticos de intrusión.</w:t>
      </w:r>
    </w:p>
  </w:footnote>
  <w:footnote w:id="20">
    <w:p w14:paraId="4713BB65" w14:textId="77777777" w:rsidR="009A3092" w:rsidRPr="0082359A" w:rsidRDefault="009A3092" w:rsidP="00E72244">
      <w:pPr>
        <w:pStyle w:val="FootnoteText"/>
        <w:jc w:val="both"/>
      </w:pPr>
      <w:r>
        <w:rPr>
          <w:rStyle w:val="FootnoteReference"/>
        </w:rPr>
        <w:footnoteRef/>
      </w:r>
      <w:r>
        <w:t xml:space="preserve"> Recomendación (UE) 2021/1700 de la Comisión, de 15 de septiembre de 2021, relativa a los programas internos de cumplimiento para los controles de la investigación relacionada con productos de doble uso en virtud del Reglamento (UE) 2021/821 del Parlamento Europeo y del Consejo por el que se establece un régimen de la Unión de control de las exportaciones, el corretaje, la asistencia técnica, el tránsito y la transferencia de productos de doble uso.</w:t>
      </w:r>
    </w:p>
  </w:footnote>
  <w:footnote w:id="21">
    <w:p w14:paraId="5B08F678" w14:textId="77777777" w:rsidR="009A3092" w:rsidRPr="0082359A" w:rsidRDefault="009A3092">
      <w:pPr>
        <w:pStyle w:val="FootnoteText"/>
      </w:pPr>
      <w:r>
        <w:rPr>
          <w:rStyle w:val="FootnoteReference"/>
        </w:rPr>
        <w:footnoteRef/>
      </w:r>
      <w:r>
        <w:t xml:space="preserve"> https://eur-lex.europa.eu/legal-content/ES/TXT/HTML/?uri=CELEX:32021H1700&amp;from=ES.</w:t>
      </w:r>
    </w:p>
  </w:footnote>
  <w:footnote w:id="22">
    <w:p w14:paraId="38B4A3D5" w14:textId="63AAD349" w:rsidR="00E36851" w:rsidRPr="00E36851" w:rsidRDefault="00E36851" w:rsidP="00E36851">
      <w:pPr>
        <w:pStyle w:val="FootnoteText"/>
      </w:pPr>
      <w:r>
        <w:rPr>
          <w:rStyle w:val="FootnoteReference"/>
        </w:rPr>
        <w:footnoteRef/>
      </w:r>
      <w:r>
        <w:t xml:space="preserve"> La lista de categorías refleja la lista del Arreglo de Wassenaar, a la que se añadió la categoría 0 sobre productos nucleares.</w:t>
      </w:r>
    </w:p>
  </w:footnote>
  <w:footnote w:id="23">
    <w:p w14:paraId="01E43F33" w14:textId="479DA586" w:rsidR="009A3092" w:rsidRDefault="009A3092" w:rsidP="00114F71">
      <w:pPr>
        <w:pStyle w:val="FootnoteText"/>
        <w:jc w:val="both"/>
      </w:pPr>
      <w:r>
        <w:rPr>
          <w:rStyle w:val="FootnoteReference"/>
        </w:rPr>
        <w:footnoteRef/>
      </w:r>
      <w:r>
        <w:t xml:space="preserve"> El método estadístico que ha desarrollado el Centro Común de Investigación de la Comisión utiliza una tabla de correspondencias, elaborada por el Departamento de Aduanas y Fiscalidad de la Comisión (DG TAXUD), entre los números de clasificación de productos de doble uso, los códigos aduaneros y los datos de COMEXT de Eurostat, así como de datos sobre licencias proporcionados por los veintisiete Estados miembros de la UE. El concepto de </w:t>
      </w:r>
      <w:r>
        <w:rPr>
          <w:i/>
          <w:iCs/>
        </w:rPr>
        <w:t>ámbito de las exportaciones de productos de doble uso</w:t>
      </w:r>
      <w:r>
        <w:t xml:space="preserve"> se refiere a un gran campo de diversas mercancías que abarca los productos de doble uso. El comercio de productos de doble uso tiene lugar </w:t>
      </w:r>
      <w:r>
        <w:rPr>
          <w:i/>
          <w:iCs/>
        </w:rPr>
        <w:t>dentro</w:t>
      </w:r>
      <w:r>
        <w:t xml:space="preserve"> de este campo de mercancías, pero no es idéntico a él, ya que los productos incluidos en esa categoría aduanera serán mucho más amplios y abarcarán muchos productos que tienen un uso puramente civil o que no son de doble uso.</w:t>
      </w:r>
    </w:p>
    <w:p w14:paraId="2C5946B2" w14:textId="77777777" w:rsidR="009A3092" w:rsidRDefault="009A3092" w:rsidP="00114F71">
      <w:pPr>
        <w:pStyle w:val="FootnoteText"/>
      </w:pPr>
    </w:p>
  </w:footnote>
  <w:footnote w:id="24">
    <w:p w14:paraId="77F9D2DC" w14:textId="77777777" w:rsidR="009A3092" w:rsidRDefault="009A3092" w:rsidP="00114F71">
      <w:pPr>
        <w:pStyle w:val="FootnoteText"/>
        <w:jc w:val="both"/>
      </w:pPr>
      <w:r>
        <w:rPr>
          <w:rStyle w:val="FootnoteReference"/>
        </w:rPr>
        <w:footnoteRef/>
      </w:r>
      <w:r>
        <w:t xml:space="preserve"> Las «provisiones de a bordo y suministros extraordinarios» se definen como el suministro de provisiones a buques y aviones. La designación «Varios. Países adicionales no especificados» incluye a países y territorios no especificados en el marco del comercio con terceros países (es decir, estos códigos se utilizan con frecuencia para mercancías suministradas a instalaciones en alta mar).</w:t>
      </w:r>
    </w:p>
  </w:footnote>
  <w:footnote w:id="25">
    <w:p w14:paraId="461B3B9B" w14:textId="5F125C21" w:rsidR="009A3092" w:rsidRPr="00583551" w:rsidRDefault="009A3092" w:rsidP="00E36851">
      <w:pPr>
        <w:pStyle w:val="FootnoteText"/>
        <w:jc w:val="both"/>
      </w:pPr>
      <w:r>
        <w:rPr>
          <w:rStyle w:val="FootnoteReference"/>
        </w:rPr>
        <w:footnoteRef/>
      </w:r>
      <w:r>
        <w:t xml:space="preserve"> Esta cifra incluye el valor de las solicitudes de licencias y las notificaciones en el marco de autorizaciones generales de exportación.</w:t>
      </w:r>
      <w:r>
        <w:rPr>
          <w:sz w:val="24"/>
        </w:rPr>
        <w:t xml:space="preserve"> </w:t>
      </w:r>
      <w:r>
        <w:t>Las autorizaciones generales de exportación permiten las exportaciones de productos de doble uso a determinados destinos en determinadas condiciones, mientras que las autoridades competentes pueden conceder licencias globales a un exportador y pueden abarcar varios productos a varios países de destino o usuarios finales.</w:t>
      </w:r>
    </w:p>
  </w:footnote>
  <w:footnote w:id="26">
    <w:p w14:paraId="1DCA828D" w14:textId="77777777" w:rsidR="009A3092" w:rsidRPr="00057FE8" w:rsidRDefault="009A3092" w:rsidP="00114F71">
      <w:pPr>
        <w:pStyle w:val="FootnoteText"/>
        <w:jc w:val="both"/>
      </w:pPr>
      <w:r>
        <w:rPr>
          <w:rStyle w:val="FootnoteReference"/>
        </w:rPr>
        <w:footnoteRef/>
      </w:r>
      <w:r>
        <w:t xml:space="preserve"> Las licencias individuales son licencias concedidas a un exportador específico para un usuario final o destinatario en un tercer país y que se refieren a uno o más productos de doble uso.</w:t>
      </w:r>
    </w:p>
  </w:footnote>
  <w:footnote w:id="27">
    <w:p w14:paraId="7CFF1B82" w14:textId="77777777" w:rsidR="009A3092" w:rsidRPr="00AD0407" w:rsidRDefault="009A3092" w:rsidP="00114F71">
      <w:pPr>
        <w:pStyle w:val="FootnoteText"/>
        <w:jc w:val="both"/>
      </w:pPr>
      <w:r>
        <w:rPr>
          <w:rStyle w:val="FootnoteReference"/>
        </w:rPr>
        <w:footnoteRef/>
      </w:r>
      <w:r>
        <w:t xml:space="preserve"> Las licencias globales son licencias concedidas a un exportador específico para un tipo o una categoría de productos de doble uso que podrá ser válida para las exportaciones destinadas a uno o más usuarios finales específicos o en uno o varios terceros países determinados.</w:t>
      </w:r>
    </w:p>
  </w:footnote>
  <w:footnote w:id="28">
    <w:p w14:paraId="61CF4495" w14:textId="77777777" w:rsidR="009A3092" w:rsidRDefault="009A3092" w:rsidP="00114F71">
      <w:pPr>
        <w:pStyle w:val="FootnoteText"/>
        <w:jc w:val="both"/>
      </w:pPr>
      <w:r>
        <w:rPr>
          <w:rStyle w:val="FootnoteReference"/>
          <w:color w:val="808080"/>
        </w:rPr>
        <w:footnoteRef/>
      </w:r>
      <w:r>
        <w:rPr>
          <w:color w:val="808080"/>
        </w:rPr>
        <w:t xml:space="preserve"> </w:t>
      </w:r>
      <w:r>
        <w:t xml:space="preserve">En los gráficos 5 y 6, los datos sobre las «solicitudes» incluyen todas las solicitudes de licencias, incluidas las notificaciones realizadas en el marco de autorizaciones generales, de modo que se ofrece información sobre las «exportaciones controladas», es decir, sobre el valor de las exportaciones a terceros países sujetas a un procedimiento de autorización. En aquellos casos en que no se dispone de datos sobre las solicitudes, los gráficos utilizan los datos sobre las autorizaciones como estimación de los datos relativos a las solicitudes. Los datos sobre las «autorizaciones» se refieren a las exportaciones de productos de doble uso autorizadas en el marco de licencias individuales o globales. Cabe señalar que las solicitudes no son necesariamente la suma de las autorizaciones y las denegaciones, ya que puede que algunas solicitudes se hayan anulado y que otras no hayan finalizado en el mismo año. Las «denegaciones» se refieren al volumen y al valor de las exportaciones denegadas. Las diferencias en los datos que indican una disminución en comparación con los años anteriores se deben al </w:t>
      </w:r>
      <w:r>
        <w:rPr>
          <w:i/>
          <w:iCs/>
        </w:rPr>
        <w:t>Brexit</w:t>
      </w:r>
      <w:r>
        <w:t xml:space="preserve"> y al hecho de que el Reino Unido no facilitó datos desde 2019.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B8E5D0" w14:textId="77777777" w:rsidR="00D30906" w:rsidRPr="00D30906" w:rsidRDefault="00D30906" w:rsidP="00D309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9AA67" w14:textId="77777777" w:rsidR="00D30906" w:rsidRPr="00D30906" w:rsidRDefault="00D30906" w:rsidP="00D30906">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06F8E" w14:textId="77777777" w:rsidR="00D30906" w:rsidRPr="00D30906" w:rsidRDefault="00D30906" w:rsidP="00D30906">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B94998" w14:textId="77777777" w:rsidR="009A3092" w:rsidRDefault="009A309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2B523E" w14:textId="77777777" w:rsidR="009A3092" w:rsidRDefault="009A309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4AD7B3" w14:textId="77777777" w:rsidR="009A3092" w:rsidRDefault="009A3092">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29A71C" w14:textId="77777777" w:rsidR="00153595" w:rsidRDefault="00D3090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C1B3E" w14:textId="77777777" w:rsidR="00153595" w:rsidRPr="00B25A6B" w:rsidRDefault="00B25A6B" w:rsidP="00B25A6B">
    <w:pPr>
      <w:pStyle w:val="Header"/>
      <w:jc w:val="center"/>
    </w:pPr>
    <w:r>
      <w:t>Anexo — Aplicación del nuevo Reglamento sobre el control de las exportaciones de productos de doble uso — Plazos indicativos</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B88F0A" w14:textId="77777777" w:rsidR="00153595" w:rsidRDefault="00D309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270590"/>
    <w:multiLevelType w:val="hybridMultilevel"/>
    <w:tmpl w:val="FE2209C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17D33A64"/>
    <w:multiLevelType w:val="hybridMultilevel"/>
    <w:tmpl w:val="A3B2712A"/>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 w15:restartNumberingAfterBreak="0">
    <w:nsid w:val="415102DD"/>
    <w:multiLevelType w:val="hybridMultilevel"/>
    <w:tmpl w:val="FA94B36E"/>
    <w:lvl w:ilvl="0" w:tplc="DBE68FB4">
      <w:start w:val="1"/>
      <w:numFmt w:val="decimal"/>
      <w:lvlText w:val="%1."/>
      <w:lvlJc w:val="left"/>
      <w:pPr>
        <w:ind w:left="720" w:hanging="360"/>
      </w:pPr>
      <w:rPr>
        <w:rFonts w:hint="default"/>
        <w:b w:val="0"/>
      </w:rPr>
    </w:lvl>
    <w:lvl w:ilvl="1" w:tplc="C4D2513E">
      <w:start w:val="1"/>
      <w:numFmt w:val="lowerRoman"/>
      <w:lvlText w:val="(%2)"/>
      <w:lvlJc w:val="left"/>
      <w:pPr>
        <w:ind w:left="1800" w:hanging="720"/>
      </w:pPr>
      <w:rPr>
        <w:rFonts w:hint="default"/>
      </w:rPr>
    </w:lvl>
    <w:lvl w:ilvl="2" w:tplc="E0082A70">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5186CAE"/>
    <w:multiLevelType w:val="hybridMultilevel"/>
    <w:tmpl w:val="25BE5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360282A"/>
    <w:multiLevelType w:val="hybridMultilevel"/>
    <w:tmpl w:val="00CE3F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embedSystemFonts/>
  <w:hideSpellingErrors/>
  <w:hideGrammaticalErrors/>
  <w:activeWritingStyle w:appName="MSWord" w:lang="es-ES" w:vendorID="64" w:dllVersion="6" w:nlCheck="1" w:checkStyle="0"/>
  <w:activeWritingStyle w:appName="MSWord" w:lang="en-GB" w:vendorID="64" w:dllVersion="6" w:nlCheck="1" w:checkStyle="1"/>
  <w:activeWritingStyle w:appName="MSWord" w:lang="nl-NL" w:vendorID="64" w:dllVersion="6" w:nlCheck="1" w:checkStyle="0"/>
  <w:activeWritingStyle w:appName="MSWord" w:lang="en-IE" w:vendorID="64" w:dllVersion="6" w:nlCheck="1" w:checkStyle="1"/>
  <w:activeWritingStyle w:appName="MSWord" w:lang="de-AT" w:vendorID="64" w:dllVersion="6" w:nlCheck="1" w:checkStyle="0"/>
  <w:activeWritingStyle w:appName="MSWord" w:lang="en-US" w:vendorID="64" w:dllVersion="6" w:nlCheck="1" w:checkStyle="1"/>
  <w:activeWritingStyle w:appName="MSWord" w:lang="de-DE" w:vendorID="64" w:dllVersion="6" w:nlCheck="1" w:checkStyle="0"/>
  <w:activeWritingStyle w:appName="MSWord" w:lang="fr-BE" w:vendorID="64" w:dllVersion="6"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en-IE" w:vendorID="64" w:dllVersion="0" w:nlCheck="1" w:checkStyle="0"/>
  <w:activeWritingStyle w:appName="MSWord" w:lang="de-AT" w:vendorID="64" w:dllVersion="0" w:nlCheck="1" w:checkStyle="0"/>
  <w:activeWritingStyle w:appName="MSWord" w:lang="en-GB" w:vendorID="64" w:dllVersion="131078" w:nlCheck="1" w:checkStyle="1"/>
  <w:activeWritingStyle w:appName="MSWord" w:lang="en-US" w:vendorID="64" w:dllVersion="131078" w:nlCheck="1" w:checkStyle="1"/>
  <w:activeWritingStyle w:appName="MSWord" w:lang="de-AT" w:vendorID="64" w:dllVersion="131078" w:nlCheck="1" w:checkStyle="0"/>
  <w:activeWritingStyle w:appName="MSWord" w:lang="en-IE" w:vendorID="64" w:dllVersion="131078" w:nlCheck="1" w:checkStyle="1"/>
  <w:activeWritingStyle w:appName="MSWord" w:lang="de-DE" w:vendorID="64" w:dllVersion="131078" w:nlCheck="1" w:checkStyle="0"/>
  <w:activeWritingStyle w:appName="MSWord" w:lang="es-E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hyphenationZone w:val="425"/>
  <w:drawingGridHorizontalSpacing w:val="120"/>
  <w:displayHorizontalDrawingGridEvery w:val="2"/>
  <w:displayVerticalDrawingGridEvery w:val="2"/>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ocStatus" w:val="Green"/>
    <w:docVar w:name="LW_CORRIGENDUM" w:val="&lt;UNUSED&gt;"/>
    <w:docVar w:name="LW_COVERPAGE_EXISTS" w:val="True"/>
    <w:docVar w:name="LW_COVERPAGE_GUID" w:val="E7A85BBD-51F8-41D8-9CD7-269636015128"/>
    <w:docVar w:name="LW_COVERPAGE_TYPE" w:val="1"/>
    <w:docVar w:name="LW_CROSSREFERENCE" w:val="&lt;UNUSED&gt;"/>
    <w:docVar w:name="LW_DocType" w:val="NORMAL"/>
    <w:docVar w:name="LW_EMISSION" w:val="1.9.2022"/>
    <w:docVar w:name="LW_EMISSION_ISODATE" w:val="2022-09-01"/>
    <w:docVar w:name="LW_EMISSION_LOCATION" w:val="BRX"/>
    <w:docVar w:name="LW_EMISSION_PREFIX" w:val="Bruselas, "/>
    <w:docVar w:name="LW_EMISSION_SUFFIX" w:val=" "/>
    <w:docVar w:name="LW_ID_DOCTYPE_NONLW" w:val="CP-006"/>
    <w:docVar w:name="LW_LANGUE" w:val="ES"/>
    <w:docVar w:name="LW_LEVEL_OF_SENSITIVITY" w:val="Standard treatment"/>
    <w:docVar w:name="LW_NOM.INST" w:val="COMISIÓN EUROPEA"/>
    <w:docVar w:name="LW_NOM.INST_JOINTDOC" w:val="&lt;EMPTY&gt;"/>
    <w:docVar w:name="LW_PART_NBR" w:val="1"/>
    <w:docVar w:name="LW_PART_NBR_TOTAL" w:val="1"/>
    <w:docVar w:name="LW_REF.INST.NEW" w:val="COM"/>
    <w:docVar w:name="LW_REF.INST.NEW_ADOPTED" w:val="final"/>
    <w:docVar w:name="LW_REF.INST.NEW_TEXT" w:val="(2022) 434"/>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sobre la aplicación del Reglamento (UE) 2021/821, por el que se establece un régimen de la Unión de control de las exportaciones, el corretaje, la asistencia técnica, el tránsito y la transferencia de productos de doble uso"/>
    <w:docVar w:name="LW_TYPE.DOC.CP" w:val="INFORME DE LA COMISIÓN AL PARLAMENTO EUROPEO Y AL CONSEJO"/>
    <w:docVar w:name="LwApiVersions" w:val="LW4CoDe 1.23.2.0; LW 8.0, Build 20211117"/>
  </w:docVars>
  <w:rsids>
    <w:rsidRoot w:val="00AA655D"/>
    <w:rsid w:val="00000409"/>
    <w:rsid w:val="0000201D"/>
    <w:rsid w:val="000034FA"/>
    <w:rsid w:val="00004457"/>
    <w:rsid w:val="00005F6B"/>
    <w:rsid w:val="00006472"/>
    <w:rsid w:val="000071E0"/>
    <w:rsid w:val="00007241"/>
    <w:rsid w:val="000076EC"/>
    <w:rsid w:val="00007861"/>
    <w:rsid w:val="00010CA8"/>
    <w:rsid w:val="00010D89"/>
    <w:rsid w:val="00011C4B"/>
    <w:rsid w:val="00011D3D"/>
    <w:rsid w:val="000121E4"/>
    <w:rsid w:val="00012299"/>
    <w:rsid w:val="00012F0F"/>
    <w:rsid w:val="00013121"/>
    <w:rsid w:val="00013313"/>
    <w:rsid w:val="00013BDE"/>
    <w:rsid w:val="00014570"/>
    <w:rsid w:val="00014664"/>
    <w:rsid w:val="000156A3"/>
    <w:rsid w:val="00015884"/>
    <w:rsid w:val="000167C6"/>
    <w:rsid w:val="0001708D"/>
    <w:rsid w:val="000176B5"/>
    <w:rsid w:val="000178EB"/>
    <w:rsid w:val="00017CBC"/>
    <w:rsid w:val="00017D01"/>
    <w:rsid w:val="00022DA0"/>
    <w:rsid w:val="00022F0B"/>
    <w:rsid w:val="00023304"/>
    <w:rsid w:val="0002384C"/>
    <w:rsid w:val="00026108"/>
    <w:rsid w:val="00026608"/>
    <w:rsid w:val="00027B94"/>
    <w:rsid w:val="00030733"/>
    <w:rsid w:val="00030750"/>
    <w:rsid w:val="0003080F"/>
    <w:rsid w:val="000314C5"/>
    <w:rsid w:val="0003349F"/>
    <w:rsid w:val="0003382D"/>
    <w:rsid w:val="00033EB3"/>
    <w:rsid w:val="0003416D"/>
    <w:rsid w:val="000346C4"/>
    <w:rsid w:val="00034951"/>
    <w:rsid w:val="00034EED"/>
    <w:rsid w:val="0003547C"/>
    <w:rsid w:val="00035E2B"/>
    <w:rsid w:val="00035EDD"/>
    <w:rsid w:val="00040526"/>
    <w:rsid w:val="000407F7"/>
    <w:rsid w:val="000415B7"/>
    <w:rsid w:val="00042D5B"/>
    <w:rsid w:val="00043C54"/>
    <w:rsid w:val="00047334"/>
    <w:rsid w:val="00047D49"/>
    <w:rsid w:val="000513F2"/>
    <w:rsid w:val="00051C52"/>
    <w:rsid w:val="00052A74"/>
    <w:rsid w:val="000530A4"/>
    <w:rsid w:val="00054288"/>
    <w:rsid w:val="00054321"/>
    <w:rsid w:val="000544D4"/>
    <w:rsid w:val="000547AF"/>
    <w:rsid w:val="00054AD2"/>
    <w:rsid w:val="00054F12"/>
    <w:rsid w:val="000550A2"/>
    <w:rsid w:val="0005532D"/>
    <w:rsid w:val="00055673"/>
    <w:rsid w:val="00057FE8"/>
    <w:rsid w:val="00060DF7"/>
    <w:rsid w:val="00064AF4"/>
    <w:rsid w:val="00065581"/>
    <w:rsid w:val="0006615F"/>
    <w:rsid w:val="00067952"/>
    <w:rsid w:val="000718E3"/>
    <w:rsid w:val="00073A06"/>
    <w:rsid w:val="00074391"/>
    <w:rsid w:val="00076330"/>
    <w:rsid w:val="0007661B"/>
    <w:rsid w:val="00076F8C"/>
    <w:rsid w:val="0007787D"/>
    <w:rsid w:val="0008080B"/>
    <w:rsid w:val="00080DF6"/>
    <w:rsid w:val="000813D6"/>
    <w:rsid w:val="0008167E"/>
    <w:rsid w:val="0008168C"/>
    <w:rsid w:val="00082013"/>
    <w:rsid w:val="00082145"/>
    <w:rsid w:val="00083492"/>
    <w:rsid w:val="00083694"/>
    <w:rsid w:val="00083743"/>
    <w:rsid w:val="00083D4B"/>
    <w:rsid w:val="00083EB9"/>
    <w:rsid w:val="000859BC"/>
    <w:rsid w:val="00086411"/>
    <w:rsid w:val="00087025"/>
    <w:rsid w:val="0008757B"/>
    <w:rsid w:val="0009048E"/>
    <w:rsid w:val="00090CA6"/>
    <w:rsid w:val="00090E7F"/>
    <w:rsid w:val="00091234"/>
    <w:rsid w:val="00091458"/>
    <w:rsid w:val="000929DB"/>
    <w:rsid w:val="00092E32"/>
    <w:rsid w:val="00093430"/>
    <w:rsid w:val="000937B1"/>
    <w:rsid w:val="00094DDE"/>
    <w:rsid w:val="0009560B"/>
    <w:rsid w:val="00095A62"/>
    <w:rsid w:val="00095C42"/>
    <w:rsid w:val="00095D06"/>
    <w:rsid w:val="0009631C"/>
    <w:rsid w:val="00096EE9"/>
    <w:rsid w:val="00096FE0"/>
    <w:rsid w:val="00097967"/>
    <w:rsid w:val="00097D47"/>
    <w:rsid w:val="00097E67"/>
    <w:rsid w:val="00097F64"/>
    <w:rsid w:val="000A0B8C"/>
    <w:rsid w:val="000A0C50"/>
    <w:rsid w:val="000A14EB"/>
    <w:rsid w:val="000A18C0"/>
    <w:rsid w:val="000A2811"/>
    <w:rsid w:val="000A3719"/>
    <w:rsid w:val="000A3ACE"/>
    <w:rsid w:val="000A3DC8"/>
    <w:rsid w:val="000A5022"/>
    <w:rsid w:val="000A50FE"/>
    <w:rsid w:val="000A55A5"/>
    <w:rsid w:val="000A6B90"/>
    <w:rsid w:val="000A700A"/>
    <w:rsid w:val="000A7C12"/>
    <w:rsid w:val="000B069F"/>
    <w:rsid w:val="000B0953"/>
    <w:rsid w:val="000B0A06"/>
    <w:rsid w:val="000B0EFB"/>
    <w:rsid w:val="000B1502"/>
    <w:rsid w:val="000B1568"/>
    <w:rsid w:val="000B2195"/>
    <w:rsid w:val="000B27C7"/>
    <w:rsid w:val="000B2FF2"/>
    <w:rsid w:val="000B3895"/>
    <w:rsid w:val="000B4C05"/>
    <w:rsid w:val="000B51D5"/>
    <w:rsid w:val="000B6116"/>
    <w:rsid w:val="000B76AC"/>
    <w:rsid w:val="000B7BC7"/>
    <w:rsid w:val="000C04F3"/>
    <w:rsid w:val="000C06D5"/>
    <w:rsid w:val="000C0796"/>
    <w:rsid w:val="000C147E"/>
    <w:rsid w:val="000C263D"/>
    <w:rsid w:val="000C313B"/>
    <w:rsid w:val="000C3481"/>
    <w:rsid w:val="000C400B"/>
    <w:rsid w:val="000C54B6"/>
    <w:rsid w:val="000C6D97"/>
    <w:rsid w:val="000C7038"/>
    <w:rsid w:val="000C710B"/>
    <w:rsid w:val="000C734C"/>
    <w:rsid w:val="000C75D8"/>
    <w:rsid w:val="000D02BB"/>
    <w:rsid w:val="000D0C8B"/>
    <w:rsid w:val="000D0D04"/>
    <w:rsid w:val="000D1495"/>
    <w:rsid w:val="000D232B"/>
    <w:rsid w:val="000D26B1"/>
    <w:rsid w:val="000D279C"/>
    <w:rsid w:val="000D2852"/>
    <w:rsid w:val="000D2B1C"/>
    <w:rsid w:val="000D3FF7"/>
    <w:rsid w:val="000D4593"/>
    <w:rsid w:val="000D489D"/>
    <w:rsid w:val="000D4A4F"/>
    <w:rsid w:val="000D4B29"/>
    <w:rsid w:val="000D52BC"/>
    <w:rsid w:val="000D5350"/>
    <w:rsid w:val="000D5AF9"/>
    <w:rsid w:val="000D6A32"/>
    <w:rsid w:val="000D707F"/>
    <w:rsid w:val="000D77E3"/>
    <w:rsid w:val="000D7BCA"/>
    <w:rsid w:val="000E03EC"/>
    <w:rsid w:val="000E188C"/>
    <w:rsid w:val="000E2477"/>
    <w:rsid w:val="000E29A7"/>
    <w:rsid w:val="000E3007"/>
    <w:rsid w:val="000E3270"/>
    <w:rsid w:val="000E3288"/>
    <w:rsid w:val="000E37FC"/>
    <w:rsid w:val="000E3B93"/>
    <w:rsid w:val="000E56DD"/>
    <w:rsid w:val="000E58EB"/>
    <w:rsid w:val="000E62CE"/>
    <w:rsid w:val="000E6330"/>
    <w:rsid w:val="000E7200"/>
    <w:rsid w:val="000E76E5"/>
    <w:rsid w:val="000F0211"/>
    <w:rsid w:val="000F2637"/>
    <w:rsid w:val="000F4317"/>
    <w:rsid w:val="000F492F"/>
    <w:rsid w:val="000F6B7A"/>
    <w:rsid w:val="000F6E3F"/>
    <w:rsid w:val="000F7039"/>
    <w:rsid w:val="001000DA"/>
    <w:rsid w:val="0010014A"/>
    <w:rsid w:val="00100A21"/>
    <w:rsid w:val="00100B7A"/>
    <w:rsid w:val="00101530"/>
    <w:rsid w:val="001026B1"/>
    <w:rsid w:val="001033A4"/>
    <w:rsid w:val="00103991"/>
    <w:rsid w:val="001048B8"/>
    <w:rsid w:val="001051B9"/>
    <w:rsid w:val="001058B1"/>
    <w:rsid w:val="00107059"/>
    <w:rsid w:val="00107237"/>
    <w:rsid w:val="00107481"/>
    <w:rsid w:val="00107865"/>
    <w:rsid w:val="001117F9"/>
    <w:rsid w:val="00111BB3"/>
    <w:rsid w:val="00112073"/>
    <w:rsid w:val="00112A5B"/>
    <w:rsid w:val="00113143"/>
    <w:rsid w:val="00113855"/>
    <w:rsid w:val="0011475D"/>
    <w:rsid w:val="00114F71"/>
    <w:rsid w:val="00115F25"/>
    <w:rsid w:val="0011694C"/>
    <w:rsid w:val="00116EA1"/>
    <w:rsid w:val="00117510"/>
    <w:rsid w:val="00117B58"/>
    <w:rsid w:val="001207A5"/>
    <w:rsid w:val="00120AD0"/>
    <w:rsid w:val="001212A0"/>
    <w:rsid w:val="001217C4"/>
    <w:rsid w:val="00122114"/>
    <w:rsid w:val="00122271"/>
    <w:rsid w:val="0012309F"/>
    <w:rsid w:val="0012414D"/>
    <w:rsid w:val="00124CCA"/>
    <w:rsid w:val="00125F96"/>
    <w:rsid w:val="00126B87"/>
    <w:rsid w:val="00127795"/>
    <w:rsid w:val="00127D4A"/>
    <w:rsid w:val="00127D75"/>
    <w:rsid w:val="00130E64"/>
    <w:rsid w:val="0013140C"/>
    <w:rsid w:val="00131AAB"/>
    <w:rsid w:val="00131F95"/>
    <w:rsid w:val="001322C7"/>
    <w:rsid w:val="00132DF5"/>
    <w:rsid w:val="00132E0D"/>
    <w:rsid w:val="001339D4"/>
    <w:rsid w:val="0013537D"/>
    <w:rsid w:val="0013543E"/>
    <w:rsid w:val="001359F8"/>
    <w:rsid w:val="00136479"/>
    <w:rsid w:val="001372A7"/>
    <w:rsid w:val="00137CE3"/>
    <w:rsid w:val="00140982"/>
    <w:rsid w:val="00140A51"/>
    <w:rsid w:val="00140DFC"/>
    <w:rsid w:val="001410F8"/>
    <w:rsid w:val="001415F3"/>
    <w:rsid w:val="001419AE"/>
    <w:rsid w:val="00141AAF"/>
    <w:rsid w:val="00141B65"/>
    <w:rsid w:val="00142F06"/>
    <w:rsid w:val="0014319A"/>
    <w:rsid w:val="00143435"/>
    <w:rsid w:val="0014379D"/>
    <w:rsid w:val="001444FB"/>
    <w:rsid w:val="00144FB7"/>
    <w:rsid w:val="001453E7"/>
    <w:rsid w:val="0014584E"/>
    <w:rsid w:val="00145C69"/>
    <w:rsid w:val="00146949"/>
    <w:rsid w:val="0014741F"/>
    <w:rsid w:val="00147C7F"/>
    <w:rsid w:val="00150045"/>
    <w:rsid w:val="0015019A"/>
    <w:rsid w:val="00150BC1"/>
    <w:rsid w:val="00152469"/>
    <w:rsid w:val="0015257D"/>
    <w:rsid w:val="00152B30"/>
    <w:rsid w:val="00153DE8"/>
    <w:rsid w:val="001545E6"/>
    <w:rsid w:val="00154C67"/>
    <w:rsid w:val="00154E13"/>
    <w:rsid w:val="001550C7"/>
    <w:rsid w:val="001552ED"/>
    <w:rsid w:val="001554F6"/>
    <w:rsid w:val="00155A4A"/>
    <w:rsid w:val="00155CC4"/>
    <w:rsid w:val="00156187"/>
    <w:rsid w:val="0015663F"/>
    <w:rsid w:val="00157B7C"/>
    <w:rsid w:val="001606B0"/>
    <w:rsid w:val="00160E21"/>
    <w:rsid w:val="001619DD"/>
    <w:rsid w:val="00161E18"/>
    <w:rsid w:val="00162755"/>
    <w:rsid w:val="001647A0"/>
    <w:rsid w:val="00164B21"/>
    <w:rsid w:val="00165A8F"/>
    <w:rsid w:val="00167413"/>
    <w:rsid w:val="00167AB9"/>
    <w:rsid w:val="0017006B"/>
    <w:rsid w:val="00170308"/>
    <w:rsid w:val="00170671"/>
    <w:rsid w:val="00171266"/>
    <w:rsid w:val="00173126"/>
    <w:rsid w:val="001731FB"/>
    <w:rsid w:val="00173578"/>
    <w:rsid w:val="00174055"/>
    <w:rsid w:val="00174218"/>
    <w:rsid w:val="001742D8"/>
    <w:rsid w:val="0017474D"/>
    <w:rsid w:val="00175F93"/>
    <w:rsid w:val="001762AB"/>
    <w:rsid w:val="00176477"/>
    <w:rsid w:val="00177003"/>
    <w:rsid w:val="001774C3"/>
    <w:rsid w:val="00177857"/>
    <w:rsid w:val="00177D30"/>
    <w:rsid w:val="001800A3"/>
    <w:rsid w:val="0018017C"/>
    <w:rsid w:val="001817D4"/>
    <w:rsid w:val="00181B99"/>
    <w:rsid w:val="00182872"/>
    <w:rsid w:val="001829DA"/>
    <w:rsid w:val="00182A49"/>
    <w:rsid w:val="00182CF5"/>
    <w:rsid w:val="00183266"/>
    <w:rsid w:val="0018336B"/>
    <w:rsid w:val="00183A77"/>
    <w:rsid w:val="0018436D"/>
    <w:rsid w:val="0018453B"/>
    <w:rsid w:val="001860B5"/>
    <w:rsid w:val="00186635"/>
    <w:rsid w:val="00186FAE"/>
    <w:rsid w:val="0019025D"/>
    <w:rsid w:val="0019049D"/>
    <w:rsid w:val="001904D4"/>
    <w:rsid w:val="00190C6F"/>
    <w:rsid w:val="00191C6C"/>
    <w:rsid w:val="00191ED0"/>
    <w:rsid w:val="001923C1"/>
    <w:rsid w:val="001926CB"/>
    <w:rsid w:val="00192872"/>
    <w:rsid w:val="00193BF5"/>
    <w:rsid w:val="00195829"/>
    <w:rsid w:val="001959CD"/>
    <w:rsid w:val="00196490"/>
    <w:rsid w:val="00196F27"/>
    <w:rsid w:val="001972E4"/>
    <w:rsid w:val="001975ED"/>
    <w:rsid w:val="00197B41"/>
    <w:rsid w:val="001A1083"/>
    <w:rsid w:val="001A1366"/>
    <w:rsid w:val="001A180C"/>
    <w:rsid w:val="001A3931"/>
    <w:rsid w:val="001A3D86"/>
    <w:rsid w:val="001A3ED0"/>
    <w:rsid w:val="001A480A"/>
    <w:rsid w:val="001A4E8D"/>
    <w:rsid w:val="001A4FC3"/>
    <w:rsid w:val="001A5631"/>
    <w:rsid w:val="001A5B2F"/>
    <w:rsid w:val="001A69FE"/>
    <w:rsid w:val="001A6A88"/>
    <w:rsid w:val="001A6B2B"/>
    <w:rsid w:val="001A6EE6"/>
    <w:rsid w:val="001B17A6"/>
    <w:rsid w:val="001B210C"/>
    <w:rsid w:val="001B2FA5"/>
    <w:rsid w:val="001B4909"/>
    <w:rsid w:val="001B5C4A"/>
    <w:rsid w:val="001B5CEA"/>
    <w:rsid w:val="001B6299"/>
    <w:rsid w:val="001B6A48"/>
    <w:rsid w:val="001B6D6A"/>
    <w:rsid w:val="001B6E18"/>
    <w:rsid w:val="001C06E1"/>
    <w:rsid w:val="001C0982"/>
    <w:rsid w:val="001C0D1A"/>
    <w:rsid w:val="001C0ED6"/>
    <w:rsid w:val="001C1EB7"/>
    <w:rsid w:val="001C2371"/>
    <w:rsid w:val="001C2E89"/>
    <w:rsid w:val="001C5FC1"/>
    <w:rsid w:val="001C6EDA"/>
    <w:rsid w:val="001C7627"/>
    <w:rsid w:val="001C7966"/>
    <w:rsid w:val="001C7EC7"/>
    <w:rsid w:val="001D0C62"/>
    <w:rsid w:val="001D0F73"/>
    <w:rsid w:val="001D1741"/>
    <w:rsid w:val="001D1803"/>
    <w:rsid w:val="001D2259"/>
    <w:rsid w:val="001D236A"/>
    <w:rsid w:val="001D36C3"/>
    <w:rsid w:val="001D3C5E"/>
    <w:rsid w:val="001D4122"/>
    <w:rsid w:val="001D434A"/>
    <w:rsid w:val="001D53CC"/>
    <w:rsid w:val="001D572A"/>
    <w:rsid w:val="001D60DB"/>
    <w:rsid w:val="001D6A13"/>
    <w:rsid w:val="001D6C4E"/>
    <w:rsid w:val="001D6D14"/>
    <w:rsid w:val="001D7322"/>
    <w:rsid w:val="001D7BB5"/>
    <w:rsid w:val="001E0148"/>
    <w:rsid w:val="001E0B06"/>
    <w:rsid w:val="001E1F44"/>
    <w:rsid w:val="001E230D"/>
    <w:rsid w:val="001E2B2D"/>
    <w:rsid w:val="001E39EF"/>
    <w:rsid w:val="001E490C"/>
    <w:rsid w:val="001E4A83"/>
    <w:rsid w:val="001E4EF3"/>
    <w:rsid w:val="001E4F89"/>
    <w:rsid w:val="001E5167"/>
    <w:rsid w:val="001E51C4"/>
    <w:rsid w:val="001E6478"/>
    <w:rsid w:val="001E68DB"/>
    <w:rsid w:val="001E7E52"/>
    <w:rsid w:val="001F166C"/>
    <w:rsid w:val="001F169C"/>
    <w:rsid w:val="001F1D54"/>
    <w:rsid w:val="001F1F0C"/>
    <w:rsid w:val="001F1F17"/>
    <w:rsid w:val="001F2CD7"/>
    <w:rsid w:val="001F3373"/>
    <w:rsid w:val="001F33E3"/>
    <w:rsid w:val="001F362A"/>
    <w:rsid w:val="001F4483"/>
    <w:rsid w:val="001F48F2"/>
    <w:rsid w:val="001F5B2B"/>
    <w:rsid w:val="001F60B4"/>
    <w:rsid w:val="001F6214"/>
    <w:rsid w:val="001F6C99"/>
    <w:rsid w:val="001F7303"/>
    <w:rsid w:val="001F7A22"/>
    <w:rsid w:val="0020055A"/>
    <w:rsid w:val="00200A52"/>
    <w:rsid w:val="0020139A"/>
    <w:rsid w:val="00201987"/>
    <w:rsid w:val="00201A60"/>
    <w:rsid w:val="00201F7D"/>
    <w:rsid w:val="00202FCE"/>
    <w:rsid w:val="0020330B"/>
    <w:rsid w:val="00203600"/>
    <w:rsid w:val="002042E4"/>
    <w:rsid w:val="00204755"/>
    <w:rsid w:val="002053A7"/>
    <w:rsid w:val="00205675"/>
    <w:rsid w:val="00205E48"/>
    <w:rsid w:val="002060D5"/>
    <w:rsid w:val="00206BD8"/>
    <w:rsid w:val="002112CF"/>
    <w:rsid w:val="00212A2D"/>
    <w:rsid w:val="0021395F"/>
    <w:rsid w:val="00213EE7"/>
    <w:rsid w:val="00214406"/>
    <w:rsid w:val="00214D80"/>
    <w:rsid w:val="002150CE"/>
    <w:rsid w:val="00215684"/>
    <w:rsid w:val="00215A7E"/>
    <w:rsid w:val="00215E28"/>
    <w:rsid w:val="002179F0"/>
    <w:rsid w:val="00220345"/>
    <w:rsid w:val="002208F3"/>
    <w:rsid w:val="00221151"/>
    <w:rsid w:val="002214E6"/>
    <w:rsid w:val="00221BEE"/>
    <w:rsid w:val="002221F6"/>
    <w:rsid w:val="002229C3"/>
    <w:rsid w:val="00222D5F"/>
    <w:rsid w:val="002237A2"/>
    <w:rsid w:val="00223D5F"/>
    <w:rsid w:val="00224540"/>
    <w:rsid w:val="002248D4"/>
    <w:rsid w:val="00225257"/>
    <w:rsid w:val="00225873"/>
    <w:rsid w:val="00225A71"/>
    <w:rsid w:val="002266DF"/>
    <w:rsid w:val="00226CAB"/>
    <w:rsid w:val="002274A1"/>
    <w:rsid w:val="002276B1"/>
    <w:rsid w:val="002279C3"/>
    <w:rsid w:val="00230B9A"/>
    <w:rsid w:val="00230C53"/>
    <w:rsid w:val="00231A1E"/>
    <w:rsid w:val="00231CD9"/>
    <w:rsid w:val="00231F8D"/>
    <w:rsid w:val="002323E5"/>
    <w:rsid w:val="00232D36"/>
    <w:rsid w:val="00233A69"/>
    <w:rsid w:val="00234AE6"/>
    <w:rsid w:val="00234D91"/>
    <w:rsid w:val="002361AB"/>
    <w:rsid w:val="002363C9"/>
    <w:rsid w:val="00236787"/>
    <w:rsid w:val="00237049"/>
    <w:rsid w:val="002373A0"/>
    <w:rsid w:val="002379FC"/>
    <w:rsid w:val="0024081F"/>
    <w:rsid w:val="002408A4"/>
    <w:rsid w:val="00240B01"/>
    <w:rsid w:val="00241DC3"/>
    <w:rsid w:val="002422D8"/>
    <w:rsid w:val="0024272C"/>
    <w:rsid w:val="0024291D"/>
    <w:rsid w:val="00242C3E"/>
    <w:rsid w:val="00243E82"/>
    <w:rsid w:val="002445E4"/>
    <w:rsid w:val="00244C26"/>
    <w:rsid w:val="002451BC"/>
    <w:rsid w:val="00246070"/>
    <w:rsid w:val="00246A4D"/>
    <w:rsid w:val="002500DF"/>
    <w:rsid w:val="00250EFE"/>
    <w:rsid w:val="00251068"/>
    <w:rsid w:val="00251899"/>
    <w:rsid w:val="00251D16"/>
    <w:rsid w:val="00252160"/>
    <w:rsid w:val="0025223C"/>
    <w:rsid w:val="00252607"/>
    <w:rsid w:val="002541AC"/>
    <w:rsid w:val="0025465A"/>
    <w:rsid w:val="00254CD2"/>
    <w:rsid w:val="0025503C"/>
    <w:rsid w:val="002569B4"/>
    <w:rsid w:val="002569EF"/>
    <w:rsid w:val="00256AC0"/>
    <w:rsid w:val="002570D5"/>
    <w:rsid w:val="00260497"/>
    <w:rsid w:val="00260A62"/>
    <w:rsid w:val="002617B2"/>
    <w:rsid w:val="00261B3D"/>
    <w:rsid w:val="00261D67"/>
    <w:rsid w:val="00261DE1"/>
    <w:rsid w:val="00262744"/>
    <w:rsid w:val="00263A11"/>
    <w:rsid w:val="00263C9B"/>
    <w:rsid w:val="00263E9A"/>
    <w:rsid w:val="00264107"/>
    <w:rsid w:val="00264613"/>
    <w:rsid w:val="00264A38"/>
    <w:rsid w:val="00264D1E"/>
    <w:rsid w:val="00265548"/>
    <w:rsid w:val="00265AAC"/>
    <w:rsid w:val="00265C96"/>
    <w:rsid w:val="00265ECA"/>
    <w:rsid w:val="002666FC"/>
    <w:rsid w:val="00266BEE"/>
    <w:rsid w:val="00266F2B"/>
    <w:rsid w:val="002671EF"/>
    <w:rsid w:val="00270706"/>
    <w:rsid w:val="00271200"/>
    <w:rsid w:val="0027166B"/>
    <w:rsid w:val="002719B8"/>
    <w:rsid w:val="00271E06"/>
    <w:rsid w:val="00272415"/>
    <w:rsid w:val="002727D3"/>
    <w:rsid w:val="00272AC1"/>
    <w:rsid w:val="00273296"/>
    <w:rsid w:val="00274314"/>
    <w:rsid w:val="0027453B"/>
    <w:rsid w:val="00276E96"/>
    <w:rsid w:val="00277234"/>
    <w:rsid w:val="0027729A"/>
    <w:rsid w:val="00277A08"/>
    <w:rsid w:val="00280955"/>
    <w:rsid w:val="002810BB"/>
    <w:rsid w:val="0028113B"/>
    <w:rsid w:val="0028246A"/>
    <w:rsid w:val="00282567"/>
    <w:rsid w:val="00283548"/>
    <w:rsid w:val="00284547"/>
    <w:rsid w:val="00284D25"/>
    <w:rsid w:val="00284D35"/>
    <w:rsid w:val="00285D5E"/>
    <w:rsid w:val="00286217"/>
    <w:rsid w:val="00286757"/>
    <w:rsid w:val="00287405"/>
    <w:rsid w:val="00287572"/>
    <w:rsid w:val="00287C18"/>
    <w:rsid w:val="002902C7"/>
    <w:rsid w:val="0029060B"/>
    <w:rsid w:val="00290850"/>
    <w:rsid w:val="00290957"/>
    <w:rsid w:val="002909C9"/>
    <w:rsid w:val="00291076"/>
    <w:rsid w:val="002915E4"/>
    <w:rsid w:val="0029195F"/>
    <w:rsid w:val="00292C54"/>
    <w:rsid w:val="00292CF8"/>
    <w:rsid w:val="00293000"/>
    <w:rsid w:val="00293277"/>
    <w:rsid w:val="00293385"/>
    <w:rsid w:val="002935AB"/>
    <w:rsid w:val="0029395C"/>
    <w:rsid w:val="00293B19"/>
    <w:rsid w:val="002940B7"/>
    <w:rsid w:val="0029480B"/>
    <w:rsid w:val="00294D3E"/>
    <w:rsid w:val="002957E0"/>
    <w:rsid w:val="00295EAD"/>
    <w:rsid w:val="002962F2"/>
    <w:rsid w:val="002965B9"/>
    <w:rsid w:val="00296C46"/>
    <w:rsid w:val="00296CF8"/>
    <w:rsid w:val="00297054"/>
    <w:rsid w:val="00297D57"/>
    <w:rsid w:val="002A014D"/>
    <w:rsid w:val="002A06B7"/>
    <w:rsid w:val="002A269D"/>
    <w:rsid w:val="002A2D8F"/>
    <w:rsid w:val="002A3114"/>
    <w:rsid w:val="002A3D6B"/>
    <w:rsid w:val="002A476A"/>
    <w:rsid w:val="002A4E9E"/>
    <w:rsid w:val="002A4EB8"/>
    <w:rsid w:val="002A517C"/>
    <w:rsid w:val="002A55FC"/>
    <w:rsid w:val="002A65A5"/>
    <w:rsid w:val="002A68F8"/>
    <w:rsid w:val="002A7361"/>
    <w:rsid w:val="002A74FA"/>
    <w:rsid w:val="002A75CB"/>
    <w:rsid w:val="002A7DA3"/>
    <w:rsid w:val="002A7F00"/>
    <w:rsid w:val="002B00D3"/>
    <w:rsid w:val="002B17E4"/>
    <w:rsid w:val="002B2B95"/>
    <w:rsid w:val="002B2D67"/>
    <w:rsid w:val="002B3BEC"/>
    <w:rsid w:val="002B7550"/>
    <w:rsid w:val="002B77DE"/>
    <w:rsid w:val="002B79F2"/>
    <w:rsid w:val="002C0F63"/>
    <w:rsid w:val="002C1EE2"/>
    <w:rsid w:val="002C26BF"/>
    <w:rsid w:val="002C362E"/>
    <w:rsid w:val="002C3EFC"/>
    <w:rsid w:val="002C41B9"/>
    <w:rsid w:val="002C51D0"/>
    <w:rsid w:val="002C6022"/>
    <w:rsid w:val="002D01E5"/>
    <w:rsid w:val="002D0A45"/>
    <w:rsid w:val="002D1038"/>
    <w:rsid w:val="002D1395"/>
    <w:rsid w:val="002D17F0"/>
    <w:rsid w:val="002D30D1"/>
    <w:rsid w:val="002D3775"/>
    <w:rsid w:val="002D413F"/>
    <w:rsid w:val="002D51AB"/>
    <w:rsid w:val="002D5A0E"/>
    <w:rsid w:val="002D5BCC"/>
    <w:rsid w:val="002D6A2C"/>
    <w:rsid w:val="002D7AC4"/>
    <w:rsid w:val="002D7B5F"/>
    <w:rsid w:val="002E0141"/>
    <w:rsid w:val="002E0648"/>
    <w:rsid w:val="002E0803"/>
    <w:rsid w:val="002E2673"/>
    <w:rsid w:val="002E3CE4"/>
    <w:rsid w:val="002E4C52"/>
    <w:rsid w:val="002E6AAD"/>
    <w:rsid w:val="002E6DEB"/>
    <w:rsid w:val="002E752F"/>
    <w:rsid w:val="002F01D8"/>
    <w:rsid w:val="002F15BF"/>
    <w:rsid w:val="002F1C45"/>
    <w:rsid w:val="002F2B11"/>
    <w:rsid w:val="002F3E7F"/>
    <w:rsid w:val="002F3F32"/>
    <w:rsid w:val="002F4AC0"/>
    <w:rsid w:val="002F4F7D"/>
    <w:rsid w:val="002F5E15"/>
    <w:rsid w:val="002F6EE5"/>
    <w:rsid w:val="002F6F78"/>
    <w:rsid w:val="002F7DE6"/>
    <w:rsid w:val="002F7E52"/>
    <w:rsid w:val="002F7FBF"/>
    <w:rsid w:val="003003A5"/>
    <w:rsid w:val="003026BE"/>
    <w:rsid w:val="00303368"/>
    <w:rsid w:val="003033E7"/>
    <w:rsid w:val="0030355D"/>
    <w:rsid w:val="0030375D"/>
    <w:rsid w:val="003044FB"/>
    <w:rsid w:val="003049ED"/>
    <w:rsid w:val="00306372"/>
    <w:rsid w:val="00306FA6"/>
    <w:rsid w:val="003075C2"/>
    <w:rsid w:val="00307CAE"/>
    <w:rsid w:val="00310390"/>
    <w:rsid w:val="00310E0B"/>
    <w:rsid w:val="00311DA1"/>
    <w:rsid w:val="003120DB"/>
    <w:rsid w:val="003125B2"/>
    <w:rsid w:val="003126E4"/>
    <w:rsid w:val="00312BEE"/>
    <w:rsid w:val="00313B11"/>
    <w:rsid w:val="00313B3E"/>
    <w:rsid w:val="00314EC5"/>
    <w:rsid w:val="00316D9E"/>
    <w:rsid w:val="003174B6"/>
    <w:rsid w:val="00317A24"/>
    <w:rsid w:val="00317E8B"/>
    <w:rsid w:val="00320077"/>
    <w:rsid w:val="003204CD"/>
    <w:rsid w:val="00321F5B"/>
    <w:rsid w:val="0032223A"/>
    <w:rsid w:val="00322283"/>
    <w:rsid w:val="0032237D"/>
    <w:rsid w:val="00322781"/>
    <w:rsid w:val="003234AD"/>
    <w:rsid w:val="003235C7"/>
    <w:rsid w:val="003245B9"/>
    <w:rsid w:val="00324CCB"/>
    <w:rsid w:val="00324EFF"/>
    <w:rsid w:val="00325645"/>
    <w:rsid w:val="00326187"/>
    <w:rsid w:val="00326483"/>
    <w:rsid w:val="0032698B"/>
    <w:rsid w:val="00326E86"/>
    <w:rsid w:val="00326FEA"/>
    <w:rsid w:val="00327A23"/>
    <w:rsid w:val="00327B37"/>
    <w:rsid w:val="003309DA"/>
    <w:rsid w:val="00331BC3"/>
    <w:rsid w:val="00332484"/>
    <w:rsid w:val="00334471"/>
    <w:rsid w:val="00335043"/>
    <w:rsid w:val="003352D5"/>
    <w:rsid w:val="003375B6"/>
    <w:rsid w:val="00337BAB"/>
    <w:rsid w:val="00340523"/>
    <w:rsid w:val="00341FEE"/>
    <w:rsid w:val="003425A8"/>
    <w:rsid w:val="00343891"/>
    <w:rsid w:val="003444B0"/>
    <w:rsid w:val="00344D85"/>
    <w:rsid w:val="0034525E"/>
    <w:rsid w:val="00345495"/>
    <w:rsid w:val="0034585F"/>
    <w:rsid w:val="00345C7E"/>
    <w:rsid w:val="00345D29"/>
    <w:rsid w:val="003467C4"/>
    <w:rsid w:val="00346F3C"/>
    <w:rsid w:val="003472B6"/>
    <w:rsid w:val="003478B9"/>
    <w:rsid w:val="00347FA4"/>
    <w:rsid w:val="00350C83"/>
    <w:rsid w:val="003517C9"/>
    <w:rsid w:val="00351C17"/>
    <w:rsid w:val="003534B0"/>
    <w:rsid w:val="003538C4"/>
    <w:rsid w:val="00355959"/>
    <w:rsid w:val="0035624E"/>
    <w:rsid w:val="00357002"/>
    <w:rsid w:val="0035772F"/>
    <w:rsid w:val="00360232"/>
    <w:rsid w:val="003606C3"/>
    <w:rsid w:val="003613D1"/>
    <w:rsid w:val="003615F5"/>
    <w:rsid w:val="0036160B"/>
    <w:rsid w:val="003627FB"/>
    <w:rsid w:val="00362C65"/>
    <w:rsid w:val="0036359B"/>
    <w:rsid w:val="00364905"/>
    <w:rsid w:val="00364F78"/>
    <w:rsid w:val="00365C14"/>
    <w:rsid w:val="00367033"/>
    <w:rsid w:val="003673E7"/>
    <w:rsid w:val="003678CD"/>
    <w:rsid w:val="003679DC"/>
    <w:rsid w:val="00370052"/>
    <w:rsid w:val="00371E26"/>
    <w:rsid w:val="00372116"/>
    <w:rsid w:val="00373694"/>
    <w:rsid w:val="0037408E"/>
    <w:rsid w:val="003755C8"/>
    <w:rsid w:val="003757CC"/>
    <w:rsid w:val="00375EAF"/>
    <w:rsid w:val="00376241"/>
    <w:rsid w:val="00377C17"/>
    <w:rsid w:val="00380594"/>
    <w:rsid w:val="00380EE7"/>
    <w:rsid w:val="003814F7"/>
    <w:rsid w:val="00382027"/>
    <w:rsid w:val="00382665"/>
    <w:rsid w:val="00382A91"/>
    <w:rsid w:val="00382D75"/>
    <w:rsid w:val="00382DB3"/>
    <w:rsid w:val="00382E78"/>
    <w:rsid w:val="003834D9"/>
    <w:rsid w:val="00383C21"/>
    <w:rsid w:val="00384976"/>
    <w:rsid w:val="00385156"/>
    <w:rsid w:val="0038578F"/>
    <w:rsid w:val="00385868"/>
    <w:rsid w:val="0038590C"/>
    <w:rsid w:val="00385E4D"/>
    <w:rsid w:val="00386074"/>
    <w:rsid w:val="00386FA1"/>
    <w:rsid w:val="00387039"/>
    <w:rsid w:val="00387756"/>
    <w:rsid w:val="00390411"/>
    <w:rsid w:val="00390426"/>
    <w:rsid w:val="0039049F"/>
    <w:rsid w:val="00390AD5"/>
    <w:rsid w:val="0039115C"/>
    <w:rsid w:val="0039193A"/>
    <w:rsid w:val="00392B75"/>
    <w:rsid w:val="00393B4A"/>
    <w:rsid w:val="00394867"/>
    <w:rsid w:val="00394FAF"/>
    <w:rsid w:val="0039645B"/>
    <w:rsid w:val="00396C90"/>
    <w:rsid w:val="003A0061"/>
    <w:rsid w:val="003A01F7"/>
    <w:rsid w:val="003A09BC"/>
    <w:rsid w:val="003A1A3A"/>
    <w:rsid w:val="003A26B9"/>
    <w:rsid w:val="003A2EAE"/>
    <w:rsid w:val="003A465A"/>
    <w:rsid w:val="003A4994"/>
    <w:rsid w:val="003A4E40"/>
    <w:rsid w:val="003A575B"/>
    <w:rsid w:val="003A5D81"/>
    <w:rsid w:val="003A624C"/>
    <w:rsid w:val="003A6997"/>
    <w:rsid w:val="003A69F3"/>
    <w:rsid w:val="003A6B01"/>
    <w:rsid w:val="003A6BB5"/>
    <w:rsid w:val="003A6F36"/>
    <w:rsid w:val="003A70D8"/>
    <w:rsid w:val="003A7262"/>
    <w:rsid w:val="003A7ECE"/>
    <w:rsid w:val="003B01C0"/>
    <w:rsid w:val="003B04EE"/>
    <w:rsid w:val="003B1019"/>
    <w:rsid w:val="003B18C5"/>
    <w:rsid w:val="003B20BC"/>
    <w:rsid w:val="003B2BCC"/>
    <w:rsid w:val="003B44FC"/>
    <w:rsid w:val="003B470A"/>
    <w:rsid w:val="003B4D77"/>
    <w:rsid w:val="003B5178"/>
    <w:rsid w:val="003B567C"/>
    <w:rsid w:val="003B5749"/>
    <w:rsid w:val="003B6F78"/>
    <w:rsid w:val="003B7421"/>
    <w:rsid w:val="003B78F9"/>
    <w:rsid w:val="003C0857"/>
    <w:rsid w:val="003C1178"/>
    <w:rsid w:val="003C1AEB"/>
    <w:rsid w:val="003C2B4A"/>
    <w:rsid w:val="003C37FA"/>
    <w:rsid w:val="003C3C12"/>
    <w:rsid w:val="003C4999"/>
    <w:rsid w:val="003C4E0F"/>
    <w:rsid w:val="003C5C9A"/>
    <w:rsid w:val="003C5F08"/>
    <w:rsid w:val="003C64BA"/>
    <w:rsid w:val="003C6707"/>
    <w:rsid w:val="003C77ED"/>
    <w:rsid w:val="003C7F15"/>
    <w:rsid w:val="003D02B7"/>
    <w:rsid w:val="003D06ED"/>
    <w:rsid w:val="003D297F"/>
    <w:rsid w:val="003D2DF2"/>
    <w:rsid w:val="003D4202"/>
    <w:rsid w:val="003D42E9"/>
    <w:rsid w:val="003D4ED5"/>
    <w:rsid w:val="003D5C42"/>
    <w:rsid w:val="003D5E08"/>
    <w:rsid w:val="003D70A7"/>
    <w:rsid w:val="003D779A"/>
    <w:rsid w:val="003E09E0"/>
    <w:rsid w:val="003E0C13"/>
    <w:rsid w:val="003E1808"/>
    <w:rsid w:val="003E1B61"/>
    <w:rsid w:val="003E23F8"/>
    <w:rsid w:val="003E26E2"/>
    <w:rsid w:val="003E3046"/>
    <w:rsid w:val="003E42B8"/>
    <w:rsid w:val="003E4353"/>
    <w:rsid w:val="003E54D4"/>
    <w:rsid w:val="003E5AAA"/>
    <w:rsid w:val="003E5D34"/>
    <w:rsid w:val="003E5E50"/>
    <w:rsid w:val="003E6D18"/>
    <w:rsid w:val="003E6FF0"/>
    <w:rsid w:val="003E78A7"/>
    <w:rsid w:val="003E7F09"/>
    <w:rsid w:val="003F078F"/>
    <w:rsid w:val="003F0809"/>
    <w:rsid w:val="003F0AEA"/>
    <w:rsid w:val="003F0E22"/>
    <w:rsid w:val="003F1737"/>
    <w:rsid w:val="003F1C04"/>
    <w:rsid w:val="003F1FF1"/>
    <w:rsid w:val="003F21F7"/>
    <w:rsid w:val="003F2B51"/>
    <w:rsid w:val="003F314C"/>
    <w:rsid w:val="003F3BCF"/>
    <w:rsid w:val="003F48E9"/>
    <w:rsid w:val="003F4973"/>
    <w:rsid w:val="003F566B"/>
    <w:rsid w:val="003F5B2C"/>
    <w:rsid w:val="003F634B"/>
    <w:rsid w:val="003F7578"/>
    <w:rsid w:val="003F7804"/>
    <w:rsid w:val="003F78DE"/>
    <w:rsid w:val="004006C6"/>
    <w:rsid w:val="00400E4B"/>
    <w:rsid w:val="004025DD"/>
    <w:rsid w:val="00403A4A"/>
    <w:rsid w:val="00404278"/>
    <w:rsid w:val="00404DAA"/>
    <w:rsid w:val="00405B66"/>
    <w:rsid w:val="00406FDC"/>
    <w:rsid w:val="004071E9"/>
    <w:rsid w:val="004072D3"/>
    <w:rsid w:val="0041057C"/>
    <w:rsid w:val="00410C73"/>
    <w:rsid w:val="00411187"/>
    <w:rsid w:val="004114A0"/>
    <w:rsid w:val="00411A0B"/>
    <w:rsid w:val="00411D5C"/>
    <w:rsid w:val="00412179"/>
    <w:rsid w:val="00413FC4"/>
    <w:rsid w:val="004141C2"/>
    <w:rsid w:val="004154F3"/>
    <w:rsid w:val="004156B9"/>
    <w:rsid w:val="00415775"/>
    <w:rsid w:val="0041621F"/>
    <w:rsid w:val="004170FB"/>
    <w:rsid w:val="004171E4"/>
    <w:rsid w:val="00417C25"/>
    <w:rsid w:val="004216C2"/>
    <w:rsid w:val="00422605"/>
    <w:rsid w:val="00422FE1"/>
    <w:rsid w:val="0042313F"/>
    <w:rsid w:val="004236DA"/>
    <w:rsid w:val="00424575"/>
    <w:rsid w:val="004249C6"/>
    <w:rsid w:val="0042592A"/>
    <w:rsid w:val="00426E75"/>
    <w:rsid w:val="0042709F"/>
    <w:rsid w:val="00427377"/>
    <w:rsid w:val="004279FD"/>
    <w:rsid w:val="00430041"/>
    <w:rsid w:val="00430274"/>
    <w:rsid w:val="00430BC7"/>
    <w:rsid w:val="0043148C"/>
    <w:rsid w:val="00432263"/>
    <w:rsid w:val="004322D1"/>
    <w:rsid w:val="00433877"/>
    <w:rsid w:val="00435253"/>
    <w:rsid w:val="00435B75"/>
    <w:rsid w:val="00435B93"/>
    <w:rsid w:val="00436E1B"/>
    <w:rsid w:val="00436F11"/>
    <w:rsid w:val="00437AE4"/>
    <w:rsid w:val="00437BD3"/>
    <w:rsid w:val="00440F08"/>
    <w:rsid w:val="00441273"/>
    <w:rsid w:val="00441589"/>
    <w:rsid w:val="00441C35"/>
    <w:rsid w:val="004423DD"/>
    <w:rsid w:val="00442634"/>
    <w:rsid w:val="004427EC"/>
    <w:rsid w:val="004432C9"/>
    <w:rsid w:val="00443ACA"/>
    <w:rsid w:val="00444839"/>
    <w:rsid w:val="00444C4F"/>
    <w:rsid w:val="00444D3A"/>
    <w:rsid w:val="00445A03"/>
    <w:rsid w:val="00446B19"/>
    <w:rsid w:val="00450C7A"/>
    <w:rsid w:val="004512DA"/>
    <w:rsid w:val="004514A2"/>
    <w:rsid w:val="004529D8"/>
    <w:rsid w:val="00452ADB"/>
    <w:rsid w:val="00453174"/>
    <w:rsid w:val="00453B03"/>
    <w:rsid w:val="00453C10"/>
    <w:rsid w:val="00453DEE"/>
    <w:rsid w:val="00454518"/>
    <w:rsid w:val="0045488A"/>
    <w:rsid w:val="004552C6"/>
    <w:rsid w:val="004558EE"/>
    <w:rsid w:val="004559FB"/>
    <w:rsid w:val="0045648E"/>
    <w:rsid w:val="004574BC"/>
    <w:rsid w:val="00457637"/>
    <w:rsid w:val="004579CD"/>
    <w:rsid w:val="004605E1"/>
    <w:rsid w:val="0046106D"/>
    <w:rsid w:val="004610FD"/>
    <w:rsid w:val="00461DEE"/>
    <w:rsid w:val="00461EF8"/>
    <w:rsid w:val="00462556"/>
    <w:rsid w:val="004655F4"/>
    <w:rsid w:val="00465EC1"/>
    <w:rsid w:val="00465F00"/>
    <w:rsid w:val="004661B1"/>
    <w:rsid w:val="00466C04"/>
    <w:rsid w:val="00467389"/>
    <w:rsid w:val="004712BE"/>
    <w:rsid w:val="00471E32"/>
    <w:rsid w:val="00472D5E"/>
    <w:rsid w:val="00473192"/>
    <w:rsid w:val="0047346D"/>
    <w:rsid w:val="00474229"/>
    <w:rsid w:val="0047521F"/>
    <w:rsid w:val="00476185"/>
    <w:rsid w:val="00476217"/>
    <w:rsid w:val="00476B88"/>
    <w:rsid w:val="00477550"/>
    <w:rsid w:val="004776E1"/>
    <w:rsid w:val="00477B8C"/>
    <w:rsid w:val="0048094F"/>
    <w:rsid w:val="004810C4"/>
    <w:rsid w:val="00481810"/>
    <w:rsid w:val="00481CC9"/>
    <w:rsid w:val="00481E3C"/>
    <w:rsid w:val="00481ECE"/>
    <w:rsid w:val="004834D6"/>
    <w:rsid w:val="00483569"/>
    <w:rsid w:val="00483D44"/>
    <w:rsid w:val="00483DD5"/>
    <w:rsid w:val="00483DFD"/>
    <w:rsid w:val="00483EFD"/>
    <w:rsid w:val="00484F5D"/>
    <w:rsid w:val="00485B92"/>
    <w:rsid w:val="004860D0"/>
    <w:rsid w:val="00486588"/>
    <w:rsid w:val="00486709"/>
    <w:rsid w:val="0048692A"/>
    <w:rsid w:val="00486CC2"/>
    <w:rsid w:val="00490175"/>
    <w:rsid w:val="00490E4B"/>
    <w:rsid w:val="004910F2"/>
    <w:rsid w:val="004911BD"/>
    <w:rsid w:val="00491BAC"/>
    <w:rsid w:val="00491C94"/>
    <w:rsid w:val="00491E84"/>
    <w:rsid w:val="00491EB6"/>
    <w:rsid w:val="00491EE1"/>
    <w:rsid w:val="00492D32"/>
    <w:rsid w:val="004935B6"/>
    <w:rsid w:val="0049403D"/>
    <w:rsid w:val="0049460C"/>
    <w:rsid w:val="00494FC0"/>
    <w:rsid w:val="004950D7"/>
    <w:rsid w:val="0049558B"/>
    <w:rsid w:val="004964EF"/>
    <w:rsid w:val="00497666"/>
    <w:rsid w:val="004A0355"/>
    <w:rsid w:val="004A058B"/>
    <w:rsid w:val="004A06CE"/>
    <w:rsid w:val="004A1C42"/>
    <w:rsid w:val="004A227D"/>
    <w:rsid w:val="004A2355"/>
    <w:rsid w:val="004A25A1"/>
    <w:rsid w:val="004A387C"/>
    <w:rsid w:val="004A3C22"/>
    <w:rsid w:val="004A44A0"/>
    <w:rsid w:val="004A5EB8"/>
    <w:rsid w:val="004A6513"/>
    <w:rsid w:val="004A7548"/>
    <w:rsid w:val="004A7C74"/>
    <w:rsid w:val="004B050E"/>
    <w:rsid w:val="004B07BB"/>
    <w:rsid w:val="004B37C2"/>
    <w:rsid w:val="004B4062"/>
    <w:rsid w:val="004B40B1"/>
    <w:rsid w:val="004B43E2"/>
    <w:rsid w:val="004B54C8"/>
    <w:rsid w:val="004B5A90"/>
    <w:rsid w:val="004B5CAE"/>
    <w:rsid w:val="004B5F85"/>
    <w:rsid w:val="004B653D"/>
    <w:rsid w:val="004B6D28"/>
    <w:rsid w:val="004B70CA"/>
    <w:rsid w:val="004B739F"/>
    <w:rsid w:val="004B77FE"/>
    <w:rsid w:val="004B7E35"/>
    <w:rsid w:val="004C057A"/>
    <w:rsid w:val="004C08CF"/>
    <w:rsid w:val="004C0F67"/>
    <w:rsid w:val="004C1641"/>
    <w:rsid w:val="004C1680"/>
    <w:rsid w:val="004C1A34"/>
    <w:rsid w:val="004C3479"/>
    <w:rsid w:val="004C4132"/>
    <w:rsid w:val="004C4A4C"/>
    <w:rsid w:val="004C4EFC"/>
    <w:rsid w:val="004C582C"/>
    <w:rsid w:val="004C68E4"/>
    <w:rsid w:val="004C78B0"/>
    <w:rsid w:val="004D0BAB"/>
    <w:rsid w:val="004D2A1E"/>
    <w:rsid w:val="004D2DF0"/>
    <w:rsid w:val="004D2EDE"/>
    <w:rsid w:val="004D3114"/>
    <w:rsid w:val="004D3281"/>
    <w:rsid w:val="004D3362"/>
    <w:rsid w:val="004D3A52"/>
    <w:rsid w:val="004D3EF6"/>
    <w:rsid w:val="004D504E"/>
    <w:rsid w:val="004D57F8"/>
    <w:rsid w:val="004D5DE3"/>
    <w:rsid w:val="004D644D"/>
    <w:rsid w:val="004D6948"/>
    <w:rsid w:val="004D69FC"/>
    <w:rsid w:val="004D780C"/>
    <w:rsid w:val="004E0982"/>
    <w:rsid w:val="004E1D23"/>
    <w:rsid w:val="004E28F4"/>
    <w:rsid w:val="004E363E"/>
    <w:rsid w:val="004E4560"/>
    <w:rsid w:val="004E6151"/>
    <w:rsid w:val="004E668A"/>
    <w:rsid w:val="004E7651"/>
    <w:rsid w:val="004F0104"/>
    <w:rsid w:val="004F028A"/>
    <w:rsid w:val="004F06F8"/>
    <w:rsid w:val="004F1400"/>
    <w:rsid w:val="004F1B68"/>
    <w:rsid w:val="004F1FAF"/>
    <w:rsid w:val="004F2150"/>
    <w:rsid w:val="004F254D"/>
    <w:rsid w:val="004F2BE3"/>
    <w:rsid w:val="004F32CA"/>
    <w:rsid w:val="004F337F"/>
    <w:rsid w:val="004F3530"/>
    <w:rsid w:val="004F408C"/>
    <w:rsid w:val="004F418F"/>
    <w:rsid w:val="004F44A8"/>
    <w:rsid w:val="004F5766"/>
    <w:rsid w:val="004F578A"/>
    <w:rsid w:val="004F5863"/>
    <w:rsid w:val="004F5C51"/>
    <w:rsid w:val="004F5ECA"/>
    <w:rsid w:val="004F6510"/>
    <w:rsid w:val="004F6ABE"/>
    <w:rsid w:val="00501425"/>
    <w:rsid w:val="00501B01"/>
    <w:rsid w:val="0050274F"/>
    <w:rsid w:val="00502A5C"/>
    <w:rsid w:val="00502C45"/>
    <w:rsid w:val="00502C92"/>
    <w:rsid w:val="00502E00"/>
    <w:rsid w:val="00502F18"/>
    <w:rsid w:val="005033AE"/>
    <w:rsid w:val="00503F7B"/>
    <w:rsid w:val="00504001"/>
    <w:rsid w:val="005055C8"/>
    <w:rsid w:val="005056B6"/>
    <w:rsid w:val="00505A89"/>
    <w:rsid w:val="00505DA1"/>
    <w:rsid w:val="00506215"/>
    <w:rsid w:val="005062A6"/>
    <w:rsid w:val="005067F4"/>
    <w:rsid w:val="00506A41"/>
    <w:rsid w:val="00506D4C"/>
    <w:rsid w:val="00507C70"/>
    <w:rsid w:val="00507DFC"/>
    <w:rsid w:val="00510455"/>
    <w:rsid w:val="0051099F"/>
    <w:rsid w:val="00510EB2"/>
    <w:rsid w:val="005114B7"/>
    <w:rsid w:val="00511559"/>
    <w:rsid w:val="0051175D"/>
    <w:rsid w:val="00512086"/>
    <w:rsid w:val="005142A3"/>
    <w:rsid w:val="00515413"/>
    <w:rsid w:val="00515D6B"/>
    <w:rsid w:val="00515F0E"/>
    <w:rsid w:val="00516549"/>
    <w:rsid w:val="0051672A"/>
    <w:rsid w:val="00517BBB"/>
    <w:rsid w:val="005207C0"/>
    <w:rsid w:val="005222D0"/>
    <w:rsid w:val="0052327E"/>
    <w:rsid w:val="00523551"/>
    <w:rsid w:val="00524F75"/>
    <w:rsid w:val="005250E2"/>
    <w:rsid w:val="0052524C"/>
    <w:rsid w:val="00525D2D"/>
    <w:rsid w:val="00525D56"/>
    <w:rsid w:val="0052614C"/>
    <w:rsid w:val="0052689C"/>
    <w:rsid w:val="00527205"/>
    <w:rsid w:val="00527ED0"/>
    <w:rsid w:val="00530A9B"/>
    <w:rsid w:val="00531BDD"/>
    <w:rsid w:val="00531C7A"/>
    <w:rsid w:val="00531FC6"/>
    <w:rsid w:val="00532AED"/>
    <w:rsid w:val="00534307"/>
    <w:rsid w:val="00534671"/>
    <w:rsid w:val="00534E5F"/>
    <w:rsid w:val="0053527B"/>
    <w:rsid w:val="00535556"/>
    <w:rsid w:val="00535D76"/>
    <w:rsid w:val="0053605D"/>
    <w:rsid w:val="005361CD"/>
    <w:rsid w:val="00537065"/>
    <w:rsid w:val="005370B3"/>
    <w:rsid w:val="005373D2"/>
    <w:rsid w:val="005377D1"/>
    <w:rsid w:val="00537AC0"/>
    <w:rsid w:val="00540B72"/>
    <w:rsid w:val="00540E03"/>
    <w:rsid w:val="0054106F"/>
    <w:rsid w:val="00543100"/>
    <w:rsid w:val="00543FDF"/>
    <w:rsid w:val="00545554"/>
    <w:rsid w:val="005457EE"/>
    <w:rsid w:val="00546D81"/>
    <w:rsid w:val="00546F98"/>
    <w:rsid w:val="00547BA0"/>
    <w:rsid w:val="00552FF7"/>
    <w:rsid w:val="005530D5"/>
    <w:rsid w:val="00553BA1"/>
    <w:rsid w:val="005549CE"/>
    <w:rsid w:val="00555219"/>
    <w:rsid w:val="00555477"/>
    <w:rsid w:val="00555E88"/>
    <w:rsid w:val="00557045"/>
    <w:rsid w:val="005574A0"/>
    <w:rsid w:val="005574FD"/>
    <w:rsid w:val="0055791F"/>
    <w:rsid w:val="00557F15"/>
    <w:rsid w:val="0056189B"/>
    <w:rsid w:val="00561919"/>
    <w:rsid w:val="00561952"/>
    <w:rsid w:val="005634C2"/>
    <w:rsid w:val="00564560"/>
    <w:rsid w:val="00564A86"/>
    <w:rsid w:val="00565609"/>
    <w:rsid w:val="005661E7"/>
    <w:rsid w:val="00566F87"/>
    <w:rsid w:val="00570D39"/>
    <w:rsid w:val="005718E4"/>
    <w:rsid w:val="00571906"/>
    <w:rsid w:val="00571F66"/>
    <w:rsid w:val="005728C5"/>
    <w:rsid w:val="0057300D"/>
    <w:rsid w:val="00573392"/>
    <w:rsid w:val="0057339A"/>
    <w:rsid w:val="0057509A"/>
    <w:rsid w:val="00575262"/>
    <w:rsid w:val="005752E0"/>
    <w:rsid w:val="00575C38"/>
    <w:rsid w:val="005761A7"/>
    <w:rsid w:val="005762EF"/>
    <w:rsid w:val="00577A90"/>
    <w:rsid w:val="005802A9"/>
    <w:rsid w:val="00580305"/>
    <w:rsid w:val="00580DF1"/>
    <w:rsid w:val="0058124C"/>
    <w:rsid w:val="00581830"/>
    <w:rsid w:val="00581B57"/>
    <w:rsid w:val="00582B7C"/>
    <w:rsid w:val="0058303A"/>
    <w:rsid w:val="00583551"/>
    <w:rsid w:val="005835FF"/>
    <w:rsid w:val="00584E85"/>
    <w:rsid w:val="00585E71"/>
    <w:rsid w:val="00586424"/>
    <w:rsid w:val="00586AE2"/>
    <w:rsid w:val="00586FD4"/>
    <w:rsid w:val="005871DA"/>
    <w:rsid w:val="005877C5"/>
    <w:rsid w:val="00587A6B"/>
    <w:rsid w:val="00587C99"/>
    <w:rsid w:val="00590719"/>
    <w:rsid w:val="00590EF5"/>
    <w:rsid w:val="00590FD4"/>
    <w:rsid w:val="00591848"/>
    <w:rsid w:val="00591C9A"/>
    <w:rsid w:val="0059294A"/>
    <w:rsid w:val="00593851"/>
    <w:rsid w:val="00593B24"/>
    <w:rsid w:val="00593F6B"/>
    <w:rsid w:val="0059435A"/>
    <w:rsid w:val="0059479F"/>
    <w:rsid w:val="00594B70"/>
    <w:rsid w:val="00594E86"/>
    <w:rsid w:val="00596033"/>
    <w:rsid w:val="00596F17"/>
    <w:rsid w:val="005970EA"/>
    <w:rsid w:val="005973A5"/>
    <w:rsid w:val="005A04DF"/>
    <w:rsid w:val="005A073A"/>
    <w:rsid w:val="005A0BC4"/>
    <w:rsid w:val="005A0D66"/>
    <w:rsid w:val="005A0FFA"/>
    <w:rsid w:val="005A10F8"/>
    <w:rsid w:val="005A11DE"/>
    <w:rsid w:val="005A2311"/>
    <w:rsid w:val="005A2D11"/>
    <w:rsid w:val="005A2E0D"/>
    <w:rsid w:val="005A30E1"/>
    <w:rsid w:val="005A3721"/>
    <w:rsid w:val="005A456D"/>
    <w:rsid w:val="005A5FE1"/>
    <w:rsid w:val="005A616B"/>
    <w:rsid w:val="005A64EA"/>
    <w:rsid w:val="005A676A"/>
    <w:rsid w:val="005A6CA1"/>
    <w:rsid w:val="005A7045"/>
    <w:rsid w:val="005B10AE"/>
    <w:rsid w:val="005B11DA"/>
    <w:rsid w:val="005B1637"/>
    <w:rsid w:val="005B2C19"/>
    <w:rsid w:val="005B338C"/>
    <w:rsid w:val="005B42A6"/>
    <w:rsid w:val="005B4C2F"/>
    <w:rsid w:val="005B5234"/>
    <w:rsid w:val="005B5500"/>
    <w:rsid w:val="005B58E7"/>
    <w:rsid w:val="005B6593"/>
    <w:rsid w:val="005B69BB"/>
    <w:rsid w:val="005B6EE0"/>
    <w:rsid w:val="005B7404"/>
    <w:rsid w:val="005B7A11"/>
    <w:rsid w:val="005C0947"/>
    <w:rsid w:val="005C0D4A"/>
    <w:rsid w:val="005C0E4F"/>
    <w:rsid w:val="005C1938"/>
    <w:rsid w:val="005C1943"/>
    <w:rsid w:val="005C1B42"/>
    <w:rsid w:val="005C24CF"/>
    <w:rsid w:val="005C3330"/>
    <w:rsid w:val="005C3629"/>
    <w:rsid w:val="005C38AF"/>
    <w:rsid w:val="005C582C"/>
    <w:rsid w:val="005C5A19"/>
    <w:rsid w:val="005C5BAE"/>
    <w:rsid w:val="005C641A"/>
    <w:rsid w:val="005D0103"/>
    <w:rsid w:val="005D2087"/>
    <w:rsid w:val="005D26B3"/>
    <w:rsid w:val="005D2C36"/>
    <w:rsid w:val="005D2C9C"/>
    <w:rsid w:val="005D3140"/>
    <w:rsid w:val="005D317D"/>
    <w:rsid w:val="005D4B3E"/>
    <w:rsid w:val="005D50E2"/>
    <w:rsid w:val="005D5372"/>
    <w:rsid w:val="005D5758"/>
    <w:rsid w:val="005D5AC3"/>
    <w:rsid w:val="005D6B60"/>
    <w:rsid w:val="005D6F57"/>
    <w:rsid w:val="005D707B"/>
    <w:rsid w:val="005D72B1"/>
    <w:rsid w:val="005D79C4"/>
    <w:rsid w:val="005E0018"/>
    <w:rsid w:val="005E0364"/>
    <w:rsid w:val="005E0A68"/>
    <w:rsid w:val="005E174E"/>
    <w:rsid w:val="005E23C7"/>
    <w:rsid w:val="005E28F4"/>
    <w:rsid w:val="005E2B84"/>
    <w:rsid w:val="005E2CE9"/>
    <w:rsid w:val="005E3CFE"/>
    <w:rsid w:val="005E4078"/>
    <w:rsid w:val="005E4A8C"/>
    <w:rsid w:val="005E4DFC"/>
    <w:rsid w:val="005E5136"/>
    <w:rsid w:val="005E5F57"/>
    <w:rsid w:val="005E668A"/>
    <w:rsid w:val="005E7069"/>
    <w:rsid w:val="005E733D"/>
    <w:rsid w:val="005E74D8"/>
    <w:rsid w:val="005E7C62"/>
    <w:rsid w:val="005E7DA2"/>
    <w:rsid w:val="005F029F"/>
    <w:rsid w:val="005F0DB0"/>
    <w:rsid w:val="005F139D"/>
    <w:rsid w:val="005F1712"/>
    <w:rsid w:val="005F24C3"/>
    <w:rsid w:val="005F2B13"/>
    <w:rsid w:val="005F2E77"/>
    <w:rsid w:val="005F310F"/>
    <w:rsid w:val="005F34E5"/>
    <w:rsid w:val="005F3536"/>
    <w:rsid w:val="005F3F5C"/>
    <w:rsid w:val="005F43D6"/>
    <w:rsid w:val="005F47EB"/>
    <w:rsid w:val="005F4B8E"/>
    <w:rsid w:val="005F51B4"/>
    <w:rsid w:val="005F560A"/>
    <w:rsid w:val="005F5932"/>
    <w:rsid w:val="005F5E35"/>
    <w:rsid w:val="005F655E"/>
    <w:rsid w:val="005F6BD2"/>
    <w:rsid w:val="005F6D9A"/>
    <w:rsid w:val="005F725F"/>
    <w:rsid w:val="00600A38"/>
    <w:rsid w:val="00601DB7"/>
    <w:rsid w:val="00602C95"/>
    <w:rsid w:val="00603138"/>
    <w:rsid w:val="006031DD"/>
    <w:rsid w:val="00603772"/>
    <w:rsid w:val="00603CAF"/>
    <w:rsid w:val="00604064"/>
    <w:rsid w:val="0060453A"/>
    <w:rsid w:val="00605118"/>
    <w:rsid w:val="00605341"/>
    <w:rsid w:val="00605775"/>
    <w:rsid w:val="00606C56"/>
    <w:rsid w:val="00606EF4"/>
    <w:rsid w:val="00607EE8"/>
    <w:rsid w:val="00607FA7"/>
    <w:rsid w:val="0061125B"/>
    <w:rsid w:val="00611E09"/>
    <w:rsid w:val="00613135"/>
    <w:rsid w:val="006132CC"/>
    <w:rsid w:val="00613D2D"/>
    <w:rsid w:val="0061427F"/>
    <w:rsid w:val="00617132"/>
    <w:rsid w:val="00617345"/>
    <w:rsid w:val="006175B3"/>
    <w:rsid w:val="00617F3C"/>
    <w:rsid w:val="006204D6"/>
    <w:rsid w:val="00620AC3"/>
    <w:rsid w:val="00620BA8"/>
    <w:rsid w:val="006214AB"/>
    <w:rsid w:val="00621B5D"/>
    <w:rsid w:val="00621EC2"/>
    <w:rsid w:val="0062204C"/>
    <w:rsid w:val="006223E2"/>
    <w:rsid w:val="006230E4"/>
    <w:rsid w:val="006237EA"/>
    <w:rsid w:val="0062430F"/>
    <w:rsid w:val="006244F5"/>
    <w:rsid w:val="00624BCB"/>
    <w:rsid w:val="00625D02"/>
    <w:rsid w:val="006272E0"/>
    <w:rsid w:val="00627386"/>
    <w:rsid w:val="00627FA1"/>
    <w:rsid w:val="00630082"/>
    <w:rsid w:val="0063008E"/>
    <w:rsid w:val="006301FC"/>
    <w:rsid w:val="00630267"/>
    <w:rsid w:val="0063063D"/>
    <w:rsid w:val="00631893"/>
    <w:rsid w:val="00631D2A"/>
    <w:rsid w:val="00632305"/>
    <w:rsid w:val="006323DC"/>
    <w:rsid w:val="00632A60"/>
    <w:rsid w:val="00633FDF"/>
    <w:rsid w:val="0063501E"/>
    <w:rsid w:val="00635F9D"/>
    <w:rsid w:val="00636F91"/>
    <w:rsid w:val="0063751B"/>
    <w:rsid w:val="0063770B"/>
    <w:rsid w:val="00637812"/>
    <w:rsid w:val="00637B20"/>
    <w:rsid w:val="006410A3"/>
    <w:rsid w:val="00641D30"/>
    <w:rsid w:val="006421CD"/>
    <w:rsid w:val="00642A7F"/>
    <w:rsid w:val="00642DFD"/>
    <w:rsid w:val="00645577"/>
    <w:rsid w:val="0064577B"/>
    <w:rsid w:val="00646966"/>
    <w:rsid w:val="00646F64"/>
    <w:rsid w:val="00647277"/>
    <w:rsid w:val="00647562"/>
    <w:rsid w:val="00647A33"/>
    <w:rsid w:val="006513CA"/>
    <w:rsid w:val="00652395"/>
    <w:rsid w:val="0065240E"/>
    <w:rsid w:val="00652426"/>
    <w:rsid w:val="00653408"/>
    <w:rsid w:val="006547C0"/>
    <w:rsid w:val="00654C21"/>
    <w:rsid w:val="00657A08"/>
    <w:rsid w:val="00660475"/>
    <w:rsid w:val="006605E2"/>
    <w:rsid w:val="00660761"/>
    <w:rsid w:val="00660C26"/>
    <w:rsid w:val="006610C2"/>
    <w:rsid w:val="00661492"/>
    <w:rsid w:val="006618B9"/>
    <w:rsid w:val="00662527"/>
    <w:rsid w:val="006628C3"/>
    <w:rsid w:val="006638ED"/>
    <w:rsid w:val="00663E08"/>
    <w:rsid w:val="0066404E"/>
    <w:rsid w:val="00664A52"/>
    <w:rsid w:val="00664A6A"/>
    <w:rsid w:val="00664BE1"/>
    <w:rsid w:val="00664F1F"/>
    <w:rsid w:val="00666AAD"/>
    <w:rsid w:val="0066768E"/>
    <w:rsid w:val="00670206"/>
    <w:rsid w:val="006705D1"/>
    <w:rsid w:val="00671E4E"/>
    <w:rsid w:val="00671E9F"/>
    <w:rsid w:val="006725E8"/>
    <w:rsid w:val="00672FC3"/>
    <w:rsid w:val="00674768"/>
    <w:rsid w:val="00674B08"/>
    <w:rsid w:val="006756CF"/>
    <w:rsid w:val="006758A3"/>
    <w:rsid w:val="0067647A"/>
    <w:rsid w:val="0068118D"/>
    <w:rsid w:val="00681CA3"/>
    <w:rsid w:val="0068208F"/>
    <w:rsid w:val="0068231A"/>
    <w:rsid w:val="00682A28"/>
    <w:rsid w:val="00682C9E"/>
    <w:rsid w:val="006835BD"/>
    <w:rsid w:val="00683668"/>
    <w:rsid w:val="006853C6"/>
    <w:rsid w:val="0068548C"/>
    <w:rsid w:val="00687631"/>
    <w:rsid w:val="00692217"/>
    <w:rsid w:val="0069406F"/>
    <w:rsid w:val="00694C5D"/>
    <w:rsid w:val="00695414"/>
    <w:rsid w:val="00695E91"/>
    <w:rsid w:val="00695F1F"/>
    <w:rsid w:val="00696235"/>
    <w:rsid w:val="00696BAF"/>
    <w:rsid w:val="00696CD9"/>
    <w:rsid w:val="00696D2B"/>
    <w:rsid w:val="006A1B19"/>
    <w:rsid w:val="006A1F38"/>
    <w:rsid w:val="006A32BD"/>
    <w:rsid w:val="006A3B6C"/>
    <w:rsid w:val="006A509C"/>
    <w:rsid w:val="006A66A3"/>
    <w:rsid w:val="006A67E3"/>
    <w:rsid w:val="006A69D3"/>
    <w:rsid w:val="006A6B95"/>
    <w:rsid w:val="006B053A"/>
    <w:rsid w:val="006B168E"/>
    <w:rsid w:val="006B1746"/>
    <w:rsid w:val="006B396E"/>
    <w:rsid w:val="006B435C"/>
    <w:rsid w:val="006B537F"/>
    <w:rsid w:val="006B5489"/>
    <w:rsid w:val="006B5687"/>
    <w:rsid w:val="006B56CB"/>
    <w:rsid w:val="006B6375"/>
    <w:rsid w:val="006B6785"/>
    <w:rsid w:val="006B6B3F"/>
    <w:rsid w:val="006B7330"/>
    <w:rsid w:val="006B7754"/>
    <w:rsid w:val="006B7CB8"/>
    <w:rsid w:val="006C08D9"/>
    <w:rsid w:val="006C1AFA"/>
    <w:rsid w:val="006C2D33"/>
    <w:rsid w:val="006C3201"/>
    <w:rsid w:val="006C33D0"/>
    <w:rsid w:val="006C3B2C"/>
    <w:rsid w:val="006C431F"/>
    <w:rsid w:val="006C4C3A"/>
    <w:rsid w:val="006C4DEA"/>
    <w:rsid w:val="006D1871"/>
    <w:rsid w:val="006D2068"/>
    <w:rsid w:val="006D28B3"/>
    <w:rsid w:val="006D2AC7"/>
    <w:rsid w:val="006D2E20"/>
    <w:rsid w:val="006D4553"/>
    <w:rsid w:val="006D4E31"/>
    <w:rsid w:val="006D4E3F"/>
    <w:rsid w:val="006D4EB3"/>
    <w:rsid w:val="006D668E"/>
    <w:rsid w:val="006E1599"/>
    <w:rsid w:val="006E1C54"/>
    <w:rsid w:val="006E2E24"/>
    <w:rsid w:val="006E35C5"/>
    <w:rsid w:val="006E572C"/>
    <w:rsid w:val="006E5DFF"/>
    <w:rsid w:val="006E7310"/>
    <w:rsid w:val="006E7514"/>
    <w:rsid w:val="006E7E48"/>
    <w:rsid w:val="006F1D44"/>
    <w:rsid w:val="006F2003"/>
    <w:rsid w:val="006F2F28"/>
    <w:rsid w:val="006F3058"/>
    <w:rsid w:val="006F4A24"/>
    <w:rsid w:val="006F551B"/>
    <w:rsid w:val="006F673A"/>
    <w:rsid w:val="006F70DB"/>
    <w:rsid w:val="006F74C2"/>
    <w:rsid w:val="0070097B"/>
    <w:rsid w:val="00700B3E"/>
    <w:rsid w:val="007010DD"/>
    <w:rsid w:val="00702284"/>
    <w:rsid w:val="00702919"/>
    <w:rsid w:val="00702E56"/>
    <w:rsid w:val="00707453"/>
    <w:rsid w:val="007077A6"/>
    <w:rsid w:val="00707CB5"/>
    <w:rsid w:val="007103C4"/>
    <w:rsid w:val="00710F95"/>
    <w:rsid w:val="007111EB"/>
    <w:rsid w:val="0071157E"/>
    <w:rsid w:val="00711CCB"/>
    <w:rsid w:val="00713D60"/>
    <w:rsid w:val="0071433B"/>
    <w:rsid w:val="00714CD3"/>
    <w:rsid w:val="007152BC"/>
    <w:rsid w:val="00715609"/>
    <w:rsid w:val="00715627"/>
    <w:rsid w:val="00716C00"/>
    <w:rsid w:val="007203B6"/>
    <w:rsid w:val="00720569"/>
    <w:rsid w:val="0072101F"/>
    <w:rsid w:val="0072110F"/>
    <w:rsid w:val="007227CD"/>
    <w:rsid w:val="00723C49"/>
    <w:rsid w:val="00723C7D"/>
    <w:rsid w:val="00723D66"/>
    <w:rsid w:val="0072446A"/>
    <w:rsid w:val="00726061"/>
    <w:rsid w:val="0072622D"/>
    <w:rsid w:val="007262EE"/>
    <w:rsid w:val="007265B4"/>
    <w:rsid w:val="007266FB"/>
    <w:rsid w:val="0072680D"/>
    <w:rsid w:val="00727A03"/>
    <w:rsid w:val="00730D62"/>
    <w:rsid w:val="00731FA4"/>
    <w:rsid w:val="00732640"/>
    <w:rsid w:val="007326DB"/>
    <w:rsid w:val="00732B20"/>
    <w:rsid w:val="007330B0"/>
    <w:rsid w:val="0073314A"/>
    <w:rsid w:val="00733C71"/>
    <w:rsid w:val="00734025"/>
    <w:rsid w:val="00734145"/>
    <w:rsid w:val="00734648"/>
    <w:rsid w:val="007359C7"/>
    <w:rsid w:val="00735BA9"/>
    <w:rsid w:val="007365EC"/>
    <w:rsid w:val="00737409"/>
    <w:rsid w:val="0074022E"/>
    <w:rsid w:val="0074151D"/>
    <w:rsid w:val="00741F61"/>
    <w:rsid w:val="00741F8E"/>
    <w:rsid w:val="00742362"/>
    <w:rsid w:val="00742B0A"/>
    <w:rsid w:val="00744361"/>
    <w:rsid w:val="007443F0"/>
    <w:rsid w:val="007446FD"/>
    <w:rsid w:val="007447CF"/>
    <w:rsid w:val="00744F22"/>
    <w:rsid w:val="0074520B"/>
    <w:rsid w:val="0074562E"/>
    <w:rsid w:val="007456D8"/>
    <w:rsid w:val="007457A3"/>
    <w:rsid w:val="00745CC5"/>
    <w:rsid w:val="00745CFB"/>
    <w:rsid w:val="0074617C"/>
    <w:rsid w:val="00746FA5"/>
    <w:rsid w:val="007477F1"/>
    <w:rsid w:val="00747831"/>
    <w:rsid w:val="00750145"/>
    <w:rsid w:val="0075054C"/>
    <w:rsid w:val="007506C7"/>
    <w:rsid w:val="00750F9A"/>
    <w:rsid w:val="00750FD8"/>
    <w:rsid w:val="00751D2D"/>
    <w:rsid w:val="007530F1"/>
    <w:rsid w:val="00753744"/>
    <w:rsid w:val="00753D06"/>
    <w:rsid w:val="00754612"/>
    <w:rsid w:val="007556BD"/>
    <w:rsid w:val="00755CE0"/>
    <w:rsid w:val="00755CF3"/>
    <w:rsid w:val="007568FD"/>
    <w:rsid w:val="00756D4F"/>
    <w:rsid w:val="0075760C"/>
    <w:rsid w:val="0076142B"/>
    <w:rsid w:val="00761531"/>
    <w:rsid w:val="007619AC"/>
    <w:rsid w:val="00762036"/>
    <w:rsid w:val="00762F95"/>
    <w:rsid w:val="007642FE"/>
    <w:rsid w:val="00764FA0"/>
    <w:rsid w:val="00764FEE"/>
    <w:rsid w:val="00765E60"/>
    <w:rsid w:val="00767505"/>
    <w:rsid w:val="0076785E"/>
    <w:rsid w:val="00767E0B"/>
    <w:rsid w:val="00767E39"/>
    <w:rsid w:val="007716D4"/>
    <w:rsid w:val="007718E2"/>
    <w:rsid w:val="0077200C"/>
    <w:rsid w:val="0077285B"/>
    <w:rsid w:val="007739CA"/>
    <w:rsid w:val="00773B86"/>
    <w:rsid w:val="00773D79"/>
    <w:rsid w:val="00774171"/>
    <w:rsid w:val="0077689F"/>
    <w:rsid w:val="00777323"/>
    <w:rsid w:val="007775AA"/>
    <w:rsid w:val="00780919"/>
    <w:rsid w:val="00780C76"/>
    <w:rsid w:val="00781FA2"/>
    <w:rsid w:val="007826A0"/>
    <w:rsid w:val="0078338E"/>
    <w:rsid w:val="007837F8"/>
    <w:rsid w:val="00783D3D"/>
    <w:rsid w:val="007845B2"/>
    <w:rsid w:val="00784734"/>
    <w:rsid w:val="00784AA5"/>
    <w:rsid w:val="00784CB1"/>
    <w:rsid w:val="00784D8C"/>
    <w:rsid w:val="00784F0B"/>
    <w:rsid w:val="007869A4"/>
    <w:rsid w:val="0078738D"/>
    <w:rsid w:val="007903E4"/>
    <w:rsid w:val="0079054C"/>
    <w:rsid w:val="00790589"/>
    <w:rsid w:val="007908CB"/>
    <w:rsid w:val="007912A1"/>
    <w:rsid w:val="00791ADE"/>
    <w:rsid w:val="00791FD7"/>
    <w:rsid w:val="00792497"/>
    <w:rsid w:val="0079250A"/>
    <w:rsid w:val="00793C4F"/>
    <w:rsid w:val="007947C5"/>
    <w:rsid w:val="00794CC6"/>
    <w:rsid w:val="00794F7F"/>
    <w:rsid w:val="00795245"/>
    <w:rsid w:val="00795432"/>
    <w:rsid w:val="007955D6"/>
    <w:rsid w:val="00795830"/>
    <w:rsid w:val="00795CCD"/>
    <w:rsid w:val="007960EF"/>
    <w:rsid w:val="0079695A"/>
    <w:rsid w:val="00796A9F"/>
    <w:rsid w:val="00797849"/>
    <w:rsid w:val="007A0770"/>
    <w:rsid w:val="007A0AB6"/>
    <w:rsid w:val="007A0B5E"/>
    <w:rsid w:val="007A0D1E"/>
    <w:rsid w:val="007A0DA4"/>
    <w:rsid w:val="007A0F78"/>
    <w:rsid w:val="007A18D6"/>
    <w:rsid w:val="007A1B14"/>
    <w:rsid w:val="007A20CB"/>
    <w:rsid w:val="007A238D"/>
    <w:rsid w:val="007A2806"/>
    <w:rsid w:val="007A2CEF"/>
    <w:rsid w:val="007A33AB"/>
    <w:rsid w:val="007A39B2"/>
    <w:rsid w:val="007A3DA8"/>
    <w:rsid w:val="007A4D8C"/>
    <w:rsid w:val="007A5719"/>
    <w:rsid w:val="007A5E2B"/>
    <w:rsid w:val="007A5E7E"/>
    <w:rsid w:val="007A6EE3"/>
    <w:rsid w:val="007A7893"/>
    <w:rsid w:val="007A79B5"/>
    <w:rsid w:val="007A7DCE"/>
    <w:rsid w:val="007B058B"/>
    <w:rsid w:val="007B2379"/>
    <w:rsid w:val="007B27E1"/>
    <w:rsid w:val="007B3BE1"/>
    <w:rsid w:val="007B46F2"/>
    <w:rsid w:val="007B4F0A"/>
    <w:rsid w:val="007B56BE"/>
    <w:rsid w:val="007B618C"/>
    <w:rsid w:val="007B6371"/>
    <w:rsid w:val="007B65BF"/>
    <w:rsid w:val="007B6ABB"/>
    <w:rsid w:val="007B6AE5"/>
    <w:rsid w:val="007B6F8D"/>
    <w:rsid w:val="007B799A"/>
    <w:rsid w:val="007B7CBA"/>
    <w:rsid w:val="007C0123"/>
    <w:rsid w:val="007C0E56"/>
    <w:rsid w:val="007C1154"/>
    <w:rsid w:val="007C118D"/>
    <w:rsid w:val="007C13A4"/>
    <w:rsid w:val="007C2184"/>
    <w:rsid w:val="007C23C3"/>
    <w:rsid w:val="007C311A"/>
    <w:rsid w:val="007C39B6"/>
    <w:rsid w:val="007C4098"/>
    <w:rsid w:val="007C43B1"/>
    <w:rsid w:val="007C56E3"/>
    <w:rsid w:val="007C5EDB"/>
    <w:rsid w:val="007C6AFC"/>
    <w:rsid w:val="007C76C8"/>
    <w:rsid w:val="007C796E"/>
    <w:rsid w:val="007C7C6C"/>
    <w:rsid w:val="007D064C"/>
    <w:rsid w:val="007D094B"/>
    <w:rsid w:val="007D0C8A"/>
    <w:rsid w:val="007D1C11"/>
    <w:rsid w:val="007D221A"/>
    <w:rsid w:val="007D36F5"/>
    <w:rsid w:val="007D4749"/>
    <w:rsid w:val="007D4E67"/>
    <w:rsid w:val="007D63A4"/>
    <w:rsid w:val="007D645B"/>
    <w:rsid w:val="007D757F"/>
    <w:rsid w:val="007D77AB"/>
    <w:rsid w:val="007D791B"/>
    <w:rsid w:val="007E128E"/>
    <w:rsid w:val="007E2D17"/>
    <w:rsid w:val="007E3385"/>
    <w:rsid w:val="007E5012"/>
    <w:rsid w:val="007E60AD"/>
    <w:rsid w:val="007E733C"/>
    <w:rsid w:val="007E74AE"/>
    <w:rsid w:val="007E7C46"/>
    <w:rsid w:val="007F003E"/>
    <w:rsid w:val="007F0688"/>
    <w:rsid w:val="007F07C4"/>
    <w:rsid w:val="007F1B77"/>
    <w:rsid w:val="007F298F"/>
    <w:rsid w:val="007F373F"/>
    <w:rsid w:val="007F3BFA"/>
    <w:rsid w:val="007F54B9"/>
    <w:rsid w:val="007F6A67"/>
    <w:rsid w:val="007F7674"/>
    <w:rsid w:val="0080089F"/>
    <w:rsid w:val="0080176B"/>
    <w:rsid w:val="008017FC"/>
    <w:rsid w:val="00801B5D"/>
    <w:rsid w:val="00803648"/>
    <w:rsid w:val="0080414A"/>
    <w:rsid w:val="00805373"/>
    <w:rsid w:val="00806F88"/>
    <w:rsid w:val="008077DC"/>
    <w:rsid w:val="00810723"/>
    <w:rsid w:val="0081093C"/>
    <w:rsid w:val="00812242"/>
    <w:rsid w:val="00812F3F"/>
    <w:rsid w:val="00813206"/>
    <w:rsid w:val="00813369"/>
    <w:rsid w:val="00813E07"/>
    <w:rsid w:val="008147F9"/>
    <w:rsid w:val="0081533B"/>
    <w:rsid w:val="0081691B"/>
    <w:rsid w:val="0081720E"/>
    <w:rsid w:val="00820145"/>
    <w:rsid w:val="00820736"/>
    <w:rsid w:val="0082087D"/>
    <w:rsid w:val="00820C8D"/>
    <w:rsid w:val="00820E78"/>
    <w:rsid w:val="008210AF"/>
    <w:rsid w:val="008217AC"/>
    <w:rsid w:val="008220F3"/>
    <w:rsid w:val="00822398"/>
    <w:rsid w:val="0082359A"/>
    <w:rsid w:val="00824061"/>
    <w:rsid w:val="00824826"/>
    <w:rsid w:val="00827051"/>
    <w:rsid w:val="008309A9"/>
    <w:rsid w:val="00830A58"/>
    <w:rsid w:val="008311FF"/>
    <w:rsid w:val="008316FE"/>
    <w:rsid w:val="00833C77"/>
    <w:rsid w:val="00833D95"/>
    <w:rsid w:val="00833FF4"/>
    <w:rsid w:val="00834064"/>
    <w:rsid w:val="0083543D"/>
    <w:rsid w:val="008356A9"/>
    <w:rsid w:val="00835CAB"/>
    <w:rsid w:val="00835D7D"/>
    <w:rsid w:val="0083699E"/>
    <w:rsid w:val="00840341"/>
    <w:rsid w:val="00841323"/>
    <w:rsid w:val="00841FCF"/>
    <w:rsid w:val="00842BD6"/>
    <w:rsid w:val="008432F1"/>
    <w:rsid w:val="00843AF9"/>
    <w:rsid w:val="00843B4A"/>
    <w:rsid w:val="008444D4"/>
    <w:rsid w:val="0084573A"/>
    <w:rsid w:val="00845CBA"/>
    <w:rsid w:val="00845E3C"/>
    <w:rsid w:val="00845F30"/>
    <w:rsid w:val="00845FAA"/>
    <w:rsid w:val="008460D6"/>
    <w:rsid w:val="00846D5A"/>
    <w:rsid w:val="00847217"/>
    <w:rsid w:val="00847458"/>
    <w:rsid w:val="0084752E"/>
    <w:rsid w:val="00847539"/>
    <w:rsid w:val="00850878"/>
    <w:rsid w:val="008510BF"/>
    <w:rsid w:val="008512D3"/>
    <w:rsid w:val="00851E24"/>
    <w:rsid w:val="008528D7"/>
    <w:rsid w:val="00852CAB"/>
    <w:rsid w:val="00852CB2"/>
    <w:rsid w:val="00855AC8"/>
    <w:rsid w:val="00856B55"/>
    <w:rsid w:val="00860519"/>
    <w:rsid w:val="00860A4A"/>
    <w:rsid w:val="00861149"/>
    <w:rsid w:val="00861407"/>
    <w:rsid w:val="008617EE"/>
    <w:rsid w:val="00861D64"/>
    <w:rsid w:val="00862070"/>
    <w:rsid w:val="00862635"/>
    <w:rsid w:val="00862784"/>
    <w:rsid w:val="00862AF5"/>
    <w:rsid w:val="00862FFE"/>
    <w:rsid w:val="00863383"/>
    <w:rsid w:val="008633DD"/>
    <w:rsid w:val="00863E58"/>
    <w:rsid w:val="0086668C"/>
    <w:rsid w:val="00866BAE"/>
    <w:rsid w:val="00866F19"/>
    <w:rsid w:val="008673E6"/>
    <w:rsid w:val="00867AC6"/>
    <w:rsid w:val="008702A7"/>
    <w:rsid w:val="008705CA"/>
    <w:rsid w:val="008707B4"/>
    <w:rsid w:val="00870E9C"/>
    <w:rsid w:val="0087143E"/>
    <w:rsid w:val="00871775"/>
    <w:rsid w:val="0087246F"/>
    <w:rsid w:val="0087270C"/>
    <w:rsid w:val="00873BD2"/>
    <w:rsid w:val="008743F5"/>
    <w:rsid w:val="008758B1"/>
    <w:rsid w:val="00875DEA"/>
    <w:rsid w:val="00875E0A"/>
    <w:rsid w:val="008760BE"/>
    <w:rsid w:val="008760E0"/>
    <w:rsid w:val="008766DC"/>
    <w:rsid w:val="0087799C"/>
    <w:rsid w:val="00880064"/>
    <w:rsid w:val="008805F4"/>
    <w:rsid w:val="008808A4"/>
    <w:rsid w:val="0088153C"/>
    <w:rsid w:val="0088199A"/>
    <w:rsid w:val="00882035"/>
    <w:rsid w:val="00883538"/>
    <w:rsid w:val="0088406E"/>
    <w:rsid w:val="008853D3"/>
    <w:rsid w:val="00885AB3"/>
    <w:rsid w:val="00885B50"/>
    <w:rsid w:val="00885D51"/>
    <w:rsid w:val="008871C4"/>
    <w:rsid w:val="00887E25"/>
    <w:rsid w:val="00887EAA"/>
    <w:rsid w:val="0089010A"/>
    <w:rsid w:val="00890471"/>
    <w:rsid w:val="00890B64"/>
    <w:rsid w:val="00891D75"/>
    <w:rsid w:val="00891FC3"/>
    <w:rsid w:val="00892D0E"/>
    <w:rsid w:val="0089316C"/>
    <w:rsid w:val="008931B9"/>
    <w:rsid w:val="0089382F"/>
    <w:rsid w:val="008945BF"/>
    <w:rsid w:val="008954DC"/>
    <w:rsid w:val="008957DB"/>
    <w:rsid w:val="00895FC1"/>
    <w:rsid w:val="00896179"/>
    <w:rsid w:val="008964E7"/>
    <w:rsid w:val="00897C8D"/>
    <w:rsid w:val="008A0094"/>
    <w:rsid w:val="008A0848"/>
    <w:rsid w:val="008A19A5"/>
    <w:rsid w:val="008A1FAE"/>
    <w:rsid w:val="008A3182"/>
    <w:rsid w:val="008A32CE"/>
    <w:rsid w:val="008A49FB"/>
    <w:rsid w:val="008A4FA3"/>
    <w:rsid w:val="008A50C2"/>
    <w:rsid w:val="008A50EB"/>
    <w:rsid w:val="008A54C9"/>
    <w:rsid w:val="008A56D7"/>
    <w:rsid w:val="008A576C"/>
    <w:rsid w:val="008A6010"/>
    <w:rsid w:val="008A61FA"/>
    <w:rsid w:val="008A661D"/>
    <w:rsid w:val="008A6C48"/>
    <w:rsid w:val="008A74FB"/>
    <w:rsid w:val="008A7678"/>
    <w:rsid w:val="008A7ADA"/>
    <w:rsid w:val="008A7E98"/>
    <w:rsid w:val="008B1E49"/>
    <w:rsid w:val="008B2E91"/>
    <w:rsid w:val="008B3434"/>
    <w:rsid w:val="008B3940"/>
    <w:rsid w:val="008B39F1"/>
    <w:rsid w:val="008B5694"/>
    <w:rsid w:val="008B5C01"/>
    <w:rsid w:val="008B6184"/>
    <w:rsid w:val="008B6AD3"/>
    <w:rsid w:val="008B6B74"/>
    <w:rsid w:val="008B6DFA"/>
    <w:rsid w:val="008B7750"/>
    <w:rsid w:val="008B79A4"/>
    <w:rsid w:val="008C0C2D"/>
    <w:rsid w:val="008C0D3F"/>
    <w:rsid w:val="008C1E2F"/>
    <w:rsid w:val="008C23C3"/>
    <w:rsid w:val="008C2769"/>
    <w:rsid w:val="008C2C29"/>
    <w:rsid w:val="008C3156"/>
    <w:rsid w:val="008C3C98"/>
    <w:rsid w:val="008C3FA2"/>
    <w:rsid w:val="008C4021"/>
    <w:rsid w:val="008C544A"/>
    <w:rsid w:val="008C620E"/>
    <w:rsid w:val="008C697D"/>
    <w:rsid w:val="008C6E34"/>
    <w:rsid w:val="008C7018"/>
    <w:rsid w:val="008C7189"/>
    <w:rsid w:val="008C7685"/>
    <w:rsid w:val="008C7A6F"/>
    <w:rsid w:val="008D0247"/>
    <w:rsid w:val="008D2995"/>
    <w:rsid w:val="008D2A34"/>
    <w:rsid w:val="008D3318"/>
    <w:rsid w:val="008D3F18"/>
    <w:rsid w:val="008D3F2B"/>
    <w:rsid w:val="008D4718"/>
    <w:rsid w:val="008D5228"/>
    <w:rsid w:val="008D54D0"/>
    <w:rsid w:val="008D5DF2"/>
    <w:rsid w:val="008D5EA3"/>
    <w:rsid w:val="008D7C04"/>
    <w:rsid w:val="008E127B"/>
    <w:rsid w:val="008E1728"/>
    <w:rsid w:val="008E1E1D"/>
    <w:rsid w:val="008E2871"/>
    <w:rsid w:val="008E30B0"/>
    <w:rsid w:val="008E3750"/>
    <w:rsid w:val="008E3F7D"/>
    <w:rsid w:val="008E3FCE"/>
    <w:rsid w:val="008E47DF"/>
    <w:rsid w:val="008E4AA6"/>
    <w:rsid w:val="008E51B1"/>
    <w:rsid w:val="008E61AA"/>
    <w:rsid w:val="008E622E"/>
    <w:rsid w:val="008E76BF"/>
    <w:rsid w:val="008E7836"/>
    <w:rsid w:val="008E7A79"/>
    <w:rsid w:val="008F0320"/>
    <w:rsid w:val="008F074A"/>
    <w:rsid w:val="008F0D13"/>
    <w:rsid w:val="008F1D5A"/>
    <w:rsid w:val="008F28E3"/>
    <w:rsid w:val="008F2977"/>
    <w:rsid w:val="008F2CAD"/>
    <w:rsid w:val="008F2F5D"/>
    <w:rsid w:val="008F3950"/>
    <w:rsid w:val="008F3D92"/>
    <w:rsid w:val="008F4070"/>
    <w:rsid w:val="008F4DC2"/>
    <w:rsid w:val="008F5036"/>
    <w:rsid w:val="008F522F"/>
    <w:rsid w:val="008F54E2"/>
    <w:rsid w:val="008F5923"/>
    <w:rsid w:val="008F5CD7"/>
    <w:rsid w:val="008F712C"/>
    <w:rsid w:val="008F7E59"/>
    <w:rsid w:val="00900A95"/>
    <w:rsid w:val="00900C9B"/>
    <w:rsid w:val="0090203A"/>
    <w:rsid w:val="009020AC"/>
    <w:rsid w:val="0090275C"/>
    <w:rsid w:val="0090324C"/>
    <w:rsid w:val="00903541"/>
    <w:rsid w:val="00903F92"/>
    <w:rsid w:val="009047B2"/>
    <w:rsid w:val="00905116"/>
    <w:rsid w:val="00907403"/>
    <w:rsid w:val="0090795B"/>
    <w:rsid w:val="00907F56"/>
    <w:rsid w:val="009111B9"/>
    <w:rsid w:val="00911231"/>
    <w:rsid w:val="009119FA"/>
    <w:rsid w:val="00913097"/>
    <w:rsid w:val="00913E8D"/>
    <w:rsid w:val="009164D3"/>
    <w:rsid w:val="00916B8A"/>
    <w:rsid w:val="009173DB"/>
    <w:rsid w:val="00920B72"/>
    <w:rsid w:val="00922C9B"/>
    <w:rsid w:val="009247F0"/>
    <w:rsid w:val="00924A54"/>
    <w:rsid w:val="00926760"/>
    <w:rsid w:val="00926A6C"/>
    <w:rsid w:val="00926BF1"/>
    <w:rsid w:val="009275EC"/>
    <w:rsid w:val="009278D6"/>
    <w:rsid w:val="00927F23"/>
    <w:rsid w:val="00927F50"/>
    <w:rsid w:val="00930380"/>
    <w:rsid w:val="009303A3"/>
    <w:rsid w:val="00930A3D"/>
    <w:rsid w:val="00930BE0"/>
    <w:rsid w:val="009325A8"/>
    <w:rsid w:val="009332DE"/>
    <w:rsid w:val="00933503"/>
    <w:rsid w:val="00933859"/>
    <w:rsid w:val="009355AF"/>
    <w:rsid w:val="009363AD"/>
    <w:rsid w:val="00936BE7"/>
    <w:rsid w:val="00937700"/>
    <w:rsid w:val="00937AD0"/>
    <w:rsid w:val="00937DDC"/>
    <w:rsid w:val="00941290"/>
    <w:rsid w:val="0094176F"/>
    <w:rsid w:val="00941975"/>
    <w:rsid w:val="00941A63"/>
    <w:rsid w:val="00942219"/>
    <w:rsid w:val="009429C6"/>
    <w:rsid w:val="00943A5A"/>
    <w:rsid w:val="00943D2B"/>
    <w:rsid w:val="009444E6"/>
    <w:rsid w:val="009449F7"/>
    <w:rsid w:val="0094592B"/>
    <w:rsid w:val="00945F75"/>
    <w:rsid w:val="009469E3"/>
    <w:rsid w:val="009500BB"/>
    <w:rsid w:val="0095047D"/>
    <w:rsid w:val="00950738"/>
    <w:rsid w:val="0095080D"/>
    <w:rsid w:val="00950B6C"/>
    <w:rsid w:val="00950BA8"/>
    <w:rsid w:val="0095101A"/>
    <w:rsid w:val="00951362"/>
    <w:rsid w:val="009514DE"/>
    <w:rsid w:val="009515E5"/>
    <w:rsid w:val="00951EC9"/>
    <w:rsid w:val="00953698"/>
    <w:rsid w:val="00953F52"/>
    <w:rsid w:val="00953FA4"/>
    <w:rsid w:val="00954E12"/>
    <w:rsid w:val="009555D0"/>
    <w:rsid w:val="009555E0"/>
    <w:rsid w:val="009569DB"/>
    <w:rsid w:val="009570DA"/>
    <w:rsid w:val="00957162"/>
    <w:rsid w:val="00957688"/>
    <w:rsid w:val="00960238"/>
    <w:rsid w:val="0096040F"/>
    <w:rsid w:val="00960537"/>
    <w:rsid w:val="0096075A"/>
    <w:rsid w:val="00960867"/>
    <w:rsid w:val="00961FB3"/>
    <w:rsid w:val="0096219A"/>
    <w:rsid w:val="0096247C"/>
    <w:rsid w:val="009631CC"/>
    <w:rsid w:val="009639B2"/>
    <w:rsid w:val="0096455C"/>
    <w:rsid w:val="00964A35"/>
    <w:rsid w:val="00964AF4"/>
    <w:rsid w:val="0096610B"/>
    <w:rsid w:val="0096638A"/>
    <w:rsid w:val="00966437"/>
    <w:rsid w:val="00966D40"/>
    <w:rsid w:val="00966D75"/>
    <w:rsid w:val="00967094"/>
    <w:rsid w:val="009678EF"/>
    <w:rsid w:val="00967B89"/>
    <w:rsid w:val="009709A0"/>
    <w:rsid w:val="00970DB3"/>
    <w:rsid w:val="00971675"/>
    <w:rsid w:val="00971BC1"/>
    <w:rsid w:val="00971F41"/>
    <w:rsid w:val="0097357D"/>
    <w:rsid w:val="00973B57"/>
    <w:rsid w:val="00973DCB"/>
    <w:rsid w:val="00974F42"/>
    <w:rsid w:val="009758B6"/>
    <w:rsid w:val="00975FCA"/>
    <w:rsid w:val="00976250"/>
    <w:rsid w:val="0097640C"/>
    <w:rsid w:val="00976E5D"/>
    <w:rsid w:val="00977356"/>
    <w:rsid w:val="009774B8"/>
    <w:rsid w:val="00977C37"/>
    <w:rsid w:val="00980908"/>
    <w:rsid w:val="009809B2"/>
    <w:rsid w:val="0098140B"/>
    <w:rsid w:val="009822B8"/>
    <w:rsid w:val="00982B43"/>
    <w:rsid w:val="00982E42"/>
    <w:rsid w:val="00983BBC"/>
    <w:rsid w:val="00985ED0"/>
    <w:rsid w:val="00985F8A"/>
    <w:rsid w:val="00986DE7"/>
    <w:rsid w:val="0098734B"/>
    <w:rsid w:val="009912AB"/>
    <w:rsid w:val="00991A09"/>
    <w:rsid w:val="00991D08"/>
    <w:rsid w:val="0099208C"/>
    <w:rsid w:val="009925EE"/>
    <w:rsid w:val="009932C5"/>
    <w:rsid w:val="009935F2"/>
    <w:rsid w:val="00994681"/>
    <w:rsid w:val="00994FBC"/>
    <w:rsid w:val="009958AC"/>
    <w:rsid w:val="0099622E"/>
    <w:rsid w:val="00996550"/>
    <w:rsid w:val="0099676F"/>
    <w:rsid w:val="00996D70"/>
    <w:rsid w:val="00997078"/>
    <w:rsid w:val="00997483"/>
    <w:rsid w:val="0099750A"/>
    <w:rsid w:val="00997EBA"/>
    <w:rsid w:val="009A0558"/>
    <w:rsid w:val="009A174B"/>
    <w:rsid w:val="009A20F7"/>
    <w:rsid w:val="009A2C74"/>
    <w:rsid w:val="009A3092"/>
    <w:rsid w:val="009A30DE"/>
    <w:rsid w:val="009A31B2"/>
    <w:rsid w:val="009A325F"/>
    <w:rsid w:val="009A3341"/>
    <w:rsid w:val="009A3B61"/>
    <w:rsid w:val="009A45D2"/>
    <w:rsid w:val="009A4608"/>
    <w:rsid w:val="009A4638"/>
    <w:rsid w:val="009A46F1"/>
    <w:rsid w:val="009A5191"/>
    <w:rsid w:val="009A540D"/>
    <w:rsid w:val="009A5786"/>
    <w:rsid w:val="009A5AF4"/>
    <w:rsid w:val="009A5C77"/>
    <w:rsid w:val="009A6212"/>
    <w:rsid w:val="009A6A37"/>
    <w:rsid w:val="009B14C2"/>
    <w:rsid w:val="009B17AF"/>
    <w:rsid w:val="009B1B57"/>
    <w:rsid w:val="009B2586"/>
    <w:rsid w:val="009B2818"/>
    <w:rsid w:val="009B2AB4"/>
    <w:rsid w:val="009B35AA"/>
    <w:rsid w:val="009B3CDA"/>
    <w:rsid w:val="009B3E05"/>
    <w:rsid w:val="009B4700"/>
    <w:rsid w:val="009B4B9E"/>
    <w:rsid w:val="009B6F49"/>
    <w:rsid w:val="009B7939"/>
    <w:rsid w:val="009C0C62"/>
    <w:rsid w:val="009C0FA8"/>
    <w:rsid w:val="009C164C"/>
    <w:rsid w:val="009C18A9"/>
    <w:rsid w:val="009C1B41"/>
    <w:rsid w:val="009C2387"/>
    <w:rsid w:val="009C2F3D"/>
    <w:rsid w:val="009C30B5"/>
    <w:rsid w:val="009C387E"/>
    <w:rsid w:val="009C3AC0"/>
    <w:rsid w:val="009C4C97"/>
    <w:rsid w:val="009C4E25"/>
    <w:rsid w:val="009C69CD"/>
    <w:rsid w:val="009C7084"/>
    <w:rsid w:val="009C757B"/>
    <w:rsid w:val="009C769C"/>
    <w:rsid w:val="009C7B7E"/>
    <w:rsid w:val="009D00BB"/>
    <w:rsid w:val="009D0770"/>
    <w:rsid w:val="009D1A57"/>
    <w:rsid w:val="009D3565"/>
    <w:rsid w:val="009D37A1"/>
    <w:rsid w:val="009D392B"/>
    <w:rsid w:val="009D456A"/>
    <w:rsid w:val="009D4571"/>
    <w:rsid w:val="009D4952"/>
    <w:rsid w:val="009D5EEC"/>
    <w:rsid w:val="009D612C"/>
    <w:rsid w:val="009D6372"/>
    <w:rsid w:val="009D6D2B"/>
    <w:rsid w:val="009D784F"/>
    <w:rsid w:val="009E0AF5"/>
    <w:rsid w:val="009E0AF9"/>
    <w:rsid w:val="009E13CD"/>
    <w:rsid w:val="009E1447"/>
    <w:rsid w:val="009E1870"/>
    <w:rsid w:val="009E2EEF"/>
    <w:rsid w:val="009E3307"/>
    <w:rsid w:val="009E3AC4"/>
    <w:rsid w:val="009E60BE"/>
    <w:rsid w:val="009E7731"/>
    <w:rsid w:val="009F04C2"/>
    <w:rsid w:val="009F38F2"/>
    <w:rsid w:val="009F3F57"/>
    <w:rsid w:val="009F4B61"/>
    <w:rsid w:val="009F5DC4"/>
    <w:rsid w:val="009F5F0C"/>
    <w:rsid w:val="009F5F68"/>
    <w:rsid w:val="009F6DC9"/>
    <w:rsid w:val="009F7DB1"/>
    <w:rsid w:val="00A00960"/>
    <w:rsid w:val="00A011D8"/>
    <w:rsid w:val="00A01FC8"/>
    <w:rsid w:val="00A02A59"/>
    <w:rsid w:val="00A02C1E"/>
    <w:rsid w:val="00A02DC5"/>
    <w:rsid w:val="00A03A03"/>
    <w:rsid w:val="00A04A29"/>
    <w:rsid w:val="00A05CF6"/>
    <w:rsid w:val="00A10C29"/>
    <w:rsid w:val="00A110A6"/>
    <w:rsid w:val="00A11675"/>
    <w:rsid w:val="00A11CA3"/>
    <w:rsid w:val="00A12997"/>
    <w:rsid w:val="00A12C85"/>
    <w:rsid w:val="00A13438"/>
    <w:rsid w:val="00A13849"/>
    <w:rsid w:val="00A13CC3"/>
    <w:rsid w:val="00A14466"/>
    <w:rsid w:val="00A14C82"/>
    <w:rsid w:val="00A16410"/>
    <w:rsid w:val="00A169A5"/>
    <w:rsid w:val="00A17440"/>
    <w:rsid w:val="00A17D26"/>
    <w:rsid w:val="00A215CC"/>
    <w:rsid w:val="00A2384C"/>
    <w:rsid w:val="00A2466B"/>
    <w:rsid w:val="00A24D9A"/>
    <w:rsid w:val="00A25705"/>
    <w:rsid w:val="00A26D79"/>
    <w:rsid w:val="00A27EBF"/>
    <w:rsid w:val="00A300C2"/>
    <w:rsid w:val="00A30ABB"/>
    <w:rsid w:val="00A3114C"/>
    <w:rsid w:val="00A313CB"/>
    <w:rsid w:val="00A31E08"/>
    <w:rsid w:val="00A31FD8"/>
    <w:rsid w:val="00A332BC"/>
    <w:rsid w:val="00A33330"/>
    <w:rsid w:val="00A33A6C"/>
    <w:rsid w:val="00A33B37"/>
    <w:rsid w:val="00A34840"/>
    <w:rsid w:val="00A35FBA"/>
    <w:rsid w:val="00A3660F"/>
    <w:rsid w:val="00A36883"/>
    <w:rsid w:val="00A36AC5"/>
    <w:rsid w:val="00A3775B"/>
    <w:rsid w:val="00A40126"/>
    <w:rsid w:val="00A40A0F"/>
    <w:rsid w:val="00A41405"/>
    <w:rsid w:val="00A415F3"/>
    <w:rsid w:val="00A41A62"/>
    <w:rsid w:val="00A41B94"/>
    <w:rsid w:val="00A42464"/>
    <w:rsid w:val="00A42567"/>
    <w:rsid w:val="00A42B62"/>
    <w:rsid w:val="00A42CAF"/>
    <w:rsid w:val="00A44281"/>
    <w:rsid w:val="00A4474D"/>
    <w:rsid w:val="00A44C7E"/>
    <w:rsid w:val="00A45200"/>
    <w:rsid w:val="00A45487"/>
    <w:rsid w:val="00A45785"/>
    <w:rsid w:val="00A45E11"/>
    <w:rsid w:val="00A46625"/>
    <w:rsid w:val="00A4670B"/>
    <w:rsid w:val="00A46A0C"/>
    <w:rsid w:val="00A46CD9"/>
    <w:rsid w:val="00A47018"/>
    <w:rsid w:val="00A47585"/>
    <w:rsid w:val="00A506C4"/>
    <w:rsid w:val="00A50BC5"/>
    <w:rsid w:val="00A51AC9"/>
    <w:rsid w:val="00A521DE"/>
    <w:rsid w:val="00A52F8F"/>
    <w:rsid w:val="00A534CB"/>
    <w:rsid w:val="00A553B6"/>
    <w:rsid w:val="00A55E7C"/>
    <w:rsid w:val="00A56C2B"/>
    <w:rsid w:val="00A57308"/>
    <w:rsid w:val="00A57713"/>
    <w:rsid w:val="00A57762"/>
    <w:rsid w:val="00A60E5C"/>
    <w:rsid w:val="00A612C6"/>
    <w:rsid w:val="00A61C14"/>
    <w:rsid w:val="00A62E82"/>
    <w:rsid w:val="00A6318C"/>
    <w:rsid w:val="00A63D5B"/>
    <w:rsid w:val="00A646CD"/>
    <w:rsid w:val="00A64726"/>
    <w:rsid w:val="00A64820"/>
    <w:rsid w:val="00A65303"/>
    <w:rsid w:val="00A65F1C"/>
    <w:rsid w:val="00A6616E"/>
    <w:rsid w:val="00A66A62"/>
    <w:rsid w:val="00A66C5C"/>
    <w:rsid w:val="00A701B8"/>
    <w:rsid w:val="00A704F2"/>
    <w:rsid w:val="00A70A05"/>
    <w:rsid w:val="00A7115F"/>
    <w:rsid w:val="00A73A08"/>
    <w:rsid w:val="00A74951"/>
    <w:rsid w:val="00A74C55"/>
    <w:rsid w:val="00A7565A"/>
    <w:rsid w:val="00A758F1"/>
    <w:rsid w:val="00A75EC7"/>
    <w:rsid w:val="00A76783"/>
    <w:rsid w:val="00A76C58"/>
    <w:rsid w:val="00A77259"/>
    <w:rsid w:val="00A77BC1"/>
    <w:rsid w:val="00A77EF0"/>
    <w:rsid w:val="00A802C3"/>
    <w:rsid w:val="00A8052A"/>
    <w:rsid w:val="00A80DAA"/>
    <w:rsid w:val="00A82E9F"/>
    <w:rsid w:val="00A8314E"/>
    <w:rsid w:val="00A837C7"/>
    <w:rsid w:val="00A83853"/>
    <w:rsid w:val="00A850B6"/>
    <w:rsid w:val="00A85809"/>
    <w:rsid w:val="00A859AD"/>
    <w:rsid w:val="00A85B51"/>
    <w:rsid w:val="00A86399"/>
    <w:rsid w:val="00A879CE"/>
    <w:rsid w:val="00A87A50"/>
    <w:rsid w:val="00A90A2B"/>
    <w:rsid w:val="00A9181E"/>
    <w:rsid w:val="00A92F95"/>
    <w:rsid w:val="00A930B2"/>
    <w:rsid w:val="00A94B26"/>
    <w:rsid w:val="00A962F7"/>
    <w:rsid w:val="00AA0D6C"/>
    <w:rsid w:val="00AA1234"/>
    <w:rsid w:val="00AA3E48"/>
    <w:rsid w:val="00AA44EE"/>
    <w:rsid w:val="00AA655D"/>
    <w:rsid w:val="00AA66BB"/>
    <w:rsid w:val="00AA6A50"/>
    <w:rsid w:val="00AB12DF"/>
    <w:rsid w:val="00AB15A9"/>
    <w:rsid w:val="00AB2070"/>
    <w:rsid w:val="00AB2398"/>
    <w:rsid w:val="00AB32E7"/>
    <w:rsid w:val="00AB3E28"/>
    <w:rsid w:val="00AB3E9C"/>
    <w:rsid w:val="00AB4120"/>
    <w:rsid w:val="00AB463B"/>
    <w:rsid w:val="00AB5007"/>
    <w:rsid w:val="00AB6F13"/>
    <w:rsid w:val="00AB7456"/>
    <w:rsid w:val="00AB784D"/>
    <w:rsid w:val="00AB7916"/>
    <w:rsid w:val="00AC1776"/>
    <w:rsid w:val="00AC1E0B"/>
    <w:rsid w:val="00AC1EF9"/>
    <w:rsid w:val="00AC4B33"/>
    <w:rsid w:val="00AC50D3"/>
    <w:rsid w:val="00AC5341"/>
    <w:rsid w:val="00AC63C1"/>
    <w:rsid w:val="00AC656E"/>
    <w:rsid w:val="00AC79FC"/>
    <w:rsid w:val="00AD004D"/>
    <w:rsid w:val="00AD0063"/>
    <w:rsid w:val="00AD01AF"/>
    <w:rsid w:val="00AD0407"/>
    <w:rsid w:val="00AD0409"/>
    <w:rsid w:val="00AD09CE"/>
    <w:rsid w:val="00AD1067"/>
    <w:rsid w:val="00AD17D8"/>
    <w:rsid w:val="00AD1B98"/>
    <w:rsid w:val="00AD47B4"/>
    <w:rsid w:val="00AD489D"/>
    <w:rsid w:val="00AD5510"/>
    <w:rsid w:val="00AD5740"/>
    <w:rsid w:val="00AD67E2"/>
    <w:rsid w:val="00AD698F"/>
    <w:rsid w:val="00AD69ED"/>
    <w:rsid w:val="00AD6AC2"/>
    <w:rsid w:val="00AD7129"/>
    <w:rsid w:val="00AD7B4C"/>
    <w:rsid w:val="00AE1320"/>
    <w:rsid w:val="00AE1E12"/>
    <w:rsid w:val="00AE3996"/>
    <w:rsid w:val="00AE42D1"/>
    <w:rsid w:val="00AE46E8"/>
    <w:rsid w:val="00AE4F8A"/>
    <w:rsid w:val="00AE593E"/>
    <w:rsid w:val="00AE5A47"/>
    <w:rsid w:val="00AE5B65"/>
    <w:rsid w:val="00AE6B98"/>
    <w:rsid w:val="00AE74D3"/>
    <w:rsid w:val="00AE7B7E"/>
    <w:rsid w:val="00AF0496"/>
    <w:rsid w:val="00AF0EAE"/>
    <w:rsid w:val="00AF0F58"/>
    <w:rsid w:val="00AF1AAC"/>
    <w:rsid w:val="00AF1BDB"/>
    <w:rsid w:val="00AF1FB9"/>
    <w:rsid w:val="00AF22A8"/>
    <w:rsid w:val="00AF32B1"/>
    <w:rsid w:val="00AF3987"/>
    <w:rsid w:val="00AF3C12"/>
    <w:rsid w:val="00AF54A5"/>
    <w:rsid w:val="00AF5618"/>
    <w:rsid w:val="00AF5C88"/>
    <w:rsid w:val="00AF64FF"/>
    <w:rsid w:val="00AF6830"/>
    <w:rsid w:val="00AF726D"/>
    <w:rsid w:val="00AF7617"/>
    <w:rsid w:val="00B002A7"/>
    <w:rsid w:val="00B00B7E"/>
    <w:rsid w:val="00B00ED0"/>
    <w:rsid w:val="00B00FDD"/>
    <w:rsid w:val="00B01028"/>
    <w:rsid w:val="00B0143E"/>
    <w:rsid w:val="00B02458"/>
    <w:rsid w:val="00B02A45"/>
    <w:rsid w:val="00B03995"/>
    <w:rsid w:val="00B044A0"/>
    <w:rsid w:val="00B054D7"/>
    <w:rsid w:val="00B055FE"/>
    <w:rsid w:val="00B05784"/>
    <w:rsid w:val="00B0604D"/>
    <w:rsid w:val="00B061BB"/>
    <w:rsid w:val="00B06D01"/>
    <w:rsid w:val="00B0737E"/>
    <w:rsid w:val="00B079C9"/>
    <w:rsid w:val="00B07D0B"/>
    <w:rsid w:val="00B07E84"/>
    <w:rsid w:val="00B07EE8"/>
    <w:rsid w:val="00B111B0"/>
    <w:rsid w:val="00B1135D"/>
    <w:rsid w:val="00B1144B"/>
    <w:rsid w:val="00B12216"/>
    <w:rsid w:val="00B137AA"/>
    <w:rsid w:val="00B14271"/>
    <w:rsid w:val="00B157D9"/>
    <w:rsid w:val="00B1581E"/>
    <w:rsid w:val="00B15EA8"/>
    <w:rsid w:val="00B1619D"/>
    <w:rsid w:val="00B162C8"/>
    <w:rsid w:val="00B16DB0"/>
    <w:rsid w:val="00B16E0F"/>
    <w:rsid w:val="00B16EEB"/>
    <w:rsid w:val="00B17F78"/>
    <w:rsid w:val="00B17FA3"/>
    <w:rsid w:val="00B21B47"/>
    <w:rsid w:val="00B2239F"/>
    <w:rsid w:val="00B22674"/>
    <w:rsid w:val="00B22820"/>
    <w:rsid w:val="00B22C3B"/>
    <w:rsid w:val="00B22CA0"/>
    <w:rsid w:val="00B2350C"/>
    <w:rsid w:val="00B23F93"/>
    <w:rsid w:val="00B2491D"/>
    <w:rsid w:val="00B25169"/>
    <w:rsid w:val="00B257DA"/>
    <w:rsid w:val="00B25984"/>
    <w:rsid w:val="00B25A6B"/>
    <w:rsid w:val="00B25D22"/>
    <w:rsid w:val="00B3078E"/>
    <w:rsid w:val="00B315DE"/>
    <w:rsid w:val="00B32304"/>
    <w:rsid w:val="00B33320"/>
    <w:rsid w:val="00B345AD"/>
    <w:rsid w:val="00B348D0"/>
    <w:rsid w:val="00B35345"/>
    <w:rsid w:val="00B35A43"/>
    <w:rsid w:val="00B35D97"/>
    <w:rsid w:val="00B35E06"/>
    <w:rsid w:val="00B35E5C"/>
    <w:rsid w:val="00B36388"/>
    <w:rsid w:val="00B365E9"/>
    <w:rsid w:val="00B36BB7"/>
    <w:rsid w:val="00B40630"/>
    <w:rsid w:val="00B406E4"/>
    <w:rsid w:val="00B409A9"/>
    <w:rsid w:val="00B40B8A"/>
    <w:rsid w:val="00B41926"/>
    <w:rsid w:val="00B41FBE"/>
    <w:rsid w:val="00B4255F"/>
    <w:rsid w:val="00B42806"/>
    <w:rsid w:val="00B429F6"/>
    <w:rsid w:val="00B43998"/>
    <w:rsid w:val="00B43DF3"/>
    <w:rsid w:val="00B4491C"/>
    <w:rsid w:val="00B44DB5"/>
    <w:rsid w:val="00B45098"/>
    <w:rsid w:val="00B455B9"/>
    <w:rsid w:val="00B45ED8"/>
    <w:rsid w:val="00B46449"/>
    <w:rsid w:val="00B47313"/>
    <w:rsid w:val="00B4777D"/>
    <w:rsid w:val="00B506FA"/>
    <w:rsid w:val="00B50753"/>
    <w:rsid w:val="00B50ECA"/>
    <w:rsid w:val="00B51131"/>
    <w:rsid w:val="00B516ED"/>
    <w:rsid w:val="00B529F3"/>
    <w:rsid w:val="00B54570"/>
    <w:rsid w:val="00B563CA"/>
    <w:rsid w:val="00B569CF"/>
    <w:rsid w:val="00B577B9"/>
    <w:rsid w:val="00B57B33"/>
    <w:rsid w:val="00B57D69"/>
    <w:rsid w:val="00B60753"/>
    <w:rsid w:val="00B61101"/>
    <w:rsid w:val="00B62832"/>
    <w:rsid w:val="00B634F1"/>
    <w:rsid w:val="00B6406F"/>
    <w:rsid w:val="00B64213"/>
    <w:rsid w:val="00B65185"/>
    <w:rsid w:val="00B65286"/>
    <w:rsid w:val="00B65DBC"/>
    <w:rsid w:val="00B70064"/>
    <w:rsid w:val="00B7102E"/>
    <w:rsid w:val="00B7151B"/>
    <w:rsid w:val="00B716CB"/>
    <w:rsid w:val="00B719E1"/>
    <w:rsid w:val="00B7287C"/>
    <w:rsid w:val="00B72C9A"/>
    <w:rsid w:val="00B73397"/>
    <w:rsid w:val="00B7365F"/>
    <w:rsid w:val="00B746BC"/>
    <w:rsid w:val="00B74BE1"/>
    <w:rsid w:val="00B76F8E"/>
    <w:rsid w:val="00B8167F"/>
    <w:rsid w:val="00B823D9"/>
    <w:rsid w:val="00B827B2"/>
    <w:rsid w:val="00B82FD2"/>
    <w:rsid w:val="00B8354C"/>
    <w:rsid w:val="00B84535"/>
    <w:rsid w:val="00B847D9"/>
    <w:rsid w:val="00B84D4B"/>
    <w:rsid w:val="00B85093"/>
    <w:rsid w:val="00B86353"/>
    <w:rsid w:val="00B87889"/>
    <w:rsid w:val="00B87F67"/>
    <w:rsid w:val="00B9262E"/>
    <w:rsid w:val="00B930EF"/>
    <w:rsid w:val="00B944B8"/>
    <w:rsid w:val="00B9602B"/>
    <w:rsid w:val="00B964F3"/>
    <w:rsid w:val="00B96B3E"/>
    <w:rsid w:val="00B9750A"/>
    <w:rsid w:val="00B97B11"/>
    <w:rsid w:val="00BA04FF"/>
    <w:rsid w:val="00BA0829"/>
    <w:rsid w:val="00BA0E4E"/>
    <w:rsid w:val="00BA1A48"/>
    <w:rsid w:val="00BA3415"/>
    <w:rsid w:val="00BA3A55"/>
    <w:rsid w:val="00BA3C73"/>
    <w:rsid w:val="00BA4E40"/>
    <w:rsid w:val="00BA5995"/>
    <w:rsid w:val="00BA60E5"/>
    <w:rsid w:val="00BA60FA"/>
    <w:rsid w:val="00BA6548"/>
    <w:rsid w:val="00BA7312"/>
    <w:rsid w:val="00BA774D"/>
    <w:rsid w:val="00BA7E94"/>
    <w:rsid w:val="00BB05BA"/>
    <w:rsid w:val="00BB1001"/>
    <w:rsid w:val="00BB2244"/>
    <w:rsid w:val="00BB2858"/>
    <w:rsid w:val="00BB2886"/>
    <w:rsid w:val="00BB441B"/>
    <w:rsid w:val="00BB444B"/>
    <w:rsid w:val="00BB4E5D"/>
    <w:rsid w:val="00BB5294"/>
    <w:rsid w:val="00BB5308"/>
    <w:rsid w:val="00BB7137"/>
    <w:rsid w:val="00BC1B08"/>
    <w:rsid w:val="00BC2D38"/>
    <w:rsid w:val="00BC2D99"/>
    <w:rsid w:val="00BC3484"/>
    <w:rsid w:val="00BC3F24"/>
    <w:rsid w:val="00BC3F99"/>
    <w:rsid w:val="00BC5795"/>
    <w:rsid w:val="00BC5C41"/>
    <w:rsid w:val="00BC5EB2"/>
    <w:rsid w:val="00BC70BC"/>
    <w:rsid w:val="00BC7C14"/>
    <w:rsid w:val="00BD0C78"/>
    <w:rsid w:val="00BD1678"/>
    <w:rsid w:val="00BD1FBC"/>
    <w:rsid w:val="00BD276A"/>
    <w:rsid w:val="00BD3B3A"/>
    <w:rsid w:val="00BD4A17"/>
    <w:rsid w:val="00BD4E3D"/>
    <w:rsid w:val="00BD5D4C"/>
    <w:rsid w:val="00BD5FAA"/>
    <w:rsid w:val="00BD6323"/>
    <w:rsid w:val="00BD660B"/>
    <w:rsid w:val="00BE07CA"/>
    <w:rsid w:val="00BE1CDC"/>
    <w:rsid w:val="00BE2082"/>
    <w:rsid w:val="00BE2857"/>
    <w:rsid w:val="00BE2D51"/>
    <w:rsid w:val="00BE3731"/>
    <w:rsid w:val="00BE3873"/>
    <w:rsid w:val="00BE506F"/>
    <w:rsid w:val="00BE53CD"/>
    <w:rsid w:val="00BE6619"/>
    <w:rsid w:val="00BE73F7"/>
    <w:rsid w:val="00BE7770"/>
    <w:rsid w:val="00BF0940"/>
    <w:rsid w:val="00BF10C4"/>
    <w:rsid w:val="00BF1334"/>
    <w:rsid w:val="00BF1E2C"/>
    <w:rsid w:val="00BF3255"/>
    <w:rsid w:val="00BF426D"/>
    <w:rsid w:val="00BF42E7"/>
    <w:rsid w:val="00BF4AFA"/>
    <w:rsid w:val="00BF5086"/>
    <w:rsid w:val="00BF5C9D"/>
    <w:rsid w:val="00BF6718"/>
    <w:rsid w:val="00BF6780"/>
    <w:rsid w:val="00BF6FCD"/>
    <w:rsid w:val="00BF7125"/>
    <w:rsid w:val="00BF7868"/>
    <w:rsid w:val="00C00528"/>
    <w:rsid w:val="00C00565"/>
    <w:rsid w:val="00C00A53"/>
    <w:rsid w:val="00C00B93"/>
    <w:rsid w:val="00C00D33"/>
    <w:rsid w:val="00C00E2A"/>
    <w:rsid w:val="00C01C5D"/>
    <w:rsid w:val="00C022CB"/>
    <w:rsid w:val="00C024D6"/>
    <w:rsid w:val="00C028AD"/>
    <w:rsid w:val="00C0362A"/>
    <w:rsid w:val="00C0396B"/>
    <w:rsid w:val="00C04C21"/>
    <w:rsid w:val="00C052B1"/>
    <w:rsid w:val="00C06AB3"/>
    <w:rsid w:val="00C07001"/>
    <w:rsid w:val="00C11555"/>
    <w:rsid w:val="00C1256A"/>
    <w:rsid w:val="00C14004"/>
    <w:rsid w:val="00C14FC5"/>
    <w:rsid w:val="00C154B1"/>
    <w:rsid w:val="00C15D64"/>
    <w:rsid w:val="00C1611E"/>
    <w:rsid w:val="00C17D22"/>
    <w:rsid w:val="00C20AE0"/>
    <w:rsid w:val="00C20D1D"/>
    <w:rsid w:val="00C21AC8"/>
    <w:rsid w:val="00C221F2"/>
    <w:rsid w:val="00C2288F"/>
    <w:rsid w:val="00C230C0"/>
    <w:rsid w:val="00C23265"/>
    <w:rsid w:val="00C23AB6"/>
    <w:rsid w:val="00C23F90"/>
    <w:rsid w:val="00C23FF2"/>
    <w:rsid w:val="00C243F8"/>
    <w:rsid w:val="00C256AD"/>
    <w:rsid w:val="00C2591E"/>
    <w:rsid w:val="00C25D42"/>
    <w:rsid w:val="00C25D68"/>
    <w:rsid w:val="00C26EF8"/>
    <w:rsid w:val="00C278F2"/>
    <w:rsid w:val="00C306BD"/>
    <w:rsid w:val="00C30BF7"/>
    <w:rsid w:val="00C30CA8"/>
    <w:rsid w:val="00C30EF5"/>
    <w:rsid w:val="00C31661"/>
    <w:rsid w:val="00C31E9A"/>
    <w:rsid w:val="00C326A6"/>
    <w:rsid w:val="00C33278"/>
    <w:rsid w:val="00C339D3"/>
    <w:rsid w:val="00C34D4D"/>
    <w:rsid w:val="00C358E9"/>
    <w:rsid w:val="00C358F4"/>
    <w:rsid w:val="00C35C11"/>
    <w:rsid w:val="00C36525"/>
    <w:rsid w:val="00C365EA"/>
    <w:rsid w:val="00C3757D"/>
    <w:rsid w:val="00C40A54"/>
    <w:rsid w:val="00C40CE3"/>
    <w:rsid w:val="00C40E54"/>
    <w:rsid w:val="00C41009"/>
    <w:rsid w:val="00C42D57"/>
    <w:rsid w:val="00C43A58"/>
    <w:rsid w:val="00C442D4"/>
    <w:rsid w:val="00C44673"/>
    <w:rsid w:val="00C446C1"/>
    <w:rsid w:val="00C453DA"/>
    <w:rsid w:val="00C45583"/>
    <w:rsid w:val="00C455DD"/>
    <w:rsid w:val="00C45F86"/>
    <w:rsid w:val="00C46C36"/>
    <w:rsid w:val="00C47067"/>
    <w:rsid w:val="00C474B5"/>
    <w:rsid w:val="00C50389"/>
    <w:rsid w:val="00C5059C"/>
    <w:rsid w:val="00C511D0"/>
    <w:rsid w:val="00C514AA"/>
    <w:rsid w:val="00C5151E"/>
    <w:rsid w:val="00C52186"/>
    <w:rsid w:val="00C52F45"/>
    <w:rsid w:val="00C539B0"/>
    <w:rsid w:val="00C547B8"/>
    <w:rsid w:val="00C56C0F"/>
    <w:rsid w:val="00C574F2"/>
    <w:rsid w:val="00C5775B"/>
    <w:rsid w:val="00C60490"/>
    <w:rsid w:val="00C6061E"/>
    <w:rsid w:val="00C60AA6"/>
    <w:rsid w:val="00C60C41"/>
    <w:rsid w:val="00C60E16"/>
    <w:rsid w:val="00C62B4E"/>
    <w:rsid w:val="00C6530B"/>
    <w:rsid w:val="00C65988"/>
    <w:rsid w:val="00C66A57"/>
    <w:rsid w:val="00C67A0E"/>
    <w:rsid w:val="00C706B1"/>
    <w:rsid w:val="00C71514"/>
    <w:rsid w:val="00C71890"/>
    <w:rsid w:val="00C71A09"/>
    <w:rsid w:val="00C72086"/>
    <w:rsid w:val="00C72A03"/>
    <w:rsid w:val="00C7335F"/>
    <w:rsid w:val="00C73F65"/>
    <w:rsid w:val="00C7428E"/>
    <w:rsid w:val="00C74910"/>
    <w:rsid w:val="00C75805"/>
    <w:rsid w:val="00C75A99"/>
    <w:rsid w:val="00C763D2"/>
    <w:rsid w:val="00C764E0"/>
    <w:rsid w:val="00C76AD2"/>
    <w:rsid w:val="00C76ED0"/>
    <w:rsid w:val="00C77682"/>
    <w:rsid w:val="00C77EE1"/>
    <w:rsid w:val="00C80D9F"/>
    <w:rsid w:val="00C80E79"/>
    <w:rsid w:val="00C81367"/>
    <w:rsid w:val="00C81B0A"/>
    <w:rsid w:val="00C8218A"/>
    <w:rsid w:val="00C821D0"/>
    <w:rsid w:val="00C82393"/>
    <w:rsid w:val="00C832FF"/>
    <w:rsid w:val="00C83CC5"/>
    <w:rsid w:val="00C83DC3"/>
    <w:rsid w:val="00C84CEE"/>
    <w:rsid w:val="00C851AA"/>
    <w:rsid w:val="00C85BEB"/>
    <w:rsid w:val="00C87113"/>
    <w:rsid w:val="00C87AAC"/>
    <w:rsid w:val="00C907ED"/>
    <w:rsid w:val="00C90A3D"/>
    <w:rsid w:val="00C91955"/>
    <w:rsid w:val="00C935FC"/>
    <w:rsid w:val="00C93E0D"/>
    <w:rsid w:val="00C94A36"/>
    <w:rsid w:val="00C94FE4"/>
    <w:rsid w:val="00C96651"/>
    <w:rsid w:val="00C96CFC"/>
    <w:rsid w:val="00C96E79"/>
    <w:rsid w:val="00C9774D"/>
    <w:rsid w:val="00C97A04"/>
    <w:rsid w:val="00CA0655"/>
    <w:rsid w:val="00CA0CB5"/>
    <w:rsid w:val="00CA1CB9"/>
    <w:rsid w:val="00CA2325"/>
    <w:rsid w:val="00CA4709"/>
    <w:rsid w:val="00CA493A"/>
    <w:rsid w:val="00CA599B"/>
    <w:rsid w:val="00CA656E"/>
    <w:rsid w:val="00CA7673"/>
    <w:rsid w:val="00CA7B35"/>
    <w:rsid w:val="00CB0AFE"/>
    <w:rsid w:val="00CB1349"/>
    <w:rsid w:val="00CB1375"/>
    <w:rsid w:val="00CB16F7"/>
    <w:rsid w:val="00CB2510"/>
    <w:rsid w:val="00CB28E8"/>
    <w:rsid w:val="00CB413C"/>
    <w:rsid w:val="00CB4833"/>
    <w:rsid w:val="00CB5042"/>
    <w:rsid w:val="00CB5068"/>
    <w:rsid w:val="00CB61BA"/>
    <w:rsid w:val="00CB62E9"/>
    <w:rsid w:val="00CB654E"/>
    <w:rsid w:val="00CB67A8"/>
    <w:rsid w:val="00CB6AB6"/>
    <w:rsid w:val="00CB7583"/>
    <w:rsid w:val="00CB7673"/>
    <w:rsid w:val="00CC0311"/>
    <w:rsid w:val="00CC06D1"/>
    <w:rsid w:val="00CC0779"/>
    <w:rsid w:val="00CC0DF5"/>
    <w:rsid w:val="00CC1A6B"/>
    <w:rsid w:val="00CC1B8E"/>
    <w:rsid w:val="00CC1E5B"/>
    <w:rsid w:val="00CC25E6"/>
    <w:rsid w:val="00CC2FF4"/>
    <w:rsid w:val="00CC3077"/>
    <w:rsid w:val="00CC3C91"/>
    <w:rsid w:val="00CC3DCF"/>
    <w:rsid w:val="00CC42CE"/>
    <w:rsid w:val="00CC4BDB"/>
    <w:rsid w:val="00CC4D96"/>
    <w:rsid w:val="00CC517B"/>
    <w:rsid w:val="00CC557B"/>
    <w:rsid w:val="00CC564B"/>
    <w:rsid w:val="00CC5B65"/>
    <w:rsid w:val="00CC5DAC"/>
    <w:rsid w:val="00CC6052"/>
    <w:rsid w:val="00CC6556"/>
    <w:rsid w:val="00CC6587"/>
    <w:rsid w:val="00CC7737"/>
    <w:rsid w:val="00CC7B56"/>
    <w:rsid w:val="00CD0B7D"/>
    <w:rsid w:val="00CD12A3"/>
    <w:rsid w:val="00CD1FB6"/>
    <w:rsid w:val="00CD2040"/>
    <w:rsid w:val="00CD26FE"/>
    <w:rsid w:val="00CD271F"/>
    <w:rsid w:val="00CD28DC"/>
    <w:rsid w:val="00CD305E"/>
    <w:rsid w:val="00CD3176"/>
    <w:rsid w:val="00CD3800"/>
    <w:rsid w:val="00CD4436"/>
    <w:rsid w:val="00CD49C6"/>
    <w:rsid w:val="00CD518C"/>
    <w:rsid w:val="00CD6923"/>
    <w:rsid w:val="00CD712B"/>
    <w:rsid w:val="00CD7594"/>
    <w:rsid w:val="00CE04C7"/>
    <w:rsid w:val="00CE0ED9"/>
    <w:rsid w:val="00CE1B2D"/>
    <w:rsid w:val="00CE3F17"/>
    <w:rsid w:val="00CE4187"/>
    <w:rsid w:val="00CE4965"/>
    <w:rsid w:val="00CE555A"/>
    <w:rsid w:val="00CE6B9E"/>
    <w:rsid w:val="00CE6FC9"/>
    <w:rsid w:val="00CE7246"/>
    <w:rsid w:val="00CE7529"/>
    <w:rsid w:val="00CE79E6"/>
    <w:rsid w:val="00CF02A3"/>
    <w:rsid w:val="00CF0448"/>
    <w:rsid w:val="00CF26B9"/>
    <w:rsid w:val="00CF289E"/>
    <w:rsid w:val="00CF329B"/>
    <w:rsid w:val="00CF345B"/>
    <w:rsid w:val="00CF42DC"/>
    <w:rsid w:val="00CF48E7"/>
    <w:rsid w:val="00CF516A"/>
    <w:rsid w:val="00CF6BE8"/>
    <w:rsid w:val="00CF74CA"/>
    <w:rsid w:val="00CF7607"/>
    <w:rsid w:val="00CF77CE"/>
    <w:rsid w:val="00CF7B93"/>
    <w:rsid w:val="00CF7BD2"/>
    <w:rsid w:val="00CF7C02"/>
    <w:rsid w:val="00D00019"/>
    <w:rsid w:val="00D00164"/>
    <w:rsid w:val="00D00286"/>
    <w:rsid w:val="00D00EE6"/>
    <w:rsid w:val="00D0137E"/>
    <w:rsid w:val="00D020A2"/>
    <w:rsid w:val="00D02812"/>
    <w:rsid w:val="00D0338F"/>
    <w:rsid w:val="00D034A4"/>
    <w:rsid w:val="00D05EF1"/>
    <w:rsid w:val="00D05F95"/>
    <w:rsid w:val="00D06900"/>
    <w:rsid w:val="00D06986"/>
    <w:rsid w:val="00D106B0"/>
    <w:rsid w:val="00D112F5"/>
    <w:rsid w:val="00D11491"/>
    <w:rsid w:val="00D11713"/>
    <w:rsid w:val="00D12C7A"/>
    <w:rsid w:val="00D13298"/>
    <w:rsid w:val="00D1350B"/>
    <w:rsid w:val="00D13636"/>
    <w:rsid w:val="00D136C0"/>
    <w:rsid w:val="00D141B5"/>
    <w:rsid w:val="00D147FC"/>
    <w:rsid w:val="00D14A84"/>
    <w:rsid w:val="00D1537B"/>
    <w:rsid w:val="00D16112"/>
    <w:rsid w:val="00D169C2"/>
    <w:rsid w:val="00D16CFE"/>
    <w:rsid w:val="00D16FAE"/>
    <w:rsid w:val="00D2028B"/>
    <w:rsid w:val="00D20680"/>
    <w:rsid w:val="00D20EFE"/>
    <w:rsid w:val="00D20F8A"/>
    <w:rsid w:val="00D213F2"/>
    <w:rsid w:val="00D2226F"/>
    <w:rsid w:val="00D22F2C"/>
    <w:rsid w:val="00D2311D"/>
    <w:rsid w:val="00D23F55"/>
    <w:rsid w:val="00D24606"/>
    <w:rsid w:val="00D24E6F"/>
    <w:rsid w:val="00D266DC"/>
    <w:rsid w:val="00D26FD1"/>
    <w:rsid w:val="00D2714B"/>
    <w:rsid w:val="00D27771"/>
    <w:rsid w:val="00D27B8E"/>
    <w:rsid w:val="00D27D64"/>
    <w:rsid w:val="00D30906"/>
    <w:rsid w:val="00D30A95"/>
    <w:rsid w:val="00D30F47"/>
    <w:rsid w:val="00D31306"/>
    <w:rsid w:val="00D31CC6"/>
    <w:rsid w:val="00D327F0"/>
    <w:rsid w:val="00D33243"/>
    <w:rsid w:val="00D34437"/>
    <w:rsid w:val="00D34AFC"/>
    <w:rsid w:val="00D35329"/>
    <w:rsid w:val="00D353A7"/>
    <w:rsid w:val="00D3614E"/>
    <w:rsid w:val="00D36DCE"/>
    <w:rsid w:val="00D37D8E"/>
    <w:rsid w:val="00D4058B"/>
    <w:rsid w:val="00D40768"/>
    <w:rsid w:val="00D40B03"/>
    <w:rsid w:val="00D40D9C"/>
    <w:rsid w:val="00D41B23"/>
    <w:rsid w:val="00D426AF"/>
    <w:rsid w:val="00D426C8"/>
    <w:rsid w:val="00D4350B"/>
    <w:rsid w:val="00D43826"/>
    <w:rsid w:val="00D441B7"/>
    <w:rsid w:val="00D44B9E"/>
    <w:rsid w:val="00D4522B"/>
    <w:rsid w:val="00D452B8"/>
    <w:rsid w:val="00D45721"/>
    <w:rsid w:val="00D46A5A"/>
    <w:rsid w:val="00D46D52"/>
    <w:rsid w:val="00D47635"/>
    <w:rsid w:val="00D47AEC"/>
    <w:rsid w:val="00D5023B"/>
    <w:rsid w:val="00D5260D"/>
    <w:rsid w:val="00D529BB"/>
    <w:rsid w:val="00D53A39"/>
    <w:rsid w:val="00D53C6F"/>
    <w:rsid w:val="00D53E43"/>
    <w:rsid w:val="00D5532B"/>
    <w:rsid w:val="00D558DD"/>
    <w:rsid w:val="00D5641D"/>
    <w:rsid w:val="00D56C03"/>
    <w:rsid w:val="00D57019"/>
    <w:rsid w:val="00D57C53"/>
    <w:rsid w:val="00D60988"/>
    <w:rsid w:val="00D60AB8"/>
    <w:rsid w:val="00D60C96"/>
    <w:rsid w:val="00D60E8E"/>
    <w:rsid w:val="00D6103F"/>
    <w:rsid w:val="00D61350"/>
    <w:rsid w:val="00D614D4"/>
    <w:rsid w:val="00D616B5"/>
    <w:rsid w:val="00D6314F"/>
    <w:rsid w:val="00D636EB"/>
    <w:rsid w:val="00D63B17"/>
    <w:rsid w:val="00D63E60"/>
    <w:rsid w:val="00D6511D"/>
    <w:rsid w:val="00D657E2"/>
    <w:rsid w:val="00D66394"/>
    <w:rsid w:val="00D67ADF"/>
    <w:rsid w:val="00D67B08"/>
    <w:rsid w:val="00D67C55"/>
    <w:rsid w:val="00D67F64"/>
    <w:rsid w:val="00D70291"/>
    <w:rsid w:val="00D7101B"/>
    <w:rsid w:val="00D72746"/>
    <w:rsid w:val="00D732BF"/>
    <w:rsid w:val="00D736A8"/>
    <w:rsid w:val="00D736C0"/>
    <w:rsid w:val="00D736E2"/>
    <w:rsid w:val="00D74046"/>
    <w:rsid w:val="00D74062"/>
    <w:rsid w:val="00D7462B"/>
    <w:rsid w:val="00D74719"/>
    <w:rsid w:val="00D749A2"/>
    <w:rsid w:val="00D74BD3"/>
    <w:rsid w:val="00D754C7"/>
    <w:rsid w:val="00D7559A"/>
    <w:rsid w:val="00D76008"/>
    <w:rsid w:val="00D77DF5"/>
    <w:rsid w:val="00D77DF9"/>
    <w:rsid w:val="00D804BE"/>
    <w:rsid w:val="00D81842"/>
    <w:rsid w:val="00D82E20"/>
    <w:rsid w:val="00D83FFF"/>
    <w:rsid w:val="00D8562B"/>
    <w:rsid w:val="00D86A7C"/>
    <w:rsid w:val="00D86C63"/>
    <w:rsid w:val="00D871EE"/>
    <w:rsid w:val="00D874ED"/>
    <w:rsid w:val="00D8792C"/>
    <w:rsid w:val="00D87DD5"/>
    <w:rsid w:val="00D901D4"/>
    <w:rsid w:val="00D90CD0"/>
    <w:rsid w:val="00D90CD1"/>
    <w:rsid w:val="00D91B4C"/>
    <w:rsid w:val="00D91CD8"/>
    <w:rsid w:val="00D92227"/>
    <w:rsid w:val="00D92B22"/>
    <w:rsid w:val="00D9400F"/>
    <w:rsid w:val="00D94BA7"/>
    <w:rsid w:val="00D9595A"/>
    <w:rsid w:val="00D95BA5"/>
    <w:rsid w:val="00D9650F"/>
    <w:rsid w:val="00D96AF5"/>
    <w:rsid w:val="00D972B2"/>
    <w:rsid w:val="00D97E15"/>
    <w:rsid w:val="00DA11ED"/>
    <w:rsid w:val="00DA12AC"/>
    <w:rsid w:val="00DA1EFB"/>
    <w:rsid w:val="00DA1F6F"/>
    <w:rsid w:val="00DA208B"/>
    <w:rsid w:val="00DA2A71"/>
    <w:rsid w:val="00DA3590"/>
    <w:rsid w:val="00DA35FF"/>
    <w:rsid w:val="00DA3A0B"/>
    <w:rsid w:val="00DA480B"/>
    <w:rsid w:val="00DA4F6F"/>
    <w:rsid w:val="00DA5253"/>
    <w:rsid w:val="00DA5AA9"/>
    <w:rsid w:val="00DA69FF"/>
    <w:rsid w:val="00DA6EC7"/>
    <w:rsid w:val="00DA7171"/>
    <w:rsid w:val="00DB0047"/>
    <w:rsid w:val="00DB03FF"/>
    <w:rsid w:val="00DB0C2D"/>
    <w:rsid w:val="00DB0FFD"/>
    <w:rsid w:val="00DB2198"/>
    <w:rsid w:val="00DB3F59"/>
    <w:rsid w:val="00DB4D0F"/>
    <w:rsid w:val="00DB5238"/>
    <w:rsid w:val="00DB5775"/>
    <w:rsid w:val="00DB5863"/>
    <w:rsid w:val="00DB69B4"/>
    <w:rsid w:val="00DC004A"/>
    <w:rsid w:val="00DC00FE"/>
    <w:rsid w:val="00DC0B86"/>
    <w:rsid w:val="00DC1AC9"/>
    <w:rsid w:val="00DC2346"/>
    <w:rsid w:val="00DC238D"/>
    <w:rsid w:val="00DC2C39"/>
    <w:rsid w:val="00DC323C"/>
    <w:rsid w:val="00DC728C"/>
    <w:rsid w:val="00DC74C1"/>
    <w:rsid w:val="00DC7D5D"/>
    <w:rsid w:val="00DD0131"/>
    <w:rsid w:val="00DD0616"/>
    <w:rsid w:val="00DD16B6"/>
    <w:rsid w:val="00DD17B7"/>
    <w:rsid w:val="00DD1E9A"/>
    <w:rsid w:val="00DD2E18"/>
    <w:rsid w:val="00DD3E8C"/>
    <w:rsid w:val="00DD3F03"/>
    <w:rsid w:val="00DD4724"/>
    <w:rsid w:val="00DD482D"/>
    <w:rsid w:val="00DD52FD"/>
    <w:rsid w:val="00DD5947"/>
    <w:rsid w:val="00DD59FC"/>
    <w:rsid w:val="00DD7E7F"/>
    <w:rsid w:val="00DE00A3"/>
    <w:rsid w:val="00DE032D"/>
    <w:rsid w:val="00DE2211"/>
    <w:rsid w:val="00DE222F"/>
    <w:rsid w:val="00DE3C34"/>
    <w:rsid w:val="00DE3F50"/>
    <w:rsid w:val="00DE49BD"/>
    <w:rsid w:val="00DE4C68"/>
    <w:rsid w:val="00DE5206"/>
    <w:rsid w:val="00DE5A4F"/>
    <w:rsid w:val="00DE5CF2"/>
    <w:rsid w:val="00DE7299"/>
    <w:rsid w:val="00DE7589"/>
    <w:rsid w:val="00DF1493"/>
    <w:rsid w:val="00DF1DF6"/>
    <w:rsid w:val="00DF37B7"/>
    <w:rsid w:val="00DF3DC5"/>
    <w:rsid w:val="00DF4738"/>
    <w:rsid w:val="00DF4AFF"/>
    <w:rsid w:val="00DF4DB7"/>
    <w:rsid w:val="00DF5C19"/>
    <w:rsid w:val="00DF60EB"/>
    <w:rsid w:val="00DF6122"/>
    <w:rsid w:val="00DF66E8"/>
    <w:rsid w:val="00DF6CA5"/>
    <w:rsid w:val="00DF7739"/>
    <w:rsid w:val="00DF7E4E"/>
    <w:rsid w:val="00E0003C"/>
    <w:rsid w:val="00E0093C"/>
    <w:rsid w:val="00E00AEC"/>
    <w:rsid w:val="00E01B0C"/>
    <w:rsid w:val="00E01C70"/>
    <w:rsid w:val="00E02409"/>
    <w:rsid w:val="00E03379"/>
    <w:rsid w:val="00E03B96"/>
    <w:rsid w:val="00E04333"/>
    <w:rsid w:val="00E04E3E"/>
    <w:rsid w:val="00E05270"/>
    <w:rsid w:val="00E061EF"/>
    <w:rsid w:val="00E06E94"/>
    <w:rsid w:val="00E07140"/>
    <w:rsid w:val="00E07A0B"/>
    <w:rsid w:val="00E100DE"/>
    <w:rsid w:val="00E10DF8"/>
    <w:rsid w:val="00E11D00"/>
    <w:rsid w:val="00E11DAA"/>
    <w:rsid w:val="00E120C2"/>
    <w:rsid w:val="00E13154"/>
    <w:rsid w:val="00E1321B"/>
    <w:rsid w:val="00E13BED"/>
    <w:rsid w:val="00E13F96"/>
    <w:rsid w:val="00E152A2"/>
    <w:rsid w:val="00E15308"/>
    <w:rsid w:val="00E15342"/>
    <w:rsid w:val="00E16165"/>
    <w:rsid w:val="00E16D2D"/>
    <w:rsid w:val="00E179B5"/>
    <w:rsid w:val="00E17EBF"/>
    <w:rsid w:val="00E22496"/>
    <w:rsid w:val="00E22554"/>
    <w:rsid w:val="00E22DCD"/>
    <w:rsid w:val="00E23683"/>
    <w:rsid w:val="00E239CF"/>
    <w:rsid w:val="00E2479F"/>
    <w:rsid w:val="00E247EA"/>
    <w:rsid w:val="00E25D45"/>
    <w:rsid w:val="00E3038A"/>
    <w:rsid w:val="00E30F3B"/>
    <w:rsid w:val="00E3345E"/>
    <w:rsid w:val="00E34A44"/>
    <w:rsid w:val="00E35074"/>
    <w:rsid w:val="00E3535E"/>
    <w:rsid w:val="00E35577"/>
    <w:rsid w:val="00E3634D"/>
    <w:rsid w:val="00E363DD"/>
    <w:rsid w:val="00E365F4"/>
    <w:rsid w:val="00E36851"/>
    <w:rsid w:val="00E36C34"/>
    <w:rsid w:val="00E36FC3"/>
    <w:rsid w:val="00E376F4"/>
    <w:rsid w:val="00E37DB1"/>
    <w:rsid w:val="00E37DDB"/>
    <w:rsid w:val="00E4160C"/>
    <w:rsid w:val="00E41FB5"/>
    <w:rsid w:val="00E423E1"/>
    <w:rsid w:val="00E42F12"/>
    <w:rsid w:val="00E42F61"/>
    <w:rsid w:val="00E4395B"/>
    <w:rsid w:val="00E44360"/>
    <w:rsid w:val="00E4572C"/>
    <w:rsid w:val="00E45A89"/>
    <w:rsid w:val="00E468CB"/>
    <w:rsid w:val="00E46A18"/>
    <w:rsid w:val="00E46E10"/>
    <w:rsid w:val="00E46F1E"/>
    <w:rsid w:val="00E47706"/>
    <w:rsid w:val="00E47EEB"/>
    <w:rsid w:val="00E5126D"/>
    <w:rsid w:val="00E51EC6"/>
    <w:rsid w:val="00E5200E"/>
    <w:rsid w:val="00E52041"/>
    <w:rsid w:val="00E53955"/>
    <w:rsid w:val="00E540BD"/>
    <w:rsid w:val="00E54F20"/>
    <w:rsid w:val="00E55143"/>
    <w:rsid w:val="00E55520"/>
    <w:rsid w:val="00E56137"/>
    <w:rsid w:val="00E56736"/>
    <w:rsid w:val="00E56CE1"/>
    <w:rsid w:val="00E570EC"/>
    <w:rsid w:val="00E57F40"/>
    <w:rsid w:val="00E613E8"/>
    <w:rsid w:val="00E6292C"/>
    <w:rsid w:val="00E62F70"/>
    <w:rsid w:val="00E63336"/>
    <w:rsid w:val="00E63524"/>
    <w:rsid w:val="00E64D9F"/>
    <w:rsid w:val="00E657AE"/>
    <w:rsid w:val="00E65A9C"/>
    <w:rsid w:val="00E66536"/>
    <w:rsid w:val="00E6707B"/>
    <w:rsid w:val="00E678E9"/>
    <w:rsid w:val="00E679D4"/>
    <w:rsid w:val="00E67D1C"/>
    <w:rsid w:val="00E67D3D"/>
    <w:rsid w:val="00E70DF2"/>
    <w:rsid w:val="00E72244"/>
    <w:rsid w:val="00E72601"/>
    <w:rsid w:val="00E737D0"/>
    <w:rsid w:val="00E73C9B"/>
    <w:rsid w:val="00E74F72"/>
    <w:rsid w:val="00E76942"/>
    <w:rsid w:val="00E80473"/>
    <w:rsid w:val="00E82B40"/>
    <w:rsid w:val="00E82BCA"/>
    <w:rsid w:val="00E82C8F"/>
    <w:rsid w:val="00E830C2"/>
    <w:rsid w:val="00E836E5"/>
    <w:rsid w:val="00E83E78"/>
    <w:rsid w:val="00E86223"/>
    <w:rsid w:val="00E86B01"/>
    <w:rsid w:val="00E86B6B"/>
    <w:rsid w:val="00E86CDF"/>
    <w:rsid w:val="00E86DF5"/>
    <w:rsid w:val="00E875B4"/>
    <w:rsid w:val="00E8760B"/>
    <w:rsid w:val="00E9021B"/>
    <w:rsid w:val="00E90570"/>
    <w:rsid w:val="00E90D53"/>
    <w:rsid w:val="00E90FE1"/>
    <w:rsid w:val="00E915BF"/>
    <w:rsid w:val="00E916C8"/>
    <w:rsid w:val="00E92AF1"/>
    <w:rsid w:val="00E93106"/>
    <w:rsid w:val="00E939BD"/>
    <w:rsid w:val="00E93AA0"/>
    <w:rsid w:val="00E93F20"/>
    <w:rsid w:val="00E946E9"/>
    <w:rsid w:val="00E94757"/>
    <w:rsid w:val="00E95A9C"/>
    <w:rsid w:val="00E962F8"/>
    <w:rsid w:val="00E9743E"/>
    <w:rsid w:val="00EA0C86"/>
    <w:rsid w:val="00EA10E7"/>
    <w:rsid w:val="00EA10EA"/>
    <w:rsid w:val="00EA1A08"/>
    <w:rsid w:val="00EA22A3"/>
    <w:rsid w:val="00EA2553"/>
    <w:rsid w:val="00EA2767"/>
    <w:rsid w:val="00EA34A6"/>
    <w:rsid w:val="00EA3AA8"/>
    <w:rsid w:val="00EA3EA5"/>
    <w:rsid w:val="00EA4B94"/>
    <w:rsid w:val="00EA4C1C"/>
    <w:rsid w:val="00EA5842"/>
    <w:rsid w:val="00EA5875"/>
    <w:rsid w:val="00EA5F83"/>
    <w:rsid w:val="00EA7156"/>
    <w:rsid w:val="00EA763E"/>
    <w:rsid w:val="00EA7A26"/>
    <w:rsid w:val="00EB0442"/>
    <w:rsid w:val="00EB0EEC"/>
    <w:rsid w:val="00EB1004"/>
    <w:rsid w:val="00EB25B9"/>
    <w:rsid w:val="00EB400D"/>
    <w:rsid w:val="00EB4255"/>
    <w:rsid w:val="00EB4DF5"/>
    <w:rsid w:val="00EB5714"/>
    <w:rsid w:val="00EB659A"/>
    <w:rsid w:val="00EB7328"/>
    <w:rsid w:val="00EB7A30"/>
    <w:rsid w:val="00EB7BCB"/>
    <w:rsid w:val="00EB7E2F"/>
    <w:rsid w:val="00EC04EF"/>
    <w:rsid w:val="00EC0907"/>
    <w:rsid w:val="00EC0E3C"/>
    <w:rsid w:val="00EC18B3"/>
    <w:rsid w:val="00EC19E7"/>
    <w:rsid w:val="00EC2969"/>
    <w:rsid w:val="00EC2A09"/>
    <w:rsid w:val="00EC33C9"/>
    <w:rsid w:val="00EC4720"/>
    <w:rsid w:val="00EC4FF1"/>
    <w:rsid w:val="00EC512A"/>
    <w:rsid w:val="00EC654E"/>
    <w:rsid w:val="00EC68DB"/>
    <w:rsid w:val="00ED05BE"/>
    <w:rsid w:val="00ED0A9E"/>
    <w:rsid w:val="00ED0EDE"/>
    <w:rsid w:val="00ED0F88"/>
    <w:rsid w:val="00ED1C79"/>
    <w:rsid w:val="00ED1CBD"/>
    <w:rsid w:val="00ED1F87"/>
    <w:rsid w:val="00ED213C"/>
    <w:rsid w:val="00ED30A6"/>
    <w:rsid w:val="00ED310B"/>
    <w:rsid w:val="00ED37B1"/>
    <w:rsid w:val="00ED4F54"/>
    <w:rsid w:val="00ED5056"/>
    <w:rsid w:val="00ED645D"/>
    <w:rsid w:val="00ED6B1F"/>
    <w:rsid w:val="00ED6E71"/>
    <w:rsid w:val="00ED6F78"/>
    <w:rsid w:val="00ED7512"/>
    <w:rsid w:val="00ED756D"/>
    <w:rsid w:val="00ED775B"/>
    <w:rsid w:val="00EE02C0"/>
    <w:rsid w:val="00EE03CE"/>
    <w:rsid w:val="00EE12C1"/>
    <w:rsid w:val="00EE19B3"/>
    <w:rsid w:val="00EE1E06"/>
    <w:rsid w:val="00EE1E0E"/>
    <w:rsid w:val="00EE2639"/>
    <w:rsid w:val="00EE29BF"/>
    <w:rsid w:val="00EE301E"/>
    <w:rsid w:val="00EE347E"/>
    <w:rsid w:val="00EE3A48"/>
    <w:rsid w:val="00EE3DB0"/>
    <w:rsid w:val="00EE42D4"/>
    <w:rsid w:val="00EE48A3"/>
    <w:rsid w:val="00EE50D5"/>
    <w:rsid w:val="00EE54F5"/>
    <w:rsid w:val="00EE5990"/>
    <w:rsid w:val="00EE5D2A"/>
    <w:rsid w:val="00EE6570"/>
    <w:rsid w:val="00EE73A3"/>
    <w:rsid w:val="00EF005C"/>
    <w:rsid w:val="00EF0F68"/>
    <w:rsid w:val="00EF1C45"/>
    <w:rsid w:val="00EF21CA"/>
    <w:rsid w:val="00EF2500"/>
    <w:rsid w:val="00EF2902"/>
    <w:rsid w:val="00EF3657"/>
    <w:rsid w:val="00EF45C3"/>
    <w:rsid w:val="00EF5892"/>
    <w:rsid w:val="00EF5BE4"/>
    <w:rsid w:val="00EF65E9"/>
    <w:rsid w:val="00F0155F"/>
    <w:rsid w:val="00F018F3"/>
    <w:rsid w:val="00F02185"/>
    <w:rsid w:val="00F02714"/>
    <w:rsid w:val="00F032C8"/>
    <w:rsid w:val="00F0372E"/>
    <w:rsid w:val="00F07DC6"/>
    <w:rsid w:val="00F10CB3"/>
    <w:rsid w:val="00F11177"/>
    <w:rsid w:val="00F11FC7"/>
    <w:rsid w:val="00F13A7B"/>
    <w:rsid w:val="00F14092"/>
    <w:rsid w:val="00F144E3"/>
    <w:rsid w:val="00F14961"/>
    <w:rsid w:val="00F14DFB"/>
    <w:rsid w:val="00F154AE"/>
    <w:rsid w:val="00F1628F"/>
    <w:rsid w:val="00F167FC"/>
    <w:rsid w:val="00F16FA5"/>
    <w:rsid w:val="00F1703D"/>
    <w:rsid w:val="00F172F1"/>
    <w:rsid w:val="00F17AF9"/>
    <w:rsid w:val="00F20D4E"/>
    <w:rsid w:val="00F22DB3"/>
    <w:rsid w:val="00F235F3"/>
    <w:rsid w:val="00F24BAE"/>
    <w:rsid w:val="00F25B65"/>
    <w:rsid w:val="00F25D12"/>
    <w:rsid w:val="00F267DE"/>
    <w:rsid w:val="00F26E2B"/>
    <w:rsid w:val="00F26EDB"/>
    <w:rsid w:val="00F2723C"/>
    <w:rsid w:val="00F27B59"/>
    <w:rsid w:val="00F27E2F"/>
    <w:rsid w:val="00F30DAD"/>
    <w:rsid w:val="00F31340"/>
    <w:rsid w:val="00F31668"/>
    <w:rsid w:val="00F32238"/>
    <w:rsid w:val="00F323A1"/>
    <w:rsid w:val="00F3289F"/>
    <w:rsid w:val="00F32F3A"/>
    <w:rsid w:val="00F330AB"/>
    <w:rsid w:val="00F336A1"/>
    <w:rsid w:val="00F336FF"/>
    <w:rsid w:val="00F340C1"/>
    <w:rsid w:val="00F343ED"/>
    <w:rsid w:val="00F3606A"/>
    <w:rsid w:val="00F360F3"/>
    <w:rsid w:val="00F366E3"/>
    <w:rsid w:val="00F36764"/>
    <w:rsid w:val="00F3680A"/>
    <w:rsid w:val="00F369BB"/>
    <w:rsid w:val="00F3738F"/>
    <w:rsid w:val="00F373D0"/>
    <w:rsid w:val="00F374A3"/>
    <w:rsid w:val="00F37DEC"/>
    <w:rsid w:val="00F40261"/>
    <w:rsid w:val="00F407CE"/>
    <w:rsid w:val="00F4167F"/>
    <w:rsid w:val="00F42B4B"/>
    <w:rsid w:val="00F43B5F"/>
    <w:rsid w:val="00F44225"/>
    <w:rsid w:val="00F44AD5"/>
    <w:rsid w:val="00F44D21"/>
    <w:rsid w:val="00F44E37"/>
    <w:rsid w:val="00F45E5B"/>
    <w:rsid w:val="00F4699F"/>
    <w:rsid w:val="00F46B8C"/>
    <w:rsid w:val="00F47437"/>
    <w:rsid w:val="00F47571"/>
    <w:rsid w:val="00F50D99"/>
    <w:rsid w:val="00F516D5"/>
    <w:rsid w:val="00F51764"/>
    <w:rsid w:val="00F517AC"/>
    <w:rsid w:val="00F51881"/>
    <w:rsid w:val="00F52598"/>
    <w:rsid w:val="00F5403F"/>
    <w:rsid w:val="00F54E3B"/>
    <w:rsid w:val="00F55555"/>
    <w:rsid w:val="00F55D44"/>
    <w:rsid w:val="00F56011"/>
    <w:rsid w:val="00F562C4"/>
    <w:rsid w:val="00F60A80"/>
    <w:rsid w:val="00F61274"/>
    <w:rsid w:val="00F612F6"/>
    <w:rsid w:val="00F61B46"/>
    <w:rsid w:val="00F6345C"/>
    <w:rsid w:val="00F63951"/>
    <w:rsid w:val="00F64514"/>
    <w:rsid w:val="00F64DE9"/>
    <w:rsid w:val="00F64FCE"/>
    <w:rsid w:val="00F65789"/>
    <w:rsid w:val="00F66474"/>
    <w:rsid w:val="00F669DB"/>
    <w:rsid w:val="00F67A1E"/>
    <w:rsid w:val="00F67FE8"/>
    <w:rsid w:val="00F7033C"/>
    <w:rsid w:val="00F70F51"/>
    <w:rsid w:val="00F71151"/>
    <w:rsid w:val="00F71694"/>
    <w:rsid w:val="00F71E2F"/>
    <w:rsid w:val="00F725C0"/>
    <w:rsid w:val="00F72887"/>
    <w:rsid w:val="00F729D7"/>
    <w:rsid w:val="00F742DA"/>
    <w:rsid w:val="00F76CB0"/>
    <w:rsid w:val="00F77601"/>
    <w:rsid w:val="00F77B8D"/>
    <w:rsid w:val="00F800AA"/>
    <w:rsid w:val="00F800E0"/>
    <w:rsid w:val="00F80531"/>
    <w:rsid w:val="00F8090F"/>
    <w:rsid w:val="00F81396"/>
    <w:rsid w:val="00F8165E"/>
    <w:rsid w:val="00F81EE4"/>
    <w:rsid w:val="00F82894"/>
    <w:rsid w:val="00F82907"/>
    <w:rsid w:val="00F82A79"/>
    <w:rsid w:val="00F832D8"/>
    <w:rsid w:val="00F83890"/>
    <w:rsid w:val="00F838CC"/>
    <w:rsid w:val="00F839FF"/>
    <w:rsid w:val="00F840E8"/>
    <w:rsid w:val="00F84AFE"/>
    <w:rsid w:val="00F852EF"/>
    <w:rsid w:val="00F86213"/>
    <w:rsid w:val="00F8736F"/>
    <w:rsid w:val="00F908EE"/>
    <w:rsid w:val="00F91589"/>
    <w:rsid w:val="00F91847"/>
    <w:rsid w:val="00F921D7"/>
    <w:rsid w:val="00F9262E"/>
    <w:rsid w:val="00F92946"/>
    <w:rsid w:val="00F939B7"/>
    <w:rsid w:val="00F9435B"/>
    <w:rsid w:val="00F95078"/>
    <w:rsid w:val="00F95E69"/>
    <w:rsid w:val="00F975E6"/>
    <w:rsid w:val="00FA2028"/>
    <w:rsid w:val="00FA2A2E"/>
    <w:rsid w:val="00FA3681"/>
    <w:rsid w:val="00FA3C7F"/>
    <w:rsid w:val="00FA4566"/>
    <w:rsid w:val="00FA46FA"/>
    <w:rsid w:val="00FA48C1"/>
    <w:rsid w:val="00FA735F"/>
    <w:rsid w:val="00FA736D"/>
    <w:rsid w:val="00FB0BF5"/>
    <w:rsid w:val="00FB0D3C"/>
    <w:rsid w:val="00FB0E25"/>
    <w:rsid w:val="00FB14C6"/>
    <w:rsid w:val="00FB2B31"/>
    <w:rsid w:val="00FB2FC5"/>
    <w:rsid w:val="00FB3723"/>
    <w:rsid w:val="00FB4649"/>
    <w:rsid w:val="00FB574E"/>
    <w:rsid w:val="00FB57C3"/>
    <w:rsid w:val="00FB661B"/>
    <w:rsid w:val="00FB6944"/>
    <w:rsid w:val="00FB6E34"/>
    <w:rsid w:val="00FB79B8"/>
    <w:rsid w:val="00FB7A57"/>
    <w:rsid w:val="00FB7B8C"/>
    <w:rsid w:val="00FC0348"/>
    <w:rsid w:val="00FC0738"/>
    <w:rsid w:val="00FC11E2"/>
    <w:rsid w:val="00FC16D0"/>
    <w:rsid w:val="00FC1A1F"/>
    <w:rsid w:val="00FC2946"/>
    <w:rsid w:val="00FC2A23"/>
    <w:rsid w:val="00FC33F0"/>
    <w:rsid w:val="00FC353D"/>
    <w:rsid w:val="00FC3A24"/>
    <w:rsid w:val="00FC4373"/>
    <w:rsid w:val="00FC64D6"/>
    <w:rsid w:val="00FC6B2D"/>
    <w:rsid w:val="00FC6C07"/>
    <w:rsid w:val="00FC7591"/>
    <w:rsid w:val="00FC7DA2"/>
    <w:rsid w:val="00FD13A1"/>
    <w:rsid w:val="00FD17A7"/>
    <w:rsid w:val="00FD1848"/>
    <w:rsid w:val="00FD1937"/>
    <w:rsid w:val="00FD19FA"/>
    <w:rsid w:val="00FD1D8A"/>
    <w:rsid w:val="00FD235A"/>
    <w:rsid w:val="00FD2C10"/>
    <w:rsid w:val="00FD2F8C"/>
    <w:rsid w:val="00FD548A"/>
    <w:rsid w:val="00FD5E2A"/>
    <w:rsid w:val="00FD619B"/>
    <w:rsid w:val="00FD6A8F"/>
    <w:rsid w:val="00FD7307"/>
    <w:rsid w:val="00FE01DA"/>
    <w:rsid w:val="00FE1A5C"/>
    <w:rsid w:val="00FE1D6B"/>
    <w:rsid w:val="00FE2F42"/>
    <w:rsid w:val="00FE2FCB"/>
    <w:rsid w:val="00FE3154"/>
    <w:rsid w:val="00FE37A7"/>
    <w:rsid w:val="00FE3D3A"/>
    <w:rsid w:val="00FE48F0"/>
    <w:rsid w:val="00FE6013"/>
    <w:rsid w:val="00FE6034"/>
    <w:rsid w:val="00FE663E"/>
    <w:rsid w:val="00FE7399"/>
    <w:rsid w:val="00FE7C9B"/>
    <w:rsid w:val="00FE7CCB"/>
    <w:rsid w:val="00FF1C40"/>
    <w:rsid w:val="00FF1CAD"/>
    <w:rsid w:val="00FF2689"/>
    <w:rsid w:val="00FF2FE3"/>
    <w:rsid w:val="00FF3DBE"/>
    <w:rsid w:val="00FF3EA3"/>
    <w:rsid w:val="00FF4245"/>
    <w:rsid w:val="00FF4301"/>
    <w:rsid w:val="00FF504E"/>
    <w:rsid w:val="00FF56AF"/>
    <w:rsid w:val="00FF5CBC"/>
    <w:rsid w:val="00FF5F7E"/>
    <w:rsid w:val="00FF6340"/>
    <w:rsid w:val="00FF7166"/>
    <w:rsid w:val="00FF7F3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5ED155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lang w:val="es-E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r">
    <w:name w:val="Marker"/>
    <w:basedOn w:val="DefaultParagraphFont"/>
    <w:rsid w:val="00AA655D"/>
    <w:rPr>
      <w:color w:val="0000FF"/>
      <w:shd w:val="clear" w:color="auto" w:fill="auto"/>
    </w:rPr>
  </w:style>
  <w:style w:type="paragraph" w:customStyle="1" w:styleId="Pagedecouverture">
    <w:name w:val="Page de couverture"/>
    <w:basedOn w:val="Normal"/>
    <w:next w:val="Normal"/>
    <w:rsid w:val="00AA655D"/>
    <w:pPr>
      <w:jc w:val="both"/>
    </w:pPr>
    <w:rPr>
      <w:szCs w:val="22"/>
    </w:rPr>
  </w:style>
  <w:style w:type="paragraph" w:styleId="Header">
    <w:name w:val="header"/>
    <w:basedOn w:val="Normal"/>
    <w:link w:val="HeaderChar"/>
    <w:uiPriority w:val="99"/>
    <w:unhideWhenUsed/>
    <w:rsid w:val="00AA655D"/>
    <w:pPr>
      <w:tabs>
        <w:tab w:val="center" w:pos="4513"/>
        <w:tab w:val="right" w:pos="9026"/>
      </w:tabs>
    </w:pPr>
  </w:style>
  <w:style w:type="character" w:customStyle="1" w:styleId="HeaderChar">
    <w:name w:val="Header Char"/>
    <w:basedOn w:val="DefaultParagraphFont"/>
    <w:link w:val="Header"/>
    <w:uiPriority w:val="99"/>
    <w:rsid w:val="00AA655D"/>
    <w:rPr>
      <w:sz w:val="24"/>
      <w:szCs w:val="24"/>
      <w:lang w:val="es-ES"/>
    </w:rPr>
  </w:style>
  <w:style w:type="paragraph" w:styleId="Footer">
    <w:name w:val="footer"/>
    <w:basedOn w:val="Normal"/>
    <w:link w:val="FooterChar"/>
    <w:uiPriority w:val="99"/>
    <w:unhideWhenUsed/>
    <w:rsid w:val="00AA655D"/>
    <w:pPr>
      <w:tabs>
        <w:tab w:val="center" w:pos="4513"/>
        <w:tab w:val="right" w:pos="9026"/>
      </w:tabs>
    </w:pPr>
  </w:style>
  <w:style w:type="character" w:customStyle="1" w:styleId="FooterChar">
    <w:name w:val="Footer Char"/>
    <w:basedOn w:val="DefaultParagraphFont"/>
    <w:link w:val="Footer"/>
    <w:uiPriority w:val="99"/>
    <w:rsid w:val="00AA655D"/>
    <w:rPr>
      <w:sz w:val="24"/>
      <w:szCs w:val="24"/>
      <w:lang w:val="es-ES"/>
    </w:rPr>
  </w:style>
  <w:style w:type="paragraph" w:customStyle="1" w:styleId="FooterCoverPage">
    <w:name w:val="Footer Cover Page"/>
    <w:basedOn w:val="Normal"/>
    <w:link w:val="FooterCoverPageChar"/>
    <w:rsid w:val="00AA655D"/>
    <w:pPr>
      <w:tabs>
        <w:tab w:val="center" w:pos="4535"/>
        <w:tab w:val="right" w:pos="9071"/>
        <w:tab w:val="right" w:pos="9921"/>
      </w:tabs>
      <w:spacing w:before="360"/>
      <w:ind w:left="-850" w:right="-850"/>
    </w:pPr>
  </w:style>
  <w:style w:type="character" w:customStyle="1" w:styleId="FooterCoverPageChar">
    <w:name w:val="Footer Cover Page Char"/>
    <w:basedOn w:val="DefaultParagraphFont"/>
    <w:link w:val="FooterCoverPage"/>
    <w:rsid w:val="00AA655D"/>
    <w:rPr>
      <w:sz w:val="24"/>
      <w:szCs w:val="24"/>
    </w:rPr>
  </w:style>
  <w:style w:type="paragraph" w:customStyle="1" w:styleId="FooterSensitivity">
    <w:name w:val="Footer Sensitivity"/>
    <w:basedOn w:val="Normal"/>
    <w:link w:val="FooterSensitivityChar"/>
    <w:rsid w:val="00AA655D"/>
    <w:pPr>
      <w:pBdr>
        <w:top w:val="single" w:sz="4" w:space="1" w:color="auto"/>
        <w:left w:val="single" w:sz="4" w:space="4" w:color="auto"/>
        <w:bottom w:val="single" w:sz="4" w:space="1" w:color="auto"/>
        <w:right w:val="single" w:sz="4" w:space="4" w:color="auto"/>
      </w:pBdr>
      <w:spacing w:before="360"/>
      <w:ind w:left="113" w:right="113"/>
      <w:jc w:val="center"/>
    </w:pPr>
    <w:rPr>
      <w:b/>
      <w:sz w:val="32"/>
    </w:rPr>
  </w:style>
  <w:style w:type="character" w:customStyle="1" w:styleId="FooterSensitivityChar">
    <w:name w:val="Footer Sensitivity Char"/>
    <w:basedOn w:val="DefaultParagraphFont"/>
    <w:link w:val="FooterSensitivity"/>
    <w:rsid w:val="00AA655D"/>
    <w:rPr>
      <w:b/>
      <w:sz w:val="32"/>
      <w:szCs w:val="24"/>
    </w:rPr>
  </w:style>
  <w:style w:type="paragraph" w:customStyle="1" w:styleId="HeaderCoverPage">
    <w:name w:val="Header Cover Page"/>
    <w:basedOn w:val="Normal"/>
    <w:link w:val="HeaderCoverPageChar"/>
    <w:rsid w:val="00AA655D"/>
    <w:pPr>
      <w:tabs>
        <w:tab w:val="center" w:pos="4535"/>
        <w:tab w:val="right" w:pos="9071"/>
      </w:tabs>
      <w:spacing w:after="120"/>
      <w:jc w:val="both"/>
    </w:pPr>
  </w:style>
  <w:style w:type="character" w:customStyle="1" w:styleId="HeaderCoverPageChar">
    <w:name w:val="Header Cover Page Char"/>
    <w:basedOn w:val="DefaultParagraphFont"/>
    <w:link w:val="HeaderCoverPage"/>
    <w:rsid w:val="00AA655D"/>
    <w:rPr>
      <w:sz w:val="24"/>
      <w:szCs w:val="24"/>
    </w:rPr>
  </w:style>
  <w:style w:type="paragraph" w:customStyle="1" w:styleId="HeaderSensitivity">
    <w:name w:val="Header Sensitivity"/>
    <w:basedOn w:val="Normal"/>
    <w:link w:val="HeaderSensitivityChar"/>
    <w:rsid w:val="00AA655D"/>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DefaultParagraphFont"/>
    <w:link w:val="HeaderSensitivity"/>
    <w:rsid w:val="00AA655D"/>
    <w:rPr>
      <w:b/>
      <w:sz w:val="32"/>
      <w:szCs w:val="24"/>
    </w:rPr>
  </w:style>
  <w:style w:type="paragraph" w:customStyle="1" w:styleId="HeaderSensitivityRight">
    <w:name w:val="Header Sensitivity Right"/>
    <w:basedOn w:val="Normal"/>
    <w:link w:val="HeaderSensitivityRightChar"/>
    <w:rsid w:val="000C06D5"/>
    <w:pPr>
      <w:spacing w:after="120"/>
      <w:jc w:val="right"/>
    </w:pPr>
    <w:rPr>
      <w:sz w:val="28"/>
    </w:rPr>
  </w:style>
  <w:style w:type="character" w:customStyle="1" w:styleId="HeaderSensitivityRightChar">
    <w:name w:val="Header Sensitivity Right Char"/>
    <w:basedOn w:val="DefaultParagraphFont"/>
    <w:link w:val="HeaderSensitivityRight"/>
    <w:rsid w:val="00AA655D"/>
    <w:rPr>
      <w:sz w:val="28"/>
      <w:szCs w:val="24"/>
    </w:rPr>
  </w:style>
  <w:style w:type="paragraph" w:styleId="FootnoteText">
    <w:name w:val="footnote text"/>
    <w:aliases w:val="M Footnotes,Fußnotentextf,Footnote,Fußnote,Char Char Car,Note de bas de page Car Car Car Car Car Car Car Car Car Car,Note de bas de page Car Car Car Car,Note de bas de page Car Car Car Car Car Car Car Car Car,ft,Footnote Text Char1,fn,o,f"/>
    <w:basedOn w:val="Normal"/>
    <w:link w:val="FootnoteTextChar"/>
    <w:uiPriority w:val="99"/>
    <w:qFormat/>
    <w:rsid w:val="00AA655D"/>
    <w:rPr>
      <w:rFonts w:eastAsia="Calibri"/>
      <w:sz w:val="20"/>
      <w:szCs w:val="20"/>
    </w:rPr>
  </w:style>
  <w:style w:type="character" w:customStyle="1" w:styleId="FootnoteTextChar">
    <w:name w:val="Footnote Text Char"/>
    <w:aliases w:val="M Footnotes Char,Fußnotentextf Char,Footnote Char,Fußnote Char,Char Char Car Char,Note de bas de page Car Car Car Car Car Car Car Car Car Car Char,Note de bas de page Car Car Car Car Char,ft Char,Footnote Text Char1 Char,fn Char"/>
    <w:basedOn w:val="DefaultParagraphFont"/>
    <w:link w:val="FootnoteText"/>
    <w:uiPriority w:val="99"/>
    <w:rsid w:val="00AA655D"/>
    <w:rPr>
      <w:rFonts w:eastAsia="Calibri"/>
      <w:lang w:val="es-ES"/>
    </w:rPr>
  </w:style>
  <w:style w:type="character" w:styleId="FootnoteReference">
    <w:name w:val="footnote reference"/>
    <w:aliases w:val="EN Footnote Reference,Times 10 Point,Exposant 3 Point,Footnote symbol,Footnote reference number,note TESI,stylish,Footnote Reference Superscript,BVI fnr,number,Voetnootverwijzing,SUPERS,Ref,de nota al pie,Footnote sign,callout"/>
    <w:uiPriority w:val="99"/>
    <w:unhideWhenUsed/>
    <w:qFormat/>
    <w:rsid w:val="00AA655D"/>
    <w:rPr>
      <w:shd w:val="clear" w:color="auto" w:fill="auto"/>
      <w:vertAlign w:val="superscript"/>
    </w:rPr>
  </w:style>
  <w:style w:type="character" w:styleId="Hyperlink">
    <w:name w:val="Hyperlink"/>
    <w:rsid w:val="00AA655D"/>
    <w:rPr>
      <w:color w:val="0000FF"/>
      <w:u w:val="single"/>
    </w:rPr>
  </w:style>
  <w:style w:type="paragraph" w:customStyle="1" w:styleId="Default">
    <w:name w:val="Default"/>
    <w:rsid w:val="00AA655D"/>
    <w:pPr>
      <w:autoSpaceDE w:val="0"/>
      <w:autoSpaceDN w:val="0"/>
      <w:adjustRightInd w:val="0"/>
    </w:pPr>
    <w:rPr>
      <w:rFonts w:ascii="Calibri" w:hAnsi="Calibri" w:cs="Calibri"/>
      <w:color w:val="000000"/>
      <w:sz w:val="24"/>
      <w:szCs w:val="24"/>
    </w:rPr>
  </w:style>
  <w:style w:type="paragraph" w:styleId="ListParagraph">
    <w:name w:val="List Paragraph"/>
    <w:basedOn w:val="Normal"/>
    <w:uiPriority w:val="34"/>
    <w:qFormat/>
    <w:rsid w:val="00AA655D"/>
    <w:pPr>
      <w:ind w:left="720"/>
    </w:pPr>
    <w:rPr>
      <w:rFonts w:ascii="Calibri" w:eastAsia="Calibri" w:hAnsi="Calibri" w:cs="Calibri"/>
      <w:sz w:val="22"/>
      <w:szCs w:val="22"/>
      <w:lang w:eastAsia="en-GB"/>
    </w:rPr>
  </w:style>
  <w:style w:type="paragraph" w:styleId="BalloonText">
    <w:name w:val="Balloon Text"/>
    <w:basedOn w:val="Normal"/>
    <w:link w:val="BalloonTextChar"/>
    <w:semiHidden/>
    <w:unhideWhenUsed/>
    <w:rsid w:val="00BC3F24"/>
    <w:rPr>
      <w:rFonts w:ascii="Segoe UI" w:hAnsi="Segoe UI" w:cs="Segoe UI"/>
      <w:sz w:val="18"/>
      <w:szCs w:val="18"/>
    </w:rPr>
  </w:style>
  <w:style w:type="character" w:customStyle="1" w:styleId="BalloonTextChar">
    <w:name w:val="Balloon Text Char"/>
    <w:basedOn w:val="DefaultParagraphFont"/>
    <w:link w:val="BalloonText"/>
    <w:semiHidden/>
    <w:rsid w:val="00BC3F24"/>
    <w:rPr>
      <w:rFonts w:ascii="Segoe UI" w:hAnsi="Segoe UI" w:cs="Segoe UI"/>
      <w:sz w:val="18"/>
      <w:szCs w:val="18"/>
      <w:lang w:val="es-ES"/>
    </w:rPr>
  </w:style>
  <w:style w:type="character" w:styleId="Strong">
    <w:name w:val="Strong"/>
    <w:basedOn w:val="DefaultParagraphFont"/>
    <w:uiPriority w:val="22"/>
    <w:qFormat/>
    <w:rsid w:val="00261DE1"/>
    <w:rPr>
      <w:b/>
      <w:bCs/>
    </w:rPr>
  </w:style>
  <w:style w:type="character" w:styleId="CommentReference">
    <w:name w:val="annotation reference"/>
    <w:basedOn w:val="DefaultParagraphFont"/>
    <w:semiHidden/>
    <w:unhideWhenUsed/>
    <w:rsid w:val="00A3660F"/>
    <w:rPr>
      <w:sz w:val="16"/>
      <w:szCs w:val="16"/>
    </w:rPr>
  </w:style>
  <w:style w:type="paragraph" w:styleId="CommentText">
    <w:name w:val="annotation text"/>
    <w:basedOn w:val="Normal"/>
    <w:link w:val="CommentTextChar"/>
    <w:semiHidden/>
    <w:unhideWhenUsed/>
    <w:rsid w:val="00A3660F"/>
    <w:rPr>
      <w:sz w:val="20"/>
      <w:szCs w:val="20"/>
    </w:rPr>
  </w:style>
  <w:style w:type="character" w:customStyle="1" w:styleId="CommentTextChar">
    <w:name w:val="Comment Text Char"/>
    <w:basedOn w:val="DefaultParagraphFont"/>
    <w:link w:val="CommentText"/>
    <w:semiHidden/>
    <w:rsid w:val="00A3660F"/>
    <w:rPr>
      <w:lang w:val="es-ES"/>
    </w:rPr>
  </w:style>
  <w:style w:type="paragraph" w:styleId="CommentSubject">
    <w:name w:val="annotation subject"/>
    <w:basedOn w:val="CommentText"/>
    <w:next w:val="CommentText"/>
    <w:link w:val="CommentSubjectChar"/>
    <w:semiHidden/>
    <w:unhideWhenUsed/>
    <w:rsid w:val="00A3660F"/>
    <w:rPr>
      <w:b/>
      <w:bCs/>
    </w:rPr>
  </w:style>
  <w:style w:type="character" w:customStyle="1" w:styleId="CommentSubjectChar">
    <w:name w:val="Comment Subject Char"/>
    <w:basedOn w:val="CommentTextChar"/>
    <w:link w:val="CommentSubject"/>
    <w:semiHidden/>
    <w:rsid w:val="00A3660F"/>
    <w:rPr>
      <w:b/>
      <w:bCs/>
      <w:lang w:val="es-ES"/>
    </w:rPr>
  </w:style>
  <w:style w:type="paragraph" w:styleId="Revision">
    <w:name w:val="Revision"/>
    <w:hidden/>
    <w:uiPriority w:val="99"/>
    <w:semiHidden/>
    <w:rsid w:val="00A3660F"/>
    <w:rPr>
      <w:sz w:val="24"/>
      <w:szCs w:val="24"/>
    </w:rPr>
  </w:style>
  <w:style w:type="paragraph" w:styleId="EndnoteText">
    <w:name w:val="endnote text"/>
    <w:basedOn w:val="Normal"/>
    <w:link w:val="EndnoteTextChar"/>
    <w:semiHidden/>
    <w:unhideWhenUsed/>
    <w:rsid w:val="001B5C4A"/>
    <w:rPr>
      <w:sz w:val="20"/>
      <w:szCs w:val="20"/>
    </w:rPr>
  </w:style>
  <w:style w:type="character" w:customStyle="1" w:styleId="EndnoteTextChar">
    <w:name w:val="Endnote Text Char"/>
    <w:basedOn w:val="DefaultParagraphFont"/>
    <w:link w:val="EndnoteText"/>
    <w:semiHidden/>
    <w:rsid w:val="001B5C4A"/>
    <w:rPr>
      <w:lang w:val="es-ES"/>
    </w:rPr>
  </w:style>
  <w:style w:type="character" w:styleId="EndnoteReference">
    <w:name w:val="endnote reference"/>
    <w:basedOn w:val="DefaultParagraphFont"/>
    <w:semiHidden/>
    <w:unhideWhenUsed/>
    <w:rsid w:val="001B5C4A"/>
    <w:rPr>
      <w:vertAlign w:val="superscript"/>
    </w:rPr>
  </w:style>
  <w:style w:type="paragraph" w:customStyle="1" w:styleId="Briefingtext">
    <w:name w:val="Briefing text"/>
    <w:basedOn w:val="Normal"/>
    <w:link w:val="BriefingtextChar"/>
    <w:rsid w:val="00ED213C"/>
    <w:pPr>
      <w:spacing w:after="240"/>
      <w:jc w:val="both"/>
    </w:pPr>
    <w:rPr>
      <w:rFonts w:ascii="Arial" w:eastAsia="Times New Roman" w:hAnsi="Arial" w:cs="Arial"/>
      <w:sz w:val="22"/>
    </w:rPr>
  </w:style>
  <w:style w:type="character" w:customStyle="1" w:styleId="BriefingtextChar">
    <w:name w:val="Briefing text Char"/>
    <w:link w:val="Briefingtext"/>
    <w:rsid w:val="00ED213C"/>
    <w:rPr>
      <w:rFonts w:ascii="Arial" w:eastAsia="Times New Roman" w:hAnsi="Arial" w:cs="Arial"/>
      <w:sz w:val="22"/>
      <w:szCs w:val="24"/>
      <w:lang w:val="es-ES"/>
    </w:rPr>
  </w:style>
  <w:style w:type="paragraph" w:customStyle="1" w:styleId="Typedudocument">
    <w:name w:val="Type du document"/>
    <w:basedOn w:val="Normal"/>
    <w:next w:val="Normal"/>
    <w:rsid w:val="0028246A"/>
    <w:pPr>
      <w:spacing w:before="360"/>
      <w:jc w:val="center"/>
    </w:pPr>
    <w:rPr>
      <w:b/>
      <w:szCs w:val="22"/>
    </w:rPr>
  </w:style>
  <w:style w:type="paragraph" w:customStyle="1" w:styleId="Titreobjet">
    <w:name w:val="Titre objet"/>
    <w:basedOn w:val="Normal"/>
    <w:next w:val="Normal"/>
    <w:rsid w:val="0028246A"/>
    <w:pPr>
      <w:spacing w:before="360" w:after="360"/>
      <w:jc w:val="center"/>
    </w:pPr>
    <w:rPr>
      <w:b/>
      <w:szCs w:val="22"/>
    </w:rPr>
  </w:style>
  <w:style w:type="character" w:styleId="FollowedHyperlink">
    <w:name w:val="FollowedHyperlink"/>
    <w:basedOn w:val="DefaultParagraphFont"/>
    <w:semiHidden/>
    <w:unhideWhenUsed/>
    <w:rsid w:val="003B2BCC"/>
    <w:rPr>
      <w:color w:val="800080" w:themeColor="followedHyperlink"/>
      <w:u w:val="single"/>
    </w:rPr>
  </w:style>
  <w:style w:type="paragraph" w:styleId="NormalWeb">
    <w:name w:val="Normal (Web)"/>
    <w:basedOn w:val="Normal"/>
    <w:uiPriority w:val="99"/>
    <w:semiHidden/>
    <w:unhideWhenUsed/>
    <w:rsid w:val="00B930EF"/>
    <w:pPr>
      <w:spacing w:after="160" w:line="259" w:lineRule="auto"/>
    </w:pPr>
  </w:style>
  <w:style w:type="character" w:customStyle="1" w:styleId="UnresolvedMention">
    <w:name w:val="Unresolved Mention"/>
    <w:basedOn w:val="DefaultParagraphFont"/>
    <w:uiPriority w:val="99"/>
    <w:semiHidden/>
    <w:unhideWhenUsed/>
    <w:rsid w:val="005F47EB"/>
    <w:rPr>
      <w:color w:val="605E5C"/>
      <w:shd w:val="clear" w:color="auto" w:fill="E1DFDD"/>
    </w:rPr>
  </w:style>
  <w:style w:type="paragraph" w:customStyle="1" w:styleId="Disclaimer">
    <w:name w:val="Disclaimer"/>
    <w:basedOn w:val="Normal"/>
    <w:rsid w:val="000C06D5"/>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jc w:val="both"/>
    </w:pPr>
    <w:rPr>
      <w:szCs w:val="22"/>
    </w:rPr>
  </w:style>
  <w:style w:type="paragraph" w:customStyle="1" w:styleId="SecurityMarking">
    <w:name w:val="SecurityMarking"/>
    <w:basedOn w:val="Normal"/>
    <w:rsid w:val="000C06D5"/>
    <w:pPr>
      <w:spacing w:line="276" w:lineRule="auto"/>
      <w:ind w:left="5103"/>
    </w:pPr>
    <w:rPr>
      <w:sz w:val="28"/>
      <w:szCs w:val="22"/>
    </w:rPr>
  </w:style>
  <w:style w:type="paragraph" w:customStyle="1" w:styleId="DateMarking">
    <w:name w:val="DateMarking"/>
    <w:basedOn w:val="Normal"/>
    <w:rsid w:val="000C06D5"/>
    <w:pPr>
      <w:spacing w:line="276" w:lineRule="auto"/>
      <w:ind w:left="5103"/>
    </w:pPr>
    <w:rPr>
      <w:i/>
      <w:sz w:val="28"/>
      <w:szCs w:val="22"/>
    </w:rPr>
  </w:style>
  <w:style w:type="paragraph" w:customStyle="1" w:styleId="ReleasableTo">
    <w:name w:val="ReleasableTo"/>
    <w:basedOn w:val="Normal"/>
    <w:rsid w:val="000C06D5"/>
    <w:pPr>
      <w:spacing w:line="276" w:lineRule="auto"/>
      <w:ind w:left="5103"/>
    </w:pPr>
    <w:rPr>
      <w:i/>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image" Target="media/image5.emf"/><Relationship Id="rId26" Type="http://schemas.openxmlformats.org/officeDocument/2006/relationships/image" Target="media/image13.emf"/><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8.emf"/><Relationship Id="rId34" Type="http://schemas.openxmlformats.org/officeDocument/2006/relationships/header" Target="header8.xml"/><Relationship Id="rId47"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emf"/><Relationship Id="rId25" Type="http://schemas.openxmlformats.org/officeDocument/2006/relationships/image" Target="media/image12.emf"/><Relationship Id="rId33" Type="http://schemas.openxmlformats.org/officeDocument/2006/relationships/header" Target="header7.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7.emf"/><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1.emf"/><Relationship Id="rId32" Type="http://schemas.openxmlformats.org/officeDocument/2006/relationships/footer" Target="footer6.xml"/><Relationship Id="rId37" Type="http://schemas.openxmlformats.org/officeDocument/2006/relationships/header" Target="header9.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emf"/><Relationship Id="rId23" Type="http://schemas.openxmlformats.org/officeDocument/2006/relationships/image" Target="media/image10.emf"/><Relationship Id="rId28" Type="http://schemas.openxmlformats.org/officeDocument/2006/relationships/header" Target="header5.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image" Target="media/image6.emf"/><Relationship Id="rId31"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9.emf"/><Relationship Id="rId27" Type="http://schemas.openxmlformats.org/officeDocument/2006/relationships/header" Target="header4.xml"/><Relationship Id="rId30" Type="http://schemas.openxmlformats.org/officeDocument/2006/relationships/footer" Target="footer5.xml"/><Relationship Id="rId35" Type="http://schemas.openxmlformats.org/officeDocument/2006/relationships/footer" Target="footer7.xml"/><Relationship Id="rId48" Type="http://schemas.microsoft.com/office/2016/09/relationships/commentsIds" Target="commentsIds.xml"/></Relationships>
</file>

<file path=word/_rels/footnotes.xml.rels><?xml version="1.0" encoding="UTF-8" standalone="yes"?>
<Relationships xmlns="http://schemas.openxmlformats.org/package/2006/relationships"><Relationship Id="rId3" Type="http://schemas.openxmlformats.org/officeDocument/2006/relationships/hyperlink" Target="https://trade.ec.europa.eu/doclib/docs/2021/december/tradoc_159950.pdf" TargetMode="External"/><Relationship Id="rId7" Type="http://schemas.openxmlformats.org/officeDocument/2006/relationships/hyperlink" Target="https://ec.europa.eu/transparency/documents-register/detail?ref=COM(2019)562&amp;lang=es" TargetMode="External"/><Relationship Id="rId2" Type="http://schemas.openxmlformats.org/officeDocument/2006/relationships/hyperlink" Target="https://ec.europa.eu/commission/presscorner/detail/es/STATEMENT_21_4951" TargetMode="External"/><Relationship Id="rId1" Type="http://schemas.openxmlformats.org/officeDocument/2006/relationships/hyperlink" Target="https://eur-lex.europa.eu/eli/reg/2021/821/oj" TargetMode="External"/><Relationship Id="rId6" Type="http://schemas.openxmlformats.org/officeDocument/2006/relationships/hyperlink" Target="https://trade.ec.europa.eu/doclib/docs/2022/february/tradoc_160037.pdf" TargetMode="External"/><Relationship Id="rId5" Type="http://schemas.openxmlformats.org/officeDocument/2006/relationships/hyperlink" Target="https://trade.ec.europa.eu/doclib/docs/2021/november/tradoc_159903.pdf" TargetMode="External"/><Relationship Id="rId4" Type="http://schemas.openxmlformats.org/officeDocument/2006/relationships/hyperlink" Target="https://futurium.ec.europa.eu/en/EU-US-TTC/wg7/documents/summary-public-feedback-consultation-working-group-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68F24900-4B19-43C6-862A-D28CADCDA4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5152</Words>
  <Characters>27464</Characters>
  <Application>Microsoft Office Word</Application>
  <DocSecurity>0</DocSecurity>
  <Lines>572</Lines>
  <Paragraphs>134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32482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2022-06-29T10:41:00Z</dcterms:created>
  <dcterms:modified xsi:type="dcterms:W3CDTF">2022-08-31T06:47:00Z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vel of sensitivity">
    <vt:lpwstr>Standard treatment</vt:lpwstr>
  </property>
  <property fmtid="{D5CDD505-2E9C-101B-9397-08002B2CF9AE}" pid="3" name="Last edited using">
    <vt:lpwstr>LW 8.0.1, Build 20220429</vt:lpwstr>
  </property>
  <property fmtid="{D5CDD505-2E9C-101B-9397-08002B2CF9AE}" pid="4" name="DocStatus">
    <vt:lpwstr>Green</vt:lpwstr>
  </property>
  <property fmtid="{D5CDD505-2E9C-101B-9397-08002B2CF9AE}" pid="5" name="Part">
    <vt:lpwstr>1</vt:lpwstr>
  </property>
  <property fmtid="{D5CDD505-2E9C-101B-9397-08002B2CF9AE}" pid="6" name="Total parts">
    <vt:lpwstr>1</vt:lpwstr>
  </property>
  <property fmtid="{D5CDD505-2E9C-101B-9397-08002B2CF9AE}" pid="7" name="CPTemplateID">
    <vt:lpwstr>CP-006</vt:lpwstr>
  </property>
</Properties>
</file>