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062" w:rsidRDefault="009D6695" w:rsidP="009D6695">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F1B5B1F7-8E83-47F1-B37B-15932AFA6035" style="width:455.25pt;height:393pt">
            <v:imagedata r:id="rId8" o:title=""/>
          </v:shape>
        </w:pict>
      </w:r>
    </w:p>
    <w:bookmarkEnd w:id="0"/>
    <w:p w:rsidR="00486062" w:rsidRDefault="00486062" w:rsidP="00150DE0">
      <w:pPr>
        <w:spacing w:line="240" w:lineRule="auto"/>
        <w:rPr>
          <w:noProof/>
        </w:rPr>
        <w:sectPr w:rsidR="00486062" w:rsidSect="009D6695">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C62714" w:rsidRPr="0004648B" w:rsidRDefault="00C62714" w:rsidP="00150DE0">
      <w:pPr>
        <w:pStyle w:val="ListParagraph"/>
        <w:numPr>
          <w:ilvl w:val="0"/>
          <w:numId w:val="4"/>
        </w:numPr>
        <w:ind w:hanging="720"/>
        <w:rPr>
          <w:b/>
          <w:noProof/>
          <w:szCs w:val="24"/>
        </w:rPr>
      </w:pPr>
      <w:bookmarkStart w:id="1" w:name="_GoBack"/>
      <w:bookmarkEnd w:id="1"/>
      <w:r>
        <w:rPr>
          <w:b/>
          <w:noProof/>
          <w:szCs w:val="24"/>
        </w:rPr>
        <w:lastRenderedPageBreak/>
        <w:t>SOLIDARIDAD EUROPEA CON UCRANIA</w:t>
      </w:r>
    </w:p>
    <w:p w:rsidR="00C62714" w:rsidRPr="00150DE0" w:rsidRDefault="00C62714" w:rsidP="00150DE0">
      <w:pPr>
        <w:shd w:val="clear" w:color="auto" w:fill="FFFFFF"/>
        <w:spacing w:after="195"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La agresión militar no provocada y la invasión de Ucrania por parte de Rusia han conmocionado al mundo. La condena a escala mundial ha sido confirmada por una abrumadora mayoría de Estados en el seno de las Naciones Unidas</w:t>
      </w:r>
      <w:r>
        <w:rPr>
          <w:rFonts w:ascii="Times New Roman" w:eastAsia="Times New Roman" w:hAnsi="Times New Roman" w:cs="Times New Roman"/>
          <w:noProof/>
          <w:sz w:val="24"/>
          <w:szCs w:val="24"/>
          <w:vertAlign w:val="superscript"/>
          <w:lang w:val="en-IE" w:eastAsia="fr-BE"/>
        </w:rPr>
        <w:footnoteReference w:id="2"/>
      </w:r>
      <w:r>
        <w:rPr>
          <w:rFonts w:ascii="Times New Roman" w:hAnsi="Times New Roman"/>
          <w:noProof/>
          <w:sz w:val="24"/>
          <w:szCs w:val="24"/>
        </w:rPr>
        <w:t xml:space="preserve">. Rusia ha quebrantado el orden internacional basado en normas y su actuación tiene por objeto desestabilizar la arquitectura de seguridad europea. Los ataques indiscriminados contra la población civil han provocado una pérdida masiva de vidas humanas, causando innumerables situaciones trágicas entre las familias y la destrucción de comunidades pacíficas. La determinación del pueblo ucraniano de hacer todo lo posible en defensa de la democracia y de su nación ha sido extraordinaria. </w:t>
      </w:r>
    </w:p>
    <w:p w:rsidR="00C62714" w:rsidRPr="00150DE0" w:rsidRDefault="00C62714" w:rsidP="00150DE0">
      <w:pPr>
        <w:shd w:val="clear" w:color="auto" w:fill="FFFFFF"/>
        <w:spacing w:after="195"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La UE y sus Estados miembros, junto con sus socios, se han mantenido a la vanguardia de los esfuerzos por evitar un derramamiento de sangre y, posteriormente, por responder al ataque de Putin contra una nación soberana y pacífica como Ucrania con sanciones sin precedentes a la Federación de Rusia y Bielorrusia</w:t>
      </w:r>
      <w:r>
        <w:rPr>
          <w:rFonts w:ascii="Times New Roman" w:eastAsia="Times New Roman" w:hAnsi="Times New Roman" w:cs="Times New Roman"/>
          <w:noProof/>
          <w:sz w:val="24"/>
          <w:szCs w:val="24"/>
          <w:vertAlign w:val="superscript"/>
          <w:lang w:val="en-IE" w:eastAsia="fr-BE"/>
        </w:rPr>
        <w:footnoteReference w:id="3"/>
      </w:r>
      <w:r>
        <w:rPr>
          <w:rFonts w:ascii="Times New Roman" w:hAnsi="Times New Roman"/>
          <w:noProof/>
          <w:sz w:val="24"/>
          <w:szCs w:val="24"/>
        </w:rPr>
        <w:t xml:space="preserve">. Esto también refleja la oleada de indignación en todo el mundo ante el desprecio mostrado por la vida humana, los derechos humanos, el Derecho internacional y los valores que tenemos en tanta estima. </w:t>
      </w:r>
    </w:p>
    <w:p w:rsidR="00C62714" w:rsidRPr="00150DE0" w:rsidRDefault="00C62714" w:rsidP="00150DE0">
      <w:pPr>
        <w:shd w:val="clear" w:color="auto" w:fill="FFFFFF"/>
        <w:spacing w:after="195"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Es evidente que se ha producido, en favor de todos aquellos que huyen de la guerra, un apoyo global y unánime por parte de la UE, combinado con una solidaridad admirable por parte de los ciudadanos europeos. El número de personas desplazadas de sus hogares y obligadas a huir de Ucrania se cuenta ya por millones y crece por horas. La UE lidera la labor de aportar ayuda humanitaria directa a las víctimas de la agresión. Los notables esfuerzos desplegados por los Estados miembros sometidos a presión están siendo respaldados por la UE mediante el suministro directo de alojamiento, alimentos y asistencia sanitaria, y la concesión a las personas que huyen de la guerra en Ucrania de un estatuto claro a través de una oferta sin precedentes de protección temporal. </w:t>
      </w:r>
    </w:p>
    <w:p w:rsidR="00C62714" w:rsidRPr="00150DE0" w:rsidRDefault="00C62714" w:rsidP="00150DE0">
      <w:pPr>
        <w:spacing w:line="240" w:lineRule="auto"/>
        <w:jc w:val="both"/>
        <w:rPr>
          <w:rFonts w:ascii="Times New Roman" w:hAnsi="Times New Roman" w:cs="Times New Roman"/>
          <w:noProof/>
          <w:sz w:val="24"/>
          <w:szCs w:val="24"/>
        </w:rPr>
      </w:pPr>
      <w:r>
        <w:rPr>
          <w:rFonts w:ascii="Times New Roman" w:hAnsi="Times New Roman"/>
          <w:noProof/>
          <w:sz w:val="24"/>
          <w:szCs w:val="24"/>
        </w:rPr>
        <w:t>El impacto de esta respuesta política dinámica se está multiplicando como consecuencia de la actitud compasiva de millones de europeos ante la grave situación que atraviesan los refugiados</w:t>
      </w:r>
      <w:r>
        <w:rPr>
          <w:rStyle w:val="FootnoteReference"/>
          <w:rFonts w:ascii="Times New Roman" w:eastAsia="Times New Roman" w:hAnsi="Times New Roman" w:cs="Times New Roman"/>
          <w:noProof/>
          <w:sz w:val="24"/>
          <w:szCs w:val="24"/>
          <w:lang w:val="en-IE" w:eastAsia="fr-BE"/>
        </w:rPr>
        <w:footnoteReference w:id="4"/>
      </w:r>
      <w:r>
        <w:rPr>
          <w:rFonts w:ascii="Times New Roman" w:hAnsi="Times New Roman"/>
          <w:noProof/>
          <w:sz w:val="24"/>
          <w:szCs w:val="24"/>
        </w:rPr>
        <w:t>. La buena disposición mostrada por las familias para acoger a los refugiados en sus hogares, por las comunidades para proporcionar alimentos y alojamiento, por las empresas para ofrecer servicios y empleo, y por las personas de toda la UE y de fuera de ella para ofrecer suministros y apoyo es una clara demostración de los valores europeos en acción. Supone un compromiso en el que basarse a medida que la magnitud creciente de la crisis de los refugiados se combina con la necesidad de proporcionar estabilidad a las personas tras el trauma de la guerra. La Comisión publicará en el sitio web Europa información a fin de ayudar a los ciudadanos y al sector privado a garantizar que el apoyo que brindan a quienes huyen de la guerra pueda canalizarse a través de organizaciones de confianza y satisfacer las necesidades que surjan</w:t>
      </w:r>
      <w:r>
        <w:rPr>
          <w:rStyle w:val="FootnoteReference"/>
          <w:rFonts w:ascii="Times New Roman" w:eastAsia="Times New Roman" w:hAnsi="Times New Roman" w:cs="Times New Roman"/>
          <w:noProof/>
          <w:sz w:val="24"/>
          <w:szCs w:val="24"/>
          <w:lang w:val="en-IE" w:eastAsia="fr-BE"/>
        </w:rPr>
        <w:footnoteReference w:id="5"/>
      </w:r>
      <w:r>
        <w:rPr>
          <w:rFonts w:ascii="Times New Roman" w:hAnsi="Times New Roman"/>
          <w:noProof/>
          <w:sz w:val="24"/>
          <w:szCs w:val="24"/>
        </w:rPr>
        <w:t>. También es importante garantizar que se facilite información de elevada calidad a fin de contrarrestar la desinformación destinada a socavar la solidaridad de Europa.</w:t>
      </w:r>
    </w:p>
    <w:p w:rsidR="00C62714" w:rsidRPr="0084767F" w:rsidRDefault="00C62714" w:rsidP="00150DE0">
      <w:pPr>
        <w:shd w:val="clear" w:color="auto" w:fill="FFFFFF"/>
        <w:spacing w:after="195" w:line="240" w:lineRule="auto"/>
        <w:jc w:val="both"/>
        <w:rPr>
          <w:rFonts w:ascii="Times New Roman" w:eastAsia="Times New Roman" w:hAnsi="Times New Roman" w:cs="Times New Roman"/>
          <w:b/>
          <w:i/>
          <w:noProof/>
          <w:color w:val="333333"/>
          <w:sz w:val="24"/>
          <w:szCs w:val="24"/>
        </w:rPr>
      </w:pPr>
      <w:r>
        <w:rPr>
          <w:rFonts w:ascii="Times New Roman" w:hAnsi="Times New Roman"/>
          <w:b/>
          <w:i/>
          <w:noProof/>
          <w:color w:val="333333"/>
          <w:sz w:val="24"/>
          <w:szCs w:val="24"/>
        </w:rPr>
        <w:t>El compromiso de la UE de ayudar a las personas necesitadas es inquebrantable. Estaremos a la altura de nuestros valores y acogeremos a todos los que huyan de la agresión rusa con respeto y humanidad. Seguiremos intensificando la prestación efectiva de asistencia de emergencia y ayuda humanitaria. La solidaridad será la piedra angular de la UE en el proceso de dar respuesta al reto que supondrá la llegada de refugiados en los próximos meses.</w:t>
      </w:r>
    </w:p>
    <w:tbl>
      <w:tblPr>
        <w:tblStyle w:val="TableGrid"/>
        <w:tblW w:w="0" w:type="auto"/>
        <w:tblInd w:w="-38" w:type="dxa"/>
        <w:tblCellMar>
          <w:left w:w="70" w:type="dxa"/>
          <w:right w:w="70" w:type="dxa"/>
        </w:tblCellMar>
        <w:tblLook w:val="04A0" w:firstRow="1" w:lastRow="0" w:firstColumn="1" w:lastColumn="0" w:noHBand="0" w:noVBand="1"/>
      </w:tblPr>
      <w:tblGrid>
        <w:gridCol w:w="9170"/>
      </w:tblGrid>
      <w:tr w:rsidR="00C62714" w:rsidRPr="002E76E7" w:rsidTr="001F18CB">
        <w:tc>
          <w:tcPr>
            <w:tcW w:w="9016" w:type="dxa"/>
          </w:tcPr>
          <w:p w:rsidR="00C62714" w:rsidRPr="002E76E7" w:rsidRDefault="00C62714" w:rsidP="00150DE0">
            <w:pPr>
              <w:spacing w:after="160"/>
              <w:jc w:val="both"/>
              <w:rPr>
                <w:rFonts w:ascii="Times New Roman" w:hAnsi="Times New Roman" w:cs="Times New Roman"/>
                <w:b/>
                <w:noProof/>
                <w:sz w:val="24"/>
                <w:szCs w:val="24"/>
              </w:rPr>
            </w:pPr>
            <w:r>
              <w:rPr>
                <w:noProof/>
              </w:rPr>
              <w:br w:type="page"/>
            </w:r>
            <w:r>
              <w:rPr>
                <w:noProof/>
              </w:rPr>
              <w:br w:type="page"/>
            </w:r>
            <w:r>
              <w:rPr>
                <w:noProof/>
              </w:rPr>
              <w:br w:type="page"/>
            </w:r>
            <w:r>
              <w:rPr>
                <w:rFonts w:ascii="Times New Roman" w:hAnsi="Times New Roman"/>
                <w:b/>
                <w:noProof/>
                <w:sz w:val="24"/>
                <w:szCs w:val="24"/>
              </w:rPr>
              <w:t>SITUACIÓN ACTUAL</w:t>
            </w:r>
          </w:p>
          <w:p w:rsidR="00F33C39" w:rsidRDefault="000F743C">
            <w:pPr>
              <w:pStyle w:val="ListParagraph"/>
              <w:numPr>
                <w:ilvl w:val="0"/>
                <w:numId w:val="1"/>
              </w:numPr>
              <w:spacing w:after="0"/>
              <w:ind w:left="457" w:hanging="357"/>
              <w:contextualSpacing w:val="0"/>
              <w:rPr>
                <w:noProof/>
                <w:szCs w:val="24"/>
              </w:rPr>
            </w:pPr>
            <w:r>
              <w:rPr>
                <w:noProof/>
              </w:rPr>
              <w:t>El 6 de marzo de 2022, 1,8 millones de personas habían huido de la guerra en Ucrania.</w:t>
            </w:r>
          </w:p>
          <w:p w:rsidR="000F743C" w:rsidRPr="002E76E7" w:rsidRDefault="000F743C">
            <w:pPr>
              <w:pStyle w:val="ListParagraph"/>
              <w:numPr>
                <w:ilvl w:val="0"/>
                <w:numId w:val="1"/>
              </w:numPr>
              <w:spacing w:after="0"/>
              <w:ind w:left="457" w:hanging="357"/>
              <w:contextualSpacing w:val="0"/>
              <w:rPr>
                <w:noProof/>
                <w:szCs w:val="24"/>
              </w:rPr>
            </w:pPr>
            <w:r>
              <w:rPr>
                <w:noProof/>
              </w:rPr>
              <w:t>Polonia, Hungría, Eslovaquia y Rumanía han registrado un número ingente de llegadas día tras día.</w:t>
            </w:r>
          </w:p>
          <w:p w:rsidR="00C62714" w:rsidRPr="002E76E7" w:rsidRDefault="00C62714" w:rsidP="00150DE0">
            <w:pPr>
              <w:pStyle w:val="ListParagraph"/>
              <w:spacing w:before="240" w:after="120"/>
              <w:ind w:left="459"/>
              <w:contextualSpacing w:val="0"/>
              <w:jc w:val="center"/>
              <w:rPr>
                <w:i/>
                <w:noProof/>
                <w:sz w:val="22"/>
                <w:szCs w:val="22"/>
              </w:rPr>
            </w:pPr>
            <w:r>
              <w:rPr>
                <w:i/>
                <w:noProof/>
                <w:sz w:val="22"/>
                <w:szCs w:val="22"/>
              </w:rPr>
              <w:t>Llegadas a Polonia, Hungría, Eslovaquia y Rumanía</w:t>
            </w:r>
          </w:p>
          <w:p w:rsidR="00FA21AA" w:rsidRPr="002E76E7" w:rsidRDefault="001F18CB" w:rsidP="00150DE0">
            <w:pPr>
              <w:rPr>
                <w:noProof/>
                <w:szCs w:val="24"/>
              </w:rPr>
            </w:pPr>
            <w:r>
              <w:rPr>
                <w:noProof/>
                <w:lang w:val="en-GB" w:eastAsia="en-GB"/>
              </w:rPr>
              <w:drawing>
                <wp:inline distT="0" distB="0" distL="0" distR="0" wp14:anchorId="06B55BB4" wp14:editId="05B685F2">
                  <wp:extent cx="5731510" cy="3729990"/>
                  <wp:effectExtent l="0" t="0" r="2540"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92E50" w:rsidRPr="00992E50" w:rsidRDefault="000F743C" w:rsidP="00D758E9">
            <w:pPr>
              <w:pStyle w:val="ListParagraph"/>
              <w:numPr>
                <w:ilvl w:val="0"/>
                <w:numId w:val="1"/>
              </w:numPr>
              <w:spacing w:after="0"/>
              <w:ind w:left="457" w:hanging="357"/>
              <w:contextualSpacing w:val="0"/>
              <w:rPr>
                <w:noProof/>
                <w:u w:val="single"/>
              </w:rPr>
            </w:pPr>
            <w:r>
              <w:rPr>
                <w:noProof/>
              </w:rPr>
              <w:t xml:space="preserve">Además de las personas que llegan a los Estados limítrofes con Ucrania, hay otras que </w:t>
            </w:r>
            <w:r>
              <w:rPr>
                <w:b/>
                <w:noProof/>
                <w:szCs w:val="24"/>
              </w:rPr>
              <w:t>transitan hacia otros Estados miembros</w:t>
            </w:r>
            <w:r>
              <w:rPr>
                <w:noProof/>
              </w:rPr>
              <w:t>: algunos Estados miembros han facilitado estimaciones (Chequia ha contabilizado 100 000 llegadas, Bulgaria más de 40 000 e Italia más de 17 000), y estas cifras siguen creciendo a medida que las personas prosiguen su tránsito hacia otros Estados miembros.</w:t>
            </w:r>
          </w:p>
          <w:p w:rsidR="000F743C" w:rsidRPr="006D3DF4" w:rsidRDefault="000F743C" w:rsidP="00D758E9">
            <w:pPr>
              <w:pStyle w:val="ListParagraph"/>
              <w:numPr>
                <w:ilvl w:val="0"/>
                <w:numId w:val="1"/>
              </w:numPr>
              <w:spacing w:after="0"/>
              <w:ind w:left="457" w:hanging="357"/>
              <w:contextualSpacing w:val="0"/>
              <w:rPr>
                <w:noProof/>
                <w:u w:val="single"/>
              </w:rPr>
            </w:pPr>
            <w:r>
              <w:rPr>
                <w:noProof/>
              </w:rPr>
              <w:t xml:space="preserve">Al menos el 80 % de las personas que huyen de la guerra en Ucrania son ucranianos. Además de los ciudadanos de la UE que retornan, hay personas de otras </w:t>
            </w:r>
            <w:r>
              <w:rPr>
                <w:b/>
                <w:bCs/>
                <w:noProof/>
              </w:rPr>
              <w:t>nacionalidades</w:t>
            </w:r>
            <w:r>
              <w:rPr>
                <w:noProof/>
              </w:rPr>
              <w:t>, como indios, nigerianos y turcos.</w:t>
            </w:r>
          </w:p>
          <w:p w:rsidR="0025235E" w:rsidRPr="00992E50" w:rsidRDefault="0027307C" w:rsidP="005A4674">
            <w:pPr>
              <w:pStyle w:val="ListParagraph"/>
              <w:numPr>
                <w:ilvl w:val="0"/>
                <w:numId w:val="1"/>
              </w:numPr>
              <w:spacing w:after="0"/>
              <w:ind w:left="457" w:hanging="357"/>
              <w:contextualSpacing w:val="0"/>
              <w:rPr>
                <w:noProof/>
                <w:szCs w:val="24"/>
              </w:rPr>
            </w:pPr>
            <w:r>
              <w:rPr>
                <w:noProof/>
              </w:rPr>
              <w:t xml:space="preserve">En </w:t>
            </w:r>
            <w:r>
              <w:rPr>
                <w:b/>
                <w:bCs/>
                <w:noProof/>
              </w:rPr>
              <w:t>la frontera entre Ucrania y la UE</w:t>
            </w:r>
            <w:r>
              <w:rPr>
                <w:noProof/>
              </w:rPr>
              <w:t>, se registran fluctuaciones diarias y alguna congestión ocasional, y Frontex está notificando retrasos en el lado de la frontera correspondiente a la UE de aproximadamente una hora en la mayoría de los pasos fronterizos (6 de marzo). En el lado correspondiente a Ucrania, se siguen notificando retrasos más importantes que, no obstante, están disminuyendo.</w:t>
            </w:r>
          </w:p>
          <w:p w:rsidR="003C4B9A" w:rsidRPr="00992E50" w:rsidRDefault="000F743C" w:rsidP="003C4B9A">
            <w:pPr>
              <w:pStyle w:val="ListParagraph"/>
              <w:numPr>
                <w:ilvl w:val="0"/>
                <w:numId w:val="1"/>
              </w:numPr>
              <w:spacing w:after="0"/>
              <w:ind w:left="457" w:hanging="357"/>
              <w:contextualSpacing w:val="0"/>
              <w:rPr>
                <w:noProof/>
              </w:rPr>
            </w:pPr>
            <w:r>
              <w:rPr>
                <w:noProof/>
              </w:rPr>
              <w:t xml:space="preserve">En la actualidad, </w:t>
            </w:r>
            <w:r>
              <w:rPr>
                <w:b/>
                <w:noProof/>
                <w:szCs w:val="24"/>
              </w:rPr>
              <w:t>la capacidad de acogida</w:t>
            </w:r>
            <w:r>
              <w:rPr>
                <w:noProof/>
              </w:rPr>
              <w:t xml:space="preserve"> es suficiente, habida cuenta de que muchas de las personas que llegan se desplazan rápidamente para reunirse con sus familiares o amigos. Polonia, Rumanía, Hungría y Eslovaquia siguen notificando que disponen de capacidad. </w:t>
            </w:r>
          </w:p>
          <w:p w:rsidR="00C62714" w:rsidRPr="002E76E7" w:rsidRDefault="000F743C" w:rsidP="006D3DF4">
            <w:pPr>
              <w:pStyle w:val="ListParagraph"/>
              <w:numPr>
                <w:ilvl w:val="0"/>
                <w:numId w:val="1"/>
              </w:numPr>
              <w:spacing w:after="120"/>
              <w:ind w:left="426" w:hanging="284"/>
              <w:contextualSpacing w:val="0"/>
              <w:rPr>
                <w:noProof/>
              </w:rPr>
            </w:pPr>
            <w:r>
              <w:rPr>
                <w:noProof/>
              </w:rPr>
              <w:t xml:space="preserve">Del </w:t>
            </w:r>
            <w:r>
              <w:rPr>
                <w:b/>
                <w:noProof/>
                <w:szCs w:val="24"/>
              </w:rPr>
              <w:t>28 de febrero al 6 de marzo</w:t>
            </w:r>
            <w:r>
              <w:rPr>
                <w:noProof/>
              </w:rPr>
              <w:t xml:space="preserve">, se presentaron </w:t>
            </w:r>
            <w:r>
              <w:rPr>
                <w:b/>
                <w:noProof/>
              </w:rPr>
              <w:t>8 467 solicitudes de asilo por parte de nacionales de Ucrania en los países de la UE +</w:t>
            </w:r>
            <w:r>
              <w:rPr>
                <w:rStyle w:val="FootnoteReference"/>
                <w:b/>
                <w:noProof/>
              </w:rPr>
              <w:footnoteReference w:id="6"/>
            </w:r>
            <w:r>
              <w:rPr>
                <w:noProof/>
              </w:rPr>
              <w:t>. El 39 % de estas solicitudes se registró en los cuatro Estados miembros limítrofes con Ucrania.</w:t>
            </w:r>
          </w:p>
        </w:tc>
      </w:tr>
    </w:tbl>
    <w:p w:rsidR="001F18CB" w:rsidRDefault="001F18CB" w:rsidP="00D62B49">
      <w:pPr>
        <w:keepNext/>
        <w:keepLines/>
        <w:spacing w:line="240" w:lineRule="auto"/>
        <w:rPr>
          <w:rFonts w:ascii="Times New Roman" w:hAnsi="Times New Roman"/>
          <w:b/>
          <w:noProof/>
          <w:sz w:val="24"/>
          <w:szCs w:val="24"/>
        </w:rPr>
      </w:pPr>
    </w:p>
    <w:p w:rsidR="00C62714" w:rsidRPr="0004648B" w:rsidRDefault="008A6481" w:rsidP="00D62B49">
      <w:pPr>
        <w:keepNext/>
        <w:keepLines/>
        <w:spacing w:line="240" w:lineRule="auto"/>
        <w:rPr>
          <w:rFonts w:ascii="Times New Roman" w:hAnsi="Times New Roman" w:cs="Times New Roman"/>
          <w:b/>
          <w:noProof/>
          <w:sz w:val="24"/>
          <w:szCs w:val="24"/>
        </w:rPr>
      </w:pPr>
      <w:r>
        <w:rPr>
          <w:rFonts w:ascii="Times New Roman" w:hAnsi="Times New Roman"/>
          <w:b/>
          <w:noProof/>
          <w:sz w:val="24"/>
          <w:szCs w:val="24"/>
        </w:rPr>
        <w:t>2.</w:t>
      </w:r>
      <w:r>
        <w:rPr>
          <w:noProof/>
        </w:rPr>
        <w:tab/>
      </w:r>
      <w:r>
        <w:rPr>
          <w:rFonts w:ascii="Times New Roman" w:hAnsi="Times New Roman"/>
          <w:b/>
          <w:noProof/>
          <w:sz w:val="24"/>
          <w:szCs w:val="24"/>
        </w:rPr>
        <w:t>AYUDA HUMANITARIA</w:t>
      </w:r>
    </w:p>
    <w:p w:rsidR="00C62714" w:rsidRDefault="00C62714" w:rsidP="00150DE0">
      <w:pPr>
        <w:spacing w:line="240" w:lineRule="auto"/>
        <w:jc w:val="both"/>
        <w:rPr>
          <w:rFonts w:ascii="Times New Roman" w:hAnsi="Times New Roman" w:cs="Times New Roman"/>
          <w:noProof/>
          <w:sz w:val="24"/>
          <w:szCs w:val="24"/>
        </w:rPr>
      </w:pPr>
      <w:r>
        <w:rPr>
          <w:rFonts w:ascii="Times New Roman" w:hAnsi="Times New Roman"/>
          <w:noProof/>
          <w:sz w:val="24"/>
          <w:szCs w:val="24"/>
        </w:rPr>
        <w:t>Aún no se ha revelado plenamente la escala de la catástrofe humanitaria en Ucrania. Europa está siendo testigo de una destrucción y un desplazamiento de población cuya magnitud no se había visto desde los tiempos más oscuros del siglo pasado. La UE está realizando un esfuerzo ímprobo por aportar ayuda humanitaria de emergencia, trabajando codo con codo con los Estados miembros, los organismos de ayuda y sus aliados en la comunidad internacional. Se han destinado al menos 500 millones EUR del presupuesto de la UE a hacer frente a las consecuencias humanitarias de esta guerra trágica, tanto dentro como fuera de Ucrania.</w:t>
      </w:r>
    </w:p>
    <w:p w:rsidR="00C62714" w:rsidRPr="00E90219" w:rsidRDefault="00C62714" w:rsidP="00150DE0">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La UE está proporcionando apoyo a gran escala a la propia Ucrania para ayudarla a resistir la crisis, incluida </w:t>
      </w:r>
      <w:r>
        <w:rPr>
          <w:rFonts w:ascii="Times New Roman" w:hAnsi="Times New Roman"/>
          <w:bCs/>
          <w:noProof/>
          <w:sz w:val="24"/>
          <w:szCs w:val="24"/>
        </w:rPr>
        <w:t>una ayuda macrofinanciera de emergencia</w:t>
      </w:r>
      <w:r>
        <w:rPr>
          <w:rFonts w:ascii="Times New Roman" w:hAnsi="Times New Roman"/>
          <w:noProof/>
          <w:sz w:val="24"/>
          <w:szCs w:val="24"/>
        </w:rPr>
        <w:t xml:space="preserve"> de 1 200 millones EUR en forma de préstamos y </w:t>
      </w:r>
      <w:r>
        <w:rPr>
          <w:rFonts w:ascii="Times New Roman" w:hAnsi="Times New Roman"/>
          <w:bCs/>
          <w:noProof/>
          <w:sz w:val="24"/>
          <w:szCs w:val="24"/>
        </w:rPr>
        <w:t>120 millones EUR adicionales</w:t>
      </w:r>
      <w:r>
        <w:rPr>
          <w:rFonts w:ascii="Times New Roman" w:hAnsi="Times New Roman"/>
          <w:noProof/>
          <w:sz w:val="24"/>
          <w:szCs w:val="24"/>
        </w:rPr>
        <w:t xml:space="preserve"> en concepto de ayuda presupuestaria.</w:t>
      </w:r>
      <w:r>
        <w:rPr>
          <w:rFonts w:ascii="Times New Roman" w:hAnsi="Times New Roman"/>
          <w:bCs/>
          <w:noProof/>
          <w:sz w:val="24"/>
          <w:szCs w:val="24"/>
        </w:rPr>
        <w:t xml:space="preserve"> </w:t>
      </w:r>
      <w:r>
        <w:rPr>
          <w:rFonts w:ascii="Times New Roman" w:hAnsi="Times New Roman"/>
          <w:noProof/>
          <w:sz w:val="24"/>
          <w:szCs w:val="24"/>
        </w:rPr>
        <w:t xml:space="preserve">Además, el Banco Europeo de Inversiones, con el acuerdo de la Comisión Europea, ha anunciado la reorientación inmediata de 668 millones EUR de préstamos como apoyo a la liquidez de las autoridades ucranianas. Sigue prestándose apoyo a los principales socios de la sociedad civil en Ucrania. </w:t>
      </w:r>
    </w:p>
    <w:p w:rsidR="00C62714" w:rsidRPr="005F053E" w:rsidRDefault="00C62714" w:rsidP="00150DE0">
      <w:pPr>
        <w:shd w:val="clear" w:color="auto" w:fill="FFFFFF"/>
        <w:spacing w:line="240" w:lineRule="auto"/>
        <w:jc w:val="both"/>
        <w:rPr>
          <w:rFonts w:ascii="Times New Roman" w:hAnsi="Times New Roman" w:cs="Times New Roman"/>
          <w:b/>
          <w:i/>
          <w:noProof/>
          <w:sz w:val="24"/>
          <w:szCs w:val="24"/>
        </w:rPr>
      </w:pPr>
      <w:r>
        <w:rPr>
          <w:rFonts w:ascii="Times New Roman" w:hAnsi="Times New Roman"/>
          <w:b/>
          <w:i/>
          <w:noProof/>
          <w:sz w:val="24"/>
          <w:szCs w:val="24"/>
        </w:rPr>
        <w:t>La catástrofe humanitaria en Ucrania...</w:t>
      </w:r>
    </w:p>
    <w:p w:rsidR="00C62714" w:rsidRDefault="00C62714" w:rsidP="00150DE0">
      <w:pPr>
        <w:spacing w:line="240" w:lineRule="auto"/>
        <w:jc w:val="both"/>
        <w:rPr>
          <w:rFonts w:ascii="Times New Roman" w:hAnsi="Times New Roman" w:cs="Times New Roman"/>
          <w:noProof/>
          <w:sz w:val="24"/>
          <w:szCs w:val="24"/>
        </w:rPr>
      </w:pPr>
      <w:r>
        <w:rPr>
          <w:rFonts w:ascii="Times New Roman" w:hAnsi="Times New Roman"/>
          <w:noProof/>
          <w:sz w:val="24"/>
          <w:szCs w:val="24"/>
        </w:rPr>
        <w:t>En Ucrania, las víctimas civiles aumentan diariamente. Muchos de quienes logran refugio frente a los ataques se encuentran pese a todo en una situación de auténtico riesgo debido a los daños ocasionados en las viviendas, o en el suministro de agua y electricidad. Las hostilidades están haciendo cada vez más difícil el abastecimiento de alimentos. Los servicios hospitalarios críticos sufren constantes cortes de suministro eléctrico y existe el riesgo de que las ambulancias y los trabajadores sanitarios se vean atrapados en el fuego cruzado. Los organismos de ayuda tienen cada vez más dificultades para abastecer a las personas necesitadas, y este problema se agudiza a medida que se extiende el conflicto.</w:t>
      </w:r>
    </w:p>
    <w:p w:rsidR="00C62714" w:rsidRPr="001D4A0D" w:rsidRDefault="00C62714" w:rsidP="00150DE0">
      <w:pPr>
        <w:spacing w:after="120"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 exige el acceso a ayuda humanitaria </w:t>
      </w:r>
    </w:p>
    <w:p w:rsidR="00C62714" w:rsidRDefault="00C62714" w:rsidP="00150DE0">
      <w:pPr>
        <w:spacing w:line="240" w:lineRule="auto"/>
        <w:jc w:val="both"/>
        <w:rPr>
          <w:rFonts w:ascii="Times New Roman" w:hAnsi="Times New Roman" w:cs="Times New Roman"/>
          <w:noProof/>
          <w:sz w:val="24"/>
          <w:szCs w:val="24"/>
        </w:rPr>
      </w:pPr>
      <w:r>
        <w:rPr>
          <w:rFonts w:ascii="Times New Roman" w:hAnsi="Times New Roman"/>
          <w:noProof/>
          <w:sz w:val="24"/>
          <w:szCs w:val="24"/>
        </w:rPr>
        <w:t>No debe permitirse que la guerra impida vehicular la ayuda hacia quienes la necesitan. Debe garantizarse que la ayuda humanitaria, cuya necesidad es acuciante, pueda llegar a todo el territorio de Ucrania. Los civiles, independientemente de cuál sea su nacionalidad, deben tener asimismo la posibilidad de huir de las ciudades bajo asedio. Por lo tanto, garantizar el acceso humanitario, también mediante el establecimiento de corredores humanitarios, es una prioridad urgente. Permitir el acceso seguro y sin trabas de los trabajadores humanitarios y de los suministros es una obligación legal en virtud del Derecho humanitario internacional. La UE seguirá trabajando con las organizaciones y socios internacionales para garantizar dicho acceso y hacer que los corredores humanitarios estén operativos lo antes posible.</w:t>
      </w:r>
    </w:p>
    <w:p w:rsidR="00C62714" w:rsidRPr="008605E9" w:rsidRDefault="00C62714" w:rsidP="00150DE0">
      <w:pPr>
        <w:spacing w:after="120" w:line="240" w:lineRule="auto"/>
        <w:jc w:val="both"/>
        <w:rPr>
          <w:rFonts w:ascii="Times New Roman" w:hAnsi="Times New Roman" w:cs="Times New Roman"/>
          <w:b/>
          <w:i/>
          <w:noProof/>
          <w:sz w:val="24"/>
          <w:szCs w:val="24"/>
        </w:rPr>
      </w:pPr>
      <w:r>
        <w:rPr>
          <w:rFonts w:ascii="Times New Roman" w:hAnsi="Times New Roman"/>
          <w:b/>
          <w:i/>
          <w:noProof/>
          <w:sz w:val="24"/>
          <w:szCs w:val="24"/>
        </w:rPr>
        <w:t>Ya está llegando ayuda procedente de las primeras medidas de la UE...</w:t>
      </w:r>
    </w:p>
    <w:p w:rsidR="00C62714" w:rsidRPr="009F1220" w:rsidRDefault="00C62714" w:rsidP="00150DE0">
      <w:pPr>
        <w:pStyle w:val="Default"/>
        <w:spacing w:after="160"/>
        <w:jc w:val="both"/>
        <w:rPr>
          <w:rFonts w:ascii="Times New Roman" w:hAnsi="Times New Roman" w:cs="Times New Roman"/>
          <w:noProof/>
        </w:rPr>
      </w:pPr>
      <w:r>
        <w:rPr>
          <w:rFonts w:ascii="Times New Roman" w:hAnsi="Times New Roman"/>
          <w:noProof/>
        </w:rPr>
        <w:t xml:space="preserve">Ya está en curso un paquete de financiación humanitaria inmediata de la UE por valor de 85 millones EUR, destinado a las personas afectadas por la guerra en Ucrania, a través del cual se suministran alimentos, agua, medicamentos, capacidad sanitaria, alojamiento y protección. La UE también apoya a los refugiados en Moldavia con 5 millones de EUR destinados a cubrir sus necesidades básicas. Paralelamente, veintisiete países están trabajando para entregar suministros por valor de más de 100 millones EUR a través del Mecanismo de Protección Civil de la Unión. </w:t>
      </w:r>
      <w:r>
        <w:rPr>
          <w:rFonts w:ascii="Times New Roman" w:hAnsi="Times New Roman"/>
          <w:noProof/>
          <w:color w:val="333333"/>
        </w:rPr>
        <w:t>Ya se han realizado las primeras entregas entre las personas más necesitadas en Ucrania, que han consistido en más de</w:t>
      </w:r>
      <w:r>
        <w:rPr>
          <w:rFonts w:ascii="Times New Roman" w:hAnsi="Times New Roman"/>
          <w:noProof/>
        </w:rPr>
        <w:t xml:space="preserve"> 4 millones de artículos, entre los que cabe citar vehículos, botiquines, tiendas de campaña, mantas y sacos de dormir. Están en camino equipos médicos especializados, que incluyen respiradores y oxígeno, procedentes de la reserva médica estratégica de </w:t>
      </w:r>
      <w:r>
        <w:rPr>
          <w:rFonts w:ascii="Times New Roman" w:hAnsi="Times New Roman"/>
          <w:i/>
          <w:iCs/>
          <w:noProof/>
        </w:rPr>
        <w:t>rescEU</w:t>
      </w:r>
      <w:r>
        <w:rPr>
          <w:rFonts w:ascii="Times New Roman" w:hAnsi="Times New Roman"/>
          <w:noProof/>
        </w:rPr>
        <w:t xml:space="preserve">. </w:t>
      </w:r>
    </w:p>
    <w:p w:rsidR="00C62714" w:rsidRPr="009F1220" w:rsidRDefault="00C62714" w:rsidP="00150DE0">
      <w:pPr>
        <w:pStyle w:val="Default"/>
        <w:spacing w:after="120"/>
        <w:jc w:val="both"/>
        <w:rPr>
          <w:rFonts w:ascii="Times New Roman" w:hAnsi="Times New Roman" w:cs="Times New Roman"/>
          <w:b/>
          <w:i/>
          <w:noProof/>
        </w:rPr>
      </w:pPr>
      <w:r>
        <w:rPr>
          <w:rFonts w:ascii="Times New Roman" w:hAnsi="Times New Roman"/>
          <w:b/>
          <w:i/>
          <w:noProof/>
        </w:rPr>
        <w:t>... y, con ella, el reto que supone su entrega</w:t>
      </w:r>
    </w:p>
    <w:p w:rsidR="00C62714" w:rsidRDefault="00C62714" w:rsidP="00150DE0">
      <w:pPr>
        <w:pStyle w:val="Default"/>
        <w:spacing w:after="160"/>
        <w:jc w:val="both"/>
        <w:rPr>
          <w:rFonts w:ascii="Times New Roman" w:hAnsi="Times New Roman" w:cs="Times New Roman"/>
          <w:noProof/>
        </w:rPr>
      </w:pPr>
      <w:r>
        <w:rPr>
          <w:rFonts w:ascii="Times New Roman" w:hAnsi="Times New Roman"/>
          <w:noProof/>
        </w:rPr>
        <w:t>La UE colabora con las Naciones Unidas, la Cruz Roja y las organizaciones no gubernamentales internacionales para garantizar una entrega lo más rápida posible de la ayuda humanitaria. La Comisión se mantiene en contacto permanente con las autoridades ucranianas para facilitar que los envíos crucen la frontera con Ucrania. En el marco del Mecanismo de Protección Civil de la Unión, la Comisión está acelerando la prestación de ayuda a Ucrania a través de centros establecidos en Polonia, Eslovaquia y Rumanía.</w:t>
      </w:r>
    </w:p>
    <w:p w:rsidR="00C62714" w:rsidRDefault="00C62714" w:rsidP="00150DE0">
      <w:pPr>
        <w:shd w:val="clear" w:color="auto" w:fill="FFFFFF"/>
        <w:spacing w:after="120" w:line="240" w:lineRule="auto"/>
        <w:jc w:val="both"/>
        <w:rPr>
          <w:rFonts w:ascii="Times New Roman" w:hAnsi="Times New Roman" w:cs="Times New Roman"/>
          <w:b/>
          <w:i/>
          <w:noProof/>
          <w:sz w:val="24"/>
          <w:szCs w:val="24"/>
        </w:rPr>
      </w:pPr>
      <w:r>
        <w:rPr>
          <w:rFonts w:ascii="Times New Roman" w:hAnsi="Times New Roman"/>
          <w:b/>
          <w:i/>
          <w:noProof/>
          <w:sz w:val="24"/>
          <w:szCs w:val="24"/>
        </w:rPr>
        <w:t>Apoyar a los Estados miembros sometidos a mayor presión...</w:t>
      </w:r>
    </w:p>
    <w:p w:rsidR="00C62714" w:rsidRDefault="00C62714" w:rsidP="00150DE0">
      <w:pPr>
        <w:shd w:val="clear" w:color="auto" w:fill="FFFFFF"/>
        <w:spacing w:after="120" w:line="240" w:lineRule="auto"/>
        <w:jc w:val="both"/>
        <w:rPr>
          <w:rFonts w:ascii="Times New Roman" w:hAnsi="Times New Roman" w:cs="Times New Roman"/>
          <w:noProof/>
          <w:sz w:val="24"/>
          <w:szCs w:val="24"/>
        </w:rPr>
      </w:pPr>
      <w:r>
        <w:rPr>
          <w:rFonts w:ascii="Times New Roman" w:hAnsi="Times New Roman"/>
          <w:noProof/>
          <w:sz w:val="24"/>
          <w:szCs w:val="24"/>
        </w:rPr>
        <w:t>Una serie de visitas in situ han permitido a la Comisión</w:t>
      </w:r>
      <w:r>
        <w:rPr>
          <w:rStyle w:val="FootnoteReference"/>
          <w:rFonts w:ascii="Times New Roman" w:hAnsi="Times New Roman" w:cs="Times New Roman"/>
          <w:noProof/>
          <w:sz w:val="24"/>
          <w:szCs w:val="24"/>
        </w:rPr>
        <w:footnoteReference w:id="7"/>
      </w:r>
      <w:r>
        <w:rPr>
          <w:rFonts w:ascii="Times New Roman" w:hAnsi="Times New Roman"/>
          <w:noProof/>
          <w:sz w:val="24"/>
          <w:szCs w:val="24"/>
        </w:rPr>
        <w:t xml:space="preserve"> observar de primera mano los importantes programas de apoyo establecidos por Polonia, Eslovaquia, Hungría y Rumanía, así como los esfuerzos desplegados por la vecina Moldavia para acoger a los refugiados que llegan a sus fronteras. Esta labor de apoyo, combinada con la generosidad y la actitud compasiva de la población de estos países, ha brindado un consuelo inmediato a los refugiados y desplazados que se enfrentan al trauma de tener que abandonar sus hogares.</w:t>
      </w:r>
    </w:p>
    <w:p w:rsidR="00C62714" w:rsidRPr="00D84FF7" w:rsidRDefault="00C62714" w:rsidP="00150DE0">
      <w:pPr>
        <w:shd w:val="clear" w:color="auto" w:fill="FFFFFF"/>
        <w:spacing w:after="120" w:line="240" w:lineRule="auto"/>
        <w:jc w:val="both"/>
        <w:rPr>
          <w:rFonts w:ascii="Times New Roman" w:hAnsi="Times New Roman" w:cs="Times New Roman"/>
          <w:b/>
          <w:i/>
          <w:noProof/>
          <w:sz w:val="24"/>
          <w:szCs w:val="24"/>
        </w:rPr>
      </w:pPr>
      <w:r>
        <w:rPr>
          <w:rFonts w:ascii="Times New Roman" w:hAnsi="Times New Roman"/>
          <w:b/>
          <w:i/>
          <w:noProof/>
          <w:sz w:val="24"/>
          <w:szCs w:val="24"/>
        </w:rPr>
        <w:t>... con ayuda directa para favorecer la solidaridad</w:t>
      </w:r>
    </w:p>
    <w:p w:rsidR="00C62714" w:rsidRDefault="00C62714" w:rsidP="00150DE0">
      <w:pPr>
        <w:shd w:val="clear" w:color="auto" w:fill="FFFFFF"/>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Este trabajo requiere todo el apoyo posible de la UE. Polonia y Eslovaquia han activado el Mecanismo de Protección Civil de la Unión y están empezando a recibir ayuda para la acogida y la asistencia médica. </w:t>
      </w:r>
      <w:r>
        <w:rPr>
          <w:rFonts w:ascii="Times New Roman" w:hAnsi="Times New Roman"/>
          <w:bCs/>
          <w:noProof/>
          <w:sz w:val="24"/>
          <w:szCs w:val="24"/>
        </w:rPr>
        <w:t xml:space="preserve">Una llegada tan numerosa de personas plantea problemas sanitarios específicos, por lo que es preciso efectuar controles sanitarios básicos en el momento de la entrada. </w:t>
      </w:r>
      <w:r>
        <w:rPr>
          <w:rFonts w:ascii="Times New Roman" w:hAnsi="Times New Roman"/>
          <w:noProof/>
          <w:sz w:val="24"/>
          <w:szCs w:val="24"/>
        </w:rPr>
        <w:t xml:space="preserve">Las personas que llegan pueden estar heridas o padecer enfermedades crónicas que requieran atención médica inmediata. La COVID-19 sigue suponiendo un reto adicional. La Comisión y sus agencias colaboran intensamente con los Estados miembros para garantizar el acceso a asistencia sanitaria y a medicamentos, identificar las necesidades y adecuar la ayuda operativa, en particular en relación con las camas de hospital, las capacidades quirúrgicas para tratar quemaduras y el transporte de los pacientes que lo necesiten. </w:t>
      </w:r>
    </w:p>
    <w:p w:rsidR="00C62714" w:rsidRPr="00DA4D90" w:rsidRDefault="00C62714" w:rsidP="00150DE0">
      <w:pPr>
        <w:spacing w:line="240" w:lineRule="auto"/>
        <w:jc w:val="both"/>
        <w:rPr>
          <w:rFonts w:ascii="Times New Roman" w:hAnsi="Times New Roman" w:cs="Times New Roman"/>
          <w:noProof/>
          <w:sz w:val="24"/>
          <w:szCs w:val="24"/>
        </w:rPr>
      </w:pPr>
      <w:r>
        <w:rPr>
          <w:rFonts w:ascii="Times New Roman" w:hAnsi="Times New Roman"/>
          <w:noProof/>
          <w:sz w:val="24"/>
          <w:szCs w:val="24"/>
        </w:rPr>
        <w:t>En una situación como la actual, en la que los Estados miembros pueden necesitar proporcionar alojamiento, suministros y servicios con mucha rapidez, es posible aplicar las normas previstas para la contratación pública urgente, como ya se hizo durante la crisis migratoria de 2015-2016 y la pandemia de COVID-19</w:t>
      </w:r>
      <w:r>
        <w:rPr>
          <w:rStyle w:val="FootnoteReference"/>
          <w:rFonts w:ascii="Times New Roman" w:hAnsi="Times New Roman" w:cs="Times New Roman"/>
          <w:noProof/>
          <w:sz w:val="24"/>
          <w:szCs w:val="24"/>
          <w:lang w:val="en-US"/>
        </w:rPr>
        <w:footnoteReference w:id="8"/>
      </w:r>
      <w:r>
        <w:rPr>
          <w:rFonts w:ascii="Times New Roman" w:hAnsi="Times New Roman"/>
          <w:noProof/>
          <w:sz w:val="24"/>
          <w:szCs w:val="24"/>
        </w:rPr>
        <w:t xml:space="preserve">. </w:t>
      </w:r>
    </w:p>
    <w:p w:rsidR="00A5142A" w:rsidRPr="00A5142A" w:rsidRDefault="00C62714" w:rsidP="00860483">
      <w:pPr>
        <w:pStyle w:val="Considrant"/>
        <w:numPr>
          <w:ilvl w:val="0"/>
          <w:numId w:val="0"/>
        </w:numPr>
        <w:spacing w:after="240"/>
        <w:rPr>
          <w:noProof/>
        </w:rPr>
      </w:pPr>
      <w:r>
        <w:rPr>
          <w:noProof/>
        </w:rPr>
        <w:t>Los Estados miembros disponen de financiación inmediata de la UE a través de sus programas nacionales de asuntos de interior para el período 2014-2020, que pueden seguir utilizándose para ofrecer apoyo financiero a fin de cubrir necesidades tales como el alojamiento, la alimentación y la asistencia sanitaria, en particular mediante la dotación de personal adicional. La Comisión hará todo lo posible para garantizar que los fondos existentes estén disponibles con facilidad y rapidez y puedan gastarse en su totalidad. La Comisión propone prorrogar el período de ejecución de estos instrumentos</w:t>
      </w:r>
      <w:r>
        <w:rPr>
          <w:rStyle w:val="FootnoteReference"/>
          <w:noProof/>
          <w:szCs w:val="24"/>
        </w:rPr>
        <w:footnoteReference w:id="9"/>
      </w:r>
      <w:r>
        <w:rPr>
          <w:noProof/>
        </w:rPr>
        <w:t xml:space="preserve"> para dotar a los Estados miembros de mayor flexibilidad: la rápida adopción por el Parlamento Europeo y el Consejo liberaría alrededor de 400 millones de EUR de apoyo adicional. Paralelamente, la financiación de emergencia disponible en el marco del Fondo de Asilo, Migración e Integración 2021-2027 dará prioridad al apoyo a los Estados miembros afectados.</w:t>
      </w:r>
    </w:p>
    <w:p w:rsidR="00C62714" w:rsidRPr="008A6481" w:rsidRDefault="008A6481" w:rsidP="00DD32CF">
      <w:pPr>
        <w:keepNext/>
        <w:spacing w:after="240"/>
        <w:rPr>
          <w:rFonts w:ascii="Times New Roman" w:hAnsi="Times New Roman" w:cs="Times New Roman"/>
          <w:b/>
          <w:noProof/>
          <w:sz w:val="24"/>
          <w:szCs w:val="24"/>
        </w:rPr>
      </w:pPr>
      <w:r>
        <w:rPr>
          <w:rFonts w:ascii="Times New Roman" w:hAnsi="Times New Roman"/>
          <w:b/>
          <w:noProof/>
          <w:sz w:val="24"/>
          <w:szCs w:val="24"/>
        </w:rPr>
        <w:t>3.</w:t>
      </w:r>
      <w:r>
        <w:rPr>
          <w:noProof/>
        </w:rPr>
        <w:tab/>
      </w:r>
      <w:r>
        <w:rPr>
          <w:rFonts w:ascii="Times New Roman" w:hAnsi="Times New Roman"/>
          <w:b/>
          <w:noProof/>
          <w:sz w:val="24"/>
          <w:szCs w:val="24"/>
        </w:rPr>
        <w:t xml:space="preserve">EL RETO EN LA FRONTERA </w:t>
      </w:r>
    </w:p>
    <w:p w:rsidR="00C62714" w:rsidRDefault="00C62714" w:rsidP="00150DE0">
      <w:pPr>
        <w:pStyle w:val="Briefinglist1"/>
        <w:numPr>
          <w:ilvl w:val="0"/>
          <w:numId w:val="0"/>
        </w:numPr>
        <w:rPr>
          <w:rFonts w:ascii="Times New Roman" w:hAnsi="Times New Roman"/>
          <w:noProof/>
          <w:color w:val="0D0D0D" w:themeColor="text1" w:themeTint="F2"/>
          <w:sz w:val="24"/>
        </w:rPr>
      </w:pPr>
      <w:r>
        <w:rPr>
          <w:rFonts w:ascii="Times New Roman" w:hAnsi="Times New Roman"/>
          <w:noProof/>
          <w:color w:val="0D0D0D" w:themeColor="text1" w:themeTint="F2"/>
          <w:sz w:val="24"/>
        </w:rPr>
        <w:t>La crisis está sometiendo a la frontera de la UE con Ucrania a una presión extrema. Las personas que llegan deben ser inscritas en un registro, recibir ayuda en función de sus necesidades inmediatas y ser reorientadas de forma segura hacia un lugar de acogida ulterior. Este proceso debe llevarse a cabo con rapidez, manteniendo el orden y permitiendo controles de seguridad esenciales. La UE comparte con los Estados miembros la responsabilidad de las fronteras comunes y brinda ayuda a los Estados miembros que se enfrentan a esta presión adicional.</w:t>
      </w:r>
    </w:p>
    <w:p w:rsidR="00C62714" w:rsidRPr="001D4A0D" w:rsidRDefault="00C62714" w:rsidP="00D62B49">
      <w:pPr>
        <w:pStyle w:val="Briefinglist1"/>
        <w:keepNext/>
        <w:numPr>
          <w:ilvl w:val="0"/>
          <w:numId w:val="0"/>
        </w:numPr>
        <w:rPr>
          <w:rFonts w:ascii="Times New Roman" w:hAnsi="Times New Roman"/>
          <w:b/>
          <w:i/>
          <w:noProof/>
          <w:color w:val="0D0D0D" w:themeColor="text1" w:themeTint="F2"/>
          <w:sz w:val="24"/>
        </w:rPr>
      </w:pPr>
      <w:r>
        <w:rPr>
          <w:rFonts w:ascii="Times New Roman" w:hAnsi="Times New Roman"/>
          <w:b/>
          <w:i/>
          <w:noProof/>
          <w:color w:val="0D0D0D" w:themeColor="text1" w:themeTint="F2"/>
          <w:sz w:val="24"/>
        </w:rPr>
        <w:t>Apoyo a la gestión de fronteras en Ucrania</w:t>
      </w:r>
    </w:p>
    <w:p w:rsidR="00C62714" w:rsidRDefault="00C62714" w:rsidP="00150DE0">
      <w:pPr>
        <w:pStyle w:val="Briefinglist1"/>
        <w:numPr>
          <w:ilvl w:val="0"/>
          <w:numId w:val="0"/>
        </w:numPr>
        <w:spacing w:after="160"/>
        <w:rPr>
          <w:rFonts w:ascii="Times New Roman" w:hAnsi="Times New Roman"/>
          <w:noProof/>
          <w:sz w:val="24"/>
        </w:rPr>
      </w:pPr>
      <w:r>
        <w:rPr>
          <w:rFonts w:ascii="Times New Roman" w:hAnsi="Times New Roman"/>
          <w:noProof/>
          <w:sz w:val="24"/>
        </w:rPr>
        <w:t xml:space="preserve">La congestión en el lado ucraniano de la frontera constituye un primer problema. A la hora de aplicar sus normas, las autoridades fronterizas ucranianas tienen que hacer frente a carencias de personal, problemas con los sistemas informáticos y un gran número de vehículos abandonados. Ucrania ha intentado gestionar eficazmente el flujo de personas reorientándolas y simplificando los procedimientos. Los Estados miembros y la UE están colaborando con las autoridades ucranianas para ayudar a resolver los cuellos de botella. Es especialmente importante esforzarse por mantener una vía libre de paso para el suministro de ayuda a Ucrania. </w:t>
      </w:r>
    </w:p>
    <w:p w:rsidR="00C62714" w:rsidRDefault="00C62714" w:rsidP="00150DE0">
      <w:pPr>
        <w:pStyle w:val="NormalWeb"/>
        <w:spacing w:before="0" w:beforeAutospacing="0" w:after="160" w:afterAutospacing="0"/>
        <w:jc w:val="both"/>
        <w:rPr>
          <w:noProof/>
          <w:color w:val="0D0D0D" w:themeColor="text1" w:themeTint="F2"/>
        </w:rPr>
      </w:pPr>
      <w:r>
        <w:rPr>
          <w:noProof/>
          <w:color w:val="0D0D0D" w:themeColor="text1" w:themeTint="F2"/>
        </w:rPr>
        <w:t xml:space="preserve">La mayoría de las personas que llegan a la frontera entre Ucrania y los Estados miembros son ciudadanos ucranianos que, si están en posesión de pasaportes biométricos, se acogen a la entrada sin visado en la UE por un período de 90 días e incluso pueden atravesar la frontera por puntos de entrada electrónicos en lugar de ser controlados por los guardias de fronteras. Muchas de estas personas tienen intención de reunirse con sus familiares y amigos, y algunas abandonarán el país de entrada inicial para encontrarse con sus contactos en otros Estados miembros. Es importante que el cruce de fronteras entre Estados miembros permita que esos movimientos se realicen con la mayor fluidez posible. Sin embargo, las personas que entran pertenecen a diversas categorías, entre las que cabe mencionar los ciudadanos de la UE que retornan, las personas que han recibido protección internacional por parte de Ucrania, como por ejemplo muchos bielorrusos huidos del régimen de Lukashenko, así como estudiantes y trabajadores de países de todo el mundo. </w:t>
      </w:r>
      <w:r>
        <w:rPr>
          <w:noProof/>
        </w:rPr>
        <w:t>Es de vital importancia que todas las personas que huyen de la agresión de Rusia en Ucrania, sin excepción, sean tratadas con pleno respeto y cuidado.</w:t>
      </w:r>
    </w:p>
    <w:p w:rsidR="00C62714" w:rsidRPr="00E302B6" w:rsidRDefault="00C62714" w:rsidP="00150DE0">
      <w:pPr>
        <w:pStyle w:val="NormalWeb"/>
        <w:spacing w:before="0" w:beforeAutospacing="0" w:after="120" w:afterAutospacing="0"/>
        <w:jc w:val="both"/>
        <w:rPr>
          <w:noProof/>
          <w:color w:val="0D0D0D" w:themeColor="text1" w:themeTint="F2"/>
        </w:rPr>
      </w:pPr>
      <w:r>
        <w:rPr>
          <w:b/>
          <w:i/>
          <w:noProof/>
          <w:color w:val="0D0D0D" w:themeColor="text1" w:themeTint="F2"/>
        </w:rPr>
        <w:t>... para que las personas se desplacen con total seguridad...</w:t>
      </w:r>
      <w:r>
        <w:rPr>
          <w:noProof/>
          <w:color w:val="0D0D0D" w:themeColor="text1" w:themeTint="F2"/>
        </w:rPr>
        <w:t xml:space="preserve"> </w:t>
      </w:r>
    </w:p>
    <w:p w:rsidR="006155C8" w:rsidRPr="0026658A" w:rsidRDefault="00C62714" w:rsidP="00150DE0">
      <w:pPr>
        <w:pStyle w:val="NormalWeb"/>
        <w:spacing w:before="0" w:beforeAutospacing="0" w:after="160" w:afterAutospacing="0"/>
        <w:jc w:val="both"/>
        <w:rPr>
          <w:noProof/>
          <w:color w:val="0D0D0D" w:themeColor="text1" w:themeTint="F2"/>
        </w:rPr>
      </w:pPr>
      <w:r>
        <w:rPr>
          <w:noProof/>
          <w:color w:val="0D0D0D" w:themeColor="text1" w:themeTint="F2"/>
        </w:rPr>
        <w:t xml:space="preserve">Todas esas personas requieren un tratamiento especial y los Estados miembros han asumido el reto que plantea el ingente número de llegadas, que asciende a 100 000 diarias solo en la frontera polaca. Los Estados miembros han respondido mediante un refuerzo de los efectivos y una simplificación de los procedimientos. </w:t>
      </w:r>
      <w:r>
        <w:rPr>
          <w:noProof/>
        </w:rPr>
        <w:t>Es esencial garantizar una entrada ordenada en la UE basada en normas comunes, abriendo la frontera a las personas que hayan huido de zonas de conflicto armado y puedan necesitar acceso a la UE por motivos humanitarios o de protección internacional.</w:t>
      </w:r>
      <w:r>
        <w:rPr>
          <w:noProof/>
          <w:color w:val="0D0D0D" w:themeColor="text1" w:themeTint="F2"/>
        </w:rPr>
        <w:t xml:space="preserve"> La Comisión ha publicado ya </w:t>
      </w:r>
      <w:hyperlink r:id="rId16" w:history="1">
        <w:r>
          <w:rPr>
            <w:rStyle w:val="Hyperlink"/>
            <w:noProof/>
            <w:color w:val="0D0D0D" w:themeColor="text1" w:themeTint="F2"/>
            <w:u w:val="none"/>
          </w:rPr>
          <w:t>directrices operativas</w:t>
        </w:r>
      </w:hyperlink>
      <w:r>
        <w:rPr>
          <w:rStyle w:val="FootnoteReference"/>
          <w:noProof/>
          <w:color w:val="0D0D0D" w:themeColor="text1" w:themeTint="F2"/>
          <w:lang w:val="en-IE"/>
        </w:rPr>
        <w:footnoteReference w:id="10"/>
      </w:r>
      <w:r>
        <w:rPr>
          <w:noProof/>
          <w:color w:val="0D0D0D" w:themeColor="text1" w:themeTint="F2"/>
        </w:rPr>
        <w:t xml:space="preserve"> para ayudar a los guardias de fronteras de los Estados miembros a gestionar eficazmente las llegadas, manteniendo al mismo tiempo un alto nivel de seguridad. Esas directrices establecen la forma en que herramientas tales como los corredores de asistencia urgente pueden contribuir a acelerar el apoyo a las personas vulnerables, y en que pueden simplificarse algunos procedimientos, por ejemplo los aduaneros. </w:t>
      </w:r>
    </w:p>
    <w:p w:rsidR="00C62714" w:rsidRPr="00B517FF" w:rsidRDefault="00C62714" w:rsidP="00150DE0">
      <w:pPr>
        <w:spacing w:after="120" w:line="240" w:lineRule="auto"/>
        <w:jc w:val="both"/>
        <w:rPr>
          <w:rFonts w:ascii="Times New Roman" w:hAnsi="Times New Roman" w:cs="Times New Roman"/>
          <w:b/>
          <w:i/>
          <w:noProof/>
          <w:color w:val="0D0D0D" w:themeColor="text1" w:themeTint="F2"/>
          <w:sz w:val="24"/>
          <w:szCs w:val="24"/>
        </w:rPr>
      </w:pPr>
      <w:r>
        <w:rPr>
          <w:rFonts w:ascii="Times New Roman" w:hAnsi="Times New Roman"/>
          <w:b/>
          <w:i/>
          <w:noProof/>
          <w:color w:val="0D0D0D" w:themeColor="text1" w:themeTint="F2"/>
          <w:sz w:val="24"/>
          <w:szCs w:val="24"/>
        </w:rPr>
        <w:t>... a través de apoyo financiero y de las agencias de la UE</w:t>
      </w:r>
    </w:p>
    <w:p w:rsidR="00C62714" w:rsidRPr="00CD0C79" w:rsidRDefault="00C62714" w:rsidP="00150DE0">
      <w:pPr>
        <w:spacing w:line="240" w:lineRule="auto"/>
        <w:jc w:val="both"/>
        <w:rPr>
          <w:bCs/>
          <w:noProof/>
          <w:szCs w:val="24"/>
        </w:rPr>
      </w:pPr>
      <w:r>
        <w:rPr>
          <w:rFonts w:ascii="Times New Roman" w:hAnsi="Times New Roman"/>
          <w:noProof/>
          <w:sz w:val="24"/>
          <w:szCs w:val="24"/>
        </w:rPr>
        <w:t>La UE también está intensificando el apoyo financiero a los Estados miembros en el marco del Instrumento de Gestión de Fronteras y Visados, con el fin de ayudar en la gestión de las fronteras, por ejemplo, mediante la identificación de las llegadas, así como en la primera acogida y en la atención médica.</w:t>
      </w:r>
    </w:p>
    <w:p w:rsidR="00C62714" w:rsidRPr="002E76E7" w:rsidRDefault="00C62714" w:rsidP="00150DE0">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Las agencias de la UE también están proporcionando personal y conocimientos especializados adicionales para apoyar a los Estados miembros. El primer grupo de </w:t>
      </w:r>
      <w:r>
        <w:rPr>
          <w:rFonts w:ascii="Times New Roman" w:hAnsi="Times New Roman"/>
          <w:noProof/>
          <w:sz w:val="24"/>
          <w:szCs w:val="24"/>
          <w:highlight w:val="yellow"/>
        </w:rPr>
        <w:t>49</w:t>
      </w:r>
      <w:r>
        <w:rPr>
          <w:rFonts w:ascii="Times New Roman" w:hAnsi="Times New Roman"/>
          <w:noProof/>
          <w:sz w:val="24"/>
          <w:szCs w:val="24"/>
        </w:rPr>
        <w:t xml:space="preserve"> miembros del personal de Frontex desplegados en las fronteras de la UE con Ucrania y en la frontera con Moldavia se ha reforzado con el despliegue de 162 personas en Rumanía. Frontex está dispuesta a intensificar su apoyo, aportando más de 2 600 agentes en las fronteras de la UE con Ucrania. La Agencia de Asilo de la Unión Europea (AAUE) está dispuesta a apoyar las labores de control, registro, suministro de información y tratamiento del asilo con un máximo de 130 expertos. Europol está prestando apoyo situacional esencial, en particular en relación con la posible presencia de combatientes extranjeros u otras amenazas para la seguridad conocidas. Europol está presente sobre el terreno en Eslovaquia y Polonia y está previsto que pronto se despliegue en Rumanía y Hungría. Otras agencias de la UE, como eu-LISA</w:t>
      </w:r>
      <w:r>
        <w:rPr>
          <w:rStyle w:val="FootnoteReference"/>
          <w:rFonts w:ascii="Times New Roman" w:hAnsi="Times New Roman" w:cs="Times New Roman"/>
          <w:noProof/>
          <w:sz w:val="24"/>
          <w:szCs w:val="24"/>
        </w:rPr>
        <w:footnoteReference w:id="11"/>
      </w:r>
      <w:r>
        <w:rPr>
          <w:rFonts w:ascii="Times New Roman" w:hAnsi="Times New Roman"/>
          <w:noProof/>
          <w:sz w:val="24"/>
          <w:szCs w:val="24"/>
        </w:rPr>
        <w:t xml:space="preserve"> y la Agencia de los Derechos Fundamentales</w:t>
      </w:r>
      <w:r>
        <w:rPr>
          <w:rStyle w:val="FootnoteReference"/>
          <w:rFonts w:ascii="Times New Roman" w:hAnsi="Times New Roman" w:cs="Times New Roman"/>
          <w:noProof/>
          <w:sz w:val="24"/>
          <w:szCs w:val="24"/>
        </w:rPr>
        <w:footnoteReference w:id="12"/>
      </w:r>
      <w:r>
        <w:rPr>
          <w:rFonts w:ascii="Times New Roman" w:hAnsi="Times New Roman"/>
          <w:noProof/>
          <w:sz w:val="24"/>
          <w:szCs w:val="24"/>
        </w:rPr>
        <w:t xml:space="preserve">, también han reorientado rápidamente su trabajo para apoyar a los Estados miembros. </w:t>
      </w:r>
    </w:p>
    <w:p w:rsidR="00C62714" w:rsidRPr="002E76E7" w:rsidRDefault="00C62714" w:rsidP="00D62B49">
      <w:pPr>
        <w:pStyle w:val="Default"/>
        <w:keepNext/>
        <w:spacing w:after="160"/>
        <w:jc w:val="both"/>
        <w:rPr>
          <w:rFonts w:ascii="Times New Roman" w:hAnsi="Times New Roman" w:cs="Times New Roman"/>
          <w:b/>
          <w:noProof/>
          <w:color w:val="0D0D0D" w:themeColor="text1" w:themeTint="F2"/>
          <w:u w:val="single"/>
        </w:rPr>
      </w:pPr>
      <w:r>
        <w:rPr>
          <w:rFonts w:ascii="Times New Roman" w:hAnsi="Times New Roman"/>
          <w:b/>
          <w:noProof/>
          <w:color w:val="0D0D0D" w:themeColor="text1" w:themeTint="F2"/>
        </w:rPr>
        <w:t xml:space="preserve">... </w:t>
      </w:r>
      <w:r>
        <w:rPr>
          <w:rFonts w:ascii="Times New Roman" w:hAnsi="Times New Roman"/>
          <w:b/>
          <w:i/>
          <w:noProof/>
          <w:color w:val="0D0D0D" w:themeColor="text1" w:themeTint="F2"/>
        </w:rPr>
        <w:t>y de apoyo a los países vecinos</w:t>
      </w:r>
      <w:r>
        <w:rPr>
          <w:rFonts w:ascii="Times New Roman" w:hAnsi="Times New Roman"/>
          <w:b/>
          <w:noProof/>
          <w:color w:val="0D0D0D" w:themeColor="text1" w:themeTint="F2"/>
          <w:u w:val="single"/>
        </w:rPr>
        <w:t xml:space="preserve"> </w:t>
      </w:r>
    </w:p>
    <w:p w:rsidR="00C62714" w:rsidRDefault="00C62714" w:rsidP="00150DE0">
      <w:pPr>
        <w:pStyle w:val="Default"/>
        <w:spacing w:after="160"/>
        <w:jc w:val="both"/>
        <w:rPr>
          <w:rFonts w:ascii="Times New Roman" w:hAnsi="Times New Roman" w:cs="Times New Roman"/>
          <w:b/>
          <w:noProof/>
        </w:rPr>
      </w:pPr>
      <w:r>
        <w:rPr>
          <w:rFonts w:ascii="Times New Roman" w:hAnsi="Times New Roman"/>
          <w:noProof/>
        </w:rPr>
        <w:t xml:space="preserve">Desde el 24 de febrero, Moldavia ha tenido que gestionar más de </w:t>
      </w:r>
      <w:r>
        <w:rPr>
          <w:rFonts w:ascii="Times New Roman" w:hAnsi="Times New Roman"/>
          <w:noProof/>
          <w:color w:val="0D0D0D" w:themeColor="text1" w:themeTint="F2"/>
          <w:u w:val="single"/>
        </w:rPr>
        <w:t>368 000</w:t>
      </w:r>
      <w:r>
        <w:rPr>
          <w:rFonts w:ascii="Times New Roman" w:hAnsi="Times New Roman"/>
          <w:noProof/>
        </w:rPr>
        <w:t xml:space="preserve"> llegadas. El paquete de ayuda inmediata y el apoyo a través del Mecanismo de Protección Civil de la Unión a Moldavia irán acompañados de nuevas medidas para hacer frente a una situación en constante evolución, incluidos 15 millones EUR para ayudar a gestionar la crisis de los refugiados.</w:t>
      </w:r>
    </w:p>
    <w:p w:rsidR="00C62714" w:rsidRDefault="00C62714" w:rsidP="005E3324">
      <w:pPr>
        <w:pStyle w:val="Default"/>
        <w:spacing w:after="240"/>
        <w:jc w:val="both"/>
        <w:rPr>
          <w:rFonts w:ascii="Times New Roman" w:hAnsi="Times New Roman" w:cs="Times New Roman"/>
          <w:noProof/>
        </w:rPr>
      </w:pPr>
      <w:r>
        <w:rPr>
          <w:rFonts w:ascii="Times New Roman" w:hAnsi="Times New Roman"/>
          <w:noProof/>
        </w:rPr>
        <w:t>La Comisión prestará apoyo para un tránsito y una repatriación seguros de nacionales de terceros países a sus países de origen desde países vecinos a través de una nueva acción que ofrezca apoyo operativo y refuerzo de capacidades. La Comisión evaluará rápidamente si es necesario ampliar los proyectos actuales en Moldavia y prestará apoyo, en su caso, también a través de las agencias de la UE.</w:t>
      </w:r>
    </w:p>
    <w:p w:rsidR="00C62714" w:rsidRDefault="00C62714" w:rsidP="005E3324">
      <w:pPr>
        <w:pStyle w:val="Default"/>
        <w:keepNext/>
        <w:spacing w:after="240"/>
        <w:jc w:val="both"/>
        <w:rPr>
          <w:rFonts w:ascii="Times New Roman" w:hAnsi="Times New Roman" w:cs="Times New Roman"/>
          <w:b/>
          <w:noProof/>
        </w:rPr>
      </w:pPr>
      <w:r>
        <w:rPr>
          <w:rFonts w:ascii="Times New Roman" w:hAnsi="Times New Roman"/>
          <w:b/>
          <w:noProof/>
        </w:rPr>
        <w:t>4.</w:t>
      </w:r>
      <w:r>
        <w:rPr>
          <w:noProof/>
        </w:rPr>
        <w:tab/>
      </w:r>
      <w:r>
        <w:rPr>
          <w:rFonts w:ascii="Times New Roman" w:hAnsi="Times New Roman"/>
          <w:b/>
          <w:noProof/>
        </w:rPr>
        <w:t>LA UE DA LA BIENVENIDA A LAS PERSONAS REFUGIADAS Y DESPLAZADAS</w:t>
      </w:r>
    </w:p>
    <w:p w:rsidR="00C62714" w:rsidRPr="00E7439A" w:rsidRDefault="00C62714" w:rsidP="00150DE0">
      <w:pPr>
        <w:pStyle w:val="Default"/>
        <w:spacing w:after="160"/>
        <w:jc w:val="both"/>
        <w:rPr>
          <w:rFonts w:ascii="Times New Roman" w:hAnsi="Times New Roman" w:cs="Times New Roman"/>
          <w:noProof/>
          <w:color w:val="auto"/>
        </w:rPr>
      </w:pPr>
      <w:r>
        <w:rPr>
          <w:rFonts w:ascii="Times New Roman" w:hAnsi="Times New Roman"/>
          <w:noProof/>
          <w:color w:val="auto"/>
        </w:rPr>
        <w:t>La actual crisis de refugiados exigirá que la UE aproveche todas sus capacidades para actuar con rapidez y determinación a fin de contribuir a hacer frente al reto que se plantea. Este reto se dejará sentir en toda la UE, y todos los Estados miembros tendrán que aprovechar sus capacidades para apoyar a los recién llegados. No debe tratarse solo de apoyo financiero, sino también de la constitución de grupos de ayuda a todos los niveles formados por personas procedentes de la sociedad civil y de las comunidades de la diáspora. También debemos colaborar con nuestros socios a escala mundial en un esfuerzo común. La UE está implantando rápidamente, también en coordinación con sus socios, sistemas para ofrecer entornos estables y acogedores a quienes huyen de la guerra y para ayudar a las administraciones nacionales a continuar con sus tareas esenciales bajo una enorme presión. Debe prestarse especial atención a las necesidades de los más vulnerables, quienes corren el riesgo de quedar marginados, pero también a los que están expuestos a mayor peligro. Las mujeres, los menores no acompañados y otros menores representan una proporción importante de las llegadas. Las prioridades inmediatas serán, entre otras, garantizar una información y un alojamiento adecuados, prevenir la explotación vinculada al género, apoyar el cuidado de los niños y garantizar un acceso rápido a la educación.</w:t>
      </w:r>
    </w:p>
    <w:p w:rsidR="00C62714" w:rsidRPr="00B517FF" w:rsidRDefault="00C62714" w:rsidP="00150DE0">
      <w:pPr>
        <w:pStyle w:val="Default"/>
        <w:spacing w:after="120"/>
        <w:jc w:val="both"/>
        <w:rPr>
          <w:rFonts w:ascii="Times New Roman" w:hAnsi="Times New Roman" w:cs="Times New Roman"/>
          <w:b/>
          <w:i/>
          <w:noProof/>
        </w:rPr>
      </w:pPr>
      <w:r>
        <w:rPr>
          <w:rFonts w:ascii="Times New Roman" w:hAnsi="Times New Roman"/>
          <w:b/>
          <w:i/>
          <w:noProof/>
        </w:rPr>
        <w:t>Un estatuto jurídico claro....</w:t>
      </w:r>
    </w:p>
    <w:p w:rsidR="00C62714" w:rsidRDefault="00C62714" w:rsidP="00C47E98">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En respuesta al ingente número de personas que huye de la agresión militar rusa, la UE está realizando una oferta de protección temporal sin precedentes, que aporta claridad y seguridad a las personas en situación de extrema necesidad</w:t>
      </w:r>
      <w:r>
        <w:rPr>
          <w:rStyle w:val="FootnoteReference"/>
          <w:rFonts w:ascii="Times New Roman" w:hAnsi="Times New Roman" w:cs="Times New Roman"/>
          <w:noProof/>
          <w:sz w:val="24"/>
          <w:szCs w:val="24"/>
          <w:lang w:val="en-IE"/>
        </w:rPr>
        <w:footnoteReference w:id="13"/>
      </w:r>
      <w:r>
        <w:rPr>
          <w:rFonts w:ascii="Times New Roman" w:hAnsi="Times New Roman"/>
          <w:noProof/>
          <w:sz w:val="24"/>
          <w:szCs w:val="24"/>
        </w:rPr>
        <w:t>. Con ello se garantizará que los ucranianos y sus familias gocen de un estatuto seguro y dotado de validez en toda la UE, incluso tras la expiración del estatuto de exención de visado al cabo de noventa días. Esta oferta se hace también extensiva a muchos otros nacionales de terceros países que huyen de la guerra, incluidos los que gozan de protección internacional en Ucrania y los que no pueden retornar de forma segura a su país de origen. Todos aquellos que huyen de la guerra son bienvenidos en Europa: las personas que no puedan acogerse a la protección temporal obtendrán protección y alojamiento y, a continuación, se las ayudará a regresar de forma segura a sus hogares</w:t>
      </w:r>
      <w:r>
        <w:rPr>
          <w:rStyle w:val="FootnoteReference"/>
          <w:rFonts w:ascii="Times New Roman" w:hAnsi="Times New Roman" w:cs="Times New Roman"/>
          <w:noProof/>
          <w:sz w:val="24"/>
          <w:szCs w:val="24"/>
        </w:rPr>
        <w:footnoteReference w:id="14"/>
      </w:r>
      <w:r>
        <w:rPr>
          <w:rFonts w:ascii="Times New Roman" w:hAnsi="Times New Roman"/>
          <w:noProof/>
          <w:sz w:val="24"/>
          <w:szCs w:val="24"/>
        </w:rPr>
        <w:t>. Se están desarrollando modalidades de ayuda destinadas a los nacionales de terceros países que desean retornar a sus hogares y se encuentran en situación de mayor vulnerabilidad. Algunos terceros países han colaborado ya con los Estados miembros para apoyar la repatriación de sus nacionales</w:t>
      </w:r>
      <w:r>
        <w:rPr>
          <w:rStyle w:val="FootnoteReference"/>
          <w:rFonts w:ascii="Times New Roman" w:hAnsi="Times New Roman" w:cs="Times New Roman"/>
          <w:noProof/>
          <w:sz w:val="24"/>
          <w:szCs w:val="24"/>
        </w:rPr>
        <w:footnoteReference w:id="15"/>
      </w:r>
      <w:r>
        <w:rPr>
          <w:rFonts w:ascii="Times New Roman" w:hAnsi="Times New Roman"/>
          <w:noProof/>
          <w:sz w:val="24"/>
          <w:szCs w:val="24"/>
        </w:rPr>
        <w:t xml:space="preserve">, y debe prestarse especial atención a los más vulnerables. </w:t>
      </w:r>
    </w:p>
    <w:p w:rsidR="00C62714" w:rsidRDefault="00C62714" w:rsidP="00C47E98">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El enfoque aplicado concede también una importancia esencial a la solidaridad entre los Estados miembros: a través de una plataforma de solidaridad se compartirá información sobre las capacidades de acogida, el número de personas que disfrutan de protección temporal en su territorio y otras necesidades de ayuda adicional. La Comisión, junto con la Agencia de Asilo de la UE, coordinará la respuesta operativa necesaria, incluido el traslado de personas entre los Estados miembros dentro de la UE y a terceros países. La protección temporal durará inicialmente un año y podrá renovarse automáticamente en dos ocasiones por un período seis meses cada vez. </w:t>
      </w:r>
    </w:p>
    <w:p w:rsidR="00C62714" w:rsidRDefault="00C62714" w:rsidP="00150DE0">
      <w:pPr>
        <w:spacing w:line="240" w:lineRule="auto"/>
        <w:jc w:val="both"/>
        <w:rPr>
          <w:rFonts w:ascii="Times New Roman" w:hAnsi="Times New Roman" w:cs="Times New Roman"/>
          <w:noProof/>
          <w:sz w:val="24"/>
          <w:szCs w:val="24"/>
        </w:rPr>
      </w:pPr>
      <w:r>
        <w:rPr>
          <w:rFonts w:ascii="Times New Roman" w:hAnsi="Times New Roman"/>
          <w:noProof/>
          <w:sz w:val="24"/>
          <w:szCs w:val="24"/>
        </w:rPr>
        <w:t>Este estatuto ofrecerá una protección que abarcará la concesión del permiso de residencia, asistencia social y atención sanitaria, así como acceso a la educación y al mercado laboral</w:t>
      </w:r>
      <w:r>
        <w:rPr>
          <w:rStyle w:val="FootnoteReference"/>
          <w:rFonts w:ascii="Times New Roman" w:hAnsi="Times New Roman" w:cs="Times New Roman"/>
          <w:noProof/>
          <w:sz w:val="24"/>
          <w:szCs w:val="24"/>
        </w:rPr>
        <w:footnoteReference w:id="16"/>
      </w:r>
      <w:r>
        <w:rPr>
          <w:rFonts w:ascii="Times New Roman" w:hAnsi="Times New Roman"/>
          <w:noProof/>
          <w:sz w:val="24"/>
          <w:szCs w:val="24"/>
        </w:rPr>
        <w:t xml:space="preserve">. Se trata de una prueba de la acogida dispensada por la UE y los europeos que permitirá a los refugiados desempeñar un papel importante en nuestras comunidades. También contribuirá a evitar que los sistemas de asilo de los Estados miembros se vean desbordados y ayudará a los Estados miembros a gestionar la acogida de estos recién llegados de manera armonizada, organizada y predecible. La aplicación rápida, adecuada y coordinada de la protección temporal adquirirá ahora carácter prioritario. La Comisión presentará rápidamente orientaciones para ayudar a los Estados miembros, junto con las agencias de la UE, a hacer frente a estos nuevos retos. </w:t>
      </w:r>
    </w:p>
    <w:p w:rsidR="00C62714" w:rsidRPr="00E7439A" w:rsidRDefault="00C62714" w:rsidP="00150DE0">
      <w:pPr>
        <w:spacing w:after="120" w:line="240" w:lineRule="auto"/>
        <w:jc w:val="both"/>
        <w:rPr>
          <w:rFonts w:ascii="Times New Roman" w:hAnsi="Times New Roman" w:cs="Times New Roman"/>
          <w:b/>
          <w:i/>
          <w:noProof/>
          <w:sz w:val="24"/>
          <w:szCs w:val="24"/>
        </w:rPr>
      </w:pPr>
      <w:r>
        <w:rPr>
          <w:rFonts w:ascii="Times New Roman" w:hAnsi="Times New Roman"/>
          <w:b/>
          <w:i/>
          <w:noProof/>
          <w:sz w:val="24"/>
          <w:szCs w:val="24"/>
        </w:rPr>
        <w:t>Un apoyo a más largo plazo a los Estados miembros...</w:t>
      </w:r>
    </w:p>
    <w:p w:rsidR="00C62714" w:rsidRDefault="00C62714" w:rsidP="00150DE0">
      <w:pPr>
        <w:pStyle w:val="Considrant"/>
        <w:numPr>
          <w:ilvl w:val="0"/>
          <w:numId w:val="0"/>
        </w:numPr>
        <w:rPr>
          <w:noProof/>
          <w:szCs w:val="24"/>
        </w:rPr>
      </w:pPr>
      <w:r>
        <w:rPr>
          <w:noProof/>
        </w:rPr>
        <w:t xml:space="preserve">Los servicios públicos, incluidos los servicios de salud y educación, así como los relacionados con la vivienda y la protección social, tendrán que estar en condiciones de responder a las nuevas demandas de las personas que huyen de Ucrania, teniendo en cuenta la proporción cada vez mayor de refugiados que probablemente no tengan familia en la UE en la que apoyarse. Muchos servicios públicos se encuentran ya sometidos a fuertes tensiones como consecuencia de la pandemia. Europa ha de aprovechar todas las herramientas a su alcance, pero también el sentimiento de compasión y la capacidad de acogida de sus ciudadanos, a fin garantizar que se cumple la promesa de acoger a los refugiados. </w:t>
      </w:r>
    </w:p>
    <w:p w:rsidR="00C62714" w:rsidRPr="00E7439A" w:rsidRDefault="00C62714" w:rsidP="00150DE0">
      <w:pPr>
        <w:pStyle w:val="Considrant"/>
        <w:numPr>
          <w:ilvl w:val="0"/>
          <w:numId w:val="0"/>
        </w:numPr>
        <w:rPr>
          <w:b/>
          <w:i/>
          <w:noProof/>
          <w:szCs w:val="24"/>
        </w:rPr>
      </w:pPr>
      <w:r>
        <w:rPr>
          <w:b/>
          <w:i/>
          <w:noProof/>
          <w:szCs w:val="24"/>
        </w:rPr>
        <w:t>..... aprovechando la financiación de la UE</w:t>
      </w:r>
    </w:p>
    <w:p w:rsidR="00C62714" w:rsidRDefault="00C62714" w:rsidP="00150DE0">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La política de cohesión contribuye ya a la labor de los Estados miembros para hacer frente a los retos de la migración en el marco del Fondo Europeo de Desarrollo Regional (FEDER) y del Fondo Social Europeo (FSE), que pueden financiar las capacidades de acogida y los servicios de apoyo. Sin embargo, la magnitud del reto actual exige nuevas medidas para garantizar un acceso efectivo a la ayuda. Esta es la razón por la cual la Comisión propone hacer un uso más flexible del FEDER, el FSE y el Fondo de Ayuda Europea para las Personas Más Desfavorecidas en el marco de la iniciativa «Acción de cohesión en favor de los refugiados en Europa» (CARE). Ello permitirá reorientar parte de la financiación restante de los programas de cohesión 2014-2020 para hacer frente a los retos surgidos desde el inicio de la guerra en Ucrania. Para seguir apoyando a los Estados miembros, el porcentaje excepcional de cofinanciación del 100 % aplicado en respuesta a la pandemia se prorrogará un año. Además, alrededor de 10 000 millones EUR de los fondos de Ayuda a la Recuperación para la Cohesión y los Territorios de Europa («REACT-UE») de 2022 podrán utilizarse asimismo para hacer frente a estas nuevas demandas en el marco del objetivo general de la recuperación posterior a la pandemia. </w:t>
      </w:r>
    </w:p>
    <w:p w:rsidR="00C62714" w:rsidRDefault="00C62714" w:rsidP="00150DE0">
      <w:pPr>
        <w:pStyle w:val="Considrant"/>
        <w:numPr>
          <w:ilvl w:val="0"/>
          <w:numId w:val="0"/>
        </w:numPr>
        <w:rPr>
          <w:noProof/>
          <w:szCs w:val="24"/>
        </w:rPr>
      </w:pPr>
      <w:r>
        <w:rPr>
          <w:noProof/>
        </w:rPr>
        <w:t>La nueva generación de fondos para asuntos de interior correspondiente al período 2021-2027 prevé la posibilidad de conceder importantes recursos adicionales a los Estados miembros para que garanticen la eficacia de las instalaciones de acogida, incluido el apoyo especializado a las personas vulnerables, y para que gestionen los procedimientos de asilo. Ello será esencial para responder a los nuevos retos a medida que vayan evolucionando, en particular mediante la aplicación de la protección temporal. Los fondos también pueden utilizarse para respaldar a la sociedad civil en su apoyo a los refugiados. Los Estados miembros están finalizando sus programas nacionales de 2021-2027 para impulsar la ayuda</w:t>
      </w:r>
      <w:r>
        <w:rPr>
          <w:rStyle w:val="FootnoteReference"/>
          <w:noProof/>
        </w:rPr>
        <w:footnoteReference w:id="17"/>
      </w:r>
      <w:r>
        <w:rPr>
          <w:noProof/>
        </w:rPr>
        <w:t xml:space="preserve">. El rápido despliegue de los programas nacionales ya existentes y de los de nueva creación proporcionará recursos sustanciales, y la Comisión también ayudará a los Estados miembros a recalibrar sus planes y a desplegar ayuda de emergencia en caso necesario. La Comisión también tiene previsto facilitar el refuerzo de la solidaridad entre los Estados miembros proponiendo la posibilidad de contribuciones voluntarias de los Estados miembros a la dotación del FAMI 2021-2027. </w:t>
      </w:r>
    </w:p>
    <w:p w:rsidR="00C62714" w:rsidRPr="007B6081" w:rsidRDefault="00C62714" w:rsidP="00150DE0">
      <w:pPr>
        <w:spacing w:line="240" w:lineRule="auto"/>
        <w:jc w:val="both"/>
        <w:rPr>
          <w:rFonts w:ascii="Times New Roman" w:hAnsi="Times New Roman" w:cs="Times New Roman"/>
          <w:b/>
          <w:i/>
          <w:noProof/>
          <w:sz w:val="24"/>
          <w:szCs w:val="24"/>
        </w:rPr>
      </w:pPr>
      <w:r>
        <w:rPr>
          <w:b/>
          <w:i/>
          <w:noProof/>
          <w:szCs w:val="24"/>
        </w:rPr>
        <w:t xml:space="preserve">... </w:t>
      </w:r>
      <w:r>
        <w:rPr>
          <w:rFonts w:ascii="Times New Roman" w:hAnsi="Times New Roman"/>
          <w:b/>
          <w:i/>
          <w:noProof/>
          <w:sz w:val="24"/>
          <w:szCs w:val="24"/>
        </w:rPr>
        <w:t>y catalizando la respuesta del conjunto de la sociedad...</w:t>
      </w:r>
    </w:p>
    <w:p w:rsidR="004A20A3" w:rsidRPr="00352E9C" w:rsidRDefault="00C62714" w:rsidP="00C47E98">
      <w:pPr>
        <w:pStyle w:val="Considrant"/>
        <w:numPr>
          <w:ilvl w:val="0"/>
          <w:numId w:val="0"/>
        </w:numPr>
        <w:spacing w:before="0" w:after="240"/>
        <w:rPr>
          <w:noProof/>
        </w:rPr>
      </w:pPr>
      <w:r>
        <w:rPr>
          <w:noProof/>
        </w:rPr>
        <w:t>Miles de ciudadanos, empresas y organizaciones del sector privado están demostrando una solidaridad y una disposición sin precedentes para actuar en apoyo de quienes huyen de la guerra. La Comisión apoyará a los Estados miembros y a las partes interesadas a nivel nacional y local para canalizar la ayuda y orientar las acciones a fin de responder a las necesidades emergentes.</w:t>
      </w:r>
    </w:p>
    <w:p w:rsidR="004A20A3" w:rsidRPr="004A20A3" w:rsidRDefault="00C62714" w:rsidP="00C47E98">
      <w:pPr>
        <w:spacing w:after="240" w:line="240" w:lineRule="auto"/>
        <w:rPr>
          <w:rFonts w:ascii="Times New Roman" w:hAnsi="Times New Roman" w:cs="Times New Roman"/>
          <w:b/>
          <w:noProof/>
          <w:sz w:val="24"/>
          <w:szCs w:val="24"/>
        </w:rPr>
      </w:pPr>
      <w:r>
        <w:rPr>
          <w:rFonts w:ascii="Times New Roman" w:hAnsi="Times New Roman"/>
          <w:b/>
          <w:noProof/>
          <w:sz w:val="24"/>
          <w:szCs w:val="24"/>
        </w:rPr>
        <w:t>5.</w:t>
      </w:r>
      <w:r>
        <w:rPr>
          <w:noProof/>
        </w:rPr>
        <w:tab/>
      </w:r>
      <w:r>
        <w:rPr>
          <w:rFonts w:ascii="Times New Roman" w:hAnsi="Times New Roman"/>
          <w:b/>
          <w:noProof/>
          <w:sz w:val="24"/>
          <w:szCs w:val="24"/>
        </w:rPr>
        <w:t xml:space="preserve">AFRONTAR EL RETO QUE SE NOS PLANTEA </w:t>
      </w:r>
    </w:p>
    <w:p w:rsidR="00C62714" w:rsidRDefault="00C62714" w:rsidP="00150DE0">
      <w:pPr>
        <w:spacing w:line="240" w:lineRule="auto"/>
        <w:jc w:val="both"/>
        <w:rPr>
          <w:rFonts w:ascii="Times New Roman" w:hAnsi="Times New Roman" w:cs="Times New Roman"/>
          <w:bCs/>
          <w:noProof/>
          <w:sz w:val="24"/>
          <w:szCs w:val="24"/>
        </w:rPr>
      </w:pPr>
      <w:r>
        <w:rPr>
          <w:rFonts w:ascii="Times New Roman" w:hAnsi="Times New Roman"/>
          <w:bCs/>
          <w:noProof/>
          <w:sz w:val="24"/>
          <w:szCs w:val="24"/>
        </w:rPr>
        <w:t xml:space="preserve">Si bien aún es pronto para calibrar la auténtica magnitud del reto que tendremos que afrontar, según las estimaciones actuales de ACNUR, el número de personas que abandonan Ucrania podría llegar a alcanzar los 8 millones. La UE y nuestros socios a escala mundial estamos siendo sometidos a prueba y debemos demostrar a quienes desearían vernos divididos o en situación de debilidad que estamos unidos. Nuestros principios y valores deben ser nuestra piedra angular, ya que nos enfrentamos al reto de ayudar a todas aquellas personas que lo necesiten. </w:t>
      </w:r>
    </w:p>
    <w:p w:rsidR="003F347E" w:rsidRPr="003E735F" w:rsidRDefault="00C62714" w:rsidP="00CF10ED">
      <w:pPr>
        <w:spacing w:line="240" w:lineRule="auto"/>
        <w:jc w:val="both"/>
        <w:rPr>
          <w:noProof/>
        </w:rPr>
      </w:pPr>
      <w:r>
        <w:rPr>
          <w:rFonts w:ascii="Times New Roman" w:hAnsi="Times New Roman"/>
          <w:bCs/>
          <w:noProof/>
          <w:sz w:val="24"/>
          <w:szCs w:val="24"/>
        </w:rPr>
        <w:t xml:space="preserve">Tenemos que mostrarnos a la altura de la tarea que supone acoger a los millones de personas que huyen de la guerra en nuestra vecindad, que podrían ir en aumento. Al mismo tiempo, seguiremos defendiendo con firmeza el respeto del Derecho internacional humanitario y el acceso efectivo de los agentes humanitarios a Ucrania. Nuestra determinación de satisfacer las necesidades y proteger los derechos, las libertades y el bienestar de quienes buscan nuestra ayuda requerirá un gran esfuerzo de preparación y una atención a largo plazo a los resultados en todos los Estados miembros. Es esencial que adoptemos un enfoque unificado, basado en todas las herramientas y el apoyo mutuo disponibles a través de la UE. Podemos aprovechar nuestros numerosos puntos fuertes: nuestra humanidad, nuestra resiliencia y nuestro ingenio, para asegurarnos de que afrontamos este reto con todos los medios necesarios. </w:t>
      </w:r>
    </w:p>
    <w:sectPr w:rsidR="003F347E" w:rsidRPr="003E735F" w:rsidSect="003F347E">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BC0" w:rsidRDefault="002F0BC0" w:rsidP="00486062">
      <w:pPr>
        <w:spacing w:after="0" w:line="240" w:lineRule="auto"/>
      </w:pPr>
      <w:r>
        <w:separator/>
      </w:r>
    </w:p>
  </w:endnote>
  <w:endnote w:type="continuationSeparator" w:id="0">
    <w:p w:rsidR="002F0BC0" w:rsidRDefault="002F0BC0" w:rsidP="00486062">
      <w:pPr>
        <w:spacing w:after="0" w:line="240" w:lineRule="auto"/>
      </w:pPr>
      <w:r>
        <w:continuationSeparator/>
      </w:r>
    </w:p>
  </w:endnote>
  <w:endnote w:type="continuationNotice" w:id="1">
    <w:p w:rsidR="002F0BC0" w:rsidRDefault="002F0B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695" w:rsidRPr="009D6695" w:rsidRDefault="009D6695" w:rsidP="009D66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35F" w:rsidRPr="009D6695" w:rsidRDefault="009D6695" w:rsidP="009D6695">
    <w:pPr>
      <w:pStyle w:val="FooterCoverPage"/>
      <w:rPr>
        <w:rFonts w:ascii="Arial" w:hAnsi="Arial" w:cs="Arial"/>
        <w:b/>
        <w:sz w:val="48"/>
      </w:rPr>
    </w:pPr>
    <w:r w:rsidRPr="009D6695">
      <w:rPr>
        <w:rFonts w:ascii="Arial" w:hAnsi="Arial" w:cs="Arial"/>
        <w:b/>
        <w:sz w:val="48"/>
      </w:rPr>
      <w:t>ES</w:t>
    </w:r>
    <w:r w:rsidRPr="009D6695">
      <w:rPr>
        <w:rFonts w:ascii="Arial" w:hAnsi="Arial" w:cs="Arial"/>
        <w:b/>
        <w:sz w:val="48"/>
      </w:rPr>
      <w:tab/>
    </w:r>
    <w:r w:rsidRPr="009D6695">
      <w:rPr>
        <w:rFonts w:ascii="Arial" w:hAnsi="Arial" w:cs="Arial"/>
        <w:b/>
        <w:sz w:val="48"/>
      </w:rPr>
      <w:tab/>
    </w:r>
    <w:r w:rsidRPr="009D6695">
      <w:tab/>
    </w:r>
    <w:r w:rsidRPr="009D6695">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695" w:rsidRPr="009D6695" w:rsidRDefault="009D6695" w:rsidP="009D6695">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9AF" w:rsidRDefault="00DB69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4619181"/>
      <w:docPartObj>
        <w:docPartGallery w:val="Page Numbers (Bottom of Page)"/>
        <w:docPartUnique/>
      </w:docPartObj>
    </w:sdtPr>
    <w:sdtEndPr>
      <w:rPr>
        <w:rFonts w:ascii="Times New Roman" w:hAnsi="Times New Roman" w:cs="Times New Roman"/>
        <w:noProof/>
      </w:rPr>
    </w:sdtEndPr>
    <w:sdtContent>
      <w:p w:rsidR="00DB69AF" w:rsidRPr="001D1E73" w:rsidRDefault="00C33B2F">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9D6695">
          <w:rPr>
            <w:rFonts w:ascii="Times New Roman" w:hAnsi="Times New Roman" w:cs="Times New Roman"/>
            <w:noProof/>
          </w:rPr>
          <w:t>1</w:t>
        </w:r>
        <w:r>
          <w:rPr>
            <w:rFonts w:ascii="Times New Roman" w:hAnsi="Times New Roman" w:cs="Times New Roma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9AF" w:rsidRDefault="00DB6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BC0" w:rsidRDefault="002F0BC0" w:rsidP="00486062">
      <w:pPr>
        <w:spacing w:after="0" w:line="240" w:lineRule="auto"/>
      </w:pPr>
      <w:r>
        <w:separator/>
      </w:r>
    </w:p>
  </w:footnote>
  <w:footnote w:type="continuationSeparator" w:id="0">
    <w:p w:rsidR="002F0BC0" w:rsidRDefault="002F0BC0" w:rsidP="00486062">
      <w:pPr>
        <w:spacing w:after="0" w:line="240" w:lineRule="auto"/>
      </w:pPr>
      <w:r>
        <w:continuationSeparator/>
      </w:r>
    </w:p>
  </w:footnote>
  <w:footnote w:type="continuationNotice" w:id="1">
    <w:p w:rsidR="002F0BC0" w:rsidRDefault="002F0BC0">
      <w:pPr>
        <w:spacing w:after="0" w:line="240" w:lineRule="auto"/>
      </w:pPr>
    </w:p>
  </w:footnote>
  <w:footnote w:id="2">
    <w:p w:rsidR="00811545" w:rsidRPr="00592704" w:rsidRDefault="00811545" w:rsidP="00150DE0">
      <w:pPr>
        <w:pStyle w:val="FootnoteText"/>
        <w:tabs>
          <w:tab w:val="left" w:pos="426"/>
        </w:tabs>
        <w:spacing w:after="0"/>
        <w:ind w:left="284" w:hanging="284"/>
      </w:pPr>
      <w:r>
        <w:rPr>
          <w:rStyle w:val="FootnoteReference"/>
        </w:rPr>
        <w:footnoteRef/>
      </w:r>
      <w:r>
        <w:tab/>
        <w:t xml:space="preserve">Resolución de la Asamblea General de las Naciones Unidas, de 2 de marzo de 2022, por la que se exige a Rusia la retirada inmediata, completa y sin condiciones de todas sus fuerzas militares del territorio de Ucrania. </w:t>
      </w:r>
    </w:p>
  </w:footnote>
  <w:footnote w:id="3">
    <w:p w:rsidR="00C62714" w:rsidRPr="00592704" w:rsidRDefault="00C62714" w:rsidP="00150DE0">
      <w:pPr>
        <w:tabs>
          <w:tab w:val="left" w:pos="426"/>
        </w:tabs>
        <w:spacing w:after="0" w:line="240" w:lineRule="auto"/>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tab/>
      </w:r>
      <w:r>
        <w:rPr>
          <w:rFonts w:ascii="Times New Roman" w:hAnsi="Times New Roman"/>
          <w:sz w:val="20"/>
          <w:szCs w:val="20"/>
        </w:rPr>
        <w:t>Entre el 23 de febrero y el 2 de marzo de 2022 se acordaron tres paquetes sucesivos de sanciones</w:t>
      </w:r>
      <w:r>
        <w:t>.</w:t>
      </w:r>
    </w:p>
  </w:footnote>
  <w:footnote w:id="4">
    <w:p w:rsidR="00C62714" w:rsidRPr="002E76E7" w:rsidRDefault="00C62714" w:rsidP="00150DE0">
      <w:pPr>
        <w:pStyle w:val="FootnoteText"/>
        <w:tabs>
          <w:tab w:val="left" w:pos="284"/>
        </w:tabs>
        <w:spacing w:after="0"/>
        <w:ind w:left="284" w:hanging="284"/>
      </w:pPr>
      <w:r>
        <w:rPr>
          <w:rStyle w:val="FootnoteReference"/>
        </w:rPr>
        <w:footnoteRef/>
      </w:r>
      <w:r>
        <w:tab/>
        <w:t>El término «refugiado» se utiliza en la presente Comunicación en un sentido político amplio y no en el de la definición de la Convención de Ginebra ni en la del acervo de la UE en materia de asilo.</w:t>
      </w:r>
    </w:p>
  </w:footnote>
  <w:footnote w:id="5">
    <w:p w:rsidR="00634BBF" w:rsidRPr="00592704" w:rsidRDefault="00634BBF" w:rsidP="00150DE0">
      <w:pPr>
        <w:spacing w:after="0" w:line="240" w:lineRule="auto"/>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tab/>
      </w:r>
      <w:r>
        <w:rPr>
          <w:rFonts w:ascii="Times New Roman" w:hAnsi="Times New Roman"/>
          <w:sz w:val="20"/>
          <w:szCs w:val="20"/>
        </w:rPr>
        <w:t>En el siguiente enlace figura una lista de organizaciones activas en la prestación de ayuda humanitaria en Ucrania</w:t>
      </w:r>
      <w:r>
        <w:t>:</w:t>
      </w:r>
      <w:r>
        <w:rPr>
          <w:rFonts w:ascii="Times New Roman" w:hAnsi="Times New Roman"/>
          <w:sz w:val="20"/>
          <w:szCs w:val="20"/>
        </w:rPr>
        <w:t xml:space="preserve"> </w:t>
      </w:r>
      <w:hyperlink r:id="rId1" w:history="1">
        <w:r>
          <w:rPr>
            <w:rStyle w:val="Hyperlink"/>
            <w:rFonts w:ascii="Times New Roman" w:hAnsi="Times New Roman"/>
            <w:sz w:val="20"/>
            <w:szCs w:val="20"/>
          </w:rPr>
          <w:t>https://ec.europa.eu/info/strategy/priorities-2019-2024/stronger-europe-world/eu-solidarity-ukraine_es</w:t>
        </w:r>
      </w:hyperlink>
      <w:r>
        <w:rPr>
          <w:rFonts w:ascii="Times New Roman" w:hAnsi="Times New Roman"/>
          <w:color w:val="333333"/>
          <w:sz w:val="20"/>
          <w:szCs w:val="20"/>
        </w:rPr>
        <w:t xml:space="preserve"> </w:t>
      </w:r>
    </w:p>
    <w:p w:rsidR="00634BBF" w:rsidRPr="003E735F" w:rsidRDefault="00634BBF" w:rsidP="00150DE0">
      <w:pPr>
        <w:pStyle w:val="FootnoteText"/>
        <w:tabs>
          <w:tab w:val="left" w:pos="426"/>
        </w:tabs>
        <w:spacing w:after="0"/>
        <w:ind w:left="284" w:hanging="284"/>
      </w:pPr>
    </w:p>
  </w:footnote>
  <w:footnote w:id="6">
    <w:p w:rsidR="003C4B9A" w:rsidRPr="006D3DF4" w:rsidRDefault="003C4B9A" w:rsidP="006D3DF4">
      <w:pPr>
        <w:pStyle w:val="FootnoteText"/>
        <w:ind w:left="0" w:firstLine="0"/>
      </w:pPr>
      <w:r>
        <w:rPr>
          <w:rStyle w:val="FootnoteReference"/>
        </w:rPr>
        <w:footnoteRef/>
      </w:r>
      <w:r>
        <w:tab/>
        <w:t>Debido a retrasos en el registro y la notificación, el número total podría ser mayor.</w:t>
      </w:r>
    </w:p>
  </w:footnote>
  <w:footnote w:id="7">
    <w:p w:rsidR="00C62714" w:rsidRPr="002E76E7" w:rsidRDefault="00C62714" w:rsidP="00150DE0">
      <w:pPr>
        <w:pStyle w:val="FootnoteText"/>
        <w:tabs>
          <w:tab w:val="left" w:pos="426"/>
        </w:tabs>
        <w:spacing w:after="0"/>
        <w:ind w:left="284" w:hanging="284"/>
      </w:pPr>
      <w:r>
        <w:rPr>
          <w:rStyle w:val="FootnoteReference"/>
        </w:rPr>
        <w:footnoteRef/>
      </w:r>
      <w:r>
        <w:tab/>
        <w:t xml:space="preserve">Visitas realizadas por la presidenta Von der Leyen, el alto representante Borrell, el vicepresidente Schinas, </w:t>
      </w:r>
      <w:r>
        <w:rPr>
          <w:rStyle w:val="markedcontent"/>
        </w:rPr>
        <w:t xml:space="preserve">la vicepresidenta Šuica, </w:t>
      </w:r>
      <w:r>
        <w:t xml:space="preserve">la comisaria Johansson, el comisario </w:t>
      </w:r>
      <w:r>
        <w:rPr>
          <w:rStyle w:val="markedcontent"/>
        </w:rPr>
        <w:t xml:space="preserve">Lenarčič, </w:t>
      </w:r>
      <w:r>
        <w:t xml:space="preserve">el comisario </w:t>
      </w:r>
      <w:r>
        <w:rPr>
          <w:rStyle w:val="markedcontent"/>
        </w:rPr>
        <w:t>Várhelyi</w:t>
      </w:r>
      <w:r>
        <w:t xml:space="preserve"> y la </w:t>
      </w:r>
      <w:r>
        <w:rPr>
          <w:rStyle w:val="markedcontent"/>
        </w:rPr>
        <w:t>comisaria Kyriakides.</w:t>
      </w:r>
    </w:p>
  </w:footnote>
  <w:footnote w:id="8">
    <w:p w:rsidR="00C62714" w:rsidRPr="002E76E7" w:rsidRDefault="00C62714" w:rsidP="00150DE0">
      <w:pPr>
        <w:pStyle w:val="FootnoteText"/>
        <w:tabs>
          <w:tab w:val="left" w:pos="426"/>
        </w:tabs>
        <w:spacing w:after="0"/>
        <w:ind w:left="284" w:hanging="284"/>
      </w:pPr>
      <w:r>
        <w:rPr>
          <w:rStyle w:val="FootnoteReference"/>
        </w:rPr>
        <w:footnoteRef/>
      </w:r>
      <w:r>
        <w:tab/>
      </w:r>
      <w:r>
        <w:rPr>
          <w:rStyle w:val="markedcontent"/>
        </w:rPr>
        <w:t>Comunicaciones de 9 de septiembre de 2015 [COM (2015) 454] y de 1 de abril de 2020 (C/2020/2078).</w:t>
      </w:r>
    </w:p>
  </w:footnote>
  <w:footnote w:id="9">
    <w:p w:rsidR="00C62714" w:rsidRPr="002E76E7" w:rsidRDefault="00C62714" w:rsidP="00150DE0">
      <w:pPr>
        <w:pStyle w:val="FootnoteText"/>
        <w:spacing w:after="0"/>
        <w:ind w:left="284" w:hanging="284"/>
      </w:pPr>
      <w:r>
        <w:rPr>
          <w:rStyle w:val="FootnoteReference"/>
        </w:rPr>
        <w:footnoteRef/>
      </w:r>
      <w:r>
        <w:tab/>
        <w:t>Fondo de Asilo, Migración e Integración (FAMI) y Fondo de Seguridad Interior (FSI)</w:t>
      </w:r>
    </w:p>
  </w:footnote>
  <w:footnote w:id="10">
    <w:p w:rsidR="00C62714" w:rsidRPr="002E76E7" w:rsidRDefault="00C62714" w:rsidP="00150DE0">
      <w:pPr>
        <w:pStyle w:val="FootnoteText"/>
        <w:tabs>
          <w:tab w:val="left" w:pos="426"/>
        </w:tabs>
        <w:spacing w:after="0"/>
        <w:ind w:left="284" w:hanging="284"/>
      </w:pPr>
      <w:r>
        <w:rPr>
          <w:rStyle w:val="FootnoteReference"/>
        </w:rPr>
        <w:footnoteRef/>
      </w:r>
      <w:r>
        <w:tab/>
        <w:t>C(2022) 1404 final de 2 de marzo de 2022.</w:t>
      </w:r>
    </w:p>
  </w:footnote>
  <w:footnote w:id="11">
    <w:p w:rsidR="00C62714" w:rsidRPr="002E76E7" w:rsidRDefault="00C62714" w:rsidP="00150DE0">
      <w:pPr>
        <w:pStyle w:val="FootnoteText"/>
        <w:spacing w:after="0"/>
        <w:ind w:left="284" w:hanging="284"/>
      </w:pPr>
      <w:r>
        <w:rPr>
          <w:rStyle w:val="FootnoteReference"/>
        </w:rPr>
        <w:footnoteRef/>
      </w:r>
      <w:r>
        <w:tab/>
        <w:t>eu-LISA apoya el trabajo de los Estados miembros sobre el registro y los controles a través de sistemas informáticos como Eurodac y el Sistema de Información de Schengen.</w:t>
      </w:r>
    </w:p>
  </w:footnote>
  <w:footnote w:id="12">
    <w:p w:rsidR="00C62714" w:rsidRPr="002E76E7" w:rsidRDefault="00C62714" w:rsidP="00150DE0">
      <w:pPr>
        <w:spacing w:after="0" w:line="240" w:lineRule="auto"/>
        <w:ind w:left="284" w:hanging="284"/>
        <w:jc w:val="both"/>
      </w:pPr>
      <w:r>
        <w:rPr>
          <w:rStyle w:val="FootnoteReference"/>
          <w:rFonts w:ascii="Times New Roman" w:hAnsi="Times New Roman" w:cs="Times New Roman"/>
          <w:sz w:val="20"/>
          <w:szCs w:val="20"/>
        </w:rPr>
        <w:footnoteRef/>
      </w:r>
      <w:r>
        <w:tab/>
      </w:r>
      <w:r>
        <w:rPr>
          <w:rFonts w:ascii="Times New Roman" w:hAnsi="Times New Roman"/>
          <w:sz w:val="20"/>
          <w:szCs w:val="20"/>
        </w:rPr>
        <w:t>El personal de la Agencia de los Derechos Fundamentales está visitando los pasos fronterizos y los centros de acogida de los Estados miembros sometidos a presión</w:t>
      </w:r>
      <w:r>
        <w:t>.</w:t>
      </w:r>
    </w:p>
  </w:footnote>
  <w:footnote w:id="13">
    <w:p w:rsidR="009143F7" w:rsidRPr="002E76E7" w:rsidRDefault="009143F7" w:rsidP="00150DE0">
      <w:pPr>
        <w:pStyle w:val="FootnoteText"/>
        <w:tabs>
          <w:tab w:val="left" w:pos="426"/>
        </w:tabs>
        <w:spacing w:after="0"/>
        <w:ind w:left="284" w:hanging="284"/>
      </w:pPr>
      <w:r>
        <w:rPr>
          <w:rStyle w:val="FootnoteReference"/>
        </w:rPr>
        <w:footnoteRef/>
      </w:r>
      <w:r>
        <w:tab/>
        <w:t>Decisión de Ejecución del Consejo, de 4 de marzo de 2022, por la que se constata la existencia de una afluencia masiva de personas desplazadas procedentes de Ucrania en el sentido del artículo 5 de la Directiva 2001/55/CE, y con el efecto de que se inicie la protección temporal.</w:t>
      </w:r>
    </w:p>
  </w:footnote>
  <w:footnote w:id="14">
    <w:p w:rsidR="00C62714" w:rsidRPr="002E76E7" w:rsidRDefault="00C62714" w:rsidP="00150DE0">
      <w:pPr>
        <w:pStyle w:val="FootnoteText"/>
        <w:spacing w:after="0"/>
        <w:ind w:left="284" w:hanging="284"/>
      </w:pPr>
      <w:r>
        <w:rPr>
          <w:rStyle w:val="FootnoteReference"/>
        </w:rPr>
        <w:footnoteRef/>
      </w:r>
      <w:r>
        <w:tab/>
        <w:t xml:space="preserve">La protección temporal no afecta al derecho a solicitar protección internacional en la Unión. </w:t>
      </w:r>
    </w:p>
  </w:footnote>
  <w:footnote w:id="15">
    <w:p w:rsidR="00023C74" w:rsidRPr="002E76E7" w:rsidRDefault="00023C74" w:rsidP="00150DE0">
      <w:pPr>
        <w:pStyle w:val="FootnoteText"/>
        <w:tabs>
          <w:tab w:val="left" w:pos="426"/>
        </w:tabs>
        <w:spacing w:after="0"/>
        <w:ind w:left="284" w:hanging="284"/>
      </w:pPr>
      <w:r>
        <w:rPr>
          <w:rStyle w:val="FootnoteReference"/>
        </w:rPr>
        <w:footnoteRef/>
      </w:r>
      <w:r>
        <w:tab/>
        <w:t>Como la India, Marruecos, Túnez y Egipto.</w:t>
      </w:r>
    </w:p>
  </w:footnote>
  <w:footnote w:id="16">
    <w:p w:rsidR="00C62714" w:rsidRPr="002E76E7" w:rsidRDefault="00C62714" w:rsidP="00150DE0">
      <w:pPr>
        <w:pStyle w:val="FootnoteText"/>
        <w:spacing w:after="0"/>
        <w:ind w:left="284" w:hanging="284"/>
      </w:pPr>
      <w:r>
        <w:rPr>
          <w:rStyle w:val="FootnoteReference"/>
        </w:rPr>
        <w:footnoteRef/>
      </w:r>
      <w:r>
        <w:tab/>
        <w:t>El estatuto jurídico también proporcionará acceso a otros servicios como la banca. Por ejemplo, la Directiva relativa a las cuentas de pago (2014/92/UE) prevé el acceso a una cuenta bancaria básica por parte de todos los residentes legales en la UE.</w:t>
      </w:r>
    </w:p>
  </w:footnote>
  <w:footnote w:id="17">
    <w:p w:rsidR="00C62714" w:rsidRPr="002D5AA5" w:rsidRDefault="00C62714" w:rsidP="00150DE0">
      <w:pPr>
        <w:pStyle w:val="FootnoteText"/>
        <w:tabs>
          <w:tab w:val="left" w:pos="426"/>
        </w:tabs>
        <w:spacing w:after="0"/>
        <w:ind w:left="284" w:hanging="284"/>
      </w:pPr>
      <w:r>
        <w:rPr>
          <w:rStyle w:val="FootnoteReference"/>
        </w:rPr>
        <w:footnoteRef/>
      </w:r>
      <w:r>
        <w:tab/>
        <w:t>En cualquier caso, los gastos subyacentes ya son subvencionables retroactivamente a partir de principios de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695" w:rsidRPr="009D6695" w:rsidRDefault="009D6695" w:rsidP="009D66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695" w:rsidRPr="009D6695" w:rsidRDefault="009D6695" w:rsidP="009D6695">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695" w:rsidRPr="009D6695" w:rsidRDefault="009D6695" w:rsidP="009D6695">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9AF" w:rsidRDefault="00DB69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9AF" w:rsidRDefault="00DB69A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9AF" w:rsidRDefault="00DB6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8C7C1A"/>
    <w:multiLevelType w:val="hybridMultilevel"/>
    <w:tmpl w:val="6A166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9E0FAD"/>
    <w:multiLevelType w:val="hybridMultilevel"/>
    <w:tmpl w:val="038AFD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7CBE4812"/>
    <w:multiLevelType w:val="singleLevel"/>
    <w:tmpl w:val="23C821E4"/>
    <w:name w:val="Considérant"/>
    <w:lvl w:ilvl="0">
      <w:start w:val="1"/>
      <w:numFmt w:val="decimal"/>
      <w:pStyle w:val="Considrant"/>
      <w:lvlText w:val="(%1)"/>
      <w:lvlJc w:val="left"/>
      <w:pPr>
        <w:tabs>
          <w:tab w:val="num" w:pos="709"/>
        </w:tabs>
        <w:ind w:left="709" w:hanging="709"/>
      </w:pPr>
    </w:lvl>
  </w:abstractNum>
  <w:num w:numId="1">
    <w:abstractNumId w:val="2"/>
  </w:num>
  <w:num w:numId="2">
    <w:abstractNumId w:val="0"/>
  </w:num>
  <w:num w:numId="3">
    <w:abstractNumId w:val="3"/>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es-ES"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revisionView w:markup="0"/>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F1B5B1F7-8E83-47F1-B37B-15932AFA6035"/>
    <w:docVar w:name="LW_COVERPAGE_TYPE" w:val="1"/>
    <w:docVar w:name="LW_CROSSREFERENCE" w:val="&lt;UNUSED&gt;"/>
    <w:docVar w:name="LW_DocType" w:val="NORMAL"/>
    <w:docVar w:name="LW_EMISSION" w:val="8.3.2022"/>
    <w:docVar w:name="LW_EMISSION_ISODATE" w:val="2022-03-08"/>
    <w:docVar w:name="LW_EMISSION_LOCATION" w:val="STR"/>
    <w:docVar w:name="LW_EMISSION_PREFIX" w:val="Estrasburgo, "/>
    <w:docVar w:name="LW_EMISSION_SUFFIX" w:val=" "/>
    <w:docVar w:name="LW_ID_DOCTYPE_NONLW" w:val="CP-009"/>
    <w:docVar w:name="LW_LANGUE" w:val="ES"/>
    <w:docVar w:name="LW_LEVEL_OF_SENSITIVITY" w:val="Standard treatmen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22) 10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_x000d__x000d__x000d__x000d__x000d__x000d__x000d__x000b_Solidaridad europea con los refugiados y con quienes huyen de la guerra en Ucrania_x000d__x000d__x000d__x000d__x000d__x000d__x000d__x000b__x000d__x000d__x000d__x000d__x000d__x000d__x000d__x000d__x000d__x000d__x000b_"/>
    <w:docVar w:name="LW_TYPE.DOC.CP" w:val="COMUNICACIÓN DE LA COMISIÓN"/>
    <w:docVar w:name="LW_TYPE.DOC.CP.USERTEXT" w:val="AL PARLAMENTO EUROPEO, AL CONSEJO, AL COMITÉ ECONÓMICO Y SOCIAL EUROPEO Y AL COMITÉ DE LAS REGIONES_x000b__x000b_"/>
    <w:docVar w:name="LwApiVersions" w:val="LW4CoDe 1.23.2.0; LW 8.0, Build 20211117"/>
  </w:docVars>
  <w:rsids>
    <w:rsidRoot w:val="00486062"/>
    <w:rsid w:val="00000AE2"/>
    <w:rsid w:val="00000D7A"/>
    <w:rsid w:val="00003945"/>
    <w:rsid w:val="0000543A"/>
    <w:rsid w:val="000136F8"/>
    <w:rsid w:val="00020695"/>
    <w:rsid w:val="00023C74"/>
    <w:rsid w:val="00024752"/>
    <w:rsid w:val="00026ED9"/>
    <w:rsid w:val="0003327B"/>
    <w:rsid w:val="00034F2C"/>
    <w:rsid w:val="00052FBC"/>
    <w:rsid w:val="00053AA0"/>
    <w:rsid w:val="000556AD"/>
    <w:rsid w:val="000573E6"/>
    <w:rsid w:val="0006680A"/>
    <w:rsid w:val="00072A04"/>
    <w:rsid w:val="0007301E"/>
    <w:rsid w:val="000774B6"/>
    <w:rsid w:val="00077587"/>
    <w:rsid w:val="00077EC3"/>
    <w:rsid w:val="000826EB"/>
    <w:rsid w:val="00083AF0"/>
    <w:rsid w:val="000846DF"/>
    <w:rsid w:val="000873FC"/>
    <w:rsid w:val="00090998"/>
    <w:rsid w:val="00095568"/>
    <w:rsid w:val="00097EF8"/>
    <w:rsid w:val="000A23BA"/>
    <w:rsid w:val="000B1FA7"/>
    <w:rsid w:val="000B335A"/>
    <w:rsid w:val="000B71B2"/>
    <w:rsid w:val="000B798F"/>
    <w:rsid w:val="000C3E6E"/>
    <w:rsid w:val="000C3F31"/>
    <w:rsid w:val="000C60EF"/>
    <w:rsid w:val="000C6147"/>
    <w:rsid w:val="000D7EA3"/>
    <w:rsid w:val="000E4F3A"/>
    <w:rsid w:val="000E6BA8"/>
    <w:rsid w:val="000F743C"/>
    <w:rsid w:val="0010107A"/>
    <w:rsid w:val="00106453"/>
    <w:rsid w:val="00107130"/>
    <w:rsid w:val="00115A81"/>
    <w:rsid w:val="00123062"/>
    <w:rsid w:val="00124B05"/>
    <w:rsid w:val="00126611"/>
    <w:rsid w:val="0013272D"/>
    <w:rsid w:val="00135DC2"/>
    <w:rsid w:val="00136AF2"/>
    <w:rsid w:val="00142DEC"/>
    <w:rsid w:val="00150DE0"/>
    <w:rsid w:val="001516C8"/>
    <w:rsid w:val="0015251C"/>
    <w:rsid w:val="00165331"/>
    <w:rsid w:val="001657ED"/>
    <w:rsid w:val="00175673"/>
    <w:rsid w:val="00177028"/>
    <w:rsid w:val="00180385"/>
    <w:rsid w:val="00182035"/>
    <w:rsid w:val="00184BE1"/>
    <w:rsid w:val="00190BC1"/>
    <w:rsid w:val="0019577F"/>
    <w:rsid w:val="00197312"/>
    <w:rsid w:val="001A1BD3"/>
    <w:rsid w:val="001A55E8"/>
    <w:rsid w:val="001B2790"/>
    <w:rsid w:val="001B38F9"/>
    <w:rsid w:val="001B78CE"/>
    <w:rsid w:val="001C57AF"/>
    <w:rsid w:val="001D02E0"/>
    <w:rsid w:val="001D109E"/>
    <w:rsid w:val="001D1E73"/>
    <w:rsid w:val="001D3657"/>
    <w:rsid w:val="001D3A59"/>
    <w:rsid w:val="001D71AB"/>
    <w:rsid w:val="001E08CE"/>
    <w:rsid w:val="001E0956"/>
    <w:rsid w:val="001E7720"/>
    <w:rsid w:val="001F18CB"/>
    <w:rsid w:val="001F22D7"/>
    <w:rsid w:val="001F2ACE"/>
    <w:rsid w:val="002009BF"/>
    <w:rsid w:val="00221F81"/>
    <w:rsid w:val="0022532B"/>
    <w:rsid w:val="00226849"/>
    <w:rsid w:val="00232C57"/>
    <w:rsid w:val="0023332C"/>
    <w:rsid w:val="00235450"/>
    <w:rsid w:val="00236219"/>
    <w:rsid w:val="00241A15"/>
    <w:rsid w:val="002428CB"/>
    <w:rsid w:val="002437A3"/>
    <w:rsid w:val="002438AA"/>
    <w:rsid w:val="002441F3"/>
    <w:rsid w:val="00247DC0"/>
    <w:rsid w:val="002505A5"/>
    <w:rsid w:val="0025235E"/>
    <w:rsid w:val="00255329"/>
    <w:rsid w:val="00261FAF"/>
    <w:rsid w:val="0026212B"/>
    <w:rsid w:val="002621D0"/>
    <w:rsid w:val="00264BDF"/>
    <w:rsid w:val="0026528F"/>
    <w:rsid w:val="00270572"/>
    <w:rsid w:val="0027307C"/>
    <w:rsid w:val="002754F4"/>
    <w:rsid w:val="00275D06"/>
    <w:rsid w:val="00290C8A"/>
    <w:rsid w:val="0029472D"/>
    <w:rsid w:val="00296DD1"/>
    <w:rsid w:val="002A41F3"/>
    <w:rsid w:val="002A4C0B"/>
    <w:rsid w:val="002A74B0"/>
    <w:rsid w:val="002B1A56"/>
    <w:rsid w:val="002B2DCD"/>
    <w:rsid w:val="002C1494"/>
    <w:rsid w:val="002D11A9"/>
    <w:rsid w:val="002D14F4"/>
    <w:rsid w:val="002D187D"/>
    <w:rsid w:val="002D19C7"/>
    <w:rsid w:val="002D75F1"/>
    <w:rsid w:val="002D7E4E"/>
    <w:rsid w:val="002E0433"/>
    <w:rsid w:val="002E5BC6"/>
    <w:rsid w:val="002E76E7"/>
    <w:rsid w:val="002F0BC0"/>
    <w:rsid w:val="002F2CEA"/>
    <w:rsid w:val="002F432B"/>
    <w:rsid w:val="002F4538"/>
    <w:rsid w:val="002F705C"/>
    <w:rsid w:val="002F70B3"/>
    <w:rsid w:val="00302775"/>
    <w:rsid w:val="003065E5"/>
    <w:rsid w:val="00317A9A"/>
    <w:rsid w:val="00323FBB"/>
    <w:rsid w:val="0032435C"/>
    <w:rsid w:val="00324664"/>
    <w:rsid w:val="003303C7"/>
    <w:rsid w:val="00335FB7"/>
    <w:rsid w:val="00336F22"/>
    <w:rsid w:val="00341EA6"/>
    <w:rsid w:val="00342AA9"/>
    <w:rsid w:val="003431D7"/>
    <w:rsid w:val="003451EE"/>
    <w:rsid w:val="0035100F"/>
    <w:rsid w:val="00352E9C"/>
    <w:rsid w:val="00363BA6"/>
    <w:rsid w:val="00363D41"/>
    <w:rsid w:val="00366194"/>
    <w:rsid w:val="003710C7"/>
    <w:rsid w:val="003804B6"/>
    <w:rsid w:val="00380D2B"/>
    <w:rsid w:val="00382102"/>
    <w:rsid w:val="00382699"/>
    <w:rsid w:val="0038772B"/>
    <w:rsid w:val="00390A03"/>
    <w:rsid w:val="00392B66"/>
    <w:rsid w:val="0039317D"/>
    <w:rsid w:val="003A1925"/>
    <w:rsid w:val="003B069E"/>
    <w:rsid w:val="003B1B4B"/>
    <w:rsid w:val="003C218E"/>
    <w:rsid w:val="003C4B9A"/>
    <w:rsid w:val="003C51CF"/>
    <w:rsid w:val="003C5BC3"/>
    <w:rsid w:val="003C7533"/>
    <w:rsid w:val="003D20B2"/>
    <w:rsid w:val="003D504B"/>
    <w:rsid w:val="003D5CC6"/>
    <w:rsid w:val="003E0CC7"/>
    <w:rsid w:val="003E716A"/>
    <w:rsid w:val="003E735F"/>
    <w:rsid w:val="003F2671"/>
    <w:rsid w:val="003F347E"/>
    <w:rsid w:val="003F4897"/>
    <w:rsid w:val="003F4CE5"/>
    <w:rsid w:val="0040281A"/>
    <w:rsid w:val="004035FA"/>
    <w:rsid w:val="0041196D"/>
    <w:rsid w:val="00412B0D"/>
    <w:rsid w:val="00413121"/>
    <w:rsid w:val="004136A7"/>
    <w:rsid w:val="00415E00"/>
    <w:rsid w:val="004169FD"/>
    <w:rsid w:val="00417B4C"/>
    <w:rsid w:val="00422DC7"/>
    <w:rsid w:val="00424B04"/>
    <w:rsid w:val="00436969"/>
    <w:rsid w:val="0044703F"/>
    <w:rsid w:val="0045213F"/>
    <w:rsid w:val="00452D66"/>
    <w:rsid w:val="00454B4D"/>
    <w:rsid w:val="00457A38"/>
    <w:rsid w:val="00462B74"/>
    <w:rsid w:val="00471688"/>
    <w:rsid w:val="00475A1B"/>
    <w:rsid w:val="00486062"/>
    <w:rsid w:val="004905D8"/>
    <w:rsid w:val="00490E02"/>
    <w:rsid w:val="00494F8B"/>
    <w:rsid w:val="004A20A3"/>
    <w:rsid w:val="004A2303"/>
    <w:rsid w:val="004A59E3"/>
    <w:rsid w:val="004A728A"/>
    <w:rsid w:val="004A7340"/>
    <w:rsid w:val="004B73D3"/>
    <w:rsid w:val="004C0EFC"/>
    <w:rsid w:val="004C0F8C"/>
    <w:rsid w:val="004C2858"/>
    <w:rsid w:val="004C4581"/>
    <w:rsid w:val="004C5C27"/>
    <w:rsid w:val="004C5CFE"/>
    <w:rsid w:val="004D012E"/>
    <w:rsid w:val="004D0936"/>
    <w:rsid w:val="004D1EAF"/>
    <w:rsid w:val="004E13CB"/>
    <w:rsid w:val="004E29C2"/>
    <w:rsid w:val="004E3AC7"/>
    <w:rsid w:val="004E6378"/>
    <w:rsid w:val="004E7CAD"/>
    <w:rsid w:val="004F129E"/>
    <w:rsid w:val="004F3982"/>
    <w:rsid w:val="004F3B3E"/>
    <w:rsid w:val="004F7428"/>
    <w:rsid w:val="00504C9E"/>
    <w:rsid w:val="005114A9"/>
    <w:rsid w:val="00513F5A"/>
    <w:rsid w:val="0051524B"/>
    <w:rsid w:val="00515363"/>
    <w:rsid w:val="00526E59"/>
    <w:rsid w:val="0052779A"/>
    <w:rsid w:val="00532E70"/>
    <w:rsid w:val="005413EA"/>
    <w:rsid w:val="00542361"/>
    <w:rsid w:val="005436BD"/>
    <w:rsid w:val="00543BDD"/>
    <w:rsid w:val="00546411"/>
    <w:rsid w:val="005472C1"/>
    <w:rsid w:val="005517BD"/>
    <w:rsid w:val="00551CC4"/>
    <w:rsid w:val="00564214"/>
    <w:rsid w:val="00565E5E"/>
    <w:rsid w:val="005715D2"/>
    <w:rsid w:val="0057773F"/>
    <w:rsid w:val="0059093C"/>
    <w:rsid w:val="00590EE6"/>
    <w:rsid w:val="00592704"/>
    <w:rsid w:val="0059371C"/>
    <w:rsid w:val="005948F0"/>
    <w:rsid w:val="00595E33"/>
    <w:rsid w:val="005B1264"/>
    <w:rsid w:val="005B186B"/>
    <w:rsid w:val="005C3057"/>
    <w:rsid w:val="005D34A9"/>
    <w:rsid w:val="005D3A4E"/>
    <w:rsid w:val="005D5611"/>
    <w:rsid w:val="005E3324"/>
    <w:rsid w:val="005E4A4A"/>
    <w:rsid w:val="005E57B0"/>
    <w:rsid w:val="005F5199"/>
    <w:rsid w:val="005F7CB9"/>
    <w:rsid w:val="0060326E"/>
    <w:rsid w:val="006076A1"/>
    <w:rsid w:val="006155C8"/>
    <w:rsid w:val="0061693B"/>
    <w:rsid w:val="00616A82"/>
    <w:rsid w:val="00617AB7"/>
    <w:rsid w:val="00617DAC"/>
    <w:rsid w:val="00630F67"/>
    <w:rsid w:val="00632174"/>
    <w:rsid w:val="00634484"/>
    <w:rsid w:val="006347EA"/>
    <w:rsid w:val="00634B60"/>
    <w:rsid w:val="00634BA5"/>
    <w:rsid w:val="00634BBF"/>
    <w:rsid w:val="00634DF5"/>
    <w:rsid w:val="00643DB7"/>
    <w:rsid w:val="00646515"/>
    <w:rsid w:val="00647A19"/>
    <w:rsid w:val="00647C14"/>
    <w:rsid w:val="00653422"/>
    <w:rsid w:val="0065769D"/>
    <w:rsid w:val="00664106"/>
    <w:rsid w:val="00683741"/>
    <w:rsid w:val="00684630"/>
    <w:rsid w:val="00692D93"/>
    <w:rsid w:val="00693FD2"/>
    <w:rsid w:val="00695C6B"/>
    <w:rsid w:val="006A1085"/>
    <w:rsid w:val="006C1140"/>
    <w:rsid w:val="006C464E"/>
    <w:rsid w:val="006D06C1"/>
    <w:rsid w:val="006D252C"/>
    <w:rsid w:val="006D3DF4"/>
    <w:rsid w:val="006D6D55"/>
    <w:rsid w:val="006D700A"/>
    <w:rsid w:val="006E09CD"/>
    <w:rsid w:val="006E0FFE"/>
    <w:rsid w:val="006E12FE"/>
    <w:rsid w:val="006E2D4A"/>
    <w:rsid w:val="006E6D12"/>
    <w:rsid w:val="006F0C4C"/>
    <w:rsid w:val="006F2902"/>
    <w:rsid w:val="006F380C"/>
    <w:rsid w:val="007017DF"/>
    <w:rsid w:val="007049CD"/>
    <w:rsid w:val="00715291"/>
    <w:rsid w:val="00722035"/>
    <w:rsid w:val="00723E1E"/>
    <w:rsid w:val="007241F5"/>
    <w:rsid w:val="007324D6"/>
    <w:rsid w:val="00732873"/>
    <w:rsid w:val="00734A79"/>
    <w:rsid w:val="00736359"/>
    <w:rsid w:val="007419F0"/>
    <w:rsid w:val="0074296D"/>
    <w:rsid w:val="00750527"/>
    <w:rsid w:val="007558A2"/>
    <w:rsid w:val="007600EC"/>
    <w:rsid w:val="00781A96"/>
    <w:rsid w:val="00784325"/>
    <w:rsid w:val="00787090"/>
    <w:rsid w:val="0078732E"/>
    <w:rsid w:val="007924D4"/>
    <w:rsid w:val="0079409B"/>
    <w:rsid w:val="00794B21"/>
    <w:rsid w:val="00796E12"/>
    <w:rsid w:val="007A24AB"/>
    <w:rsid w:val="007A4D4B"/>
    <w:rsid w:val="007A6AD0"/>
    <w:rsid w:val="007A6CD6"/>
    <w:rsid w:val="007B09B4"/>
    <w:rsid w:val="007B11B2"/>
    <w:rsid w:val="007B46FB"/>
    <w:rsid w:val="007B5ECE"/>
    <w:rsid w:val="007B7ED6"/>
    <w:rsid w:val="007C088A"/>
    <w:rsid w:val="007C179B"/>
    <w:rsid w:val="007C2E33"/>
    <w:rsid w:val="007C5350"/>
    <w:rsid w:val="007D02A3"/>
    <w:rsid w:val="007D32DF"/>
    <w:rsid w:val="007D382F"/>
    <w:rsid w:val="007D4087"/>
    <w:rsid w:val="007D4396"/>
    <w:rsid w:val="007D6390"/>
    <w:rsid w:val="007E0D05"/>
    <w:rsid w:val="007E120B"/>
    <w:rsid w:val="007E35AF"/>
    <w:rsid w:val="007F3EBD"/>
    <w:rsid w:val="007F45F6"/>
    <w:rsid w:val="0080271E"/>
    <w:rsid w:val="00803E6A"/>
    <w:rsid w:val="00807205"/>
    <w:rsid w:val="00811545"/>
    <w:rsid w:val="00825EEC"/>
    <w:rsid w:val="00831025"/>
    <w:rsid w:val="00831827"/>
    <w:rsid w:val="00832FFA"/>
    <w:rsid w:val="008333AE"/>
    <w:rsid w:val="008370F6"/>
    <w:rsid w:val="008423EB"/>
    <w:rsid w:val="008427B1"/>
    <w:rsid w:val="0084346E"/>
    <w:rsid w:val="0084731C"/>
    <w:rsid w:val="008501AB"/>
    <w:rsid w:val="00850438"/>
    <w:rsid w:val="008542CD"/>
    <w:rsid w:val="00860483"/>
    <w:rsid w:val="00860EC5"/>
    <w:rsid w:val="00862FA8"/>
    <w:rsid w:val="008638D9"/>
    <w:rsid w:val="00864676"/>
    <w:rsid w:val="008654E2"/>
    <w:rsid w:val="00870ADA"/>
    <w:rsid w:val="00871147"/>
    <w:rsid w:val="008750CA"/>
    <w:rsid w:val="00875520"/>
    <w:rsid w:val="00882ADB"/>
    <w:rsid w:val="00887E9D"/>
    <w:rsid w:val="0089016B"/>
    <w:rsid w:val="00892688"/>
    <w:rsid w:val="008937A9"/>
    <w:rsid w:val="00895946"/>
    <w:rsid w:val="00896D34"/>
    <w:rsid w:val="008A1476"/>
    <w:rsid w:val="008A6481"/>
    <w:rsid w:val="008B354C"/>
    <w:rsid w:val="008B3D5E"/>
    <w:rsid w:val="008B74C8"/>
    <w:rsid w:val="008B7940"/>
    <w:rsid w:val="008B7BA3"/>
    <w:rsid w:val="008D2DFB"/>
    <w:rsid w:val="008D39F4"/>
    <w:rsid w:val="008D4F62"/>
    <w:rsid w:val="008D746B"/>
    <w:rsid w:val="008E1117"/>
    <w:rsid w:val="008F1CEB"/>
    <w:rsid w:val="008F71A8"/>
    <w:rsid w:val="00901156"/>
    <w:rsid w:val="009060F8"/>
    <w:rsid w:val="00907F68"/>
    <w:rsid w:val="009143F7"/>
    <w:rsid w:val="009162A3"/>
    <w:rsid w:val="00924FF1"/>
    <w:rsid w:val="00930AE8"/>
    <w:rsid w:val="0093335B"/>
    <w:rsid w:val="0094438D"/>
    <w:rsid w:val="009531D2"/>
    <w:rsid w:val="00953B3B"/>
    <w:rsid w:val="00955D1E"/>
    <w:rsid w:val="009568E9"/>
    <w:rsid w:val="00957A84"/>
    <w:rsid w:val="00961148"/>
    <w:rsid w:val="00961511"/>
    <w:rsid w:val="00961AC1"/>
    <w:rsid w:val="00961CAA"/>
    <w:rsid w:val="009712C0"/>
    <w:rsid w:val="00980435"/>
    <w:rsid w:val="00985C9F"/>
    <w:rsid w:val="00990242"/>
    <w:rsid w:val="00991899"/>
    <w:rsid w:val="00992485"/>
    <w:rsid w:val="00992E50"/>
    <w:rsid w:val="009941A0"/>
    <w:rsid w:val="009948A1"/>
    <w:rsid w:val="009A0A98"/>
    <w:rsid w:val="009A41A7"/>
    <w:rsid w:val="009B46B7"/>
    <w:rsid w:val="009B55DF"/>
    <w:rsid w:val="009B560D"/>
    <w:rsid w:val="009B58DD"/>
    <w:rsid w:val="009C08A3"/>
    <w:rsid w:val="009C4BC0"/>
    <w:rsid w:val="009D10C3"/>
    <w:rsid w:val="009D6695"/>
    <w:rsid w:val="009D7124"/>
    <w:rsid w:val="009D7748"/>
    <w:rsid w:val="009D7BC9"/>
    <w:rsid w:val="009E1866"/>
    <w:rsid w:val="009E2130"/>
    <w:rsid w:val="009E7B2A"/>
    <w:rsid w:val="009F0D9F"/>
    <w:rsid w:val="009F3731"/>
    <w:rsid w:val="009F494F"/>
    <w:rsid w:val="00A01DDD"/>
    <w:rsid w:val="00A020E3"/>
    <w:rsid w:val="00A032E6"/>
    <w:rsid w:val="00A03CF6"/>
    <w:rsid w:val="00A10740"/>
    <w:rsid w:val="00A11DD0"/>
    <w:rsid w:val="00A155F7"/>
    <w:rsid w:val="00A16275"/>
    <w:rsid w:val="00A20DA6"/>
    <w:rsid w:val="00A24B41"/>
    <w:rsid w:val="00A275C7"/>
    <w:rsid w:val="00A419EC"/>
    <w:rsid w:val="00A4485C"/>
    <w:rsid w:val="00A5142A"/>
    <w:rsid w:val="00A551D0"/>
    <w:rsid w:val="00A60367"/>
    <w:rsid w:val="00A641E8"/>
    <w:rsid w:val="00A64757"/>
    <w:rsid w:val="00A66CB9"/>
    <w:rsid w:val="00A723FE"/>
    <w:rsid w:val="00A755D3"/>
    <w:rsid w:val="00A85003"/>
    <w:rsid w:val="00A859FF"/>
    <w:rsid w:val="00A96864"/>
    <w:rsid w:val="00A97E8F"/>
    <w:rsid w:val="00AA152A"/>
    <w:rsid w:val="00AA5CE9"/>
    <w:rsid w:val="00AA64D1"/>
    <w:rsid w:val="00AB34E3"/>
    <w:rsid w:val="00AB6047"/>
    <w:rsid w:val="00AC2D4A"/>
    <w:rsid w:val="00AC66EE"/>
    <w:rsid w:val="00AC7116"/>
    <w:rsid w:val="00AD1DE1"/>
    <w:rsid w:val="00AD490A"/>
    <w:rsid w:val="00AD5439"/>
    <w:rsid w:val="00AD5FD9"/>
    <w:rsid w:val="00AD7E31"/>
    <w:rsid w:val="00AE1DF2"/>
    <w:rsid w:val="00AE3D33"/>
    <w:rsid w:val="00AE4571"/>
    <w:rsid w:val="00AE73E6"/>
    <w:rsid w:val="00AF1ED7"/>
    <w:rsid w:val="00B02AC2"/>
    <w:rsid w:val="00B10C62"/>
    <w:rsid w:val="00B10D58"/>
    <w:rsid w:val="00B14497"/>
    <w:rsid w:val="00B15A66"/>
    <w:rsid w:val="00B15D07"/>
    <w:rsid w:val="00B21BA1"/>
    <w:rsid w:val="00B32A44"/>
    <w:rsid w:val="00B33155"/>
    <w:rsid w:val="00B3557D"/>
    <w:rsid w:val="00B369CF"/>
    <w:rsid w:val="00B41192"/>
    <w:rsid w:val="00B438AF"/>
    <w:rsid w:val="00B4661C"/>
    <w:rsid w:val="00B527AC"/>
    <w:rsid w:val="00B53596"/>
    <w:rsid w:val="00B55D4A"/>
    <w:rsid w:val="00B57DAE"/>
    <w:rsid w:val="00B62B84"/>
    <w:rsid w:val="00B65840"/>
    <w:rsid w:val="00B759CD"/>
    <w:rsid w:val="00B77F8C"/>
    <w:rsid w:val="00B84E5F"/>
    <w:rsid w:val="00B95111"/>
    <w:rsid w:val="00B95532"/>
    <w:rsid w:val="00B972EE"/>
    <w:rsid w:val="00BA04C8"/>
    <w:rsid w:val="00BA0E8B"/>
    <w:rsid w:val="00BA28D7"/>
    <w:rsid w:val="00BA4741"/>
    <w:rsid w:val="00BA5A77"/>
    <w:rsid w:val="00BB03FC"/>
    <w:rsid w:val="00BB2506"/>
    <w:rsid w:val="00BB7CA2"/>
    <w:rsid w:val="00BB7DE3"/>
    <w:rsid w:val="00BC162A"/>
    <w:rsid w:val="00BC6DE3"/>
    <w:rsid w:val="00BE279D"/>
    <w:rsid w:val="00BE356A"/>
    <w:rsid w:val="00BF07A7"/>
    <w:rsid w:val="00BF0981"/>
    <w:rsid w:val="00BF2C3A"/>
    <w:rsid w:val="00BF5756"/>
    <w:rsid w:val="00C01FD9"/>
    <w:rsid w:val="00C02279"/>
    <w:rsid w:val="00C163BC"/>
    <w:rsid w:val="00C31B6D"/>
    <w:rsid w:val="00C336DD"/>
    <w:rsid w:val="00C33B2F"/>
    <w:rsid w:val="00C33F78"/>
    <w:rsid w:val="00C341C8"/>
    <w:rsid w:val="00C37204"/>
    <w:rsid w:val="00C45B0C"/>
    <w:rsid w:val="00C47243"/>
    <w:rsid w:val="00C47C23"/>
    <w:rsid w:val="00C47E98"/>
    <w:rsid w:val="00C5655B"/>
    <w:rsid w:val="00C61589"/>
    <w:rsid w:val="00C62714"/>
    <w:rsid w:val="00C65F5E"/>
    <w:rsid w:val="00C668F3"/>
    <w:rsid w:val="00C74EC6"/>
    <w:rsid w:val="00C752B4"/>
    <w:rsid w:val="00C76020"/>
    <w:rsid w:val="00C87BC4"/>
    <w:rsid w:val="00C9381D"/>
    <w:rsid w:val="00C9420E"/>
    <w:rsid w:val="00C94F8A"/>
    <w:rsid w:val="00CA0099"/>
    <w:rsid w:val="00CA362A"/>
    <w:rsid w:val="00CA5AE5"/>
    <w:rsid w:val="00CA6F15"/>
    <w:rsid w:val="00CA7E21"/>
    <w:rsid w:val="00CB1085"/>
    <w:rsid w:val="00CB1FC1"/>
    <w:rsid w:val="00CB5E2E"/>
    <w:rsid w:val="00CC1987"/>
    <w:rsid w:val="00CC57DC"/>
    <w:rsid w:val="00CD1CEB"/>
    <w:rsid w:val="00CD1DAA"/>
    <w:rsid w:val="00CD28A5"/>
    <w:rsid w:val="00CD6403"/>
    <w:rsid w:val="00CD6B54"/>
    <w:rsid w:val="00CD78D3"/>
    <w:rsid w:val="00CE59FB"/>
    <w:rsid w:val="00CE5E37"/>
    <w:rsid w:val="00CE643E"/>
    <w:rsid w:val="00CF0357"/>
    <w:rsid w:val="00CF10ED"/>
    <w:rsid w:val="00CF1D74"/>
    <w:rsid w:val="00CF1FF9"/>
    <w:rsid w:val="00CF40CC"/>
    <w:rsid w:val="00CF66A6"/>
    <w:rsid w:val="00CF7E71"/>
    <w:rsid w:val="00D04744"/>
    <w:rsid w:val="00D05571"/>
    <w:rsid w:val="00D07804"/>
    <w:rsid w:val="00D12635"/>
    <w:rsid w:val="00D16230"/>
    <w:rsid w:val="00D21D2F"/>
    <w:rsid w:val="00D22D65"/>
    <w:rsid w:val="00D246A2"/>
    <w:rsid w:val="00D3193D"/>
    <w:rsid w:val="00D32FF2"/>
    <w:rsid w:val="00D33284"/>
    <w:rsid w:val="00D33C33"/>
    <w:rsid w:val="00D4283E"/>
    <w:rsid w:val="00D42CC3"/>
    <w:rsid w:val="00D43EE1"/>
    <w:rsid w:val="00D53DE8"/>
    <w:rsid w:val="00D568B6"/>
    <w:rsid w:val="00D62B49"/>
    <w:rsid w:val="00D727BF"/>
    <w:rsid w:val="00D84D85"/>
    <w:rsid w:val="00DA5AA0"/>
    <w:rsid w:val="00DB2054"/>
    <w:rsid w:val="00DB3766"/>
    <w:rsid w:val="00DB69AF"/>
    <w:rsid w:val="00DC0221"/>
    <w:rsid w:val="00DC05B0"/>
    <w:rsid w:val="00DC2B10"/>
    <w:rsid w:val="00DC381C"/>
    <w:rsid w:val="00DC586B"/>
    <w:rsid w:val="00DD197B"/>
    <w:rsid w:val="00DD32CF"/>
    <w:rsid w:val="00DD4682"/>
    <w:rsid w:val="00DD5F84"/>
    <w:rsid w:val="00DE001C"/>
    <w:rsid w:val="00DE01BF"/>
    <w:rsid w:val="00DE5C11"/>
    <w:rsid w:val="00DF2F42"/>
    <w:rsid w:val="00DF4937"/>
    <w:rsid w:val="00DF64E8"/>
    <w:rsid w:val="00DF6604"/>
    <w:rsid w:val="00E017CB"/>
    <w:rsid w:val="00E028C1"/>
    <w:rsid w:val="00E15DE1"/>
    <w:rsid w:val="00E16456"/>
    <w:rsid w:val="00E207E2"/>
    <w:rsid w:val="00E2169A"/>
    <w:rsid w:val="00E22D8E"/>
    <w:rsid w:val="00E23E93"/>
    <w:rsid w:val="00E24DF0"/>
    <w:rsid w:val="00E3073A"/>
    <w:rsid w:val="00E3471F"/>
    <w:rsid w:val="00E36F11"/>
    <w:rsid w:val="00E4207A"/>
    <w:rsid w:val="00E43092"/>
    <w:rsid w:val="00E53918"/>
    <w:rsid w:val="00E5426A"/>
    <w:rsid w:val="00E57763"/>
    <w:rsid w:val="00E66634"/>
    <w:rsid w:val="00E66E85"/>
    <w:rsid w:val="00E74E0B"/>
    <w:rsid w:val="00E80C95"/>
    <w:rsid w:val="00E83DFF"/>
    <w:rsid w:val="00E90BA8"/>
    <w:rsid w:val="00E93667"/>
    <w:rsid w:val="00EA3C46"/>
    <w:rsid w:val="00EA62E5"/>
    <w:rsid w:val="00EB0DAB"/>
    <w:rsid w:val="00EB2682"/>
    <w:rsid w:val="00EC104E"/>
    <w:rsid w:val="00EC2A9D"/>
    <w:rsid w:val="00EC524A"/>
    <w:rsid w:val="00EC5842"/>
    <w:rsid w:val="00EC7E17"/>
    <w:rsid w:val="00ED08BD"/>
    <w:rsid w:val="00ED12BD"/>
    <w:rsid w:val="00ED12F6"/>
    <w:rsid w:val="00ED1A2E"/>
    <w:rsid w:val="00ED1A90"/>
    <w:rsid w:val="00ED2C4F"/>
    <w:rsid w:val="00ED6879"/>
    <w:rsid w:val="00EE050B"/>
    <w:rsid w:val="00EE33D4"/>
    <w:rsid w:val="00EE4F4E"/>
    <w:rsid w:val="00EF11F7"/>
    <w:rsid w:val="00EF4196"/>
    <w:rsid w:val="00EF49AC"/>
    <w:rsid w:val="00F00061"/>
    <w:rsid w:val="00F02FEE"/>
    <w:rsid w:val="00F04960"/>
    <w:rsid w:val="00F06A8C"/>
    <w:rsid w:val="00F117E6"/>
    <w:rsid w:val="00F11D3D"/>
    <w:rsid w:val="00F13BD8"/>
    <w:rsid w:val="00F157A2"/>
    <w:rsid w:val="00F233FF"/>
    <w:rsid w:val="00F27D5E"/>
    <w:rsid w:val="00F33C39"/>
    <w:rsid w:val="00F34216"/>
    <w:rsid w:val="00F36A57"/>
    <w:rsid w:val="00F37164"/>
    <w:rsid w:val="00F45408"/>
    <w:rsid w:val="00F4612A"/>
    <w:rsid w:val="00F5441F"/>
    <w:rsid w:val="00F61CA8"/>
    <w:rsid w:val="00F649EA"/>
    <w:rsid w:val="00F65F52"/>
    <w:rsid w:val="00F70B40"/>
    <w:rsid w:val="00F72091"/>
    <w:rsid w:val="00F720CC"/>
    <w:rsid w:val="00F7515F"/>
    <w:rsid w:val="00F811E8"/>
    <w:rsid w:val="00F830C6"/>
    <w:rsid w:val="00F8414E"/>
    <w:rsid w:val="00F9328B"/>
    <w:rsid w:val="00F95434"/>
    <w:rsid w:val="00F9684F"/>
    <w:rsid w:val="00F96DAF"/>
    <w:rsid w:val="00FA1AF1"/>
    <w:rsid w:val="00FA21AA"/>
    <w:rsid w:val="00FA4EA3"/>
    <w:rsid w:val="00FA74ED"/>
    <w:rsid w:val="00FB0BE6"/>
    <w:rsid w:val="00FB1102"/>
    <w:rsid w:val="00FB18D5"/>
    <w:rsid w:val="00FB4915"/>
    <w:rsid w:val="00FB7271"/>
    <w:rsid w:val="00FB76CE"/>
    <w:rsid w:val="00FB7872"/>
    <w:rsid w:val="00FC3352"/>
    <w:rsid w:val="00FC6DA0"/>
    <w:rsid w:val="00FD2401"/>
    <w:rsid w:val="00FD4168"/>
    <w:rsid w:val="00FD45B9"/>
    <w:rsid w:val="00FE0359"/>
    <w:rsid w:val="00FE0719"/>
    <w:rsid w:val="00FE2479"/>
    <w:rsid w:val="00FE376B"/>
    <w:rsid w:val="00FE3967"/>
    <w:rsid w:val="00FE687F"/>
    <w:rsid w:val="00FE7D52"/>
    <w:rsid w:val="00FF21A5"/>
    <w:rsid w:val="00FF295E"/>
    <w:rsid w:val="00FF33E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97312"/>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486062"/>
    <w:rPr>
      <w:color w:val="0000FF"/>
      <w:shd w:val="clear" w:color="auto" w:fill="auto"/>
    </w:rPr>
  </w:style>
  <w:style w:type="paragraph" w:customStyle="1" w:styleId="Pagedecouverture">
    <w:name w:val="Page de couverture"/>
    <w:basedOn w:val="Normal"/>
    <w:next w:val="Normal"/>
    <w:rsid w:val="00486062"/>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4860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062"/>
  </w:style>
  <w:style w:type="paragraph" w:styleId="Footer">
    <w:name w:val="footer"/>
    <w:basedOn w:val="Normal"/>
    <w:link w:val="FooterChar"/>
    <w:uiPriority w:val="99"/>
    <w:unhideWhenUsed/>
    <w:rsid w:val="004860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062"/>
  </w:style>
  <w:style w:type="paragraph" w:customStyle="1" w:styleId="FooterCoverPage">
    <w:name w:val="Footer Cover Page"/>
    <w:basedOn w:val="Normal"/>
    <w:link w:val="FooterCoverPageChar"/>
    <w:rsid w:val="00486062"/>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486062"/>
    <w:rPr>
      <w:rFonts w:ascii="Times New Roman" w:hAnsi="Times New Roman" w:cs="Times New Roman"/>
      <w:sz w:val="24"/>
    </w:rPr>
  </w:style>
  <w:style w:type="paragraph" w:customStyle="1" w:styleId="FooterSensitivity">
    <w:name w:val="Footer Sensitivity"/>
    <w:basedOn w:val="Normal"/>
    <w:link w:val="FooterSensitivityChar"/>
    <w:rsid w:val="00486062"/>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486062"/>
    <w:rPr>
      <w:rFonts w:ascii="Times New Roman" w:hAnsi="Times New Roman" w:cs="Times New Roman"/>
      <w:b/>
      <w:sz w:val="32"/>
    </w:rPr>
  </w:style>
  <w:style w:type="paragraph" w:customStyle="1" w:styleId="HeaderCoverPage">
    <w:name w:val="Header Cover Page"/>
    <w:basedOn w:val="Normal"/>
    <w:link w:val="HeaderCoverPageChar"/>
    <w:rsid w:val="00486062"/>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486062"/>
    <w:rPr>
      <w:rFonts w:ascii="Times New Roman" w:hAnsi="Times New Roman" w:cs="Times New Roman"/>
      <w:sz w:val="24"/>
    </w:rPr>
  </w:style>
  <w:style w:type="paragraph" w:customStyle="1" w:styleId="HeaderSensitivity">
    <w:name w:val="Header Sensitivity"/>
    <w:basedOn w:val="Normal"/>
    <w:link w:val="HeaderSensitivityChar"/>
    <w:rsid w:val="00486062"/>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486062"/>
    <w:rPr>
      <w:rFonts w:ascii="Times New Roman" w:hAnsi="Times New Roman" w:cs="Times New Roman"/>
      <w:b/>
      <w:sz w:val="32"/>
    </w:rPr>
  </w:style>
  <w:style w:type="paragraph" w:customStyle="1" w:styleId="HeaderSensitivityRight">
    <w:name w:val="Header Sensitivity Right"/>
    <w:basedOn w:val="Normal"/>
    <w:link w:val="HeaderSensitivityRightChar"/>
    <w:rsid w:val="00F8414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486062"/>
    <w:rPr>
      <w:rFonts w:ascii="Times New Roman" w:hAnsi="Times New Roman" w:cs="Times New Roman"/>
      <w:sz w:val="28"/>
    </w:rPr>
  </w:style>
  <w:style w:type="paragraph" w:styleId="ListParagraph">
    <w:name w:val="List Paragraph"/>
    <w:aliases w:val="Dot pt,F5 List Paragraph,List Paragraph1,No Spacing1,List Paragraph Char Char Char,Indicator Text,Colorful List - Accent 11,Numbered Para 1,Bullet 1,Bullet Points,List Paragraph2,MAIN CONTENT,Normal numbered,Issue Action POC,3,Bullet,L,2"/>
    <w:basedOn w:val="Normal"/>
    <w:link w:val="ListParagraphChar"/>
    <w:uiPriority w:val="34"/>
    <w:qFormat/>
    <w:rsid w:val="00DB2054"/>
    <w:pPr>
      <w:spacing w:after="240" w:line="240" w:lineRule="auto"/>
      <w:ind w:left="720"/>
      <w:contextualSpacing/>
      <w:jc w:val="both"/>
    </w:pPr>
    <w:rPr>
      <w:rFonts w:ascii="Times New Roman" w:eastAsia="Times New Roman" w:hAnsi="Times New Roman" w:cs="Times New Roman"/>
      <w:sz w:val="24"/>
      <w:szCs w:val="20"/>
      <w:lang w:eastAsia="en-IE"/>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qFormat/>
    <w:locked/>
    <w:rsid w:val="00DB2054"/>
    <w:rPr>
      <w:rFonts w:ascii="Times New Roman" w:eastAsia="Times New Roman" w:hAnsi="Times New Roman" w:cs="Times New Roman"/>
      <w:sz w:val="24"/>
      <w:szCs w:val="20"/>
      <w:lang w:eastAsia="en-IE"/>
    </w:rPr>
  </w:style>
  <w:style w:type="paragraph" w:customStyle="1" w:styleId="Default">
    <w:name w:val="Default"/>
    <w:link w:val="DefaultChar"/>
    <w:rsid w:val="00DB2054"/>
    <w:pPr>
      <w:autoSpaceDE w:val="0"/>
      <w:autoSpaceDN w:val="0"/>
      <w:adjustRightInd w:val="0"/>
      <w:spacing w:after="0" w:line="240" w:lineRule="auto"/>
    </w:pPr>
    <w:rPr>
      <w:rFonts w:ascii="Verdana" w:hAnsi="Verdana" w:cs="Verdana"/>
      <w:color w:val="000000"/>
      <w:sz w:val="24"/>
      <w:szCs w:val="24"/>
    </w:rPr>
  </w:style>
  <w:style w:type="paragraph" w:styleId="FootnoteText">
    <w:name w:val="footnote text"/>
    <w:basedOn w:val="Normal"/>
    <w:link w:val="FootnoteTextChar"/>
    <w:uiPriority w:val="99"/>
    <w:semiHidden/>
    <w:rsid w:val="00DB2054"/>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B2054"/>
    <w:rPr>
      <w:rFonts w:ascii="Times New Roman" w:eastAsia="Times New Roman" w:hAnsi="Times New Roman" w:cs="Times New Roman"/>
      <w:sz w:val="20"/>
      <w:szCs w:val="20"/>
      <w:lang w:val="es-ES"/>
    </w:rPr>
  </w:style>
  <w:style w:type="character" w:styleId="FootnoteReference">
    <w:name w:val="footnote reference"/>
    <w:aliases w:val="Footnote Reference Superscript,BVI fnr,Footnote symbol,Footnote reference number,note TESI,Appel note de bas de p,Nota,SUPERS,Footnote number,EN Footnote Reference,-E Fußnotenzeichen,number Char Char,number,Ref,styl,styli,ftr"/>
    <w:link w:val="FootnotesymbolCarZchn"/>
    <w:uiPriority w:val="99"/>
    <w:rsid w:val="00DB2054"/>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DB2054"/>
    <w:pPr>
      <w:spacing w:after="160" w:line="240" w:lineRule="exact"/>
      <w:jc w:val="both"/>
    </w:pPr>
    <w:rPr>
      <w:vertAlign w:val="superscript"/>
    </w:rPr>
  </w:style>
  <w:style w:type="paragraph" w:styleId="NormalWeb">
    <w:name w:val="Normal (Web)"/>
    <w:basedOn w:val="Normal"/>
    <w:uiPriority w:val="99"/>
    <w:unhideWhenUsed/>
    <w:rsid w:val="00DB2054"/>
    <w:pPr>
      <w:spacing w:before="100" w:beforeAutospacing="1" w:after="100" w:afterAutospacing="1" w:line="240" w:lineRule="auto"/>
    </w:pPr>
    <w:rPr>
      <w:rFonts w:ascii="Times New Roman" w:hAnsi="Times New Roman" w:cs="Times New Roman"/>
      <w:sz w:val="24"/>
      <w:szCs w:val="24"/>
      <w:lang w:eastAsia="es-ES"/>
    </w:rPr>
  </w:style>
  <w:style w:type="character" w:customStyle="1" w:styleId="DefaultChar">
    <w:name w:val="Default Char"/>
    <w:basedOn w:val="DefaultParagraphFont"/>
    <w:link w:val="Default"/>
    <w:rsid w:val="00DB2054"/>
    <w:rPr>
      <w:rFonts w:ascii="Verdana" w:hAnsi="Verdana" w:cs="Verdana"/>
      <w:color w:val="000000"/>
      <w:sz w:val="24"/>
      <w:szCs w:val="24"/>
      <w:lang w:val="es-ES"/>
    </w:rPr>
  </w:style>
  <w:style w:type="character" w:styleId="Hyperlink">
    <w:name w:val="Hyperlink"/>
    <w:basedOn w:val="DefaultParagraphFont"/>
    <w:uiPriority w:val="99"/>
    <w:unhideWhenUsed/>
    <w:rsid w:val="00DB2054"/>
    <w:rPr>
      <w:color w:val="0000FF"/>
      <w:u w:val="single"/>
    </w:rPr>
  </w:style>
  <w:style w:type="table" w:styleId="TableGrid">
    <w:name w:val="Table Grid"/>
    <w:basedOn w:val="TableNormal"/>
    <w:uiPriority w:val="39"/>
    <w:rsid w:val="00DB2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inglist1">
    <w:name w:val="Briefing list 1"/>
    <w:basedOn w:val="Normal"/>
    <w:link w:val="Briefinglist1Char"/>
    <w:rsid w:val="00DB2054"/>
    <w:pPr>
      <w:keepLines/>
      <w:numPr>
        <w:numId w:val="2"/>
      </w:numPr>
      <w:spacing w:after="120" w:line="240" w:lineRule="auto"/>
      <w:jc w:val="both"/>
    </w:pPr>
    <w:rPr>
      <w:rFonts w:ascii="Arial" w:eastAsia="Times New Roman" w:hAnsi="Arial" w:cs="Times New Roman"/>
      <w:szCs w:val="24"/>
      <w:lang w:eastAsia="en-GB"/>
    </w:rPr>
  </w:style>
  <w:style w:type="character" w:customStyle="1" w:styleId="Briefinglist1Char">
    <w:name w:val="Briefing list 1 Char"/>
    <w:basedOn w:val="DefaultParagraphFont"/>
    <w:link w:val="Briefinglist1"/>
    <w:rsid w:val="00DB2054"/>
    <w:rPr>
      <w:rFonts w:ascii="Arial" w:eastAsia="Times New Roman" w:hAnsi="Arial" w:cs="Times New Roman"/>
      <w:szCs w:val="24"/>
      <w:lang w:eastAsia="en-GB"/>
    </w:rPr>
  </w:style>
  <w:style w:type="paragraph" w:customStyle="1" w:styleId="Considrant">
    <w:name w:val="Considérant"/>
    <w:basedOn w:val="Normal"/>
    <w:rsid w:val="00DB2054"/>
    <w:pPr>
      <w:numPr>
        <w:numId w:val="3"/>
      </w:numPr>
      <w:spacing w:before="120" w:after="120" w:line="240" w:lineRule="auto"/>
      <w:jc w:val="both"/>
    </w:pPr>
    <w:rPr>
      <w:rFonts w:ascii="Times New Roman" w:hAnsi="Times New Roman" w:cs="Times New Roman"/>
      <w:sz w:val="24"/>
    </w:rPr>
  </w:style>
  <w:style w:type="character" w:customStyle="1" w:styleId="markedcontent">
    <w:name w:val="markedcontent"/>
    <w:basedOn w:val="DefaultParagraphFont"/>
    <w:rsid w:val="00DB2054"/>
  </w:style>
  <w:style w:type="paragraph" w:styleId="BalloonText">
    <w:name w:val="Balloon Text"/>
    <w:basedOn w:val="Normal"/>
    <w:link w:val="BalloonTextChar"/>
    <w:uiPriority w:val="99"/>
    <w:semiHidden/>
    <w:unhideWhenUsed/>
    <w:rsid w:val="007A6A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AD0"/>
    <w:rPr>
      <w:rFonts w:ascii="Segoe UI" w:hAnsi="Segoe UI" w:cs="Segoe UI"/>
      <w:sz w:val="18"/>
      <w:szCs w:val="18"/>
    </w:rPr>
  </w:style>
  <w:style w:type="character" w:styleId="CommentReference">
    <w:name w:val="annotation reference"/>
    <w:basedOn w:val="DefaultParagraphFont"/>
    <w:uiPriority w:val="99"/>
    <w:semiHidden/>
    <w:unhideWhenUsed/>
    <w:rsid w:val="007A6AD0"/>
    <w:rPr>
      <w:sz w:val="16"/>
      <w:szCs w:val="16"/>
    </w:rPr>
  </w:style>
  <w:style w:type="paragraph" w:styleId="CommentText">
    <w:name w:val="annotation text"/>
    <w:basedOn w:val="Normal"/>
    <w:link w:val="CommentTextChar"/>
    <w:uiPriority w:val="99"/>
    <w:semiHidden/>
    <w:unhideWhenUsed/>
    <w:rsid w:val="007A6AD0"/>
    <w:pPr>
      <w:spacing w:line="240" w:lineRule="auto"/>
    </w:pPr>
    <w:rPr>
      <w:sz w:val="20"/>
      <w:szCs w:val="20"/>
    </w:rPr>
  </w:style>
  <w:style w:type="character" w:customStyle="1" w:styleId="CommentTextChar">
    <w:name w:val="Comment Text Char"/>
    <w:basedOn w:val="DefaultParagraphFont"/>
    <w:link w:val="CommentText"/>
    <w:uiPriority w:val="99"/>
    <w:semiHidden/>
    <w:rsid w:val="007A6AD0"/>
    <w:rPr>
      <w:sz w:val="20"/>
      <w:szCs w:val="20"/>
    </w:rPr>
  </w:style>
  <w:style w:type="paragraph" w:styleId="CommentSubject">
    <w:name w:val="annotation subject"/>
    <w:basedOn w:val="CommentText"/>
    <w:next w:val="CommentText"/>
    <w:link w:val="CommentSubjectChar"/>
    <w:uiPriority w:val="99"/>
    <w:semiHidden/>
    <w:unhideWhenUsed/>
    <w:rsid w:val="002D19C7"/>
    <w:rPr>
      <w:b/>
      <w:bCs/>
    </w:rPr>
  </w:style>
  <w:style w:type="character" w:customStyle="1" w:styleId="CommentSubjectChar">
    <w:name w:val="Comment Subject Char"/>
    <w:basedOn w:val="CommentTextChar"/>
    <w:link w:val="CommentSubject"/>
    <w:uiPriority w:val="99"/>
    <w:semiHidden/>
    <w:rsid w:val="002D19C7"/>
    <w:rPr>
      <w:b/>
      <w:bCs/>
      <w:sz w:val="20"/>
      <w:szCs w:val="20"/>
    </w:rPr>
  </w:style>
  <w:style w:type="paragraph" w:styleId="Revision">
    <w:name w:val="Revision"/>
    <w:hidden/>
    <w:uiPriority w:val="99"/>
    <w:semiHidden/>
    <w:rsid w:val="00CF40CC"/>
    <w:pPr>
      <w:spacing w:after="0" w:line="240" w:lineRule="auto"/>
    </w:pPr>
  </w:style>
  <w:style w:type="character" w:customStyle="1" w:styleId="Heading2Char">
    <w:name w:val="Heading 2 Char"/>
    <w:basedOn w:val="DefaultParagraphFont"/>
    <w:link w:val="Heading2"/>
    <w:uiPriority w:val="9"/>
    <w:rsid w:val="00197312"/>
    <w:rPr>
      <w:rFonts w:ascii="Times New Roman" w:eastAsia="Times New Roman" w:hAnsi="Times New Roman" w:cs="Times New Roman"/>
      <w:b/>
      <w:bCs/>
      <w:sz w:val="36"/>
      <w:szCs w:val="36"/>
      <w:lang w:val="es-ES" w:eastAsia="en-IE"/>
    </w:rPr>
  </w:style>
  <w:style w:type="paragraph" w:customStyle="1" w:styleId="Disclaimer">
    <w:name w:val="Disclaimer"/>
    <w:basedOn w:val="Normal"/>
    <w:rsid w:val="00F8414E"/>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F8414E"/>
    <w:pPr>
      <w:spacing w:after="0"/>
      <w:ind w:left="5103"/>
    </w:pPr>
    <w:rPr>
      <w:rFonts w:ascii="Times New Roman" w:hAnsi="Times New Roman" w:cs="Times New Roman"/>
      <w:sz w:val="28"/>
    </w:rPr>
  </w:style>
  <w:style w:type="paragraph" w:customStyle="1" w:styleId="DateMarking">
    <w:name w:val="DateMarking"/>
    <w:basedOn w:val="Normal"/>
    <w:rsid w:val="00F8414E"/>
    <w:pPr>
      <w:spacing w:after="0"/>
      <w:ind w:left="5103"/>
    </w:pPr>
    <w:rPr>
      <w:rFonts w:ascii="Times New Roman" w:hAnsi="Times New Roman" w:cs="Times New Roman"/>
      <w:i/>
      <w:sz w:val="28"/>
    </w:rPr>
  </w:style>
  <w:style w:type="paragraph" w:customStyle="1" w:styleId="ReleasableTo">
    <w:name w:val="ReleasableTo"/>
    <w:basedOn w:val="Normal"/>
    <w:rsid w:val="00F8414E"/>
    <w:pPr>
      <w:spacing w:after="0"/>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093951">
      <w:bodyDiv w:val="1"/>
      <w:marLeft w:val="0"/>
      <w:marRight w:val="0"/>
      <w:marTop w:val="0"/>
      <w:marBottom w:val="0"/>
      <w:divBdr>
        <w:top w:val="none" w:sz="0" w:space="0" w:color="auto"/>
        <w:left w:val="none" w:sz="0" w:space="0" w:color="auto"/>
        <w:bottom w:val="none" w:sz="0" w:space="0" w:color="auto"/>
        <w:right w:val="none" w:sz="0" w:space="0" w:color="auto"/>
      </w:divBdr>
    </w:div>
    <w:div w:id="995959802">
      <w:bodyDiv w:val="1"/>
      <w:marLeft w:val="0"/>
      <w:marRight w:val="0"/>
      <w:marTop w:val="0"/>
      <w:marBottom w:val="0"/>
      <w:divBdr>
        <w:top w:val="none" w:sz="0" w:space="0" w:color="auto"/>
        <w:left w:val="none" w:sz="0" w:space="0" w:color="auto"/>
        <w:bottom w:val="none" w:sz="0" w:space="0" w:color="auto"/>
        <w:right w:val="none" w:sz="0" w:space="0" w:color="auto"/>
      </w:divBdr>
    </w:div>
    <w:div w:id="100886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c.europa.eu/home-affairs/communication-providing-operational-guidelines-external-border-management-eu-ukraine-borders_en"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strategy/priorities-2019-2024/stronger-europe-world/eu-solidarity-ukraine_es"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escamnu\AppData\Local\Temp\1\SG-2022-80232-02-00-ES-SRC-0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graph!$B$2</c:f>
              <c:strCache>
                <c:ptCount val="1"/>
                <c:pt idx="0">
                  <c:v>Polonia</c:v>
                </c:pt>
              </c:strCache>
            </c:strRef>
          </c:tx>
          <c:spPr>
            <a:solidFill>
              <a:schemeClr val="accent1"/>
            </a:solidFill>
            <a:ln>
              <a:noFill/>
            </a:ln>
            <a:effectLst/>
          </c:spPr>
          <c:invertIfNegative val="0"/>
          <c:cat>
            <c:strRef>
              <c:f>graph!$A$3:$A$13</c:f>
              <c:strCache>
                <c:ptCount val="11"/>
                <c:pt idx="0">
                  <c:v>24 Feb</c:v>
                </c:pt>
                <c:pt idx="1">
                  <c:v>25 Feb</c:v>
                </c:pt>
                <c:pt idx="2">
                  <c:v>26 Feb</c:v>
                </c:pt>
                <c:pt idx="3">
                  <c:v>27 Feb</c:v>
                </c:pt>
                <c:pt idx="4">
                  <c:v>28 Feb</c:v>
                </c:pt>
                <c:pt idx="5">
                  <c:v>1 Mar</c:v>
                </c:pt>
                <c:pt idx="6">
                  <c:v>2 Mar</c:v>
                </c:pt>
                <c:pt idx="7">
                  <c:v>3 Mar</c:v>
                </c:pt>
                <c:pt idx="8">
                  <c:v>4 Mar</c:v>
                </c:pt>
                <c:pt idx="9">
                  <c:v>5 Mar</c:v>
                </c:pt>
                <c:pt idx="10">
                  <c:v>6 Mar</c:v>
                </c:pt>
              </c:strCache>
            </c:strRef>
          </c:cat>
          <c:val>
            <c:numRef>
              <c:f>graph!$B$3:$B$13</c:f>
              <c:numCache>
                <c:formatCode>#,##0</c:formatCode>
                <c:ptCount val="11"/>
                <c:pt idx="0">
                  <c:v>31256</c:v>
                </c:pt>
                <c:pt idx="1">
                  <c:v>47522</c:v>
                </c:pt>
                <c:pt idx="2">
                  <c:v>77333</c:v>
                </c:pt>
                <c:pt idx="3">
                  <c:v>97318</c:v>
                </c:pt>
                <c:pt idx="4">
                  <c:v>100075</c:v>
                </c:pt>
                <c:pt idx="5">
                  <c:v>98077</c:v>
                </c:pt>
                <c:pt idx="6">
                  <c:v>94958</c:v>
                </c:pt>
                <c:pt idx="7">
                  <c:v>99215</c:v>
                </c:pt>
                <c:pt idx="8">
                  <c:v>106375</c:v>
                </c:pt>
                <c:pt idx="9">
                  <c:v>129035</c:v>
                </c:pt>
                <c:pt idx="10">
                  <c:v>142236</c:v>
                </c:pt>
              </c:numCache>
            </c:numRef>
          </c:val>
          <c:extLst>
            <c:ext xmlns:c16="http://schemas.microsoft.com/office/drawing/2014/chart" uri="{C3380CC4-5D6E-409C-BE32-E72D297353CC}">
              <c16:uniqueId val="{00000000-434B-4571-A958-68FB063F5143}"/>
            </c:ext>
          </c:extLst>
        </c:ser>
        <c:ser>
          <c:idx val="1"/>
          <c:order val="1"/>
          <c:tx>
            <c:strRef>
              <c:f>graph!$C$2</c:f>
              <c:strCache>
                <c:ptCount val="1"/>
                <c:pt idx="0">
                  <c:v>Eslovaquia</c:v>
                </c:pt>
              </c:strCache>
            </c:strRef>
          </c:tx>
          <c:spPr>
            <a:solidFill>
              <a:schemeClr val="accent2"/>
            </a:solidFill>
            <a:ln>
              <a:noFill/>
            </a:ln>
            <a:effectLst/>
          </c:spPr>
          <c:invertIfNegative val="0"/>
          <c:cat>
            <c:strRef>
              <c:f>graph!$A$3:$A$13</c:f>
              <c:strCache>
                <c:ptCount val="11"/>
                <c:pt idx="0">
                  <c:v>24 Feb</c:v>
                </c:pt>
                <c:pt idx="1">
                  <c:v>25 Feb</c:v>
                </c:pt>
                <c:pt idx="2">
                  <c:v>26 Feb</c:v>
                </c:pt>
                <c:pt idx="3">
                  <c:v>27 Feb</c:v>
                </c:pt>
                <c:pt idx="4">
                  <c:v>28 Feb</c:v>
                </c:pt>
                <c:pt idx="5">
                  <c:v>1 Mar</c:v>
                </c:pt>
                <c:pt idx="6">
                  <c:v>2 Mar</c:v>
                </c:pt>
                <c:pt idx="7">
                  <c:v>3 Mar</c:v>
                </c:pt>
                <c:pt idx="8">
                  <c:v>4 Mar</c:v>
                </c:pt>
                <c:pt idx="9">
                  <c:v>5 Mar</c:v>
                </c:pt>
                <c:pt idx="10">
                  <c:v>6 Mar</c:v>
                </c:pt>
              </c:strCache>
            </c:strRef>
          </c:cat>
          <c:val>
            <c:numRef>
              <c:f>graph!$C$3:$C$13</c:f>
              <c:numCache>
                <c:formatCode>#,##0</c:formatCode>
                <c:ptCount val="11"/>
                <c:pt idx="0">
                  <c:v>4972</c:v>
                </c:pt>
                <c:pt idx="1">
                  <c:v>7012</c:v>
                </c:pt>
                <c:pt idx="2">
                  <c:v>12043</c:v>
                </c:pt>
                <c:pt idx="3">
                  <c:v>15968</c:v>
                </c:pt>
                <c:pt idx="4">
                  <c:v>13141</c:v>
                </c:pt>
                <c:pt idx="5">
                  <c:v>12700</c:v>
                </c:pt>
                <c:pt idx="6">
                  <c:v>12520</c:v>
                </c:pt>
                <c:pt idx="7">
                  <c:v>11335</c:v>
                </c:pt>
                <c:pt idx="8">
                  <c:v>10853</c:v>
                </c:pt>
                <c:pt idx="9">
                  <c:v>12736</c:v>
                </c:pt>
                <c:pt idx="10">
                  <c:v>13557</c:v>
                </c:pt>
              </c:numCache>
            </c:numRef>
          </c:val>
          <c:extLst>
            <c:ext xmlns:c16="http://schemas.microsoft.com/office/drawing/2014/chart" uri="{C3380CC4-5D6E-409C-BE32-E72D297353CC}">
              <c16:uniqueId val="{00000001-434B-4571-A958-68FB063F5143}"/>
            </c:ext>
          </c:extLst>
        </c:ser>
        <c:ser>
          <c:idx val="2"/>
          <c:order val="2"/>
          <c:tx>
            <c:strRef>
              <c:f>graph!$D$2</c:f>
              <c:strCache>
                <c:ptCount val="1"/>
                <c:pt idx="0">
                  <c:v>Hungría</c:v>
                </c:pt>
              </c:strCache>
            </c:strRef>
          </c:tx>
          <c:spPr>
            <a:solidFill>
              <a:schemeClr val="accent3"/>
            </a:solidFill>
            <a:ln>
              <a:noFill/>
            </a:ln>
            <a:effectLst/>
          </c:spPr>
          <c:invertIfNegative val="0"/>
          <c:cat>
            <c:strRef>
              <c:f>graph!$A$3:$A$13</c:f>
              <c:strCache>
                <c:ptCount val="11"/>
                <c:pt idx="0">
                  <c:v>24 Feb</c:v>
                </c:pt>
                <c:pt idx="1">
                  <c:v>25 Feb</c:v>
                </c:pt>
                <c:pt idx="2">
                  <c:v>26 Feb</c:v>
                </c:pt>
                <c:pt idx="3">
                  <c:v>27 Feb</c:v>
                </c:pt>
                <c:pt idx="4">
                  <c:v>28 Feb</c:v>
                </c:pt>
                <c:pt idx="5">
                  <c:v>1 Mar</c:v>
                </c:pt>
                <c:pt idx="6">
                  <c:v>2 Mar</c:v>
                </c:pt>
                <c:pt idx="7">
                  <c:v>3 Mar</c:v>
                </c:pt>
                <c:pt idx="8">
                  <c:v>4 Mar</c:v>
                </c:pt>
                <c:pt idx="9">
                  <c:v>5 Mar</c:v>
                </c:pt>
                <c:pt idx="10">
                  <c:v>6 Mar</c:v>
                </c:pt>
              </c:strCache>
            </c:strRef>
          </c:cat>
          <c:val>
            <c:numRef>
              <c:f>graph!$D$3:$D$13</c:f>
              <c:numCache>
                <c:formatCode>#,##0</c:formatCode>
                <c:ptCount val="11"/>
                <c:pt idx="0">
                  <c:v>19978</c:v>
                </c:pt>
                <c:pt idx="1">
                  <c:v>19618</c:v>
                </c:pt>
                <c:pt idx="2">
                  <c:v>18044</c:v>
                </c:pt>
                <c:pt idx="3">
                  <c:v>17465</c:v>
                </c:pt>
                <c:pt idx="4">
                  <c:v>17721</c:v>
                </c:pt>
                <c:pt idx="5">
                  <c:v>18426</c:v>
                </c:pt>
                <c:pt idx="6">
                  <c:v>16661</c:v>
                </c:pt>
                <c:pt idx="7">
                  <c:v>11729</c:v>
                </c:pt>
                <c:pt idx="8">
                  <c:v>12266</c:v>
                </c:pt>
                <c:pt idx="9">
                  <c:v>12049</c:v>
                </c:pt>
                <c:pt idx="10">
                  <c:v>11110</c:v>
                </c:pt>
              </c:numCache>
            </c:numRef>
          </c:val>
          <c:extLst>
            <c:ext xmlns:c16="http://schemas.microsoft.com/office/drawing/2014/chart" uri="{C3380CC4-5D6E-409C-BE32-E72D297353CC}">
              <c16:uniqueId val="{00000002-434B-4571-A958-68FB063F5143}"/>
            </c:ext>
          </c:extLst>
        </c:ser>
        <c:ser>
          <c:idx val="3"/>
          <c:order val="3"/>
          <c:tx>
            <c:strRef>
              <c:f>graph!$E$2</c:f>
              <c:strCache>
                <c:ptCount val="1"/>
                <c:pt idx="0">
                  <c:v>Rumanía (desde Ucrania)</c:v>
                </c:pt>
              </c:strCache>
            </c:strRef>
          </c:tx>
          <c:spPr>
            <a:solidFill>
              <a:schemeClr val="accent4"/>
            </a:solidFill>
            <a:ln>
              <a:noFill/>
            </a:ln>
            <a:effectLst/>
          </c:spPr>
          <c:invertIfNegative val="0"/>
          <c:cat>
            <c:strRef>
              <c:f>graph!$A$3:$A$13</c:f>
              <c:strCache>
                <c:ptCount val="11"/>
                <c:pt idx="0">
                  <c:v>24 Feb</c:v>
                </c:pt>
                <c:pt idx="1">
                  <c:v>25 Feb</c:v>
                </c:pt>
                <c:pt idx="2">
                  <c:v>26 Feb</c:v>
                </c:pt>
                <c:pt idx="3">
                  <c:v>27 Feb</c:v>
                </c:pt>
                <c:pt idx="4">
                  <c:v>28 Feb</c:v>
                </c:pt>
                <c:pt idx="5">
                  <c:v>1 Mar</c:v>
                </c:pt>
                <c:pt idx="6">
                  <c:v>2 Mar</c:v>
                </c:pt>
                <c:pt idx="7">
                  <c:v>3 Mar</c:v>
                </c:pt>
                <c:pt idx="8">
                  <c:v>4 Mar</c:v>
                </c:pt>
                <c:pt idx="9">
                  <c:v>5 Mar</c:v>
                </c:pt>
                <c:pt idx="10">
                  <c:v>6 Mar</c:v>
                </c:pt>
              </c:strCache>
            </c:strRef>
          </c:cat>
          <c:val>
            <c:numRef>
              <c:f>graph!$E$3:$E$13</c:f>
              <c:numCache>
                <c:formatCode>#,##0</c:formatCode>
                <c:ptCount val="11"/>
                <c:pt idx="0">
                  <c:v>7244</c:v>
                </c:pt>
                <c:pt idx="1">
                  <c:v>6996</c:v>
                </c:pt>
                <c:pt idx="2">
                  <c:v>8498</c:v>
                </c:pt>
                <c:pt idx="3">
                  <c:v>10566</c:v>
                </c:pt>
                <c:pt idx="4">
                  <c:v>9660</c:v>
                </c:pt>
                <c:pt idx="5">
                  <c:v>10449</c:v>
                </c:pt>
                <c:pt idx="6">
                  <c:v>11171</c:v>
                </c:pt>
                <c:pt idx="7">
                  <c:v>9942</c:v>
                </c:pt>
                <c:pt idx="8">
                  <c:v>9455</c:v>
                </c:pt>
                <c:pt idx="9">
                  <c:v>11055</c:v>
                </c:pt>
                <c:pt idx="10">
                  <c:v>10953</c:v>
                </c:pt>
              </c:numCache>
            </c:numRef>
          </c:val>
          <c:extLst>
            <c:ext xmlns:c16="http://schemas.microsoft.com/office/drawing/2014/chart" uri="{C3380CC4-5D6E-409C-BE32-E72D297353CC}">
              <c16:uniqueId val="{00000003-434B-4571-A958-68FB063F5143}"/>
            </c:ext>
          </c:extLst>
        </c:ser>
        <c:ser>
          <c:idx val="4"/>
          <c:order val="4"/>
          <c:tx>
            <c:strRef>
              <c:f>graph!$F$2</c:f>
              <c:strCache>
                <c:ptCount val="1"/>
                <c:pt idx="0">
                  <c:v>Rumanía  (desde Moldavia)</c:v>
                </c:pt>
              </c:strCache>
            </c:strRef>
          </c:tx>
          <c:spPr>
            <a:solidFill>
              <a:schemeClr val="accent5"/>
            </a:solidFill>
            <a:ln>
              <a:noFill/>
            </a:ln>
            <a:effectLst/>
          </c:spPr>
          <c:invertIfNegative val="0"/>
          <c:cat>
            <c:strRef>
              <c:f>graph!$A$3:$A$13</c:f>
              <c:strCache>
                <c:ptCount val="11"/>
                <c:pt idx="0">
                  <c:v>24 Feb</c:v>
                </c:pt>
                <c:pt idx="1">
                  <c:v>25 Feb</c:v>
                </c:pt>
                <c:pt idx="2">
                  <c:v>26 Feb</c:v>
                </c:pt>
                <c:pt idx="3">
                  <c:v>27 Feb</c:v>
                </c:pt>
                <c:pt idx="4">
                  <c:v>28 Feb</c:v>
                </c:pt>
                <c:pt idx="5">
                  <c:v>1 Mar</c:v>
                </c:pt>
                <c:pt idx="6">
                  <c:v>2 Mar</c:v>
                </c:pt>
                <c:pt idx="7">
                  <c:v>3 Mar</c:v>
                </c:pt>
                <c:pt idx="8">
                  <c:v>4 Mar</c:v>
                </c:pt>
                <c:pt idx="9">
                  <c:v>5 Mar</c:v>
                </c:pt>
                <c:pt idx="10">
                  <c:v>6 Mar</c:v>
                </c:pt>
              </c:strCache>
            </c:strRef>
          </c:cat>
          <c:val>
            <c:numRef>
              <c:f>graph!$F$3:$F$13</c:f>
              <c:numCache>
                <c:formatCode>#,##0</c:formatCode>
                <c:ptCount val="11"/>
                <c:pt idx="0">
                  <c:v>2193</c:v>
                </c:pt>
                <c:pt idx="1">
                  <c:v>5417</c:v>
                </c:pt>
                <c:pt idx="2">
                  <c:v>7785</c:v>
                </c:pt>
                <c:pt idx="3">
                  <c:v>10758</c:v>
                </c:pt>
                <c:pt idx="4">
                  <c:v>11339</c:v>
                </c:pt>
                <c:pt idx="5">
                  <c:v>11524</c:v>
                </c:pt>
                <c:pt idx="6">
                  <c:v>12511</c:v>
                </c:pt>
                <c:pt idx="7">
                  <c:v>16586</c:v>
                </c:pt>
                <c:pt idx="8">
                  <c:v>16922</c:v>
                </c:pt>
                <c:pt idx="9">
                  <c:v>18369</c:v>
                </c:pt>
                <c:pt idx="10">
                  <c:v>21121</c:v>
                </c:pt>
              </c:numCache>
            </c:numRef>
          </c:val>
          <c:extLst>
            <c:ext xmlns:c16="http://schemas.microsoft.com/office/drawing/2014/chart" uri="{C3380CC4-5D6E-409C-BE32-E72D297353CC}">
              <c16:uniqueId val="{00000004-434B-4571-A958-68FB063F5143}"/>
            </c:ext>
          </c:extLst>
        </c:ser>
        <c:dLbls>
          <c:showLegendKey val="0"/>
          <c:showVal val="0"/>
          <c:showCatName val="0"/>
          <c:showSerName val="0"/>
          <c:showPercent val="0"/>
          <c:showBubbleSize val="0"/>
        </c:dLbls>
        <c:gapWidth val="100"/>
        <c:overlap val="100"/>
        <c:axId val="626837192"/>
        <c:axId val="626833912"/>
      </c:barChart>
      <c:catAx>
        <c:axId val="626837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833912"/>
        <c:crosses val="autoZero"/>
        <c:auto val="1"/>
        <c:lblAlgn val="ctr"/>
        <c:lblOffset val="100"/>
        <c:noMultiLvlLbl val="0"/>
      </c:catAx>
      <c:valAx>
        <c:axId val="626833912"/>
        <c:scaling>
          <c:orientation val="minMax"/>
          <c:max val="20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837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10DA2-FBC5-46D4-A28D-A54DF5B2C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4496</Words>
  <Characters>23516</Characters>
  <Application>Microsoft Office Word</Application>
  <DocSecurity>0</DocSecurity>
  <Lines>356</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2022-03-07T17:57:00Z</dcterms:created>
  <dcterms:modified xsi:type="dcterms:W3CDTF">2022-03-09T15:26:00Z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20200226</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PTemplateID">
    <vt:lpwstr>CP-009</vt:lpwstr>
  </property>
</Properties>
</file>