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87F2853D-ECAE-4E71-9D15-7CB2251BFF09" style="width:455.75pt;height:337.6pt">
            <v:imagedata r:id="rId9" o:title=""/>
          </v:shape>
        </w:pict>
      </w:r>
    </w:p>
    <w:bookmarkEnd w:id="0"/>
    <w:p>
      <w:pPr>
        <w:rPr>
          <w:noProof/>
          <w:lang w:val="en-I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OCHeading"/>
        <w:rPr>
          <w:rFonts w:eastAsiaTheme="minorHAnsi" w:cstheme="minorBidi"/>
          <w:b w:val="0"/>
          <w:smallCaps w:val="0"/>
          <w:noProof/>
          <w:color w:val="auto"/>
          <w:sz w:val="24"/>
          <w:szCs w:val="22"/>
          <w:lang w:val="en-IE"/>
        </w:rPr>
      </w:pPr>
      <w:bookmarkStart w:id="1" w:name="_GoBack"/>
      <w:bookmarkEnd w:id="1"/>
    </w:p>
    <w:sdt>
      <w:sdtPr>
        <w:rPr>
          <w:rFonts w:eastAsiaTheme="minorHAnsi" w:cstheme="minorBidi"/>
          <w:b w:val="0"/>
          <w:smallCaps w:val="0"/>
          <w:noProof/>
          <w:color w:val="auto"/>
          <w:sz w:val="24"/>
          <w:szCs w:val="22"/>
        </w:rPr>
        <w:id w:val="-255520447"/>
        <w:docPartObj>
          <w:docPartGallery w:val="Table of Contents"/>
          <w:docPartUnique/>
        </w:docPartObj>
      </w:sdtPr>
      <w:sdtEndPr>
        <w:rPr>
          <w:bCs/>
        </w:rPr>
      </w:sdtEndPr>
      <w:sdtContent>
        <w:p>
          <w:pPr>
            <w:pStyle w:val="TOCHeading"/>
            <w:rPr>
              <w:noProof/>
            </w:rPr>
          </w:pPr>
          <w:r>
            <w:rPr>
              <w:noProof/>
            </w:rPr>
            <w:t>Índice</w:t>
          </w:r>
        </w:p>
        <w:p>
          <w:pPr>
            <w:pStyle w:val="TOC1"/>
            <w:tabs>
              <w:tab w:val="right" w:leader="dot" w:pos="9062"/>
            </w:tabs>
            <w:rPr>
              <w:rFonts w:asciiTheme="minorHAnsi" w:eastAsiaTheme="minorEastAsia" w:hAnsiTheme="minorHAnsi"/>
              <w:noProof/>
              <w:sz w:val="22"/>
              <w:lang w:eastAsia="es-ES"/>
            </w:rPr>
          </w:pPr>
          <w:r>
            <w:rPr>
              <w:noProof/>
            </w:rPr>
            <w:fldChar w:fldCharType="begin"/>
          </w:r>
          <w:r>
            <w:rPr>
              <w:noProof/>
            </w:rPr>
            <w:instrText xml:space="preserve"> TOC \o "1-3" \h \z \u </w:instrText>
          </w:r>
          <w:r>
            <w:rPr>
              <w:noProof/>
            </w:rPr>
            <w:fldChar w:fldCharType="separate"/>
          </w:r>
          <w:hyperlink w:anchor="_Toc77258715" w:history="1">
            <w:r>
              <w:rPr>
                <w:rStyle w:val="Hyperlink"/>
                <w:noProof/>
              </w:rPr>
              <w:t>1. Introducción</w:t>
            </w:r>
            <w:r>
              <w:rPr>
                <w:noProof/>
                <w:webHidden/>
              </w:rPr>
              <w:tab/>
            </w:r>
            <w:r>
              <w:rPr>
                <w:noProof/>
                <w:webHidden/>
              </w:rPr>
              <w:fldChar w:fldCharType="begin"/>
            </w:r>
            <w:r>
              <w:rPr>
                <w:noProof/>
                <w:webHidden/>
              </w:rPr>
              <w:instrText xml:space="preserve"> PAGEREF _Toc77258715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062"/>
            </w:tabs>
            <w:rPr>
              <w:rFonts w:asciiTheme="minorHAnsi" w:eastAsiaTheme="minorEastAsia" w:hAnsiTheme="minorHAnsi"/>
              <w:noProof/>
              <w:sz w:val="22"/>
              <w:lang w:eastAsia="es-ES"/>
            </w:rPr>
          </w:pPr>
          <w:hyperlink w:anchor="_Toc77258716" w:history="1">
            <w:r>
              <w:rPr>
                <w:rStyle w:val="Hyperlink"/>
                <w:noProof/>
              </w:rPr>
              <w:t>2. Contexto operativo</w:t>
            </w:r>
            <w:r>
              <w:rPr>
                <w:noProof/>
                <w:webHidden/>
              </w:rPr>
              <w:tab/>
            </w:r>
            <w:r>
              <w:rPr>
                <w:noProof/>
                <w:webHidden/>
              </w:rPr>
              <w:fldChar w:fldCharType="begin"/>
            </w:r>
            <w:r>
              <w:rPr>
                <w:noProof/>
                <w:webHidden/>
              </w:rPr>
              <w:instrText xml:space="preserve"> PAGEREF _Toc77258716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062"/>
            </w:tabs>
            <w:rPr>
              <w:rFonts w:asciiTheme="minorHAnsi" w:eastAsiaTheme="minorEastAsia" w:hAnsiTheme="minorHAnsi"/>
              <w:noProof/>
              <w:sz w:val="22"/>
              <w:lang w:eastAsia="es-ES"/>
            </w:rPr>
          </w:pPr>
          <w:hyperlink w:anchor="_Toc77258717" w:history="1">
            <w:r>
              <w:rPr>
                <w:rStyle w:val="Hyperlink"/>
                <w:noProof/>
              </w:rPr>
              <w:t>3. Gestión del Fondo de Garantía del FEDS en 2020</w:t>
            </w:r>
            <w:r>
              <w:rPr>
                <w:noProof/>
                <w:webHidden/>
              </w:rPr>
              <w:tab/>
            </w:r>
            <w:r>
              <w:rPr>
                <w:noProof/>
                <w:webHidden/>
              </w:rPr>
              <w:fldChar w:fldCharType="begin"/>
            </w:r>
            <w:r>
              <w:rPr>
                <w:noProof/>
                <w:webHidden/>
              </w:rPr>
              <w:instrText xml:space="preserve"> PAGEREF _Toc77258717 \h </w:instrText>
            </w:r>
            <w:r>
              <w:rPr>
                <w:noProof/>
                <w:webHidden/>
              </w:rPr>
            </w:r>
            <w:r>
              <w:rPr>
                <w:noProof/>
                <w:webHidden/>
              </w:rPr>
              <w:fldChar w:fldCharType="separate"/>
            </w:r>
            <w:r>
              <w:rPr>
                <w:noProof/>
                <w:webHidden/>
              </w:rPr>
              <w:t>3</w:t>
            </w:r>
            <w:r>
              <w:rPr>
                <w:noProof/>
                <w:webHidden/>
              </w:rPr>
              <w:fldChar w:fldCharType="end"/>
            </w:r>
          </w:hyperlink>
        </w:p>
        <w:p>
          <w:pPr>
            <w:pStyle w:val="TOC2"/>
            <w:tabs>
              <w:tab w:val="right" w:leader="dot" w:pos="9062"/>
            </w:tabs>
            <w:rPr>
              <w:rFonts w:asciiTheme="minorHAnsi" w:eastAsiaTheme="minorEastAsia" w:hAnsiTheme="minorHAnsi"/>
              <w:noProof/>
              <w:sz w:val="22"/>
              <w:lang w:eastAsia="es-ES"/>
            </w:rPr>
          </w:pPr>
          <w:hyperlink w:anchor="_Toc77258718" w:history="1">
            <w:r>
              <w:rPr>
                <w:rStyle w:val="Hyperlink"/>
                <w:noProof/>
              </w:rPr>
              <w:t>3.1. Gestión financiera</w:t>
            </w:r>
            <w:r>
              <w:rPr>
                <w:noProof/>
                <w:webHidden/>
              </w:rPr>
              <w:tab/>
            </w:r>
            <w:r>
              <w:rPr>
                <w:noProof/>
                <w:webHidden/>
              </w:rPr>
              <w:fldChar w:fldCharType="begin"/>
            </w:r>
            <w:r>
              <w:rPr>
                <w:noProof/>
                <w:webHidden/>
              </w:rPr>
              <w:instrText xml:space="preserve"> PAGEREF _Toc77258718 \h </w:instrText>
            </w:r>
            <w:r>
              <w:rPr>
                <w:noProof/>
                <w:webHidden/>
              </w:rPr>
            </w:r>
            <w:r>
              <w:rPr>
                <w:noProof/>
                <w:webHidden/>
              </w:rPr>
              <w:fldChar w:fldCharType="separate"/>
            </w:r>
            <w:r>
              <w:rPr>
                <w:noProof/>
                <w:webHidden/>
              </w:rPr>
              <w:t>3</w:t>
            </w:r>
            <w:r>
              <w:rPr>
                <w:noProof/>
                <w:webHidden/>
              </w:rPr>
              <w:fldChar w:fldCharType="end"/>
            </w:r>
          </w:hyperlink>
        </w:p>
        <w:p>
          <w:pPr>
            <w:pStyle w:val="TOC2"/>
            <w:tabs>
              <w:tab w:val="right" w:leader="dot" w:pos="9062"/>
            </w:tabs>
            <w:rPr>
              <w:rFonts w:asciiTheme="minorHAnsi" w:eastAsiaTheme="minorEastAsia" w:hAnsiTheme="minorHAnsi"/>
              <w:noProof/>
              <w:sz w:val="22"/>
              <w:lang w:eastAsia="es-ES"/>
            </w:rPr>
          </w:pPr>
          <w:hyperlink w:anchor="_Toc77258719" w:history="1">
            <w:r>
              <w:rPr>
                <w:rStyle w:val="Hyperlink"/>
                <w:noProof/>
              </w:rPr>
              <w:t>3.2. Evolución del mercado</w:t>
            </w:r>
            <w:r>
              <w:rPr>
                <w:noProof/>
                <w:webHidden/>
              </w:rPr>
              <w:tab/>
            </w:r>
            <w:r>
              <w:rPr>
                <w:noProof/>
                <w:webHidden/>
              </w:rPr>
              <w:fldChar w:fldCharType="begin"/>
            </w:r>
            <w:r>
              <w:rPr>
                <w:noProof/>
                <w:webHidden/>
              </w:rPr>
              <w:instrText xml:space="preserve"> PAGEREF _Toc77258719 \h </w:instrText>
            </w:r>
            <w:r>
              <w:rPr>
                <w:noProof/>
                <w:webHidden/>
              </w:rPr>
            </w:r>
            <w:r>
              <w:rPr>
                <w:noProof/>
                <w:webHidden/>
              </w:rPr>
              <w:fldChar w:fldCharType="separate"/>
            </w:r>
            <w:r>
              <w:rPr>
                <w:noProof/>
                <w:webHidden/>
              </w:rPr>
              <w:t>3</w:t>
            </w:r>
            <w:r>
              <w:rPr>
                <w:noProof/>
                <w:webHidden/>
              </w:rPr>
              <w:fldChar w:fldCharType="end"/>
            </w:r>
          </w:hyperlink>
        </w:p>
        <w:p>
          <w:pPr>
            <w:pStyle w:val="TOC2"/>
            <w:tabs>
              <w:tab w:val="right" w:leader="dot" w:pos="9062"/>
            </w:tabs>
            <w:rPr>
              <w:rFonts w:asciiTheme="minorHAnsi" w:eastAsiaTheme="minorEastAsia" w:hAnsiTheme="minorHAnsi"/>
              <w:noProof/>
              <w:sz w:val="22"/>
              <w:lang w:eastAsia="es-ES"/>
            </w:rPr>
          </w:pPr>
          <w:hyperlink w:anchor="_Toc77258720" w:history="1">
            <w:r>
              <w:rPr>
                <w:rStyle w:val="Hyperlink"/>
                <w:noProof/>
              </w:rPr>
              <w:t>3.3. Composición y características principales de la cartera</w:t>
            </w:r>
            <w:r>
              <w:rPr>
                <w:noProof/>
                <w:webHidden/>
              </w:rPr>
              <w:tab/>
            </w:r>
            <w:r>
              <w:rPr>
                <w:noProof/>
                <w:webHidden/>
              </w:rPr>
              <w:fldChar w:fldCharType="begin"/>
            </w:r>
            <w:r>
              <w:rPr>
                <w:noProof/>
                <w:webHidden/>
              </w:rPr>
              <w:instrText xml:space="preserve"> PAGEREF _Toc77258720 \h </w:instrText>
            </w:r>
            <w:r>
              <w:rPr>
                <w:noProof/>
                <w:webHidden/>
              </w:rPr>
            </w:r>
            <w:r>
              <w:rPr>
                <w:noProof/>
                <w:webHidden/>
              </w:rPr>
              <w:fldChar w:fldCharType="separate"/>
            </w:r>
            <w:r>
              <w:rPr>
                <w:noProof/>
                <w:webHidden/>
              </w:rPr>
              <w:t>4</w:t>
            </w:r>
            <w:r>
              <w:rPr>
                <w:noProof/>
                <w:webHidden/>
              </w:rPr>
              <w:fldChar w:fldCharType="end"/>
            </w:r>
          </w:hyperlink>
        </w:p>
        <w:p>
          <w:pPr>
            <w:pStyle w:val="TOC2"/>
            <w:tabs>
              <w:tab w:val="right" w:leader="dot" w:pos="9062"/>
            </w:tabs>
            <w:rPr>
              <w:rFonts w:asciiTheme="minorHAnsi" w:eastAsiaTheme="minorEastAsia" w:hAnsiTheme="minorHAnsi"/>
              <w:noProof/>
              <w:sz w:val="22"/>
              <w:lang w:eastAsia="es-ES"/>
            </w:rPr>
          </w:pPr>
          <w:hyperlink w:anchor="_Toc77258721" w:history="1">
            <w:r>
              <w:rPr>
                <w:rStyle w:val="Hyperlink"/>
                <w:noProof/>
              </w:rPr>
              <w:t>3.4. Rendimiento</w:t>
            </w:r>
            <w:r>
              <w:rPr>
                <w:noProof/>
                <w:webHidden/>
              </w:rPr>
              <w:tab/>
            </w:r>
            <w:r>
              <w:rPr>
                <w:noProof/>
                <w:webHidden/>
              </w:rPr>
              <w:fldChar w:fldCharType="begin"/>
            </w:r>
            <w:r>
              <w:rPr>
                <w:noProof/>
                <w:webHidden/>
              </w:rPr>
              <w:instrText xml:space="preserve"> PAGEREF _Toc77258721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062"/>
            </w:tabs>
            <w:rPr>
              <w:rFonts w:asciiTheme="minorHAnsi" w:eastAsiaTheme="minorEastAsia" w:hAnsiTheme="minorHAnsi"/>
              <w:noProof/>
              <w:sz w:val="22"/>
              <w:lang w:eastAsia="es-ES"/>
            </w:rPr>
          </w:pPr>
          <w:hyperlink w:anchor="_Toc77258722" w:history="1">
            <w:r>
              <w:rPr>
                <w:rStyle w:val="Hyperlink"/>
                <w:noProof/>
              </w:rPr>
              <w:t>4. Cuentas financieras</w:t>
            </w:r>
            <w:r>
              <w:rPr>
                <w:noProof/>
                <w:webHidden/>
              </w:rPr>
              <w:tab/>
            </w:r>
            <w:r>
              <w:rPr>
                <w:noProof/>
                <w:webHidden/>
              </w:rPr>
              <w:fldChar w:fldCharType="begin"/>
            </w:r>
            <w:r>
              <w:rPr>
                <w:noProof/>
                <w:webHidden/>
              </w:rPr>
              <w:instrText xml:space="preserve"> PAGEREF _Toc77258722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9062"/>
            </w:tabs>
            <w:rPr>
              <w:rFonts w:asciiTheme="minorHAnsi" w:eastAsiaTheme="minorEastAsia" w:hAnsiTheme="minorHAnsi"/>
              <w:noProof/>
              <w:sz w:val="22"/>
              <w:lang w:eastAsia="es-ES"/>
            </w:rPr>
          </w:pPr>
          <w:hyperlink w:anchor="_Toc77258723" w:history="1">
            <w:r>
              <w:rPr>
                <w:rStyle w:val="Hyperlink"/>
                <w:noProof/>
              </w:rPr>
              <w:t>4.1. Estados financieros del Fondo de Garantía del FEDS a 31 de diciembre de 2020</w:t>
            </w:r>
            <w:r>
              <w:rPr>
                <w:noProof/>
                <w:webHidden/>
              </w:rPr>
              <w:tab/>
            </w:r>
            <w:r>
              <w:rPr>
                <w:noProof/>
                <w:webHidden/>
              </w:rPr>
              <w:fldChar w:fldCharType="begin"/>
            </w:r>
            <w:r>
              <w:rPr>
                <w:noProof/>
                <w:webHidden/>
              </w:rPr>
              <w:instrText xml:space="preserve"> PAGEREF _Toc77258723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9062"/>
            </w:tabs>
            <w:rPr>
              <w:rFonts w:asciiTheme="minorHAnsi" w:eastAsiaTheme="minorEastAsia" w:hAnsiTheme="minorHAnsi"/>
              <w:noProof/>
              <w:sz w:val="22"/>
              <w:lang w:eastAsia="es-ES"/>
            </w:rPr>
          </w:pPr>
          <w:hyperlink w:anchor="_Toc77258724" w:history="1">
            <w:r>
              <w:rPr>
                <w:rStyle w:val="Hyperlink"/>
                <w:noProof/>
              </w:rPr>
              <w:t>4.2. Provisión de fondos</w:t>
            </w:r>
            <w:r>
              <w:rPr>
                <w:noProof/>
                <w:webHidden/>
              </w:rPr>
              <w:tab/>
            </w:r>
            <w:r>
              <w:rPr>
                <w:noProof/>
                <w:webHidden/>
              </w:rPr>
              <w:fldChar w:fldCharType="begin"/>
            </w:r>
            <w:r>
              <w:rPr>
                <w:noProof/>
                <w:webHidden/>
              </w:rPr>
              <w:instrText xml:space="preserve"> PAGEREF _Toc77258724 \h </w:instrText>
            </w:r>
            <w:r>
              <w:rPr>
                <w:noProof/>
                <w:webHidden/>
              </w:rPr>
            </w:r>
            <w:r>
              <w:rPr>
                <w:noProof/>
                <w:webHidden/>
              </w:rPr>
              <w:fldChar w:fldCharType="separate"/>
            </w:r>
            <w:r>
              <w:rPr>
                <w:noProof/>
                <w:webHidden/>
              </w:rPr>
              <w:t>7</w:t>
            </w:r>
            <w:r>
              <w:rPr>
                <w:noProof/>
                <w:webHidden/>
              </w:rPr>
              <w:fldChar w:fldCharType="end"/>
            </w:r>
          </w:hyperlink>
        </w:p>
        <w:p>
          <w:pPr>
            <w:pStyle w:val="TOC1"/>
            <w:tabs>
              <w:tab w:val="right" w:leader="dot" w:pos="9062"/>
            </w:tabs>
            <w:rPr>
              <w:rFonts w:asciiTheme="minorHAnsi" w:eastAsiaTheme="minorEastAsia" w:hAnsiTheme="minorHAnsi"/>
              <w:noProof/>
              <w:sz w:val="22"/>
              <w:lang w:eastAsia="es-ES"/>
            </w:rPr>
          </w:pPr>
          <w:hyperlink w:anchor="_Toc77258725" w:history="1">
            <w:r>
              <w:rPr>
                <w:rStyle w:val="Hyperlink"/>
                <w:noProof/>
              </w:rPr>
              <w:t>5. Evaluación de la adecuación del importe objetivo y del nivel del Fondo de Garantía del FEDS</w:t>
            </w:r>
            <w:r>
              <w:rPr>
                <w:noProof/>
                <w:webHidden/>
              </w:rPr>
              <w:tab/>
            </w:r>
            <w:r>
              <w:rPr>
                <w:noProof/>
                <w:webHidden/>
              </w:rPr>
              <w:fldChar w:fldCharType="begin"/>
            </w:r>
            <w:r>
              <w:rPr>
                <w:noProof/>
                <w:webHidden/>
              </w:rPr>
              <w:instrText xml:space="preserve"> PAGEREF _Toc77258725 \h </w:instrText>
            </w:r>
            <w:r>
              <w:rPr>
                <w:noProof/>
                <w:webHidden/>
              </w:rPr>
            </w:r>
            <w:r>
              <w:rPr>
                <w:noProof/>
                <w:webHidden/>
              </w:rPr>
              <w:fldChar w:fldCharType="separate"/>
            </w:r>
            <w:r>
              <w:rPr>
                <w:noProof/>
                <w:webHidden/>
              </w:rPr>
              <w:t>8</w:t>
            </w:r>
            <w:r>
              <w:rPr>
                <w:noProof/>
                <w:webHidden/>
              </w:rPr>
              <w:fldChar w:fldCharType="end"/>
            </w:r>
          </w:hyperlink>
        </w:p>
        <w:p>
          <w:pPr>
            <w:rPr>
              <w:noProof/>
            </w:rPr>
          </w:pPr>
          <w:r>
            <w:rPr>
              <w:b/>
              <w:bCs/>
              <w:noProof/>
            </w:rPr>
            <w:fldChar w:fldCharType="end"/>
          </w:r>
        </w:p>
      </w:sdtContent>
    </w:sdt>
    <w:p>
      <w:pPr>
        <w:rPr>
          <w:noProof/>
        </w:rPr>
      </w:pPr>
      <w:r>
        <w:rPr>
          <w:noProof/>
        </w:rPr>
        <w:br w:type="page"/>
      </w:r>
    </w:p>
    <w:p>
      <w:pPr>
        <w:pStyle w:val="Heading1"/>
        <w:rPr>
          <w:noProof/>
        </w:rPr>
      </w:pPr>
      <w:bookmarkStart w:id="2" w:name="_Toc77258715"/>
      <w:r>
        <w:rPr>
          <w:noProof/>
        </w:rPr>
        <w:lastRenderedPageBreak/>
        <w:t>1. Introducción</w:t>
      </w:r>
      <w:bookmarkEnd w:id="2"/>
    </w:p>
    <w:p>
      <w:pPr>
        <w:jc w:val="both"/>
        <w:rPr>
          <w:noProof/>
        </w:rPr>
      </w:pPr>
      <w:r>
        <w:rPr>
          <w:noProof/>
        </w:rPr>
        <w:t>El fundamento jurídico del presente informe es el Reglamento (UE) 2017/1601 («el Reglamento FEDS»), y, en particular, su artículo 16, apartado 3, que establece que la Comisión presentará al Parlamento Europeo, al Consejo y al Tribunal de Cuentas un informe anual sobre la gestión del Fondo de Garantía del Fondo Europeo de Desarrollo Sostenible (FEDS) durante el año civil anterior, incluida una evaluación de la adecuación del aprovisionamiento, del nivel del Fondo de Garantía del FEDS y de sus necesidades de recapitalización.</w:t>
      </w:r>
    </w:p>
    <w:p>
      <w:pPr>
        <w:pStyle w:val="Heading1"/>
        <w:rPr>
          <w:noProof/>
        </w:rPr>
      </w:pPr>
      <w:bookmarkStart w:id="3" w:name="_Toc77258716"/>
      <w:r>
        <w:rPr>
          <w:noProof/>
        </w:rPr>
        <w:t>2. Contexto operativo</w:t>
      </w:r>
      <w:bookmarkEnd w:id="3"/>
    </w:p>
    <w:p>
      <w:pPr>
        <w:jc w:val="both"/>
        <w:rPr>
          <w:noProof/>
        </w:rPr>
      </w:pPr>
      <w:r>
        <w:rPr>
          <w:noProof/>
        </w:rPr>
        <w:t>El FEDS cubre la financiación de las operaciones en África y en los países vecinos de la UE, tanto en lo que se refiere a las operaciones de financiación mixta como a la garantía del FEDS.</w:t>
      </w:r>
    </w:p>
    <w:p>
      <w:pPr>
        <w:jc w:val="both"/>
        <w:rPr>
          <w:noProof/>
          <w:szCs w:val="24"/>
        </w:rPr>
      </w:pPr>
      <w:r>
        <w:rPr>
          <w:noProof/>
        </w:rPr>
        <w:t xml:space="preserve">La garantía del FEDS es un elemento innovador clave utilizado para reducir los riesgos de la inversión en desarrollo sostenible en los países socios, con lo que contribuye a movilizar las inversiones, fomentar el desarrollo económico y social sostenible e inclusivo, maximizar la adicionalidad y atraer fondos del sector privado. La garantía está destinada a servir de mecanismo de reducción del riesgo para movilizar la financiación del sector privado, evitando al mismo tiempo las distorsiones del mercado. </w:t>
      </w:r>
    </w:p>
    <w:p>
      <w:pPr>
        <w:jc w:val="both"/>
        <w:rPr>
          <w:noProof/>
          <w:szCs w:val="24"/>
        </w:rPr>
      </w:pPr>
      <w:r>
        <w:rPr>
          <w:noProof/>
        </w:rPr>
        <w:t xml:space="preserve">La garantía del FEDS se ha establecido por un importe total de 1 500 millones EUR con cargo al presupuesto general de la Unión. Entre las contribuciones adicionales en apoyo del Fondo de Garantía del FEDS se incluyen 50 millones USD de la Bill and Melinda Gates Foundation, 9,6 millones EUR de Dinamarca, 300 000 EUR de Chequia y 100 000 EUR de Estonia. </w:t>
      </w:r>
    </w:p>
    <w:p>
      <w:pPr>
        <w:jc w:val="both"/>
        <w:rPr>
          <w:noProof/>
        </w:rPr>
      </w:pPr>
      <w:r>
        <w:rPr>
          <w:noProof/>
        </w:rPr>
        <w:t xml:space="preserve">El artículo 14 del Reglamento del FEDS establece el Fondo de Garantía del FEDS, que constituye una reserva de liquidez con cargo a la cual se pagará a las contrapartes elegibles en caso de ejecución de la garantía del FEDS. La Unión ha puesto a disposición 750 millones EUR para cubrir sus pasivos financieros, lo que corresponde al 50 % de las obligaciones de la garantía de la UE. </w:t>
      </w:r>
    </w:p>
    <w:p>
      <w:pPr>
        <w:jc w:val="both"/>
        <w:rPr>
          <w:noProof/>
        </w:rPr>
      </w:pPr>
      <w:r>
        <w:rPr>
          <w:noProof/>
        </w:rPr>
        <w:t>El Fondo de Garantía del FEDS se creó de manera efectiva en 2018. A 31 de diciembre de 2020, se han abonado al Fondo 799 millones EUR.</w:t>
      </w:r>
    </w:p>
    <w:p>
      <w:pPr>
        <w:jc w:val="both"/>
        <w:rPr>
          <w:noProof/>
          <w:szCs w:val="24"/>
        </w:rPr>
      </w:pPr>
      <w:r>
        <w:rPr>
          <w:noProof/>
        </w:rPr>
        <w:t>La Comisión facilitó información sobre los resultados logrados por el Fondo de Garantía del FEDS en 2019 al Parlamento Europeo, al Consejo y al Tribunal de Cuentas en el Informe sobre la gestión del Fondo de Garantía del FEDS</w:t>
      </w:r>
      <w:r>
        <w:rPr>
          <w:rStyle w:val="FootnoteReference"/>
          <w:noProof/>
        </w:rPr>
        <w:footnoteReference w:id="1"/>
      </w:r>
      <w:r>
        <w:rPr>
          <w:noProof/>
        </w:rPr>
        <w:t>.</w:t>
      </w:r>
    </w:p>
    <w:p>
      <w:pPr>
        <w:pStyle w:val="Heading1"/>
        <w:rPr>
          <w:noProof/>
          <w:szCs w:val="24"/>
        </w:rPr>
      </w:pPr>
      <w:bookmarkStart w:id="4" w:name="_Toc77258717"/>
      <w:r>
        <w:rPr>
          <w:noProof/>
        </w:rPr>
        <w:t>3. Gestión del Fondo de Garantía del FEDS en 2020</w:t>
      </w:r>
      <w:bookmarkEnd w:id="4"/>
    </w:p>
    <w:p>
      <w:pPr>
        <w:pStyle w:val="Heading2"/>
        <w:rPr>
          <w:noProof/>
        </w:rPr>
      </w:pPr>
      <w:bookmarkStart w:id="5" w:name="_Toc77258718"/>
      <w:r>
        <w:rPr>
          <w:noProof/>
        </w:rPr>
        <w:t>3.1. Gestión financiera</w:t>
      </w:r>
      <w:bookmarkEnd w:id="5"/>
      <w:r>
        <w:rPr>
          <w:noProof/>
        </w:rPr>
        <w:t xml:space="preserve"> </w:t>
      </w:r>
    </w:p>
    <w:p>
      <w:pPr>
        <w:jc w:val="both"/>
        <w:rPr>
          <w:noProof/>
        </w:rPr>
      </w:pPr>
      <w:r>
        <w:rPr>
          <w:noProof/>
          <w:sz w:val="23"/>
          <w:szCs w:val="23"/>
        </w:rPr>
        <w:t xml:space="preserve">La cartera de inversiones del Fondo de Garantía del FEDS se invierte de acuerdo con los principios de gestión establecidos en la </w:t>
      </w:r>
      <w:hyperlink r:id="rId16" w:history="1">
        <w:r>
          <w:rPr>
            <w:noProof/>
          </w:rPr>
          <w:t>Decisión C(2017) 7693</w:t>
        </w:r>
      </w:hyperlink>
      <w:r>
        <w:rPr>
          <w:noProof/>
          <w:color w:val="000000" w:themeColor="text1"/>
        </w:rPr>
        <w:t xml:space="preserve"> de la Comisión, de 22 de noviembre de 2017, por la que se aprueban las directrices en materia de gestión de activos del Fondo Europeo de Desarrollo Sostenible.</w:t>
      </w:r>
    </w:p>
    <w:p>
      <w:pPr>
        <w:jc w:val="both"/>
        <w:rPr>
          <w:noProof/>
        </w:rPr>
      </w:pPr>
      <w:r>
        <w:rPr>
          <w:noProof/>
        </w:rPr>
        <w:t xml:space="preserve">Estas directrices prevén que los activos de la cartera de inversiones proporcionarán suficiente liquidez en relación con las posibles ejecuciones de la garantía, al tiempo que se mantendrán los objetivos de optimización del rendimiento y de un nivel de riesgo que sea compatible con un alto grado de seguridad y estabilidad. </w:t>
      </w:r>
    </w:p>
    <w:p>
      <w:pPr>
        <w:jc w:val="both"/>
        <w:rPr>
          <w:noProof/>
        </w:rPr>
      </w:pPr>
      <w:r>
        <w:rPr>
          <w:noProof/>
        </w:rPr>
        <w:t>Las estrategias de inversión y de gestión del riesgo adoptadas reflejaron los objetivos de la inversión y las perspectivas de las condiciones de mercado. El enfoque de las inversiones estaba encaminado a aumentar la diversificación en las diferentes clases de activos de renta fija.</w:t>
      </w:r>
    </w:p>
    <w:p>
      <w:pPr>
        <w:pStyle w:val="Heading2"/>
        <w:rPr>
          <w:noProof/>
        </w:rPr>
      </w:pPr>
      <w:bookmarkStart w:id="6" w:name="_Toc77258719"/>
      <w:r>
        <w:rPr>
          <w:noProof/>
        </w:rPr>
        <w:t>3.2. Evolución del mercado</w:t>
      </w:r>
      <w:bookmarkEnd w:id="6"/>
    </w:p>
    <w:p>
      <w:pPr>
        <w:jc w:val="both"/>
        <w:rPr>
          <w:noProof/>
        </w:rPr>
      </w:pPr>
      <w:r>
        <w:rPr>
          <w:noProof/>
        </w:rPr>
        <w:t>La evolución del mercado en 2020 estuvo marcada por la propagación del virus de la COVID</w:t>
      </w:r>
      <w:r>
        <w:rPr>
          <w:noProof/>
        </w:rPr>
        <w:noBreakHyphen/>
        <w:t xml:space="preserve">19, sus repercusiones devastadoras sobre la salud pública y la economía mundial, y la rápida y firme respuesta de los gobiernos y los bancos centrales. </w:t>
      </w:r>
    </w:p>
    <w:p>
      <w:pPr>
        <w:jc w:val="both"/>
        <w:rPr>
          <w:noProof/>
        </w:rPr>
      </w:pPr>
      <w:r>
        <w:rPr>
          <w:noProof/>
        </w:rPr>
        <w:t xml:space="preserve">Los mercados de renta fija comenzaron el año en un ambiente optimista, merced a los avances constatados en las relaciones comerciales entre Estados Unidos y China y a un clima económico positivo en términos generales. El rendimiento de las obligaciones del Estado alemán a 10 años (Bund) alcanzó un máximo del -0,16 % a mediados de enero, lo que sería el nivel máximo para todo el año. </w:t>
      </w:r>
    </w:p>
    <w:p>
      <w:pPr>
        <w:jc w:val="both"/>
        <w:rPr>
          <w:noProof/>
        </w:rPr>
      </w:pPr>
      <w:r>
        <w:rPr>
          <w:noProof/>
        </w:rPr>
        <w:t xml:space="preserve">Más tarde ese mismo año, más de la mitad de la población mundial quedó sometida a confinamiento a medida que la amenaza del virus se hacía cada vez más patente, lo que provocó una perturbación mundial tanto en la oferta como en la demanda, especialmente en los servicios presenciales. Los mercados financieros de todo el mundo experimentaron una perturbación repentina, que vino acompañada de un importante aumento de la aversión al riesgo y de la volatilidad. La posterior carrera por conseguir efectivo condujo a la venta forzosa de activos, lo que provocó deslocalizaciones y supuso una amenaza para la estabilidad de los mercados financieros. </w:t>
      </w:r>
    </w:p>
    <w:p>
      <w:pPr>
        <w:jc w:val="both"/>
        <w:rPr>
          <w:noProof/>
        </w:rPr>
      </w:pPr>
      <w:r>
        <w:rPr>
          <w:noProof/>
        </w:rPr>
        <w:t xml:space="preserve">Los mercados de renta variable cayeron en picado y los inversores se volvieron hacia activos seguros, como el Bund, cuyo rendimiento cayó rápidamente hasta su nivel mínimo anual del </w:t>
      </w:r>
      <w:r>
        <w:rPr>
          <w:noProof/>
        </w:rPr>
        <w:noBreakHyphen/>
        <w:t xml:space="preserve">0,86 % a mediados de marzo, y el Tesoro estadounidense, cuyo rendimiento sufrió una caída aún más pronunciada, alimentada por dos recortes de emergencia de los tipos de interés por parte de la Reserva Federal de Estados Unidos, de un total de 150 puntos básicos, a principios de marzo. A continuación, los rendimientos de los activos considerados más seguros invirtieron su tendencia y, junto con el resto del universo de renta fija, se incrementaron en un contexto de incertidumbre de los mercados y de escasa liquidez. El Bund volvió a retroceder hasta -0,20 % diez días después de alcanzar su nivel mínimo anual. Los diferenciales de la deuda pública europea con el Bund se ampliaron sustancialmente, al igual que los diferenciales de todas las demás categorías de activos de renta fija. </w:t>
      </w:r>
    </w:p>
    <w:p>
      <w:pPr>
        <w:jc w:val="both"/>
        <w:rPr>
          <w:noProof/>
        </w:rPr>
      </w:pPr>
      <w:r>
        <w:rPr>
          <w:noProof/>
        </w:rPr>
        <w:t>Para restablecer la confianza, los gobiernos llevaron a cabo planes de rescate y los bancos centrales aplicaron una política monetaria acomodaticia (por ejemplo, recortes de los tipos de interés oficiales o compras de activos) a una escala sin precedentes, contribuyendo a que se calmasen los mercados y a que repuntaran las valoraciones generales de los activos. Tras la volatilidad de marzo, los diferenciales se estabilizaron a partir de abril, siguiendo una trayectoria descendente, en términos generales. El anuncio de la puesta en marcha de paquetes de medidas fiscales sin precedentes en todo el mundo y en Europa, en particular los 750 000 millones EUR de Next Generation EU, supuso un estímulo para alcanzar los niveles globales de rendimiento más elevados que se registraron en junio, si bien los bancos centrales mostraron su resolución y contuvieron la tendencia para garantizar unas condiciones de financiación favorables en un contexto de persistencia de riesgos a la baja. Durante el resto del año, los rendimientos y los diferenciales de la zona del euro experimentaron una disminución gradual, mientras que la confianza de los inversores siguió mejorando gracias a los avances en el frente de la vacunación y a la perspectiva de nuevos estímulos tras las elecciones estadounidenses de noviembre. El Bund terminó el año en el -0,57 %.</w:t>
      </w:r>
    </w:p>
    <w:p>
      <w:pPr>
        <w:jc w:val="both"/>
        <w:rPr>
          <w:noProof/>
        </w:rPr>
      </w:pPr>
      <w:r>
        <w:rPr>
          <w:noProof/>
        </w:rPr>
        <w:t>En términos generales, la evolución de los mercados de renta fija, aunque se caracterizó por una volatilidad muy elevada, proporcionó oportunidades de inversión atractivas, lo que a su vez contribuyó al rendimiento positivo del fondo de garantía del FEDS al final del ejercicio.</w:t>
      </w:r>
    </w:p>
    <w:p>
      <w:pPr>
        <w:pStyle w:val="Heading2"/>
        <w:rPr>
          <w:noProof/>
        </w:rPr>
      </w:pPr>
      <w:bookmarkStart w:id="7" w:name="_Toc77258720"/>
      <w:r>
        <w:rPr>
          <w:noProof/>
        </w:rPr>
        <w:t>3.3. Composición y características principales de la cartera</w:t>
      </w:r>
      <w:bookmarkEnd w:id="7"/>
    </w:p>
    <w:p>
      <w:pPr>
        <w:jc w:val="both"/>
        <w:rPr>
          <w:noProof/>
        </w:rPr>
      </w:pPr>
      <w:r>
        <w:rPr>
          <w:noProof/>
        </w:rPr>
        <w:t>La gestión de los activos de la cartera de inversiones del Fondo de Garantía del FEDS sigue una estrategia de inversión orientada a los objetivos de inversión. Esta estrategia de inversión se expresa en forma de valor de referencia, que establece las asignaciones de objetivos indicativas a las distintas categorías de activos financieros admisibles en la cartera.</w:t>
      </w:r>
    </w:p>
    <w:p>
      <w:pPr>
        <w:jc w:val="both"/>
        <w:rPr>
          <w:noProof/>
        </w:rPr>
      </w:pPr>
      <w:r>
        <w:rPr>
          <w:noProof/>
        </w:rPr>
        <w:t xml:space="preserve">En diciembre de 2020, la cartera de inversiones estaba compuesta predominantemente de valores emitidos por emisores estatales, regionales y locales, supranacionales y agencias y por gobiernos extranjeros (el 46 % del valor de mercado frente al 52 % del valor de referencia), de bonos no garantizados emitidos por empresas y entidades financieras (el 14 % del valor de mercado frente al 18 % del valor de referencia) y de bonos garantizados (el 14 % del valor de mercado frente al 0 % del valor de referencia). El resto se asignó principalmente a fondos del mercado monetario. </w:t>
      </w:r>
    </w:p>
    <w:p>
      <w:pPr>
        <w:jc w:val="both"/>
        <w:rPr>
          <w:noProof/>
        </w:rPr>
      </w:pPr>
      <w:r>
        <w:rPr>
          <w:noProof/>
        </w:rPr>
        <w:t xml:space="preserve">A finales de 2020, la proporción de obligaciones que cumplían los criterios medioambientales, sociales y de gobernanza era del 12 %. </w:t>
      </w:r>
    </w:p>
    <w:p>
      <w:pPr>
        <w:jc w:val="both"/>
        <w:rPr>
          <w:noProof/>
        </w:rPr>
      </w:pPr>
      <w:r>
        <w:rPr>
          <w:noProof/>
        </w:rPr>
        <w:t>La duración de la cartera a finales de 2020 era de 2,41 años, y las calificaciones crediticias de los valores del FEDS se dividen como sigue:</w:t>
      </w:r>
      <w:r>
        <w:rPr>
          <w:noProof/>
          <w:color w:val="1F497D"/>
        </w:rPr>
        <w:t xml:space="preserve"> </w:t>
      </w:r>
    </w:p>
    <w:p>
      <w:pPr>
        <w:pStyle w:val="Default"/>
        <w:jc w:val="center"/>
        <w:rPr>
          <w:rFonts w:ascii="Calibri" w:hAnsi="Calibri" w:cs="Calibri"/>
          <w:noProof/>
          <w:color w:val="1F497D"/>
          <w:sz w:val="22"/>
          <w:szCs w:val="22"/>
        </w:rPr>
      </w:pPr>
      <w:r>
        <w:rPr>
          <w:noProof/>
          <w:lang w:val="en-GB" w:eastAsia="en-GB"/>
        </w:rPr>
        <w:drawing>
          <wp:inline distT="0" distB="0" distL="0" distR="0">
            <wp:extent cx="4298315" cy="3754582"/>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Default"/>
        <w:rPr>
          <w:noProof/>
          <w:color w:val="auto"/>
          <w:sz w:val="23"/>
          <w:szCs w:val="23"/>
          <w:lang w:val="en-IE"/>
        </w:rPr>
      </w:pPr>
    </w:p>
    <w:p>
      <w:pPr>
        <w:jc w:val="both"/>
        <w:rPr>
          <w:noProof/>
        </w:rPr>
      </w:pPr>
      <w:r>
        <w:rPr>
          <w:noProof/>
        </w:rPr>
        <w:t xml:space="preserve">El grueso de la cartera se invierte en valores líquidos e instrumentos del mercado monetario, y una parte adecuada (el 32 % del total del valor de la cartera) tiene plazos de vencimiento inferiores a doce meses. </w:t>
      </w:r>
    </w:p>
    <w:p>
      <w:pPr>
        <w:jc w:val="both"/>
        <w:rPr>
          <w:noProof/>
        </w:rPr>
      </w:pPr>
      <w:r>
        <w:rPr>
          <w:noProof/>
        </w:rPr>
        <w:t>El perfil de la cartera, en términos de duración, riesgo de crédito y liquidez, se ha calibrado en consonancia con los flujos de efectivo previstos derivados de las operaciones del FEDS en el marco de la garantía de la UE (por ejemplo, ejecuciones previstas, ingresos).</w:t>
      </w:r>
    </w:p>
    <w:p>
      <w:pPr>
        <w:pStyle w:val="Heading2"/>
        <w:rPr>
          <w:noProof/>
        </w:rPr>
      </w:pPr>
      <w:bookmarkStart w:id="8" w:name="_Toc77258721"/>
      <w:r>
        <w:rPr>
          <w:noProof/>
        </w:rPr>
        <w:t>3.4. Rendimiento</w:t>
      </w:r>
      <w:bookmarkEnd w:id="8"/>
    </w:p>
    <w:p>
      <w:pPr>
        <w:jc w:val="both"/>
        <w:rPr>
          <w:noProof/>
        </w:rPr>
      </w:pPr>
      <w:r>
        <w:rPr>
          <w:noProof/>
        </w:rPr>
        <w:t xml:space="preserve">El rendimiento anual se calcula como una media ponderada en el tiempo, con el fin de que no se vea afectado por el tamaño de la cartera. </w:t>
      </w:r>
    </w:p>
    <w:p>
      <w:pPr>
        <w:jc w:val="both"/>
        <w:rPr>
          <w:noProof/>
        </w:rPr>
      </w:pPr>
      <w:r>
        <w:rPr>
          <w:noProof/>
        </w:rPr>
        <w:t xml:space="preserve">En un entorno de mercado caracterizado por la volatilidad relacionada con la salud y unos rendimientos históricamente bajos, el Fondo tuvo un rendimiento anual absoluto del 0,734 % (rendimiento ponderado en el tiempo, antes de costes y tasas) en 2020. Este rendimiento está en consonancia con el rendimiento anual del valor de referencia del FEDS (0,507 %). Sin embargo, el rendimiento de 2020, tanto del valor de referencia como de la cartera, se vio impulsado, en gran medida, por la curva positiva de rentabilidad. Teniendo en cuenta los niveles históricamente bajos alcanzados por los rendimientos de la UE, la cartera podría verse afectada negativamente en los próximos años por movimientos opuestos de la curva (es decir, un aumento de los rendimientos). </w:t>
      </w:r>
    </w:p>
    <w:p>
      <w:pPr>
        <w:pStyle w:val="Heading1"/>
        <w:rPr>
          <w:noProof/>
        </w:rPr>
      </w:pPr>
      <w:bookmarkStart w:id="9" w:name="_Toc77258722"/>
      <w:r>
        <w:rPr>
          <w:noProof/>
        </w:rPr>
        <w:t>4. Cuentas financieras</w:t>
      </w:r>
      <w:bookmarkEnd w:id="9"/>
    </w:p>
    <w:p>
      <w:pPr>
        <w:rPr>
          <w:noProof/>
          <w:szCs w:val="24"/>
        </w:rPr>
      </w:pPr>
      <w:r>
        <w:rPr>
          <w:noProof/>
        </w:rPr>
        <w:t>A continuación se presenta la información financiera relativa al Fondo de Garantía del FEDS. No hubo ejecuciones de la garantía del FEDS en 2020.</w:t>
      </w:r>
    </w:p>
    <w:p>
      <w:pPr>
        <w:pStyle w:val="Heading2"/>
        <w:jc w:val="both"/>
        <w:rPr>
          <w:noProof/>
        </w:rPr>
      </w:pPr>
      <w:bookmarkStart w:id="10" w:name="_Toc77258723"/>
      <w:r>
        <w:rPr>
          <w:noProof/>
        </w:rPr>
        <w:t>4.1. Estados financieros del Fondo de Garantía del FEDS a 31 de diciembre de 2020</w:t>
      </w:r>
      <w:bookmarkEnd w:id="10"/>
      <w:r>
        <w:rPr>
          <w:noProof/>
        </w:rPr>
        <w:t xml:space="preserve"> </w:t>
      </w:r>
    </w:p>
    <w:p>
      <w:pPr>
        <w:jc w:val="both"/>
        <w:rPr>
          <w:noProof/>
        </w:rPr>
      </w:pPr>
      <w:bookmarkStart w:id="11" w:name="_Toc475538090"/>
      <w:r>
        <w:rPr>
          <w:noProof/>
        </w:rPr>
        <w:t>Los activos netos del Fondo de Garantía del FEDS ascendían a 804,12 millones EUR a 31 de diciembre de 2020. Los activos abarcaban la cartera de valores de inversión clasificada como realizables (692,00 millones EUR) y efectivo (112,12 millones EUR).</w:t>
      </w:r>
    </w:p>
    <w:p>
      <w:pPr>
        <w:jc w:val="both"/>
        <w:rPr>
          <w:noProof/>
        </w:rPr>
      </w:pPr>
      <w:r>
        <w:rPr>
          <w:noProof/>
        </w:rPr>
        <w:t xml:space="preserve">En lo que respecta al estado de resultados financieros de 2020, el Fondo de Garantía del FEDS acabó el año con un resultado económico de -0,62 millones EUR. El principal motivo para ello fueron los gastos de intereses negativos sobre las tenencias de efectivo y los valores y tasas (-1,04 millones EUR), que solo podrían compensarse parcialmente con los beneficios obtenidos de las ventas de valores y de los ingresos de los préstamos de valores (0,42 millones EUR). Las ganancias o pérdidas de capital no realizadas sobre las posiciones en el Fondo de Garantía del FEDS a finales de 2020 solo se reflejaron en la valoración de las posiciones, pero no en el resultado económico. Véase el punto 3.4 para la ejecución del Fondo de Garantía del FEDS, incluidas las plusvalías y las ganancias o pérdidas de capital no realizadas. </w:t>
      </w:r>
    </w:p>
    <w:p>
      <w:pPr>
        <w:jc w:val="both"/>
        <w:rPr>
          <w:noProof/>
        </w:rPr>
      </w:pPr>
    </w:p>
    <w:p>
      <w:pPr>
        <w:rPr>
          <w:b/>
          <w:noProof/>
        </w:rPr>
      </w:pPr>
      <w:bookmarkStart w:id="12" w:name="_Toc475538089"/>
      <w:r>
        <w:rPr>
          <w:b/>
          <w:noProof/>
        </w:rPr>
        <w:t>Estado de resultados financieros del ejercicio que finalizó el 31 de diciembre de 2020</w:t>
      </w:r>
      <w:bookmarkEnd w:id="12"/>
    </w:p>
    <w:p>
      <w:pPr>
        <w:rPr>
          <w:rFonts w:cs="Arial"/>
          <w:noProof/>
          <w:sz w:val="20"/>
        </w:rPr>
      </w:pPr>
      <w:r>
        <w:rPr>
          <w:noProof/>
          <w:sz w:val="20"/>
        </w:rPr>
        <w:t>(importes expresados en EUR, entre paréntesis – gastos/pérdidas, sin paréntesis – ingresos/ganancias)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8"/>
        <w:gridCol w:w="1677"/>
        <w:gridCol w:w="1677"/>
      </w:tblGrid>
      <w:tr>
        <w:trPr>
          <w:trHeight w:val="227"/>
        </w:trPr>
        <w:tc>
          <w:tcPr>
            <w:tcW w:w="3153" w:type="pct"/>
            <w:shd w:val="clear" w:color="auto" w:fill="FFFFFF"/>
            <w:noWrap/>
            <w:vAlign w:val="center"/>
          </w:tcPr>
          <w:p>
            <w:pPr>
              <w:spacing w:after="0" w:line="240" w:lineRule="auto"/>
              <w:rPr>
                <w:rFonts w:eastAsia="Arial Unicode MS" w:cs="Arial"/>
                <w:noProof/>
                <w:sz w:val="20"/>
              </w:rPr>
            </w:pPr>
            <w:r>
              <w:rPr>
                <w:b/>
                <w:bCs/>
                <w:noProof/>
                <w:sz w:val="20"/>
              </w:rPr>
              <w:t xml:space="preserve"> </w:t>
            </w:r>
            <w:r>
              <w:rPr>
                <w:noProof/>
                <w:sz w:val="20"/>
              </w:rPr>
              <w:t xml:space="preserve"> </w:t>
            </w:r>
          </w:p>
        </w:tc>
        <w:tc>
          <w:tcPr>
            <w:tcW w:w="923" w:type="pct"/>
            <w:shd w:val="clear" w:color="auto" w:fill="FFFFFF"/>
            <w:noWrap/>
            <w:vAlign w:val="center"/>
          </w:tcPr>
          <w:p>
            <w:pPr>
              <w:spacing w:after="0" w:line="240" w:lineRule="auto"/>
              <w:jc w:val="center"/>
              <w:rPr>
                <w:rFonts w:eastAsia="Arial Unicode MS" w:cs="Arial"/>
                <w:b/>
                <w:bCs/>
                <w:noProof/>
                <w:sz w:val="20"/>
              </w:rPr>
            </w:pPr>
            <w:r>
              <w:rPr>
                <w:b/>
                <w:bCs/>
                <w:noProof/>
                <w:sz w:val="20"/>
              </w:rPr>
              <w:t>2020</w:t>
            </w:r>
          </w:p>
        </w:tc>
        <w:tc>
          <w:tcPr>
            <w:tcW w:w="923" w:type="pct"/>
            <w:shd w:val="clear" w:color="auto" w:fill="FFFFFF"/>
            <w:vAlign w:val="center"/>
          </w:tcPr>
          <w:p>
            <w:pPr>
              <w:spacing w:after="0" w:line="240" w:lineRule="auto"/>
              <w:jc w:val="center"/>
              <w:rPr>
                <w:rFonts w:eastAsia="Arial Unicode MS" w:cs="Arial"/>
                <w:b/>
                <w:bCs/>
                <w:noProof/>
                <w:sz w:val="20"/>
              </w:rPr>
            </w:pPr>
            <w:r>
              <w:rPr>
                <w:b/>
                <w:bCs/>
                <w:noProof/>
                <w:sz w:val="20"/>
              </w:rPr>
              <w:t>2019</w:t>
            </w:r>
          </w:p>
        </w:tc>
      </w:tr>
      <w:tr>
        <w:trPr>
          <w:trHeight w:val="227"/>
        </w:trPr>
        <w:tc>
          <w:tcPr>
            <w:tcW w:w="3153" w:type="pct"/>
            <w:shd w:val="clear" w:color="auto" w:fill="FFFFFF"/>
            <w:noWrap/>
            <w:vAlign w:val="center"/>
          </w:tcPr>
          <w:p>
            <w:pPr>
              <w:spacing w:after="0" w:line="240" w:lineRule="auto"/>
              <w:rPr>
                <w:rFonts w:cs="Arial"/>
                <w:noProof/>
                <w:sz w:val="20"/>
                <w:lang w:val="en-IE"/>
              </w:rPr>
            </w:pPr>
          </w:p>
        </w:tc>
        <w:tc>
          <w:tcPr>
            <w:tcW w:w="923" w:type="pct"/>
            <w:shd w:val="clear" w:color="auto" w:fill="FFFFFF"/>
            <w:noWrap/>
            <w:vAlign w:val="center"/>
          </w:tcPr>
          <w:p>
            <w:pPr>
              <w:spacing w:after="0" w:line="240" w:lineRule="auto"/>
              <w:jc w:val="right"/>
              <w:rPr>
                <w:rFonts w:cs="Arial"/>
                <w:b/>
                <w:bCs/>
                <w:noProof/>
                <w:sz w:val="20"/>
              </w:rPr>
            </w:pPr>
            <w:r>
              <w:rPr>
                <w:b/>
                <w:bCs/>
                <w:noProof/>
                <w:sz w:val="20"/>
              </w:rPr>
              <w:t>EUR</w:t>
            </w:r>
          </w:p>
        </w:tc>
        <w:tc>
          <w:tcPr>
            <w:tcW w:w="923" w:type="pct"/>
            <w:shd w:val="clear" w:color="auto" w:fill="FFFFFF"/>
            <w:vAlign w:val="center"/>
          </w:tcPr>
          <w:p>
            <w:pPr>
              <w:spacing w:after="0" w:line="240" w:lineRule="auto"/>
              <w:jc w:val="right"/>
              <w:rPr>
                <w:rFonts w:cs="Arial"/>
                <w:b/>
                <w:bCs/>
                <w:noProof/>
                <w:sz w:val="20"/>
              </w:rPr>
            </w:pPr>
            <w:r>
              <w:rPr>
                <w:b/>
                <w:bCs/>
                <w:noProof/>
                <w:sz w:val="20"/>
              </w:rPr>
              <w:t>EUR</w:t>
            </w:r>
          </w:p>
        </w:tc>
      </w:tr>
      <w:tr>
        <w:trPr>
          <w:trHeight w:val="227"/>
        </w:trPr>
        <w:tc>
          <w:tcPr>
            <w:tcW w:w="3153" w:type="pct"/>
            <w:shd w:val="clear" w:color="auto" w:fill="FFFFFF"/>
            <w:noWrap/>
            <w:vAlign w:val="center"/>
          </w:tcPr>
          <w:p>
            <w:pPr>
              <w:spacing w:after="0" w:line="240" w:lineRule="auto"/>
              <w:rPr>
                <w:rFonts w:cs="Arial"/>
                <w:noProof/>
                <w:sz w:val="20"/>
              </w:rPr>
            </w:pPr>
            <w:r>
              <w:rPr>
                <w:b/>
                <w:noProof/>
                <w:sz w:val="20"/>
              </w:rPr>
              <w:t>Ingresos de explotación</w:t>
            </w:r>
          </w:p>
        </w:tc>
        <w:tc>
          <w:tcPr>
            <w:tcW w:w="923" w:type="pct"/>
            <w:shd w:val="clear" w:color="auto" w:fill="FFFFFF"/>
            <w:noWrap/>
            <w:vAlign w:val="center"/>
          </w:tcPr>
          <w:p>
            <w:pPr>
              <w:tabs>
                <w:tab w:val="left" w:pos="1558"/>
              </w:tabs>
              <w:spacing w:after="0" w:line="240" w:lineRule="auto"/>
              <w:ind w:right="143"/>
              <w:jc w:val="right"/>
              <w:rPr>
                <w:rFonts w:cs="Arial"/>
                <w:b/>
                <w:noProof/>
                <w:sz w:val="20"/>
              </w:rPr>
            </w:pPr>
            <w:r>
              <w:rPr>
                <w:noProof/>
                <w:sz w:val="20"/>
              </w:rPr>
              <w:t>-</w:t>
            </w:r>
          </w:p>
        </w:tc>
        <w:tc>
          <w:tcPr>
            <w:tcW w:w="923" w:type="pct"/>
            <w:shd w:val="clear" w:color="auto" w:fill="FFFFFF"/>
            <w:vAlign w:val="center"/>
          </w:tcPr>
          <w:p>
            <w:pPr>
              <w:tabs>
                <w:tab w:val="left" w:pos="1558"/>
              </w:tabs>
              <w:spacing w:after="0" w:line="240" w:lineRule="auto"/>
              <w:ind w:right="143"/>
              <w:jc w:val="right"/>
              <w:rPr>
                <w:rFonts w:cs="Arial"/>
                <w:b/>
                <w:noProof/>
                <w:sz w:val="20"/>
              </w:rPr>
            </w:pPr>
            <w:r>
              <w:rPr>
                <w:noProof/>
                <w:sz w:val="20"/>
              </w:rPr>
              <w:t>-</w:t>
            </w:r>
          </w:p>
        </w:tc>
      </w:tr>
      <w:tr>
        <w:trPr>
          <w:trHeight w:val="227"/>
        </w:trPr>
        <w:tc>
          <w:tcPr>
            <w:tcW w:w="3153" w:type="pct"/>
            <w:shd w:val="clear" w:color="auto" w:fill="FFFFFF"/>
            <w:noWrap/>
            <w:vAlign w:val="center"/>
          </w:tcPr>
          <w:p>
            <w:pPr>
              <w:spacing w:after="0" w:line="240" w:lineRule="auto"/>
              <w:rPr>
                <w:rFonts w:cs="Arial"/>
                <w:noProof/>
                <w:sz w:val="20"/>
                <w:lang w:val="en-IE"/>
              </w:rPr>
            </w:pPr>
          </w:p>
        </w:tc>
        <w:tc>
          <w:tcPr>
            <w:tcW w:w="923" w:type="pct"/>
            <w:shd w:val="clear" w:color="auto" w:fill="FFFFFF"/>
            <w:noWrap/>
            <w:vAlign w:val="center"/>
          </w:tcPr>
          <w:p>
            <w:pPr>
              <w:tabs>
                <w:tab w:val="left" w:pos="1558"/>
              </w:tabs>
              <w:spacing w:after="0" w:line="240" w:lineRule="auto"/>
              <w:ind w:right="143"/>
              <w:jc w:val="right"/>
              <w:rPr>
                <w:rFonts w:cs="Arial"/>
                <w:noProof/>
                <w:sz w:val="20"/>
                <w:lang w:val="en-IE"/>
              </w:rPr>
            </w:pPr>
          </w:p>
        </w:tc>
        <w:tc>
          <w:tcPr>
            <w:tcW w:w="923" w:type="pct"/>
            <w:shd w:val="clear" w:color="auto" w:fill="FFFFFF"/>
            <w:vAlign w:val="center"/>
          </w:tcPr>
          <w:p>
            <w:pPr>
              <w:tabs>
                <w:tab w:val="left" w:pos="1558"/>
              </w:tabs>
              <w:spacing w:after="0" w:line="240" w:lineRule="auto"/>
              <w:ind w:right="143"/>
              <w:jc w:val="right"/>
              <w:rPr>
                <w:rFonts w:cs="Arial"/>
                <w:noProof/>
                <w:sz w:val="20"/>
                <w:lang w:val="en-IE"/>
              </w:rPr>
            </w:pPr>
          </w:p>
        </w:tc>
      </w:tr>
      <w:tr>
        <w:trPr>
          <w:trHeight w:val="227"/>
        </w:trPr>
        <w:tc>
          <w:tcPr>
            <w:tcW w:w="3153" w:type="pct"/>
            <w:shd w:val="clear" w:color="auto" w:fill="FFFFFF"/>
            <w:noWrap/>
            <w:vAlign w:val="center"/>
          </w:tcPr>
          <w:p>
            <w:pPr>
              <w:spacing w:after="0" w:line="240" w:lineRule="auto"/>
              <w:rPr>
                <w:rFonts w:cs="Arial"/>
                <w:noProof/>
                <w:sz w:val="20"/>
              </w:rPr>
            </w:pPr>
            <w:r>
              <w:rPr>
                <w:b/>
                <w:noProof/>
                <w:sz w:val="20"/>
              </w:rPr>
              <w:t>Gastos de explotación</w:t>
            </w:r>
          </w:p>
        </w:tc>
        <w:tc>
          <w:tcPr>
            <w:tcW w:w="923" w:type="pct"/>
            <w:shd w:val="clear" w:color="auto" w:fill="FFFFFF"/>
            <w:noWrap/>
            <w:vAlign w:val="center"/>
          </w:tcPr>
          <w:p>
            <w:pPr>
              <w:tabs>
                <w:tab w:val="left" w:pos="1558"/>
              </w:tabs>
              <w:spacing w:after="0" w:line="240" w:lineRule="auto"/>
              <w:ind w:right="143"/>
              <w:jc w:val="right"/>
              <w:rPr>
                <w:rFonts w:cs="Arial"/>
                <w:b/>
                <w:noProof/>
                <w:sz w:val="20"/>
              </w:rPr>
            </w:pPr>
            <w:r>
              <w:rPr>
                <w:noProof/>
                <w:sz w:val="20"/>
              </w:rPr>
              <w:t>-</w:t>
            </w:r>
          </w:p>
        </w:tc>
        <w:tc>
          <w:tcPr>
            <w:tcW w:w="923" w:type="pct"/>
            <w:shd w:val="clear" w:color="auto" w:fill="FFFFFF"/>
            <w:vAlign w:val="center"/>
          </w:tcPr>
          <w:p>
            <w:pPr>
              <w:tabs>
                <w:tab w:val="left" w:pos="1558"/>
              </w:tabs>
              <w:spacing w:after="0" w:line="240" w:lineRule="auto"/>
              <w:ind w:right="143"/>
              <w:jc w:val="right"/>
              <w:rPr>
                <w:rFonts w:cs="Arial"/>
                <w:b/>
                <w:noProof/>
                <w:sz w:val="20"/>
              </w:rPr>
            </w:pPr>
            <w:r>
              <w:rPr>
                <w:noProof/>
                <w:sz w:val="20"/>
              </w:rPr>
              <w:t>-</w:t>
            </w:r>
          </w:p>
        </w:tc>
      </w:tr>
      <w:tr>
        <w:trPr>
          <w:trHeight w:val="227"/>
        </w:trPr>
        <w:tc>
          <w:tcPr>
            <w:tcW w:w="3153" w:type="pct"/>
            <w:shd w:val="clear" w:color="auto" w:fill="FFFFFF"/>
            <w:noWrap/>
            <w:vAlign w:val="center"/>
          </w:tcPr>
          <w:p>
            <w:pPr>
              <w:spacing w:after="0" w:line="240" w:lineRule="auto"/>
              <w:rPr>
                <w:rFonts w:cs="Arial"/>
                <w:noProof/>
                <w:sz w:val="20"/>
              </w:rPr>
            </w:pPr>
            <w:r>
              <w:rPr>
                <w:bCs/>
                <w:noProof/>
                <w:sz w:val="20"/>
              </w:rPr>
              <w:t>Otros gastos de explotación</w:t>
            </w:r>
          </w:p>
        </w:tc>
        <w:tc>
          <w:tcPr>
            <w:tcW w:w="923" w:type="pct"/>
            <w:shd w:val="clear" w:color="auto" w:fill="FFFFFF"/>
            <w:noWrap/>
            <w:vAlign w:val="center"/>
          </w:tcPr>
          <w:p>
            <w:pPr>
              <w:tabs>
                <w:tab w:val="left" w:pos="1558"/>
              </w:tabs>
              <w:spacing w:after="0" w:line="240" w:lineRule="auto"/>
              <w:ind w:right="143"/>
              <w:jc w:val="right"/>
              <w:rPr>
                <w:rFonts w:eastAsia="Arial Unicode MS" w:cs="Arial"/>
                <w:b/>
                <w:noProof/>
                <w:sz w:val="20"/>
              </w:rPr>
            </w:pPr>
            <w:r>
              <w:rPr>
                <w:noProof/>
                <w:sz w:val="20"/>
              </w:rPr>
              <w:t>(15 000)</w:t>
            </w:r>
          </w:p>
        </w:tc>
        <w:tc>
          <w:tcPr>
            <w:tcW w:w="923" w:type="pct"/>
            <w:shd w:val="clear" w:color="auto" w:fill="FFFFFF"/>
            <w:vAlign w:val="center"/>
          </w:tcPr>
          <w:p>
            <w:pPr>
              <w:tabs>
                <w:tab w:val="left" w:pos="1558"/>
              </w:tabs>
              <w:spacing w:after="0" w:line="240" w:lineRule="auto"/>
              <w:ind w:right="143"/>
              <w:jc w:val="right"/>
              <w:rPr>
                <w:rFonts w:eastAsia="Arial Unicode MS" w:cs="Arial"/>
                <w:b/>
                <w:noProof/>
                <w:sz w:val="20"/>
              </w:rPr>
            </w:pPr>
            <w:r>
              <w:rPr>
                <w:noProof/>
                <w:sz w:val="20"/>
              </w:rPr>
              <w:t>(15 000)</w:t>
            </w:r>
          </w:p>
        </w:tc>
      </w:tr>
      <w:tr>
        <w:trPr>
          <w:trHeight w:val="227"/>
        </w:trPr>
        <w:tc>
          <w:tcPr>
            <w:tcW w:w="3153" w:type="pct"/>
            <w:shd w:val="clear" w:color="auto" w:fill="FFFFFF"/>
            <w:noWrap/>
            <w:vAlign w:val="center"/>
          </w:tcPr>
          <w:p>
            <w:pPr>
              <w:spacing w:after="0" w:line="240" w:lineRule="auto"/>
              <w:rPr>
                <w:rFonts w:eastAsia="Arial Unicode MS" w:cs="Arial"/>
                <w:i/>
                <w:noProof/>
                <w:sz w:val="20"/>
              </w:rPr>
            </w:pPr>
            <w:r>
              <w:rPr>
                <w:i/>
                <w:noProof/>
                <w:sz w:val="20"/>
              </w:rPr>
              <w:t xml:space="preserve">     Honorarios de auditoría</w:t>
            </w:r>
          </w:p>
        </w:tc>
        <w:tc>
          <w:tcPr>
            <w:tcW w:w="923" w:type="pct"/>
            <w:shd w:val="clear" w:color="auto" w:fill="FFFFFF"/>
            <w:noWrap/>
            <w:vAlign w:val="center"/>
          </w:tcPr>
          <w:p>
            <w:pPr>
              <w:tabs>
                <w:tab w:val="left" w:pos="1558"/>
              </w:tabs>
              <w:spacing w:after="0" w:line="240" w:lineRule="auto"/>
              <w:ind w:right="143"/>
              <w:jc w:val="right"/>
              <w:rPr>
                <w:rFonts w:cs="Arial"/>
                <w:i/>
                <w:noProof/>
                <w:sz w:val="20"/>
              </w:rPr>
            </w:pPr>
            <w:r>
              <w:rPr>
                <w:i/>
                <w:noProof/>
                <w:sz w:val="20"/>
              </w:rPr>
              <w:t>(15 000)</w:t>
            </w:r>
          </w:p>
        </w:tc>
        <w:tc>
          <w:tcPr>
            <w:tcW w:w="923" w:type="pct"/>
            <w:shd w:val="clear" w:color="auto" w:fill="FFFFFF"/>
            <w:vAlign w:val="center"/>
          </w:tcPr>
          <w:p>
            <w:pPr>
              <w:tabs>
                <w:tab w:val="left" w:pos="1558"/>
              </w:tabs>
              <w:spacing w:after="0" w:line="240" w:lineRule="auto"/>
              <w:ind w:right="143"/>
              <w:jc w:val="right"/>
              <w:rPr>
                <w:rFonts w:cs="Arial"/>
                <w:i/>
                <w:noProof/>
                <w:sz w:val="20"/>
              </w:rPr>
            </w:pPr>
            <w:r>
              <w:rPr>
                <w:i/>
                <w:noProof/>
                <w:sz w:val="20"/>
              </w:rPr>
              <w:t>(15 000)</w:t>
            </w:r>
          </w:p>
        </w:tc>
      </w:tr>
      <w:tr>
        <w:trPr>
          <w:trHeight w:val="227"/>
        </w:trPr>
        <w:tc>
          <w:tcPr>
            <w:tcW w:w="3153" w:type="pct"/>
            <w:shd w:val="clear" w:color="auto" w:fill="FFFFFF"/>
            <w:noWrap/>
            <w:vAlign w:val="center"/>
          </w:tcPr>
          <w:p>
            <w:pPr>
              <w:spacing w:after="0" w:line="240" w:lineRule="auto"/>
              <w:rPr>
                <w:rFonts w:cs="Arial"/>
                <w:noProof/>
                <w:sz w:val="20"/>
                <w:lang w:val="en-IE"/>
              </w:rPr>
            </w:pPr>
          </w:p>
        </w:tc>
        <w:tc>
          <w:tcPr>
            <w:tcW w:w="923" w:type="pct"/>
            <w:shd w:val="clear" w:color="auto" w:fill="FFFFFF"/>
            <w:noWrap/>
            <w:vAlign w:val="center"/>
          </w:tcPr>
          <w:p>
            <w:pPr>
              <w:tabs>
                <w:tab w:val="left" w:pos="1558"/>
              </w:tabs>
              <w:spacing w:after="0" w:line="240" w:lineRule="auto"/>
              <w:ind w:right="143"/>
              <w:jc w:val="right"/>
              <w:rPr>
                <w:rFonts w:cs="Arial"/>
                <w:i/>
                <w:noProof/>
                <w:sz w:val="20"/>
                <w:lang w:val="en-IE" w:eastAsia="ko-KR"/>
              </w:rPr>
            </w:pPr>
          </w:p>
        </w:tc>
        <w:tc>
          <w:tcPr>
            <w:tcW w:w="923" w:type="pct"/>
            <w:shd w:val="clear" w:color="auto" w:fill="FFFFFF"/>
            <w:vAlign w:val="center"/>
          </w:tcPr>
          <w:p>
            <w:pPr>
              <w:tabs>
                <w:tab w:val="left" w:pos="1558"/>
              </w:tabs>
              <w:spacing w:after="0" w:line="240" w:lineRule="auto"/>
              <w:ind w:right="143"/>
              <w:jc w:val="right"/>
              <w:rPr>
                <w:rFonts w:cs="Arial"/>
                <w:i/>
                <w:noProof/>
                <w:sz w:val="20"/>
                <w:lang w:val="en-IE" w:eastAsia="ko-KR"/>
              </w:rPr>
            </w:pPr>
          </w:p>
        </w:tc>
      </w:tr>
      <w:tr>
        <w:trPr>
          <w:trHeight w:val="227"/>
        </w:trPr>
        <w:tc>
          <w:tcPr>
            <w:tcW w:w="3153" w:type="pct"/>
            <w:shd w:val="clear" w:color="auto" w:fill="FFFFFF"/>
            <w:noWrap/>
            <w:vAlign w:val="center"/>
          </w:tcPr>
          <w:p>
            <w:pPr>
              <w:spacing w:after="0" w:line="240" w:lineRule="auto"/>
              <w:rPr>
                <w:rFonts w:cs="Arial"/>
                <w:noProof/>
                <w:sz w:val="20"/>
              </w:rPr>
            </w:pPr>
            <w:r>
              <w:rPr>
                <w:b/>
                <w:bCs/>
                <w:noProof/>
                <w:sz w:val="20"/>
              </w:rPr>
              <w:t>RESULTADO DE EXPLOTACIÓN</w:t>
            </w:r>
          </w:p>
        </w:tc>
        <w:tc>
          <w:tcPr>
            <w:tcW w:w="923" w:type="pct"/>
            <w:shd w:val="clear" w:color="auto" w:fill="FFFFFF"/>
            <w:noWrap/>
            <w:vAlign w:val="center"/>
          </w:tcPr>
          <w:p>
            <w:pPr>
              <w:tabs>
                <w:tab w:val="left" w:pos="1558"/>
              </w:tabs>
              <w:spacing w:after="0" w:line="240" w:lineRule="auto"/>
              <w:ind w:right="143"/>
              <w:jc w:val="right"/>
              <w:rPr>
                <w:rFonts w:cs="Arial"/>
                <w:b/>
                <w:noProof/>
                <w:sz w:val="20"/>
              </w:rPr>
            </w:pPr>
            <w:r>
              <w:rPr>
                <w:b/>
                <w:noProof/>
                <w:sz w:val="20"/>
              </w:rPr>
              <w:t>(15 000)</w:t>
            </w:r>
          </w:p>
        </w:tc>
        <w:tc>
          <w:tcPr>
            <w:tcW w:w="923" w:type="pct"/>
            <w:shd w:val="clear" w:color="auto" w:fill="FFFFFF"/>
            <w:vAlign w:val="center"/>
          </w:tcPr>
          <w:p>
            <w:pPr>
              <w:tabs>
                <w:tab w:val="left" w:pos="1558"/>
              </w:tabs>
              <w:spacing w:after="0" w:line="240" w:lineRule="auto"/>
              <w:ind w:right="143"/>
              <w:jc w:val="right"/>
              <w:rPr>
                <w:rFonts w:cs="Arial"/>
                <w:b/>
                <w:noProof/>
                <w:sz w:val="20"/>
              </w:rPr>
            </w:pPr>
            <w:r>
              <w:rPr>
                <w:b/>
                <w:noProof/>
                <w:sz w:val="20"/>
              </w:rPr>
              <w:t>(15 000)</w:t>
            </w:r>
          </w:p>
        </w:tc>
      </w:tr>
      <w:tr>
        <w:trPr>
          <w:trHeight w:val="227"/>
        </w:trPr>
        <w:tc>
          <w:tcPr>
            <w:tcW w:w="3153" w:type="pct"/>
            <w:shd w:val="clear" w:color="auto" w:fill="FFFFFF"/>
            <w:noWrap/>
            <w:vAlign w:val="center"/>
          </w:tcPr>
          <w:p>
            <w:pPr>
              <w:spacing w:after="0" w:line="240" w:lineRule="auto"/>
              <w:rPr>
                <w:rFonts w:cs="Arial"/>
                <w:noProof/>
                <w:sz w:val="20"/>
                <w:lang w:val="en-IE"/>
              </w:rPr>
            </w:pPr>
          </w:p>
        </w:tc>
        <w:tc>
          <w:tcPr>
            <w:tcW w:w="923" w:type="pct"/>
            <w:shd w:val="clear" w:color="auto" w:fill="FFFFFF"/>
            <w:noWrap/>
            <w:vAlign w:val="center"/>
          </w:tcPr>
          <w:p>
            <w:pPr>
              <w:tabs>
                <w:tab w:val="left" w:pos="1558"/>
              </w:tabs>
              <w:spacing w:after="0" w:line="240" w:lineRule="auto"/>
              <w:ind w:right="143"/>
              <w:jc w:val="right"/>
              <w:rPr>
                <w:rFonts w:cs="Arial"/>
                <w:i/>
                <w:noProof/>
                <w:sz w:val="20"/>
                <w:lang w:val="en-IE" w:eastAsia="ko-KR"/>
              </w:rPr>
            </w:pPr>
          </w:p>
        </w:tc>
        <w:tc>
          <w:tcPr>
            <w:tcW w:w="923" w:type="pct"/>
            <w:shd w:val="clear" w:color="auto" w:fill="FFFFFF"/>
            <w:vAlign w:val="center"/>
          </w:tcPr>
          <w:p>
            <w:pPr>
              <w:tabs>
                <w:tab w:val="left" w:pos="1558"/>
              </w:tabs>
              <w:spacing w:after="0" w:line="240" w:lineRule="auto"/>
              <w:ind w:right="143"/>
              <w:jc w:val="right"/>
              <w:rPr>
                <w:rFonts w:cs="Arial"/>
                <w:i/>
                <w:noProof/>
                <w:sz w:val="20"/>
                <w:lang w:val="en-IE" w:eastAsia="ko-KR"/>
              </w:rPr>
            </w:pPr>
          </w:p>
        </w:tc>
      </w:tr>
      <w:tr>
        <w:trPr>
          <w:trHeight w:val="227"/>
        </w:trPr>
        <w:tc>
          <w:tcPr>
            <w:tcW w:w="3153" w:type="pct"/>
            <w:shd w:val="clear" w:color="auto" w:fill="FFFFFF"/>
            <w:noWrap/>
            <w:vAlign w:val="center"/>
          </w:tcPr>
          <w:p>
            <w:pPr>
              <w:spacing w:after="0" w:line="240" w:lineRule="auto"/>
              <w:rPr>
                <w:rFonts w:eastAsia="Arial Unicode MS" w:cs="Arial"/>
                <w:b/>
                <w:bCs/>
                <w:noProof/>
                <w:sz w:val="20"/>
              </w:rPr>
            </w:pPr>
            <w:r>
              <w:rPr>
                <w:b/>
                <w:bCs/>
                <w:noProof/>
                <w:sz w:val="20"/>
              </w:rPr>
              <w:t xml:space="preserve">Ingresos financieros </w:t>
            </w:r>
          </w:p>
        </w:tc>
        <w:tc>
          <w:tcPr>
            <w:tcW w:w="923" w:type="pct"/>
            <w:shd w:val="clear" w:color="auto" w:fill="FFFFFF"/>
            <w:noWrap/>
            <w:vAlign w:val="center"/>
          </w:tcPr>
          <w:p>
            <w:pPr>
              <w:tabs>
                <w:tab w:val="left" w:pos="1558"/>
              </w:tabs>
              <w:spacing w:after="0" w:line="240" w:lineRule="auto"/>
              <w:ind w:right="143"/>
              <w:jc w:val="right"/>
              <w:rPr>
                <w:rFonts w:eastAsia="Arial Unicode MS" w:cs="Arial"/>
                <w:b/>
                <w:noProof/>
                <w:sz w:val="20"/>
              </w:rPr>
            </w:pPr>
            <w:r>
              <w:rPr>
                <w:b/>
                <w:noProof/>
                <w:sz w:val="20"/>
              </w:rPr>
              <w:t>415 918</w:t>
            </w:r>
          </w:p>
        </w:tc>
        <w:tc>
          <w:tcPr>
            <w:tcW w:w="923" w:type="pct"/>
            <w:shd w:val="clear" w:color="auto" w:fill="FFFFFF"/>
            <w:vAlign w:val="center"/>
          </w:tcPr>
          <w:p>
            <w:pPr>
              <w:tabs>
                <w:tab w:val="left" w:pos="1558"/>
              </w:tabs>
              <w:spacing w:after="0" w:line="240" w:lineRule="auto"/>
              <w:ind w:right="143"/>
              <w:jc w:val="right"/>
              <w:rPr>
                <w:rFonts w:eastAsia="Arial Unicode MS" w:cs="Arial"/>
                <w:b/>
                <w:noProof/>
                <w:sz w:val="20"/>
              </w:rPr>
            </w:pPr>
            <w:r>
              <w:rPr>
                <w:b/>
                <w:noProof/>
                <w:sz w:val="20"/>
              </w:rPr>
              <w:t>188 403</w:t>
            </w:r>
          </w:p>
        </w:tc>
      </w:tr>
      <w:tr>
        <w:trPr>
          <w:trHeight w:val="227"/>
        </w:trPr>
        <w:tc>
          <w:tcPr>
            <w:tcW w:w="3153" w:type="pct"/>
            <w:shd w:val="clear" w:color="auto" w:fill="FFFFFF"/>
            <w:noWrap/>
            <w:vAlign w:val="center"/>
          </w:tcPr>
          <w:p>
            <w:pPr>
              <w:spacing w:after="0" w:line="240" w:lineRule="auto"/>
              <w:rPr>
                <w:rFonts w:eastAsia="Arial Unicode MS" w:cs="Arial"/>
                <w:noProof/>
                <w:sz w:val="20"/>
              </w:rPr>
            </w:pPr>
            <w:r>
              <w:rPr>
                <w:noProof/>
                <w:sz w:val="20"/>
              </w:rPr>
              <w:t>Ingresos por intereses sobre:</w:t>
            </w:r>
          </w:p>
        </w:tc>
        <w:tc>
          <w:tcPr>
            <w:tcW w:w="923" w:type="pct"/>
            <w:shd w:val="clear" w:color="auto" w:fill="FFFFFF"/>
            <w:noWrap/>
            <w:vAlign w:val="center"/>
          </w:tcPr>
          <w:p>
            <w:pPr>
              <w:tabs>
                <w:tab w:val="left" w:pos="1558"/>
              </w:tabs>
              <w:spacing w:after="0" w:line="240" w:lineRule="auto"/>
              <w:ind w:right="143"/>
              <w:jc w:val="right"/>
              <w:rPr>
                <w:rFonts w:eastAsia="Arial Unicode MS" w:cs="Arial"/>
                <w:noProof/>
                <w:sz w:val="20"/>
              </w:rPr>
            </w:pPr>
            <w:r>
              <w:rPr>
                <w:noProof/>
                <w:sz w:val="20"/>
              </w:rPr>
              <w:t>152 600</w:t>
            </w:r>
          </w:p>
        </w:tc>
        <w:tc>
          <w:tcPr>
            <w:tcW w:w="923" w:type="pct"/>
            <w:shd w:val="clear" w:color="auto" w:fill="FFFFFF"/>
            <w:vAlign w:val="center"/>
          </w:tcPr>
          <w:p>
            <w:pPr>
              <w:tabs>
                <w:tab w:val="left" w:pos="1558"/>
              </w:tabs>
              <w:spacing w:after="0" w:line="240" w:lineRule="auto"/>
              <w:ind w:right="143"/>
              <w:jc w:val="right"/>
              <w:rPr>
                <w:rFonts w:eastAsia="Arial Unicode MS" w:cs="Arial"/>
                <w:noProof/>
                <w:sz w:val="20"/>
              </w:rPr>
            </w:pPr>
            <w:r>
              <w:rPr>
                <w:noProof/>
                <w:sz w:val="20"/>
              </w:rPr>
              <w:t>(54 689)</w:t>
            </w:r>
          </w:p>
        </w:tc>
      </w:tr>
      <w:tr>
        <w:trPr>
          <w:trHeight w:val="227"/>
        </w:trPr>
        <w:tc>
          <w:tcPr>
            <w:tcW w:w="3153" w:type="pct"/>
            <w:shd w:val="clear" w:color="auto" w:fill="FFFFFF"/>
            <w:noWrap/>
            <w:vAlign w:val="center"/>
          </w:tcPr>
          <w:p>
            <w:pPr>
              <w:spacing w:after="0" w:line="240" w:lineRule="auto"/>
              <w:rPr>
                <w:rFonts w:eastAsia="Arial Unicode MS" w:cs="Arial"/>
                <w:i/>
                <w:noProof/>
                <w:sz w:val="20"/>
              </w:rPr>
            </w:pPr>
            <w:r>
              <w:rPr>
                <w:i/>
                <w:noProof/>
                <w:sz w:val="20"/>
              </w:rPr>
              <w:t xml:space="preserve">     Efectivo y equivalentes al efectivo</w:t>
            </w:r>
          </w:p>
        </w:tc>
        <w:tc>
          <w:tcPr>
            <w:tcW w:w="923" w:type="pct"/>
            <w:shd w:val="clear" w:color="auto" w:fill="FFFFFF"/>
            <w:noWrap/>
            <w:vAlign w:val="center"/>
          </w:tcPr>
          <w:p>
            <w:pPr>
              <w:tabs>
                <w:tab w:val="left" w:pos="1558"/>
              </w:tabs>
              <w:spacing w:after="0" w:line="240" w:lineRule="auto"/>
              <w:ind w:right="143"/>
              <w:jc w:val="right"/>
              <w:rPr>
                <w:rFonts w:cs="Arial"/>
                <w:i/>
                <w:noProof/>
                <w:sz w:val="20"/>
              </w:rPr>
            </w:pPr>
            <w:r>
              <w:rPr>
                <w:noProof/>
                <w:sz w:val="20"/>
              </w:rPr>
              <w:t>-</w:t>
            </w:r>
          </w:p>
        </w:tc>
        <w:tc>
          <w:tcPr>
            <w:tcW w:w="923" w:type="pct"/>
            <w:shd w:val="clear" w:color="auto" w:fill="FFFFFF"/>
            <w:vAlign w:val="center"/>
          </w:tcPr>
          <w:p>
            <w:pPr>
              <w:tabs>
                <w:tab w:val="left" w:pos="1558"/>
              </w:tabs>
              <w:spacing w:after="0" w:line="240" w:lineRule="auto"/>
              <w:ind w:right="143"/>
              <w:jc w:val="right"/>
              <w:rPr>
                <w:rFonts w:cs="Arial"/>
                <w:i/>
                <w:noProof/>
                <w:sz w:val="20"/>
              </w:rPr>
            </w:pPr>
            <w:r>
              <w:rPr>
                <w:noProof/>
                <w:sz w:val="20"/>
              </w:rPr>
              <w:t>-</w:t>
            </w:r>
          </w:p>
        </w:tc>
      </w:tr>
      <w:tr>
        <w:trPr>
          <w:trHeight w:val="227"/>
        </w:trPr>
        <w:tc>
          <w:tcPr>
            <w:tcW w:w="3153" w:type="pct"/>
            <w:shd w:val="clear" w:color="auto" w:fill="FFFFFF"/>
            <w:noWrap/>
            <w:vAlign w:val="center"/>
          </w:tcPr>
          <w:p>
            <w:pPr>
              <w:spacing w:after="0" w:line="240" w:lineRule="auto"/>
              <w:rPr>
                <w:rFonts w:cs="Arial"/>
                <w:i/>
                <w:noProof/>
                <w:sz w:val="20"/>
              </w:rPr>
            </w:pPr>
            <w:r>
              <w:rPr>
                <w:i/>
                <w:noProof/>
                <w:sz w:val="20"/>
              </w:rPr>
              <w:t xml:space="preserve">     Activos realizables</w:t>
            </w:r>
          </w:p>
        </w:tc>
        <w:tc>
          <w:tcPr>
            <w:tcW w:w="923" w:type="pct"/>
            <w:shd w:val="clear" w:color="auto" w:fill="FFFFFF"/>
            <w:noWrap/>
            <w:vAlign w:val="center"/>
          </w:tcPr>
          <w:p>
            <w:pPr>
              <w:tabs>
                <w:tab w:val="left" w:pos="1558"/>
              </w:tabs>
              <w:spacing w:after="0" w:line="240" w:lineRule="auto"/>
              <w:ind w:right="143"/>
              <w:jc w:val="right"/>
              <w:rPr>
                <w:rFonts w:cs="Arial"/>
                <w:i/>
                <w:noProof/>
                <w:sz w:val="20"/>
              </w:rPr>
            </w:pPr>
            <w:r>
              <w:rPr>
                <w:i/>
                <w:noProof/>
                <w:sz w:val="20"/>
              </w:rPr>
              <w:t>152 600</w:t>
            </w:r>
          </w:p>
        </w:tc>
        <w:tc>
          <w:tcPr>
            <w:tcW w:w="923" w:type="pct"/>
            <w:shd w:val="clear" w:color="auto" w:fill="FFFFFF"/>
            <w:vAlign w:val="center"/>
          </w:tcPr>
          <w:p>
            <w:pPr>
              <w:tabs>
                <w:tab w:val="left" w:pos="1558"/>
              </w:tabs>
              <w:spacing w:after="0" w:line="240" w:lineRule="auto"/>
              <w:ind w:right="143"/>
              <w:jc w:val="right"/>
              <w:rPr>
                <w:rFonts w:cs="Arial"/>
                <w:i/>
                <w:noProof/>
                <w:sz w:val="20"/>
              </w:rPr>
            </w:pPr>
            <w:r>
              <w:rPr>
                <w:i/>
                <w:noProof/>
                <w:sz w:val="20"/>
              </w:rPr>
              <w:t>(54 689)</w:t>
            </w:r>
          </w:p>
        </w:tc>
      </w:tr>
      <w:tr>
        <w:trPr>
          <w:trHeight w:val="227"/>
        </w:trPr>
        <w:tc>
          <w:tcPr>
            <w:tcW w:w="3153" w:type="pct"/>
            <w:shd w:val="clear" w:color="auto" w:fill="FFFFFF"/>
            <w:noWrap/>
            <w:vAlign w:val="center"/>
          </w:tcPr>
          <w:p>
            <w:pPr>
              <w:spacing w:after="0" w:line="240" w:lineRule="auto"/>
              <w:ind w:firstLine="284"/>
              <w:rPr>
                <w:rFonts w:cs="Arial"/>
                <w:i/>
                <w:noProof/>
                <w:sz w:val="20"/>
              </w:rPr>
            </w:pPr>
            <w:r>
              <w:rPr>
                <w:i/>
                <w:noProof/>
                <w:sz w:val="20"/>
              </w:rPr>
              <w:t>Otros ingresos por intereses</w:t>
            </w:r>
          </w:p>
        </w:tc>
        <w:tc>
          <w:tcPr>
            <w:tcW w:w="923" w:type="pct"/>
            <w:shd w:val="clear" w:color="auto" w:fill="FFFFFF"/>
            <w:noWrap/>
            <w:vAlign w:val="center"/>
          </w:tcPr>
          <w:p>
            <w:pPr>
              <w:tabs>
                <w:tab w:val="left" w:pos="1558"/>
              </w:tabs>
              <w:spacing w:after="0" w:line="240" w:lineRule="auto"/>
              <w:ind w:right="143"/>
              <w:jc w:val="right"/>
              <w:rPr>
                <w:rFonts w:cs="Arial"/>
                <w:i/>
                <w:noProof/>
                <w:sz w:val="20"/>
              </w:rPr>
            </w:pPr>
            <w:r>
              <w:rPr>
                <w:i/>
                <w:noProof/>
                <w:sz w:val="20"/>
              </w:rPr>
              <w:t>-</w:t>
            </w:r>
          </w:p>
        </w:tc>
        <w:tc>
          <w:tcPr>
            <w:tcW w:w="923" w:type="pct"/>
            <w:shd w:val="clear" w:color="auto" w:fill="FFFFFF"/>
            <w:vAlign w:val="center"/>
          </w:tcPr>
          <w:p>
            <w:pPr>
              <w:tabs>
                <w:tab w:val="left" w:pos="1558"/>
              </w:tabs>
              <w:spacing w:after="0" w:line="240" w:lineRule="auto"/>
              <w:ind w:right="143"/>
              <w:jc w:val="right"/>
              <w:rPr>
                <w:rFonts w:cs="Arial"/>
                <w:i/>
                <w:noProof/>
                <w:sz w:val="20"/>
              </w:rPr>
            </w:pPr>
            <w:r>
              <w:rPr>
                <w:i/>
                <w:noProof/>
                <w:sz w:val="20"/>
              </w:rPr>
              <w:t>-</w:t>
            </w:r>
          </w:p>
        </w:tc>
      </w:tr>
      <w:tr>
        <w:trPr>
          <w:trHeight w:val="227"/>
        </w:trPr>
        <w:tc>
          <w:tcPr>
            <w:tcW w:w="3153" w:type="pct"/>
            <w:shd w:val="clear" w:color="auto" w:fill="FFFFFF"/>
            <w:noWrap/>
            <w:vAlign w:val="center"/>
          </w:tcPr>
          <w:p>
            <w:pPr>
              <w:spacing w:after="0" w:line="240" w:lineRule="auto"/>
              <w:rPr>
                <w:rFonts w:cs="Arial"/>
                <w:i/>
                <w:noProof/>
                <w:sz w:val="20"/>
              </w:rPr>
            </w:pPr>
            <w:r>
              <w:rPr>
                <w:noProof/>
                <w:sz w:val="20"/>
              </w:rPr>
              <w:t>Ganancias realizadas por la venta de activos realizables</w:t>
            </w:r>
          </w:p>
        </w:tc>
        <w:tc>
          <w:tcPr>
            <w:tcW w:w="923" w:type="pct"/>
            <w:shd w:val="clear" w:color="auto" w:fill="FFFFFF"/>
            <w:noWrap/>
            <w:vAlign w:val="center"/>
          </w:tcPr>
          <w:p>
            <w:pPr>
              <w:tabs>
                <w:tab w:val="left" w:pos="1558"/>
              </w:tabs>
              <w:spacing w:after="0" w:line="240" w:lineRule="auto"/>
              <w:ind w:right="143"/>
              <w:jc w:val="right"/>
              <w:rPr>
                <w:rFonts w:cs="Arial"/>
                <w:i/>
                <w:noProof/>
                <w:sz w:val="20"/>
              </w:rPr>
            </w:pPr>
            <w:r>
              <w:rPr>
                <w:noProof/>
                <w:sz w:val="20"/>
              </w:rPr>
              <w:t>250 985</w:t>
            </w:r>
          </w:p>
        </w:tc>
        <w:tc>
          <w:tcPr>
            <w:tcW w:w="923" w:type="pct"/>
            <w:shd w:val="clear" w:color="auto" w:fill="FFFFFF"/>
            <w:vAlign w:val="center"/>
          </w:tcPr>
          <w:p>
            <w:pPr>
              <w:tabs>
                <w:tab w:val="left" w:pos="1558"/>
              </w:tabs>
              <w:spacing w:after="0" w:line="240" w:lineRule="auto"/>
              <w:ind w:right="143"/>
              <w:jc w:val="right"/>
              <w:rPr>
                <w:rFonts w:cs="Arial"/>
                <w:i/>
                <w:noProof/>
                <w:sz w:val="20"/>
              </w:rPr>
            </w:pPr>
            <w:r>
              <w:rPr>
                <w:noProof/>
                <w:sz w:val="20"/>
              </w:rPr>
              <w:t>240 839</w:t>
            </w:r>
          </w:p>
        </w:tc>
      </w:tr>
      <w:tr>
        <w:trPr>
          <w:trHeight w:val="227"/>
        </w:trPr>
        <w:tc>
          <w:tcPr>
            <w:tcW w:w="3153" w:type="pct"/>
            <w:shd w:val="clear" w:color="auto" w:fill="FFFFFF"/>
            <w:noWrap/>
            <w:vAlign w:val="center"/>
          </w:tcPr>
          <w:p>
            <w:pPr>
              <w:spacing w:after="0" w:line="240" w:lineRule="auto"/>
              <w:rPr>
                <w:rFonts w:cs="Arial"/>
                <w:i/>
                <w:noProof/>
                <w:sz w:val="20"/>
              </w:rPr>
            </w:pPr>
            <w:r>
              <w:rPr>
                <w:bCs/>
                <w:noProof/>
                <w:sz w:val="20"/>
              </w:rPr>
              <w:t>Ingresos por préstamos de valores</w:t>
            </w:r>
          </w:p>
        </w:tc>
        <w:tc>
          <w:tcPr>
            <w:tcW w:w="923" w:type="pct"/>
            <w:shd w:val="clear" w:color="auto" w:fill="FFFFFF"/>
            <w:noWrap/>
            <w:vAlign w:val="center"/>
          </w:tcPr>
          <w:p>
            <w:pPr>
              <w:tabs>
                <w:tab w:val="left" w:pos="1558"/>
              </w:tabs>
              <w:spacing w:after="0" w:line="240" w:lineRule="auto"/>
              <w:ind w:right="143"/>
              <w:jc w:val="right"/>
              <w:rPr>
                <w:rFonts w:cs="Arial"/>
                <w:i/>
                <w:noProof/>
                <w:sz w:val="20"/>
              </w:rPr>
            </w:pPr>
            <w:r>
              <w:rPr>
                <w:noProof/>
                <w:sz w:val="20"/>
              </w:rPr>
              <w:t>12 333</w:t>
            </w:r>
          </w:p>
        </w:tc>
        <w:tc>
          <w:tcPr>
            <w:tcW w:w="923" w:type="pct"/>
            <w:shd w:val="clear" w:color="auto" w:fill="FFFFFF"/>
            <w:vAlign w:val="center"/>
          </w:tcPr>
          <w:p>
            <w:pPr>
              <w:tabs>
                <w:tab w:val="left" w:pos="1558"/>
              </w:tabs>
              <w:spacing w:after="0" w:line="240" w:lineRule="auto"/>
              <w:ind w:right="143"/>
              <w:jc w:val="right"/>
              <w:rPr>
                <w:rFonts w:cs="Arial"/>
                <w:i/>
                <w:noProof/>
                <w:sz w:val="20"/>
              </w:rPr>
            </w:pPr>
            <w:r>
              <w:rPr>
                <w:noProof/>
                <w:sz w:val="20"/>
              </w:rPr>
              <w:t>2 253</w:t>
            </w:r>
          </w:p>
        </w:tc>
      </w:tr>
      <w:tr>
        <w:trPr>
          <w:trHeight w:val="227"/>
        </w:trPr>
        <w:tc>
          <w:tcPr>
            <w:tcW w:w="3153" w:type="pct"/>
            <w:shd w:val="clear" w:color="auto" w:fill="FFFFFF"/>
            <w:noWrap/>
            <w:vAlign w:val="center"/>
          </w:tcPr>
          <w:p>
            <w:pPr>
              <w:spacing w:after="0" w:line="240" w:lineRule="auto"/>
              <w:rPr>
                <w:rFonts w:cs="Arial"/>
                <w:i/>
                <w:noProof/>
                <w:sz w:val="20"/>
                <w:lang w:val="en-IE"/>
              </w:rPr>
            </w:pPr>
          </w:p>
        </w:tc>
        <w:tc>
          <w:tcPr>
            <w:tcW w:w="923" w:type="pct"/>
            <w:shd w:val="clear" w:color="auto" w:fill="FFFFFF"/>
            <w:noWrap/>
            <w:vAlign w:val="center"/>
          </w:tcPr>
          <w:p>
            <w:pPr>
              <w:tabs>
                <w:tab w:val="left" w:pos="1558"/>
              </w:tabs>
              <w:spacing w:after="0" w:line="240" w:lineRule="auto"/>
              <w:ind w:right="143"/>
              <w:jc w:val="right"/>
              <w:rPr>
                <w:rFonts w:cs="Arial"/>
                <w:i/>
                <w:noProof/>
                <w:sz w:val="20"/>
                <w:lang w:val="en-IE" w:eastAsia="ko-KR"/>
              </w:rPr>
            </w:pPr>
          </w:p>
        </w:tc>
        <w:tc>
          <w:tcPr>
            <w:tcW w:w="923" w:type="pct"/>
            <w:shd w:val="clear" w:color="auto" w:fill="FFFFFF"/>
            <w:vAlign w:val="center"/>
          </w:tcPr>
          <w:p>
            <w:pPr>
              <w:tabs>
                <w:tab w:val="left" w:pos="1558"/>
              </w:tabs>
              <w:spacing w:after="0" w:line="240" w:lineRule="auto"/>
              <w:ind w:right="143"/>
              <w:jc w:val="right"/>
              <w:rPr>
                <w:rFonts w:cs="Arial"/>
                <w:i/>
                <w:noProof/>
                <w:sz w:val="20"/>
                <w:lang w:val="en-IE" w:eastAsia="ko-KR"/>
              </w:rPr>
            </w:pPr>
          </w:p>
        </w:tc>
      </w:tr>
      <w:tr>
        <w:trPr>
          <w:trHeight w:val="227"/>
        </w:trPr>
        <w:tc>
          <w:tcPr>
            <w:tcW w:w="3153" w:type="pct"/>
            <w:shd w:val="clear" w:color="auto" w:fill="FFFFFF"/>
            <w:noWrap/>
            <w:vAlign w:val="center"/>
          </w:tcPr>
          <w:p>
            <w:pPr>
              <w:spacing w:after="0" w:line="240" w:lineRule="auto"/>
              <w:rPr>
                <w:rFonts w:eastAsia="Arial Unicode MS" w:cs="Arial"/>
                <w:b/>
                <w:bCs/>
                <w:noProof/>
                <w:sz w:val="20"/>
              </w:rPr>
            </w:pPr>
            <w:r>
              <w:rPr>
                <w:b/>
                <w:bCs/>
                <w:noProof/>
                <w:sz w:val="20"/>
              </w:rPr>
              <w:t xml:space="preserve">Cargas financieras </w:t>
            </w:r>
          </w:p>
        </w:tc>
        <w:tc>
          <w:tcPr>
            <w:tcW w:w="923" w:type="pct"/>
            <w:shd w:val="clear" w:color="auto" w:fill="FFFFFF"/>
            <w:noWrap/>
            <w:vAlign w:val="center"/>
          </w:tcPr>
          <w:p>
            <w:pPr>
              <w:tabs>
                <w:tab w:val="left" w:pos="1558"/>
              </w:tabs>
              <w:spacing w:after="0" w:line="240" w:lineRule="auto"/>
              <w:ind w:right="143"/>
              <w:jc w:val="right"/>
              <w:rPr>
                <w:rFonts w:eastAsia="Arial Unicode MS" w:cs="Arial"/>
                <w:b/>
                <w:noProof/>
                <w:sz w:val="20"/>
              </w:rPr>
            </w:pPr>
            <w:r>
              <w:rPr>
                <w:b/>
                <w:noProof/>
                <w:sz w:val="20"/>
              </w:rPr>
              <w:t>(1 024 364)</w:t>
            </w:r>
          </w:p>
        </w:tc>
        <w:tc>
          <w:tcPr>
            <w:tcW w:w="923" w:type="pct"/>
            <w:shd w:val="clear" w:color="auto" w:fill="FFFFFF"/>
            <w:vAlign w:val="center"/>
          </w:tcPr>
          <w:p>
            <w:pPr>
              <w:tabs>
                <w:tab w:val="left" w:pos="1558"/>
              </w:tabs>
              <w:spacing w:after="0" w:line="240" w:lineRule="auto"/>
              <w:ind w:right="143"/>
              <w:jc w:val="right"/>
              <w:rPr>
                <w:rFonts w:eastAsia="Arial Unicode MS" w:cs="Arial"/>
                <w:b/>
                <w:noProof/>
                <w:sz w:val="20"/>
              </w:rPr>
            </w:pPr>
            <w:r>
              <w:rPr>
                <w:b/>
                <w:noProof/>
                <w:sz w:val="20"/>
              </w:rPr>
              <w:t>(448 536)</w:t>
            </w:r>
          </w:p>
        </w:tc>
      </w:tr>
      <w:tr>
        <w:trPr>
          <w:trHeight w:val="227"/>
        </w:trPr>
        <w:tc>
          <w:tcPr>
            <w:tcW w:w="3153" w:type="pct"/>
            <w:shd w:val="clear" w:color="auto" w:fill="FFFFFF"/>
            <w:noWrap/>
            <w:vAlign w:val="center"/>
          </w:tcPr>
          <w:p>
            <w:pPr>
              <w:spacing w:after="0" w:line="240" w:lineRule="auto"/>
              <w:rPr>
                <w:rFonts w:cs="Arial"/>
                <w:bCs/>
                <w:noProof/>
                <w:sz w:val="20"/>
              </w:rPr>
            </w:pPr>
            <w:r>
              <w:rPr>
                <w:noProof/>
                <w:sz w:val="20"/>
              </w:rPr>
              <w:t>Gastos por intereses del efectivo y equivalentes al efectivo</w:t>
            </w:r>
          </w:p>
        </w:tc>
        <w:tc>
          <w:tcPr>
            <w:tcW w:w="923" w:type="pct"/>
            <w:shd w:val="clear" w:color="auto" w:fill="FFFFFF"/>
            <w:noWrap/>
            <w:vAlign w:val="center"/>
          </w:tcPr>
          <w:p>
            <w:pPr>
              <w:tabs>
                <w:tab w:val="left" w:pos="1558"/>
              </w:tabs>
              <w:spacing w:after="0" w:line="240" w:lineRule="auto"/>
              <w:ind w:right="143"/>
              <w:jc w:val="right"/>
              <w:rPr>
                <w:rFonts w:cs="Arial"/>
                <w:noProof/>
                <w:sz w:val="20"/>
              </w:rPr>
            </w:pPr>
            <w:r>
              <w:rPr>
                <w:noProof/>
                <w:sz w:val="20"/>
              </w:rPr>
              <w:t>(197 065)</w:t>
            </w:r>
          </w:p>
        </w:tc>
        <w:tc>
          <w:tcPr>
            <w:tcW w:w="923" w:type="pct"/>
            <w:shd w:val="clear" w:color="auto" w:fill="FFFFFF"/>
            <w:vAlign w:val="center"/>
          </w:tcPr>
          <w:p>
            <w:pPr>
              <w:tabs>
                <w:tab w:val="left" w:pos="1558"/>
              </w:tabs>
              <w:spacing w:after="0" w:line="240" w:lineRule="auto"/>
              <w:ind w:right="143"/>
              <w:jc w:val="right"/>
              <w:rPr>
                <w:rFonts w:cs="Arial"/>
                <w:b/>
                <w:noProof/>
                <w:sz w:val="20"/>
              </w:rPr>
            </w:pPr>
            <w:r>
              <w:rPr>
                <w:noProof/>
                <w:sz w:val="20"/>
              </w:rPr>
              <w:t>(404 272)</w:t>
            </w:r>
          </w:p>
        </w:tc>
      </w:tr>
      <w:tr>
        <w:trPr>
          <w:trHeight w:val="227"/>
        </w:trPr>
        <w:tc>
          <w:tcPr>
            <w:tcW w:w="3153" w:type="pct"/>
            <w:shd w:val="clear" w:color="auto" w:fill="FFFFFF"/>
            <w:noWrap/>
            <w:vAlign w:val="center"/>
          </w:tcPr>
          <w:p>
            <w:pPr>
              <w:spacing w:after="0" w:line="240" w:lineRule="auto"/>
              <w:rPr>
                <w:rFonts w:cs="Arial"/>
                <w:b/>
                <w:bCs/>
                <w:noProof/>
                <w:sz w:val="20"/>
              </w:rPr>
            </w:pPr>
            <w:r>
              <w:rPr>
                <w:bCs/>
                <w:noProof/>
                <w:sz w:val="20"/>
              </w:rPr>
              <w:t>Pérdidas realizadas por la venta de activos realizables</w:t>
            </w:r>
          </w:p>
        </w:tc>
        <w:tc>
          <w:tcPr>
            <w:tcW w:w="923" w:type="pct"/>
            <w:shd w:val="clear" w:color="auto" w:fill="FFFFFF"/>
            <w:noWrap/>
            <w:vAlign w:val="center"/>
          </w:tcPr>
          <w:p>
            <w:pPr>
              <w:tabs>
                <w:tab w:val="left" w:pos="1558"/>
              </w:tabs>
              <w:spacing w:after="0" w:line="240" w:lineRule="auto"/>
              <w:ind w:right="143"/>
              <w:jc w:val="right"/>
              <w:rPr>
                <w:rFonts w:cs="Arial"/>
                <w:noProof/>
                <w:sz w:val="20"/>
              </w:rPr>
            </w:pPr>
            <w:r>
              <w:rPr>
                <w:noProof/>
                <w:sz w:val="20"/>
              </w:rPr>
              <w:t>(727 658)</w:t>
            </w:r>
          </w:p>
        </w:tc>
        <w:tc>
          <w:tcPr>
            <w:tcW w:w="923" w:type="pct"/>
            <w:shd w:val="clear" w:color="auto" w:fill="FFFFFF"/>
            <w:vAlign w:val="center"/>
          </w:tcPr>
          <w:p>
            <w:pPr>
              <w:tabs>
                <w:tab w:val="left" w:pos="1558"/>
              </w:tabs>
              <w:spacing w:after="0" w:line="240" w:lineRule="auto"/>
              <w:ind w:right="143"/>
              <w:jc w:val="right"/>
              <w:rPr>
                <w:rFonts w:cs="Arial"/>
                <w:noProof/>
                <w:sz w:val="20"/>
              </w:rPr>
            </w:pPr>
            <w:r>
              <w:rPr>
                <w:noProof/>
                <w:sz w:val="20"/>
              </w:rPr>
              <w:t>(15)</w:t>
            </w:r>
          </w:p>
        </w:tc>
      </w:tr>
      <w:tr>
        <w:trPr>
          <w:trHeight w:val="227"/>
        </w:trPr>
        <w:tc>
          <w:tcPr>
            <w:tcW w:w="3153" w:type="pct"/>
            <w:shd w:val="clear" w:color="auto" w:fill="FFFFFF"/>
            <w:noWrap/>
            <w:vAlign w:val="center"/>
          </w:tcPr>
          <w:p>
            <w:pPr>
              <w:spacing w:after="0" w:line="240" w:lineRule="auto"/>
              <w:rPr>
                <w:rFonts w:cs="Arial"/>
                <w:bCs/>
                <w:noProof/>
                <w:sz w:val="20"/>
              </w:rPr>
            </w:pPr>
            <w:r>
              <w:rPr>
                <w:bCs/>
                <w:noProof/>
                <w:sz w:val="20"/>
              </w:rPr>
              <w:t>Derechos de custodia y otros gastos financieros</w:t>
            </w:r>
          </w:p>
        </w:tc>
        <w:tc>
          <w:tcPr>
            <w:tcW w:w="923" w:type="pct"/>
            <w:shd w:val="clear" w:color="auto" w:fill="FFFFFF"/>
            <w:noWrap/>
            <w:vAlign w:val="center"/>
          </w:tcPr>
          <w:p>
            <w:pPr>
              <w:tabs>
                <w:tab w:val="left" w:pos="1558"/>
              </w:tabs>
              <w:spacing w:after="0" w:line="240" w:lineRule="auto"/>
              <w:ind w:right="143"/>
              <w:jc w:val="right"/>
              <w:rPr>
                <w:rFonts w:cs="Arial"/>
                <w:noProof/>
                <w:sz w:val="20"/>
              </w:rPr>
            </w:pPr>
            <w:r>
              <w:rPr>
                <w:noProof/>
                <w:sz w:val="20"/>
              </w:rPr>
              <w:t>(99 641)</w:t>
            </w:r>
          </w:p>
        </w:tc>
        <w:tc>
          <w:tcPr>
            <w:tcW w:w="923" w:type="pct"/>
            <w:shd w:val="clear" w:color="auto" w:fill="FFFFFF"/>
            <w:vAlign w:val="center"/>
          </w:tcPr>
          <w:p>
            <w:pPr>
              <w:tabs>
                <w:tab w:val="left" w:pos="1558"/>
              </w:tabs>
              <w:spacing w:after="0" w:line="240" w:lineRule="auto"/>
              <w:ind w:right="143"/>
              <w:jc w:val="right"/>
              <w:rPr>
                <w:rFonts w:cs="Arial"/>
                <w:noProof/>
                <w:sz w:val="20"/>
              </w:rPr>
            </w:pPr>
            <w:r>
              <w:rPr>
                <w:noProof/>
                <w:sz w:val="20"/>
              </w:rPr>
              <w:t>(44 249)</w:t>
            </w:r>
          </w:p>
        </w:tc>
      </w:tr>
      <w:tr>
        <w:trPr>
          <w:trHeight w:val="227"/>
        </w:trPr>
        <w:tc>
          <w:tcPr>
            <w:tcW w:w="3153" w:type="pct"/>
            <w:shd w:val="clear" w:color="auto" w:fill="FFFFFF"/>
            <w:noWrap/>
            <w:vAlign w:val="center"/>
          </w:tcPr>
          <w:p>
            <w:pPr>
              <w:spacing w:after="0" w:line="240" w:lineRule="auto"/>
              <w:rPr>
                <w:rFonts w:cs="Arial"/>
                <w:bCs/>
                <w:noProof/>
                <w:sz w:val="20"/>
                <w:lang w:val="en-IE"/>
              </w:rPr>
            </w:pPr>
          </w:p>
        </w:tc>
        <w:tc>
          <w:tcPr>
            <w:tcW w:w="923" w:type="pct"/>
            <w:shd w:val="clear" w:color="auto" w:fill="FFFFFF"/>
            <w:noWrap/>
            <w:vAlign w:val="center"/>
          </w:tcPr>
          <w:p>
            <w:pPr>
              <w:tabs>
                <w:tab w:val="left" w:pos="1558"/>
              </w:tabs>
              <w:spacing w:after="0" w:line="240" w:lineRule="auto"/>
              <w:ind w:right="143"/>
              <w:jc w:val="right"/>
              <w:rPr>
                <w:rFonts w:cs="Arial"/>
                <w:noProof/>
                <w:sz w:val="20"/>
                <w:lang w:val="en-IE" w:eastAsia="ko-KR"/>
              </w:rPr>
            </w:pPr>
          </w:p>
        </w:tc>
        <w:tc>
          <w:tcPr>
            <w:tcW w:w="923" w:type="pct"/>
            <w:shd w:val="clear" w:color="auto" w:fill="FFFFFF"/>
            <w:vAlign w:val="center"/>
          </w:tcPr>
          <w:p>
            <w:pPr>
              <w:tabs>
                <w:tab w:val="left" w:pos="1558"/>
              </w:tabs>
              <w:spacing w:after="0" w:line="240" w:lineRule="auto"/>
              <w:ind w:right="143"/>
              <w:jc w:val="right"/>
              <w:rPr>
                <w:rFonts w:cs="Arial"/>
                <w:noProof/>
                <w:sz w:val="20"/>
                <w:lang w:val="en-IE" w:eastAsia="ko-KR"/>
              </w:rPr>
            </w:pPr>
          </w:p>
        </w:tc>
      </w:tr>
      <w:tr>
        <w:trPr>
          <w:trHeight w:val="227"/>
        </w:trPr>
        <w:tc>
          <w:tcPr>
            <w:tcW w:w="3153" w:type="pct"/>
            <w:shd w:val="clear" w:color="auto" w:fill="FFFFFF"/>
            <w:noWrap/>
            <w:vAlign w:val="center"/>
          </w:tcPr>
          <w:p>
            <w:pPr>
              <w:spacing w:after="0" w:line="240" w:lineRule="auto"/>
              <w:rPr>
                <w:rFonts w:cs="Arial"/>
                <w:b/>
                <w:bCs/>
                <w:noProof/>
                <w:sz w:val="20"/>
              </w:rPr>
            </w:pPr>
            <w:r>
              <w:rPr>
                <w:b/>
                <w:bCs/>
                <w:noProof/>
                <w:sz w:val="20"/>
              </w:rPr>
              <w:t>RESULTADO FINANCIERO</w:t>
            </w:r>
          </w:p>
        </w:tc>
        <w:tc>
          <w:tcPr>
            <w:tcW w:w="923" w:type="pct"/>
            <w:shd w:val="clear" w:color="auto" w:fill="FFFFFF"/>
            <w:noWrap/>
            <w:vAlign w:val="center"/>
          </w:tcPr>
          <w:p>
            <w:pPr>
              <w:tabs>
                <w:tab w:val="left" w:pos="1558"/>
              </w:tabs>
              <w:spacing w:after="0" w:line="240" w:lineRule="auto"/>
              <w:ind w:right="143"/>
              <w:jc w:val="right"/>
              <w:rPr>
                <w:rFonts w:eastAsia="Arial Unicode MS" w:cs="Arial"/>
                <w:b/>
                <w:noProof/>
                <w:sz w:val="20"/>
              </w:rPr>
            </w:pPr>
            <w:r>
              <w:rPr>
                <w:b/>
                <w:noProof/>
                <w:sz w:val="20"/>
              </w:rPr>
              <w:t>(608 446)</w:t>
            </w:r>
          </w:p>
        </w:tc>
        <w:tc>
          <w:tcPr>
            <w:tcW w:w="923" w:type="pct"/>
            <w:shd w:val="clear" w:color="auto" w:fill="FFFFFF"/>
            <w:vAlign w:val="center"/>
          </w:tcPr>
          <w:p>
            <w:pPr>
              <w:tabs>
                <w:tab w:val="left" w:pos="1558"/>
              </w:tabs>
              <w:spacing w:after="0" w:line="240" w:lineRule="auto"/>
              <w:ind w:right="143"/>
              <w:jc w:val="right"/>
              <w:rPr>
                <w:rFonts w:eastAsia="Arial Unicode MS" w:cs="Arial"/>
                <w:b/>
                <w:noProof/>
                <w:sz w:val="20"/>
              </w:rPr>
            </w:pPr>
            <w:r>
              <w:rPr>
                <w:b/>
                <w:noProof/>
                <w:sz w:val="20"/>
              </w:rPr>
              <w:t>(260 133)</w:t>
            </w:r>
          </w:p>
        </w:tc>
      </w:tr>
      <w:tr>
        <w:trPr>
          <w:trHeight w:val="227"/>
        </w:trPr>
        <w:tc>
          <w:tcPr>
            <w:tcW w:w="3153" w:type="pct"/>
            <w:shd w:val="clear" w:color="auto" w:fill="FFFFFF"/>
            <w:noWrap/>
            <w:vAlign w:val="center"/>
          </w:tcPr>
          <w:p>
            <w:pPr>
              <w:spacing w:after="0" w:line="240" w:lineRule="auto"/>
              <w:rPr>
                <w:rFonts w:cs="Arial"/>
                <w:noProof/>
                <w:sz w:val="20"/>
                <w:lang w:val="en-IE"/>
              </w:rPr>
            </w:pPr>
          </w:p>
        </w:tc>
        <w:tc>
          <w:tcPr>
            <w:tcW w:w="923" w:type="pct"/>
            <w:shd w:val="clear" w:color="auto" w:fill="FFFFFF"/>
            <w:noWrap/>
            <w:vAlign w:val="center"/>
          </w:tcPr>
          <w:p>
            <w:pPr>
              <w:tabs>
                <w:tab w:val="left" w:pos="1558"/>
              </w:tabs>
              <w:spacing w:after="0" w:line="240" w:lineRule="auto"/>
              <w:ind w:right="143"/>
              <w:jc w:val="right"/>
              <w:rPr>
                <w:rFonts w:cs="Arial"/>
                <w:noProof/>
                <w:sz w:val="20"/>
                <w:lang w:val="en-IE"/>
              </w:rPr>
            </w:pPr>
          </w:p>
        </w:tc>
        <w:tc>
          <w:tcPr>
            <w:tcW w:w="923" w:type="pct"/>
            <w:shd w:val="clear" w:color="auto" w:fill="FFFFFF"/>
            <w:vAlign w:val="center"/>
          </w:tcPr>
          <w:p>
            <w:pPr>
              <w:tabs>
                <w:tab w:val="left" w:pos="1558"/>
              </w:tabs>
              <w:spacing w:after="0" w:line="240" w:lineRule="auto"/>
              <w:ind w:right="143"/>
              <w:jc w:val="right"/>
              <w:rPr>
                <w:rFonts w:cs="Arial"/>
                <w:noProof/>
                <w:sz w:val="20"/>
                <w:lang w:val="en-IE"/>
              </w:rPr>
            </w:pPr>
          </w:p>
        </w:tc>
      </w:tr>
      <w:tr>
        <w:trPr>
          <w:trHeight w:val="227"/>
        </w:trPr>
        <w:tc>
          <w:tcPr>
            <w:tcW w:w="3153" w:type="pct"/>
            <w:shd w:val="clear" w:color="auto" w:fill="FFFFFF"/>
            <w:noWrap/>
            <w:vAlign w:val="center"/>
          </w:tcPr>
          <w:p>
            <w:pPr>
              <w:spacing w:after="0" w:line="240" w:lineRule="auto"/>
              <w:rPr>
                <w:rFonts w:eastAsia="Arial Unicode MS" w:cs="Arial"/>
                <w:b/>
                <w:bCs/>
                <w:noProof/>
                <w:sz w:val="20"/>
              </w:rPr>
            </w:pPr>
            <w:r>
              <w:rPr>
                <w:b/>
                <w:bCs/>
                <w:noProof/>
                <w:sz w:val="20"/>
              </w:rPr>
              <w:t>RESULTADO ECONÓMICO DEL EJERCICIO</w:t>
            </w:r>
          </w:p>
        </w:tc>
        <w:tc>
          <w:tcPr>
            <w:tcW w:w="923" w:type="pct"/>
            <w:shd w:val="clear" w:color="auto" w:fill="FFFFFF"/>
            <w:noWrap/>
            <w:vAlign w:val="center"/>
          </w:tcPr>
          <w:p>
            <w:pPr>
              <w:tabs>
                <w:tab w:val="left" w:pos="1558"/>
              </w:tabs>
              <w:spacing w:after="0" w:line="240" w:lineRule="auto"/>
              <w:ind w:right="143"/>
              <w:jc w:val="right"/>
              <w:rPr>
                <w:rFonts w:cs="Arial"/>
                <w:b/>
                <w:noProof/>
                <w:sz w:val="20"/>
                <w:highlight w:val="yellow"/>
              </w:rPr>
            </w:pPr>
            <w:r>
              <w:rPr>
                <w:b/>
                <w:noProof/>
                <w:sz w:val="20"/>
              </w:rPr>
              <w:t>(623 446)</w:t>
            </w:r>
          </w:p>
        </w:tc>
        <w:tc>
          <w:tcPr>
            <w:tcW w:w="923" w:type="pct"/>
            <w:shd w:val="clear" w:color="auto" w:fill="FFFFFF"/>
            <w:vAlign w:val="center"/>
          </w:tcPr>
          <w:p>
            <w:pPr>
              <w:tabs>
                <w:tab w:val="left" w:pos="1558"/>
              </w:tabs>
              <w:spacing w:after="0" w:line="240" w:lineRule="auto"/>
              <w:ind w:right="143"/>
              <w:jc w:val="right"/>
              <w:rPr>
                <w:rFonts w:cs="Arial"/>
                <w:b/>
                <w:noProof/>
                <w:sz w:val="20"/>
                <w:highlight w:val="yellow"/>
              </w:rPr>
            </w:pPr>
            <w:r>
              <w:rPr>
                <w:b/>
                <w:noProof/>
                <w:sz w:val="20"/>
              </w:rPr>
              <w:t>(275 133)</w:t>
            </w:r>
          </w:p>
        </w:tc>
      </w:tr>
    </w:tbl>
    <w:p>
      <w:pPr>
        <w:jc w:val="both"/>
        <w:rPr>
          <w:rFonts w:cs="Times New Roman"/>
          <w:noProof/>
          <w:szCs w:val="24"/>
          <w:lang w:val="en-IE"/>
        </w:rPr>
      </w:pPr>
    </w:p>
    <w:p>
      <w:pPr>
        <w:jc w:val="both"/>
        <w:rPr>
          <w:rFonts w:cs="Times New Roman"/>
          <w:noProof/>
          <w:szCs w:val="24"/>
          <w:lang w:val="en-IE"/>
        </w:rPr>
      </w:pPr>
    </w:p>
    <w:p>
      <w:pPr>
        <w:jc w:val="both"/>
        <w:rPr>
          <w:rFonts w:cs="Times New Roman"/>
          <w:noProof/>
          <w:szCs w:val="24"/>
          <w:lang w:val="en-IE"/>
        </w:rPr>
      </w:pPr>
    </w:p>
    <w:p>
      <w:pPr>
        <w:rPr>
          <w:b/>
          <w:noProof/>
        </w:rPr>
      </w:pPr>
      <w:r>
        <w:rPr>
          <w:b/>
          <w:noProof/>
        </w:rPr>
        <w:t>Balance a 31 de diciembre de 2020</w:t>
      </w:r>
    </w:p>
    <w:p>
      <w:pPr>
        <w:rPr>
          <w:rFonts w:cs="Arial"/>
          <w:b/>
          <w:bCs/>
          <w:noProof/>
          <w:sz w:val="20"/>
        </w:rPr>
      </w:pPr>
      <w:r>
        <w:rPr>
          <w:noProof/>
          <w:sz w:val="20"/>
        </w:rPr>
        <w:t>(importes expresados en EUR, entre paréntesis – gastos/pérdidas, sin paréntesis – ingresos/ganancias)</w:t>
      </w:r>
    </w:p>
    <w:tbl>
      <w:tblPr>
        <w:tblW w:w="5000" w:type="pct"/>
        <w:tblLayout w:type="fixed"/>
        <w:tblCellMar>
          <w:left w:w="0" w:type="dxa"/>
          <w:right w:w="0" w:type="dxa"/>
        </w:tblCellMar>
        <w:tblLook w:val="0000" w:firstRow="0" w:lastRow="0" w:firstColumn="0" w:lastColumn="0" w:noHBand="0" w:noVBand="0"/>
      </w:tblPr>
      <w:tblGrid>
        <w:gridCol w:w="5329"/>
        <w:gridCol w:w="1872"/>
        <w:gridCol w:w="1871"/>
      </w:tblGrid>
      <w:tr>
        <w:trPr>
          <w:trHeight w:val="227"/>
        </w:trPr>
        <w:tc>
          <w:tcPr>
            <w:tcW w:w="2937" w:type="pct"/>
            <w:tcBorders>
              <w:top w:val="nil"/>
              <w:left w:val="nil"/>
              <w:bottom w:val="nil"/>
              <w:right w:val="nil"/>
            </w:tcBorders>
            <w:noWrap/>
            <w:vAlign w:val="center"/>
          </w:tcPr>
          <w:bookmarkEnd w:id="11"/>
          <w:p>
            <w:pPr>
              <w:spacing w:after="0" w:line="240" w:lineRule="auto"/>
              <w:rPr>
                <w:rFonts w:eastAsia="Arial Unicode MS" w:cs="Arial"/>
                <w:b/>
                <w:noProof/>
                <w:sz w:val="20"/>
                <w:u w:val="single"/>
              </w:rPr>
            </w:pPr>
            <w:r>
              <w:rPr>
                <w:b/>
                <w:noProof/>
                <w:sz w:val="20"/>
                <w:u w:val="single"/>
              </w:rPr>
              <w:t>ACTIVOS</w:t>
            </w:r>
          </w:p>
        </w:tc>
        <w:tc>
          <w:tcPr>
            <w:tcW w:w="1032" w:type="pct"/>
            <w:tcBorders>
              <w:top w:val="nil"/>
              <w:left w:val="nil"/>
              <w:bottom w:val="nil"/>
              <w:right w:val="nil"/>
            </w:tcBorders>
            <w:noWrap/>
            <w:vAlign w:val="center"/>
          </w:tcPr>
          <w:p>
            <w:pPr>
              <w:spacing w:after="0" w:line="240" w:lineRule="auto"/>
              <w:rPr>
                <w:rFonts w:eastAsia="Arial Unicode MS" w:cs="Arial"/>
                <w:noProof/>
                <w:sz w:val="20"/>
                <w:lang w:val="en-IE"/>
              </w:rPr>
            </w:pPr>
          </w:p>
        </w:tc>
        <w:tc>
          <w:tcPr>
            <w:tcW w:w="1031" w:type="pct"/>
            <w:tcBorders>
              <w:top w:val="nil"/>
              <w:left w:val="nil"/>
              <w:bottom w:val="nil"/>
              <w:right w:val="nil"/>
            </w:tcBorders>
            <w:noWrap/>
            <w:vAlign w:val="center"/>
          </w:tcPr>
          <w:p>
            <w:pPr>
              <w:spacing w:after="0" w:line="240" w:lineRule="auto"/>
              <w:rPr>
                <w:rFonts w:eastAsia="Arial Unicode MS" w:cs="Arial"/>
                <w:noProof/>
                <w:sz w:val="20"/>
                <w:lang w:val="en-IE"/>
              </w:rPr>
            </w:pPr>
          </w:p>
        </w:tc>
      </w:tr>
      <w:tr>
        <w:trPr>
          <w:trHeight w:val="227"/>
        </w:trPr>
        <w:tc>
          <w:tcPr>
            <w:tcW w:w="2937" w:type="pct"/>
            <w:tcBorders>
              <w:top w:val="nil"/>
              <w:left w:val="nil"/>
              <w:bottom w:val="single" w:sz="4" w:space="0" w:color="auto"/>
              <w:right w:val="nil"/>
            </w:tcBorders>
            <w:noWrap/>
            <w:vAlign w:val="center"/>
          </w:tcPr>
          <w:p>
            <w:pPr>
              <w:spacing w:after="0" w:line="240" w:lineRule="auto"/>
              <w:rPr>
                <w:rFonts w:eastAsia="Arial Unicode MS" w:cs="Arial"/>
                <w:noProof/>
                <w:sz w:val="20"/>
                <w:u w:val="single"/>
                <w:lang w:val="en-IE"/>
              </w:rPr>
            </w:pPr>
          </w:p>
        </w:tc>
        <w:tc>
          <w:tcPr>
            <w:tcW w:w="1032" w:type="pct"/>
            <w:tcBorders>
              <w:top w:val="nil"/>
              <w:left w:val="nil"/>
              <w:bottom w:val="single" w:sz="4" w:space="0" w:color="auto"/>
              <w:right w:val="nil"/>
            </w:tcBorders>
            <w:noWrap/>
            <w:vAlign w:val="center"/>
          </w:tcPr>
          <w:p>
            <w:pPr>
              <w:spacing w:after="0" w:line="240" w:lineRule="auto"/>
              <w:rPr>
                <w:rFonts w:eastAsia="Arial Unicode MS" w:cs="Arial"/>
                <w:noProof/>
                <w:sz w:val="20"/>
                <w:lang w:val="en-IE"/>
              </w:rPr>
            </w:pPr>
          </w:p>
        </w:tc>
        <w:tc>
          <w:tcPr>
            <w:tcW w:w="1031" w:type="pct"/>
            <w:tcBorders>
              <w:top w:val="nil"/>
              <w:left w:val="nil"/>
              <w:bottom w:val="single" w:sz="4" w:space="0" w:color="auto"/>
              <w:right w:val="nil"/>
            </w:tcBorders>
            <w:noWrap/>
            <w:vAlign w:val="center"/>
          </w:tcPr>
          <w:p>
            <w:pPr>
              <w:spacing w:after="0" w:line="240" w:lineRule="auto"/>
              <w:rPr>
                <w:rFonts w:eastAsia="Arial Unicode MS" w:cs="Arial"/>
                <w:noProof/>
                <w:sz w:val="20"/>
                <w:lang w:val="en-IE"/>
              </w:rPr>
            </w:pP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noProof/>
                <w:sz w:val="20"/>
              </w:rPr>
            </w:pPr>
            <w:r>
              <w:rPr>
                <w:noProof/>
                <w:sz w:val="2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eastAsia="Arial Unicode MS" w:cs="Arial"/>
                <w:b/>
                <w:bCs/>
                <w:noProof/>
                <w:sz w:val="20"/>
              </w:rPr>
            </w:pPr>
            <w:r>
              <w:rPr>
                <w:b/>
                <w:bCs/>
                <w:noProof/>
                <w:sz w:val="20"/>
              </w:rPr>
              <w:t>31 de diciembre de 2020</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eastAsia="Arial Unicode MS" w:cs="Arial"/>
                <w:b/>
                <w:bCs/>
                <w:noProof/>
                <w:sz w:val="20"/>
              </w:rPr>
            </w:pPr>
            <w:r>
              <w:rPr>
                <w:b/>
                <w:bCs/>
                <w:noProof/>
                <w:sz w:val="20"/>
              </w:rPr>
              <w:t>31 de diciembre de 2019</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noProof/>
                <w:sz w:val="20"/>
                <w:lang w:val="en-IE"/>
              </w:rPr>
            </w:pP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cs="Arial"/>
                <w:b/>
                <w:bCs/>
                <w:noProof/>
                <w:sz w:val="20"/>
              </w:rPr>
            </w:pPr>
            <w:r>
              <w:rPr>
                <w:b/>
                <w:bCs/>
                <w:noProof/>
                <w:sz w:val="20"/>
              </w:rPr>
              <w:t>EUR</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cs="Arial"/>
                <w:b/>
                <w:bCs/>
                <w:noProof/>
                <w:sz w:val="20"/>
              </w:rPr>
            </w:pPr>
            <w:r>
              <w:rPr>
                <w:b/>
                <w:bCs/>
                <w:noProof/>
                <w:sz w:val="20"/>
              </w:rPr>
              <w:t>EUR</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b/>
                <w:bCs/>
                <w:noProof/>
                <w:sz w:val="20"/>
              </w:rPr>
            </w:pPr>
            <w:r>
              <w:rPr>
                <w:b/>
                <w:bCs/>
                <w:noProof/>
                <w:sz w:val="20"/>
              </w:rPr>
              <w:t>ACTIVOS NO CORRIENTES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rPr>
            </w:pPr>
            <w:r>
              <w:rPr>
                <w:b/>
                <w:noProof/>
                <w:sz w:val="20"/>
              </w:rPr>
              <w:t>435 238 107</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rPr>
            </w:pPr>
            <w:r>
              <w:rPr>
                <w:b/>
                <w:noProof/>
                <w:sz w:val="20"/>
              </w:rPr>
              <w:t>348 061 980</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bCs/>
                <w:noProof/>
                <w:sz w:val="20"/>
              </w:rPr>
            </w:pPr>
            <w:r>
              <w:rPr>
                <w:bCs/>
                <w:noProof/>
                <w:sz w:val="20"/>
              </w:rPr>
              <w:t>Activos financieros realizables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435 238 107</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348 061 980</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b/>
                <w:bCs/>
                <w:noProof/>
                <w:sz w:val="20"/>
                <w:lang w:val="en-IE"/>
              </w:rPr>
            </w:pP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lang w:val="en-IE" w:eastAsia="ko-KR"/>
              </w:rPr>
            </w:pP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lang w:val="en-IE" w:eastAsia="ko-KR"/>
              </w:rPr>
            </w:pP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
                <w:bCs/>
                <w:noProof/>
                <w:sz w:val="20"/>
              </w:rPr>
            </w:pPr>
            <w:r>
              <w:rPr>
                <w:b/>
                <w:bCs/>
                <w:noProof/>
                <w:sz w:val="20"/>
              </w:rPr>
              <w:t>ACTIVOS CORRIENTES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rPr>
            </w:pPr>
            <w:r>
              <w:rPr>
                <w:b/>
                <w:noProof/>
                <w:sz w:val="20"/>
              </w:rPr>
              <w:t>368 878 530</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rPr>
            </w:pPr>
            <w:r>
              <w:rPr>
                <w:b/>
                <w:noProof/>
                <w:sz w:val="20"/>
              </w:rPr>
              <w:t>251 527 281</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Cs/>
                <w:noProof/>
                <w:sz w:val="20"/>
              </w:rPr>
            </w:pPr>
            <w:r>
              <w:rPr>
                <w:bCs/>
                <w:noProof/>
                <w:sz w:val="20"/>
              </w:rPr>
              <w:t>Activos financieros realizables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rPr>
            </w:pPr>
            <w:r>
              <w:rPr>
                <w:noProof/>
                <w:sz w:val="20"/>
              </w:rPr>
              <w:t>256 757 770</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rPr>
            </w:pPr>
            <w:r>
              <w:rPr>
                <w:noProof/>
                <w:sz w:val="20"/>
              </w:rPr>
              <w:t>246 643 539</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rPr>
                <w:rFonts w:cs="Arial"/>
                <w:bCs/>
                <w:noProof/>
                <w:sz w:val="20"/>
              </w:rPr>
            </w:pPr>
            <w:r>
              <w:rPr>
                <w:bCs/>
                <w:noProof/>
                <w:sz w:val="20"/>
              </w:rPr>
              <w:t>Títulos de crédito (es decir, tasas por préstamos de valores)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rPr>
            </w:pPr>
            <w:r>
              <w:rPr>
                <w:noProof/>
                <w:sz w:val="20"/>
              </w:rPr>
              <w:t>2 197</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rPr>
            </w:pPr>
            <w:r>
              <w:rPr>
                <w:noProof/>
                <w:sz w:val="20"/>
              </w:rPr>
              <w:t>1 595</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rPr>
                <w:rFonts w:eastAsia="Arial Unicode MS" w:cs="Arial"/>
                <w:bCs/>
                <w:noProof/>
                <w:sz w:val="20"/>
                <w:lang w:val="en-IE"/>
              </w:rPr>
            </w:pP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lang w:val="en-IE"/>
              </w:rPr>
            </w:pP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lang w:val="en-IE"/>
              </w:rPr>
            </w:pP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rPr>
                <w:rFonts w:eastAsia="Arial Unicode MS" w:cs="Arial"/>
                <w:b/>
                <w:bCs/>
                <w:noProof/>
                <w:sz w:val="20"/>
              </w:rPr>
            </w:pPr>
            <w:r>
              <w:rPr>
                <w:b/>
                <w:bCs/>
                <w:noProof/>
                <w:sz w:val="20"/>
              </w:rPr>
              <w:t>Efectivo y equivalentes al efectivo</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rPr>
            </w:pPr>
            <w:r>
              <w:rPr>
                <w:noProof/>
                <w:sz w:val="20"/>
              </w:rPr>
              <w:t>112 118 563</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rPr>
            </w:pPr>
            <w:r>
              <w:rPr>
                <w:noProof/>
                <w:sz w:val="20"/>
              </w:rPr>
              <w:t>4 882 147</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ind w:firstLine="142"/>
              <w:rPr>
                <w:rFonts w:eastAsia="Arial Unicode MS" w:cs="Arial"/>
                <w:bCs/>
                <w:i/>
                <w:noProof/>
                <w:sz w:val="20"/>
              </w:rPr>
            </w:pPr>
            <w:r>
              <w:rPr>
                <w:bCs/>
                <w:i/>
                <w:noProof/>
                <w:sz w:val="20"/>
              </w:rPr>
              <w:t>Cuentas corrientes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i/>
                <w:noProof/>
                <w:sz w:val="20"/>
              </w:rPr>
            </w:pPr>
            <w:r>
              <w:rPr>
                <w:i/>
                <w:noProof/>
                <w:sz w:val="20"/>
              </w:rPr>
              <w:t>112 166 318</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i/>
                <w:noProof/>
                <w:sz w:val="20"/>
              </w:rPr>
            </w:pPr>
            <w:r>
              <w:rPr>
                <w:i/>
                <w:noProof/>
                <w:sz w:val="20"/>
              </w:rPr>
              <w:t>4 885 215</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0" w:line="240" w:lineRule="auto"/>
              <w:ind w:firstLine="142"/>
              <w:rPr>
                <w:rFonts w:cs="Arial"/>
                <w:bCs/>
                <w:i/>
                <w:noProof/>
                <w:sz w:val="20"/>
              </w:rPr>
            </w:pPr>
            <w:r>
              <w:rPr>
                <w:bCs/>
                <w:i/>
                <w:noProof/>
                <w:sz w:val="20"/>
              </w:rPr>
              <w:t>Ingresos por intereses sobre el efectivo y equivalentes al efectivo</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i/>
                <w:noProof/>
                <w:sz w:val="20"/>
              </w:rPr>
            </w:pPr>
            <w:r>
              <w:rPr>
                <w:i/>
                <w:noProof/>
                <w:sz w:val="20"/>
              </w:rPr>
              <w:t>(47 755)</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i/>
                <w:noProof/>
                <w:sz w:val="20"/>
              </w:rPr>
            </w:pPr>
            <w:r>
              <w:rPr>
                <w:i/>
                <w:noProof/>
                <w:sz w:val="20"/>
              </w:rPr>
              <w:t>(3 068)</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
                <w:bCs/>
                <w:noProof/>
                <w:sz w:val="20"/>
                <w:lang w:val="en-IE"/>
              </w:rPr>
            </w:pP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lang w:val="en-IE"/>
              </w:rPr>
            </w:pP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lang w:val="en-IE"/>
              </w:rPr>
            </w:pP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
                <w:bCs/>
                <w:noProof/>
                <w:sz w:val="20"/>
              </w:rPr>
            </w:pPr>
            <w:r>
              <w:rPr>
                <w:b/>
                <w:bCs/>
                <w:noProof/>
                <w:sz w:val="20"/>
              </w:rPr>
              <w:t xml:space="preserve">ACTIVOS TOTALES </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b/>
                <w:bCs/>
                <w:noProof/>
                <w:sz w:val="20"/>
              </w:rPr>
            </w:pPr>
            <w:r>
              <w:rPr>
                <w:b/>
                <w:bCs/>
                <w:noProof/>
                <w:sz w:val="20"/>
              </w:rPr>
              <w:t>804 116 637</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b/>
                <w:bCs/>
                <w:noProof/>
                <w:sz w:val="20"/>
              </w:rPr>
            </w:pPr>
            <w:r>
              <w:rPr>
                <w:b/>
                <w:bCs/>
                <w:noProof/>
                <w:sz w:val="20"/>
              </w:rPr>
              <w:t>599 589 261</w:t>
            </w:r>
          </w:p>
        </w:tc>
      </w:tr>
      <w:tr>
        <w:trPr>
          <w:trHeight w:val="227"/>
        </w:trPr>
        <w:tc>
          <w:tcPr>
            <w:tcW w:w="2937" w:type="pct"/>
            <w:tcBorders>
              <w:top w:val="single" w:sz="4" w:space="0" w:color="auto"/>
              <w:left w:val="nil"/>
              <w:bottom w:val="nil"/>
              <w:right w:val="nil"/>
            </w:tcBorders>
            <w:noWrap/>
            <w:vAlign w:val="center"/>
          </w:tcPr>
          <w:p>
            <w:pPr>
              <w:spacing w:after="0" w:line="240" w:lineRule="auto"/>
              <w:rPr>
                <w:rFonts w:eastAsia="Arial Unicode MS" w:cs="Arial"/>
                <w:noProof/>
                <w:sz w:val="20"/>
                <w:u w:val="single"/>
                <w:lang w:val="en-IE"/>
              </w:rPr>
            </w:pPr>
          </w:p>
        </w:tc>
        <w:tc>
          <w:tcPr>
            <w:tcW w:w="1032" w:type="pct"/>
            <w:tcBorders>
              <w:top w:val="single" w:sz="4" w:space="0" w:color="auto"/>
              <w:left w:val="nil"/>
              <w:bottom w:val="nil"/>
              <w:right w:val="nil"/>
            </w:tcBorders>
            <w:noWrap/>
            <w:vAlign w:val="center"/>
          </w:tcPr>
          <w:p>
            <w:pPr>
              <w:spacing w:after="0" w:line="240" w:lineRule="auto"/>
              <w:jc w:val="right"/>
              <w:rPr>
                <w:rFonts w:eastAsia="Arial Unicode MS" w:cs="Arial"/>
                <w:noProof/>
                <w:sz w:val="20"/>
                <w:lang w:val="en-IE"/>
              </w:rPr>
            </w:pPr>
          </w:p>
        </w:tc>
        <w:tc>
          <w:tcPr>
            <w:tcW w:w="1031" w:type="pct"/>
            <w:tcBorders>
              <w:top w:val="single" w:sz="4" w:space="0" w:color="auto"/>
              <w:left w:val="nil"/>
              <w:bottom w:val="nil"/>
              <w:right w:val="nil"/>
            </w:tcBorders>
            <w:noWrap/>
            <w:vAlign w:val="center"/>
          </w:tcPr>
          <w:p>
            <w:pPr>
              <w:spacing w:after="0" w:line="240" w:lineRule="auto"/>
              <w:jc w:val="right"/>
              <w:rPr>
                <w:rFonts w:eastAsia="Arial Unicode MS" w:cs="Arial"/>
                <w:noProof/>
                <w:sz w:val="20"/>
                <w:lang w:val="en-IE"/>
              </w:rPr>
            </w:pPr>
          </w:p>
        </w:tc>
      </w:tr>
      <w:tr>
        <w:trPr>
          <w:trHeight w:val="227"/>
        </w:trPr>
        <w:tc>
          <w:tcPr>
            <w:tcW w:w="2937" w:type="pct"/>
            <w:tcBorders>
              <w:top w:val="nil"/>
              <w:left w:val="nil"/>
              <w:bottom w:val="nil"/>
              <w:right w:val="nil"/>
            </w:tcBorders>
            <w:noWrap/>
            <w:vAlign w:val="center"/>
          </w:tcPr>
          <w:p>
            <w:pPr>
              <w:spacing w:after="0" w:line="240" w:lineRule="auto"/>
              <w:rPr>
                <w:rFonts w:eastAsia="Arial Unicode MS" w:cs="Arial"/>
                <w:noProof/>
                <w:sz w:val="20"/>
                <w:u w:val="single"/>
                <w:lang w:val="en-IE"/>
              </w:rPr>
            </w:pPr>
          </w:p>
        </w:tc>
        <w:tc>
          <w:tcPr>
            <w:tcW w:w="1032" w:type="pct"/>
            <w:tcBorders>
              <w:top w:val="nil"/>
              <w:left w:val="nil"/>
              <w:bottom w:val="nil"/>
              <w:right w:val="nil"/>
            </w:tcBorders>
            <w:noWrap/>
            <w:vAlign w:val="center"/>
          </w:tcPr>
          <w:p>
            <w:pPr>
              <w:spacing w:after="0" w:line="240" w:lineRule="auto"/>
              <w:jc w:val="right"/>
              <w:rPr>
                <w:rFonts w:eastAsia="Arial Unicode MS" w:cs="Arial"/>
                <w:noProof/>
                <w:sz w:val="20"/>
                <w:lang w:val="en-IE"/>
              </w:rPr>
            </w:pPr>
          </w:p>
        </w:tc>
        <w:tc>
          <w:tcPr>
            <w:tcW w:w="1031" w:type="pct"/>
            <w:tcBorders>
              <w:top w:val="nil"/>
              <w:left w:val="nil"/>
              <w:bottom w:val="nil"/>
              <w:right w:val="nil"/>
            </w:tcBorders>
            <w:noWrap/>
            <w:vAlign w:val="center"/>
          </w:tcPr>
          <w:p>
            <w:pPr>
              <w:spacing w:after="0" w:line="240" w:lineRule="auto"/>
              <w:jc w:val="right"/>
              <w:rPr>
                <w:rFonts w:eastAsia="Arial Unicode MS" w:cs="Arial"/>
                <w:noProof/>
                <w:sz w:val="20"/>
                <w:lang w:val="en-IE"/>
              </w:rPr>
            </w:pPr>
          </w:p>
        </w:tc>
      </w:tr>
      <w:tr>
        <w:trPr>
          <w:trHeight w:val="227"/>
        </w:trPr>
        <w:tc>
          <w:tcPr>
            <w:tcW w:w="2937" w:type="pct"/>
            <w:tcBorders>
              <w:top w:val="nil"/>
              <w:left w:val="nil"/>
              <w:bottom w:val="nil"/>
              <w:right w:val="nil"/>
            </w:tcBorders>
            <w:noWrap/>
            <w:vAlign w:val="center"/>
          </w:tcPr>
          <w:p>
            <w:pPr>
              <w:spacing w:after="0" w:line="240" w:lineRule="auto"/>
              <w:rPr>
                <w:rFonts w:eastAsia="Arial Unicode MS" w:cs="Arial"/>
                <w:b/>
                <w:noProof/>
                <w:sz w:val="20"/>
                <w:u w:val="single"/>
              </w:rPr>
            </w:pPr>
            <w:r>
              <w:rPr>
                <w:b/>
                <w:noProof/>
                <w:sz w:val="20"/>
                <w:u w:val="single"/>
              </w:rPr>
              <w:t>ACTIVOS Y PASIVOS NETOS</w:t>
            </w:r>
          </w:p>
        </w:tc>
        <w:tc>
          <w:tcPr>
            <w:tcW w:w="1032" w:type="pct"/>
            <w:tcBorders>
              <w:top w:val="nil"/>
              <w:left w:val="nil"/>
              <w:bottom w:val="nil"/>
              <w:right w:val="nil"/>
            </w:tcBorders>
            <w:noWrap/>
            <w:vAlign w:val="center"/>
          </w:tcPr>
          <w:p>
            <w:pPr>
              <w:spacing w:after="0" w:line="240" w:lineRule="auto"/>
              <w:jc w:val="right"/>
              <w:rPr>
                <w:rFonts w:eastAsia="Arial Unicode MS" w:cs="Arial"/>
                <w:noProof/>
                <w:sz w:val="20"/>
                <w:lang w:val="en-IE"/>
              </w:rPr>
            </w:pPr>
          </w:p>
        </w:tc>
        <w:tc>
          <w:tcPr>
            <w:tcW w:w="1031" w:type="pct"/>
            <w:tcBorders>
              <w:top w:val="nil"/>
              <w:left w:val="nil"/>
              <w:bottom w:val="nil"/>
              <w:right w:val="nil"/>
            </w:tcBorders>
            <w:noWrap/>
            <w:vAlign w:val="center"/>
          </w:tcPr>
          <w:p>
            <w:pPr>
              <w:spacing w:after="0" w:line="240" w:lineRule="auto"/>
              <w:jc w:val="right"/>
              <w:rPr>
                <w:rFonts w:eastAsia="Arial Unicode MS" w:cs="Arial"/>
                <w:noProof/>
                <w:sz w:val="20"/>
                <w:lang w:val="en-IE"/>
              </w:rPr>
            </w:pPr>
          </w:p>
        </w:tc>
      </w:tr>
      <w:tr>
        <w:trPr>
          <w:trHeight w:val="227"/>
        </w:trPr>
        <w:tc>
          <w:tcPr>
            <w:tcW w:w="2937" w:type="pct"/>
            <w:tcBorders>
              <w:top w:val="nil"/>
              <w:left w:val="nil"/>
              <w:bottom w:val="single" w:sz="4" w:space="0" w:color="auto"/>
              <w:right w:val="nil"/>
            </w:tcBorders>
            <w:noWrap/>
            <w:vAlign w:val="center"/>
          </w:tcPr>
          <w:p>
            <w:pPr>
              <w:spacing w:after="0" w:line="240" w:lineRule="auto"/>
              <w:rPr>
                <w:rFonts w:eastAsia="Arial Unicode MS" w:cs="Arial"/>
                <w:noProof/>
                <w:sz w:val="20"/>
                <w:u w:val="single"/>
                <w:lang w:val="en-IE"/>
              </w:rPr>
            </w:pPr>
          </w:p>
        </w:tc>
        <w:tc>
          <w:tcPr>
            <w:tcW w:w="1032" w:type="pct"/>
            <w:tcBorders>
              <w:top w:val="nil"/>
              <w:left w:val="nil"/>
              <w:bottom w:val="single" w:sz="4" w:space="0" w:color="auto"/>
              <w:right w:val="nil"/>
            </w:tcBorders>
            <w:noWrap/>
            <w:vAlign w:val="center"/>
          </w:tcPr>
          <w:p>
            <w:pPr>
              <w:spacing w:after="0" w:line="240" w:lineRule="auto"/>
              <w:jc w:val="right"/>
              <w:rPr>
                <w:rFonts w:eastAsia="Arial Unicode MS" w:cs="Arial"/>
                <w:noProof/>
                <w:sz w:val="20"/>
                <w:lang w:val="en-IE"/>
              </w:rPr>
            </w:pPr>
          </w:p>
        </w:tc>
        <w:tc>
          <w:tcPr>
            <w:tcW w:w="1031" w:type="pct"/>
            <w:tcBorders>
              <w:top w:val="nil"/>
              <w:left w:val="nil"/>
              <w:bottom w:val="single" w:sz="4" w:space="0" w:color="auto"/>
              <w:right w:val="nil"/>
            </w:tcBorders>
            <w:noWrap/>
            <w:vAlign w:val="center"/>
          </w:tcPr>
          <w:p>
            <w:pPr>
              <w:spacing w:after="0" w:line="240" w:lineRule="auto"/>
              <w:jc w:val="right"/>
              <w:rPr>
                <w:rFonts w:eastAsia="Arial Unicode MS" w:cs="Arial"/>
                <w:noProof/>
                <w:sz w:val="20"/>
                <w:lang w:val="en-IE"/>
              </w:rPr>
            </w:pP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noProof/>
                <w:sz w:val="20"/>
              </w:rPr>
            </w:pPr>
            <w:r>
              <w:rPr>
                <w:noProof/>
                <w:sz w:val="2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eastAsia="Arial Unicode MS" w:cs="Arial"/>
                <w:b/>
                <w:bCs/>
                <w:noProof/>
                <w:sz w:val="20"/>
              </w:rPr>
            </w:pPr>
            <w:r>
              <w:rPr>
                <w:b/>
                <w:bCs/>
                <w:noProof/>
                <w:sz w:val="20"/>
              </w:rPr>
              <w:t>31 de diciembre de 2020</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eastAsia="Arial Unicode MS" w:cs="Arial"/>
                <w:b/>
                <w:bCs/>
                <w:noProof/>
                <w:sz w:val="20"/>
              </w:rPr>
            </w:pPr>
            <w:r>
              <w:rPr>
                <w:b/>
                <w:bCs/>
                <w:noProof/>
                <w:sz w:val="20"/>
              </w:rPr>
              <w:t>31 de diciembre de 2019</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noProof/>
                <w:sz w:val="20"/>
                <w:lang w:val="en-IE"/>
              </w:rPr>
            </w:pP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cs="Arial"/>
                <w:b/>
                <w:bCs/>
                <w:noProof/>
                <w:sz w:val="20"/>
              </w:rPr>
            </w:pPr>
            <w:r>
              <w:rPr>
                <w:b/>
                <w:bCs/>
                <w:noProof/>
                <w:sz w:val="20"/>
              </w:rPr>
              <w:t>EUR</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center"/>
              <w:rPr>
                <w:rFonts w:cs="Arial"/>
                <w:b/>
                <w:bCs/>
                <w:noProof/>
                <w:sz w:val="20"/>
              </w:rPr>
            </w:pPr>
            <w:r>
              <w:rPr>
                <w:b/>
                <w:bCs/>
                <w:noProof/>
                <w:sz w:val="20"/>
              </w:rPr>
              <w:t>EUR</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
                <w:bCs/>
                <w:noProof/>
                <w:sz w:val="20"/>
              </w:rPr>
            </w:pPr>
            <w:r>
              <w:rPr>
                <w:b/>
                <w:bCs/>
                <w:noProof/>
                <w:sz w:val="20"/>
              </w:rPr>
              <w:t>ACTIVOS NETOS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bCs/>
                <w:noProof/>
                <w:sz w:val="20"/>
              </w:rPr>
            </w:pPr>
            <w:r>
              <w:rPr>
                <w:b/>
                <w:bCs/>
                <w:noProof/>
                <w:sz w:val="20"/>
              </w:rPr>
              <w:t>804 091 888</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bCs/>
                <w:noProof/>
                <w:sz w:val="20"/>
              </w:rPr>
            </w:pPr>
            <w:r>
              <w:rPr>
                <w:b/>
                <w:bCs/>
                <w:noProof/>
                <w:sz w:val="20"/>
              </w:rPr>
              <w:t>599 567 587</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bCs/>
                <w:noProof/>
                <w:sz w:val="20"/>
              </w:rPr>
            </w:pPr>
            <w:r>
              <w:rPr>
                <w:bCs/>
                <w:noProof/>
                <w:sz w:val="20"/>
              </w:rPr>
              <w:t>Contribución del presupuesto de la UE</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Cs/>
                <w:noProof/>
                <w:sz w:val="20"/>
              </w:rPr>
            </w:pPr>
            <w:r>
              <w:rPr>
                <w:bCs/>
                <w:noProof/>
                <w:sz w:val="20"/>
              </w:rPr>
              <w:t>798 968 935</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Cs/>
                <w:noProof/>
                <w:sz w:val="20"/>
              </w:rPr>
            </w:pPr>
            <w:r>
              <w:rPr>
                <w:bCs/>
                <w:noProof/>
                <w:sz w:val="20"/>
              </w:rPr>
              <w:t>600 100 000</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Cs/>
                <w:noProof/>
                <w:sz w:val="20"/>
              </w:rPr>
            </w:pPr>
            <w:r>
              <w:rPr>
                <w:bCs/>
                <w:noProof/>
                <w:sz w:val="20"/>
              </w:rPr>
              <w:t>Reserva por valor razonable</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Cs/>
                <w:noProof/>
                <w:sz w:val="20"/>
              </w:rPr>
            </w:pPr>
            <w:r>
              <w:rPr>
                <w:bCs/>
                <w:noProof/>
                <w:sz w:val="20"/>
              </w:rPr>
              <w:t>6 090 099</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Cs/>
                <w:noProof/>
                <w:sz w:val="20"/>
              </w:rPr>
            </w:pPr>
            <w:r>
              <w:rPr>
                <w:bCs/>
                <w:noProof/>
                <w:sz w:val="20"/>
              </w:rPr>
              <w:t>(188 713)</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noProof/>
                <w:sz w:val="20"/>
              </w:rPr>
            </w:pPr>
            <w:r>
              <w:rPr>
                <w:noProof/>
                <w:sz w:val="20"/>
              </w:rPr>
              <w:t>Beneficios no distribuidos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(343 700)</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(68 567)</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noProof/>
                <w:sz w:val="20"/>
              </w:rPr>
            </w:pPr>
            <w:r>
              <w:rPr>
                <w:noProof/>
                <w:sz w:val="20"/>
              </w:rPr>
              <w:t>Resultado económico del ejercicio</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(623 446)</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(275 133)</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
                <w:bCs/>
                <w:noProof/>
                <w:sz w:val="20"/>
                <w:lang w:val="en-IE"/>
              </w:rPr>
            </w:pP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right"/>
              <w:rPr>
                <w:rFonts w:cs="Arial"/>
                <w:b/>
                <w:noProof/>
                <w:sz w:val="20"/>
                <w:lang w:val="en-IE"/>
              </w:rPr>
            </w:pP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jc w:val="right"/>
              <w:rPr>
                <w:rFonts w:cs="Arial"/>
                <w:b/>
                <w:noProof/>
                <w:sz w:val="20"/>
                <w:lang w:val="en-IE"/>
              </w:rPr>
            </w:pP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
                <w:bCs/>
                <w:noProof/>
                <w:sz w:val="20"/>
              </w:rPr>
            </w:pPr>
            <w:r>
              <w:rPr>
                <w:b/>
                <w:bCs/>
                <w:noProof/>
                <w:sz w:val="20"/>
              </w:rPr>
              <w:t>PASIVOS CORRIENTES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tabs>
                <w:tab w:val="left" w:pos="1558"/>
              </w:tabs>
              <w:spacing w:after="0" w:line="240" w:lineRule="auto"/>
              <w:ind w:right="143"/>
              <w:jc w:val="right"/>
              <w:rPr>
                <w:rFonts w:eastAsia="Arial Unicode MS" w:cs="Arial"/>
                <w:b/>
                <w:noProof/>
                <w:sz w:val="20"/>
              </w:rPr>
            </w:pPr>
            <w:r>
              <w:rPr>
                <w:b/>
                <w:noProof/>
                <w:sz w:val="20"/>
              </w:rPr>
              <w:t>24 749</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tabs>
                <w:tab w:val="left" w:pos="1558"/>
              </w:tabs>
              <w:spacing w:after="0" w:line="240" w:lineRule="auto"/>
              <w:ind w:right="143"/>
              <w:jc w:val="right"/>
              <w:rPr>
                <w:rFonts w:eastAsia="Arial Unicode MS" w:cs="Arial"/>
                <w:b/>
                <w:noProof/>
                <w:sz w:val="20"/>
              </w:rPr>
            </w:pPr>
            <w:r>
              <w:rPr>
                <w:b/>
                <w:noProof/>
                <w:sz w:val="20"/>
              </w:rPr>
              <w:t>21 674</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cs="Arial"/>
                <w:bCs/>
                <w:noProof/>
                <w:sz w:val="20"/>
              </w:rPr>
            </w:pPr>
            <w:r>
              <w:rPr>
                <w:bCs/>
                <w:noProof/>
                <w:sz w:val="20"/>
              </w:rPr>
              <w:t>Pagos varios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24 749</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noProof/>
                <w:sz w:val="20"/>
              </w:rPr>
            </w:pPr>
            <w:r>
              <w:rPr>
                <w:noProof/>
                <w:sz w:val="20"/>
              </w:rPr>
              <w:t>21 674</w:t>
            </w: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Cs/>
                <w:noProof/>
                <w:sz w:val="20"/>
                <w:lang w:val="en-IE"/>
              </w:rPr>
            </w:pP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lang w:val="en-IE"/>
              </w:rPr>
            </w:pP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eastAsia="Arial Unicode MS" w:cs="Arial"/>
                <w:noProof/>
                <w:sz w:val="20"/>
                <w:lang w:val="en-IE"/>
              </w:rPr>
            </w:pPr>
          </w:p>
        </w:tc>
      </w:tr>
      <w:tr>
        <w:trPr>
          <w:trHeight w:val="227"/>
        </w:trPr>
        <w:tc>
          <w:tcPr>
            <w:tcW w:w="2937"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rPr>
                <w:rFonts w:eastAsia="Arial Unicode MS" w:cs="Arial"/>
                <w:b/>
                <w:bCs/>
                <w:noProof/>
                <w:sz w:val="20"/>
              </w:rPr>
            </w:pPr>
            <w:r>
              <w:rPr>
                <w:b/>
                <w:bCs/>
                <w:noProof/>
                <w:sz w:val="20"/>
              </w:rPr>
              <w:t>ACTIVOS Y PASIVOS NETOS TOTALES</w:t>
            </w:r>
          </w:p>
        </w:tc>
        <w:tc>
          <w:tcPr>
            <w:tcW w:w="1032"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rPr>
            </w:pPr>
            <w:r>
              <w:rPr>
                <w:b/>
                <w:bCs/>
                <w:noProof/>
                <w:sz w:val="20"/>
              </w:rPr>
              <w:t>804 116 637</w:t>
            </w:r>
          </w:p>
        </w:tc>
        <w:tc>
          <w:tcPr>
            <w:tcW w:w="1031" w:type="pct"/>
            <w:tcBorders>
              <w:top w:val="single" w:sz="4" w:space="0" w:color="auto"/>
              <w:left w:val="single" w:sz="4" w:space="0" w:color="auto"/>
              <w:bottom w:val="single" w:sz="4" w:space="0" w:color="auto"/>
              <w:right w:val="single" w:sz="4" w:space="0" w:color="auto"/>
            </w:tcBorders>
            <w:shd w:val="clear" w:color="auto" w:fill="FFFFFF"/>
            <w:noWrap/>
            <w:vAlign w:val="center"/>
          </w:tcPr>
          <w:p>
            <w:pPr>
              <w:spacing w:after="0" w:line="240" w:lineRule="auto"/>
              <w:ind w:right="142"/>
              <w:jc w:val="right"/>
              <w:rPr>
                <w:rFonts w:cs="Arial"/>
                <w:b/>
                <w:noProof/>
                <w:sz w:val="20"/>
              </w:rPr>
            </w:pPr>
            <w:r>
              <w:rPr>
                <w:b/>
                <w:bCs/>
                <w:noProof/>
                <w:sz w:val="20"/>
              </w:rPr>
              <w:t>599 589 261</w:t>
            </w:r>
          </w:p>
        </w:tc>
      </w:tr>
    </w:tbl>
    <w:p>
      <w:pPr>
        <w:spacing w:after="0"/>
        <w:ind w:left="-284"/>
        <w:jc w:val="both"/>
        <w:rPr>
          <w:rFonts w:cs="Arial"/>
          <w:b/>
          <w:noProof/>
          <w:sz w:val="20"/>
          <w:lang w:val="en-IE"/>
        </w:rPr>
      </w:pPr>
    </w:p>
    <w:p>
      <w:pPr>
        <w:pStyle w:val="Heading2"/>
        <w:rPr>
          <w:noProof/>
        </w:rPr>
      </w:pPr>
      <w:bookmarkStart w:id="13" w:name="_Toc77258724"/>
      <w:r>
        <w:rPr>
          <w:noProof/>
        </w:rPr>
        <w:t>4.2. Provisión de fondos</w:t>
      </w:r>
      <w:bookmarkEnd w:id="13"/>
    </w:p>
    <w:p>
      <w:pPr>
        <w:jc w:val="both"/>
        <w:rPr>
          <w:noProof/>
          <w:szCs w:val="24"/>
        </w:rPr>
      </w:pPr>
      <w:r>
        <w:rPr>
          <w:noProof/>
        </w:rPr>
        <w:t>El Fondo de Garantía del FEDS se dota con cargo al presupuesto de la Unión y al Fondo Europeo de Desarrollo (FED). Para el actual MFP (2014-2020), las fuentes detalladas de financiación del Fondo de Garantía del FEDS constan de: 400 000 000 EUR con cargo a la reserva general del FED y de 350 000 000 EUR con cargo al presupuesto general de la Unión. El Fondo de Garantía del FEDS también puede dotarse de contribuciones voluntarias de los Estados miembros y otros contribuyentes, rendimiento de los recursos invertidos, ingresos e importes cobrados de los deudores morosos. Estonia, Chequia, Dinamarca y la Bill and Melinda Gates Foundation aportaron contribuciones adicionales por un total de 49 millones EUR</w:t>
      </w:r>
      <w:r>
        <w:rPr>
          <w:rStyle w:val="FootnoteReference"/>
          <w:noProof/>
          <w:szCs w:val="24"/>
          <w:lang w:val="en-IE"/>
        </w:rPr>
        <w:footnoteReference w:id="2"/>
      </w:r>
      <w:r>
        <w:rPr>
          <w:noProof/>
        </w:rPr>
        <w:t xml:space="preserve">. </w:t>
      </w:r>
    </w:p>
    <w:p>
      <w:pPr>
        <w:suppressAutoHyphens/>
        <w:jc w:val="both"/>
        <w:rPr>
          <w:noProof/>
          <w:szCs w:val="24"/>
        </w:rPr>
      </w:pPr>
      <w:r>
        <w:rPr>
          <w:noProof/>
        </w:rPr>
        <w:t>El Fondo de Garantía se creó en 2018. A 31 de diciembre de 2020, el total de los pagos recibidos de los fondos de la Unión (tanto del presupuesto general de la UE como del FED) al Fondo de Garantía, incrementado mediante contribuciones voluntarias, ascendía a 799 millones EUR. Hasta finales de 2020 no hubo ejecuciones de la garantía del FEDS.</w:t>
      </w:r>
    </w:p>
    <w:p>
      <w:pPr>
        <w:pStyle w:val="Heading1"/>
        <w:rPr>
          <w:noProof/>
        </w:rPr>
      </w:pPr>
      <w:bookmarkStart w:id="14" w:name="_Toc77258725"/>
      <w:r>
        <w:rPr>
          <w:noProof/>
        </w:rPr>
        <w:t>5. Evaluación de la adecuación del importe objetivo y del nivel del Fondo de Garantía del FEDS</w:t>
      </w:r>
      <w:bookmarkEnd w:id="14"/>
      <w:r>
        <w:rPr>
          <w:noProof/>
        </w:rPr>
        <w:t xml:space="preserve"> </w:t>
      </w:r>
    </w:p>
    <w:p>
      <w:pPr>
        <w:jc w:val="both"/>
        <w:rPr>
          <w:noProof/>
        </w:rPr>
      </w:pPr>
      <w:r>
        <w:rPr>
          <w:noProof/>
        </w:rPr>
        <w:t xml:space="preserve">El Reglamento del FEDS fija el importe objetivo del Fondo de Garantía del FEDS en el 50 % del total de obligaciones de garantía del FEDS cubiertas por el presupuesto general de la Unión. Las contribuciones voluntarias adicionales de los Estados miembros u otros contribuyentes se provisionan al 100 %. El nivel actual de los activos netos de la garantía del FEDS es de 804 millones EUR. </w:t>
      </w:r>
    </w:p>
    <w:p>
      <w:pPr>
        <w:spacing w:before="240" w:after="240" w:line="240" w:lineRule="auto"/>
        <w:jc w:val="both"/>
        <w:rPr>
          <w:noProof/>
        </w:rPr>
      </w:pPr>
      <w:r>
        <w:rPr>
          <w:noProof/>
        </w:rPr>
        <w:t>A 31 de diciembre de 2020, se celebraron en total dieciocho acuerdos de garantía del FEDS por valor de 1 549 millones EUR con diez instituciones financieras, lo que superaba la capacidad inicial de garantía del FEDS como resultado de contribuciones adicionales de donantes. El FEDS tiene por objeto abordar las deficiencias del mercado y las situaciones de inversión subóptimas y fomentar la financiación del sector privado. En el transcurso de 2020, a medida que el virus de la COVID-19 se propagó por todo el mundo, la Comisión decidió utilizar la garantía del FEDS como herramienta para ayudar a los países socios a superar la crisis. Esto significaba que la garantía del FEDS debía adaptarse rápidamente a las necesidades económicas creadas por la pandemia mundial centrándose en las microempresas, las pequeñas y medianas empresas (pymes), la financiación en moneda local y el apoyo al sector sanitario. Se completaron los acuerdos previamente firmados en relación con la financiación de las microempresas y las pymes, y se negociaron y firmaron nuevos acuerdos. Un cambio especialmente importante fue un nuevo acuerdo para proporcionar 400 millones EUR de financiación para la distribución de vacunas contra la COVID-19 a los países socios.</w:t>
      </w:r>
    </w:p>
    <w:p>
      <w:pPr>
        <w:jc w:val="both"/>
        <w:rPr>
          <w:noProof/>
          <w:szCs w:val="24"/>
        </w:rPr>
      </w:pPr>
      <w:r>
        <w:rPr>
          <w:noProof/>
        </w:rPr>
        <w:t>En su calidad de gestora de la garantía del FEDS y del Fondo de Garantía correspondiente, la Comisión es responsable de garantizar que se mantenga el nivel requerido de colchón de liquidez. La Comisión cuenta con el apoyo del Grupo de Evaluación Técnica de Garantía (G</w:t>
      </w:r>
      <w:r>
        <w:rPr>
          <w:noProof/>
        </w:rPr>
        <w:noBreakHyphen/>
        <w:t>TAG), compuesto por expertos en riesgo de crédito procedentes de varias instituciones financieras europeas. La función del G-TAG es proporcionar conocimientos técnicos independientes e imparciales sobre cuestiones relacionadas con la banca, incluido el control de riesgos durante la ejecución de los proyectos que se benefician de la garantía.</w:t>
      </w:r>
    </w:p>
    <w:p>
      <w:pPr>
        <w:jc w:val="both"/>
        <w:rPr>
          <w:noProof/>
        </w:rPr>
      </w:pPr>
      <w:r>
        <w:rPr>
          <w:noProof/>
        </w:rPr>
        <w:t xml:space="preserve">Según la evaluación del G-TAG en su dictamen de enero de 2021, basado en los datos de diciembre de 2020, la probabilidad de que el Fondo del FEDS se agote a lo largo de todo su período de vigencia (estimada en unos diecinueve años), suponiendo una subvención de precios media del 75 %, está muy por debajo del límite de tolerancia al riesgo del FEDS del 10 % en la hipótesis media. Este es también el caso de la hipótesis media suponiendo una subvención del 100 % y está en consonancia con los límites establecidos en las directrices políticas de riesgo de la garantía del FEDS. No obstante, el límite de tolerancia al riesgo del FEDS se superará en la hipótesis de alto riesgo, suponiendo subvenciones de tasas del 75 % o del 100 %. La probabilidad de agotamiento del FEDS en el horizonte de un año es inferior al 0,02 %, suponiendo el 75 % o el 100 % de subvenciones de comisiones. </w:t>
      </w: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7967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COM(2020) 346</w:t>
      </w:r>
    </w:p>
  </w:footnote>
  <w:footnote w:id="2">
    <w:p>
      <w:pPr>
        <w:pStyle w:val="FootnoteText"/>
        <w:ind w:left="284" w:hanging="284"/>
      </w:pPr>
      <w:r>
        <w:rPr>
          <w:rStyle w:val="FootnoteReference"/>
        </w:rPr>
        <w:footnoteRef/>
      </w:r>
      <w:r>
        <w:t xml:space="preserve"> Estonia: 100 000 EUR; Chequia: 300 000 EUR; Dinamarca: 9,4 millones EUR; Bill and Melinda Gates Foundation: 39,2 millones EUR (50 millones USD).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1C0B"/>
    <w:multiLevelType w:val="hybridMultilevel"/>
    <w:tmpl w:val="D3E21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734728B7"/>
    <w:multiLevelType w:val="hybridMultilevel"/>
    <w:tmpl w:val="66D0B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7F2853D-ECAE-4E71-9D15-7CB2251BFF09"/>
    <w:docVar w:name="LW_COVERPAGE_TYPE" w:val="1"/>
    <w:docVar w:name="LW_CROSSREFERENCE" w:val="&lt;UNUSED&gt;"/>
    <w:docVar w:name="LW_DocType" w:val="NORMAL"/>
    <w:docVar w:name="LW_EMISSION" w:val="26.7.2021"/>
    <w:docVar w:name="LW_EMISSION_ISODATE" w:val="2021-07-26"/>
    <w:docVar w:name="LW_EMISSION_LOCATION" w:val="BRX"/>
    <w:docVar w:name="LW_EMISSION_PREFIX" w:val="Bruselas, "/>
    <w:docVar w:name="LW_EMISSION_SUFFIX" w:val=" "/>
    <w:docVar w:name="LW_ID_DOCTYPE_NONLW" w:val="CP-035"/>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4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obre la gestión del Fondo de Garantía&lt;/FMT&gt;_x000d__x000d__x000d__x000d__x000d__x000d__x000d__x000b_&lt;FMT:Bold&gt;del Fondo Europeo de Desarrollo Sostenible&lt;/FMT&gt;_x000d__x000d__x000d__x000d__x000d__x000d__x000d__x000d__x000b_"/>
    <w:docVar w:name="LW_TYPE.DOC.CP" w:val="INFORME DE LA COMISIÓN AL PARLAMENTO EUROPEO, AL CONSEJO Y AL TRIBUNAL DE CUENTA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val="es-ES_tradnl"/>
    </w:rPr>
  </w:style>
  <w:style w:type="paragraph" w:styleId="Heading1">
    <w:name w:val="heading 1"/>
    <w:basedOn w:val="Normal"/>
    <w:next w:val="Normal"/>
    <w:link w:val="Heading1Char"/>
    <w:uiPriority w:val="9"/>
    <w:qFormat/>
    <w:pPr>
      <w:keepNext/>
      <w:keepLines/>
      <w:spacing w:before="600" w:after="360"/>
      <w:outlineLvl w:val="0"/>
    </w:pPr>
    <w:rPr>
      <w:rFonts w:eastAsiaTheme="majorEastAsia" w:cstheme="majorBidi"/>
      <w:b/>
      <w:smallCaps/>
      <w:color w:val="000000" w:themeColor="text1"/>
      <w:sz w:val="28"/>
      <w:szCs w:val="32"/>
    </w:rPr>
  </w:style>
  <w:style w:type="paragraph" w:styleId="Heading2">
    <w:name w:val="heading 2"/>
    <w:basedOn w:val="Normal"/>
    <w:next w:val="Normal"/>
    <w:link w:val="Heading2Char"/>
    <w:uiPriority w:val="9"/>
    <w:unhideWhenUsed/>
    <w:qFormat/>
    <w:pPr>
      <w:keepNext/>
      <w:keepLines/>
      <w:spacing w:before="360" w:after="36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mallCaps/>
      <w:color w:val="000000" w:themeColor="text1"/>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TOCHeading">
    <w:name w:val="TOC Heading"/>
    <w:basedOn w:val="Heading1"/>
    <w:next w:val="Normal"/>
    <w:link w:val="TOCHeadingChar"/>
    <w:uiPriority w:val="39"/>
    <w:unhideWhenUsed/>
    <w:qFormat/>
    <w:pPr>
      <w:spacing w:line="259" w:lineRule="auto"/>
      <w:outlineLvl w:val="9"/>
    </w:pPr>
  </w:style>
  <w:style w:type="paragraph" w:styleId="FootnoteText">
    <w:name w:val="footnote text"/>
    <w:aliases w:val="Fußnotentext Char1,Fußnotentext Char Char,Fußnotentext Char1 Char Char,Fußnotentext Char Char Char Char,Fußnotentext Char1 Char Char Char Char,Fußnotentext Char Char Char Char Char Char,Fußnotentext Char Char1 Char Char,Footnote,Fußnote,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ntext Char1 Char,Fußnotentext Char Char Char,Fußnotentext Char1 Char Char Char,Fußnotentext Char Char Char Char Char,Fußnotentext Char1 Char Char Char Char Char,Fußnotentext Char Char Char Char Char Char Char,Footnote Char"/>
    <w:basedOn w:val="DefaultParagraphFont"/>
    <w:link w:val="FootnoteText"/>
    <w:uiPriority w:val="99"/>
    <w:rPr>
      <w:rFonts w:ascii="Times New Roman" w:hAnsi="Times New Roman"/>
      <w:sz w:val="20"/>
      <w:szCs w:val="20"/>
    </w:rPr>
  </w:style>
  <w:style w:type="character" w:styleId="FootnoteReference">
    <w:name w:val="footnote reference"/>
    <w:aliases w:val="number,SUPERS,Footnote Reference Superscript,-E Fuﬂnotenzeichen,-E Fuûnotenzeichen,-E Fußnotenzeichen,EN Footnote Reference,Footnote number,stylish,Footnote symbol,(Footnote Reference),Footnote reference number,note TESI,BVI fnr,ftref"/>
    <w:basedOn w:val="DefaultParagraphFont"/>
    <w:link w:val="BVIfnrChar"/>
    <w:uiPriority w:val="99"/>
    <w:unhideWhenUsed/>
    <w:qFormat/>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pPr>
      <w:spacing w:after="160" w:line="240" w:lineRule="exact"/>
    </w:pPr>
    <w:rPr>
      <w:rFonts w:asciiTheme="minorHAnsi" w:hAnsiTheme="minorHAnsi"/>
      <w:sz w:val="22"/>
      <w:vertAlign w:val="superscript"/>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ind w:left="240"/>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TOCHeadingChar">
    <w:name w:val="TOC Heading Char"/>
    <w:basedOn w:val="Heading1Char"/>
    <w:link w:val="TOCHeading"/>
    <w:uiPriority w:val="39"/>
    <w:rPr>
      <w:rFonts w:ascii="Times New Roman" w:eastAsiaTheme="majorEastAsia" w:hAnsi="Times New Roman" w:cstheme="majorBidi"/>
      <w:b/>
      <w:smallCaps/>
      <w:color w:val="000000" w:themeColor="text1"/>
      <w:sz w:val="28"/>
      <w:szCs w:val="32"/>
      <w:lang w:val="es-ES"/>
    </w:rPr>
  </w:style>
  <w:style w:type="character" w:customStyle="1" w:styleId="FooterCoverPageChar">
    <w:name w:val="Footer Cover Page Char"/>
    <w:basedOn w:val="TOCHeadingChar"/>
    <w:link w:val="FooterCoverPage"/>
    <w:rPr>
      <w:rFonts w:ascii="Times New Roman" w:eastAsiaTheme="majorEastAsia" w:hAnsi="Times New Roman" w:cstheme="majorBidi"/>
      <w:b w:val="0"/>
      <w:smallCaps w:val="0"/>
      <w:color w:val="000000" w:themeColor="text1"/>
      <w:sz w:val="24"/>
      <w:szCs w:val="32"/>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OCHeadingChar"/>
    <w:link w:val="FooterSensitivity"/>
    <w:rPr>
      <w:rFonts w:ascii="Times New Roman" w:eastAsiaTheme="majorEastAsia" w:hAnsi="Times New Roman" w:cstheme="majorBidi"/>
      <w:b/>
      <w:smallCaps w:val="0"/>
      <w:color w:val="000000" w:themeColor="text1"/>
      <w:sz w:val="32"/>
      <w:szCs w:val="32"/>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TOCHeadingChar"/>
    <w:link w:val="HeaderCoverPage"/>
    <w:rPr>
      <w:rFonts w:ascii="Times New Roman" w:eastAsiaTheme="majorEastAsia" w:hAnsi="Times New Roman" w:cstheme="majorBidi"/>
      <w:b w:val="0"/>
      <w:smallCaps w:val="0"/>
      <w:color w:val="000000" w:themeColor="text1"/>
      <w:sz w:val="24"/>
      <w:szCs w:val="32"/>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TOCHeadingChar"/>
    <w:link w:val="HeaderSensitivity"/>
    <w:rPr>
      <w:rFonts w:ascii="Times New Roman" w:eastAsiaTheme="majorEastAsia" w:hAnsi="Times New Roman" w:cstheme="majorBidi"/>
      <w:b/>
      <w:smallCaps w:val="0"/>
      <w:color w:val="000000" w:themeColor="text1"/>
      <w:sz w:val="32"/>
      <w:szCs w:val="32"/>
      <w:lang w:val="es-ES_tradnl"/>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TOCHeadingChar"/>
    <w:link w:val="HeaderSensitivityRight"/>
    <w:rPr>
      <w:rFonts w:ascii="Times New Roman" w:eastAsiaTheme="majorEastAsia" w:hAnsi="Times New Roman" w:cstheme="majorBidi"/>
      <w:b w:val="0"/>
      <w:smallCaps w:val="0"/>
      <w:color w:val="000000" w:themeColor="text1"/>
      <w:sz w:val="28"/>
      <w:szCs w:val="32"/>
      <w:lang w:val="es-ES_tradn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4"/>
      </w:numPr>
      <w:spacing w:line="360" w:lineRule="auto"/>
    </w:pPr>
  </w:style>
  <w:style w:type="paragraph" w:customStyle="1" w:styleId="LegalNumPar2">
    <w:name w:val="LegalNumPar2"/>
    <w:basedOn w:val="Normal"/>
    <w:pPr>
      <w:numPr>
        <w:ilvl w:val="1"/>
        <w:numId w:val="4"/>
      </w:numPr>
      <w:spacing w:line="360" w:lineRule="auto"/>
    </w:pPr>
  </w:style>
  <w:style w:type="paragraph" w:customStyle="1" w:styleId="LegalNumPar3">
    <w:name w:val="LegalNumPar3"/>
    <w:basedOn w:val="Normal"/>
    <w:pPr>
      <w:numPr>
        <w:ilvl w:val="2"/>
        <w:numId w:val="4"/>
      </w:numPr>
      <w:spacing w:line="360" w:lineRule="auto"/>
    </w:pPr>
  </w:style>
  <w:style w:type="paragraph" w:styleId="ListParagraph">
    <w:name w:val="List Paragraph"/>
    <w:aliases w:val="Bullet Paragraph,List Paragraph1,Lijstalinea,Bullet List Paragraph,Lettre d'introduction,1st level - Bullet List Paragraph,Bulletpoints,Heading 2_sj,Normal bullet 2,Bullet list,Listenabsatz1,OM numbered bullets,Table of contents numbered"/>
    <w:basedOn w:val="Normal"/>
    <w:link w:val="ListParagraphChar"/>
    <w:uiPriority w:val="34"/>
    <w:qFormat/>
    <w:pPr>
      <w:spacing w:after="0" w:line="240" w:lineRule="auto"/>
      <w:ind w:left="720"/>
    </w:pPr>
    <w:rPr>
      <w:rFonts w:ascii="Calibri" w:hAnsi="Calibri" w:cs="Calibr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e24kjd">
    <w:name w:val="e24kjd"/>
    <w:basedOn w:val="DefaultParagraphFont"/>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eastAsia="Times New Roman" w:cs="Times New Roman"/>
      <w:b/>
      <w:szCs w:val="24"/>
      <w:lang w:eastAsia="de-D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eastAsia="en-GB"/>
    </w:rPr>
  </w:style>
  <w:style w:type="character" w:customStyle="1" w:styleId="ListParagraphChar">
    <w:name w:val="List Paragraph Char"/>
    <w:aliases w:val="Bullet Paragraph Char,List Paragraph1 Char,Lijstalinea Char,Bullet List Paragraph Char,Lettre d'introduction Char,1st level - Bullet List Paragraph Char,Bulletpoints Char,Heading 2_sj Char,Normal bullet 2 Char,Bullet list Char"/>
    <w:basedOn w:val="DefaultParagraphFont"/>
    <w:link w:val="ListParagraph"/>
    <w:uiPriority w:val="34"/>
    <w:qFormat/>
    <w:locked/>
    <w:rPr>
      <w:rFonts w:ascii="Calibri" w:hAnsi="Calibri" w:cs="Calibri"/>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val="es-ES_tradnl"/>
    </w:rPr>
  </w:style>
  <w:style w:type="paragraph" w:styleId="Heading1">
    <w:name w:val="heading 1"/>
    <w:basedOn w:val="Normal"/>
    <w:next w:val="Normal"/>
    <w:link w:val="Heading1Char"/>
    <w:uiPriority w:val="9"/>
    <w:qFormat/>
    <w:pPr>
      <w:keepNext/>
      <w:keepLines/>
      <w:spacing w:before="600" w:after="360"/>
      <w:outlineLvl w:val="0"/>
    </w:pPr>
    <w:rPr>
      <w:rFonts w:eastAsiaTheme="majorEastAsia" w:cstheme="majorBidi"/>
      <w:b/>
      <w:smallCaps/>
      <w:color w:val="000000" w:themeColor="text1"/>
      <w:sz w:val="28"/>
      <w:szCs w:val="32"/>
    </w:rPr>
  </w:style>
  <w:style w:type="paragraph" w:styleId="Heading2">
    <w:name w:val="heading 2"/>
    <w:basedOn w:val="Normal"/>
    <w:next w:val="Normal"/>
    <w:link w:val="Heading2Char"/>
    <w:uiPriority w:val="9"/>
    <w:unhideWhenUsed/>
    <w:qFormat/>
    <w:pPr>
      <w:keepNext/>
      <w:keepLines/>
      <w:spacing w:before="360" w:after="36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mallCaps/>
      <w:color w:val="000000" w:themeColor="text1"/>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styleId="TOCHeading">
    <w:name w:val="TOC Heading"/>
    <w:basedOn w:val="Heading1"/>
    <w:next w:val="Normal"/>
    <w:link w:val="TOCHeadingChar"/>
    <w:uiPriority w:val="39"/>
    <w:unhideWhenUsed/>
    <w:qFormat/>
    <w:pPr>
      <w:spacing w:line="259" w:lineRule="auto"/>
      <w:outlineLvl w:val="9"/>
    </w:pPr>
  </w:style>
  <w:style w:type="paragraph" w:styleId="FootnoteText">
    <w:name w:val="footnote text"/>
    <w:aliases w:val="Fußnotentext Char1,Fußnotentext Char Char,Fußnotentext Char1 Char Char,Fußnotentext Char Char Char Char,Fußnotentext Char1 Char Char Char Char,Fußnotentext Char Char Char Char Char Char,Fußnotentext Char Char1 Char Char,Footnote,Fußnote,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ntext Char1 Char,Fußnotentext Char Char Char,Fußnotentext Char1 Char Char Char,Fußnotentext Char Char Char Char Char,Fußnotentext Char1 Char Char Char Char Char,Fußnotentext Char Char Char Char Char Char Char,Footnote Char"/>
    <w:basedOn w:val="DefaultParagraphFont"/>
    <w:link w:val="FootnoteText"/>
    <w:uiPriority w:val="99"/>
    <w:rPr>
      <w:rFonts w:ascii="Times New Roman" w:hAnsi="Times New Roman"/>
      <w:sz w:val="20"/>
      <w:szCs w:val="20"/>
    </w:rPr>
  </w:style>
  <w:style w:type="character" w:styleId="FootnoteReference">
    <w:name w:val="footnote reference"/>
    <w:aliases w:val="number,SUPERS,Footnote Reference Superscript,-E Fuﬂnotenzeichen,-E Fuûnotenzeichen,-E Fußnotenzeichen,EN Footnote Reference,Footnote number,stylish,Footnote symbol,(Footnote Reference),Footnote reference number,note TESI,BVI fnr,ftref"/>
    <w:basedOn w:val="DefaultParagraphFont"/>
    <w:link w:val="BVIfnrChar"/>
    <w:uiPriority w:val="99"/>
    <w:unhideWhenUsed/>
    <w:qFormat/>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pPr>
      <w:spacing w:after="160" w:line="240" w:lineRule="exact"/>
    </w:pPr>
    <w:rPr>
      <w:rFonts w:asciiTheme="minorHAnsi" w:hAnsiTheme="minorHAnsi"/>
      <w:sz w:val="22"/>
      <w:vertAlign w:val="superscript"/>
    </w:r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ind w:left="240"/>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TOCHeadingChar">
    <w:name w:val="TOC Heading Char"/>
    <w:basedOn w:val="Heading1Char"/>
    <w:link w:val="TOCHeading"/>
    <w:uiPriority w:val="39"/>
    <w:rPr>
      <w:rFonts w:ascii="Times New Roman" w:eastAsiaTheme="majorEastAsia" w:hAnsi="Times New Roman" w:cstheme="majorBidi"/>
      <w:b/>
      <w:smallCaps/>
      <w:color w:val="000000" w:themeColor="text1"/>
      <w:sz w:val="28"/>
      <w:szCs w:val="32"/>
      <w:lang w:val="es-ES"/>
    </w:rPr>
  </w:style>
  <w:style w:type="character" w:customStyle="1" w:styleId="FooterCoverPageChar">
    <w:name w:val="Footer Cover Page Char"/>
    <w:basedOn w:val="TOCHeadingChar"/>
    <w:link w:val="FooterCoverPage"/>
    <w:rPr>
      <w:rFonts w:ascii="Times New Roman" w:eastAsiaTheme="majorEastAsia" w:hAnsi="Times New Roman" w:cstheme="majorBidi"/>
      <w:b w:val="0"/>
      <w:smallCaps w:val="0"/>
      <w:color w:val="000000" w:themeColor="text1"/>
      <w:sz w:val="24"/>
      <w:szCs w:val="32"/>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OCHeadingChar"/>
    <w:link w:val="FooterSensitivity"/>
    <w:rPr>
      <w:rFonts w:ascii="Times New Roman" w:eastAsiaTheme="majorEastAsia" w:hAnsi="Times New Roman" w:cstheme="majorBidi"/>
      <w:b/>
      <w:smallCaps w:val="0"/>
      <w:color w:val="000000" w:themeColor="text1"/>
      <w:sz w:val="32"/>
      <w:szCs w:val="32"/>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TOCHeadingChar"/>
    <w:link w:val="HeaderCoverPage"/>
    <w:rPr>
      <w:rFonts w:ascii="Times New Roman" w:eastAsiaTheme="majorEastAsia" w:hAnsi="Times New Roman" w:cstheme="majorBidi"/>
      <w:b w:val="0"/>
      <w:smallCaps w:val="0"/>
      <w:color w:val="000000" w:themeColor="text1"/>
      <w:sz w:val="24"/>
      <w:szCs w:val="32"/>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TOCHeadingChar"/>
    <w:link w:val="HeaderSensitivity"/>
    <w:rPr>
      <w:rFonts w:ascii="Times New Roman" w:eastAsiaTheme="majorEastAsia" w:hAnsi="Times New Roman" w:cstheme="majorBidi"/>
      <w:b/>
      <w:smallCaps w:val="0"/>
      <w:color w:val="000000" w:themeColor="text1"/>
      <w:sz w:val="32"/>
      <w:szCs w:val="32"/>
      <w:lang w:val="es-ES_tradnl"/>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TOCHeadingChar"/>
    <w:link w:val="HeaderSensitivityRight"/>
    <w:rPr>
      <w:rFonts w:ascii="Times New Roman" w:eastAsiaTheme="majorEastAsia" w:hAnsi="Times New Roman" w:cstheme="majorBidi"/>
      <w:b w:val="0"/>
      <w:smallCaps w:val="0"/>
      <w:color w:val="000000" w:themeColor="text1"/>
      <w:sz w:val="28"/>
      <w:szCs w:val="32"/>
      <w:lang w:val="es-ES_tradn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4"/>
      </w:numPr>
      <w:spacing w:line="360" w:lineRule="auto"/>
    </w:pPr>
  </w:style>
  <w:style w:type="paragraph" w:customStyle="1" w:styleId="LegalNumPar2">
    <w:name w:val="LegalNumPar2"/>
    <w:basedOn w:val="Normal"/>
    <w:pPr>
      <w:numPr>
        <w:ilvl w:val="1"/>
        <w:numId w:val="4"/>
      </w:numPr>
      <w:spacing w:line="360" w:lineRule="auto"/>
    </w:pPr>
  </w:style>
  <w:style w:type="paragraph" w:customStyle="1" w:styleId="LegalNumPar3">
    <w:name w:val="LegalNumPar3"/>
    <w:basedOn w:val="Normal"/>
    <w:pPr>
      <w:numPr>
        <w:ilvl w:val="2"/>
        <w:numId w:val="4"/>
      </w:numPr>
      <w:spacing w:line="360" w:lineRule="auto"/>
    </w:pPr>
  </w:style>
  <w:style w:type="paragraph" w:styleId="ListParagraph">
    <w:name w:val="List Paragraph"/>
    <w:aliases w:val="Bullet Paragraph,List Paragraph1,Lijstalinea,Bullet List Paragraph,Lettre d'introduction,1st level - Bullet List Paragraph,Bulletpoints,Heading 2_sj,Normal bullet 2,Bullet list,Listenabsatz1,OM numbered bullets,Table of contents numbered"/>
    <w:basedOn w:val="Normal"/>
    <w:link w:val="ListParagraphChar"/>
    <w:uiPriority w:val="34"/>
    <w:qFormat/>
    <w:pPr>
      <w:spacing w:after="0" w:line="240" w:lineRule="auto"/>
      <w:ind w:left="720"/>
    </w:pPr>
    <w:rPr>
      <w:rFonts w:ascii="Calibri" w:hAnsi="Calibri" w:cs="Calibr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e24kjd">
    <w:name w:val="e24kjd"/>
    <w:basedOn w:val="DefaultParagraphFont"/>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eastAsia="Times New Roman" w:cs="Times New Roman"/>
      <w:b/>
      <w:szCs w:val="24"/>
      <w:lang w:eastAsia="de-D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eastAsia="en-GB"/>
    </w:rPr>
  </w:style>
  <w:style w:type="character" w:customStyle="1" w:styleId="ListParagraphChar">
    <w:name w:val="List Paragraph Char"/>
    <w:aliases w:val="Bullet Paragraph Char,List Paragraph1 Char,Lijstalinea Char,Bullet List Paragraph Char,Lettre d'introduction Char,1st level - Bullet List Paragraph Char,Bulletpoints Char,Heading 2_sj Char,Normal bullet 2 Char,Bullet list Char"/>
    <w:basedOn w:val="DefaultParagraphFont"/>
    <w:link w:val="ListParagraph"/>
    <w:uiPriority w:val="34"/>
    <w:qFormat/>
    <w:locked/>
    <w:rPr>
      <w:rFonts w:ascii="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252">
      <w:bodyDiv w:val="1"/>
      <w:marLeft w:val="0"/>
      <w:marRight w:val="0"/>
      <w:marTop w:val="0"/>
      <w:marBottom w:val="0"/>
      <w:divBdr>
        <w:top w:val="none" w:sz="0" w:space="0" w:color="auto"/>
        <w:left w:val="none" w:sz="0" w:space="0" w:color="auto"/>
        <w:bottom w:val="none" w:sz="0" w:space="0" w:color="auto"/>
        <w:right w:val="none" w:sz="0" w:space="0" w:color="auto"/>
      </w:divBdr>
    </w:div>
    <w:div w:id="609968686">
      <w:bodyDiv w:val="1"/>
      <w:marLeft w:val="0"/>
      <w:marRight w:val="0"/>
      <w:marTop w:val="0"/>
      <w:marBottom w:val="0"/>
      <w:divBdr>
        <w:top w:val="none" w:sz="0" w:space="0" w:color="auto"/>
        <w:left w:val="none" w:sz="0" w:space="0" w:color="auto"/>
        <w:bottom w:val="none" w:sz="0" w:space="0" w:color="auto"/>
        <w:right w:val="none" w:sz="0" w:space="0" w:color="auto"/>
      </w:divBdr>
    </w:div>
    <w:div w:id="992370353">
      <w:bodyDiv w:val="1"/>
      <w:marLeft w:val="0"/>
      <w:marRight w:val="0"/>
      <w:marTop w:val="0"/>
      <w:marBottom w:val="0"/>
      <w:divBdr>
        <w:top w:val="none" w:sz="0" w:space="0" w:color="auto"/>
        <w:left w:val="none" w:sz="0" w:space="0" w:color="auto"/>
        <w:bottom w:val="none" w:sz="0" w:space="0" w:color="auto"/>
        <w:right w:val="none" w:sz="0" w:space="0" w:color="auto"/>
      </w:divBdr>
    </w:div>
    <w:div w:id="17326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cec/sg/vista/home?documentDetails&amp;DocRef=C/2017/7693&amp;ComCat=SPIN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NET1.cec.eu.int\homes\115\topoupe\My%20Documents\Petar\Reporting%20December\Risk%20and%20Performance%20Report%20Working%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'EFSD Working'!$C$115</c:f>
              <c:strCache>
                <c:ptCount val="1"/>
                <c:pt idx="0">
                  <c:v>%</c:v>
                </c:pt>
              </c:strCache>
            </c:strRef>
          </c:tx>
          <c:dPt>
            <c:idx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1C8C-410A-8C76-EC8C542AE899}"/>
              </c:ext>
            </c:extLst>
          </c:dPt>
          <c:dPt>
            <c:idx val="1"/>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3-1C8C-410A-8C76-EC8C542AE899}"/>
              </c:ext>
            </c:extLst>
          </c:dPt>
          <c:dPt>
            <c:idx val="2"/>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5-1C8C-410A-8C76-EC8C542AE899}"/>
              </c:ext>
            </c:extLst>
          </c:dPt>
          <c:dPt>
            <c:idx val="3"/>
            <c:bubble3D val="0"/>
            <c:spPr>
              <a:solidFill>
                <a:schemeClr val="accent6">
                  <a:lumMod val="60000"/>
                </a:schemeClr>
              </a:solidFill>
              <a:ln>
                <a:noFill/>
              </a:ln>
              <a:effectLst/>
            </c:spPr>
            <c:extLst xmlns:c16r2="http://schemas.microsoft.com/office/drawing/2015/06/chart">
              <c:ext xmlns:c16="http://schemas.microsoft.com/office/drawing/2014/chart" uri="{C3380CC4-5D6E-409C-BE32-E72D297353CC}">
                <c16:uniqueId val="{00000007-1C8C-410A-8C76-EC8C542AE899}"/>
              </c:ext>
            </c:extLst>
          </c:dPt>
          <c:dPt>
            <c:idx val="4"/>
            <c:bubble3D val="0"/>
            <c:spPr>
              <a:solidFill>
                <a:schemeClr val="accent5">
                  <a:lumMod val="60000"/>
                </a:schemeClr>
              </a:solidFill>
              <a:ln>
                <a:noFill/>
              </a:ln>
              <a:effectLst/>
            </c:spPr>
            <c:extLst xmlns:c16r2="http://schemas.microsoft.com/office/drawing/2015/06/chart">
              <c:ext xmlns:c16="http://schemas.microsoft.com/office/drawing/2014/chart" uri="{C3380CC4-5D6E-409C-BE32-E72D297353CC}">
                <c16:uniqueId val="{00000009-1C8C-410A-8C76-EC8C542AE899}"/>
              </c:ext>
            </c:extLst>
          </c:dPt>
          <c:dPt>
            <c:idx val="5"/>
            <c:bubble3D val="0"/>
            <c:spPr>
              <a:solidFill>
                <a:schemeClr val="accent4">
                  <a:lumMod val="60000"/>
                </a:schemeClr>
              </a:solidFill>
              <a:ln>
                <a:noFill/>
              </a:ln>
              <a:effectLst/>
            </c:spPr>
            <c:extLst xmlns:c16r2="http://schemas.microsoft.com/office/drawing/2015/06/chart">
              <c:ext xmlns:c16="http://schemas.microsoft.com/office/drawing/2014/chart" uri="{C3380CC4-5D6E-409C-BE32-E72D297353CC}">
                <c16:uniqueId val="{0000000B-1C8C-410A-8C76-EC8C542AE899}"/>
              </c:ext>
            </c:extLst>
          </c:dPt>
          <c:dPt>
            <c:idx val="6"/>
            <c:bubble3D val="0"/>
            <c:spPr>
              <a:solidFill>
                <a:schemeClr val="accent6">
                  <a:lumMod val="80000"/>
                  <a:lumOff val="20000"/>
                </a:schemeClr>
              </a:solidFill>
              <a:ln>
                <a:noFill/>
              </a:ln>
              <a:effectLst/>
            </c:spPr>
            <c:extLst xmlns:c16r2="http://schemas.microsoft.com/office/drawing/2015/06/chart">
              <c:ext xmlns:c16="http://schemas.microsoft.com/office/drawing/2014/chart" uri="{C3380CC4-5D6E-409C-BE32-E72D297353CC}">
                <c16:uniqueId val="{0000000D-1C8C-410A-8C76-EC8C542AE899}"/>
              </c:ext>
            </c:extLst>
          </c:dPt>
          <c:dPt>
            <c:idx val="7"/>
            <c:bubble3D val="0"/>
            <c:spPr>
              <a:solidFill>
                <a:schemeClr val="accent5">
                  <a:lumMod val="80000"/>
                  <a:lumOff val="20000"/>
                </a:schemeClr>
              </a:solidFill>
              <a:ln>
                <a:noFill/>
              </a:ln>
              <a:effectLst/>
            </c:spPr>
            <c:extLst xmlns:c16r2="http://schemas.microsoft.com/office/drawing/2015/06/chart">
              <c:ext xmlns:c16="http://schemas.microsoft.com/office/drawing/2014/chart" uri="{C3380CC4-5D6E-409C-BE32-E72D297353CC}">
                <c16:uniqueId val="{0000000F-1C8C-410A-8C76-EC8C542AE899}"/>
              </c:ext>
            </c:extLst>
          </c:dPt>
          <c:dPt>
            <c:idx val="8"/>
            <c:bubble3D val="0"/>
            <c:spPr>
              <a:solidFill>
                <a:schemeClr val="accent4">
                  <a:lumMod val="80000"/>
                  <a:lumOff val="20000"/>
                </a:schemeClr>
              </a:solidFill>
              <a:ln>
                <a:noFill/>
              </a:ln>
              <a:effectLst/>
            </c:spPr>
            <c:extLst xmlns:c16r2="http://schemas.microsoft.com/office/drawing/2015/06/chart">
              <c:ext xmlns:c16="http://schemas.microsoft.com/office/drawing/2014/chart" uri="{C3380CC4-5D6E-409C-BE32-E72D297353CC}">
                <c16:uniqueId val="{00000011-1C8C-410A-8C76-EC8C542AE899}"/>
              </c:ext>
            </c:extLst>
          </c:dPt>
          <c:dPt>
            <c:idx val="9"/>
            <c:bubble3D val="0"/>
            <c:spPr>
              <a:solidFill>
                <a:schemeClr val="accent6">
                  <a:lumMod val="80000"/>
                </a:schemeClr>
              </a:solidFill>
              <a:ln>
                <a:noFill/>
              </a:ln>
              <a:effectLst/>
            </c:spPr>
            <c:extLst xmlns:c16r2="http://schemas.microsoft.com/office/drawing/2015/06/chart">
              <c:ext xmlns:c16="http://schemas.microsoft.com/office/drawing/2014/chart" uri="{C3380CC4-5D6E-409C-BE32-E72D297353CC}">
                <c16:uniqueId val="{00000013-1C8C-410A-8C76-EC8C542AE899}"/>
              </c:ext>
            </c:extLst>
          </c:dPt>
          <c:dPt>
            <c:idx val="10"/>
            <c:bubble3D val="0"/>
            <c:spPr>
              <a:solidFill>
                <a:schemeClr val="accent5">
                  <a:lumMod val="80000"/>
                </a:schemeClr>
              </a:solidFill>
              <a:ln>
                <a:noFill/>
              </a:ln>
              <a:effectLst/>
            </c:spPr>
            <c:extLst xmlns:c16r2="http://schemas.microsoft.com/office/drawing/2015/06/chart">
              <c:ext xmlns:c16="http://schemas.microsoft.com/office/drawing/2014/chart" uri="{C3380CC4-5D6E-409C-BE32-E72D297353CC}">
                <c16:uniqueId val="{00000015-1C8C-410A-8C76-EC8C542AE899}"/>
              </c:ext>
            </c:extLst>
          </c:dPt>
          <c:dPt>
            <c:idx val="11"/>
            <c:bubble3D val="0"/>
            <c:spPr>
              <a:solidFill>
                <a:schemeClr val="accent4">
                  <a:lumMod val="80000"/>
                </a:schemeClr>
              </a:solidFill>
              <a:ln>
                <a:noFill/>
              </a:ln>
              <a:effectLst/>
            </c:spPr>
            <c:extLst xmlns:c16r2="http://schemas.microsoft.com/office/drawing/2015/06/chart">
              <c:ext xmlns:c16="http://schemas.microsoft.com/office/drawing/2014/chart" uri="{C3380CC4-5D6E-409C-BE32-E72D297353CC}">
                <c16:uniqueId val="{00000017-1C8C-410A-8C76-EC8C542AE899}"/>
              </c:ext>
            </c:extLst>
          </c:dPt>
          <c:dPt>
            <c:idx val="12"/>
            <c:bubble3D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19-1C8C-410A-8C76-EC8C542AE899}"/>
              </c:ext>
            </c:extLst>
          </c:dPt>
          <c:dPt>
            <c:idx val="13"/>
            <c:bubble3D val="0"/>
            <c:spPr>
              <a:solidFill>
                <a:schemeClr val="accent5">
                  <a:lumMod val="60000"/>
                  <a:lumOff val="40000"/>
                </a:schemeClr>
              </a:solidFill>
              <a:ln>
                <a:noFill/>
              </a:ln>
              <a:effectLst/>
            </c:spPr>
            <c:extLst xmlns:c16r2="http://schemas.microsoft.com/office/drawing/2015/06/chart">
              <c:ext xmlns:c16="http://schemas.microsoft.com/office/drawing/2014/chart" uri="{C3380CC4-5D6E-409C-BE32-E72D297353CC}">
                <c16:uniqueId val="{0000001B-1C8C-410A-8C76-EC8C542AE899}"/>
              </c:ext>
            </c:extLst>
          </c:dPt>
          <c:dPt>
            <c:idx val="14"/>
            <c:bubble3D val="0"/>
            <c:spPr>
              <a:solidFill>
                <a:schemeClr val="accent4">
                  <a:lumMod val="60000"/>
                  <a:lumOff val="40000"/>
                </a:schemeClr>
              </a:solidFill>
              <a:ln>
                <a:noFill/>
              </a:ln>
              <a:effectLst/>
            </c:spPr>
            <c:extLst xmlns:c16r2="http://schemas.microsoft.com/office/drawing/2015/06/chart">
              <c:ext xmlns:c16="http://schemas.microsoft.com/office/drawing/2014/chart" uri="{C3380CC4-5D6E-409C-BE32-E72D297353CC}">
                <c16:uniqueId val="{0000001D-1C8C-410A-8C76-EC8C542AE899}"/>
              </c:ext>
            </c:extLst>
          </c:dPt>
          <c:dLbls>
            <c:dLbl>
              <c:idx val="1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1C8C-410A-8C76-EC8C542AE89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15:layout/>
              </c:ext>
            </c:extLst>
          </c:dLbls>
          <c:cat>
            <c:strRef>
              <c:f>'EFSD Working'!$E$116:$E$130</c:f>
              <c:strCache>
                <c:ptCount val="15"/>
                <c:pt idx="0">
                  <c:v>BB-</c:v>
                </c:pt>
                <c:pt idx="1">
                  <c:v>BBB-</c:v>
                </c:pt>
                <c:pt idx="2">
                  <c:v>BBB</c:v>
                </c:pt>
                <c:pt idx="3">
                  <c:v>BBB+</c:v>
                </c:pt>
                <c:pt idx="4">
                  <c:v>A-</c:v>
                </c:pt>
                <c:pt idx="5">
                  <c:v>A</c:v>
                </c:pt>
                <c:pt idx="6">
                  <c:v>A+</c:v>
                </c:pt>
                <c:pt idx="7">
                  <c:v>AA-</c:v>
                </c:pt>
                <c:pt idx="8">
                  <c:v>AA</c:v>
                </c:pt>
                <c:pt idx="9">
                  <c:v>AA+</c:v>
                </c:pt>
                <c:pt idx="10">
                  <c:v>AAA</c:v>
                </c:pt>
                <c:pt idx="11">
                  <c:v>MMF (A-)</c:v>
                </c:pt>
                <c:pt idx="12">
                  <c:v>MMF (A)</c:v>
                </c:pt>
                <c:pt idx="13">
                  <c:v>Callable deposits (AA)</c:v>
                </c:pt>
                <c:pt idx="14">
                  <c:v>Cash (AAA)</c:v>
                </c:pt>
              </c:strCache>
            </c:strRef>
          </c:cat>
          <c:val>
            <c:numRef>
              <c:f>'EFSD Working'!$C$116:$C$130</c:f>
              <c:numCache>
                <c:formatCode>0.0%</c:formatCode>
                <c:ptCount val="15"/>
                <c:pt idx="0">
                  <c:v>2.9856315056838036E-2</c:v>
                </c:pt>
                <c:pt idx="1">
                  <c:v>0.103433669227427</c:v>
                </c:pt>
                <c:pt idx="2">
                  <c:v>2.0815994584177173E-2</c:v>
                </c:pt>
                <c:pt idx="3">
                  <c:v>6.358393866312045E-3</c:v>
                </c:pt>
                <c:pt idx="4">
                  <c:v>8.8246292849875313E-2</c:v>
                </c:pt>
                <c:pt idx="5">
                  <c:v>5.7857111413592927E-2</c:v>
                </c:pt>
                <c:pt idx="6">
                  <c:v>2.8423354144226129E-2</c:v>
                </c:pt>
                <c:pt idx="7">
                  <c:v>7.514666319804636E-2</c:v>
                </c:pt>
                <c:pt idx="8">
                  <c:v>0.12180312504119194</c:v>
                </c:pt>
                <c:pt idx="9">
                  <c:v>6.504305847750616E-2</c:v>
                </c:pt>
                <c:pt idx="10">
                  <c:v>0.12571298551461385</c:v>
                </c:pt>
                <c:pt idx="11">
                  <c:v>2.486773315134683E-2</c:v>
                </c:pt>
                <c:pt idx="12">
                  <c:v>0.11295309702445601</c:v>
                </c:pt>
                <c:pt idx="13">
                  <c:v>0</c:v>
                </c:pt>
                <c:pt idx="14">
                  <c:v>0.13948220645039022</c:v>
                </c:pt>
              </c:numCache>
            </c:numRef>
          </c:val>
          <c:extLst xmlns:c16r2="http://schemas.microsoft.com/office/drawing/2015/06/chart">
            <c:ext xmlns:c16="http://schemas.microsoft.com/office/drawing/2014/chart" uri="{C3380CC4-5D6E-409C-BE32-E72D297353CC}">
              <c16:uniqueId val="{0000001E-1C8C-410A-8C76-EC8C542AE89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8A27160-E3F8-4920-B751-F98FBEAA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3197</Words>
  <Characters>16017</Characters>
  <Application>Microsoft Office Word</Application>
  <DocSecurity>0</DocSecurity>
  <Lines>432</Lines>
  <Paragraphs>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2021-06-09T07:51:00Z</dcterms:created>
  <dcterms:modified xsi:type="dcterms:W3CDTF">2021-07-15T15:46:00Z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CP-035</vt:lpwstr>
  </property>
  <property fmtid="{D5CDD505-2E9C-101B-9397-08002B2CF9AE}" pid="7" name="Last edited using">
    <vt:lpwstr>LW 7.0.1, Build 20200226</vt:lpwstr>
  </property>
  <property fmtid="{D5CDD505-2E9C-101B-9397-08002B2CF9AE}" pid="8" name="Created using">
    <vt:lpwstr>LW 7.0.1, Build 20190916</vt:lpwstr>
  </property>
  <property name="OP_sanitized" fmtid="{D5CDD505-2E9C-101B-9397-08002B2CF9AE}" pid="9">
    <vt:lpwstr>True</vt:lpwstr>
  </property>
</Properties>
</file>