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EC6AE83C-1A03-4E15-A9D8-0F7862A0586A" style="width:455.15pt;height:351.85pt">
            <v:imagedata r:id="rId14" o:title=""/>
          </v:shape>
        </w:pict>
      </w:r>
    </w:p>
    <w:bookmarkEnd w:id="0"/>
    <w:p>
      <w:pPr>
        <w:rPr>
          <w:noProof/>
          <w:lang w:val="en-IE"/>
        </w:rPr>
        <w:sectPr>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60"/>
        </w:sectPr>
      </w:pPr>
    </w:p>
    <w:p>
      <w:pPr>
        <w:pStyle w:val="ListParagraph"/>
        <w:spacing w:after="240"/>
        <w:ind w:left="0"/>
        <w:jc w:val="center"/>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INFORME DE LA COMISIÓN AL PARLAMENTO EUROPEO Y AL CONSEJO</w:t>
      </w:r>
    </w:p>
    <w:p>
      <w:pPr>
        <w:pStyle w:val="ListParagraph"/>
        <w:spacing w:after="240"/>
        <w:ind w:left="0"/>
        <w:jc w:val="center"/>
        <w:rPr>
          <w:rFonts w:ascii="Times New Roman" w:hAnsi="Times New Roman" w:cs="Times New Roman"/>
          <w:b/>
          <w:noProof/>
          <w:sz w:val="24"/>
          <w:szCs w:val="24"/>
        </w:rPr>
      </w:pPr>
    </w:p>
    <w:p>
      <w:pPr>
        <w:pStyle w:val="ListParagraph"/>
        <w:ind w:left="426"/>
        <w:jc w:val="center"/>
        <w:rPr>
          <w:rFonts w:ascii="Times New Roman" w:hAnsi="Times New Roman" w:cs="Times New Roman"/>
          <w:b/>
          <w:noProof/>
          <w:color w:val="000000"/>
          <w:sz w:val="24"/>
          <w:szCs w:val="24"/>
        </w:rPr>
      </w:pPr>
      <w:r>
        <w:rPr>
          <w:rFonts w:ascii="Times New Roman" w:hAnsi="Times New Roman"/>
          <w:b/>
          <w:noProof/>
          <w:color w:val="000000"/>
          <w:sz w:val="24"/>
          <w:szCs w:val="24"/>
        </w:rPr>
        <w:t>en virtud del artículo 75 del Reglamento (UE) n.º 909/2014 del Parlamento Europeo y del Consejo, de 23 de julio de 2014, sobre la mejora de la liquidación de valores en la Unión Europea y los depositarios centrales de valores y por el que se modifican las Directivas 98/26/CE y 2014/65/UE y el Reglamento (UE) n.º 236/2012</w:t>
      </w:r>
    </w:p>
    <w:p>
      <w:pPr>
        <w:pStyle w:val="ListParagraph"/>
        <w:ind w:left="426"/>
        <w:jc w:val="center"/>
        <w:rPr>
          <w:rFonts w:ascii="Times New Roman" w:hAnsi="Times New Roman" w:cs="Times New Roman"/>
          <w:b/>
          <w:smallCaps/>
          <w:noProof/>
          <w:sz w:val="24"/>
          <w:szCs w:val="24"/>
        </w:rPr>
      </w:pPr>
    </w:p>
    <w:p>
      <w:pPr>
        <w:pStyle w:val="ListParagraph"/>
        <w:numPr>
          <w:ilvl w:val="0"/>
          <w:numId w:val="36"/>
        </w:numPr>
        <w:ind w:left="426" w:hanging="426"/>
        <w:jc w:val="both"/>
        <w:rPr>
          <w:rFonts w:ascii="Times New Roman" w:hAnsi="Times New Roman" w:cs="Times New Roman"/>
          <w:b/>
          <w:smallCaps/>
          <w:noProof/>
          <w:sz w:val="24"/>
          <w:szCs w:val="24"/>
        </w:rPr>
      </w:pPr>
      <w:r>
        <w:rPr>
          <w:rFonts w:ascii="Times New Roman" w:hAnsi="Times New Roman"/>
          <w:b/>
          <w:smallCaps/>
          <w:noProof/>
          <w:sz w:val="24"/>
          <w:szCs w:val="24"/>
        </w:rPr>
        <w:t>Introducción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El Reglamento sobre la mejora de la liquidación de valores en la Unión Europea y los depositarios centrales de valores</w:t>
      </w:r>
      <w:r>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xml:space="preserve"> trataba de mejorar la seguridad y la eficiencia de la liquidación, así como ofrecer un conjunto de requisitos comunes de los depositarios centrales de valores (DCV) en toda la UE. Se adoptó en 2014, si bien algunos requisitos no empezaron a aplicarse hasta la adopción, al cabo de unos años, de las normas técnicas de regulación pertinentes.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El artículo 75 del Reglamento sobre liquidación y depositarios centrales de valores exige a la Comisión que revise y elabore un informe general sobre una amplia gama de cuestiones antes del 19 de septiembre de 2019. El informe se pospuso y su ámbito es más reducido que el establecido en el Reglamento sobre liquidación y depositarios centrales de valores debido a los retrasos en la aplicación de algunas de las medidas, así como a la reciente (re)autorización de un número suficiente de DCV conforme al Reglamento sobre liquidación y depositarios centrales de valores como para permitir una evaluación exhaustiva. El artículo 81, apartado 2 </w:t>
      </w:r>
      <w:r>
        <w:rPr>
          <w:rFonts w:ascii="Times New Roman" w:hAnsi="Times New Roman"/>
          <w:i/>
          <w:iCs/>
          <w:noProof/>
          <w:sz w:val="24"/>
          <w:szCs w:val="24"/>
        </w:rPr>
        <w:t>quater</w:t>
      </w:r>
      <w:r>
        <w:rPr>
          <w:rFonts w:ascii="Times New Roman" w:hAnsi="Times New Roman"/>
          <w:noProof/>
          <w:sz w:val="24"/>
          <w:szCs w:val="24"/>
        </w:rPr>
        <w:t>, del Reglamento de la Autoridad Europea de Valores y Mercados</w:t>
      </w:r>
      <w:r>
        <w:rPr>
          <w:rStyle w:val="FootnoteReference"/>
          <w:rFonts w:ascii="Times New Roman" w:hAnsi="Times New Roman" w:cs="Times New Roman"/>
          <w:noProof/>
          <w:sz w:val="24"/>
          <w:szCs w:val="24"/>
          <w:lang w:val="en-IE"/>
        </w:rPr>
        <w:footnoteReference w:id="3"/>
      </w:r>
      <w:r>
        <w:rPr>
          <w:rFonts w:ascii="Times New Roman" w:hAnsi="Times New Roman"/>
          <w:noProof/>
          <w:sz w:val="24"/>
          <w:szCs w:val="24"/>
        </w:rPr>
        <w:t xml:space="preserve"> (AEVM) también exige a la Comisión que evalúe la posible supervisión de los DCV de terceros países por parte de la AEVM.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La Comisión ha llevado a cabo un amplio proceso de consulta para la elaboración del presente informe. En términos generales, el Reglamento sobre liquidación y depositarios centrales de valores está logrando sus objetivos originales de mejorar la eficiencia de la liquidación en la UE y la solidez de los DCV. En algunos ámbitos, la introducción de cambios significativos en el Reglamento sobre liquidación y depositarios centrales de valores sería prematura, dada la aplicación relativamente reciente de los requisitos. No obstante, las partes interesadas han expresado su preocupación por la aplicación de normas concretas que ya resultan de aplicación (a saber, la prestación transfronteriza de servicios, el acceso al dinero de banco comercial y el marco para los DCV de terceros países). El informe final del Foro de Alto Nivel sobre la Unión de los Mercados de Capitales (UMC)</w:t>
      </w:r>
      <w:r>
        <w:rPr>
          <w:rStyle w:val="FootnoteReference"/>
          <w:rFonts w:ascii="Times New Roman" w:hAnsi="Times New Roman" w:cs="Times New Roman"/>
          <w:noProof/>
          <w:sz w:val="24"/>
          <w:szCs w:val="24"/>
          <w:lang w:val="en-IE"/>
        </w:rPr>
        <w:footnoteReference w:id="4"/>
      </w:r>
      <w:r>
        <w:rPr>
          <w:rFonts w:ascii="Times New Roman" w:hAnsi="Times New Roman"/>
          <w:noProof/>
          <w:sz w:val="24"/>
          <w:szCs w:val="24"/>
        </w:rPr>
        <w:t xml:space="preserve"> también recomendó que la Comisión llevara a cabo una revisión específica del Reglamento sobre liquidación y depositarios centrales de valores para reforzar el pasaporte de los DCV y mejorar la convergencia de la supervisión entre las autoridades nacionales competentes, a fin de mejorar la prestación transfronteriza de servicios de liquidación en la UE, fomentar la competencia y generar un ahorro de costes. También se plantearon inquietudes sobre la proporcionalidad del </w:t>
      </w:r>
      <w:r>
        <w:rPr>
          <w:rFonts w:ascii="Times New Roman" w:hAnsi="Times New Roman"/>
          <w:noProof/>
          <w:sz w:val="24"/>
          <w:szCs w:val="24"/>
        </w:rPr>
        <w:lastRenderedPageBreak/>
        <w:t>régimen de disciplina de liquidación y su impacto en la estabilidad financiera. La presión ejercida sobre los mercados por la pandemia de COVID-19 parece arrojar luz sobre algunas de esas preocupaciones.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La Comisión reconoció que es necesario abordar algunas de estas cuestiones y en el nuevo plan de acción de la UMC</w:t>
      </w:r>
      <w:r>
        <w:rPr>
          <w:rStyle w:val="FootnoteReference"/>
          <w:rFonts w:ascii="Times New Roman" w:hAnsi="Times New Roman" w:cs="Times New Roman"/>
          <w:noProof/>
          <w:sz w:val="24"/>
          <w:szCs w:val="24"/>
          <w:lang w:val="en-IE"/>
        </w:rPr>
        <w:footnoteReference w:id="5"/>
      </w:r>
      <w:r>
        <w:rPr>
          <w:rFonts w:ascii="Times New Roman" w:hAnsi="Times New Roman"/>
          <w:noProof/>
          <w:sz w:val="24"/>
          <w:szCs w:val="24"/>
        </w:rPr>
        <w:t>, adoptado en septiembre de 2020, anunció que estudiará la posibilidad de modificar las normas para mejorar la prestación transfronteriza de servicios, a fin de contribuir al desarrollo de un entorno posterior a la negociación más integrado en la UE.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El presente informe resume los principales ámbitos que se están revisando para garantizar el cumplimiento de los objetivos del Reglamento sobre liquidación y depositarios centrales de valores de una manera más proporcionada, eficiente y eficaz. En vista de las importantes cuestiones señaladas, y tal como se anunció en el programa de trabajo de la Comisión para 2021</w:t>
      </w:r>
      <w:r>
        <w:rPr>
          <w:rStyle w:val="FootnoteReference"/>
          <w:rFonts w:ascii="Times New Roman" w:hAnsi="Times New Roman" w:cs="Times New Roman"/>
          <w:noProof/>
          <w:sz w:val="24"/>
          <w:szCs w:val="24"/>
          <w:lang w:val="en-IE"/>
        </w:rPr>
        <w:footnoteReference w:id="6"/>
      </w:r>
      <w:r>
        <w:rPr>
          <w:rFonts w:ascii="Times New Roman" w:hAnsi="Times New Roman"/>
          <w:noProof/>
          <w:sz w:val="24"/>
          <w:szCs w:val="24"/>
        </w:rPr>
        <w:t>, la Comisión estudia la posibilidad de presentar una propuesta legislativa de modificación del Reglamento sobre liquidación y depositarios centrales de valores para mejorar su eficiencia y eficacia (CSDR REFIT), sujeta a una evaluación de impacto que estudiará en mayor profundidad las soluciones más adecuadas.</w:t>
      </w:r>
    </w:p>
    <w:p>
      <w:pPr>
        <w:pStyle w:val="ListParagraph"/>
        <w:keepNext/>
        <w:numPr>
          <w:ilvl w:val="0"/>
          <w:numId w:val="36"/>
        </w:numPr>
        <w:ind w:left="426" w:hanging="426"/>
        <w:jc w:val="both"/>
        <w:rPr>
          <w:rFonts w:ascii="Times New Roman" w:hAnsi="Times New Roman" w:cs="Times New Roman"/>
          <w:b/>
          <w:smallCaps/>
          <w:noProof/>
          <w:sz w:val="24"/>
          <w:szCs w:val="24"/>
        </w:rPr>
      </w:pPr>
      <w:r>
        <w:rPr>
          <w:rFonts w:ascii="Times New Roman" w:hAnsi="Times New Roman"/>
          <w:b/>
          <w:smallCaps/>
          <w:noProof/>
          <w:sz w:val="24"/>
          <w:szCs w:val="24"/>
        </w:rPr>
        <w:t>Reglamento sobre liquidación y depositarios centrales de valores</w:t>
      </w:r>
    </w:p>
    <w:p>
      <w:pPr>
        <w:keepNext/>
        <w:spacing w:line="240" w:lineRule="auto"/>
        <w:jc w:val="both"/>
        <w:rPr>
          <w:rFonts w:ascii="Times New Roman" w:hAnsi="Times New Roman" w:cs="Times New Roman"/>
          <w:noProof/>
          <w:sz w:val="24"/>
          <w:szCs w:val="24"/>
        </w:rPr>
      </w:pPr>
      <w:r>
        <w:rPr>
          <w:rFonts w:ascii="Times New Roman" w:hAnsi="Times New Roman"/>
          <w:noProof/>
          <w:sz w:val="24"/>
          <w:szCs w:val="24"/>
        </w:rPr>
        <w:t>Los DCV</w:t>
      </w:r>
      <w:r>
        <w:rPr>
          <w:rStyle w:val="FootnoteReference"/>
          <w:rFonts w:ascii="Times New Roman" w:hAnsi="Times New Roman" w:cs="Times New Roman"/>
          <w:noProof/>
          <w:sz w:val="24"/>
          <w:szCs w:val="24"/>
          <w:lang w:val="en-IE"/>
        </w:rPr>
        <w:footnoteReference w:id="7"/>
      </w:r>
      <w:r>
        <w:rPr>
          <w:rFonts w:ascii="Times New Roman" w:hAnsi="Times New Roman"/>
          <w:noProof/>
          <w:sz w:val="24"/>
          <w:szCs w:val="24"/>
        </w:rPr>
        <w:t xml:space="preserve"> son entidades financieras de importancia sistémica para los mercados financieros. Desempeñan un papel fundamental en el mercado primario al centralizar el registro inicial de los valores de nueva emisión («servicio de notaría»). Gestionan la infraestructura («sistemas de liquidación de valores») que permite la realización de una operación con valores («liquidación»). También mantienen cuentas de valores que registran cuántos valores se han emitido y por quién, así como cada cambio en la tenencia de estos valores («servicio central de mantenimiento»). Según el Banco Central Europeo (BCE), a finales de 2019 había más de 53 billones EUR en valores en los sistemas de liquidación de valores de la UE, que gestionaron más de 420 millones de instrucciones de entrega por un volumen de negocio total de más de 1 120 billones EUR en ese año</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Los DCV son fundamentales para la financiación de la economía. Además de su papel en el proceso de emisión, las garantías reales en forma de valores aportados por las empresas, los bancos y otras entidades para obtener fondos circulan a través de los sistemas de liquidación de valores gestionados por los DCV. También son fundamentales para la aplicación de la política monetaria, ya que liquidan los valores en las operaciones de política monetaria del banco central.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El Reglamento sobre liquidación y depositarios centrales de valores ha desempeñado un papel fundamental en los esfuerzos de armonización de las actividades posteriores a la negociación en la UE al introducir: </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szCs w:val="24"/>
        </w:rPr>
        <w:t>periodos de liquidación más cortos;</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medidas de disciplina de liquidación (sanciones pecuniarias obligatorias y «recompras» para los fallos en la liquidación e informes de fallos en la liquidación); </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szCs w:val="24"/>
        </w:rPr>
        <w:t>requisitos organizativos, de conducta y prudenciales estrictos para los DCV;</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szCs w:val="24"/>
        </w:rPr>
        <w:t>mayores requisitos prudenciales y de supervisión para los DCV y otras entidades que prestan servicios bancarios que apoyan la liquidación de valores;</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szCs w:val="24"/>
        </w:rPr>
        <w:t>un sistema de pasaporte que permita a los DCV autorizados prestar sus servicios en toda la UE con arreglo a un procedimiento específico.</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El Reglamento sobre liquidación y depositarios centrales de valores también trataba de aplicar en la UE las normas internacionales aplicables a las infraestructuras de los mercados financieros (Principios de CPMI-IOSCO aplicables a las infraestructuras del mercado financiero).</w:t>
      </w:r>
    </w:p>
    <w:p>
      <w:pPr>
        <w:pStyle w:val="ListParagraph"/>
        <w:numPr>
          <w:ilvl w:val="0"/>
          <w:numId w:val="36"/>
        </w:numPr>
        <w:ind w:left="426" w:hanging="426"/>
        <w:jc w:val="both"/>
        <w:rPr>
          <w:rFonts w:ascii="Times New Roman" w:hAnsi="Times New Roman" w:cs="Times New Roman"/>
          <w:b/>
          <w:smallCaps/>
          <w:noProof/>
          <w:sz w:val="24"/>
          <w:szCs w:val="24"/>
        </w:rPr>
      </w:pPr>
      <w:r>
        <w:rPr>
          <w:rFonts w:ascii="Times New Roman" w:hAnsi="Times New Roman"/>
          <w:b/>
          <w:smallCaps/>
          <w:noProof/>
          <w:sz w:val="24"/>
          <w:szCs w:val="24"/>
        </w:rPr>
        <w:t>Aportaciones de las partes interesadas</w:t>
      </w:r>
    </w:p>
    <w:p>
      <w:pPr>
        <w:jc w:val="both"/>
        <w:rPr>
          <w:rFonts w:ascii="Times New Roman" w:hAnsi="Times New Roman" w:cs="Times New Roman"/>
          <w:noProof/>
          <w:sz w:val="24"/>
          <w:szCs w:val="24"/>
        </w:rPr>
      </w:pPr>
      <w:r>
        <w:rPr>
          <w:rFonts w:ascii="Times New Roman" w:hAnsi="Times New Roman"/>
          <w:noProof/>
          <w:sz w:val="24"/>
          <w:szCs w:val="24"/>
        </w:rPr>
        <w:t>En la elaboración del presente informe:</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szCs w:val="24"/>
        </w:rPr>
        <w:t>Reunión del Grupo de Expertos de los Estados miembros, a la que también fueron invitados el Banco Central Europeo (BCE), el Parlamento Europeo y la AEVM (septiembre de 2020);</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szCs w:val="24"/>
        </w:rPr>
        <w:t>la AEVM presentó a la Comisión sus dos primeros informes sobre la implementación del Reglamento sobre liquidación y depositarios centrales de valores (a saber, sobre la liquidación internalizada y la prestación transfronteriza de servicios), tal como exige el artículo 74 del Reglamento sobre liquidación y depositarios centrales de valores (noviembre de 2020). Dos informes adicionales (sobre la utilización de la innovación tecnológica por parte de los DCV y la prestación de servicios auxiliares de tipo bancario) están previstos para mediados de 2021;</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szCs w:val="24"/>
        </w:rPr>
        <w:t>consulta específica sobre la aplicación del Reglamento sobre liquidación y depositarios centrales de valores realizada entre el 8 de diciembre de 2020 y el 2 de febrero de 2021, a la que respondieron noventa y un interesados. En la síntesis de las respuestas se incluye un resumen detallado de las respuestas recibidas</w:t>
      </w:r>
      <w:r>
        <w:rPr>
          <w:rStyle w:val="FootnoteReference"/>
          <w:rFonts w:ascii="Times New Roman" w:hAnsi="Times New Roman" w:cs="Times New Roman"/>
          <w:noProof/>
          <w:sz w:val="24"/>
          <w:szCs w:val="24"/>
          <w:lang w:val="en-IE"/>
        </w:rPr>
        <w:footnoteReference w:id="9"/>
      </w:r>
      <w:r>
        <w:rPr>
          <w:rFonts w:ascii="Times New Roman" w:hAnsi="Times New Roman"/>
          <w:noProof/>
          <w:sz w:val="24"/>
          <w:szCs w:val="24"/>
        </w:rPr>
        <w:t>. La Comisión también recibió respuestas confidenciales. En respuesta a la consulta de la Comisión sobre un marco de la UE para los mercados de criptoactivos</w:t>
      </w:r>
      <w:r>
        <w:rPr>
          <w:rStyle w:val="FootnoteReference"/>
          <w:rFonts w:ascii="Times New Roman" w:hAnsi="Times New Roman" w:cs="Times New Roman"/>
          <w:noProof/>
          <w:sz w:val="24"/>
          <w:szCs w:val="24"/>
          <w:lang w:val="en-IE"/>
        </w:rPr>
        <w:footnoteReference w:id="10"/>
      </w:r>
      <w:r>
        <w:rPr>
          <w:rFonts w:ascii="Times New Roman" w:hAnsi="Times New Roman"/>
          <w:noProof/>
          <w:sz w:val="24"/>
          <w:szCs w:val="24"/>
        </w:rPr>
        <w:t xml:space="preserve">, a la que respondieron ciento noventa y ocho participantes, algunas partes interesadas también plantearon inquietudes relacionadas con el Reglamento sobre liquidación y depositarios centrales de valores. </w:t>
      </w:r>
    </w:p>
    <w:p>
      <w:pPr>
        <w:pStyle w:val="ListParagraph"/>
        <w:ind w:left="426"/>
        <w:jc w:val="both"/>
        <w:rPr>
          <w:rFonts w:ascii="Times New Roman" w:hAnsi="Times New Roman" w:cs="Times New Roman"/>
          <w:b/>
          <w:smallCaps/>
          <w:noProof/>
          <w:sz w:val="24"/>
          <w:szCs w:val="24"/>
        </w:rPr>
      </w:pPr>
    </w:p>
    <w:p>
      <w:pPr>
        <w:pStyle w:val="ListParagraph"/>
        <w:numPr>
          <w:ilvl w:val="0"/>
          <w:numId w:val="36"/>
        </w:numPr>
        <w:ind w:left="426" w:hanging="426"/>
        <w:jc w:val="both"/>
        <w:rPr>
          <w:rFonts w:ascii="Times New Roman" w:hAnsi="Times New Roman" w:cs="Times New Roman"/>
          <w:b/>
          <w:smallCaps/>
          <w:noProof/>
          <w:sz w:val="24"/>
          <w:szCs w:val="24"/>
        </w:rPr>
      </w:pPr>
      <w:r>
        <w:rPr>
          <w:rFonts w:ascii="Times New Roman" w:hAnsi="Times New Roman"/>
          <w:b/>
          <w:smallCaps/>
          <w:noProof/>
          <w:sz w:val="24"/>
          <w:szCs w:val="24"/>
        </w:rPr>
        <w:t>Principales cuestiones señaladas</w:t>
      </w:r>
    </w:p>
    <w:p>
      <w:pPr>
        <w:pStyle w:val="ListParagraph"/>
        <w:jc w:val="both"/>
        <w:rPr>
          <w:rFonts w:ascii="Times New Roman" w:hAnsi="Times New Roman" w:cs="Times New Roman"/>
          <w:b/>
          <w:noProof/>
          <w:sz w:val="24"/>
          <w:szCs w:val="24"/>
          <w:lang w:val="en-IE"/>
        </w:rPr>
      </w:pPr>
    </w:p>
    <w:p>
      <w:pPr>
        <w:pStyle w:val="ListParagraph"/>
        <w:numPr>
          <w:ilvl w:val="1"/>
          <w:numId w:val="36"/>
        </w:numPr>
        <w:spacing w:line="240" w:lineRule="auto"/>
        <w:ind w:left="426" w:hanging="426"/>
        <w:jc w:val="both"/>
        <w:rPr>
          <w:rFonts w:ascii="Times New Roman" w:hAnsi="Times New Roman" w:cs="Times New Roman"/>
          <w:b/>
          <w:noProof/>
          <w:sz w:val="24"/>
          <w:szCs w:val="24"/>
        </w:rPr>
      </w:pPr>
      <w:r>
        <w:rPr>
          <w:rFonts w:ascii="Times New Roman" w:hAnsi="Times New Roman"/>
          <w:b/>
          <w:noProof/>
          <w:sz w:val="24"/>
          <w:szCs w:val="24"/>
        </w:rPr>
        <w:t xml:space="preserve">Aclaración y simplificación de los gravosos requisitos relacionados con la prestación de servicios por parte de los DCV a nivel nacional y transfronterizo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 nivel nacional, los DCV de la UE están sujetos a la autorización y supervisión permanente de las autoridades de su Estado miembro de origen. La mayoría de los participantes en la consulta específica, tanto autoridades públicas como DCV, sostuvieron que la revisión y evaluación anual de los DCV es desproporcionada y tiene un valor añadido limitado. También expresaron su preocupación por la proporcionalidad de la información requerida para estos ejercicios.</w:t>
      </w: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 xml:space="preserve">En la UE, los regímenes de pasaportes permiten a las empresas autorizadas en un Estado miembro prestar sus servicios en todo el mercado único, lo que aumenta la competencia. En otros ámbitos, las autoridades de los Estados miembros de acogida exigen, en principio, unos requisitos adicionales mínimos a las entidades que prestan servicios transfronterizos. Sin embargo, los DCV solo pueden prestar servicios respecto de instrumentos financieros constituidos con arreglo a la legislación de otro Estado miembro en virtud de un procedimiento especial que requiere el consentimiento del Estado miembro de acogida, basado en el cumplimiento por parte del DCV del Derecho de sociedades del Estado miembro de acogida y en la cooperación de las autoridades de origen y de acogida antes, y en algunos casos, después, de la concesión del pasaporte. </w:t>
      </w:r>
    </w:p>
    <w:p>
      <w:pPr>
        <w:spacing w:after="120" w:line="240" w:lineRule="auto"/>
        <w:contextualSpacing/>
        <w:jc w:val="both"/>
        <w:rPr>
          <w:rFonts w:ascii="Times New Roman" w:hAnsi="Times New Roman" w:cs="Times New Roman"/>
          <w:noProof/>
          <w:sz w:val="24"/>
          <w:szCs w:val="24"/>
        </w:rPr>
      </w:pPr>
      <w:r>
        <w:rPr>
          <w:rFonts w:ascii="Times New Roman" w:hAnsi="Times New Roman"/>
          <w:noProof/>
          <w:sz w:val="24"/>
          <w:szCs w:val="20"/>
        </w:rPr>
        <w:t>Las respuestas muestran que la prestación de servicios transfronterizos de los DCV ha sido limitada</w:t>
      </w:r>
      <w:r>
        <w:rPr>
          <w:rFonts w:ascii="Times New Roman" w:eastAsia="Times New Roman" w:hAnsi="Times New Roman" w:cs="Times New Roman"/>
          <w:noProof/>
          <w:sz w:val="24"/>
          <w:szCs w:val="20"/>
          <w:vertAlign w:val="superscript"/>
          <w:lang w:eastAsia="en-GB"/>
        </w:rPr>
        <w:footnoteReference w:id="11"/>
      </w:r>
      <w:r>
        <w:rPr>
          <w:rFonts w:ascii="Times New Roman" w:hAnsi="Times New Roman"/>
          <w:noProof/>
          <w:sz w:val="24"/>
          <w:szCs w:val="20"/>
        </w:rPr>
        <w:t>.</w:t>
      </w:r>
      <w:r>
        <w:rPr>
          <w:rFonts w:ascii="Times New Roman" w:hAnsi="Times New Roman"/>
          <w:noProof/>
          <w:sz w:val="24"/>
          <w:szCs w:val="20"/>
          <w:vertAlign w:val="superscript"/>
        </w:rPr>
        <w:t xml:space="preserve"> </w:t>
      </w:r>
      <w:r>
        <w:rPr>
          <w:rFonts w:ascii="Times New Roman" w:hAnsi="Times New Roman"/>
          <w:noProof/>
          <w:sz w:val="24"/>
          <w:szCs w:val="20"/>
        </w:rPr>
        <w:t>Por ejemplo, según la AEVM, para la mayoría de los DCV la liquidación de valores emitidos por emisores de otros Estados miembros representa menos del 5 % de su actividad de liquidación, si bien en caso de los DCVI esta representa más del 80 % de su actividad.</w:t>
      </w:r>
      <w:r>
        <w:rPr>
          <w:noProof/>
        </w:rPr>
        <w:t xml:space="preserve"> </w:t>
      </w:r>
    </w:p>
    <w:p>
      <w:pPr>
        <w:spacing w:after="120" w:line="240" w:lineRule="auto"/>
        <w:contextualSpacing/>
        <w:jc w:val="both"/>
        <w:rPr>
          <w:rFonts w:ascii="Times New Roman" w:hAnsi="Times New Roman" w:cs="Times New Roman"/>
          <w:noProof/>
          <w:sz w:val="24"/>
          <w:szCs w:val="24"/>
        </w:rPr>
      </w:pP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Por tanto, las partes interesadas pidieron de forma unánime a la Comisión que aclare y simplifique las normas de pasaporte, en particular para reducir la carga administrativa y los costes</w:t>
      </w:r>
      <w:r>
        <w:rPr>
          <w:rFonts w:ascii="Times New Roman" w:hAnsi="Times New Roman"/>
          <w:b/>
          <w:noProof/>
          <w:sz w:val="24"/>
          <w:szCs w:val="20"/>
        </w:rPr>
        <w:t>.</w:t>
      </w:r>
      <w:r>
        <w:rPr>
          <w:rFonts w:ascii="Times New Roman" w:hAnsi="Times New Roman"/>
          <w:noProof/>
          <w:sz w:val="24"/>
          <w:szCs w:val="20"/>
        </w:rPr>
        <w:t xml:space="preserve"> Se sugirieron distintas opciones, que van desde las de mayor alcance (sustituir el procedimiento actual por una simple notificación, como ocurre con otras entidades financieras) a las más técnicas [modificaciones específicas del marco actual, por ejemplo, permitir que determinados instrumentos financieros (por ejemplo, los bonos) sean objeto de servicios transfronterizos sin seguir el procedimiento de pasaporte; la aclaración de la evaluación de las autoridades de origen y de acogida; la normalización del contenido y el formato del procedimiento]. </w:t>
      </w:r>
    </w:p>
    <w:p>
      <w:pPr>
        <w:spacing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Sobre la base de estas respuestas, conviene evaluar las normas relativas a la revisión y evaluación anual de los DCV, en particular su frecuencia y contenido, así como los requisitos de pasaporte del Reglamento sobre liquidación y depositarios centrales de valores.</w:t>
      </w:r>
    </w:p>
    <w:p>
      <w:pPr>
        <w:pStyle w:val="ListParagraph"/>
        <w:keepNext/>
        <w:numPr>
          <w:ilvl w:val="1"/>
          <w:numId w:val="36"/>
        </w:numPr>
        <w:spacing w:line="240" w:lineRule="auto"/>
        <w:ind w:left="426" w:hanging="426"/>
        <w:jc w:val="both"/>
        <w:rPr>
          <w:rFonts w:ascii="Times New Roman" w:hAnsi="Times New Roman" w:cs="Times New Roman"/>
          <w:b/>
          <w:noProof/>
          <w:sz w:val="24"/>
          <w:szCs w:val="24"/>
        </w:rPr>
      </w:pPr>
      <w:r>
        <w:rPr>
          <w:rFonts w:ascii="Times New Roman" w:hAnsi="Times New Roman"/>
          <w:b/>
          <w:noProof/>
          <w:sz w:val="24"/>
          <w:szCs w:val="24"/>
        </w:rPr>
        <w:t>Mejora de la convergencia de la supervisión entre las autoridades que intervienen en la supervisión de los DCV</w:t>
      </w:r>
    </w:p>
    <w:p>
      <w:pPr>
        <w:keepNext/>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Si bien el proceso de (re)autorización ha llevado un tiempo, hoy, prácticamente todos los DCV de la UE han sido autorizados con arreglo al Reglamento sobre liquidación y depositarios centrales de valores; el resto, siempre que hayan sido autorizados conforme a la legislación nacional anteriormente aplicable, siguen operando al amparo de una cláusula de derechos adquiridos. Dado que ya han pasado siete años desde la adopción del Reglamento sobre liquidación y depositarios centrales de valores, muchas partes interesadas se mostraron partidarias de la introducción de una fecha para el final de esta cláusula, a fin de garantizar la igualdad de condiciones entre los DCV de la UE. </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Además, muchas partes interesadas pidieron a la Comisión que mejorara la convergencia de la supervisión en relación con los DCV que operan tanto a escala nacional como transfronteriza. Por ejemplo, la mayoría de los participantes en la consulta específica consideraron que es necesario mejorar la cooperación entre las autoridades y aumentar la convergencia en el proceso de revisión y evaluación debido a los distintos enfoques. También se sugirió aclarar el papel de las autoridades pertinentes en el proceso de autorización y en el procedimiento de revisión y evaluación. </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Además, la divergencia en la aplicación de los requisitos del Reglamento sobre liquidación y depositarios centrales de valores y la insuficiente cooperación entre las autoridades de origen y de acogida obstaculizan la creación de un verdadero mercado único de liquidación. Por tanto, muchas partes interesadas, incluida la AEVM y el Foro de Alto Nivel sobre la UMC, abogaron por una mayor convergencia de la supervisión y una mayor cooperación entre las autoridades. Por ejemplo, la creación de colegios de supervisores para los DCV que utilizan el pasaporte, en los que dicha cooperación está más formalizada y sujeta a normas específicas, es voluntaria y se decide por la autoridad de origen del DCV; En la práctica, hasta la fecha solo se ha creado un colegio.</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Por tanto, debería estudiarse más a fondo la posibilidad de poner fin a la cláusula de derechos adquiridos para los DCV de la UE y las diferentes formas de mejorar la cooperación entre las autoridades y reforzar la convergencia de la supervisión (por ejemplo, mediante la exigencia de colegios obligatorios o la concesión de poderes a la AEVM respecto de las normas técnicas de regulación) a fin de garantizar un verdadero mercado único para los DCV. </w:t>
      </w:r>
    </w:p>
    <w:p>
      <w:pPr>
        <w:pStyle w:val="ListParagraph"/>
        <w:numPr>
          <w:ilvl w:val="1"/>
          <w:numId w:val="36"/>
        </w:numPr>
        <w:spacing w:line="240" w:lineRule="auto"/>
        <w:ind w:left="426" w:hanging="426"/>
        <w:jc w:val="both"/>
        <w:rPr>
          <w:rFonts w:ascii="Times New Roman" w:hAnsi="Times New Roman" w:cs="Times New Roman"/>
          <w:b/>
          <w:noProof/>
          <w:sz w:val="24"/>
          <w:szCs w:val="24"/>
        </w:rPr>
      </w:pPr>
      <w:r>
        <w:rPr>
          <w:rFonts w:ascii="Times New Roman" w:hAnsi="Times New Roman"/>
          <w:b/>
          <w:noProof/>
          <w:sz w:val="24"/>
          <w:szCs w:val="24"/>
        </w:rPr>
        <w:t>Facilitación de la prestación de servicios auxiliares de tipo bancario</w:t>
      </w:r>
    </w:p>
    <w:p>
      <w:pPr>
        <w:pStyle w:val="ListParagraph"/>
        <w:spacing w:line="240" w:lineRule="auto"/>
        <w:ind w:left="426"/>
        <w:jc w:val="both"/>
        <w:rPr>
          <w:rFonts w:ascii="Times New Roman" w:hAnsi="Times New Roman" w:cs="Times New Roman"/>
          <w:b/>
          <w:noProof/>
          <w:sz w:val="24"/>
          <w:szCs w:val="24"/>
        </w:rPr>
      </w:pPr>
    </w:p>
    <w:p>
      <w:pPr>
        <w:pStyle w:val="ListParagraph"/>
        <w:spacing w:after="120" w:line="240" w:lineRule="auto"/>
        <w:ind w:left="0"/>
        <w:contextualSpacing w:val="0"/>
        <w:jc w:val="both"/>
        <w:rPr>
          <w:noProof/>
        </w:rPr>
      </w:pPr>
      <w:r>
        <w:rPr>
          <w:rFonts w:ascii="Times New Roman" w:hAnsi="Times New Roman"/>
          <w:noProof/>
          <w:sz w:val="24"/>
          <w:szCs w:val="24"/>
        </w:rPr>
        <w:t>El Reglamento sobre liquidación y depositarios centrales de valores fomenta la liquidación en dinero del banco central; sin embargo, el acceso de los DCV a los bancos centrales no nacionales está sujeto a condiciones estrictas y, por tanto, en la práctica, está bastante limitado. Para solventar esta dificultar, el Reglamento sobre liquidación y depositarios centrales de valores también permite la liquidación con dinero de banco comercial en determinadas condiciones. El dinero de banco comercial puede proporcionarse por el propio DCV, si dispone de licencia para prestar servicios auxiliares de tipo bancario, o por una entidad de crédito. Los DCV que prestan servicios auxiliares de tipo bancario deben cumplir con requisitos adicionales debido a los importantes riesgos de crédito y liquidez para el DCV y sus participantes</w:t>
      </w:r>
      <w:r>
        <w:rPr>
          <w:rFonts w:ascii="Times New Roman" w:hAnsi="Times New Roman"/>
          <w:b/>
          <w:noProof/>
          <w:sz w:val="24"/>
          <w:szCs w:val="24"/>
        </w:rPr>
        <w:t xml:space="preserve">. </w:t>
      </w:r>
      <w:r>
        <w:rPr>
          <w:rFonts w:ascii="Times New Roman" w:hAnsi="Times New Roman"/>
          <w:noProof/>
          <w:sz w:val="24"/>
          <w:szCs w:val="24"/>
        </w:rPr>
        <w:t>Al utilizar un banco, los DCV deben recurrir a una entidad de crédito designada (es decir, un banco con licencia limitada introducido por el Reglamento sobre liquidación y depositarios centrales de valores que únicamente presta servicios a los DCV y que debe cumplir con requisitos adicionales para mitigar los riesgos) cuando su actividad de liquidación supera determinados umbrales; por debajo de estos umbrales, pueden utilizar una entidad de crédito comercial.</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Algunas partes interesadas, principalmente los DCV, sostuvieron que el Reglamento sobre liquidación y depositarios centrales de valores obstaculiza la liquidación en divisas extranjeras, lo que hace menos probable la actividad transfronteriza y limita la competencia. En particular, señalaron que los requisitos conforme a los cuales pueden prestar servicios auxiliares de tipo bancario son demasiado restrictivos y costosos. Así lo demuestra el hecho de que, hasta la fecha, solo cuatro DCV han sido autorizados conforme al Reglamento sobre liquidación y depositarios centrales de valores para prestar estos servicios. Además, no existen entidades de crédito designadas. Algunas partes interesadas también señalaron que los umbrales conforme a los cuales los DCV pueden utilizar un banco comercial para la liquidación, en lugar de una entidad de crédito designada, son demasiado bajos. Algunas autoridades públicas también se mostraron abiertas a revisar determinados aspectos de las normas sin poner en riesgo la estabilidad financiera. Sin embargo, otras partes interesadas, incluidos determinados DCV y sus participantes, señalaron que la flexibilización de las normas podría poner en riesgo la igualdad de condiciones entre los bancos y los DCV, o incluso aumentar el riesgo de contagio.</w:t>
      </w:r>
    </w:p>
    <w:p>
      <w:pPr>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Conviene evaluar si es necesario simplificar y hacer más proporcionales determinados requisitos a fin de responder a los retos que plantea la liquidación en dinero de un banco comercial, al tiempo que se garantiza la resistencia del sistema financiero.</w:t>
      </w:r>
      <w:r>
        <w:rPr>
          <w:noProof/>
        </w:rPr>
        <w:t xml:space="preserve"> </w:t>
      </w:r>
      <w:r>
        <w:rPr>
          <w:rFonts w:ascii="Times New Roman" w:hAnsi="Times New Roman"/>
          <w:b/>
          <w:iCs/>
          <w:noProof/>
          <w:sz w:val="24"/>
          <w:szCs w:val="24"/>
        </w:rPr>
        <w:t>A fin de facilitar el acceso a la liquidación en divisas de la UE a través de cuentas abiertas en un banco central, la Comisión invita al Sistema Europeo de Bancos Centrales a estudiar las posibilidades para facilitar el acceso de los DCV de la UE autorizados en otros Estados miembros a sus servicios de banco central.</w:t>
      </w:r>
      <w:r>
        <w:rPr>
          <w:rFonts w:ascii="Times New Roman" w:hAnsi="Times New Roman"/>
          <w:b/>
          <w:noProof/>
          <w:sz w:val="24"/>
          <w:szCs w:val="24"/>
        </w:rPr>
        <w:t xml:space="preserve"> </w:t>
      </w:r>
    </w:p>
    <w:p>
      <w:pPr>
        <w:pStyle w:val="ListParagraph"/>
        <w:numPr>
          <w:ilvl w:val="1"/>
          <w:numId w:val="36"/>
        </w:numPr>
        <w:spacing w:line="240" w:lineRule="auto"/>
        <w:ind w:left="426" w:hanging="426"/>
        <w:jc w:val="both"/>
        <w:rPr>
          <w:rFonts w:ascii="Times New Roman" w:hAnsi="Times New Roman" w:cs="Times New Roman"/>
          <w:b/>
          <w:noProof/>
          <w:sz w:val="24"/>
          <w:szCs w:val="24"/>
        </w:rPr>
      </w:pPr>
      <w:r>
        <w:rPr>
          <w:rFonts w:ascii="Times New Roman" w:hAnsi="Times New Roman"/>
          <w:b/>
          <w:noProof/>
          <w:sz w:val="24"/>
          <w:szCs w:val="24"/>
        </w:rPr>
        <w:t>Reducción de las cargas y los costes desproporcionados relacionados con la disciplina de liquidación</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disciplina de liquidación se aplicará a partir del 1 de febrero de 2022, fecha en la que entrarán en vigor las normas técnicas de regulación</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pertinentes. Sus principales elementos son la introducción de sanciones pecuniarias para los participantes de los DCV en caso de fallos en la liquidación, y recompras obligatorias en aquellos casos en los que un participante del DCV no entregue el valor en un periodo de prórroga fijo. A pesar de la falta de experiencia en la aplicación de las normas, el desarrollo y la especificación del marco en las normas técnicas de regulación ha permitido que todas las partes interesadas comprendan mejor el régimen y los desafíos que podría plantear su aplicación, especialmente en momentos de crisis, como la crisis de la COVID-19 durante la primavera de 2020. La disciplina de liquidación fue la que más atención suscitó en la consulta específica, y casi todos los encuestados aportaron respuestas. El</w:t>
      </w:r>
      <w:r>
        <w:rPr>
          <w:rFonts w:ascii="Times New Roman" w:hAnsi="Times New Roman"/>
          <w:b/>
          <w:noProof/>
          <w:sz w:val="24"/>
          <w:szCs w:val="24"/>
        </w:rPr>
        <w:t xml:space="preserve"> </w:t>
      </w:r>
      <w:r>
        <w:rPr>
          <w:rFonts w:ascii="Times New Roman" w:hAnsi="Times New Roman"/>
          <w:noProof/>
          <w:sz w:val="24"/>
          <w:szCs w:val="24"/>
        </w:rPr>
        <w:t>Parlamento Europeo, en su resolución sobre el desarrollo de la unión de los mercados de capitales</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también invitó a la Comisión a revisar el régimen de disciplina de liquidación en vista de la crisis de la COVID-19 y el </w:t>
      </w:r>
      <w:r>
        <w:rPr>
          <w:rFonts w:ascii="Times New Roman" w:hAnsi="Times New Roman"/>
          <w:i/>
          <w:iCs/>
          <w:noProof/>
          <w:sz w:val="24"/>
          <w:szCs w:val="24"/>
        </w:rPr>
        <w:t>Brexit</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Prácticamente todas las partes interesadas señalaron que existe una </w:t>
      </w:r>
      <w:r>
        <w:rPr>
          <w:rFonts w:ascii="Times New Roman" w:hAnsi="Times New Roman"/>
          <w:b/>
          <w:noProof/>
          <w:sz w:val="24"/>
          <w:szCs w:val="24"/>
        </w:rPr>
        <w:t>importante falta de claridad en lo que respecta al ámbito de aplicación de las normas obligatorias de recompra</w:t>
      </w:r>
      <w:r>
        <w:rPr>
          <w:rFonts w:ascii="Times New Roman" w:hAnsi="Times New Roman"/>
          <w:noProof/>
          <w:sz w:val="24"/>
          <w:szCs w:val="24"/>
        </w:rPr>
        <w:t>. Esto queda igualmente confirmado por el número de solicitudes de aclaración para la operatividad del marco que se han presentado ante la AEVM y la Comisión.</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Además, la gran mayoría de los participantes en la consulta específica indicaron que </w:t>
      </w:r>
      <w:r>
        <w:rPr>
          <w:rFonts w:ascii="Times New Roman" w:hAnsi="Times New Roman"/>
          <w:b/>
          <w:noProof/>
          <w:sz w:val="24"/>
          <w:szCs w:val="24"/>
        </w:rPr>
        <w:t>deben revisarse las normas de recompra</w:t>
      </w:r>
      <w:r>
        <w:rPr>
          <w:rFonts w:ascii="Times New Roman" w:hAnsi="Times New Roman"/>
          <w:noProof/>
          <w:sz w:val="24"/>
          <w:szCs w:val="24"/>
        </w:rPr>
        <w:t xml:space="preserve">, y una gran mayoría era partidaria de las </w:t>
      </w:r>
      <w:r>
        <w:rPr>
          <w:rFonts w:ascii="Times New Roman" w:hAnsi="Times New Roman"/>
          <w:b/>
          <w:noProof/>
          <w:sz w:val="24"/>
          <w:szCs w:val="24"/>
        </w:rPr>
        <w:t>recompras voluntarias en lugar de obligatorias</w:t>
      </w:r>
      <w:r>
        <w:rPr>
          <w:rFonts w:ascii="Times New Roman" w:hAnsi="Times New Roman"/>
          <w:noProof/>
          <w:sz w:val="24"/>
          <w:szCs w:val="24"/>
        </w:rPr>
        <w:t xml:space="preserve">. Se afirmó que las recompras obligatorias reducirán la liquidez del mercado, aumentarán los costes de los inversores y colocarán a los DCV de la UE en una situación de desventaja competitiva a la hora de competir con los DCV de terceros países que no deben cumplir con normas similares.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Además, la mayoría de los participantes en la consulta específica consideraron que </w:t>
      </w:r>
      <w:r>
        <w:rPr>
          <w:rFonts w:ascii="Times New Roman" w:hAnsi="Times New Roman"/>
          <w:b/>
          <w:noProof/>
          <w:sz w:val="24"/>
          <w:szCs w:val="24"/>
        </w:rPr>
        <w:t>la disciplina de liquidación, en particular las recompras obligatorias, habrían tenido un importante efecto negativo sobre el mercado durante las perturbaciones del mercado provocadas por la COVID-19</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ya que habría: i) aumentado la presión sobre la liquidez; ii) aumentado el coste de los valores en riesgo de recompra; y iii) obstaculizado la capacidad de cobertura. </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No obstante, algunas partes interesadas se mostraron </w:t>
      </w:r>
      <w:r>
        <w:rPr>
          <w:rFonts w:ascii="Times New Roman" w:hAnsi="Times New Roman"/>
          <w:b/>
          <w:noProof/>
          <w:sz w:val="24"/>
          <w:szCs w:val="24"/>
        </w:rPr>
        <w:t>partidarias de las recompras obligatorias</w:t>
      </w:r>
      <w:r>
        <w:rPr>
          <w:rFonts w:ascii="Times New Roman" w:hAnsi="Times New Roman"/>
          <w:noProof/>
          <w:sz w:val="24"/>
          <w:szCs w:val="24"/>
        </w:rPr>
        <w:t xml:space="preserve">, al afirmar que: las recompras voluntarias no incentivan la optimización de los procedimientos de gestión que también pueden provocar fallos en la liquidación; habrá muchas dudas a la hora de ejecutar recompras voluntarias frente a los grandes participantes en el mercado; ya han realizado importantes inversiones para cumplir con el marco.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La consulta pública, así como las preguntas a la AEVM y la Comisión, han puesto de manifiesto que también podrían ser necesarias aclaraciones sobre el </w:t>
      </w:r>
      <w:r>
        <w:rPr>
          <w:rFonts w:ascii="Times New Roman" w:hAnsi="Times New Roman"/>
          <w:b/>
          <w:noProof/>
          <w:sz w:val="24"/>
          <w:szCs w:val="24"/>
        </w:rPr>
        <w:t>ámbito de las normas relativas a las sanciones pecuniarias</w:t>
      </w:r>
      <w:r>
        <w:rPr>
          <w:rFonts w:ascii="Times New Roman" w:hAnsi="Times New Roman"/>
          <w:noProof/>
          <w:sz w:val="24"/>
          <w:szCs w:val="24"/>
        </w:rPr>
        <w:t>. Además, parece que, en determinados Estados miembros, no puede aplicarse la metodología actual de cálculo de las sanciones pecuniarias</w:t>
      </w:r>
      <w:r>
        <w:rPr>
          <w:rFonts w:ascii="Times New Roman" w:hAnsi="Times New Roman" w:cs="Times New Roman"/>
          <w:noProof/>
          <w:sz w:val="24"/>
          <w:szCs w:val="24"/>
          <w:vertAlign w:val="superscript"/>
        </w:rPr>
        <w:footnoteReference w:id="15"/>
      </w:r>
      <w:r>
        <w:rPr>
          <w:rFonts w:ascii="Times New Roman" w:hAnsi="Times New Roman"/>
          <w:noProof/>
          <w:sz w:val="24"/>
          <w:szCs w:val="24"/>
        </w:rPr>
        <w:t xml:space="preserve"> debido a la falta de un tipo de interés oficial para el crédito a un día. </w:t>
      </w:r>
    </w:p>
    <w:p>
      <w:pPr>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 xml:space="preserve">En vista de las respuestas de las partes interesadas, conviene que la Comisión estudie la posibilidad de proponer determinadas modificaciones, sujetas a una evaluación de impacto, al marco de la disciplina de liquidación, en particular de las normas de recompra obligatoria, para hacerlo más proporcionado y evitar posibles consecuencias no deseadas. </w:t>
      </w:r>
    </w:p>
    <w:p>
      <w:pPr>
        <w:spacing w:after="120" w:line="240" w:lineRule="auto"/>
        <w:jc w:val="both"/>
        <w:rPr>
          <w:rFonts w:ascii="Times New Roman" w:hAnsi="Times New Roman" w:cs="Times New Roman"/>
          <w:noProof/>
          <w:sz w:val="24"/>
          <w:szCs w:val="24"/>
        </w:rPr>
      </w:pPr>
    </w:p>
    <w:p>
      <w:pPr>
        <w:pStyle w:val="ListParagraph"/>
        <w:numPr>
          <w:ilvl w:val="1"/>
          <w:numId w:val="36"/>
        </w:numPr>
        <w:spacing w:line="240" w:lineRule="auto"/>
        <w:ind w:left="426" w:hanging="426"/>
        <w:jc w:val="both"/>
        <w:rPr>
          <w:rFonts w:ascii="Times New Roman" w:hAnsi="Times New Roman" w:cs="Times New Roman"/>
          <w:noProof/>
          <w:sz w:val="24"/>
          <w:szCs w:val="24"/>
        </w:rPr>
      </w:pPr>
      <w:r>
        <w:rPr>
          <w:rFonts w:ascii="Times New Roman" w:hAnsi="Times New Roman"/>
          <w:b/>
          <w:noProof/>
          <w:sz w:val="24"/>
          <w:szCs w:val="24"/>
        </w:rPr>
        <w:t>Mejora del marco para los DCV de terceros países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El artículo 81, apartado 2 </w:t>
      </w:r>
      <w:r>
        <w:rPr>
          <w:rFonts w:ascii="Times New Roman" w:hAnsi="Times New Roman"/>
          <w:i/>
          <w:iCs/>
          <w:noProof/>
          <w:sz w:val="24"/>
          <w:szCs w:val="24"/>
        </w:rPr>
        <w:t>quater</w:t>
      </w:r>
      <w:r>
        <w:rPr>
          <w:rFonts w:ascii="Times New Roman" w:hAnsi="Times New Roman"/>
          <w:noProof/>
          <w:sz w:val="24"/>
          <w:szCs w:val="24"/>
        </w:rPr>
        <w:t>, del Reglamento de la AEVM exige que la esta lleve a cabo una evaluación exhaustiva de la posible supervisión de los DCV de terceros países, examinando determinados aspectos, como el reconocimiento basado en la importancia sistémica, el cumplimiento permanente, las multas y las multas coercitivas.</w:t>
      </w:r>
    </w:p>
    <w:p>
      <w:pPr>
        <w:pStyle w:val="ListParagraph"/>
        <w:spacing w:after="120" w:line="240" w:lineRule="auto"/>
        <w:ind w:left="0"/>
        <w:jc w:val="both"/>
        <w:rPr>
          <w:rFonts w:ascii="Times New Roman" w:hAnsi="Times New Roman" w:cs="Times New Roman"/>
          <w:noProof/>
          <w:sz w:val="24"/>
          <w:szCs w:val="24"/>
        </w:rPr>
      </w:pPr>
      <w:r>
        <w:rPr>
          <w:rFonts w:ascii="Times New Roman" w:hAnsi="Times New Roman"/>
          <w:noProof/>
          <w:sz w:val="24"/>
          <w:szCs w:val="24"/>
        </w:rPr>
        <w:t>En la actualidad, los DCV de terceros países solo pueden prestar servicios de notaría y servicios centrales de mantenimiento una vez que la Comisión haya adoptado una decisión de equivalencia respecto del marco jurídico del tercer país y tras el reconocimiento por parte de la AEVM. La AEVM no tiene facultades directas de supervisión sobre los DCV reconocidos de terceros países. Sin embargo, en principio, los DCV de terceros países que prestaban sus servicios en la UE con anterioridad a la entrada en vigor del Reglamento sobre liquidación y depositarios centrales de valores pueden seguir haciéndolo en virtud de una cláusula de derechos adquiridos que no tiene fecha de finalización.</w:t>
      </w:r>
    </w:p>
    <w:p>
      <w:pPr>
        <w:pStyle w:val="ListParagraph"/>
        <w:spacing w:after="120" w:line="240" w:lineRule="auto"/>
        <w:ind w:left="0"/>
        <w:jc w:val="both"/>
        <w:rPr>
          <w:rFonts w:ascii="Times New Roman" w:hAnsi="Times New Roman" w:cs="Times New Roman"/>
          <w:noProof/>
          <w:sz w:val="24"/>
          <w:szCs w:val="24"/>
        </w:rPr>
      </w:pPr>
      <w:r>
        <w:rPr>
          <w:rStyle w:val="FootnoteReference"/>
          <w:rFonts w:ascii="Times New Roman" w:hAnsi="Times New Roman"/>
          <w:noProof/>
          <w:sz w:val="24"/>
          <w:szCs w:val="24"/>
        </w:rPr>
        <w:t xml:space="preserve"> </w:t>
      </w:r>
    </w:p>
    <w:p>
      <w:pPr>
        <w:pStyle w:val="ListParagraph"/>
        <w:spacing w:after="120" w:line="240" w:lineRule="auto"/>
        <w:ind w:left="0"/>
        <w:jc w:val="both"/>
        <w:rPr>
          <w:rFonts w:ascii="Times New Roman" w:hAnsi="Times New Roman" w:cs="Times New Roman"/>
          <w:noProof/>
          <w:sz w:val="24"/>
          <w:szCs w:val="24"/>
        </w:rPr>
      </w:pPr>
      <w:r>
        <w:rPr>
          <w:rFonts w:ascii="Times New Roman" w:hAnsi="Times New Roman"/>
          <w:noProof/>
          <w:sz w:val="24"/>
          <w:szCs w:val="24"/>
        </w:rPr>
        <w:t>Hasta la fecha, la Comisión solo ha adoptado una decisión de equivalencia (para el Reino Unido), que está en vigor hasta el 30 de junio de 2021, y la AEVM solo ha reconocido al DCV de Reino Unido. Por tanto, la experiencia práctica del régimen de terceros países es limitada.</w:t>
      </w:r>
    </w:p>
    <w:p>
      <w:pPr>
        <w:pStyle w:val="ListParagraph"/>
        <w:spacing w:after="120" w:line="240" w:lineRule="auto"/>
        <w:ind w:left="0"/>
        <w:jc w:val="both"/>
        <w:rPr>
          <w:rFonts w:ascii="Times New Roman" w:hAnsi="Times New Roman" w:cs="Times New Roman"/>
          <w:noProof/>
          <w:sz w:val="24"/>
          <w:szCs w:val="24"/>
        </w:rPr>
      </w:pPr>
    </w:p>
    <w:p>
      <w:pPr>
        <w:pStyle w:val="ListParagraph"/>
        <w:spacing w:after="120" w:line="240" w:lineRule="auto"/>
        <w:ind w:left="0"/>
        <w:jc w:val="both"/>
        <w:rPr>
          <w:rFonts w:ascii="Times New Roman" w:hAnsi="Times New Roman" w:cs="Times New Roman"/>
          <w:noProof/>
          <w:sz w:val="24"/>
          <w:szCs w:val="24"/>
        </w:rPr>
      </w:pPr>
      <w:r>
        <w:rPr>
          <w:rFonts w:ascii="Times New Roman" w:hAnsi="Times New Roman"/>
          <w:noProof/>
          <w:sz w:val="24"/>
          <w:szCs w:val="24"/>
        </w:rPr>
        <w:t xml:space="preserve">En este contexto, la mayoría de las partes interesadas no son partidarias de introducir en esta fase un marco global para el reconocimiento y la supervisión de los DCV de terceros países. No obstante, la consulta puso de manifiesto determinados ámbitos en los que habría que seguir reflexionando para reforzar las normas aplicables.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Por lo que respecta a la </w:t>
      </w:r>
      <w:r>
        <w:rPr>
          <w:rFonts w:ascii="Times New Roman" w:hAnsi="Times New Roman"/>
          <w:b/>
          <w:noProof/>
          <w:sz w:val="24"/>
          <w:szCs w:val="24"/>
        </w:rPr>
        <w:t>cláusula de derechos adquiridos</w:t>
      </w:r>
      <w:r>
        <w:rPr>
          <w:rFonts w:ascii="Times New Roman" w:hAnsi="Times New Roman"/>
          <w:noProof/>
          <w:sz w:val="24"/>
          <w:szCs w:val="24"/>
        </w:rPr>
        <w:t>, en primer lugar, parece no haber suficiente información sobre qué DCV de terceros países prestan actualmente servicios en virtud de dicha cláusula respecto de los instrumentos financieros constituidos con arreglo a la legislación de un Estado miembro. La AEVM y muchas partes interesadas se mostraron partidarias de introducir un requisito de notificación para mejorar la transparencia del mercado. En segundo lugar, algunas partes interesadas se preguntaron si existen condiciones desiguales entre los DCV de la UE y los DCV de terceros países que siguen operando en virtud de esta cláusula.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También se preguntó sobre el </w:t>
      </w:r>
      <w:r>
        <w:rPr>
          <w:rFonts w:ascii="Times New Roman" w:hAnsi="Times New Roman"/>
          <w:b/>
          <w:noProof/>
          <w:sz w:val="24"/>
          <w:szCs w:val="24"/>
        </w:rPr>
        <w:t>ámbito</w:t>
      </w:r>
      <w:r>
        <w:rPr>
          <w:rFonts w:ascii="Times New Roman" w:hAnsi="Times New Roman"/>
          <w:noProof/>
          <w:sz w:val="24"/>
          <w:szCs w:val="24"/>
        </w:rPr>
        <w:t xml:space="preserve"> de las disposiciones sobre terceros países. En primer lugar, actualmente no se exige </w:t>
      </w:r>
      <w:r>
        <w:rPr>
          <w:rFonts w:ascii="Times New Roman" w:hAnsi="Times New Roman"/>
          <w:b/>
          <w:noProof/>
          <w:sz w:val="24"/>
          <w:szCs w:val="24"/>
        </w:rPr>
        <w:t>el reconocimiento por parte de la AEVM</w:t>
      </w:r>
      <w:r>
        <w:rPr>
          <w:rFonts w:ascii="Times New Roman" w:hAnsi="Times New Roman"/>
          <w:noProof/>
          <w:sz w:val="24"/>
          <w:szCs w:val="24"/>
        </w:rPr>
        <w:t xml:space="preserve"> para los </w:t>
      </w:r>
      <w:r>
        <w:rPr>
          <w:rFonts w:ascii="Times New Roman" w:hAnsi="Times New Roman"/>
          <w:b/>
          <w:noProof/>
          <w:sz w:val="24"/>
          <w:szCs w:val="24"/>
        </w:rPr>
        <w:t>DCV de terceros países que ofrecen servicios de liquidación de los instrumentos financieros constituidos con arreglo a la legislación de un Estado miembro</w:t>
      </w:r>
      <w:r>
        <w:rPr>
          <w:rFonts w:ascii="Times New Roman" w:hAnsi="Times New Roman"/>
          <w:noProof/>
          <w:sz w:val="24"/>
          <w:szCs w:val="24"/>
        </w:rPr>
        <w:t xml:space="preserve">. La AEVM es partidaria de ampliar el ámbito del reconocimiento a los servicios de liquidación, alegando que ello podría garantizar la estabilidad financiera y la protección de los inversores, así como la igualdad de condiciones entre los DCV de la UE y de terceros países. Sin embargo, se dispone de poca información sobre si los DCV de terceros países llevan a cabo estas actividades. En segundo lugar, algunas partes interesadas invitaron a la Comisión a </w:t>
      </w:r>
      <w:r>
        <w:rPr>
          <w:rFonts w:ascii="Times New Roman" w:hAnsi="Times New Roman"/>
          <w:b/>
          <w:noProof/>
          <w:sz w:val="24"/>
          <w:szCs w:val="24"/>
        </w:rPr>
        <w:t>aclarar el ámbito de aplicación de los instrumentos financieros</w:t>
      </w:r>
      <w:r>
        <w:rPr>
          <w:rFonts w:ascii="Times New Roman" w:hAnsi="Times New Roman"/>
          <w:noProof/>
          <w:sz w:val="24"/>
          <w:szCs w:val="24"/>
        </w:rPr>
        <w:t xml:space="preserve"> que requieren reconocimiento, teniendo en cuenta las normas de pasaporte en las que se utiliza una terminología similar.</w:t>
      </w: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Por tanto, conviene evaluar si son pertinentes nuevas mejoras en el marco de los DCV de terceros países (por ejemplo, una fecha de finalización de la cláusula de derechos adquiridos, la introducción de un requisito de notificación) para garantizar la estabilidad financiera de la UE y las condiciones de igualdad entre los DCV de la UE y de terceros países,</w:t>
      </w:r>
      <w:r>
        <w:rPr>
          <w:noProof/>
        </w:rPr>
        <w:t xml:space="preserve"> </w:t>
      </w:r>
      <w:r>
        <w:rPr>
          <w:rFonts w:ascii="Times New Roman" w:hAnsi="Times New Roman"/>
          <w:b/>
          <w:noProof/>
          <w:sz w:val="24"/>
          <w:szCs w:val="24"/>
        </w:rPr>
        <w:t>teniendo en cuenta los principios aplicables a las infraestructuras del mercado financiero relevantes acordados internacionalmente.</w:t>
      </w:r>
    </w:p>
    <w:p>
      <w:pPr>
        <w:pStyle w:val="ListParagraph"/>
        <w:spacing w:line="240" w:lineRule="auto"/>
        <w:ind w:left="142"/>
        <w:jc w:val="both"/>
        <w:rPr>
          <w:rFonts w:ascii="Times New Roman" w:hAnsi="Times New Roman" w:cs="Times New Roman"/>
          <w:noProof/>
          <w:sz w:val="24"/>
          <w:szCs w:val="24"/>
        </w:rPr>
      </w:pPr>
    </w:p>
    <w:p>
      <w:pPr>
        <w:pStyle w:val="ListParagraph"/>
        <w:numPr>
          <w:ilvl w:val="1"/>
          <w:numId w:val="36"/>
        </w:numPr>
        <w:spacing w:line="240" w:lineRule="auto"/>
        <w:ind w:left="426" w:hanging="426"/>
        <w:jc w:val="both"/>
        <w:rPr>
          <w:rFonts w:ascii="Times New Roman" w:hAnsi="Times New Roman" w:cs="Times New Roman"/>
          <w:b/>
          <w:noProof/>
          <w:sz w:val="24"/>
          <w:szCs w:val="24"/>
        </w:rPr>
      </w:pPr>
      <w:r>
        <w:rPr>
          <w:rFonts w:ascii="Times New Roman" w:hAnsi="Times New Roman"/>
          <w:b/>
          <w:noProof/>
          <w:sz w:val="24"/>
          <w:szCs w:val="24"/>
        </w:rPr>
        <w:t>Utilización de la innovación tecnológica</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La tecnología de registro descentralizado (TRD) y la toquenización de los valores puede transformar la compensación y la liquidación al simplificar los procesos, reducir los costes y aumentar la seguridad. En septiembre de 2020, la Comisión publicó una propuesta</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de régimen piloto de las infraestructuras del mercado basadas en la TRD. </w:t>
      </w:r>
    </w:p>
    <w:p>
      <w:pPr>
        <w:spacing w:after="0" w:line="240" w:lineRule="auto"/>
        <w:jc w:val="both"/>
        <w:rPr>
          <w:rFonts w:ascii="Times New Roman" w:hAnsi="Times New Roman" w:cs="Times New Roman"/>
          <w:noProof/>
          <w:sz w:val="24"/>
          <w:szCs w:val="24"/>
          <w:lang w:eastAsia="fr-BE"/>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Los participantes en la consulta específica señalaron que el Reglamento sobre liquidación y depositarios centrales de valores debe seguir siendo neutral desde un punto de vista tecnológico y garantizar que los proveedores emergentes se someten a las mismas normas que los ya establecidos (principio de «mismo servicio, mismo riesgo, mismas normas»). La mayoría de las partes interesadas afirmaron que cualquier cambio en el Reglamento sobre liquidación y depositarios centrales de valores encaminado a aprovechar todo el potencial de la tecnología debería posponerse hasta que se adopte la propuesta de la Comisión de un régimen piloto y puedan extraerse lecciones de su aplicación. </w:t>
      </w:r>
    </w:p>
    <w:p>
      <w:pPr>
        <w:spacing w:after="0" w:line="240" w:lineRule="auto"/>
        <w:jc w:val="both"/>
        <w:rPr>
          <w:rFonts w:ascii="Times New Roman" w:hAnsi="Times New Roman" w:cs="Times New Roman"/>
          <w:noProof/>
          <w:sz w:val="24"/>
          <w:szCs w:val="24"/>
          <w:lang w:eastAsia="fr-BE"/>
        </w:rPr>
      </w:pPr>
    </w:p>
    <w:p>
      <w:pPr>
        <w:spacing w:after="0" w:line="240" w:lineRule="auto"/>
        <w:jc w:val="both"/>
        <w:rPr>
          <w:rFonts w:ascii="Times New Roman" w:hAnsi="Times New Roman" w:cs="Times New Roman"/>
          <w:b/>
          <w:noProof/>
          <w:sz w:val="24"/>
          <w:szCs w:val="24"/>
        </w:rPr>
      </w:pPr>
      <w:r>
        <w:rPr>
          <w:rFonts w:ascii="Times New Roman" w:hAnsi="Times New Roman"/>
          <w:b/>
          <w:noProof/>
          <w:sz w:val="24"/>
          <w:szCs w:val="24"/>
        </w:rPr>
        <w:t>Se reflexionará más a fondo sobre las implicaciones que el uso de la tecnología por parte de los DCV tiene para el Reglamento sobre liquidación y depositarios centrales de valores. La Comisión también invita a la AEVM a estudiar la posibilidad de utilizar las herramientas de convergencia de la supervisión que son de su competencia o la necesidad de modificar las normas técnicas de regulación existentes para facilitar la utilización de la innovación tecnológica por parte de los DCV</w:t>
      </w:r>
      <w:r>
        <w:rPr>
          <w:rFonts w:ascii="Times New Roman" w:hAnsi="Times New Roman"/>
          <w:noProof/>
          <w:sz w:val="24"/>
          <w:szCs w:val="24"/>
        </w:rPr>
        <w:t>.</w:t>
      </w:r>
      <w:r>
        <w:rPr>
          <w:rFonts w:ascii="Times New Roman" w:hAnsi="Times New Roman"/>
          <w:b/>
          <w:noProof/>
          <w:sz w:val="24"/>
          <w:szCs w:val="24"/>
        </w:rPr>
        <w:t xml:space="preserve"> </w:t>
      </w:r>
    </w:p>
    <w:p>
      <w:pPr>
        <w:spacing w:after="0" w:line="240" w:lineRule="auto"/>
        <w:jc w:val="both"/>
        <w:rPr>
          <w:rFonts w:ascii="Times New Roman" w:hAnsi="Times New Roman" w:cs="Times New Roman"/>
          <w:b/>
          <w:noProof/>
          <w:sz w:val="24"/>
          <w:szCs w:val="24"/>
          <w:lang w:eastAsia="fr-BE"/>
        </w:rPr>
      </w:pPr>
    </w:p>
    <w:p>
      <w:pPr>
        <w:spacing w:after="0" w:line="240" w:lineRule="auto"/>
        <w:jc w:val="both"/>
        <w:rPr>
          <w:rFonts w:ascii="Times New Roman" w:hAnsi="Times New Roman" w:cs="Times New Roman"/>
          <w:b/>
          <w:noProof/>
          <w:sz w:val="24"/>
          <w:szCs w:val="24"/>
        </w:rPr>
      </w:pPr>
      <w:r>
        <w:rPr>
          <w:rFonts w:ascii="Times New Roman" w:hAnsi="Times New Roman"/>
          <w:b/>
          <w:noProof/>
          <w:sz w:val="24"/>
          <w:szCs w:val="24"/>
        </w:rPr>
        <w:t xml:space="preserve">4.7 Ámbitos en los que las partes interesadas no consideran necesario llevar a cabo acciones adicionales en este momento </w:t>
      </w:r>
    </w:p>
    <w:p>
      <w:pPr>
        <w:spacing w:after="0" w:line="240" w:lineRule="auto"/>
        <w:jc w:val="both"/>
        <w:rPr>
          <w:rFonts w:ascii="Times New Roman" w:hAnsi="Times New Roman" w:cs="Times New Roman"/>
          <w:b/>
          <w:noProof/>
          <w:sz w:val="24"/>
          <w:szCs w:val="24"/>
          <w:lang w:eastAsia="fr-BE"/>
        </w:rPr>
      </w:pPr>
    </w:p>
    <w:p>
      <w:pPr>
        <w:pStyle w:val="ListParagraph"/>
        <w:spacing w:after="120" w:line="240" w:lineRule="auto"/>
        <w:ind w:left="0"/>
        <w:jc w:val="both"/>
        <w:rPr>
          <w:rFonts w:ascii="Times New Roman" w:hAnsi="Times New Roman" w:cs="Times New Roman"/>
          <w:noProof/>
          <w:sz w:val="24"/>
          <w:szCs w:val="24"/>
        </w:rPr>
      </w:pPr>
      <w:r>
        <w:rPr>
          <w:rFonts w:ascii="Times New Roman" w:hAnsi="Times New Roman"/>
          <w:noProof/>
          <w:sz w:val="24"/>
          <w:szCs w:val="24"/>
        </w:rPr>
        <w:t>La mayoría de las partes interesadas coinciden en que los datos notificados por los internalizadores de la liquidación</w:t>
      </w:r>
      <w:r>
        <w:rPr>
          <w:rFonts w:ascii="Times New Roman" w:hAnsi="Times New Roman" w:cs="Times New Roman"/>
          <w:noProof/>
          <w:sz w:val="24"/>
          <w:szCs w:val="24"/>
          <w:vertAlign w:val="superscript"/>
          <w:lang w:val="en-IE" w:eastAsia="fr-BE"/>
        </w:rPr>
        <w:footnoteReference w:id="17"/>
      </w:r>
      <w:r>
        <w:rPr>
          <w:rFonts w:ascii="Times New Roman" w:hAnsi="Times New Roman"/>
          <w:b/>
          <w:noProof/>
          <w:sz w:val="24"/>
          <w:szCs w:val="24"/>
        </w:rPr>
        <w:t xml:space="preserve"> </w:t>
      </w:r>
      <w:r>
        <w:rPr>
          <w:rFonts w:ascii="Times New Roman" w:hAnsi="Times New Roman"/>
          <w:noProof/>
          <w:sz w:val="24"/>
          <w:szCs w:val="24"/>
        </w:rPr>
        <w:t>son eficaces, eficientes, coherentes, pertinentes y aportan un valor añadido de la UE, lo que aumenta la transparencia del mercado. Además, las partes interesadas señalaron que la obligación lleva en vigor un periodo de tiempo limitado y es demasiado pronto para su evaluación. Sin embargo, el aumento de la actividad de liquidación internalizada, una tendencia confirmada también por la AEVM</w:t>
      </w:r>
      <w:r>
        <w:rPr>
          <w:rFonts w:ascii="Times New Roman" w:hAnsi="Times New Roman" w:cs="Times New Roman"/>
          <w:noProof/>
          <w:sz w:val="24"/>
          <w:szCs w:val="24"/>
          <w:vertAlign w:val="superscript"/>
        </w:rPr>
        <w:footnoteReference w:id="18"/>
      </w:r>
      <w:r>
        <w:rPr>
          <w:rFonts w:ascii="Times New Roman" w:hAnsi="Times New Roman"/>
          <w:noProof/>
          <w:sz w:val="24"/>
          <w:szCs w:val="24"/>
        </w:rPr>
        <w:t>, justifica una atenta supervisión que evite la aparición de riesgos emergentes para la estabilidad financiera.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En cuanto a la introducción de medidas para limitar el impacto de la inviabilidad para los contribuyentes del DCV, solo unas pocas partes interesadas realizaron aportaciones. Teniendo en cuenta las respuestas recibidas, la Comisión considera adecuado analizar esta cuestión en profundidad en un momento posterior, una vez que las autoridades públicas y la industria hayan adquirido más experiencia en la aplicación del Reglamento sobre liquidación y depositarios centrales de valores y el marco de recuperación y resolución aplicable a otras infraestructuras del mercado financiero [principalmente las entidades de contrapartida central (ECC</w:t>
      </w:r>
      <w:r>
        <w:rPr>
          <w:rStyle w:val="FootnoteReference"/>
          <w:rFonts w:ascii="Times New Roman" w:hAnsi="Times New Roman" w:cs="Times New Roman"/>
          <w:noProof/>
          <w:sz w:val="24"/>
          <w:szCs w:val="24"/>
          <w:lang w:val="en-IE"/>
        </w:rPr>
        <w:footnoteReference w:id="19"/>
      </w:r>
      <w:r>
        <w:rPr>
          <w:rFonts w:ascii="Times New Roman" w:hAnsi="Times New Roman"/>
          <w:noProof/>
          <w:sz w:val="24"/>
          <w:szCs w:val="24"/>
        </w:rPr>
        <w:t>)].</w:t>
      </w:r>
    </w:p>
    <w:p>
      <w:pPr>
        <w:pStyle w:val="ListParagraph"/>
        <w:numPr>
          <w:ilvl w:val="0"/>
          <w:numId w:val="36"/>
        </w:numPr>
        <w:spacing w:line="240" w:lineRule="auto"/>
        <w:ind w:left="426" w:hanging="426"/>
        <w:jc w:val="both"/>
        <w:rPr>
          <w:rFonts w:ascii="Times New Roman" w:hAnsi="Times New Roman" w:cs="Times New Roman"/>
          <w:b/>
          <w:smallCaps/>
          <w:noProof/>
          <w:sz w:val="24"/>
          <w:szCs w:val="24"/>
        </w:rPr>
      </w:pPr>
      <w:r>
        <w:rPr>
          <w:rFonts w:ascii="Times New Roman" w:hAnsi="Times New Roman"/>
          <w:b/>
          <w:smallCaps/>
          <w:noProof/>
          <w:sz w:val="24"/>
          <w:szCs w:val="24"/>
        </w:rPr>
        <w:t>Conclusiones</w:t>
      </w:r>
    </w:p>
    <w:p>
      <w:pPr>
        <w:spacing w:line="240" w:lineRule="auto"/>
        <w:jc w:val="both"/>
        <w:rPr>
          <w:noProof/>
        </w:rPr>
      </w:pPr>
      <w:r>
        <w:rPr>
          <w:rFonts w:ascii="Times New Roman" w:hAnsi="Times New Roman"/>
          <w:noProof/>
          <w:sz w:val="24"/>
          <w:szCs w:val="24"/>
        </w:rPr>
        <w:t>Las respuestas de las partes interesadas no indican que sea necesario introducir cambios fundamentales en los requisitos más básicos del Reglamento sobre liquidación y depositarios centrales de valores, que son esenciales para garantizar la transparencia y mitigar los riesgos sistémicos en la liquidación. Sin embargo, sobre la base de las aportaciones recibidas, es necesario seguir estudiando las cuestiones señaladas en el presente informe.</w:t>
      </w:r>
    </w:p>
    <w:p>
      <w:pPr>
        <w:pStyle w:val="Normal1"/>
        <w:shd w:val="clear" w:color="auto" w:fill="FFFFFF"/>
        <w:spacing w:before="0" w:beforeAutospacing="0" w:after="0" w:afterAutospacing="0"/>
        <w:jc w:val="both"/>
        <w:rPr>
          <w:noProof/>
        </w:rPr>
      </w:pPr>
      <w:r>
        <w:rPr>
          <w:noProof/>
        </w:rPr>
        <w:t>Como se anunció en el plan de acción para la UMC de 2020 y en el programa de trabajo de la Comisión para 2021, la Comisión estudiará, por tanto, la posibilidad de proponer una revisión legislativa REFIT del Reglamento sobre liquidación y depositarios centrales de valores, sujeta a una evaluación de impacto. Esta iniciativa debería apoyar el Programa de Mejora de la Legislación de la Comisión al eliminar los costes innecesarios que actualmente soportan las empresas, al tiempo que hace que el mercado financiero de la UE esté más integrado y sea más eficiente y seguro a fin de facilitar la inversión.</w:t>
      </w:r>
    </w:p>
    <w:sectPr>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(UE) n.º 909/2014 del Parlamento Europeo y del Consejo, de 23 de julio de 2014, sobre la mejora de la liquidación de valores en la Unión Europea y los depositarios centrales de valores y por el que se modifican las Directivas 98/26/CE y 2014/65/UE y el Reglamento (UE) n.º 236/2012 (DO L 257 de 28.8.2014).</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(UE) n.º 1095/2010 del Parlamento Europeo y del Consejo, de 24 de noviembre de 2010, por el que se crea una Autoridad Europea de Supervisión (Autoridad Europea de Valores y Mercados), se modifica la Decisión n.º 716/2009/CE y se deroga la Decisión 2009/77/CE de la Comisión (DO L 331 de 15.12.2010).</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https://ec.europa.eu/info/sites/default/files/business_economy_euro/growth_and_investment/documents/200610-cmu-high-level-forum-final-report_en.pdf.</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Comunicación de la Comisión al Parlamento Europeo, al Consejo, al Comité Económico y Social Europeo y al Comité de las Regiones «Una Unión de los Mercados de Capitales para las personas y las empresas: nuevo plan de acción» [COM(2020) 590 final].</w:t>
      </w:r>
    </w:p>
  </w:footnote>
  <w:footnote w:id="6">
    <w:p>
      <w:pPr>
        <w:pStyle w:val="FootnoteText"/>
        <w:jc w:val="both"/>
      </w:pPr>
      <w:r>
        <w:rPr>
          <w:rStyle w:val="FootnoteReference"/>
          <w:rFonts w:ascii="Times New Roman" w:hAnsi="Times New Roman" w:cs="Times New Roman"/>
        </w:rPr>
        <w:footnoteRef/>
      </w:r>
      <w:r>
        <w:rPr>
          <w:rFonts w:ascii="Times New Roman" w:hAnsi="Times New Roman"/>
        </w:rPr>
        <w:t xml:space="preserve"> Comunicación de la Comisión al Parlamento Europeo, al Consejo, al Comité Económico y Social Europeo y al Comité de las Regiones «Programa de trabajo de la Comisión para 2021. Una unión de vitalidad en un mundo de fragilidad» [COM(2020) 690 final].</w:t>
      </w:r>
      <w:r>
        <w:t xml:space="preserve"> </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Las referencias a los DCV que figuran en el presente documento también abarcan los dos Depositarios centrales de valores internacionales (DCVI), cuando proceda. Los DCVI son una subcategoría de DCV especializada en la emisión de bonos internacionales (conocidos como «eurobonos»).</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Base de datos sobre estadísticas de tenencia de valores del Banco Central Europeo, </w:t>
      </w:r>
      <w:hyperlink r:id="rId1" w:history="1">
        <w:r>
          <w:rPr>
            <w:rStyle w:val="Hyperlink"/>
            <w:rFonts w:ascii="Times New Roman" w:hAnsi="Times New Roman"/>
          </w:rPr>
          <w:t>https://sdw.ecb.europa.eu/browse.do?node=9691130</w:t>
        </w:r>
      </w:hyperlink>
      <w:r>
        <w:rPr>
          <w:rFonts w:ascii="Times New Roman" w:hAnsi="Times New Roman"/>
        </w:rPr>
        <w:t xml:space="preserve"> (consultado el 29.04.2021).</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https://ec.europa.eu/info/consultations/finance-2020-csdr-review_en</w:t>
        </w:r>
      </w:hyperlink>
      <w:r>
        <w:rPr>
          <w:rFonts w:ascii="Times New Roman" w:hAnsi="Times New Roman"/>
        </w:rPr>
        <w:t xml:space="preserve">. </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https://ec.europa.eu/info/law/better-regulation/have-your-say/initiatives/12089-Directive-regulation-establishing-a-European-framework-for-markets-in-crypto-assets/public-consultation_en.</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Informe de la AEVM </w:t>
      </w:r>
      <w:r>
        <w:rPr>
          <w:rFonts w:ascii="Times New Roman" w:hAnsi="Times New Roman"/>
          <w:i/>
          <w:iCs/>
        </w:rPr>
        <w:t>Cross-border services and handling of applications under Article 23 of CSDR</w:t>
      </w:r>
      <w:r>
        <w:rPr>
          <w:rFonts w:ascii="Times New Roman" w:hAnsi="Times New Roman"/>
        </w:rPr>
        <w:t xml:space="preserve"> [«Servicios transfronterizos y gestión de las solicitudes de conformidad con el artículo 23 del CSDR», documento en inglés], 5.11.2020.</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Delegado (UE) 2018/1229 de la Comisión, de 25 de mayo de 2018, por el que se completa el Reglamento (UE) n.º 909/2014 del Parlamento Europeo y del Consejo en lo que respecta a las normas técnicas de regulación relativas a la disciplina de liquidación (DO L 230 de 13.09.2018).</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Resolución del Parlamento Europeo, de 8 de octubre de 2020, sobre el desarrollo de la unión de los mercados de capitales (UMC): mejora del acceso a la financiación en los mercados de capitales, en particular por parte de las pymes, y refuerzo de la participación de los inversores minoristas [</w:t>
      </w:r>
      <w:r>
        <w:rPr>
          <w:rFonts w:ascii="Times New Roman" w:hAnsi="Times New Roman"/>
        </w:rPr>
        <w:t>2020/2036(INI)</w:t>
      </w:r>
      <w:r>
        <w:rPr>
          <w:rFonts w:ascii="Times New Roman" w:hAnsi="Times New Roman"/>
          <w:bCs/>
        </w:rPr>
        <w:t>], apartado 21.</w:t>
      </w:r>
    </w:p>
  </w:footnote>
  <w:footnote w:id="14">
    <w:p>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Según la AEVM (https://www.esma.europa.eu/sites/default/files/library/esma_50-165-1287_report_on_trends_risks_and_vulnerabilities_no.2_2020.pdf), en marzo de 2020, los fallos en la liquidación aumentaron hasta el 14 % del capital (frente al 6 % en 2019) y hasta aproximadamente el 6 % de los bonos (frente al 3 % en 2019); sin embargo, desde entonces se han recuperado en gran medida hasta niveles históricos.</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Delegado (UE) 2017/389 de la Comisión, de 11 de noviembre de 2016, por el que se completa el Reglamento (UE) n.º 909/2014 del Parlamento Europeo y del Consejo en lo que respecta a los parámetros de cálculo de las sanciones pecuniarias por fallos en la liquidación y las operaciones de los DCV en Estados miembros de acogida (DO L 65 de 10.3.2017).</w:t>
      </w:r>
    </w:p>
  </w:footnote>
  <w:footnote w:id="1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Propuesta de Reglamento del Parlamento Europeo y del Consejo sobre un régimen piloto de las infraestructuras del mercado basadas en la tecnología de registro descentralizado [COM(2020) 594].</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Los internalizadores de la liquidación son entidades que ejecutan órdenes de transferencia por cuenta de clientes o por cuenta propia, sin recurrir a un sistema de liquidación de valores.</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Informe de la AEVM </w:t>
      </w:r>
      <w:r>
        <w:rPr>
          <w:rFonts w:ascii="Times New Roman" w:hAnsi="Times New Roman"/>
          <w:i/>
          <w:iCs/>
        </w:rPr>
        <w:t>CSDR Internalised Settlement</w:t>
      </w:r>
      <w:r>
        <w:rPr>
          <w:rFonts w:ascii="Times New Roman" w:hAnsi="Times New Roman"/>
        </w:rPr>
        <w:t xml:space="preserve"> [«Liquidación internalizada del Reglamento sobre liquidación y depositarios centrales de valores», documento en inglés] de 5.11.2020.</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(UE) 2021/23 del Parlamento Europeo y del Consejo, de 16 de diciembre de 2020, relativo a un marco para la recuperación y la resolución de entidades de contrapartida central y por el que se modifican los Reglamentos (UE) n.º 1095/2010, (UE) n.º 648/2012, (UE) n.º 600/2014, (UE) n.º 806/2014 y (UE) 2015/2365 y las Directivas 2002/47/CE, 2004/25/CE, 2007/36/CE, 2014/59/UE y (UE) 2017/1132 (DO L 22 de 22.1.2021).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7BE"/>
    <w:multiLevelType w:val="hybridMultilevel"/>
    <w:tmpl w:val="6DEA2F34"/>
    <w:lvl w:ilvl="0" w:tplc="29B45CA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58977E2"/>
    <w:multiLevelType w:val="hybridMultilevel"/>
    <w:tmpl w:val="6DEA2F34"/>
    <w:lvl w:ilvl="0" w:tplc="29B45CA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466B55"/>
    <w:multiLevelType w:val="hybridMultilevel"/>
    <w:tmpl w:val="E6642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14052"/>
    <w:multiLevelType w:val="multilevel"/>
    <w:tmpl w:val="C5ECA46C"/>
    <w:lvl w:ilvl="0">
      <w:start w:val="1"/>
      <w:numFmt w:val="decimal"/>
      <w:pStyle w:val="HeaderSensitivityRight"/>
      <w:lvlText w:val="%1."/>
      <w:lvlJc w:val="left"/>
      <w:pPr>
        <w:ind w:left="360" w:hanging="360"/>
      </w:pPr>
    </w:lvl>
    <w:lvl w:ilvl="1">
      <w:start w:val="1"/>
      <w:numFmt w:val="decimal"/>
      <w:lvlText w:val="%1.%2."/>
      <w:lvlJc w:val="left"/>
      <w:pPr>
        <w:ind w:left="19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235BCB"/>
    <w:multiLevelType w:val="multilevel"/>
    <w:tmpl w:val="91B8EBD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08C7207"/>
    <w:multiLevelType w:val="hybridMultilevel"/>
    <w:tmpl w:val="5E123C9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220020B"/>
    <w:multiLevelType w:val="hybridMultilevel"/>
    <w:tmpl w:val="5C405E5A"/>
    <w:lvl w:ilvl="0" w:tplc="5B843136">
      <w:start w:val="1"/>
      <w:numFmt w:val="lowerRoman"/>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nsid w:val="12E22096"/>
    <w:multiLevelType w:val="hybridMultilevel"/>
    <w:tmpl w:val="F69094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3B665E3"/>
    <w:multiLevelType w:val="hybridMultilevel"/>
    <w:tmpl w:val="581C9B3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nsid w:val="14B21407"/>
    <w:multiLevelType w:val="hybridMultilevel"/>
    <w:tmpl w:val="F1B410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nsid w:val="14E83735"/>
    <w:multiLevelType w:val="hybridMultilevel"/>
    <w:tmpl w:val="2BBAD8F4"/>
    <w:lvl w:ilvl="0" w:tplc="06BE134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564A9"/>
    <w:multiLevelType w:val="hybridMultilevel"/>
    <w:tmpl w:val="FEEEA4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17E72D10"/>
    <w:multiLevelType w:val="multilevel"/>
    <w:tmpl w:val="FA923D8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FF4141"/>
    <w:multiLevelType w:val="hybridMultilevel"/>
    <w:tmpl w:val="CAD4DC7A"/>
    <w:lvl w:ilvl="0" w:tplc="C700DAC2">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nsid w:val="20F921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6E22CF"/>
    <w:multiLevelType w:val="hybridMultilevel"/>
    <w:tmpl w:val="5622E8C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6615363"/>
    <w:multiLevelType w:val="hybridMultilevel"/>
    <w:tmpl w:val="B8540EC2"/>
    <w:lvl w:ilvl="0" w:tplc="FAECE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E010E7"/>
    <w:multiLevelType w:val="hybridMultilevel"/>
    <w:tmpl w:val="A09AD9BE"/>
    <w:lvl w:ilvl="0" w:tplc="6F0A325E">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8">
    <w:nsid w:val="3D3C70AD"/>
    <w:multiLevelType w:val="hybridMultilevel"/>
    <w:tmpl w:val="82CEAF22"/>
    <w:lvl w:ilvl="0" w:tplc="F27E6E08">
      <w:start w:val="3"/>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D76D1D"/>
    <w:multiLevelType w:val="hybridMultilevel"/>
    <w:tmpl w:val="7682CB0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4A4741BE"/>
    <w:multiLevelType w:val="hybridMultilevel"/>
    <w:tmpl w:val="2004A532"/>
    <w:lvl w:ilvl="0" w:tplc="3194737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54CC6E51"/>
    <w:multiLevelType w:val="hybridMultilevel"/>
    <w:tmpl w:val="8B8AB5AC"/>
    <w:lvl w:ilvl="0" w:tplc="3146AD5E">
      <w:start w:val="1"/>
      <w:numFmt w:val="lowerRoman"/>
      <w:lvlText w:val="(%1)"/>
      <w:lvlJc w:val="left"/>
      <w:pPr>
        <w:ind w:left="1364" w:hanging="720"/>
      </w:pPr>
    </w:lvl>
    <w:lvl w:ilvl="1" w:tplc="080C0019">
      <w:start w:val="1"/>
      <w:numFmt w:val="lowerLetter"/>
      <w:lvlText w:val="%2."/>
      <w:lvlJc w:val="left"/>
      <w:pPr>
        <w:ind w:left="1724" w:hanging="360"/>
      </w:pPr>
    </w:lvl>
    <w:lvl w:ilvl="2" w:tplc="080C001B">
      <w:start w:val="1"/>
      <w:numFmt w:val="lowerRoman"/>
      <w:lvlText w:val="%3."/>
      <w:lvlJc w:val="right"/>
      <w:pPr>
        <w:ind w:left="2444" w:hanging="180"/>
      </w:pPr>
    </w:lvl>
    <w:lvl w:ilvl="3" w:tplc="080C000F">
      <w:start w:val="1"/>
      <w:numFmt w:val="decimal"/>
      <w:lvlText w:val="%4."/>
      <w:lvlJc w:val="left"/>
      <w:pPr>
        <w:ind w:left="3164" w:hanging="360"/>
      </w:pPr>
    </w:lvl>
    <w:lvl w:ilvl="4" w:tplc="080C0019">
      <w:start w:val="1"/>
      <w:numFmt w:val="lowerLetter"/>
      <w:lvlText w:val="%5."/>
      <w:lvlJc w:val="left"/>
      <w:pPr>
        <w:ind w:left="3884" w:hanging="360"/>
      </w:pPr>
    </w:lvl>
    <w:lvl w:ilvl="5" w:tplc="080C001B">
      <w:start w:val="1"/>
      <w:numFmt w:val="lowerRoman"/>
      <w:lvlText w:val="%6."/>
      <w:lvlJc w:val="right"/>
      <w:pPr>
        <w:ind w:left="4604" w:hanging="180"/>
      </w:pPr>
    </w:lvl>
    <w:lvl w:ilvl="6" w:tplc="080C000F">
      <w:start w:val="1"/>
      <w:numFmt w:val="decimal"/>
      <w:lvlText w:val="%7."/>
      <w:lvlJc w:val="left"/>
      <w:pPr>
        <w:ind w:left="5324" w:hanging="360"/>
      </w:pPr>
    </w:lvl>
    <w:lvl w:ilvl="7" w:tplc="080C0019">
      <w:start w:val="1"/>
      <w:numFmt w:val="lowerLetter"/>
      <w:lvlText w:val="%8."/>
      <w:lvlJc w:val="left"/>
      <w:pPr>
        <w:ind w:left="6044" w:hanging="360"/>
      </w:pPr>
    </w:lvl>
    <w:lvl w:ilvl="8" w:tplc="080C001B">
      <w:start w:val="1"/>
      <w:numFmt w:val="lowerRoman"/>
      <w:lvlText w:val="%9."/>
      <w:lvlJc w:val="right"/>
      <w:pPr>
        <w:ind w:left="6764" w:hanging="180"/>
      </w:pPr>
    </w:lvl>
  </w:abstractNum>
  <w:abstractNum w:abstractNumId="22">
    <w:nsid w:val="622F67A1"/>
    <w:multiLevelType w:val="hybridMultilevel"/>
    <w:tmpl w:val="5C405E5A"/>
    <w:lvl w:ilvl="0" w:tplc="5B843136">
      <w:start w:val="1"/>
      <w:numFmt w:val="lowerRoman"/>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3">
    <w:nsid w:val="68443FFA"/>
    <w:multiLevelType w:val="hybridMultilevel"/>
    <w:tmpl w:val="36B62FB8"/>
    <w:lvl w:ilvl="0" w:tplc="3DCC4512">
      <w:start w:val="1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6D1C0A2B"/>
    <w:multiLevelType w:val="multilevel"/>
    <w:tmpl w:val="8D1CDEF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E24354E"/>
    <w:multiLevelType w:val="hybridMultilevel"/>
    <w:tmpl w:val="7666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43935"/>
    <w:multiLevelType w:val="hybridMultilevel"/>
    <w:tmpl w:val="802A6880"/>
    <w:lvl w:ilvl="0" w:tplc="9A0EA8E8">
      <w:start w:val="2"/>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7">
    <w:nsid w:val="73F604C7"/>
    <w:multiLevelType w:val="hybridMultilevel"/>
    <w:tmpl w:val="2934FBDC"/>
    <w:lvl w:ilvl="0" w:tplc="96F0E7B2">
      <w:start w:val="3"/>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8">
    <w:nsid w:val="752E342E"/>
    <w:multiLevelType w:val="hybridMultilevel"/>
    <w:tmpl w:val="9A7276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nsid w:val="76033120"/>
    <w:multiLevelType w:val="multilevel"/>
    <w:tmpl w:val="06A2EED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6114666"/>
    <w:multiLevelType w:val="hybridMultilevel"/>
    <w:tmpl w:val="2EDADD64"/>
    <w:lvl w:ilvl="0" w:tplc="49DA95A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8B04B16"/>
    <w:multiLevelType w:val="multilevel"/>
    <w:tmpl w:val="A9523AFC"/>
    <w:lvl w:ilvl="0">
      <w:start w:val="4"/>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90D3004"/>
    <w:multiLevelType w:val="hybridMultilevel"/>
    <w:tmpl w:val="BFF47C20"/>
    <w:lvl w:ilvl="0" w:tplc="D85E4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4E03D0"/>
    <w:multiLevelType w:val="hybridMultilevel"/>
    <w:tmpl w:val="CF349BC0"/>
    <w:lvl w:ilvl="0" w:tplc="7032B9B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7B0B168C"/>
    <w:multiLevelType w:val="hybridMultilevel"/>
    <w:tmpl w:val="A426C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044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9"/>
  </w:num>
  <w:num w:numId="3">
    <w:abstractNumId w:val="33"/>
  </w:num>
  <w:num w:numId="4">
    <w:abstractNumId w:val="1"/>
  </w:num>
  <w:num w:numId="5">
    <w:abstractNumId w:val="0"/>
  </w:num>
  <w:num w:numId="6">
    <w:abstractNumId w:val="29"/>
  </w:num>
  <w:num w:numId="7">
    <w:abstractNumId w:val="7"/>
  </w:num>
  <w:num w:numId="8">
    <w:abstractNumId w:val="5"/>
  </w:num>
  <w:num w:numId="9">
    <w:abstractNumId w:val="15"/>
  </w:num>
  <w:num w:numId="10">
    <w:abstractNumId w:val="17"/>
  </w:num>
  <w:num w:numId="11">
    <w:abstractNumId w:val="31"/>
  </w:num>
  <w:num w:numId="12">
    <w:abstractNumId w:val="30"/>
  </w:num>
  <w:num w:numId="13">
    <w:abstractNumId w:val="18"/>
  </w:num>
  <w:num w:numId="14">
    <w:abstractNumId w:val="16"/>
  </w:num>
  <w:num w:numId="15">
    <w:abstractNumId w:val="10"/>
  </w:num>
  <w:num w:numId="16">
    <w:abstractNumId w:val="2"/>
  </w:num>
  <w:num w:numId="17">
    <w:abstractNumId w:val="34"/>
  </w:num>
  <w:num w:numId="18">
    <w:abstractNumId w:val="27"/>
  </w:num>
  <w:num w:numId="19">
    <w:abstractNumId w:val="13"/>
  </w:num>
  <w:num w:numId="20">
    <w:abstractNumId w:val="6"/>
  </w:num>
  <w:num w:numId="21">
    <w:abstractNumId w:val="22"/>
  </w:num>
  <w:num w:numId="22">
    <w:abstractNumId w:val="32"/>
  </w:num>
  <w:num w:numId="23">
    <w:abstractNumId w:val="12"/>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3"/>
  </w:num>
  <w:num w:numId="27">
    <w:abstractNumId w:val="24"/>
  </w:num>
  <w:num w:numId="28">
    <w:abstractNumId w:val="4"/>
  </w:num>
  <w:num w:numId="29">
    <w:abstractNumId w:val="28"/>
  </w:num>
  <w:num w:numId="30">
    <w:abstractNumId w:val="9"/>
  </w:num>
  <w:num w:numId="31">
    <w:abstractNumId w:val="26"/>
  </w:num>
  <w:num w:numId="32">
    <w:abstractNumId w:val="1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5"/>
  </w:num>
  <w:num w:numId="36">
    <w:abstractNumId w:val="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C6AE83C-1A03-4E15-A9D8-0F7862A0586A"/>
    <w:docVar w:name="LW_COVERPAGE_TYPE" w:val="1"/>
    <w:docVar w:name="LW_CROSSREFERENCE" w:val="&lt;UNUSED&gt;"/>
    <w:docVar w:name="LW_DocType" w:val="NORMAL"/>
    <w:docVar w:name="LW_EMISSION" w:val="1.7.2021"/>
    <w:docVar w:name="LW_EMISSION_ISODATE" w:val="2021-07-01"/>
    <w:docVar w:name="LW_EMISSION_LOCATION" w:val="BRX"/>
    <w:docVar w:name="LW_EMISSION_PREFIX" w:val="Bruselas, "/>
    <w:docVar w:name="LW_EMISSION_SUFFIX" w:val=" "/>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1) 3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n virtud del artículo 75 del Reglamento (UE) n.º 909/2014 del Parlamento Europeo y del Consejo, de 23 de julio de 2014, sobre la mejora de la liquidación de valores en la Unión Europea y los depositarios centrales de valores y por el que se modifican las Directivas 98/26/CE y 2014/65/UE y el Reglamento (UE) n.º 236/2012&lt;/FMT&gt;_x000d__x000d__x000b_"/>
    <w:docVar w:name="LW_TYPE.DOC.CP" w:val="INFORME DE LA COMISIÓN AL PARLAMENTO EUROPEO Y AL CONSEJO"/>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No T"/>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Reference_LVL6,Footnote Reference_LVL61,Footnote Reference_LVL62,Footnote Reference_LVL63,Footnote Reference_LVL64,Footnote Reference Number,SUPERS,Footnote reference number,Footnote symbol,note TESI,-E Fußnotenzeichen,number"/>
    <w:basedOn w:val="DefaultParagraphFont"/>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style>
  <w:style w:type="paragraph" w:styleId="CommentText">
    <w:name w:val="annotation text"/>
    <w:basedOn w:val="Normal"/>
    <w:link w:val="CommentTextChar"/>
    <w:unhideWhenUsed/>
    <w:pPr>
      <w:spacing w:after="24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GB"/>
    </w:rPr>
  </w:style>
  <w:style w:type="character" w:styleId="CommentReference">
    <w:name w:val="annotation reference"/>
    <w:basedOn w:val="DefaultParagraphFont"/>
    <w:semiHidden/>
    <w:unhideWhenUsed/>
    <w:rPr>
      <w:sz w:val="16"/>
      <w:szCs w:val="16"/>
    </w:rPr>
  </w:style>
  <w:style w:type="table" w:styleId="TableGrid">
    <w:name w:val="Table Grid"/>
    <w:basedOn w:val="TableNormal"/>
    <w:uiPriority w:val="59"/>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426"/>
    </w:pPr>
    <w:rPr>
      <w:rFonts w:ascii="Times New Roman" w:hAnsi="Times New Roman" w:cs="Times New Roman"/>
      <w:sz w:val="24"/>
    </w:rPr>
  </w:style>
  <w:style w:type="character" w:customStyle="1" w:styleId="FooterCoverPageChar">
    <w:name w:val="Footer Cover Page Char"/>
    <w:basedOn w:val="ListParagraphChar"/>
    <w:link w:val="FooterCoverPage"/>
    <w:rPr>
      <w:rFonts w:ascii="Times New Roman" w:hAnsi="Times New Roman" w:cs="Times New Roman"/>
      <w:sz w:val="24"/>
      <w:lang w:val="es-ES_tradn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426"/>
      <w:jc w:val="center"/>
    </w:pPr>
    <w:rPr>
      <w:rFonts w:ascii="Times New Roman" w:hAnsi="Times New Roman" w:cs="Times New Roman"/>
      <w:b/>
      <w:sz w:val="32"/>
    </w:rPr>
  </w:style>
  <w:style w:type="character" w:customStyle="1" w:styleId="FooterSensitivityChar">
    <w:name w:val="Footer Sensitivity Char"/>
    <w:basedOn w:val="ListParagraphChar"/>
    <w:link w:val="FooterSensitivity"/>
    <w:rPr>
      <w:rFonts w:ascii="Times New Roman" w:hAnsi="Times New Roman" w:cs="Times New Roman"/>
      <w:b/>
      <w:sz w:val="32"/>
      <w:lang w:val="es-ES_tradnl"/>
    </w:rPr>
  </w:style>
  <w:style w:type="paragraph" w:customStyle="1" w:styleId="HeaderCoverPage">
    <w:name w:val="Header Cover Page"/>
    <w:basedOn w:val="Normal"/>
    <w:link w:val="HeaderCoverPageChar"/>
    <w:pPr>
      <w:tabs>
        <w:tab w:val="center" w:pos="4535"/>
        <w:tab w:val="right" w:pos="9071"/>
      </w:tabs>
      <w:spacing w:after="120" w:line="240" w:lineRule="auto"/>
      <w:ind w:hanging="426"/>
      <w:jc w:val="both"/>
    </w:pPr>
    <w:rPr>
      <w:rFonts w:ascii="Times New Roman" w:hAnsi="Times New Roman" w:cs="Times New Roman"/>
      <w:sz w:val="24"/>
    </w:rPr>
  </w:style>
  <w:style w:type="character" w:customStyle="1" w:styleId="HeaderCoverPageChar">
    <w:name w:val="Header Cover Page Char"/>
    <w:basedOn w:val="ListParagraphChar"/>
    <w:link w:val="HeaderCoverPage"/>
    <w:rPr>
      <w:rFonts w:ascii="Times New Roman" w:hAnsi="Times New Roman" w:cs="Times New Roman"/>
      <w:sz w:val="24"/>
      <w:lang w:val="es-ES_tradn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426"/>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Pr>
      <w:rFonts w:ascii="Times New Roman" w:hAnsi="Times New Roman" w:cs="Times New Roman"/>
      <w:b/>
      <w:sz w:val="32"/>
      <w:lang w:val="es-ES_tradnl"/>
    </w:rPr>
  </w:style>
  <w:style w:type="paragraph" w:customStyle="1" w:styleId="HeaderSensitivityRight">
    <w:name w:val="Header Sensitivity Right"/>
    <w:basedOn w:val="Normal"/>
    <w:link w:val="HeaderSensitivityRightChar"/>
    <w:pPr>
      <w:numPr>
        <w:numId w:val="36"/>
      </w:numPr>
      <w:spacing w:after="120" w:line="240" w:lineRule="auto"/>
      <w:ind w:left="0" w:hanging="426"/>
      <w:jc w:val="right"/>
    </w:pPr>
    <w:rPr>
      <w:rFonts w:ascii="Times New Roman" w:hAnsi="Times New Roman" w:cs="Times New Roman"/>
      <w:sz w:val="28"/>
    </w:rPr>
  </w:style>
  <w:style w:type="character" w:customStyle="1" w:styleId="HeaderSensitivityRightChar">
    <w:name w:val="Header Sensitivity Right Char"/>
    <w:basedOn w:val="ListParagraphChar"/>
    <w:link w:val="HeaderSensitivityRight"/>
    <w:rPr>
      <w:rFonts w:ascii="Times New Roman" w:hAnsi="Times New Roman" w:cs="Times New Roman"/>
      <w:sz w:val="28"/>
      <w:lang w:val="es-ES_tradn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No T"/>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Reference_LVL6,Footnote Reference_LVL61,Footnote Reference_LVL62,Footnote Reference_LVL63,Footnote Reference_LVL64,Footnote Reference Number,SUPERS,Footnote reference number,Footnote symbol,note TESI,-E Fußnotenzeichen,number"/>
    <w:basedOn w:val="DefaultParagraphFont"/>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style>
  <w:style w:type="paragraph" w:styleId="CommentText">
    <w:name w:val="annotation text"/>
    <w:basedOn w:val="Normal"/>
    <w:link w:val="CommentTextChar"/>
    <w:unhideWhenUsed/>
    <w:pPr>
      <w:spacing w:after="24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GB"/>
    </w:rPr>
  </w:style>
  <w:style w:type="character" w:styleId="CommentReference">
    <w:name w:val="annotation reference"/>
    <w:basedOn w:val="DefaultParagraphFont"/>
    <w:semiHidden/>
    <w:unhideWhenUsed/>
    <w:rPr>
      <w:sz w:val="16"/>
      <w:szCs w:val="16"/>
    </w:rPr>
  </w:style>
  <w:style w:type="table" w:styleId="TableGrid">
    <w:name w:val="Table Grid"/>
    <w:basedOn w:val="TableNormal"/>
    <w:uiPriority w:val="59"/>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426"/>
    </w:pPr>
    <w:rPr>
      <w:rFonts w:ascii="Times New Roman" w:hAnsi="Times New Roman" w:cs="Times New Roman"/>
      <w:sz w:val="24"/>
    </w:rPr>
  </w:style>
  <w:style w:type="character" w:customStyle="1" w:styleId="FooterCoverPageChar">
    <w:name w:val="Footer Cover Page Char"/>
    <w:basedOn w:val="ListParagraphChar"/>
    <w:link w:val="FooterCoverPage"/>
    <w:rPr>
      <w:rFonts w:ascii="Times New Roman" w:hAnsi="Times New Roman" w:cs="Times New Roman"/>
      <w:sz w:val="24"/>
      <w:lang w:val="es-ES_tradn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426"/>
      <w:jc w:val="center"/>
    </w:pPr>
    <w:rPr>
      <w:rFonts w:ascii="Times New Roman" w:hAnsi="Times New Roman" w:cs="Times New Roman"/>
      <w:b/>
      <w:sz w:val="32"/>
    </w:rPr>
  </w:style>
  <w:style w:type="character" w:customStyle="1" w:styleId="FooterSensitivityChar">
    <w:name w:val="Footer Sensitivity Char"/>
    <w:basedOn w:val="ListParagraphChar"/>
    <w:link w:val="FooterSensitivity"/>
    <w:rPr>
      <w:rFonts w:ascii="Times New Roman" w:hAnsi="Times New Roman" w:cs="Times New Roman"/>
      <w:b/>
      <w:sz w:val="32"/>
      <w:lang w:val="es-ES_tradnl"/>
    </w:rPr>
  </w:style>
  <w:style w:type="paragraph" w:customStyle="1" w:styleId="HeaderCoverPage">
    <w:name w:val="Header Cover Page"/>
    <w:basedOn w:val="Normal"/>
    <w:link w:val="HeaderCoverPageChar"/>
    <w:pPr>
      <w:tabs>
        <w:tab w:val="center" w:pos="4535"/>
        <w:tab w:val="right" w:pos="9071"/>
      </w:tabs>
      <w:spacing w:after="120" w:line="240" w:lineRule="auto"/>
      <w:ind w:hanging="426"/>
      <w:jc w:val="both"/>
    </w:pPr>
    <w:rPr>
      <w:rFonts w:ascii="Times New Roman" w:hAnsi="Times New Roman" w:cs="Times New Roman"/>
      <w:sz w:val="24"/>
    </w:rPr>
  </w:style>
  <w:style w:type="character" w:customStyle="1" w:styleId="HeaderCoverPageChar">
    <w:name w:val="Header Cover Page Char"/>
    <w:basedOn w:val="ListParagraphChar"/>
    <w:link w:val="HeaderCoverPage"/>
    <w:rPr>
      <w:rFonts w:ascii="Times New Roman" w:hAnsi="Times New Roman" w:cs="Times New Roman"/>
      <w:sz w:val="24"/>
      <w:lang w:val="es-ES_tradn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426"/>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Pr>
      <w:rFonts w:ascii="Times New Roman" w:hAnsi="Times New Roman" w:cs="Times New Roman"/>
      <w:b/>
      <w:sz w:val="32"/>
      <w:lang w:val="es-ES_tradnl"/>
    </w:rPr>
  </w:style>
  <w:style w:type="paragraph" w:customStyle="1" w:styleId="HeaderSensitivityRight">
    <w:name w:val="Header Sensitivity Right"/>
    <w:basedOn w:val="Normal"/>
    <w:link w:val="HeaderSensitivityRightChar"/>
    <w:pPr>
      <w:numPr>
        <w:numId w:val="36"/>
      </w:numPr>
      <w:spacing w:after="120" w:line="240" w:lineRule="auto"/>
      <w:ind w:left="0" w:hanging="426"/>
      <w:jc w:val="right"/>
    </w:pPr>
    <w:rPr>
      <w:rFonts w:ascii="Times New Roman" w:hAnsi="Times New Roman" w:cs="Times New Roman"/>
      <w:sz w:val="28"/>
    </w:rPr>
  </w:style>
  <w:style w:type="character" w:customStyle="1" w:styleId="HeaderSensitivityRightChar">
    <w:name w:val="Header Sensitivity Right Char"/>
    <w:basedOn w:val="ListParagraphChar"/>
    <w:link w:val="HeaderSensitivityRight"/>
    <w:rPr>
      <w:rFonts w:ascii="Times New Roman" w:hAnsi="Times New Roman" w:cs="Times New Roman"/>
      <w:sz w:val="28"/>
      <w:lang w:val="es-ES_tradn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3518">
      <w:bodyDiv w:val="1"/>
      <w:marLeft w:val="0"/>
      <w:marRight w:val="0"/>
      <w:marTop w:val="0"/>
      <w:marBottom w:val="0"/>
      <w:divBdr>
        <w:top w:val="none" w:sz="0" w:space="0" w:color="auto"/>
        <w:left w:val="none" w:sz="0" w:space="0" w:color="auto"/>
        <w:bottom w:val="none" w:sz="0" w:space="0" w:color="auto"/>
        <w:right w:val="none" w:sz="0" w:space="0" w:color="auto"/>
      </w:divBdr>
    </w:div>
    <w:div w:id="168757136">
      <w:bodyDiv w:val="1"/>
      <w:marLeft w:val="0"/>
      <w:marRight w:val="0"/>
      <w:marTop w:val="0"/>
      <w:marBottom w:val="0"/>
      <w:divBdr>
        <w:top w:val="none" w:sz="0" w:space="0" w:color="auto"/>
        <w:left w:val="none" w:sz="0" w:space="0" w:color="auto"/>
        <w:bottom w:val="none" w:sz="0" w:space="0" w:color="auto"/>
        <w:right w:val="none" w:sz="0" w:space="0" w:color="auto"/>
      </w:divBdr>
    </w:div>
    <w:div w:id="528030538">
      <w:bodyDiv w:val="1"/>
      <w:marLeft w:val="0"/>
      <w:marRight w:val="0"/>
      <w:marTop w:val="0"/>
      <w:marBottom w:val="0"/>
      <w:divBdr>
        <w:top w:val="none" w:sz="0" w:space="0" w:color="auto"/>
        <w:left w:val="none" w:sz="0" w:space="0" w:color="auto"/>
        <w:bottom w:val="none" w:sz="0" w:space="0" w:color="auto"/>
        <w:right w:val="none" w:sz="0" w:space="0" w:color="auto"/>
      </w:divBdr>
    </w:div>
    <w:div w:id="735933658">
      <w:bodyDiv w:val="1"/>
      <w:marLeft w:val="0"/>
      <w:marRight w:val="0"/>
      <w:marTop w:val="0"/>
      <w:marBottom w:val="0"/>
      <w:divBdr>
        <w:top w:val="none" w:sz="0" w:space="0" w:color="auto"/>
        <w:left w:val="none" w:sz="0" w:space="0" w:color="auto"/>
        <w:bottom w:val="none" w:sz="0" w:space="0" w:color="auto"/>
        <w:right w:val="none" w:sz="0" w:space="0" w:color="auto"/>
      </w:divBdr>
    </w:div>
    <w:div w:id="933199787">
      <w:bodyDiv w:val="1"/>
      <w:marLeft w:val="0"/>
      <w:marRight w:val="0"/>
      <w:marTop w:val="0"/>
      <w:marBottom w:val="0"/>
      <w:divBdr>
        <w:top w:val="none" w:sz="0" w:space="0" w:color="auto"/>
        <w:left w:val="none" w:sz="0" w:space="0" w:color="auto"/>
        <w:bottom w:val="none" w:sz="0" w:space="0" w:color="auto"/>
        <w:right w:val="none" w:sz="0" w:space="0" w:color="auto"/>
      </w:divBdr>
    </w:div>
    <w:div w:id="950623022">
      <w:bodyDiv w:val="1"/>
      <w:marLeft w:val="0"/>
      <w:marRight w:val="0"/>
      <w:marTop w:val="0"/>
      <w:marBottom w:val="0"/>
      <w:divBdr>
        <w:top w:val="none" w:sz="0" w:space="0" w:color="auto"/>
        <w:left w:val="none" w:sz="0" w:space="0" w:color="auto"/>
        <w:bottom w:val="none" w:sz="0" w:space="0" w:color="auto"/>
        <w:right w:val="none" w:sz="0" w:space="0" w:color="auto"/>
      </w:divBdr>
      <w:divsChild>
        <w:div w:id="1951236033">
          <w:marLeft w:val="0"/>
          <w:marRight w:val="0"/>
          <w:marTop w:val="0"/>
          <w:marBottom w:val="0"/>
          <w:divBdr>
            <w:top w:val="none" w:sz="0" w:space="0" w:color="auto"/>
            <w:left w:val="none" w:sz="0" w:space="0" w:color="auto"/>
            <w:bottom w:val="none" w:sz="0" w:space="0" w:color="auto"/>
            <w:right w:val="none" w:sz="0" w:space="0" w:color="auto"/>
          </w:divBdr>
          <w:divsChild>
            <w:div w:id="5639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3975">
      <w:bodyDiv w:val="1"/>
      <w:marLeft w:val="0"/>
      <w:marRight w:val="0"/>
      <w:marTop w:val="0"/>
      <w:marBottom w:val="0"/>
      <w:divBdr>
        <w:top w:val="none" w:sz="0" w:space="0" w:color="auto"/>
        <w:left w:val="none" w:sz="0" w:space="0" w:color="auto"/>
        <w:bottom w:val="none" w:sz="0" w:space="0" w:color="auto"/>
        <w:right w:val="none" w:sz="0" w:space="0" w:color="auto"/>
      </w:divBdr>
    </w:div>
    <w:div w:id="1032457338">
      <w:bodyDiv w:val="1"/>
      <w:marLeft w:val="0"/>
      <w:marRight w:val="0"/>
      <w:marTop w:val="0"/>
      <w:marBottom w:val="0"/>
      <w:divBdr>
        <w:top w:val="none" w:sz="0" w:space="0" w:color="auto"/>
        <w:left w:val="none" w:sz="0" w:space="0" w:color="auto"/>
        <w:bottom w:val="none" w:sz="0" w:space="0" w:color="auto"/>
        <w:right w:val="none" w:sz="0" w:space="0" w:color="auto"/>
      </w:divBdr>
    </w:div>
    <w:div w:id="1075053398">
      <w:bodyDiv w:val="1"/>
      <w:marLeft w:val="0"/>
      <w:marRight w:val="0"/>
      <w:marTop w:val="0"/>
      <w:marBottom w:val="0"/>
      <w:divBdr>
        <w:top w:val="none" w:sz="0" w:space="0" w:color="auto"/>
        <w:left w:val="none" w:sz="0" w:space="0" w:color="auto"/>
        <w:bottom w:val="none" w:sz="0" w:space="0" w:color="auto"/>
        <w:right w:val="none" w:sz="0" w:space="0" w:color="auto"/>
      </w:divBdr>
    </w:div>
    <w:div w:id="1076903305">
      <w:bodyDiv w:val="1"/>
      <w:marLeft w:val="0"/>
      <w:marRight w:val="0"/>
      <w:marTop w:val="0"/>
      <w:marBottom w:val="0"/>
      <w:divBdr>
        <w:top w:val="none" w:sz="0" w:space="0" w:color="auto"/>
        <w:left w:val="none" w:sz="0" w:space="0" w:color="auto"/>
        <w:bottom w:val="none" w:sz="0" w:space="0" w:color="auto"/>
        <w:right w:val="none" w:sz="0" w:space="0" w:color="auto"/>
      </w:divBdr>
    </w:div>
    <w:div w:id="1483422399">
      <w:bodyDiv w:val="1"/>
      <w:marLeft w:val="0"/>
      <w:marRight w:val="0"/>
      <w:marTop w:val="0"/>
      <w:marBottom w:val="0"/>
      <w:divBdr>
        <w:top w:val="none" w:sz="0" w:space="0" w:color="auto"/>
        <w:left w:val="none" w:sz="0" w:space="0" w:color="auto"/>
        <w:bottom w:val="none" w:sz="0" w:space="0" w:color="auto"/>
        <w:right w:val="none" w:sz="0" w:space="0" w:color="auto"/>
      </w:divBdr>
      <w:divsChild>
        <w:div w:id="971789197">
          <w:marLeft w:val="0"/>
          <w:marRight w:val="0"/>
          <w:marTop w:val="0"/>
          <w:marBottom w:val="0"/>
          <w:divBdr>
            <w:top w:val="none" w:sz="0" w:space="0" w:color="auto"/>
            <w:left w:val="none" w:sz="0" w:space="0" w:color="auto"/>
            <w:bottom w:val="none" w:sz="0" w:space="0" w:color="auto"/>
            <w:right w:val="none" w:sz="0" w:space="0" w:color="auto"/>
          </w:divBdr>
          <w:divsChild>
            <w:div w:id="1518033527">
              <w:marLeft w:val="0"/>
              <w:marRight w:val="0"/>
              <w:marTop w:val="0"/>
              <w:marBottom w:val="0"/>
              <w:divBdr>
                <w:top w:val="none" w:sz="0" w:space="0" w:color="auto"/>
                <w:left w:val="none" w:sz="0" w:space="0" w:color="auto"/>
                <w:bottom w:val="none" w:sz="0" w:space="0" w:color="auto"/>
                <w:right w:val="none" w:sz="0" w:space="0" w:color="auto"/>
              </w:divBdr>
            </w:div>
            <w:div w:id="8687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consultations/finance-2020-csdr-review_en" TargetMode="External"/><Relationship Id="rId1" Type="http://schemas.openxmlformats.org/officeDocument/2006/relationships/hyperlink" Target="https://sdw.ecb.europa.eu/browse.do?node=9691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32A421E46EBF441AF2AF8A867F571E7" ma:contentTypeVersion="11" ma:contentTypeDescription="Create a new document in this library." ma:contentTypeScope="" ma:versionID="8116e87816e772cd510c2161c63fa758">
  <xsd:schema xmlns:xsd="http://www.w3.org/2001/XMLSchema" xmlns:xs="http://www.w3.org/2001/XMLSchema" xmlns:p="http://schemas.microsoft.com/office/2006/metadata/properties" xmlns:ns1="http://schemas.microsoft.com/sharepoint/v3" xmlns:ns3="2eb91d25-6658-46a9-9346-b94ccbd488f3" xmlns:ns4="2EB91D25-6658-46A9-9346-B94CCBD488F3" xmlns:ns5="02ebb043-5898-4877-8c1f-28652c7a58c8" targetNamespace="http://schemas.microsoft.com/office/2006/metadata/properties" ma:root="true" ma:fieldsID="82e4584d55eb0c02d9e94704d69a427a" ns1:_="" ns3:_="" ns4:_="" ns5:_="">
    <xsd:import namespace="http://schemas.microsoft.com/sharepoint/v3"/>
    <xsd:import namespace="2eb91d25-6658-46a9-9346-b94ccbd488f3"/>
    <xsd:import namespace="2EB91D25-6658-46A9-9346-B94CCBD488F3"/>
    <xsd:import namespace="02ebb043-5898-4877-8c1f-28652c7a58c8"/>
    <xsd:element name="properties">
      <xsd:complexType>
        <xsd:sequence>
          <xsd:element name="documentManagement">
            <xsd:complexType>
              <xsd:all>
                <xsd:element ref="ns4:EC_Collab_DocumentLanguage"/>
                <xsd:element ref="ns4:EC_ARES_NUMBER" minOccurs="0"/>
                <xsd:element ref="ns4:EC_ARES_DATE_TRANSFERRED" minOccurs="0"/>
                <xsd:element ref="ns4:EC_ARES_TRANSFERRED_BY" minOccurs="0"/>
                <xsd:element ref="ns5:pc1cb72997644c168a67816bee9648ad" minOccurs="0"/>
                <xsd:element ref="ns5:TaxCatchAll" minOccurs="0"/>
                <xsd:element ref="ns5:i65add8783a54065a8ae717033658b9b" minOccurs="0"/>
                <xsd:element ref="ns4:g730c418241247359dfc3592b9b535ca" minOccurs="0"/>
                <xsd:element ref="ns3:e8fd0e1557e145bd9f4f3de1968517da" minOccurs="0"/>
                <xsd:element ref="ns3:he8c495713c54ec59060e08ddae3af04" minOccurs="0"/>
                <xsd:element ref="ns5:_dlc_DocId" minOccurs="0"/>
                <xsd:element ref="ns5:_dlc_DocIdUrl" minOccurs="0"/>
                <xsd:element ref="ns5:_dlc_DocIdPersistId" minOccurs="0"/>
                <xsd:element ref="ns1:TranslationStateLis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9"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b91d25-6658-46a9-9346-b94ccbd488f3" elementFormDefault="qualified">
    <xsd:import namespace="http://schemas.microsoft.com/office/2006/documentManagement/types"/>
    <xsd:import namespace="http://schemas.microsoft.com/office/infopath/2007/PartnerControls"/>
    <xsd:element name="e8fd0e1557e145bd9f4f3de1968517da" ma:index="23" nillable="true" ma:taxonomy="true" ma:internalName="e8fd0e1557e145bd9f4f3de1968517da" ma:taxonomyFieldName="Financial_x0020_regulation" ma:displayName="Financial regulation" ma:default="" ma:fieldId="{e8fd0e15-57e1-45bd-9f4f-3de1968517da}" ma:sspId="c1588629-5f01-4420-b1c1-1ab4af18d9bf" ma:termSetId="e008b820-acb0-4187-b0ce-76ecc38df2b0" ma:anchorId="00000000-0000-0000-0000-000000000000" ma:open="false" ma:isKeyword="false">
      <xsd:complexType>
        <xsd:sequence>
          <xsd:element ref="pc:Terms" minOccurs="0" maxOccurs="1"/>
        </xsd:sequence>
      </xsd:complexType>
    </xsd:element>
    <xsd:element name="he8c495713c54ec59060e08ddae3af04" ma:index="25" nillable="true" ma:taxonomy="true" ma:internalName="he8c495713c54ec59060e08ddae3af04" ma:taxonomyFieldName="Entity" ma:displayName="Entity" ma:default="" ma:fieldId="{1e8c4957-13c5-4ec5-9060-e08ddae3af04}" ma:sspId="c1588629-5f01-4420-b1c1-1ab4af18d9bf" ma:termSetId="109e4378-513e-461d-af75-25747efca25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91D25-6658-46A9-9346-B94CCBD488F3" elementFormDefault="qualified">
    <xsd:import namespace="http://schemas.microsoft.com/office/2006/documentManagement/types"/>
    <xsd:import namespace="http://schemas.microsoft.com/office/infopath/2007/PartnerControls"/>
    <xsd:element name="EC_Collab_DocumentLanguage" ma:index="6"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0"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1" nillable="true" ma:displayName="Transferred to Ares" ma:format="DateTime" ma:hidden="true" ma:internalName="EC_ARES_DATE_TRANSFERRED">
      <xsd:simpleType>
        <xsd:restriction base="dms:DateTime"/>
      </xsd:simpleType>
    </xsd:element>
    <xsd:element name="EC_ARES_TRANSFERRED_BY" ma:index="12" nillable="true" ma:displayName="Transferred By" ma:hidden="true" ma:internalName="EC_ARES_TRANSFERRED_BY">
      <xsd:simpleType>
        <xsd:restriction base="dms:Text"/>
      </xsd:simpleType>
    </xsd:element>
    <xsd:element name="g730c418241247359dfc3592b9b535ca" ma:index="21" nillable="true" ma:taxonomy="true" ma:internalName="g730c418241247359dfc3592b9b535ca" ma:taxonomyFieldName="Confidentiality" ma:displayName="Confidentiality" ma:default="" ma:fieldId="{0730c418-2412-4735-9dfc-3592b9b535ca}"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pc1cb72997644c168a67816bee9648ad" ma:index="18"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19"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0"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EC_ARES_NUMBER xmlns="2EB91D25-6658-46A9-9346-B94CCBD488F3">
      <Url xsi:nil="true"/>
      <Description xsi:nil="true"/>
    </EC_ARES_NUMBER>
    <EC_ARES_DATE_TRANSFERRED xmlns="2EB91D25-6658-46A9-9346-B94CCBD488F3" xsi:nil="true"/>
    <EC_ARES_TRANSFERRED_BY xmlns="2EB91D25-6658-46A9-9346-B94CCBD488F3" xsi:nil="true"/>
    <EC_Collab_DocumentLanguage xmlns="2EB91D25-6658-46A9-9346-B94CCBD488F3">EN</EC_Collab_DocumentLanguage>
    <e8fd0e1557e145bd9f4f3de1968517da xmlns="2eb91d25-6658-46a9-9346-b94ccbd488f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e8fd0e1557e145bd9f4f3de1968517da>
    <g730c418241247359dfc3592b9b535ca xmlns="2EB91D25-6658-46A9-9346-B94CCBD488F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g730c418241247359dfc3592b9b535ca>
    <TaxCatchAll xmlns="02ebb043-5898-4877-8c1f-28652c7a58c8"/>
    <he8c495713c54ec59060e08ddae3af04 xmlns="2eb91d25-6658-46a9-9346-b94ccbd488f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he8c495713c54ec59060e08ddae3af04>
    <TranslationStateListUrl xmlns="http://schemas.microsoft.com/sharepoint/v3">
      <Url xsi:nil="true"/>
      <Description xsi:nil="true"/>
    </TranslationStateListUrl>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_dlc_DocId xmlns="02ebb043-5898-4877-8c1f-28652c7a58c8">KUAXY5MF5DVP-1545542153-3</_dlc_DocId>
    <_dlc_DocIdUrl xmlns="02ebb043-5898-4877-8c1f-28652c7a58c8">
      <Url>https://myintracomm-collab.ec.europa.eu/dg/FISMA/C/C2/_layouts/15/DocIdRedir.aspx?ID=KUAXY5MF5DVP-1545542153-3</Url>
      <Description>KUAXY5MF5DVP-1545542153-3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D0D0-3ECD-4FE9-9C9F-6D3D450A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b91d25-6658-46a9-9346-b94ccbd488f3"/>
    <ds:schemaRef ds:uri="2EB91D25-6658-46A9-9346-B94CCBD488F3"/>
    <ds:schemaRef ds:uri="02ebb043-5898-4877-8c1f-28652c7a5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6A770-5ED1-4995-88EB-1C406744BD16}">
  <ds:schemaRefs>
    <ds:schemaRef ds:uri="http://schemas.microsoft.com/sharepoint/v3/contenttype/forms"/>
  </ds:schemaRefs>
</ds:datastoreItem>
</file>

<file path=customXml/itemProps3.xml><?xml version="1.0" encoding="utf-8"?>
<ds:datastoreItem xmlns:ds="http://schemas.openxmlformats.org/officeDocument/2006/customXml" ds:itemID="{9DC738B2-5E11-452E-BF56-C092F855587D}">
  <ds:schemaRefs>
    <ds:schemaRef ds:uri="http://schemas.microsoft.com/sharepoint/events"/>
  </ds:schemaRefs>
</ds:datastoreItem>
</file>

<file path=customXml/itemProps4.xml><?xml version="1.0" encoding="utf-8"?>
<ds:datastoreItem xmlns:ds="http://schemas.openxmlformats.org/officeDocument/2006/customXml" ds:itemID="{75D69A15-8A3E-46F6-BF77-2755C832FE4D}">
  <ds:schemaRefs>
    <ds:schemaRef ds:uri="http://schemas.microsoft.com/office/2006/metadata/customXsn"/>
  </ds:schemaRefs>
</ds:datastoreItem>
</file>

<file path=customXml/itemProps5.xml><?xml version="1.0" encoding="utf-8"?>
<ds:datastoreItem xmlns:ds="http://schemas.openxmlformats.org/officeDocument/2006/customXml" ds:itemID="{6A204251-3DC9-47B9-9ACC-B5541FD968A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ebb043-5898-4877-8c1f-28652c7a58c8"/>
    <ds:schemaRef ds:uri="http://purl.org/dc/elements/1.1/"/>
    <ds:schemaRef ds:uri="http://schemas.microsoft.com/office/2006/metadata/properties"/>
    <ds:schemaRef ds:uri="2EB91D25-6658-46A9-9346-B94CCBD488F3"/>
    <ds:schemaRef ds:uri="2eb91d25-6658-46a9-9346-b94ccbd488f3"/>
    <ds:schemaRef ds:uri="http://www.w3.org/XML/1998/namespace"/>
    <ds:schemaRef ds:uri="http://purl.org/dc/dcmitype/"/>
  </ds:schemaRefs>
</ds:datastoreItem>
</file>

<file path=customXml/itemProps6.xml><?xml version="1.0" encoding="utf-8"?>
<ds:datastoreItem xmlns:ds="http://schemas.openxmlformats.org/officeDocument/2006/customXml" ds:itemID="{D98F4A98-DFCC-43AC-AEBA-6CD13CE6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4440</Words>
  <Characters>24065</Characters>
  <Application>Microsoft Office Word</Application>
  <DocSecurity>0</DocSecurity>
  <Lines>370</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2021-06-16T07:39:00Z</dcterms:created>
  <dcterms:modified xsi:type="dcterms:W3CDTF">2021-07-20T12:39:00Z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ffa8fb2b-7366-41fc-8e64-01f8dd6ed786</vt:lpwstr>
  </property>
  <property fmtid="{D5CDD505-2E9C-101B-9397-08002B2CF9AE}" pid="3" name="Financial regulation">
    <vt:lpwstr/>
  </property>
  <property fmtid="{D5CDD505-2E9C-101B-9397-08002B2CF9AE}" pid="4" name="Entity">
    <vt:lpwstr/>
  </property>
  <property fmtid="{D5CDD505-2E9C-101B-9397-08002B2CF9AE}" pid="5" name="Document type">
    <vt:lpwstr/>
  </property>
  <property fmtid="{D5CDD505-2E9C-101B-9397-08002B2CF9AE}" pid="6" name="Confidentiality">
    <vt:lpwstr/>
  </property>
  <property fmtid="{D5CDD505-2E9C-101B-9397-08002B2CF9AE}" pid="7" name="Doc Status">
    <vt:lpwstr/>
  </property>
  <property fmtid="{D5CDD505-2E9C-101B-9397-08002B2CF9AE}" pid="8" name="Level of sensitivity">
    <vt:lpwstr>Standard treatment</vt:lpwstr>
  </property>
  <property fmtid="{D5CDD505-2E9C-101B-9397-08002B2CF9AE}" pid="9" name="Part">
    <vt:lpwstr>1</vt:lpwstr>
  </property>
  <property fmtid="{D5CDD505-2E9C-101B-9397-08002B2CF9AE}" pid="10" name="Total parts">
    <vt:lpwstr>1</vt:lpwstr>
  </property>
  <property fmtid="{D5CDD505-2E9C-101B-9397-08002B2CF9AE}" pid="11" name="DocStatus">
    <vt:lpwstr>Green</vt:lpwstr>
  </property>
  <property fmtid="{D5CDD505-2E9C-101B-9397-08002B2CF9AE}" pid="12" name="CPTemplateID">
    <vt:lpwstr>CP-006</vt:lpwstr>
  </property>
  <property fmtid="{D5CDD505-2E9C-101B-9397-08002B2CF9AE}" pid="13" name="Last edited using">
    <vt:lpwstr>LW 7.0.1, Build 20200226</vt:lpwstr>
  </property>
  <property fmtid="{D5CDD505-2E9C-101B-9397-08002B2CF9AE}" pid="14" name="Created using">
    <vt:lpwstr>LW 7.0.1, Build 20190916</vt:lpwstr>
  </property>
  <property fmtid="{D5CDD505-2E9C-101B-9397-08002B2CF9AE}" pid="15" name="_LW_INVALIDATED__LW_INVALIDATED__LW_INVALIDATED__LW_INVALIDATED__LW_INVALIDATED__LW_INVALIDATED__LW_INVALIDATED__LW_INVALIDATED__LW_INVALIDATED__LW_INVALIDATED__LW_INVALIDATED_ContentTypeId">
    <vt:lpwstr>0x010100258AA79CEB83498886A3A0868112325000432A421E46EBF441AF2AF8A867F571E7</vt:lpwstr>
  </property>
  <property name="OP_sanitized" fmtid="{D5CDD505-2E9C-101B-9397-08002B2CF9AE}" pid="16">
    <vt:lpwstr>True</vt:lpwstr>
  </property>
</Properties>
</file>