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BC98EA0D-E742-4A72-AAC2-4D26A4143210" style="width:450.75pt;height:379.5pt">
            <v:imagedata r:id="rId12" o:title=""/>
          </v:shape>
        </w:pict>
      </w:r>
    </w:p>
    <w:p>
      <w:pPr>
        <w:rPr>
          <w:noProof/>
        </w:rPr>
        <w:sectPr>
          <w:footerReference w:type="default" r:id="rId13"/>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EXPOSICIÓN DE MOTIVOS</w:t>
      </w:r>
    </w:p>
    <w:p>
      <w:pPr>
        <w:pStyle w:val="ManualHeading1"/>
        <w:rPr>
          <w:noProof/>
        </w:rPr>
      </w:pPr>
      <w:r>
        <w:rPr>
          <w:noProof/>
        </w:rPr>
        <w:t>1.</w:t>
      </w:r>
      <w:r>
        <w:rPr>
          <w:noProof/>
        </w:rPr>
        <w:tab/>
        <w:t>CONTEXTO DE LA PROPUESTA</w:t>
      </w:r>
    </w:p>
    <w:p>
      <w:pPr>
        <w:pStyle w:val="ManualHeading2"/>
        <w:rPr>
          <w:rFonts w:eastAsia="Arial Unicode MS"/>
          <w:noProof/>
        </w:rPr>
      </w:pPr>
      <w:r>
        <w:rPr>
          <w:noProof/>
          <w:u w:color="000000"/>
          <w:bdr w:val="nil"/>
        </w:rPr>
        <w:t>•</w:t>
      </w:r>
      <w:r>
        <w:rPr>
          <w:noProof/>
          <w:u w:color="000000"/>
          <w:bdr w:val="nil"/>
        </w:rPr>
        <w:tab/>
      </w:r>
      <w:r>
        <w:rPr>
          <w:noProof/>
        </w:rPr>
        <w:t>Razones y objetivos de la propuesta</w:t>
      </w:r>
    </w:p>
    <w:p>
      <w:pPr>
        <w:pBdr>
          <w:top w:val="nil"/>
          <w:left w:val="nil"/>
          <w:bottom w:val="nil"/>
          <w:right w:val="nil"/>
          <w:between w:val="nil"/>
          <w:bar w:val="nil"/>
        </w:pBdr>
        <w:spacing w:before="0" w:after="240"/>
        <w:rPr>
          <w:noProof/>
        </w:rPr>
      </w:pPr>
      <w:r>
        <w:rPr>
          <w:noProof/>
        </w:rPr>
        <w:t>Los efectos directos e indirectos del brote de COVID-19 siguen aumentando en todos los Estados miembros. La situación actual no tiene precedentes y exige medidas excepcionales adaptadas para su aplicación en estas circunstancias.</w:t>
      </w:r>
    </w:p>
    <w:p>
      <w:pPr>
        <w:pBdr>
          <w:top w:val="nil"/>
          <w:left w:val="nil"/>
          <w:bottom w:val="nil"/>
          <w:right w:val="nil"/>
          <w:between w:val="nil"/>
          <w:bar w:val="nil"/>
        </w:pBdr>
        <w:spacing w:before="0" w:after="240"/>
        <w:rPr>
          <w:noProof/>
        </w:rPr>
      </w:pPr>
      <w:r>
        <w:rPr>
          <w:noProof/>
        </w:rPr>
        <w:t>El primer paquete de medidas propuesto por la Comisión el 13 de marzo de 2020 introdujo una serie de cambios importantes que permiten una respuesta más eficaz en la situación actual. Mientras tanto, los efectos sobre nuestras economías y sociedades son cada vez más graves. Por lo tanto, en el segundo conjunto de medidas, es necesario ir más allá de lo que ya es posible y ofrecer una nueva flexibilidad excepcional para responder a la actual situación sin precedentes, lo que ha dado lugar a la activación de la cláusula general de salvaguardia en el marco del Pacto de Estabilidad y Crecimiento.</w:t>
      </w:r>
    </w:p>
    <w:p>
      <w:pPr>
        <w:pBdr>
          <w:top w:val="nil"/>
          <w:left w:val="nil"/>
          <w:bottom w:val="nil"/>
          <w:right w:val="nil"/>
          <w:between w:val="nil"/>
          <w:bar w:val="nil"/>
        </w:pBdr>
        <w:spacing w:before="0" w:after="240"/>
        <w:rPr>
          <w:noProof/>
        </w:rPr>
      </w:pPr>
      <w:r>
        <w:rPr>
          <w:noProof/>
        </w:rPr>
        <w:t xml:space="preserve">Con el fin de garantizar que pueda movilizarse toda la ayuda de los Fondos para tratar los efectos del brote de COVID-19 en nuestras economías y sociedades, como medida temporal y excepcional, sin perjuicio de las normas que deben aplicarse en circunstancias normales, es necesario dar la posibilidad temporal de una cofinanciación del 100 % con cargo al presupuesto de la UE para la ejecución de los programas de la política de cohesión, así como posibilidades adicionales de transferencia entre el Fondo Europeo de Desarrollo Regional (FEDER), el Fondo Social Europeo (FSE) y el Fondo de Cohesión, y entre categorías de regiones. Además, se propone eximir a los Estados miembros de la necesidad de cumplir los requisitos de concentración temática, a fin de que puedan reorientar los recursos hacia los ámbitos más afectados por la crisis actual. Esta excepción permitirá movilizar todos los recursos disponibles  del FEDER, el Fondo de Cohesión y el FSE para superar los retos sin precedentes a los que se enfrentan los Estados miembros a causa del brote de COVID-19. Los Estados miembros y las regiones podrán movilizar más recursos para ampliar y prorrogar los regímenes de reducción del tiempo de trabajo, apoyar el capital de explotación de las pymes y atender los gastos inmediatos del sector de atención sanitaria. </w:t>
      </w:r>
    </w:p>
    <w:p>
      <w:pPr>
        <w:pBdr>
          <w:top w:val="nil"/>
          <w:left w:val="nil"/>
          <w:bottom w:val="nil"/>
          <w:right w:val="nil"/>
          <w:between w:val="nil"/>
          <w:bar w:val="nil"/>
        </w:pBdr>
        <w:spacing w:before="0" w:after="240"/>
        <w:rPr>
          <w:noProof/>
        </w:rPr>
      </w:pPr>
      <w:r>
        <w:rPr>
          <w:noProof/>
        </w:rPr>
        <w:t xml:space="preserve">Además, a fin de eliminar la carga administrativa, innecesaria en las circunstancias actuales, que constituye la modificación de los programas para las administraciones públicas nacionales y europeas, también es necesario abstenerse de modificar los acuerdos de asociación y posponer el plazo para la presentación de los informes anuales de ejecución en 2020, así como para los informes de la Comisión basados en estos. Además, se van a simplificar algunos requisitos de procedimiento vinculados a las auditorías y los instrumentos financieros. Dadas las limitaciones actuales para llevar a cabo las labores de auditoría necesarias, en el caso del FEDER, el FSE, el Fondo Europeo Marítimo y de Pesca (FEMP) y el Fondo de Cohesión, debe disponerse explícitamente la ampliación de la posibilidad de utilizar un método de muestreo no estadístico. Con el fin de permitir un reajuste rápido de los instrumentos financieros para dar una respuesta eficaz al brote de COVID-19, ya no se deben exigir la revisión y actualización de la evaluación </w:t>
      </w:r>
      <w:r>
        <w:rPr>
          <w:i/>
          <w:iCs/>
          <w:noProof/>
        </w:rPr>
        <w:t>ex ante</w:t>
      </w:r>
      <w:r>
        <w:rPr>
          <w:noProof/>
        </w:rPr>
        <w:t xml:space="preserve"> ni documentos justificativos que demuestren que la ayuda prestada se haya utilizado para los fines previstos. Asimismo, deben ampliarse al Fondo Europeo Agrícola de Desarrollo Rural (Feader) las posibilidades de apoyo al capital de explotación mediante instrumentos financieros. </w:t>
      </w:r>
    </w:p>
    <w:p>
      <w:pPr>
        <w:spacing w:before="0" w:after="200"/>
        <w:rPr>
          <w:noProof/>
        </w:rPr>
      </w:pPr>
      <w:r>
        <w:rPr>
          <w:noProof/>
        </w:rPr>
        <w:t xml:space="preserve">Por último, se propone permitir la ayuda del FEDER a las empresas en dificultades debido a estas circunstancias específicas, garantizando así la coherencia con el enfoque adoptado en </w:t>
      </w:r>
      <w:r>
        <w:rPr>
          <w:noProof/>
        </w:rPr>
        <w:lastRenderedPageBreak/>
        <w:t xml:space="preserve">virtud del Marco Temporal relativo a las medidas de ayuda estatal destinadas a respaldar la economía en el contexto del actual brote de COVID-19 y con las normas para la concesión de ayuda </w:t>
      </w:r>
      <w:r>
        <w:rPr>
          <w:i/>
          <w:iCs/>
          <w:noProof/>
        </w:rPr>
        <w:t>de minimis</w:t>
      </w:r>
      <w:r>
        <w:rPr>
          <w:noProof/>
        </w:rPr>
        <w:t xml:space="preserve">. </w:t>
      </w:r>
    </w:p>
    <w:p>
      <w:pPr>
        <w:rPr>
          <w:rFonts w:cs="Calibri"/>
          <w:noProof/>
          <w:sz w:val="22"/>
        </w:rPr>
      </w:pPr>
      <w:r>
        <w:rPr>
          <w:noProof/>
        </w:rPr>
        <w:t xml:space="preserve">También es probable que el brote de COVID-19 tenga graves repercusiones para la ejecución de las operaciones en curso. Por tanto, las autoridades nacionales tal vez consideren la posibilidad de ajustar las operaciones (por ejemplo, resultados concretos, plazos de ejecución, etc.) de conformidad con sus normas nacionales cuando sea necesario y esté justificado, de manera que se minimice el impacto del brote de COVID-19 para los programas. Las autoridades nacionales también podrían considerar la posibilidad de seleccionar nuevas operaciones o poner en marcha convocatorias de propuestas nuevas o adicionales en caso necesario. </w:t>
      </w:r>
    </w:p>
    <w:p>
      <w:pPr>
        <w:pBdr>
          <w:top w:val="nil"/>
          <w:left w:val="nil"/>
          <w:bottom w:val="nil"/>
          <w:right w:val="nil"/>
          <w:between w:val="nil"/>
          <w:bar w:val="nil"/>
        </w:pBdr>
        <w:rPr>
          <w:rFonts w:cstheme="minorHAnsi"/>
          <w:noProof/>
        </w:rPr>
      </w:pPr>
      <w:r>
        <w:rPr>
          <w:noProof/>
        </w:rPr>
        <w:t>Tal vez haya ocasiones en que las circunstancias resultantes del brote de COVID-19 puedan considerarse casos de fuerza mayor con arreglo a la legislación nacional y, por tanto, constituyan una justificación válida para la incapacidad de cumplir una obligación. La Comisión considera que debe aplicarse toda la flexibilidad necesaria al tratar los casos en que los beneficiarios incumplan las obligaciones a su debido tiempo por motivos relacionados con el brote de COVID-19 (por ejemplo, cuando no tienen personal disponible). Igualmente, la Comisión tendrá flexibilidad para evaluar si los Estados miembros cumplen sus obligaciones. Para garantizar que los Estados miembros y las regiones puedan utilizar plenamente la ayuda de los Fondos, deben permitirse ajustes limitados del importe máximo de la contribución de los Fondos para cada prioridad y categoría de regiones al determinar el importe del saldo final que debe abonarse a los programas operativos.</w:t>
      </w:r>
    </w:p>
    <w:p>
      <w:pPr>
        <w:pBdr>
          <w:top w:val="nil"/>
          <w:left w:val="nil"/>
          <w:bottom w:val="nil"/>
          <w:right w:val="nil"/>
          <w:between w:val="nil"/>
          <w:bar w:val="nil"/>
        </w:pBdr>
        <w:rPr>
          <w:noProof/>
        </w:rPr>
      </w:pPr>
      <w:r>
        <w:rPr>
          <w:noProof/>
        </w:rPr>
        <w:t>Estas medidas son complementarias y adicionales a las modificaciones legislativas propuestas el 13 de marzo de 2020. Se derivan de la estrecha cooperación con los Estados miembros a través del Grupo de trabajo de la iniciativa de inversión en respuesta al coronavirus, mediante la cual ya se han atendido más de 200 preguntas.</w:t>
      </w:r>
    </w:p>
    <w:p>
      <w:pPr>
        <w:pStyle w:val="ManualHeading2"/>
        <w:rPr>
          <w:rFonts w:eastAsia="Arial Unicode MS"/>
          <w:noProof/>
          <w:color w:val="000000"/>
          <w:u w:color="000000"/>
          <w:bdr w:val="nil"/>
        </w:rPr>
      </w:pPr>
      <w:r>
        <w:rPr>
          <w:noProof/>
          <w:u w:color="000000"/>
          <w:bdr w:val="nil"/>
        </w:rPr>
        <w:t>•</w:t>
      </w:r>
      <w:r>
        <w:rPr>
          <w:noProof/>
          <w:u w:color="000000"/>
          <w:bdr w:val="nil"/>
        </w:rPr>
        <w:tab/>
      </w:r>
      <w:r>
        <w:rPr>
          <w:noProof/>
        </w:rPr>
        <w:t>Coherencia con las disposiciones existentes en la misma política sectorial</w:t>
      </w:r>
    </w:p>
    <w:p>
      <w:pPr>
        <w:pBdr>
          <w:top w:val="nil"/>
          <w:left w:val="nil"/>
          <w:bottom w:val="nil"/>
          <w:right w:val="nil"/>
          <w:between w:val="nil"/>
          <w:bar w:val="nil"/>
        </w:pBdr>
        <w:spacing w:before="0" w:after="240"/>
        <w:rPr>
          <w:rFonts w:eastAsia="Arial Unicode MS"/>
          <w:noProof/>
        </w:rPr>
      </w:pPr>
      <w:r>
        <w:rPr>
          <w:noProof/>
        </w:rPr>
        <w:t>La propuesta es coherente con el marco jurídico general establecido para los Fondos Estructurales y de Inversión Europeos (Fondos EIE) y se limita a una modificación específica del Reglamento (UE) n.º 1303/2013 y del Reglamento (UE) n.º 1301/2013. La presente propuesta complementa la propuesta de la Comisión COM(2020) 113, de 13 de marzo de 2020, en lo relativo a medidas específicas para movilizar inversiones en los sistemas de atención sanitaria de los Estados miembros y en otros sectores de sus economías en respuesta al brote de COVID-19 (Iniciativa de inversión en respuesta al coronavirus), así como todas las demás medidas destinadas a abordar la actual situación sin precedentes.</w:t>
      </w:r>
    </w:p>
    <w:p>
      <w:pPr>
        <w:pStyle w:val="ManualHeading2"/>
        <w:rPr>
          <w:rFonts w:eastAsia="Arial Unicode MS"/>
          <w:noProof/>
        </w:rPr>
      </w:pPr>
      <w:r>
        <w:rPr>
          <w:noProof/>
          <w:u w:color="000000"/>
          <w:bdr w:val="nil"/>
        </w:rPr>
        <w:t>•</w:t>
      </w:r>
      <w:r>
        <w:rPr>
          <w:noProof/>
          <w:u w:color="000000"/>
          <w:bdr w:val="nil"/>
        </w:rPr>
        <w:tab/>
      </w:r>
      <w:r>
        <w:rPr>
          <w:noProof/>
        </w:rPr>
        <w:t>Coherencia con otras políticas de la Unión</w:t>
      </w:r>
    </w:p>
    <w:p>
      <w:pPr>
        <w:pBdr>
          <w:top w:val="nil"/>
          <w:left w:val="nil"/>
          <w:bottom w:val="nil"/>
          <w:right w:val="nil"/>
          <w:between w:val="nil"/>
          <w:bar w:val="nil"/>
        </w:pBdr>
        <w:spacing w:before="0" w:after="240"/>
        <w:rPr>
          <w:rFonts w:eastAsia="Arial Unicode MS"/>
          <w:noProof/>
        </w:rPr>
      </w:pPr>
      <w:r>
        <w:rPr>
          <w:noProof/>
        </w:rPr>
        <w:t>La propuesta se limita a modificaciones específicas del Reglamento (UE) n.º 1303/2013 y del Reglamento (UE) n.º 1301/2013, y mantiene la coherencia con otras políticas de la Unión.</w:t>
      </w:r>
    </w:p>
    <w:p>
      <w:pPr>
        <w:pStyle w:val="ManualHeading1"/>
        <w:rPr>
          <w:noProof/>
        </w:rPr>
      </w:pPr>
      <w:r>
        <w:rPr>
          <w:noProof/>
        </w:rPr>
        <w:t>2.</w:t>
      </w:r>
      <w:r>
        <w:rPr>
          <w:noProof/>
        </w:rPr>
        <w:tab/>
        <w:t>BASE JURÍDICA, SUBSIDIARIEDAD Y PROPORCIONALIDAD</w:t>
      </w:r>
    </w:p>
    <w:p>
      <w:pPr>
        <w:pStyle w:val="ManualHeading2"/>
        <w:rPr>
          <w:rFonts w:eastAsia="Arial Unicode MS"/>
          <w:noProof/>
          <w:u w:color="000000"/>
          <w:bdr w:val="nil"/>
        </w:rPr>
      </w:pPr>
      <w:r>
        <w:rPr>
          <w:noProof/>
          <w:u w:color="000000"/>
          <w:bdr w:val="nil"/>
        </w:rPr>
        <w:t>•</w:t>
      </w:r>
      <w:r>
        <w:rPr>
          <w:noProof/>
          <w:u w:color="000000"/>
          <w:bdr w:val="nil"/>
        </w:rPr>
        <w:tab/>
        <w:t>Base jurídica</w:t>
      </w:r>
    </w:p>
    <w:p>
      <w:pPr>
        <w:pBdr>
          <w:top w:val="nil"/>
          <w:left w:val="nil"/>
          <w:bottom w:val="nil"/>
          <w:right w:val="nil"/>
          <w:between w:val="nil"/>
          <w:bar w:val="nil"/>
        </w:pBdr>
        <w:spacing w:before="0" w:after="240"/>
        <w:rPr>
          <w:noProof/>
        </w:rPr>
      </w:pPr>
      <w:r>
        <w:rPr>
          <w:noProof/>
        </w:rPr>
        <w:t xml:space="preserve">La propuesta se basa en los artículos 177, 178 y 322 del Tratado de Funcionamiento de la Unión Europea. </w:t>
      </w:r>
    </w:p>
    <w:p>
      <w:pPr>
        <w:pBdr>
          <w:top w:val="nil"/>
          <w:left w:val="nil"/>
          <w:bottom w:val="nil"/>
          <w:right w:val="nil"/>
          <w:between w:val="nil"/>
          <w:bar w:val="nil"/>
        </w:pBdr>
        <w:spacing w:before="0" w:after="240"/>
        <w:rPr>
          <w:noProof/>
        </w:rPr>
      </w:pPr>
      <w:r>
        <w:rPr>
          <w:noProof/>
        </w:rPr>
        <w:t xml:space="preserve">Ofrece la posibilidad de aplicar un porcentaje de cofinanciación del 100 % y flexibilidad financiera en relación con el objetivo de inversión en crecimiento y empleo entre el FEDER, </w:t>
      </w:r>
      <w:r>
        <w:rPr>
          <w:noProof/>
        </w:rPr>
        <w:lastRenderedPageBreak/>
        <w:t>el FSE y el Fondo de Cohesión, y entre categorías de regiones. Aporta claridad sobre la subvencionabilidad de los gastos afectados por las medidas adoptadas en respuesta a la crisis de salud pública. Por último, suaviza algunos requisitos para los Estados miembros cuando estos generan cargas administrativas que puedan retrasar la aplicación de medidas destinadas a responder al brote de COVID-19. Estos cambios excepcionales se entienden sin perjuicio de las normas que deben aplicarse en circunstancias normales.</w:t>
      </w:r>
    </w:p>
    <w:p>
      <w:pPr>
        <w:pStyle w:val="ManualHeading2"/>
        <w:rPr>
          <w:rFonts w:eastAsia="Arial Unicode MS"/>
          <w:noProof/>
          <w:u w:color="000000"/>
          <w:bdr w:val="nil"/>
        </w:rPr>
      </w:pPr>
      <w:r>
        <w:rPr>
          <w:noProof/>
          <w:u w:color="000000"/>
          <w:bdr w:val="nil"/>
        </w:rPr>
        <w:t>•</w:t>
      </w:r>
      <w:r>
        <w:rPr>
          <w:noProof/>
          <w:u w:color="000000"/>
          <w:bdr w:val="nil"/>
        </w:rPr>
        <w:tab/>
        <w:t xml:space="preserve">Subsidiariedad (en el caso de competencia no exclusiva) </w:t>
      </w:r>
    </w:p>
    <w:p>
      <w:pPr>
        <w:pBdr>
          <w:top w:val="nil"/>
          <w:left w:val="nil"/>
          <w:bottom w:val="nil"/>
          <w:right w:val="nil"/>
          <w:between w:val="nil"/>
          <w:bar w:val="nil"/>
        </w:pBdr>
        <w:spacing w:before="0" w:after="240"/>
        <w:rPr>
          <w:noProof/>
        </w:rPr>
      </w:pPr>
      <w:r>
        <w:rPr>
          <w:noProof/>
        </w:rPr>
        <w:t xml:space="preserve">La propuesta tiene por objeto permitir excepciones a ciertas limitaciones con arreglo a disposiciones actualmente aplicables de la Unión, a fin de ofrecer la mayor flexibilidad posible en la movilización de los recursos de inversión existentes para tratar los efectos directos e indirectos de esta crisis de salud pública sin precedentes en el contexto del brote de COVID-19. </w:t>
      </w:r>
    </w:p>
    <w:p>
      <w:pPr>
        <w:pStyle w:val="ManualHeading2"/>
        <w:rPr>
          <w:rFonts w:eastAsia="Arial Unicode MS"/>
          <w:noProof/>
          <w:u w:color="000000"/>
          <w:bdr w:val="nil"/>
        </w:rPr>
      </w:pPr>
      <w:r>
        <w:rPr>
          <w:noProof/>
          <w:u w:color="000000"/>
          <w:bdr w:val="nil"/>
        </w:rPr>
        <w:t>•</w:t>
      </w:r>
      <w:r>
        <w:rPr>
          <w:noProof/>
          <w:u w:color="000000"/>
          <w:bdr w:val="nil"/>
        </w:rPr>
        <w:tab/>
        <w:t>Proporcionalidad</w:t>
      </w:r>
    </w:p>
    <w:p>
      <w:pPr>
        <w:pBdr>
          <w:top w:val="nil"/>
          <w:left w:val="nil"/>
          <w:bottom w:val="nil"/>
          <w:right w:val="nil"/>
          <w:between w:val="nil"/>
          <w:bar w:val="nil"/>
        </w:pBdr>
        <w:spacing w:before="0" w:after="240"/>
        <w:rPr>
          <w:rFonts w:eastAsia="Arial Unicode MS"/>
          <w:noProof/>
        </w:rPr>
      </w:pPr>
      <w:r>
        <w:rPr>
          <w:noProof/>
        </w:rPr>
        <w:t>La propuesta es un cambio limitado y específico que no va más allá de lo necesario para alcanzar el objetivo de aportar mayor flexibilidad y seguridad jurídica a la movilización de las inversiones en respuesta a la crisis generalizada de salud pública que afecta al potencial de crecimiento de regiones y empresas, y al bienestar de los ciudadanos en general.</w:t>
      </w:r>
    </w:p>
    <w:p>
      <w:pPr>
        <w:pStyle w:val="ManualHeading2"/>
        <w:rPr>
          <w:rFonts w:eastAsia="Arial Unicode MS"/>
          <w:noProof/>
          <w:u w:color="000000"/>
          <w:bdr w:val="nil"/>
        </w:rPr>
      </w:pPr>
      <w:r>
        <w:rPr>
          <w:noProof/>
          <w:u w:color="000000"/>
          <w:bdr w:val="nil"/>
        </w:rPr>
        <w:t>•</w:t>
      </w:r>
      <w:r>
        <w:rPr>
          <w:noProof/>
          <w:u w:color="000000"/>
          <w:bdr w:val="nil"/>
        </w:rPr>
        <w:tab/>
        <w:t>Elección del instrumento</w:t>
      </w:r>
    </w:p>
    <w:p>
      <w:pPr>
        <w:pBdr>
          <w:top w:val="nil"/>
          <w:left w:val="nil"/>
          <w:bottom w:val="nil"/>
          <w:right w:val="nil"/>
          <w:between w:val="nil"/>
          <w:bar w:val="nil"/>
        </w:pBdr>
        <w:spacing w:before="0" w:after="240"/>
        <w:rPr>
          <w:noProof/>
        </w:rPr>
      </w:pPr>
      <w:r>
        <w:rPr>
          <w:noProof/>
        </w:rPr>
        <w:t>Un Reglamento es el instrumento adecuado para introducir la flexibilidad adicional necesaria a fin de hacer frente a estas circunstancias sin precedentes.</w:t>
      </w:r>
    </w:p>
    <w:p>
      <w:pPr>
        <w:pStyle w:val="ManualHeading1"/>
        <w:rPr>
          <w:noProof/>
        </w:rPr>
      </w:pPr>
      <w:r>
        <w:rPr>
          <w:noProof/>
        </w:rPr>
        <w:t>3.</w:t>
      </w:r>
      <w:r>
        <w:rPr>
          <w:noProof/>
        </w:rPr>
        <w:tab/>
        <w:t xml:space="preserve">RESULTADOS DE LAS EVALUACIONES </w:t>
      </w:r>
      <w:r>
        <w:rPr>
          <w:i/>
          <w:noProof/>
        </w:rPr>
        <w:t>EX POST</w:t>
      </w:r>
      <w:r>
        <w:rPr>
          <w:noProof/>
        </w:rPr>
        <w:t>, DE LAS CONSULTAS CON LAS PARTES INTERESADAS Y DE LAS EVALUACIONES DE IMPACTO</w:t>
      </w:r>
    </w:p>
    <w:p>
      <w:pPr>
        <w:pStyle w:val="ManualHeading2"/>
        <w:rPr>
          <w:rFonts w:eastAsia="Arial Unicode MS"/>
          <w:noProof/>
          <w:u w:color="000000"/>
          <w:bdr w:val="nil"/>
        </w:rPr>
      </w:pPr>
      <w:r>
        <w:rPr>
          <w:noProof/>
          <w:u w:color="000000"/>
          <w:bdr w:val="nil"/>
        </w:rPr>
        <w:t>•</w:t>
      </w:r>
      <w:r>
        <w:rPr>
          <w:noProof/>
          <w:u w:color="000000"/>
          <w:bdr w:val="nil"/>
        </w:rPr>
        <w:tab/>
        <w:t xml:space="preserve">Evaluaciones </w:t>
      </w:r>
      <w:r>
        <w:rPr>
          <w:i/>
          <w:iCs/>
          <w:noProof/>
          <w:u w:color="000000"/>
          <w:bdr w:val="nil"/>
        </w:rPr>
        <w:t>ex post</w:t>
      </w:r>
      <w:r>
        <w:rPr>
          <w:noProof/>
          <w:u w:color="000000"/>
          <w:bdr w:val="nil"/>
        </w:rPr>
        <w:t xml:space="preserve"> / controles de calidad de la legislación existente</w:t>
      </w:r>
    </w:p>
    <w:p>
      <w:pPr>
        <w:pBdr>
          <w:top w:val="nil"/>
          <w:left w:val="nil"/>
          <w:bottom w:val="nil"/>
          <w:right w:val="nil"/>
          <w:between w:val="nil"/>
          <w:bar w:val="nil"/>
        </w:pBdr>
        <w:spacing w:before="0" w:after="240"/>
        <w:rPr>
          <w:noProof/>
        </w:rPr>
      </w:pPr>
      <w:r>
        <w:rPr>
          <w:noProof/>
        </w:rPr>
        <w:t>No aplicable</w:t>
      </w:r>
    </w:p>
    <w:p>
      <w:pPr>
        <w:pStyle w:val="ManualHeading2"/>
        <w:rPr>
          <w:rFonts w:eastAsia="Arial Unicode MS"/>
          <w:noProof/>
          <w:u w:color="000000"/>
          <w:bdr w:val="nil"/>
        </w:rPr>
      </w:pPr>
      <w:r>
        <w:rPr>
          <w:noProof/>
          <w:u w:color="000000"/>
          <w:bdr w:val="nil"/>
        </w:rPr>
        <w:t>•</w:t>
      </w:r>
      <w:r>
        <w:rPr>
          <w:noProof/>
          <w:u w:color="000000"/>
          <w:bdr w:val="nil"/>
        </w:rPr>
        <w:tab/>
        <w:t>Consultas con las partes interesadas</w:t>
      </w:r>
    </w:p>
    <w:p>
      <w:pPr>
        <w:pBdr>
          <w:top w:val="nil"/>
          <w:left w:val="nil"/>
          <w:bottom w:val="nil"/>
          <w:right w:val="nil"/>
          <w:between w:val="nil"/>
          <w:bar w:val="nil"/>
        </w:pBdr>
        <w:spacing w:before="0" w:after="240"/>
        <w:rPr>
          <w:noProof/>
        </w:rPr>
      </w:pPr>
      <w:r>
        <w:rPr>
          <w:noProof/>
        </w:rPr>
        <w:t xml:space="preserve">No se ha consultado con partes interesadas externas. No obstante, la propuesta ha ido precedida de amplias consultas con los Estados miembros y el Parlamento Europeo durante las últimas semanas y tiene en cuenta las más de 200 preguntas de aclaración y orientación planteadas por las autoridades nacionales sobre la gestión de las medidas de respuesta a la crisis a través del Grupo de trabajo de la iniciativa de inversión en respuesta al coronavirus. </w:t>
      </w:r>
    </w:p>
    <w:p>
      <w:pPr>
        <w:pStyle w:val="ManualHeading2"/>
        <w:rPr>
          <w:rFonts w:eastAsia="Arial Unicode MS"/>
          <w:noProof/>
          <w:u w:color="000000"/>
          <w:bdr w:val="nil"/>
        </w:rPr>
      </w:pPr>
      <w:r>
        <w:rPr>
          <w:noProof/>
          <w:u w:color="000000"/>
          <w:bdr w:val="nil"/>
        </w:rPr>
        <w:t>•</w:t>
      </w:r>
      <w:r>
        <w:rPr>
          <w:noProof/>
          <w:u w:color="000000"/>
          <w:bdr w:val="nil"/>
        </w:rPr>
        <w:tab/>
        <w:t>Obtención y uso de asesoramiento especializado</w:t>
      </w:r>
    </w:p>
    <w:p>
      <w:pPr>
        <w:rPr>
          <w:noProof/>
        </w:rPr>
      </w:pPr>
      <w:r>
        <w:rPr>
          <w:noProof/>
        </w:rPr>
        <w:t>No aplicable</w:t>
      </w:r>
    </w:p>
    <w:p>
      <w:pPr>
        <w:pStyle w:val="ManualHeading2"/>
        <w:rPr>
          <w:rFonts w:eastAsia="Arial Unicode MS"/>
          <w:noProof/>
          <w:u w:color="000000"/>
          <w:bdr w:val="nil"/>
        </w:rPr>
      </w:pPr>
      <w:r>
        <w:rPr>
          <w:noProof/>
          <w:u w:color="000000"/>
          <w:bdr w:val="nil"/>
        </w:rPr>
        <w:t>•</w:t>
      </w:r>
      <w:r>
        <w:rPr>
          <w:noProof/>
          <w:u w:color="000000"/>
          <w:bdr w:val="nil"/>
        </w:rPr>
        <w:tab/>
        <w:t>Evaluación de impacto</w:t>
      </w:r>
    </w:p>
    <w:p>
      <w:pPr>
        <w:pBdr>
          <w:top w:val="nil"/>
          <w:left w:val="nil"/>
          <w:bottom w:val="nil"/>
          <w:right w:val="nil"/>
          <w:between w:val="nil"/>
          <w:bar w:val="nil"/>
        </w:pBdr>
        <w:spacing w:before="0" w:after="240"/>
        <w:rPr>
          <w:rFonts w:eastAsia="Arial Unicode MS"/>
          <w:noProof/>
        </w:rPr>
      </w:pPr>
      <w:r>
        <w:rPr>
          <w:noProof/>
        </w:rPr>
        <w:t>Se llevó a cabo una evaluación de impacto para preparar las propuestas de Reglamento (UE) n.º 1303/2013 y de Reglamento (UE) n.º 1301/2013. El presente cambio limitado y específico no requiere ninguna evaluación de impacto específica.</w:t>
      </w:r>
    </w:p>
    <w:p>
      <w:pPr>
        <w:pStyle w:val="ManualHeading2"/>
        <w:rPr>
          <w:rFonts w:eastAsia="Arial Unicode MS"/>
          <w:noProof/>
          <w:u w:color="000000"/>
          <w:bdr w:val="nil"/>
        </w:rPr>
      </w:pPr>
      <w:r>
        <w:rPr>
          <w:noProof/>
          <w:u w:color="000000"/>
          <w:bdr w:val="nil"/>
        </w:rPr>
        <w:t>•</w:t>
      </w:r>
      <w:r>
        <w:rPr>
          <w:noProof/>
          <w:u w:color="000000"/>
          <w:bdr w:val="nil"/>
        </w:rPr>
        <w:tab/>
        <w:t>Adecuación regulatoria y simplificación</w:t>
      </w:r>
    </w:p>
    <w:p>
      <w:pPr>
        <w:rPr>
          <w:noProof/>
        </w:rPr>
      </w:pPr>
      <w:r>
        <w:rPr>
          <w:noProof/>
        </w:rPr>
        <w:t>No aplicable</w:t>
      </w:r>
    </w:p>
    <w:p>
      <w:pPr>
        <w:pStyle w:val="ManualHeading2"/>
        <w:rPr>
          <w:rFonts w:eastAsia="Arial Unicode MS"/>
          <w:noProof/>
          <w:u w:color="000000"/>
          <w:bdr w:val="nil"/>
        </w:rPr>
      </w:pPr>
      <w:r>
        <w:rPr>
          <w:noProof/>
          <w:u w:color="000000"/>
          <w:bdr w:val="nil"/>
        </w:rPr>
        <w:lastRenderedPageBreak/>
        <w:t>•</w:t>
      </w:r>
      <w:r>
        <w:rPr>
          <w:noProof/>
          <w:u w:color="000000"/>
          <w:bdr w:val="nil"/>
        </w:rPr>
        <w:tab/>
        <w:t>Derechos fundamentales</w:t>
      </w:r>
    </w:p>
    <w:p>
      <w:pPr>
        <w:rPr>
          <w:noProof/>
        </w:rPr>
      </w:pPr>
      <w:r>
        <w:rPr>
          <w:noProof/>
        </w:rPr>
        <w:t>No aplicable</w:t>
      </w:r>
    </w:p>
    <w:p>
      <w:pPr>
        <w:pStyle w:val="ManualHeading1"/>
        <w:rPr>
          <w:noProof/>
        </w:rPr>
      </w:pPr>
      <w:r>
        <w:rPr>
          <w:noProof/>
        </w:rPr>
        <w:t>4.</w:t>
      </w:r>
      <w:r>
        <w:rPr>
          <w:noProof/>
        </w:rPr>
        <w:tab/>
        <w:t>REPERCUSIONES PRESUPUESTARIAS</w:t>
      </w:r>
    </w:p>
    <w:p>
      <w:pPr>
        <w:rPr>
          <w:noProof/>
        </w:rPr>
      </w:pPr>
      <w:r>
        <w:rPr>
          <w:noProof/>
        </w:rPr>
        <w:t xml:space="preserve">La modificación propuesta no implica cambio alguno en los límites máximos anuales del marco financiero plurianual en materia de compromisos y pagos tal como figuran en el anexo I del Reglamento (UE) n.º 1311/2013. El desglose anual total de los créditos de compromiso en virtud del Reglamento (UE) n.º 1303/2013 no varía. </w:t>
      </w:r>
    </w:p>
    <w:p>
      <w:pPr>
        <w:rPr>
          <w:noProof/>
        </w:rPr>
      </w:pPr>
      <w:r>
        <w:rPr>
          <w:noProof/>
        </w:rPr>
        <w:t>La propuesta facilitará una aceleración de la ejecución del programa y dará lugar a una distribución anticipada de los créditos de pago.</w:t>
      </w:r>
    </w:p>
    <w:p>
      <w:pPr>
        <w:rPr>
          <w:noProof/>
        </w:rPr>
      </w:pPr>
      <w:r>
        <w:rPr>
          <w:noProof/>
        </w:rPr>
        <w:t>La Comisión seguirá muy de cerca el impacto de la modificación propuesta en los créditos de pago en 2020, teniendo en cuenta tanto la ejecución del presupuesto como las previsiones revisadas de los Estados miembros.</w:t>
      </w:r>
    </w:p>
    <w:p>
      <w:pPr>
        <w:pStyle w:val="ManualHeading1"/>
        <w:rPr>
          <w:noProof/>
        </w:rPr>
      </w:pPr>
      <w:r>
        <w:rPr>
          <w:noProof/>
        </w:rPr>
        <w:t>5.</w:t>
      </w:r>
      <w:r>
        <w:rPr>
          <w:noProof/>
        </w:rPr>
        <w:tab/>
        <w:t>OTROS ELEMENTOS</w:t>
      </w:r>
    </w:p>
    <w:p>
      <w:pPr>
        <w:pStyle w:val="ManualHeading2"/>
        <w:rPr>
          <w:rFonts w:eastAsia="Arial Unicode MS"/>
          <w:noProof/>
          <w:u w:color="000000"/>
          <w:bdr w:val="nil"/>
        </w:rPr>
      </w:pPr>
      <w:r>
        <w:rPr>
          <w:noProof/>
          <w:u w:color="000000"/>
          <w:bdr w:val="nil"/>
        </w:rPr>
        <w:t>•</w:t>
      </w:r>
      <w:r>
        <w:rPr>
          <w:noProof/>
          <w:u w:color="000000"/>
          <w:bdr w:val="nil"/>
        </w:rPr>
        <w:tab/>
        <w:t>Planes de ejecución y modalidades de seguimiento, evaluación e información</w:t>
      </w:r>
    </w:p>
    <w:p>
      <w:pPr>
        <w:pBdr>
          <w:top w:val="nil"/>
          <w:left w:val="nil"/>
          <w:bottom w:val="nil"/>
          <w:right w:val="nil"/>
          <w:between w:val="nil"/>
          <w:bar w:val="nil"/>
        </w:pBdr>
        <w:spacing w:before="0" w:after="240"/>
        <w:rPr>
          <w:rFonts w:eastAsia="Arial Unicode MS"/>
          <w:noProof/>
        </w:rPr>
      </w:pPr>
      <w:r>
        <w:rPr>
          <w:noProof/>
        </w:rPr>
        <w:t>La aplicación de las medidas será objeto de seguimiento y de informes en el marco de los mecanismos generales de presentación de informes establecidos en el Reglamento (UE) n.º 1303/2013.</w:t>
      </w:r>
    </w:p>
    <w:p>
      <w:pPr>
        <w:pStyle w:val="ManualHeading2"/>
        <w:rPr>
          <w:rFonts w:eastAsia="Arial Unicode MS"/>
          <w:noProof/>
          <w:u w:color="000000"/>
          <w:bdr w:val="nil"/>
        </w:rPr>
      </w:pPr>
      <w:r>
        <w:rPr>
          <w:noProof/>
          <w:u w:color="000000"/>
          <w:bdr w:val="nil"/>
        </w:rPr>
        <w:t>•</w:t>
      </w:r>
      <w:r>
        <w:rPr>
          <w:noProof/>
          <w:u w:color="000000"/>
          <w:bdr w:val="nil"/>
        </w:rPr>
        <w:tab/>
        <w:t>Documentos explicativos (para las Directivas)</w:t>
      </w:r>
    </w:p>
    <w:p>
      <w:pPr>
        <w:pBdr>
          <w:top w:val="nil"/>
          <w:left w:val="nil"/>
          <w:bottom w:val="nil"/>
          <w:right w:val="nil"/>
          <w:between w:val="nil"/>
          <w:bar w:val="nil"/>
        </w:pBdr>
        <w:spacing w:before="0" w:after="240"/>
        <w:rPr>
          <w:noProof/>
        </w:rPr>
      </w:pPr>
      <w:r>
        <w:rPr>
          <w:noProof/>
        </w:rPr>
        <w:t>No aplicable</w:t>
      </w:r>
    </w:p>
    <w:p>
      <w:pPr>
        <w:pStyle w:val="ManualHeading2"/>
        <w:rPr>
          <w:rFonts w:eastAsia="Arial Unicode MS"/>
          <w:noProof/>
          <w:u w:color="000000"/>
          <w:bdr w:val="nil"/>
        </w:rPr>
      </w:pPr>
      <w:r>
        <w:rPr>
          <w:noProof/>
          <w:u w:color="000000"/>
          <w:bdr w:val="nil"/>
        </w:rPr>
        <w:t>•</w:t>
      </w:r>
      <w:r>
        <w:rPr>
          <w:noProof/>
          <w:u w:color="000000"/>
          <w:bdr w:val="nil"/>
        </w:rPr>
        <w:tab/>
        <w:t>Explicación detallada de las disposiciones específicas de la propuesta</w:t>
      </w:r>
    </w:p>
    <w:p>
      <w:pPr>
        <w:rPr>
          <w:noProof/>
        </w:rPr>
      </w:pPr>
      <w:r>
        <w:rPr>
          <w:noProof/>
        </w:rPr>
        <w:t xml:space="preserve">Se propone modificar el Reglamento (UE) n.º 1303/2013 (el Reglamento sobre disposiciones comunes) para garantizar que los Estados miembros puedan solicitar modificaciones de los programas operativos para permitir que se aplique un porcentaje de cofinanciación del 100 % al programa operativo pertinente para el ejercicio contable 2020-2021 (artículo 25 </w:t>
      </w:r>
      <w:r>
        <w:rPr>
          <w:i/>
          <w:iCs/>
          <w:noProof/>
        </w:rPr>
        <w:t>bis</w:t>
      </w:r>
      <w:r>
        <w:rPr>
          <w:noProof/>
        </w:rPr>
        <w:t xml:space="preserve">, apartado 1). La Comisión evaluará y podrá proponer, sobre esa base, una ampliación de esta medida. </w:t>
      </w:r>
    </w:p>
    <w:p>
      <w:pPr>
        <w:rPr>
          <w:noProof/>
        </w:rPr>
      </w:pPr>
      <w:r>
        <w:rPr>
          <w:noProof/>
        </w:rPr>
        <w:t xml:space="preserve">Además, es importante garantizar que, en el caso de las modificaciones de los programas operativos posteriores a la entrada en vigor del presente Reglamento, se permita sin limitaciones la posibilidad de transferir asignaciones para el año 2020 entre el FEDER y el FSE, así como con el Fondo de Cohesión, en relación con el objetivo de inversión en crecimiento y empleo (artículo 25 </w:t>
      </w:r>
      <w:r>
        <w:rPr>
          <w:i/>
          <w:iCs/>
          <w:noProof/>
        </w:rPr>
        <w:t>bis</w:t>
      </w:r>
      <w:r>
        <w:rPr>
          <w:noProof/>
        </w:rPr>
        <w:t>, apartado 2). Esas transferencias no deben afectar a los recursos del objetivo de cooperación territorial europea, a las asignaciones adicionales a las regiones ultraperiféricas ni al apoyo a la Iniciativa de Empleo Juvenil y al Fondo de Ayuda Europea para las Personas Más Desfavorecidas.</w:t>
      </w:r>
    </w:p>
    <w:p>
      <w:pPr>
        <w:rPr>
          <w:noProof/>
        </w:rPr>
      </w:pPr>
      <w:r>
        <w:rPr>
          <w:noProof/>
        </w:rPr>
        <w:t xml:space="preserve">A fin de dar cabida a las necesidades de los Estados miembros para abordar los retos específicos actuales, los Estados miembros deben poder solicitar una transferencia de sus asignaciones correspondientes al año 2020 entre categorías de regiones. Con objeto de garantizar que se sigue prestando especial atención a las regiones menos desarrolladas, los Estados miembros deben examinar en primer lugar otras posibilidades de transferir fondos antes que las transferencias del presupuesto para las regiones menos desarrolladas, dadas las posibles consecuencias negativas de tales transferencias para las inversiones esenciales en la región de origen o para la realización de operaciones seleccionadas antes de la solicitud de </w:t>
      </w:r>
      <w:r>
        <w:rPr>
          <w:noProof/>
        </w:rPr>
        <w:lastRenderedPageBreak/>
        <w:t xml:space="preserve">transferencia (artículo 25 </w:t>
      </w:r>
      <w:r>
        <w:rPr>
          <w:i/>
          <w:iCs/>
          <w:noProof/>
        </w:rPr>
        <w:t>bis</w:t>
      </w:r>
      <w:r>
        <w:rPr>
          <w:noProof/>
        </w:rPr>
        <w:t xml:space="preserve">, apartados 3 y 4). Para las modificaciones de los programas operativos presentados después de la entrada en vigor del presente Reglamento, no deben aplicarse los requisitos de concentración temática (artículo 25 </w:t>
      </w:r>
      <w:r>
        <w:rPr>
          <w:i/>
          <w:iCs/>
          <w:noProof/>
        </w:rPr>
        <w:t>bis</w:t>
      </w:r>
      <w:r>
        <w:rPr>
          <w:noProof/>
        </w:rPr>
        <w:t xml:space="preserve">, apartado 5). </w:t>
      </w:r>
    </w:p>
    <w:p>
      <w:pPr>
        <w:rPr>
          <w:noProof/>
        </w:rPr>
      </w:pPr>
      <w:r>
        <w:rPr>
          <w:noProof/>
        </w:rPr>
        <w:t>Además, para que los Estados miembros puedan concentrarse en las respuestas necesarias al brote de COVID-19 y reducir las cargas administrativas, deben simplificarse determinados requisitos de procedimiento vinculados a la ejecución del programa y a las auditorías. En particular, ya no deben modificarse los acuerdos de asociación (artículo 25 </w:t>
      </w:r>
      <w:r>
        <w:rPr>
          <w:i/>
          <w:iCs/>
          <w:noProof/>
        </w:rPr>
        <w:t>bis</w:t>
      </w:r>
      <w:r>
        <w:rPr>
          <w:noProof/>
        </w:rPr>
        <w:t>, apartado 6), debe posponerse el plazo de presentación del informe de ejecución anual (artículo 25 </w:t>
      </w:r>
      <w:r>
        <w:rPr>
          <w:i/>
          <w:iCs/>
          <w:noProof/>
        </w:rPr>
        <w:t>bis</w:t>
      </w:r>
      <w:r>
        <w:rPr>
          <w:noProof/>
        </w:rPr>
        <w:t>, apartado 8) y debe preverse expresamente la ampliación de la posibilidad de que los Fondos y el FEMP recurran a un método de muestreo no estadístico (artículo 25 </w:t>
      </w:r>
      <w:r>
        <w:rPr>
          <w:i/>
          <w:iCs/>
          <w:noProof/>
        </w:rPr>
        <w:t>bis</w:t>
      </w:r>
      <w:r>
        <w:rPr>
          <w:noProof/>
        </w:rPr>
        <w:t>, apartado 12). Se prevén asimismo modalidades específicas para invocar fuerza mayor en el contexto de la liberación (artículo 25 </w:t>
      </w:r>
      <w:r>
        <w:rPr>
          <w:i/>
          <w:iCs/>
          <w:noProof/>
        </w:rPr>
        <w:t>bis</w:t>
      </w:r>
      <w:r>
        <w:rPr>
          <w:noProof/>
        </w:rPr>
        <w:t xml:space="preserve">, apartado 8). </w:t>
      </w:r>
    </w:p>
    <w:p>
      <w:pPr>
        <w:rPr>
          <w:noProof/>
        </w:rPr>
      </w:pPr>
      <w:r>
        <w:rPr>
          <w:noProof/>
        </w:rPr>
        <w:t>También se permite a título excepcional la subvencionabilidad de los gastos en el caso de operaciones concluidas o plenamente ejecutadas que fomenten la capacidad de respuesta a la crisis en el contexto del brote del COVID-19 (artículo 25 </w:t>
      </w:r>
      <w:r>
        <w:rPr>
          <w:i/>
          <w:iCs/>
          <w:noProof/>
        </w:rPr>
        <w:t>bis</w:t>
      </w:r>
      <w:r>
        <w:rPr>
          <w:noProof/>
        </w:rPr>
        <w:t xml:space="preserve">, apartado 7). Esas operaciones podrán ser seleccionadas incluso antes de que la Comisión apruebe la modificación necesaria del programa. </w:t>
      </w:r>
    </w:p>
    <w:p>
      <w:pPr>
        <w:rPr>
          <w:noProof/>
        </w:rPr>
      </w:pPr>
      <w:r>
        <w:rPr>
          <w:noProof/>
        </w:rPr>
        <w:t xml:space="preserve">Además, cuando se necesiten ajustes de los instrumentos financieros para dar una respuesta eficaz a una crisis de salud pública, no se deben exigir la revisión y actualización de la evaluación </w:t>
      </w:r>
      <w:r>
        <w:rPr>
          <w:i/>
          <w:iCs/>
          <w:noProof/>
        </w:rPr>
        <w:t>ex ante</w:t>
      </w:r>
      <w:r>
        <w:rPr>
          <w:noProof/>
        </w:rPr>
        <w:t xml:space="preserve"> ni documentos justificativos que demuestren que la ayuda prestada se haya utilizado para los fines previstos. También deben ampliarse las posibilidades de apoyo al capital de explotación con cargo al Feader (artículo 25 </w:t>
      </w:r>
      <w:r>
        <w:rPr>
          <w:i/>
          <w:iCs/>
          <w:noProof/>
        </w:rPr>
        <w:t>bis</w:t>
      </w:r>
      <w:r>
        <w:rPr>
          <w:noProof/>
        </w:rPr>
        <w:t xml:space="preserve">, apartados 10 y 11). </w:t>
      </w:r>
    </w:p>
    <w:p>
      <w:pPr>
        <w:rPr>
          <w:noProof/>
        </w:rPr>
      </w:pPr>
      <w:r>
        <w:rPr>
          <w:noProof/>
        </w:rPr>
        <w:t xml:space="preserve">Se propone asimismo permitir mayor flexibilidad al cierre de los programas para garantizar que los recursos disponibles se utilizan en la mayor medida posible (artículo 1, apartado 3). </w:t>
      </w:r>
    </w:p>
    <w:p>
      <w:pPr>
        <w:spacing w:before="0" w:after="200"/>
        <w:rPr>
          <w:noProof/>
        </w:rPr>
      </w:pPr>
      <w:r>
        <w:rPr>
          <w:noProof/>
        </w:rPr>
        <w:t xml:space="preserve">Por último, se propone modificar el Reglamento (UE) n.º 1301/2013 para permitir el apoyo del FEDER a las empresas en dificultades debido a estas circunstancias específicas, garantizando así la coherencia con el enfoque adoptado en virtud del Marco Temporal relativo a las medidas de ayuda estatal destinadas a respaldar la economía en el contexto del actual brote de COVID-19 y con las normas para la concesión de ayuda </w:t>
      </w:r>
      <w:r>
        <w:rPr>
          <w:i/>
          <w:iCs/>
          <w:noProof/>
        </w:rPr>
        <w:t>de minimis</w:t>
      </w:r>
      <w:r>
        <w:rPr>
          <w:noProof/>
        </w:rPr>
        <w:t xml:space="preserve"> (artículo 2). </w:t>
      </w:r>
    </w:p>
    <w:p>
      <w:pPr>
        <w:spacing w:before="0" w:after="200"/>
        <w:jc w:val="left"/>
        <w:rPr>
          <w:noProof/>
        </w:rPr>
        <w:sectPr>
          <w:footerReference w:type="default" r:id="rId14"/>
          <w:footerReference w:type="first" r:id="rId15"/>
          <w:pgSz w:w="11907" w:h="16839"/>
          <w:pgMar w:top="1134" w:right="1417" w:bottom="1134" w:left="1417" w:header="709" w:footer="709" w:gutter="0"/>
          <w:cols w:space="720"/>
          <w:docGrid w:linePitch="360"/>
        </w:sectPr>
      </w:pPr>
    </w:p>
    <w:p>
      <w:pPr>
        <w:pStyle w:val="Rfrenceinterinstitutionnelle"/>
        <w:rPr>
          <w:noProof/>
        </w:rPr>
      </w:pPr>
      <w:r>
        <w:rPr>
          <w:noProof/>
        </w:rPr>
        <w:lastRenderedPageBreak/>
        <w:t>2020/0054 (COD)</w:t>
      </w:r>
    </w:p>
    <w:p>
      <w:pPr>
        <w:pStyle w:val="Statut"/>
        <w:rPr>
          <w:noProof/>
        </w:rPr>
      </w:pPr>
      <w:r>
        <w:rPr>
          <w:noProof/>
        </w:rPr>
        <w:t>Propuesta de</w:t>
      </w:r>
    </w:p>
    <w:p>
      <w:pPr>
        <w:pStyle w:val="Typedudocument"/>
        <w:rPr>
          <w:noProof/>
        </w:rPr>
      </w:pPr>
      <w:r>
        <w:rPr>
          <w:noProof/>
        </w:rPr>
        <w:t>REGLAMENTO DEL PARLAMENTO EUROPEO Y DEL CONSEJO</w:t>
      </w:r>
    </w:p>
    <w:p>
      <w:pPr>
        <w:pStyle w:val="Titreobjet"/>
        <w:rPr>
          <w:noProof/>
        </w:rPr>
      </w:pPr>
      <w:r>
        <w:rPr>
          <w:noProof/>
        </w:rPr>
        <w:t>por el que se modifican el Reglamento (UE) n.º 1303/2013 y el Reglamento (UE) n.º 1301/2013 en lo que respecta a medidas específicas para ofrecer una flexibilidad excepcional en el uso de los Fondos Estructurales y de Inversión Europeos en respuesta al brote de COVID-19</w:t>
      </w:r>
    </w:p>
    <w:p>
      <w:pPr>
        <w:pStyle w:val="Institutionquiagit"/>
        <w:rPr>
          <w:noProof/>
        </w:rPr>
      </w:pPr>
      <w:r>
        <w:rPr>
          <w:noProof/>
        </w:rPr>
        <w:t>EL PARLAMENTO EUROPEO Y EL CONSEJO DE LA UNIÓN EUROPEA,</w:t>
      </w:r>
    </w:p>
    <w:p>
      <w:pPr>
        <w:rPr>
          <w:noProof/>
        </w:rPr>
      </w:pPr>
      <w:r>
        <w:rPr>
          <w:noProof/>
        </w:rPr>
        <w:t xml:space="preserve">Visto el Tratado de Funcionamiento de la Unión Europea, y en particular sus artículos 177, 178 y 322, apartado 1, letra a), </w:t>
      </w:r>
    </w:p>
    <w:p>
      <w:pPr>
        <w:rPr>
          <w:noProof/>
        </w:rPr>
      </w:pPr>
      <w:r>
        <w:rPr>
          <w:noProof/>
        </w:rPr>
        <w:t>Vista la propuesta de la Comisión Europea,</w:t>
      </w:r>
    </w:p>
    <w:p>
      <w:pPr>
        <w:rPr>
          <w:noProof/>
        </w:rPr>
      </w:pPr>
      <w:r>
        <w:rPr>
          <w:noProof/>
        </w:rPr>
        <w:t>Previa transmisión del proyecto de acto legislativo a los parlamentos nacionales,</w:t>
      </w:r>
    </w:p>
    <w:p>
      <w:pPr>
        <w:rPr>
          <w:noProof/>
        </w:rPr>
      </w:pPr>
      <w:r>
        <w:rPr>
          <w:noProof/>
        </w:rPr>
        <w:t>Visto el dictamen del Comité Económico y Social Europeo</w:t>
      </w:r>
      <w:r>
        <w:rPr>
          <w:rStyle w:val="FootnoteReference"/>
          <w:noProof/>
        </w:rPr>
        <w:footnoteReference w:id="2"/>
      </w:r>
      <w:r>
        <w:rPr>
          <w:noProof/>
        </w:rPr>
        <w:t xml:space="preserve">, </w:t>
      </w:r>
    </w:p>
    <w:p>
      <w:pPr>
        <w:rPr>
          <w:noProof/>
        </w:rPr>
      </w:pPr>
      <w:r>
        <w:rPr>
          <w:noProof/>
        </w:rPr>
        <w:t>Visto el dictamen del Comité de las Regiones</w:t>
      </w:r>
      <w:r>
        <w:rPr>
          <w:rStyle w:val="FootnoteReference"/>
          <w:noProof/>
        </w:rPr>
        <w:footnoteReference w:id="3"/>
      </w:r>
      <w:r>
        <w:rPr>
          <w:noProof/>
        </w:rPr>
        <w:t>,</w:t>
      </w:r>
    </w:p>
    <w:p>
      <w:pPr>
        <w:rPr>
          <w:noProof/>
        </w:rPr>
      </w:pPr>
      <w:r>
        <w:rPr>
          <w:noProof/>
        </w:rPr>
        <w:t xml:space="preserve">Visto el dictamen del Tribunal de Cuentas Europeo, </w:t>
      </w:r>
    </w:p>
    <w:p>
      <w:pPr>
        <w:rPr>
          <w:noProof/>
        </w:rPr>
      </w:pPr>
      <w:r>
        <w:rPr>
          <w:noProof/>
        </w:rPr>
        <w:t>De conformidad con el procedimiento legislativo ordinario,</w:t>
      </w:r>
    </w:p>
    <w:p>
      <w:pPr>
        <w:rPr>
          <w:noProof/>
        </w:rPr>
      </w:pPr>
      <w:r>
        <w:rPr>
          <w:noProof/>
        </w:rPr>
        <w:t>Considerando lo siguiente:</w:t>
      </w:r>
    </w:p>
    <w:p>
      <w:pPr>
        <w:pStyle w:val="ManualConsidrant"/>
        <w:rPr>
          <w:noProof/>
        </w:rPr>
      </w:pPr>
      <w:r>
        <w:t>(1)</w:t>
      </w:r>
      <w:r>
        <w:tab/>
      </w:r>
      <w:r>
        <w:rPr>
          <w:noProof/>
        </w:rPr>
        <w:t>Los Estados miembros se han visto afectados de un modo sin precedentes por las consecuencias de la crisis ocasionada por el brote de COVID-19. La crisis dificulta el crecimiento en los Estados miembros, lo cual a su vez agrava la importante escasez de liquidez debido al significativo incremento repentino de la necesidad de inversiones públicas en sus sistemas de atención sanitaria y en otros sectores de sus economías. Todo ello ha generado una situación excepcional que es necesario abordar con medidas específicas.</w:t>
      </w:r>
    </w:p>
    <w:p>
      <w:pPr>
        <w:pStyle w:val="ManualConsidrant"/>
        <w:rPr>
          <w:noProof/>
        </w:rPr>
      </w:pPr>
      <w:r>
        <w:t>(2)</w:t>
      </w:r>
      <w:r>
        <w:tab/>
      </w:r>
      <w:r>
        <w:rPr>
          <w:noProof/>
        </w:rPr>
        <w:t xml:space="preserve">A fin de responder al impacto de la crisis, ya se han modificado los Reglamentos (UE) n.º 1303/2013 y (UE) n.º 1301/2013 para permitir mayor flexibilidad en la ejecución de los programas financiados con el apoyo del Fondo Europeo de Desarrollo Regional (FEDER), el Fondo Social Europeo (FSE) y el Fondo de Cohesión (en conjunto, «los Fondos»), y del Fondo Europeo Marítimo y de Pesca (FEMP). Con el fin de contribuir a una respuesta eficaz a la crisis actual se amplió considerablemente el ámbito de aplicación de la ayuda del FEDER.  </w:t>
      </w:r>
    </w:p>
    <w:p>
      <w:pPr>
        <w:pStyle w:val="ManualConsidrant"/>
        <w:rPr>
          <w:noProof/>
        </w:rPr>
      </w:pPr>
      <w:r>
        <w:t>(3)</w:t>
      </w:r>
      <w:r>
        <w:tab/>
      </w:r>
      <w:r>
        <w:rPr>
          <w:noProof/>
        </w:rPr>
        <w:t xml:space="preserve">Sin embargo, los graves efectos negativos sobre las economías y las sociedades de la UE están empeorando. Por consiguiente, es necesario ofrecer a los Estados miembros más flexibilidad excepcional que les permita responder a esta crisis sin precedentes aumentando la posibilidad de movilizar todas las ayudas no utilizadas de los Fondos. </w:t>
      </w:r>
    </w:p>
    <w:p>
      <w:pPr>
        <w:pStyle w:val="ManualConsidrant"/>
        <w:rPr>
          <w:noProof/>
        </w:rPr>
      </w:pPr>
      <w:r>
        <w:lastRenderedPageBreak/>
        <w:t>(4)</w:t>
      </w:r>
      <w:r>
        <w:tab/>
      </w:r>
      <w:r>
        <w:rPr>
          <w:noProof/>
        </w:rPr>
        <w:t>Con objeto de suavizar la carga para los presupuestos públicos que responden a la situación de crisis, debe darse a los Estados miembros la posibilidad excepcional de solicitar la aplicación para los programas de la política de cohesión de un porcentaje de cofinanciación del 100 % en el ejercicio contable 2020-2021, de conformidad con los créditos presupuestarios y con sujeción a la financiación disponible. Sobre la base de una evaluación de la aplicación de este porcentaje excepcional de cofinanciación, la Comisión podrá proponer una ampliación de esta medida.</w:t>
      </w:r>
    </w:p>
    <w:p>
      <w:pPr>
        <w:pStyle w:val="ManualConsidrant"/>
        <w:rPr>
          <w:noProof/>
        </w:rPr>
      </w:pPr>
      <w:r>
        <w:t>(5)</w:t>
      </w:r>
      <w:r>
        <w:tab/>
      </w:r>
      <w:r>
        <w:rPr>
          <w:noProof/>
        </w:rPr>
        <w:t>Con el fin de ofrecer mayor flexibilidad a los Estados miembros para reasignar los recursos con miras a ofrecer respuestas adaptadas a la crisis de salud pública, deben introducirse o mejorarse las posibilidades de efectuar transferencias financieras entre el FEDER, el FSE y el Fondo de Cohesión en relación con el objetivo de inversión en crecimiento y empleo. Además, deben incrementarse excepcionalmente para los Estados miembros las posibilidades de efectuar transferencias entre categorías de regiones, habida cuenta del impacto generalizado de la crisis de salud pública, al tiempo que se respetan los objetivos del Tratado en materia de política de cohesión. Esas transferencias no deben afectar a los recursos del objetivo de cooperación territorial europea, a las asignaciones adicionales a las regiones ultraperiféricas ni al apoyo a la Iniciativa de Empleo Juvenil y al Fondo de Ayuda Europea para las Personas Más Desfavorecidas.</w:t>
      </w:r>
      <w:r>
        <w:rPr>
          <w:noProof/>
          <w:color w:val="1F497D"/>
        </w:rPr>
        <w:t xml:space="preserve"> </w:t>
      </w:r>
    </w:p>
    <w:p>
      <w:pPr>
        <w:pStyle w:val="ManualConsidrant"/>
        <w:rPr>
          <w:noProof/>
        </w:rPr>
      </w:pPr>
      <w:r>
        <w:t>(6)</w:t>
      </w:r>
      <w:r>
        <w:tab/>
      </w:r>
      <w:r>
        <w:rPr>
          <w:noProof/>
        </w:rPr>
        <w:t>Con el fin de que los Estados miembros puedan distribuir rápidamente los recursos disponibles para responder al brote de COVID-19 y teniendo en cuenta que, dada la fase avanzada de ejecución del período de programación 2014-2020, la reasignación de recursos solo puede referirse a recursos disponibles para los programas del año 2020, está justificado eximir excepcionalmente a los Estados miembros de la necesidad de cumplir los requisitos de concentración temática hasta el final del período de programación.</w:t>
      </w:r>
    </w:p>
    <w:p>
      <w:pPr>
        <w:pStyle w:val="ManualConsidrant"/>
        <w:rPr>
          <w:noProof/>
        </w:rPr>
      </w:pPr>
      <w:r>
        <w:t>(7)</w:t>
      </w:r>
      <w:r>
        <w:tab/>
      </w:r>
      <w:r>
        <w:rPr>
          <w:noProof/>
        </w:rPr>
        <w:t>Para que los Estados miembros puedan concentrarse en la respuesta necesaria al brote de COVID-19 y para reducir las cargas administrativas, deben simplificarse determinados requisitos de procedimiento vinculados a la ejecución del programa y a las auditorías. En particular, los acuerdos de asociación no deben modificarse hasta el final del período de programación, ni para reflejar los cambios previos en los programas operativos ni para introducir otros cambios.</w:t>
      </w:r>
      <w:r>
        <w:rPr>
          <w:i/>
          <w:noProof/>
        </w:rPr>
        <w:t xml:space="preserve"> </w:t>
      </w:r>
      <w:r>
        <w:rPr>
          <w:noProof/>
        </w:rPr>
        <w:t>Debe posponerse el plazo de presentación de los informes anuales de ejecución correspondientes al año 2019, así como la presentación del informe de síntesis de la Comisión basado en dichos informes anuales de ejecución. Por lo que se refiere a los Fondos y al FEMP, también debe ampliarse explícitamente la posibilidad de que las autoridades de auditoría utilicen un método de muestreo no estadístico en relación con el ejercicio contable 2019-2020.</w:t>
      </w:r>
    </w:p>
    <w:p>
      <w:pPr>
        <w:pStyle w:val="ManualConsidrant"/>
        <w:rPr>
          <w:noProof/>
        </w:rPr>
      </w:pPr>
      <w:r>
        <w:t>(8)</w:t>
      </w:r>
      <w:r>
        <w:tab/>
      </w:r>
      <w:r>
        <w:rPr>
          <w:noProof/>
        </w:rPr>
        <w:t xml:space="preserve">También procede especificar que la subvencionabilidad de los gastos se permite a título excepcional para operaciones concluidas o plenamente ejecutadas que fomenten la capacidad de respuesta a la crisis en el contexto del brote del COVID-19. Esas operaciones podrán ser seleccionadas incluso antes de que la Comisión apruebe la modificación necesaria del programa. Se deben prever asimismo modalidades específicas para invocar fuerza mayor en el contexto de la liberación. </w:t>
      </w:r>
    </w:p>
    <w:p>
      <w:pPr>
        <w:pStyle w:val="ManualConsidrant"/>
        <w:rPr>
          <w:noProof/>
        </w:rPr>
      </w:pPr>
      <w:r>
        <w:t>(9)</w:t>
      </w:r>
      <w:r>
        <w:tab/>
      </w:r>
      <w:r>
        <w:rPr>
          <w:noProof/>
        </w:rPr>
        <w:t xml:space="preserve">Además, con el fin de reducir las cargas administrativas y los retrasos en la ejecución cuando se necesiten cambios en los instrumentos financieros para dar una respuesta eficaz a una crisis de salud pública, deben dejar de exigirse, hasta el final del período de programación, la revisión y actualización de la evaluación </w:t>
      </w:r>
      <w:r>
        <w:rPr>
          <w:i/>
          <w:iCs/>
          <w:noProof/>
        </w:rPr>
        <w:t>ex ante</w:t>
      </w:r>
      <w:r>
        <w:rPr>
          <w:noProof/>
        </w:rPr>
        <w:t xml:space="preserve"> y la actualización </w:t>
      </w:r>
      <w:r>
        <w:rPr>
          <w:noProof/>
        </w:rPr>
        <w:lastRenderedPageBreak/>
        <w:t>de los planes empresariales o documentos equivalentes, como parte de los documentos justificativos que demuestren que la ayuda otorgada se utilizó para los fines previstos. Asimismo, deben ampliarse las posibilidades de apoyo al capital de explotación mediante instrumentos financieros en el marco del Fondo Europeo Agrícola de Desarrollo Rural (Feader).</w:t>
      </w:r>
    </w:p>
    <w:p>
      <w:pPr>
        <w:pStyle w:val="ManualConsidrant"/>
        <w:rPr>
          <w:noProof/>
        </w:rPr>
      </w:pPr>
      <w:r>
        <w:t>(10)</w:t>
      </w:r>
      <w:r>
        <w:tab/>
      </w:r>
      <w:r>
        <w:rPr>
          <w:noProof/>
        </w:rPr>
        <w:t>A fin de garantizar que los Estados miembros puedan utilizar plenamente la ayuda de los Fondos o del FEMP, debe preverse mayor flexibilidad para el cálculo del pago del saldo final cuando termine el período de programación.</w:t>
      </w:r>
    </w:p>
    <w:p>
      <w:pPr>
        <w:pStyle w:val="ManualConsidrant"/>
        <w:rPr>
          <w:noProof/>
        </w:rPr>
      </w:pPr>
      <w:r>
        <w:t>(11)</w:t>
      </w:r>
      <w:r>
        <w:tab/>
      </w:r>
      <w:r>
        <w:rPr>
          <w:noProof/>
        </w:rPr>
        <w:t xml:space="preserve">Con el fin de facilitar las transferencias autorizadas con arreglo al presente Reglamento, no debe aplicarse la condición establecida en el artículo 30, apartado 1, letra f), del Reglamento Financiero en relación con la utilización de créditos para el mismo objetivo en lo que respecta a las transferencias propuestas en virtud del presente Reglamento. </w:t>
      </w:r>
    </w:p>
    <w:p>
      <w:pPr>
        <w:pStyle w:val="ManualConsidrant"/>
        <w:rPr>
          <w:noProof/>
        </w:rPr>
      </w:pPr>
      <w:r>
        <w:t>(12)</w:t>
      </w:r>
      <w:r>
        <w:tab/>
      </w:r>
      <w:r>
        <w:rPr>
          <w:noProof/>
        </w:rPr>
        <w:t xml:space="preserve">Con el fin de garantizar la coherencia entre el enfoque adoptado en virtud del Marco Temporal relativo a las medidas de ayuda estatal destinadas a respaldar la economía en el contexto del actual brote de COVID-19 y la ayuda </w:t>
      </w:r>
      <w:r>
        <w:rPr>
          <w:i/>
          <w:iCs/>
          <w:noProof/>
        </w:rPr>
        <w:t>de minimis</w:t>
      </w:r>
      <w:r>
        <w:rPr>
          <w:noProof/>
        </w:rPr>
        <w:t xml:space="preserve">, por una parte, y las condiciones para prestar apoyo a las empresas en dificultades con cargo al FEDER, por otra, el Reglamento (UE) n.º 1301/2013 debe modificarse para permitir la concesión de ayudas a dichas empresas en estas circunstancias específicas. </w:t>
      </w:r>
    </w:p>
    <w:p>
      <w:pPr>
        <w:pStyle w:val="ManualConsidrant"/>
        <w:rPr>
          <w:noProof/>
        </w:rPr>
      </w:pPr>
      <w:r>
        <w:t>(13)</w:t>
      </w:r>
      <w:r>
        <w:tab/>
      </w:r>
      <w:r>
        <w:rPr>
          <w:noProof/>
        </w:rPr>
        <w:t>Dado que los objetivos del presente Reglamento, a saber, responder al impacto de la crisis de salud pública introduciendo medidas de flexibilidad en el ámbito de la concesión de ayuda con cargo a los Fondos EIE, no pueden ser alcanzados de manera suficiente por los Estados miembros individualmente y, por tanto, debido a las dimensiones y los efectos de la acción propuesta, pueden lograrse mejor a escala de la Unión, esta puede adoptar medidas, de acuerdo con el principio de subsidiariedad establecido en el artículo 5 del Tratado de la Unión Europea. De conformidad con el principio de proporcionalidad establecido en el mismo artículo, el presente Reglamento no excede de lo necesario para alcanzar dichos objetivos.</w:t>
      </w:r>
    </w:p>
    <w:p>
      <w:pPr>
        <w:pStyle w:val="ManualConsidrant"/>
        <w:rPr>
          <w:noProof/>
        </w:rPr>
      </w:pPr>
      <w:r>
        <w:t>(14)</w:t>
      </w:r>
      <w:r>
        <w:tab/>
      </w:r>
      <w:r>
        <w:rPr>
          <w:noProof/>
        </w:rPr>
        <w:t>Procede, por tanto, modificar los Reglamentos (UE) n.º 1303/2013 y (UE) n.º 1301/2013 en consecuencia.</w:t>
      </w:r>
    </w:p>
    <w:p>
      <w:pPr>
        <w:pStyle w:val="ManualConsidrant"/>
        <w:rPr>
          <w:noProof/>
        </w:rPr>
      </w:pPr>
      <w:r>
        <w:t>(15)</w:t>
      </w:r>
      <w:r>
        <w:tab/>
      </w:r>
      <w:r>
        <w:rPr>
          <w:noProof/>
        </w:rPr>
        <w:t xml:space="preserve">Dada la urgencia de la situación relacionada con el brote de COVID-19, es adecuado que el presente Reglamento entre en vigor el día de su publicación en el </w:t>
      </w:r>
      <w:r>
        <w:rPr>
          <w:i/>
          <w:iCs/>
          <w:noProof/>
        </w:rPr>
        <w:t>Diario Oficial de la Unión Europea</w:t>
      </w:r>
      <w:r>
        <w:rPr>
          <w:noProof/>
        </w:rPr>
        <w:t>.</w:t>
      </w:r>
    </w:p>
    <w:p>
      <w:pPr>
        <w:pStyle w:val="ManualConsidrant"/>
        <w:rPr>
          <w:noProof/>
        </w:rPr>
      </w:pPr>
      <w:r>
        <w:t>(16)</w:t>
      </w:r>
      <w:r>
        <w:tab/>
      </w:r>
      <w:r>
        <w:rPr>
          <w:noProof/>
        </w:rPr>
        <w:t>Teniendo en cuenta el brote de COVID-19 y la urgencia de tratar la consiguiente crisis de salud pública, se considera necesario hacer uso de la excepción al plazo de ocho semanas previsto en el artículo 4 del Protocolo n.º 1 sobre el cometido de los Parlamentos nacionales en la Unión Europea, anejo al Tratado de la Unión Europea, al Tratado de Funcionamiento de la Unión Europea y al Tratado constitutivo de la Comunidad Europea de la Energía Atómica,</w:t>
      </w:r>
    </w:p>
    <w:p>
      <w:pPr>
        <w:pStyle w:val="Formuledadoption"/>
        <w:rPr>
          <w:noProof/>
        </w:rPr>
      </w:pPr>
      <w:r>
        <w:rPr>
          <w:noProof/>
        </w:rPr>
        <w:t>HAN ADOPTADO EL PRESENTE REGLAMENTO:</w:t>
      </w:r>
    </w:p>
    <w:p>
      <w:pPr>
        <w:pStyle w:val="Titrearticle"/>
        <w:rPr>
          <w:b/>
          <w:noProof/>
        </w:rPr>
      </w:pPr>
      <w:r>
        <w:rPr>
          <w:noProof/>
        </w:rPr>
        <w:t>Artículo 1</w:t>
      </w:r>
      <w:r>
        <w:rPr>
          <w:noProof/>
        </w:rPr>
        <w:br/>
      </w:r>
      <w:r>
        <w:rPr>
          <w:b/>
          <w:i w:val="0"/>
          <w:noProof/>
        </w:rPr>
        <w:t>Modificación del Reglamento (UE) n.º 1303/2013</w:t>
      </w:r>
    </w:p>
    <w:p>
      <w:pPr>
        <w:rPr>
          <w:noProof/>
        </w:rPr>
      </w:pPr>
      <w:r>
        <w:rPr>
          <w:noProof/>
        </w:rPr>
        <w:t>El Reglamento (UE) n.º 1303/2013 se modifica como sigue:</w:t>
      </w:r>
    </w:p>
    <w:p>
      <w:pPr>
        <w:pStyle w:val="ManualNumPar1"/>
        <w:rPr>
          <w:noProof/>
        </w:rPr>
      </w:pPr>
      <w:r>
        <w:rPr>
          <w:noProof/>
        </w:rPr>
        <w:t>1)</w:t>
      </w:r>
      <w:r>
        <w:rPr>
          <w:noProof/>
        </w:rPr>
        <w:tab/>
        <w:t>en la segunda parte, título II, se añade el nuevo capítulo siguiente:</w:t>
      </w:r>
      <w:r>
        <w:rPr>
          <w:noProof/>
          <w:color w:val="1F497D"/>
        </w:rPr>
        <w:t xml:space="preserve"> </w:t>
      </w:r>
    </w:p>
    <w:p>
      <w:pPr>
        <w:pStyle w:val="Text1"/>
        <w:jc w:val="center"/>
        <w:rPr>
          <w:b/>
          <w:noProof/>
        </w:rPr>
      </w:pPr>
      <w:r>
        <w:rPr>
          <w:noProof/>
        </w:rPr>
        <w:lastRenderedPageBreak/>
        <w:t>«CAPÍTULO V</w:t>
      </w:r>
    </w:p>
    <w:p>
      <w:pPr>
        <w:pStyle w:val="Text1"/>
        <w:jc w:val="center"/>
        <w:rPr>
          <w:noProof/>
        </w:rPr>
      </w:pPr>
      <w:r>
        <w:rPr>
          <w:b/>
          <w:bCs/>
          <w:noProof/>
        </w:rPr>
        <w:t>Medidas excepcionales para la utilización de los Fondos EIE en respuesta al brote de COVID-19</w:t>
      </w:r>
      <w:r>
        <w:rPr>
          <w:noProof/>
        </w:rPr>
        <w:t>»;</w:t>
      </w:r>
    </w:p>
    <w:p>
      <w:pPr>
        <w:pStyle w:val="Titrearticle"/>
        <w:rPr>
          <w:b/>
          <w:noProof/>
        </w:rPr>
      </w:pPr>
      <w:r>
        <w:rPr>
          <w:noProof/>
        </w:rPr>
        <w:t>«Artículo [25 </w:t>
      </w:r>
      <w:r>
        <w:rPr>
          <w:i w:val="0"/>
          <w:noProof/>
        </w:rPr>
        <w:t>bis</w:t>
      </w:r>
      <w:r>
        <w:rPr>
          <w:noProof/>
        </w:rPr>
        <w:t>]</w:t>
      </w:r>
      <w:r>
        <w:rPr>
          <w:noProof/>
        </w:rPr>
        <w:br/>
      </w:r>
      <w:r>
        <w:rPr>
          <w:b/>
          <w:bCs/>
          <w:noProof/>
        </w:rPr>
        <w:t>Medidas excepcionales para la utilización de los Fondos EIE en respuesta al brote de COVID-19</w:t>
      </w:r>
    </w:p>
    <w:p>
      <w:pPr>
        <w:pStyle w:val="Point1"/>
        <w:rPr>
          <w:noProof/>
        </w:rPr>
      </w:pPr>
      <w:r>
        <w:rPr>
          <w:noProof/>
        </w:rPr>
        <w:t>1.</w:t>
      </w:r>
      <w:r>
        <w:rPr>
          <w:noProof/>
        </w:rPr>
        <w:tab/>
        <w:t xml:space="preserve">No obstante lo dispuesto en el artículo 60, apartado 1, y en el artículo 120, apartado 3, párrafos primero y cuarto, a petición del Estado miembro, podrá aplicarse un porcentaje de cofinanciación del 100 % a los gastos declarados en las solicitudes de pago durante el ejercicio contable que comienza el 1 de julio de 2020 y finaliza el 30 de junio de 2021 para uno o más ejes prioritarios en un programa financiado por el FEDER, el FSE o el Fondo de Cohesión. </w:t>
      </w:r>
    </w:p>
    <w:p>
      <w:pPr>
        <w:pStyle w:val="Text2"/>
        <w:rPr>
          <w:noProof/>
        </w:rPr>
      </w:pPr>
      <w:r>
        <w:rPr>
          <w:noProof/>
        </w:rPr>
        <w:t xml:space="preserve">Las solicitudes de modificación del porcentaje de cofinanciación se realizarán mediante el procedimiento de modificación de los programas establecido en el artículo 30 e irán acompañadas del programa o los programas revisados. El porcentaje de cofinanciación del 100 % solo se aplicará si la Comisión aprueba la modificación del programa correspondiente a más tardar antes de la presentación de la solicitud final de pago intermedio de conformidad con el artículo 135, apartado 2, del Reglamento sobre disposiciones comunes. </w:t>
      </w:r>
    </w:p>
    <w:p>
      <w:pPr>
        <w:pStyle w:val="Text2"/>
        <w:rPr>
          <w:noProof/>
        </w:rPr>
      </w:pPr>
      <w:r>
        <w:rPr>
          <w:noProof/>
        </w:rPr>
        <w:t xml:space="preserve">Antes de presentar la primera solicitud de pago correspondiente al ejercicio contable que comienza el 1 de julio de 2021, los Estados miembros notificarán el cuadro contemplado en el artículo 96, apartado 2, letra d), inciso ii), confirmando el porcentaje de cofinanciación que fue aplicable durante el ejercicio contable finalizado el 30 de junio de 2020 para las prioridades afectadas por el incremento temporal al 100 %. </w:t>
      </w:r>
    </w:p>
    <w:p>
      <w:pPr>
        <w:pStyle w:val="Point1"/>
        <w:rPr>
          <w:noProof/>
        </w:rPr>
      </w:pPr>
      <w:r>
        <w:rPr>
          <w:noProof/>
        </w:rPr>
        <w:t>2.</w:t>
      </w:r>
      <w:r>
        <w:rPr>
          <w:noProof/>
        </w:rPr>
        <w:tab/>
        <w:t xml:space="preserve">En respuesta al brote de COVID-19, los recursos disponibles para la programación del año 2020 en relación con el objetivo de inversión en crecimiento y empleo podrán transferirse, a petición de los Estados miembros, entre el FEDER, el FSE y el Fondo de Cohesión, con independencia de los porcentajes contemplados en el artículo 92, apartado 1, letras a) a d). </w:t>
      </w:r>
    </w:p>
    <w:p>
      <w:pPr>
        <w:pStyle w:val="Text2"/>
        <w:rPr>
          <w:noProof/>
        </w:rPr>
      </w:pPr>
      <w:r>
        <w:rPr>
          <w:noProof/>
        </w:rPr>
        <w:t xml:space="preserve">A efectos de estas transferencias, no se aplicarán los requisitos establecidos en el artículo 92, apartado 4. </w:t>
      </w:r>
    </w:p>
    <w:p>
      <w:pPr>
        <w:pStyle w:val="Text2"/>
        <w:rPr>
          <w:noProof/>
        </w:rPr>
      </w:pPr>
      <w:r>
        <w:rPr>
          <w:noProof/>
        </w:rPr>
        <w:t xml:space="preserve">Las transferencias no afectarán a los recursos asignados a la Iniciativa de Empleo Juvenil de conformidad con el artículo 92, apartado 5, ni a la ayuda para las personas más necesitadas conforme al objetivo de inversión en crecimiento y empleo, de conformidad con el artículo 92, apartado 7. </w:t>
      </w:r>
    </w:p>
    <w:p>
      <w:pPr>
        <w:pStyle w:val="Text2"/>
        <w:rPr>
          <w:noProof/>
        </w:rPr>
      </w:pPr>
      <w:r>
        <w:rPr>
          <w:noProof/>
        </w:rPr>
        <w:t xml:space="preserve">Los recursos transferidos entre el FEDER, el FSE y el Fondo de Cohesión en virtud del presente apartado se ejecutarán de conformidad con las normas del Fondo al que se transfieran los recursos. </w:t>
      </w:r>
    </w:p>
    <w:p>
      <w:pPr>
        <w:pStyle w:val="Point1"/>
        <w:rPr>
          <w:noProof/>
        </w:rPr>
      </w:pPr>
      <w:r>
        <w:rPr>
          <w:noProof/>
        </w:rPr>
        <w:t>3.</w:t>
      </w:r>
      <w:r>
        <w:rPr>
          <w:noProof/>
        </w:rPr>
        <w:tab/>
        <w:t>No obstante lo dispuesto en el artículo 93, apartado 1, y además de la posibilidad prevista en el artículo 93, apartado 2, los recursos disponibles para la programación correspondiente al año 2020 podrán transferirse, a petición de los Estados miembros, entre categorías de regiones en respuesta al brote de COVID-19.</w:t>
      </w:r>
    </w:p>
    <w:p>
      <w:pPr>
        <w:pStyle w:val="Point1"/>
        <w:rPr>
          <w:noProof/>
        </w:rPr>
      </w:pPr>
      <w:r>
        <w:rPr>
          <w:noProof/>
        </w:rPr>
        <w:lastRenderedPageBreak/>
        <w:t>4.</w:t>
      </w:r>
      <w:r>
        <w:rPr>
          <w:noProof/>
        </w:rPr>
        <w:tab/>
        <w:t xml:space="preserve">Las solicitudes de transferencia contempladas en los apartados 2 y 3 se presentarán por el procedimiento de modificación de programas establecido en el artículo 30, estarán debidamente justificadas e irán acompañadas del programa o los programas revisados en los que se determinen los importes transferidos por Fondo y por categoría de región, cuando proceda. </w:t>
      </w:r>
    </w:p>
    <w:p>
      <w:pPr>
        <w:pStyle w:val="Point1"/>
        <w:rPr>
          <w:noProof/>
        </w:rPr>
      </w:pPr>
      <w:r>
        <w:rPr>
          <w:noProof/>
        </w:rPr>
        <w:t>5.</w:t>
      </w:r>
      <w:r>
        <w:rPr>
          <w:noProof/>
        </w:rPr>
        <w:tab/>
        <w:t>No obstante lo dispuesto en el artículo 18 y en los Reglamentos específicos de los Fondos, las asignaciones financieras establecidas en las solicitudes de modificación de programas presentadas o en las transferencias notificadas con arreglo al artículo 30, apartado 5, el [</w:t>
      </w:r>
      <w:r>
        <w:rPr>
          <w:i/>
          <w:noProof/>
        </w:rPr>
        <w:t>fecha de entrada en vigor del presente Reglamento</w:t>
      </w:r>
      <w:r>
        <w:rPr>
          <w:noProof/>
        </w:rPr>
        <w:t xml:space="preserve">] o posteriormente, no estarán sujetas a los requisitos de concentración temática establecidos en el presente Reglamento o en los Reglamentos específicos de los Fondos. </w:t>
      </w:r>
    </w:p>
    <w:p>
      <w:pPr>
        <w:pStyle w:val="Point1"/>
        <w:rPr>
          <w:noProof/>
        </w:rPr>
      </w:pPr>
      <w:r>
        <w:rPr>
          <w:noProof/>
        </w:rPr>
        <w:t>6.</w:t>
      </w:r>
      <w:r>
        <w:rPr>
          <w:noProof/>
        </w:rPr>
        <w:tab/>
        <w:t>No obstante lo dispuesto en el artículo 16, a partir del [</w:t>
      </w:r>
      <w:r>
        <w:rPr>
          <w:i/>
          <w:noProof/>
        </w:rPr>
        <w:t>fecha de entrada en vigor del presente Reglamento</w:t>
      </w:r>
      <w:r>
        <w:rPr>
          <w:noProof/>
        </w:rPr>
        <w:t xml:space="preserve">], los acuerdos de asociación no se modificarán y las modificaciones de los programas no conllevarán la modificación de los acuerdos de asociación. </w:t>
      </w:r>
    </w:p>
    <w:p>
      <w:pPr>
        <w:pStyle w:val="Text2"/>
        <w:rPr>
          <w:noProof/>
        </w:rPr>
      </w:pPr>
      <w:r>
        <w:rPr>
          <w:noProof/>
        </w:rPr>
        <w:t>No obstante lo dispuesto en el artículo 26, apartado 1, el artículo 27, apartado 1, y el artículo 30, apartados 1 y 2, a partir del [</w:t>
      </w:r>
      <w:r>
        <w:rPr>
          <w:i/>
          <w:noProof/>
        </w:rPr>
        <w:t>fecha de entrada en vigor del presente Reglamento</w:t>
      </w:r>
      <w:r>
        <w:rPr>
          <w:noProof/>
        </w:rPr>
        <w:t xml:space="preserve">], no se verificará la coherencia de los programas y de su ejecución con el acuerdo de asociación. </w:t>
      </w:r>
    </w:p>
    <w:p>
      <w:pPr>
        <w:pStyle w:val="Point1"/>
        <w:rPr>
          <w:noProof/>
        </w:rPr>
      </w:pPr>
      <w:r>
        <w:rPr>
          <w:noProof/>
        </w:rPr>
        <w:t>7.</w:t>
      </w:r>
      <w:r>
        <w:rPr>
          <w:noProof/>
        </w:rPr>
        <w:tab/>
        <w:t xml:space="preserve">Para las operaciones que fomenten las capacidades de respuesta a la crisis en el contexto del brote de COVID-19 como se contempla en el artículo 65, apartado 10, párrafo segundo, no se aplicará el artículo 65, apartado 6. </w:t>
      </w:r>
    </w:p>
    <w:p>
      <w:pPr>
        <w:pStyle w:val="Text2"/>
        <w:rPr>
          <w:noProof/>
        </w:rPr>
      </w:pPr>
      <w:r>
        <w:rPr>
          <w:noProof/>
        </w:rPr>
        <w:t xml:space="preserve">No obstante lo dispuesto en el artículo 125, apartado 3, letra b), dichas operaciones podrán ser seleccionadas para recibir ayuda del FEDER o del FSE antes de la aprobación del programa modificado. </w:t>
      </w:r>
    </w:p>
    <w:p>
      <w:pPr>
        <w:pStyle w:val="Point1"/>
        <w:rPr>
          <w:noProof/>
        </w:rPr>
      </w:pPr>
      <w:r>
        <w:rPr>
          <w:noProof/>
        </w:rPr>
        <w:t>8.</w:t>
      </w:r>
      <w:r>
        <w:rPr>
          <w:noProof/>
        </w:rPr>
        <w:tab/>
        <w:t>A efectos del artículo 87, apartado 1, letra b), cuando se invoque el brote de COVID-19 como causa de fuerza mayor, la información sobre los importes para los que no haya sido posible presentar una solicitud de pago se facilitará de forma agregada por prioridad para las operaciones cuyos costes subvencionables totales sean menores que 1 000 000 EUR.</w:t>
      </w:r>
    </w:p>
    <w:p>
      <w:pPr>
        <w:pStyle w:val="Point1"/>
        <w:rPr>
          <w:noProof/>
        </w:rPr>
      </w:pPr>
      <w:r>
        <w:rPr>
          <w:noProof/>
        </w:rPr>
        <w:t>9.</w:t>
      </w:r>
      <w:r>
        <w:rPr>
          <w:noProof/>
        </w:rPr>
        <w:tab/>
        <w:t>El informe anual sobre la ejecución del programa contemplado en el artículo 50, apartado 1, para el año 2019 se presentará a más tardar el 30 de septiembre de 2020 para todos los Fondos EIE, como excepción a los plazos establecidos en los Reglamentos específicos de los Fondos. La transmisión del informe de síntesis elaborado por la Comisión en 2020, de conformidad con el artículo 53, apartado 1, podrá aplazarse en consecuencia.</w:t>
      </w:r>
    </w:p>
    <w:p>
      <w:pPr>
        <w:pStyle w:val="Point1"/>
        <w:rPr>
          <w:noProof/>
        </w:rPr>
      </w:pPr>
      <w:r>
        <w:rPr>
          <w:noProof/>
        </w:rPr>
        <w:t>10.</w:t>
      </w:r>
      <w:r>
        <w:rPr>
          <w:noProof/>
        </w:rPr>
        <w:tab/>
        <w:t xml:space="preserve">No obstante lo dispuesto en el artículo 37, apartado 2, letra g), no se exigirá ninguna revisión o actualización de las evaluaciones </w:t>
      </w:r>
      <w:r>
        <w:rPr>
          <w:i/>
          <w:iCs/>
          <w:noProof/>
        </w:rPr>
        <w:t>ex ante</w:t>
      </w:r>
      <w:r>
        <w:rPr>
          <w:noProof/>
        </w:rPr>
        <w:t xml:space="preserve"> cuando se necesite efectuar cambios en los instrumentos financieros para proporcionar una respuesta eficaz al brote de COVID-19.</w:t>
      </w:r>
    </w:p>
    <w:p>
      <w:pPr>
        <w:pStyle w:val="Point1"/>
        <w:rPr>
          <w:noProof/>
        </w:rPr>
      </w:pPr>
      <w:r>
        <w:rPr>
          <w:noProof/>
        </w:rPr>
        <w:t>11.</w:t>
      </w:r>
      <w:r>
        <w:rPr>
          <w:noProof/>
        </w:rPr>
        <w:tab/>
        <w:t xml:space="preserve">Cuando los instrumentos financieros concedan ayuda en forma de capital de explotación a las pymes de conformidad con el artículo 37, apartado 4, párrafo segundo [añadido por la modificación de la iniciativa de inversión en respuesta al coronavirus], no se exigirán planes empresariales o documentos equivalentes nuevos o actualizados, ni pruebas que permitan verificar que la ayuda prestada </w:t>
      </w:r>
      <w:r>
        <w:rPr>
          <w:noProof/>
        </w:rPr>
        <w:lastRenderedPageBreak/>
        <w:t xml:space="preserve">con cargo a los instrumentos financieros se haya utilizado para los fines previstos, como parte de los documentos justificativos. </w:t>
      </w:r>
    </w:p>
    <w:p>
      <w:pPr>
        <w:pStyle w:val="Text2"/>
        <w:rPr>
          <w:noProof/>
        </w:rPr>
      </w:pPr>
      <w:r>
        <w:rPr>
          <w:noProof/>
        </w:rPr>
        <w:t>No obstante lo dispuesto en el Reglamento (UE) n.º 1305/2013, esa ayuda también podrá concederse con cargo al Feader de conformidad con las medidas contempladas en el Reglamento (UE) n.º 1305/2013 y pertinentes para la ejecución de los instrumentos financieros. Dichos gastos subvencionables no superarán los 200 000 EUR.</w:t>
      </w:r>
    </w:p>
    <w:p>
      <w:pPr>
        <w:pStyle w:val="Point1"/>
        <w:rPr>
          <w:noProof/>
        </w:rPr>
      </w:pPr>
      <w:r>
        <w:rPr>
          <w:noProof/>
        </w:rPr>
        <w:t>12.</w:t>
      </w:r>
      <w:r>
        <w:rPr>
          <w:noProof/>
        </w:rPr>
        <w:tab/>
        <w:t>A efectos de lo dispuesto en el artículo 127, apartado 1, párrafo segundo, el brote de COVID-19 constituirá un caso debidamente justificado que las autoridades de auditoría podrán invocar según su criterio profesional para utilizar un método de muestreo no estadístico en el ejercicio contable que comienza el 1 de julio de 2019 y termina el 30 de junio de 2020.</w:t>
      </w:r>
    </w:p>
    <w:p>
      <w:pPr>
        <w:pStyle w:val="Point1"/>
        <w:rPr>
          <w:noProof/>
        </w:rPr>
      </w:pPr>
      <w:r>
        <w:rPr>
          <w:noProof/>
        </w:rPr>
        <w:t>13.</w:t>
      </w:r>
      <w:r>
        <w:rPr>
          <w:noProof/>
        </w:rPr>
        <w:tab/>
        <w:t>A efectos de la aplicación del artículo 30, apartado 1, letra f), del Reglamento Financiero, no se aplicará la condición de que los créditos estén destinados al mismo objetivo a las transferencias contempladas en los apartados 2 y 3.»;</w:t>
      </w:r>
    </w:p>
    <w:p>
      <w:pPr>
        <w:pStyle w:val="ManualNumPar1"/>
        <w:rPr>
          <w:noProof/>
        </w:rPr>
      </w:pPr>
      <w:r>
        <w:rPr>
          <w:noProof/>
        </w:rPr>
        <w:t>2)</w:t>
      </w:r>
      <w:r>
        <w:rPr>
          <w:noProof/>
        </w:rPr>
        <w:tab/>
        <w:t>en el artículo 130 se añade el apartado 3 siguiente:</w:t>
      </w:r>
    </w:p>
    <w:p>
      <w:pPr>
        <w:pStyle w:val="Text1"/>
        <w:rPr>
          <w:noProof/>
        </w:rPr>
      </w:pPr>
      <w:r>
        <w:rPr>
          <w:noProof/>
        </w:rPr>
        <w:t>«3.</w:t>
      </w:r>
      <w:r>
        <w:rPr>
          <w:noProof/>
        </w:rPr>
        <w:tab/>
        <w:t xml:space="preserve">No obstante lo dispuesto en el apartado 2, la contribución de los Fondos o del FEMP mediante pagos del saldo final para cada prioridad por Fondo y por categoría de regiones en el ejercicio contable final no superará en más del 10 % la contribución de los Fondos o del FEMP para cada prioridad por Fondo y por categoría de regiones establecida en la decisión de la Comisión por la que se apruebe el programa operativo. </w:t>
      </w:r>
    </w:p>
    <w:p>
      <w:pPr>
        <w:pStyle w:val="Text1"/>
        <w:rPr>
          <w:noProof/>
        </w:rPr>
      </w:pPr>
      <w:r>
        <w:rPr>
          <w:noProof/>
        </w:rPr>
        <w:t>La contribución de los Fondos o del FEMP mediante pagos del saldo final en el ejercicio contable final no superará el gasto público subvencionable declarado ni la contribución de cada Fondo y categoría de regiones a cada programa operativo establecida en la decisión de la Comisión por la que se apruebe el programa operativo.».</w:t>
      </w:r>
    </w:p>
    <w:p>
      <w:pPr>
        <w:pStyle w:val="Titrearticle"/>
        <w:rPr>
          <w:b/>
          <w:noProof/>
        </w:rPr>
      </w:pPr>
      <w:r>
        <w:rPr>
          <w:noProof/>
        </w:rPr>
        <w:t>Artículo 2</w:t>
      </w:r>
      <w:r>
        <w:rPr>
          <w:noProof/>
        </w:rPr>
        <w:br/>
      </w:r>
      <w:r>
        <w:rPr>
          <w:b/>
          <w:i w:val="0"/>
          <w:noProof/>
        </w:rPr>
        <w:t>Modificación del Reglamento (UE) n.º 1301/2013</w:t>
      </w:r>
    </w:p>
    <w:p>
      <w:pPr>
        <w:rPr>
          <w:noProof/>
        </w:rPr>
      </w:pPr>
      <w:r>
        <w:rPr>
          <w:noProof/>
        </w:rPr>
        <w:t>El artículo 3, apartado 3, letra d) del Reglamento (UE) n.º 1301/2013 se sustituye por el texto siguiente:</w:t>
      </w:r>
    </w:p>
    <w:p>
      <w:pPr>
        <w:pStyle w:val="Text1"/>
        <w:rPr>
          <w:noProof/>
        </w:rPr>
      </w:pPr>
      <w:r>
        <w:rPr>
          <w:noProof/>
        </w:rPr>
        <w:t>«empresas en dificultades según la definición de las normas de la Unión sobre ayudas de Estado; las empresas beneficiarias de una ayuda que cumpla con el Marco Temporal relativo a las medidas de ayuda estatal</w:t>
      </w:r>
      <w:r>
        <w:rPr>
          <w:rStyle w:val="FootnoteReference"/>
          <w:noProof/>
        </w:rPr>
        <w:footnoteReference w:id="4"/>
      </w:r>
      <w:r>
        <w:rPr>
          <w:noProof/>
        </w:rPr>
        <w:t xml:space="preserve"> o los Reglamentos (UE) n.º 1407/2013</w:t>
      </w:r>
      <w:r>
        <w:rPr>
          <w:rStyle w:val="FootnoteReference"/>
          <w:noProof/>
        </w:rPr>
        <w:footnoteReference w:id="5"/>
      </w:r>
      <w:r>
        <w:rPr>
          <w:noProof/>
        </w:rPr>
        <w:t>, (UE) n.º 1408/2013</w:t>
      </w:r>
      <w:r>
        <w:rPr>
          <w:rStyle w:val="FootnoteReference"/>
          <w:noProof/>
        </w:rPr>
        <w:footnoteReference w:id="6"/>
      </w:r>
      <w:r>
        <w:rPr>
          <w:noProof/>
        </w:rPr>
        <w:t xml:space="preserve"> y (UE) n.º 717/2014</w:t>
      </w:r>
      <w:r>
        <w:rPr>
          <w:rStyle w:val="FootnoteReference"/>
          <w:noProof/>
        </w:rPr>
        <w:footnoteReference w:id="7"/>
      </w:r>
      <w:r>
        <w:rPr>
          <w:noProof/>
        </w:rPr>
        <w:t xml:space="preserve"> de la Comisión no se considerarán empresas en dificultades a efectos de la presente letra;».</w:t>
      </w:r>
    </w:p>
    <w:p>
      <w:pPr>
        <w:pStyle w:val="Titrearticle"/>
        <w:rPr>
          <w:noProof/>
        </w:rPr>
      </w:pPr>
      <w:r>
        <w:rPr>
          <w:noProof/>
        </w:rPr>
        <w:lastRenderedPageBreak/>
        <w:t>Artículo 3</w:t>
      </w:r>
    </w:p>
    <w:p>
      <w:pPr>
        <w:rPr>
          <w:noProof/>
        </w:rPr>
      </w:pPr>
      <w:r>
        <w:rPr>
          <w:noProof/>
        </w:rPr>
        <w:t xml:space="preserve">El presente Reglamento entrará en vigor el día de su publicación en el </w:t>
      </w:r>
      <w:r>
        <w:rPr>
          <w:i/>
          <w:iCs/>
          <w:noProof/>
        </w:rPr>
        <w:t>Diario Oficial de la Unión Europea</w:t>
      </w:r>
      <w:r>
        <w:rPr>
          <w:noProof/>
        </w:rPr>
        <w:t>.</w:t>
      </w:r>
    </w:p>
    <w:p>
      <w:pPr>
        <w:pStyle w:val="Applicationdirecte"/>
        <w:rPr>
          <w:noProof/>
        </w:rPr>
      </w:pPr>
      <w:r>
        <w:rPr>
          <w:noProof/>
        </w:rPr>
        <w:t>El presente Reglamento será obligatorio en todos sus elementos y directamente aplicable en cada Estado miembro.</w:t>
      </w:r>
    </w:p>
    <w:p>
      <w:pPr>
        <w:pStyle w:val="Fait"/>
        <w:rPr>
          <w:noProof/>
        </w:rPr>
      </w:pPr>
      <w:r>
        <w:t>Hecho en Bruselas, el</w:t>
      </w:r>
    </w:p>
    <w:p>
      <w:pPr>
        <w:pStyle w:val="Institutionquisigne"/>
        <w:rPr>
          <w:noProof/>
        </w:rPr>
      </w:pPr>
      <w:r>
        <w:rPr>
          <w:noProof/>
        </w:rPr>
        <w:t>Por el Parlamento Europeo</w:t>
      </w:r>
      <w:r>
        <w:rPr>
          <w:noProof/>
        </w:rPr>
        <w:tab/>
        <w:t>Por el Consejo</w:t>
      </w:r>
    </w:p>
    <w:p>
      <w:pPr>
        <w:pStyle w:val="Personnequisigne"/>
        <w:rPr>
          <w:noProof/>
        </w:rPr>
      </w:pPr>
      <w:r>
        <w:rPr>
          <w:noProof/>
        </w:rPr>
        <w:t>El Presidente</w:t>
      </w:r>
      <w:r>
        <w:rPr>
          <w:noProof/>
        </w:rPr>
        <w:tab/>
        <w:t>El Presidente</w:t>
      </w:r>
    </w:p>
    <w:p>
      <w:pPr>
        <w:rPr>
          <w:noProof/>
        </w:rPr>
        <w:sectPr>
          <w:pgSz w:w="11907" w:h="16839"/>
          <w:pgMar w:top="1134" w:right="1417" w:bottom="1134" w:left="1417" w:header="709" w:footer="709" w:gutter="0"/>
          <w:cols w:space="720"/>
          <w:docGrid w:linePitch="360"/>
        </w:sectPr>
      </w:pPr>
    </w:p>
    <w:p>
      <w:pPr>
        <w:pStyle w:val="Fichefinanciretitre"/>
        <w:rPr>
          <w:noProof/>
        </w:rPr>
      </w:pPr>
      <w:r>
        <w:rPr>
          <w:noProof/>
        </w:rPr>
        <w:lastRenderedPageBreak/>
        <w:t>FICHA FINANCIERA LEGISLATIVA</w:t>
      </w:r>
    </w:p>
    <w:p>
      <w:pPr>
        <w:pStyle w:val="ManualHeading1"/>
        <w:rPr>
          <w:noProof/>
        </w:rPr>
      </w:pPr>
      <w:r>
        <w:rPr>
          <w:noProof/>
        </w:rPr>
        <w:t>1.</w:t>
      </w:r>
      <w:r>
        <w:rPr>
          <w:noProof/>
        </w:rPr>
        <w:tab/>
        <w:t xml:space="preserve">MARCO DE LA PROPUESTA/INICIATIVA </w:t>
      </w:r>
    </w:p>
    <w:p>
      <w:pPr>
        <w:pStyle w:val="ManualHeading2"/>
        <w:rPr>
          <w:noProof/>
        </w:rPr>
      </w:pPr>
      <w:r>
        <w:rPr>
          <w:noProof/>
        </w:rPr>
        <w:t>1.1.</w:t>
      </w:r>
      <w:r>
        <w:rPr>
          <w:noProof/>
        </w:rPr>
        <w:tab/>
        <w:t xml:space="preserve">Denominación de la propuesta/iniciativa </w:t>
      </w:r>
    </w:p>
    <w:p>
      <w:pPr>
        <w:pStyle w:val="Text1"/>
        <w:pBdr>
          <w:top w:val="single" w:sz="4" w:space="1" w:color="auto"/>
          <w:left w:val="single" w:sz="4" w:space="4" w:color="auto"/>
          <w:bottom w:val="single" w:sz="4" w:space="1" w:color="auto"/>
          <w:right w:val="single" w:sz="4" w:space="4" w:color="auto"/>
        </w:pBdr>
        <w:rPr>
          <w:noProof/>
        </w:rPr>
      </w:pPr>
      <w:r>
        <w:rPr>
          <w:noProof/>
        </w:rPr>
        <w:t>Propuesta de</w:t>
      </w:r>
    </w:p>
    <w:p>
      <w:pPr>
        <w:pStyle w:val="Text1"/>
        <w:pBdr>
          <w:top w:val="single" w:sz="4" w:space="1" w:color="auto"/>
          <w:left w:val="single" w:sz="4" w:space="4" w:color="auto"/>
          <w:bottom w:val="single" w:sz="4" w:space="1" w:color="auto"/>
          <w:right w:val="single" w:sz="4" w:space="4" w:color="auto"/>
        </w:pBdr>
        <w:rPr>
          <w:noProof/>
        </w:rPr>
      </w:pPr>
      <w:r>
        <w:rPr>
          <w:noProof/>
        </w:rPr>
        <w:t>REGLAMENTO DEL PARLAMENTO EUROPEO Y DEL CONSEJO</w:t>
      </w:r>
    </w:p>
    <w:p>
      <w:pPr>
        <w:pStyle w:val="Text1"/>
        <w:pBdr>
          <w:top w:val="single" w:sz="4" w:space="1" w:color="auto"/>
          <w:left w:val="single" w:sz="4" w:space="4" w:color="auto"/>
          <w:bottom w:val="single" w:sz="4" w:space="1" w:color="auto"/>
          <w:right w:val="single" w:sz="4" w:space="4" w:color="auto"/>
        </w:pBdr>
        <w:rPr>
          <w:noProof/>
        </w:rPr>
      </w:pPr>
      <w:r>
        <w:rPr>
          <w:noProof/>
        </w:rPr>
        <w:t xml:space="preserve">por el que se modifican el Reglamento (UE) n.º 1303/2013 y el Reglamento (UE) n.º 1301/2013 en lo que respecta a medidas específicas para ofrecer una flexibilidad excepcional en el uso de los Fondos Estructurales y de Inversión Europeos en respuesta al brote de COVID-19 </w:t>
      </w:r>
    </w:p>
    <w:p>
      <w:pPr>
        <w:pStyle w:val="Text1"/>
        <w:pBdr>
          <w:top w:val="single" w:sz="4" w:space="1" w:color="auto"/>
          <w:left w:val="single" w:sz="4" w:space="4" w:color="auto"/>
          <w:bottom w:val="single" w:sz="4" w:space="1" w:color="auto"/>
          <w:right w:val="single" w:sz="4" w:space="4" w:color="auto"/>
        </w:pBdr>
        <w:rPr>
          <w:noProof/>
        </w:rPr>
      </w:pPr>
    </w:p>
    <w:p>
      <w:pPr>
        <w:pStyle w:val="ManualHeading2"/>
        <w:rPr>
          <w:noProof/>
          <w:szCs w:val="24"/>
        </w:rPr>
      </w:pPr>
      <w:r>
        <w:rPr>
          <w:noProof/>
        </w:rPr>
        <w:t>1.2.</w:t>
      </w:r>
      <w:r>
        <w:rPr>
          <w:noProof/>
        </w:rPr>
        <w:tab/>
        <w:t>Ámbito(s) político(s) afectado(s) en la estructura GPA/PPA</w:t>
      </w:r>
      <w:r>
        <w:rPr>
          <w:rStyle w:val="FootnoteReference"/>
          <w:bCs/>
          <w:noProof/>
        </w:rPr>
        <w:footnoteReference w:id="8"/>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4 Empleo, asuntos sociales e inclusión</w:t>
      </w:r>
    </w:p>
    <w:p>
      <w:pPr>
        <w:pStyle w:val="Text1"/>
        <w:pBdr>
          <w:top w:val="single" w:sz="4" w:space="1" w:color="auto"/>
          <w:left w:val="single" w:sz="4" w:space="4" w:color="auto"/>
          <w:bottom w:val="single" w:sz="4" w:space="1" w:color="auto"/>
          <w:right w:val="single" w:sz="4" w:space="4" w:color="auto"/>
        </w:pBdr>
        <w:rPr>
          <w:noProof/>
        </w:rPr>
      </w:pPr>
      <w:r>
        <w:rPr>
          <w:noProof/>
        </w:rPr>
        <w:t xml:space="preserve">13 Política regional y urbana </w:t>
      </w:r>
    </w:p>
    <w:p>
      <w:pPr>
        <w:pStyle w:val="Text1"/>
        <w:pBdr>
          <w:top w:val="single" w:sz="4" w:space="1" w:color="auto"/>
          <w:left w:val="single" w:sz="4" w:space="4" w:color="auto"/>
          <w:bottom w:val="single" w:sz="4" w:space="1" w:color="auto"/>
          <w:right w:val="single" w:sz="4" w:space="4" w:color="auto"/>
        </w:pBdr>
        <w:rPr>
          <w:noProof/>
        </w:rPr>
      </w:pPr>
    </w:p>
    <w:p>
      <w:pPr>
        <w:pStyle w:val="Text1"/>
        <w:pBdr>
          <w:top w:val="single" w:sz="4" w:space="1" w:color="auto"/>
          <w:left w:val="single" w:sz="4" w:space="4" w:color="auto"/>
          <w:bottom w:val="single" w:sz="4" w:space="1" w:color="auto"/>
          <w:right w:val="single" w:sz="4" w:space="4" w:color="auto"/>
        </w:pBdr>
        <w:rPr>
          <w:noProof/>
        </w:rPr>
      </w:pPr>
    </w:p>
    <w:p>
      <w:pPr>
        <w:pStyle w:val="ManualHeading2"/>
        <w:rPr>
          <w:bCs/>
          <w:noProof/>
          <w:szCs w:val="24"/>
        </w:rPr>
      </w:pPr>
      <w:r>
        <w:rPr>
          <w:noProof/>
        </w:rPr>
        <w:t>1.3.</w:t>
      </w:r>
      <w:r>
        <w:rPr>
          <w:noProof/>
        </w:rPr>
        <w:tab/>
        <w:t xml:space="preserve">Naturaleza de la propuesta/iniciativa </w:t>
      </w:r>
    </w:p>
    <w:p>
      <w:pPr>
        <w:pStyle w:val="Text1"/>
        <w:rPr>
          <w:b/>
          <w:noProof/>
          <w:sz w:val="22"/>
        </w:rPr>
      </w:pPr>
      <w:r>
        <w:rPr>
          <w:noProof/>
          <w:sz w:val="22"/>
        </w:rPr>
        <w:sym w:font="Wingdings" w:char="F0A8"/>
      </w:r>
      <w:r>
        <w:rPr>
          <w:b/>
          <w:i/>
          <w:noProof/>
          <w:sz w:val="22"/>
        </w:rPr>
        <w:t xml:space="preserve"> </w:t>
      </w:r>
      <w:r>
        <w:rPr>
          <w:noProof/>
        </w:rPr>
        <w:t xml:space="preserve">La propuesta/iniciativa se refiere a </w:t>
      </w:r>
      <w:r>
        <w:rPr>
          <w:b/>
          <w:noProof/>
        </w:rPr>
        <w:t>una acción nueva</w:t>
      </w:r>
      <w:r>
        <w:rPr>
          <w:b/>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La propuesta/iniciativa se refiere a </w:t>
      </w:r>
      <w:r>
        <w:rPr>
          <w:b/>
          <w:noProof/>
        </w:rPr>
        <w:t>una acción nueva a raíz de un proyecto piloto / una acción preparatoria</w:t>
      </w:r>
      <w:r>
        <w:rPr>
          <w:rStyle w:val="FootnoteReference"/>
          <w:b/>
          <w:noProof/>
        </w:rPr>
        <w:footnoteReference w:id="9"/>
      </w:r>
      <w:r>
        <w:rPr>
          <w:noProof/>
          <w:sz w:val="22"/>
        </w:rPr>
        <w:t xml:space="preserve"> </w:t>
      </w:r>
    </w:p>
    <w:p>
      <w:pPr>
        <w:pStyle w:val="Text1"/>
        <w:rPr>
          <w:noProof/>
          <w:sz w:val="22"/>
        </w:rPr>
      </w:pPr>
      <w:r>
        <w:rPr>
          <w:noProof/>
          <w:sz w:val="22"/>
        </w:rPr>
        <w:sym w:font="Wingdings" w:char="F078"/>
      </w:r>
      <w:r>
        <w:rPr>
          <w:i/>
          <w:noProof/>
          <w:sz w:val="22"/>
        </w:rPr>
        <w:t xml:space="preserve"> </w:t>
      </w:r>
      <w:r>
        <w:rPr>
          <w:noProof/>
        </w:rPr>
        <w:t xml:space="preserve">La propuesta/iniciativa se refiere a </w:t>
      </w:r>
      <w:r>
        <w:rPr>
          <w:b/>
          <w:noProof/>
        </w:rPr>
        <w:t>la prolongación de una acción existente</w:t>
      </w:r>
      <w:r>
        <w:rPr>
          <w:noProof/>
          <w:sz w:val="22"/>
        </w:rPr>
        <w:t xml:space="preserve"> </w:t>
      </w:r>
    </w:p>
    <w:p>
      <w:pPr>
        <w:pStyle w:val="Text1"/>
        <w:rPr>
          <w:noProof/>
        </w:rPr>
      </w:pPr>
      <w:r>
        <w:rPr>
          <w:noProof/>
          <w:sz w:val="22"/>
        </w:rPr>
        <w:sym w:font="Wingdings" w:char="F0A8"/>
      </w:r>
      <w:r>
        <w:rPr>
          <w:i/>
          <w:noProof/>
          <w:sz w:val="22"/>
        </w:rPr>
        <w:t xml:space="preserve"> </w:t>
      </w:r>
      <w:r>
        <w:rPr>
          <w:noProof/>
        </w:rPr>
        <w:t xml:space="preserve">La propuesta/iniciativa se refiere a </w:t>
      </w:r>
      <w:r>
        <w:rPr>
          <w:b/>
          <w:noProof/>
        </w:rPr>
        <w:t>una acción reorientada hacia una nueva acción</w:t>
      </w:r>
      <w:r>
        <w:rPr>
          <w:noProof/>
        </w:rPr>
        <w:t xml:space="preserve"> </w:t>
      </w:r>
    </w:p>
    <w:p>
      <w:pPr>
        <w:pStyle w:val="ManualHeading2"/>
        <w:rPr>
          <w:bCs/>
          <w:noProof/>
          <w:szCs w:val="24"/>
        </w:rPr>
      </w:pPr>
      <w:r>
        <w:rPr>
          <w:noProof/>
        </w:rPr>
        <w:t>1.4.</w:t>
      </w:r>
      <w:r>
        <w:rPr>
          <w:noProof/>
        </w:rPr>
        <w:tab/>
        <w:t>Objetivo(s)</w:t>
      </w:r>
    </w:p>
    <w:p>
      <w:pPr>
        <w:pStyle w:val="ManualHeading3"/>
        <w:rPr>
          <w:noProof/>
        </w:rPr>
      </w:pPr>
      <w:r>
        <w:rPr>
          <w:noProof/>
        </w:rPr>
        <w:t>1.4.1.</w:t>
      </w:r>
      <w:r>
        <w:rPr>
          <w:noProof/>
        </w:rPr>
        <w:tab/>
        <w:t xml:space="preserve">Objetivo(s) estratégico(s) plurianual(es) de la Comisión contemplado(s) en la propuesta/iniciativa </w:t>
      </w:r>
    </w:p>
    <w:p>
      <w:pPr>
        <w:pStyle w:val="Text1"/>
        <w:pBdr>
          <w:top w:val="single" w:sz="4" w:space="1" w:color="auto"/>
          <w:left w:val="single" w:sz="4" w:space="4" w:color="auto"/>
          <w:bottom w:val="single" w:sz="4" w:space="1" w:color="auto"/>
          <w:right w:val="single" w:sz="4" w:space="4" w:color="auto"/>
        </w:pBdr>
        <w:rPr>
          <w:noProof/>
        </w:rPr>
      </w:pPr>
      <w:r>
        <w:rPr>
          <w:noProof/>
        </w:rPr>
        <w:t>No aplicable</w:t>
      </w:r>
    </w:p>
    <w:p>
      <w:pPr>
        <w:pStyle w:val="ManualHeading3"/>
        <w:rPr>
          <w:bCs/>
          <w:noProof/>
          <w:szCs w:val="24"/>
        </w:rPr>
      </w:pPr>
      <w:r>
        <w:rPr>
          <w:noProof/>
        </w:rPr>
        <w:t>1.4.2.</w:t>
      </w:r>
      <w:r>
        <w:rPr>
          <w:noProof/>
        </w:rPr>
        <w:tab/>
        <w:t xml:space="preserve">Objetivo(s) específico(s) y actividad(es) GPA/PPA afectada(s) </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Objetivo específico n.º</w:t>
      </w:r>
    </w:p>
    <w:p>
      <w:pPr>
        <w:pStyle w:val="Text1"/>
        <w:pBdr>
          <w:top w:val="single" w:sz="4" w:space="1" w:color="auto"/>
          <w:left w:val="single" w:sz="4" w:space="4" w:color="auto"/>
          <w:bottom w:val="single" w:sz="4" w:space="1" w:color="auto"/>
          <w:right w:val="single" w:sz="4" w:space="4" w:color="auto"/>
        </w:pBdr>
        <w:rPr>
          <w:noProof/>
        </w:rPr>
      </w:pPr>
      <w:r>
        <w:rPr>
          <w:noProof/>
        </w:rPr>
        <w:t>No aplicable</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Actividad(es) GPA/PPA afectada(s)</w:t>
      </w:r>
    </w:p>
    <w:p>
      <w:pPr>
        <w:pStyle w:val="Text1"/>
        <w:pBdr>
          <w:top w:val="single" w:sz="4" w:space="1" w:color="auto"/>
          <w:left w:val="single" w:sz="4" w:space="4" w:color="auto"/>
          <w:bottom w:val="single" w:sz="4" w:space="1" w:color="auto"/>
          <w:right w:val="single" w:sz="4" w:space="4" w:color="auto"/>
        </w:pBdr>
        <w:rPr>
          <w:noProof/>
        </w:rPr>
      </w:pPr>
      <w:r>
        <w:rPr>
          <w:noProof/>
        </w:rPr>
        <w:t>No aplicable</w:t>
      </w:r>
    </w:p>
    <w:p>
      <w:pPr>
        <w:pStyle w:val="ManualHeading3"/>
        <w:rPr>
          <w:bCs/>
          <w:noProof/>
          <w:szCs w:val="24"/>
        </w:rPr>
      </w:pPr>
      <w:r>
        <w:rPr>
          <w:noProof/>
        </w:rPr>
        <w:t>1.4.3.</w:t>
      </w:r>
      <w:r>
        <w:rPr>
          <w:noProof/>
        </w:rPr>
        <w:tab/>
        <w:t>Resultado(s) e incidencia esperados</w:t>
      </w:r>
    </w:p>
    <w:p>
      <w:pPr>
        <w:pStyle w:val="Text1"/>
        <w:rPr>
          <w:i/>
          <w:noProof/>
          <w:sz w:val="20"/>
        </w:rPr>
      </w:pPr>
      <w:r>
        <w:rPr>
          <w:i/>
          <w:noProof/>
          <w:sz w:val="20"/>
        </w:rPr>
        <w:t>Especifíquense los efectos que la propuesta/iniciativa debería tener sobre los beneficiarios / la población destinataria.</w:t>
      </w:r>
    </w:p>
    <w:p>
      <w:pPr>
        <w:pStyle w:val="Text1"/>
        <w:pBdr>
          <w:top w:val="single" w:sz="4" w:space="1" w:color="auto"/>
          <w:left w:val="single" w:sz="4" w:space="4" w:color="auto"/>
          <w:bottom w:val="single" w:sz="4" w:space="1" w:color="auto"/>
          <w:right w:val="single" w:sz="4" w:space="4" w:color="auto"/>
        </w:pBdr>
        <w:rPr>
          <w:noProof/>
        </w:rPr>
      </w:pPr>
      <w:r>
        <w:rPr>
          <w:noProof/>
        </w:rPr>
        <w:t>No aplicable</w:t>
      </w:r>
    </w:p>
    <w:p>
      <w:pPr>
        <w:pStyle w:val="ManualHeading3"/>
        <w:rPr>
          <w:bCs/>
          <w:noProof/>
          <w:szCs w:val="24"/>
        </w:rPr>
      </w:pPr>
      <w:r>
        <w:rPr>
          <w:noProof/>
        </w:rPr>
        <w:t>1.4.4.</w:t>
      </w:r>
      <w:r>
        <w:rPr>
          <w:noProof/>
        </w:rPr>
        <w:tab/>
        <w:t xml:space="preserve">Indicadores de resultados e incidencia </w:t>
      </w:r>
    </w:p>
    <w:p>
      <w:pPr>
        <w:pStyle w:val="Text1"/>
        <w:rPr>
          <w:i/>
          <w:noProof/>
          <w:sz w:val="20"/>
        </w:rPr>
      </w:pPr>
      <w:r>
        <w:rPr>
          <w:i/>
          <w:noProof/>
          <w:sz w:val="20"/>
        </w:rPr>
        <w:t>Especifíquense los indicadores que permiten realizar el seguimiento de la ejecución de la propuesta/iniciativa.</w:t>
      </w:r>
    </w:p>
    <w:p>
      <w:pPr>
        <w:pStyle w:val="Text1"/>
        <w:pBdr>
          <w:top w:val="single" w:sz="4" w:space="1" w:color="auto"/>
          <w:left w:val="single" w:sz="4" w:space="4" w:color="auto"/>
          <w:bottom w:val="single" w:sz="4" w:space="1" w:color="auto"/>
          <w:right w:val="single" w:sz="4" w:space="4" w:color="auto"/>
        </w:pBdr>
        <w:rPr>
          <w:noProof/>
        </w:rPr>
      </w:pPr>
      <w:r>
        <w:rPr>
          <w:noProof/>
        </w:rPr>
        <w:t>No aplicable</w:t>
      </w:r>
    </w:p>
    <w:p>
      <w:pPr>
        <w:pStyle w:val="ManualHeading2"/>
        <w:rPr>
          <w:bCs/>
          <w:noProof/>
          <w:szCs w:val="24"/>
        </w:rPr>
      </w:pPr>
      <w:r>
        <w:rPr>
          <w:noProof/>
        </w:rPr>
        <w:t>1.5.</w:t>
      </w:r>
      <w:r>
        <w:rPr>
          <w:noProof/>
        </w:rPr>
        <w:tab/>
        <w:t xml:space="preserve">Justificación de la propuesta/iniciativa </w:t>
      </w:r>
    </w:p>
    <w:p>
      <w:pPr>
        <w:pStyle w:val="ManualHeading3"/>
        <w:rPr>
          <w:noProof/>
        </w:rPr>
      </w:pPr>
      <w:r>
        <w:rPr>
          <w:noProof/>
        </w:rPr>
        <w:t>1.5.1.</w:t>
      </w:r>
      <w:r>
        <w:rPr>
          <w:noProof/>
        </w:rPr>
        <w:tab/>
        <w:t xml:space="preserve">Necesidad(es) que debe(n) satisfacerse a corto o largo plazo </w:t>
      </w:r>
    </w:p>
    <w:p>
      <w:pPr>
        <w:pStyle w:val="Text1"/>
        <w:pBdr>
          <w:top w:val="single" w:sz="4" w:space="1" w:color="auto"/>
          <w:left w:val="single" w:sz="4" w:space="4" w:color="auto"/>
          <w:bottom w:val="single" w:sz="4" w:space="1" w:color="auto"/>
          <w:right w:val="single" w:sz="4" w:space="4" w:color="auto"/>
        </w:pBdr>
        <w:rPr>
          <w:noProof/>
        </w:rPr>
      </w:pPr>
      <w:r>
        <w:rPr>
          <w:noProof/>
        </w:rPr>
        <w:t>No aplicable</w:t>
      </w:r>
    </w:p>
    <w:p>
      <w:pPr>
        <w:pStyle w:val="ManualHeading3"/>
        <w:rPr>
          <w:bCs/>
          <w:noProof/>
          <w:szCs w:val="24"/>
        </w:rPr>
      </w:pPr>
      <w:r>
        <w:rPr>
          <w:noProof/>
        </w:rPr>
        <w:t>1.5.2.</w:t>
      </w:r>
      <w:r>
        <w:rPr>
          <w:noProof/>
        </w:rPr>
        <w:tab/>
        <w:t>Valor añadido de la intervención de la UE</w:t>
      </w:r>
    </w:p>
    <w:p>
      <w:pPr>
        <w:pStyle w:val="Text1"/>
        <w:pBdr>
          <w:top w:val="single" w:sz="4" w:space="1" w:color="auto"/>
          <w:left w:val="single" w:sz="4" w:space="4" w:color="auto"/>
          <w:bottom w:val="single" w:sz="4" w:space="1" w:color="auto"/>
          <w:right w:val="single" w:sz="4" w:space="4" w:color="auto"/>
        </w:pBdr>
        <w:rPr>
          <w:noProof/>
        </w:rPr>
      </w:pPr>
      <w:r>
        <w:rPr>
          <w:noProof/>
        </w:rPr>
        <w:t>No aplicable</w:t>
      </w:r>
    </w:p>
    <w:p>
      <w:pPr>
        <w:pStyle w:val="ManualHeading3"/>
        <w:rPr>
          <w:bCs/>
          <w:noProof/>
          <w:szCs w:val="24"/>
        </w:rPr>
      </w:pPr>
      <w:r>
        <w:rPr>
          <w:noProof/>
        </w:rPr>
        <w:t>1.5.3.</w:t>
      </w:r>
      <w:r>
        <w:rPr>
          <w:noProof/>
        </w:rPr>
        <w:tab/>
        <w:t>Principales conclusiones extraídas de experiencias similares anteriores</w:t>
      </w:r>
    </w:p>
    <w:p>
      <w:pPr>
        <w:pStyle w:val="Text1"/>
        <w:pBdr>
          <w:top w:val="single" w:sz="4" w:space="1" w:color="auto"/>
          <w:left w:val="single" w:sz="4" w:space="4" w:color="auto"/>
          <w:bottom w:val="single" w:sz="4" w:space="1" w:color="auto"/>
          <w:right w:val="single" w:sz="4" w:space="4" w:color="auto"/>
        </w:pBdr>
        <w:rPr>
          <w:noProof/>
        </w:rPr>
      </w:pPr>
      <w:r>
        <w:rPr>
          <w:noProof/>
        </w:rPr>
        <w:t>No aplicable</w:t>
      </w:r>
    </w:p>
    <w:p>
      <w:pPr>
        <w:pStyle w:val="ManualHeading3"/>
        <w:rPr>
          <w:bCs/>
          <w:noProof/>
          <w:szCs w:val="24"/>
        </w:rPr>
      </w:pPr>
      <w:r>
        <w:rPr>
          <w:noProof/>
        </w:rPr>
        <w:t>1.5.4.</w:t>
      </w:r>
      <w:r>
        <w:rPr>
          <w:noProof/>
        </w:rPr>
        <w:tab/>
        <w:t>Compatibilidad y posibles sinergias con otros instrumentos adecuados</w:t>
      </w:r>
    </w:p>
    <w:p>
      <w:pPr>
        <w:pStyle w:val="Text1"/>
        <w:pBdr>
          <w:top w:val="single" w:sz="4" w:space="1" w:color="auto"/>
          <w:left w:val="single" w:sz="4" w:space="4" w:color="auto"/>
          <w:bottom w:val="single" w:sz="4" w:space="1" w:color="auto"/>
          <w:right w:val="single" w:sz="4" w:space="4" w:color="auto"/>
        </w:pBdr>
        <w:rPr>
          <w:noProof/>
        </w:rPr>
      </w:pPr>
      <w:r>
        <w:rPr>
          <w:noProof/>
        </w:rPr>
        <w:t>No aplicable</w:t>
      </w:r>
    </w:p>
    <w:p>
      <w:pPr>
        <w:pStyle w:val="ManualHeading2"/>
        <w:rPr>
          <w:bCs/>
          <w:noProof/>
          <w:szCs w:val="24"/>
        </w:rPr>
      </w:pPr>
      <w:r>
        <w:rPr>
          <w:noProof/>
        </w:rPr>
        <w:t>1.6.</w:t>
      </w:r>
      <w:r>
        <w:rPr>
          <w:noProof/>
        </w:rPr>
        <w:tab/>
        <w:t xml:space="preserve">Duración e incidencia financiera </w:t>
      </w:r>
    </w:p>
    <w:p>
      <w:pPr>
        <w:pStyle w:val="Text1"/>
        <w:rPr>
          <w:noProof/>
        </w:rPr>
      </w:pPr>
      <w:r>
        <w:rPr>
          <w:noProof/>
        </w:rPr>
        <w:sym w:font="Wingdings" w:char="F0A8"/>
      </w:r>
      <w:r>
        <w:rPr>
          <w:b/>
          <w:i/>
          <w:noProof/>
        </w:rPr>
        <w:t xml:space="preserve"> </w:t>
      </w:r>
      <w:r>
        <w:rPr>
          <w:noProof/>
        </w:rPr>
        <w:t xml:space="preserve">Propuesta/iniciativa de </w:t>
      </w:r>
      <w:r>
        <w:rPr>
          <w:b/>
          <w:noProof/>
        </w:rPr>
        <w:t xml:space="preserve">duración limitada </w:t>
      </w:r>
    </w:p>
    <w:p>
      <w:pPr>
        <w:pStyle w:val="ListDash2"/>
        <w:rPr>
          <w:noProof/>
        </w:rPr>
      </w:pPr>
      <w:r>
        <w:rPr>
          <w:noProof/>
        </w:rPr>
        <w:sym w:font="Wingdings" w:char="F078"/>
      </w:r>
      <w:r>
        <w:rPr>
          <w:noProof/>
        </w:rPr>
        <w:tab/>
        <w:t>Propuesta/iniciativa en vigor desde el 1.7.2020 hasta el 30.6.2021</w:t>
      </w:r>
    </w:p>
    <w:p>
      <w:pPr>
        <w:pStyle w:val="ListDash2"/>
        <w:rPr>
          <w:noProof/>
        </w:rPr>
      </w:pPr>
      <w:r>
        <w:rPr>
          <w:noProof/>
        </w:rPr>
        <w:sym w:font="Wingdings" w:char="F078"/>
      </w:r>
      <w:r>
        <w:rPr>
          <w:noProof/>
        </w:rPr>
        <w:tab/>
        <w:t>Incidencia financiera desde 2020 hasta 2025</w:t>
      </w:r>
    </w:p>
    <w:p>
      <w:pPr>
        <w:pStyle w:val="Text1"/>
        <w:rPr>
          <w:noProof/>
        </w:rPr>
      </w:pPr>
      <w:r>
        <w:rPr>
          <w:noProof/>
        </w:rPr>
        <w:sym w:font="Wingdings" w:char="F0A8"/>
      </w:r>
      <w:r>
        <w:rPr>
          <w:b/>
          <w:i/>
          <w:noProof/>
        </w:rPr>
        <w:t xml:space="preserve"> </w:t>
      </w:r>
      <w:r>
        <w:rPr>
          <w:noProof/>
        </w:rPr>
        <w:t xml:space="preserve">Propuesta/iniciativa de </w:t>
      </w:r>
      <w:r>
        <w:rPr>
          <w:b/>
          <w:noProof/>
        </w:rPr>
        <w:t>duración ilimitada</w:t>
      </w:r>
    </w:p>
    <w:p>
      <w:pPr>
        <w:pStyle w:val="ListDash1"/>
        <w:rPr>
          <w:noProof/>
        </w:rPr>
      </w:pPr>
      <w:r>
        <w:rPr>
          <w:noProof/>
        </w:rPr>
        <w:t>Ejecución: fase de puesta en marcha desde AAAA hasta AAAA</w:t>
      </w:r>
    </w:p>
    <w:p>
      <w:pPr>
        <w:pStyle w:val="ListDash1"/>
        <w:rPr>
          <w:noProof/>
        </w:rPr>
      </w:pPr>
      <w:r>
        <w:rPr>
          <w:noProof/>
        </w:rPr>
        <w:t>y pleno funcionamiento a partir de la última fecha.</w:t>
      </w:r>
    </w:p>
    <w:p>
      <w:pPr>
        <w:pStyle w:val="ManualHeading2"/>
        <w:rPr>
          <w:bCs/>
          <w:noProof/>
          <w:szCs w:val="24"/>
        </w:rPr>
      </w:pPr>
      <w:r>
        <w:rPr>
          <w:noProof/>
        </w:rPr>
        <w:t>1.7.</w:t>
      </w:r>
      <w:r>
        <w:rPr>
          <w:noProof/>
        </w:rPr>
        <w:tab/>
        <w:t>Modo(s) de gestión previsto(s)</w:t>
      </w:r>
      <w:r>
        <w:rPr>
          <w:rStyle w:val="FootnoteReference"/>
          <w:bCs/>
          <w:noProof/>
        </w:rPr>
        <w:footnoteReference w:id="10"/>
      </w:r>
      <w:r>
        <w:rPr>
          <w:rStyle w:val="FootnoteReference"/>
          <w:noProof/>
        </w:rPr>
        <w:t xml:space="preserve">  </w:t>
      </w:r>
    </w:p>
    <w:p>
      <w:pPr>
        <w:pStyle w:val="Text1"/>
        <w:rPr>
          <w:noProof/>
        </w:rPr>
      </w:pPr>
      <w:r>
        <w:rPr>
          <w:noProof/>
        </w:rPr>
        <w:sym w:font="Wingdings" w:char="F0A8"/>
      </w:r>
      <w:r>
        <w:rPr>
          <w:i/>
          <w:noProof/>
        </w:rPr>
        <w:t xml:space="preserve"> </w:t>
      </w:r>
      <w:r>
        <w:rPr>
          <w:b/>
          <w:noProof/>
        </w:rPr>
        <w:t>Gestión directa</w:t>
      </w:r>
      <w:r>
        <w:rPr>
          <w:noProof/>
        </w:rPr>
        <w:t xml:space="preserve"> a cargo de la Comisión</w:t>
      </w:r>
    </w:p>
    <w:p>
      <w:pPr>
        <w:pStyle w:val="ListDash2"/>
        <w:rPr>
          <w:rFonts w:cs="EUAlbertina"/>
          <w:noProof/>
        </w:rPr>
      </w:pPr>
      <w:r>
        <w:rPr>
          <w:noProof/>
        </w:rPr>
        <w:sym w:font="Wingdings" w:char="F0A8"/>
      </w:r>
      <w:r>
        <w:rPr>
          <w:noProof/>
        </w:rPr>
        <w:t xml:space="preserve"> por sus servicios, incluido su personal en las Delegaciones de la Unión; </w:t>
      </w:r>
    </w:p>
    <w:p>
      <w:pPr>
        <w:pStyle w:val="ListDash2"/>
        <w:rPr>
          <w:noProof/>
        </w:rPr>
      </w:pPr>
      <w:r>
        <w:rPr>
          <w:noProof/>
        </w:rPr>
        <w:sym w:font="Wingdings" w:char="F0A8"/>
      </w:r>
      <w:r>
        <w:rPr>
          <w:noProof/>
        </w:rPr>
        <w:tab/>
        <w:t xml:space="preserve">por las agencias ejecutivas. </w:t>
      </w:r>
    </w:p>
    <w:p>
      <w:pPr>
        <w:pStyle w:val="Text1"/>
        <w:rPr>
          <w:noProof/>
        </w:rPr>
      </w:pPr>
      <w:r>
        <w:rPr>
          <w:noProof/>
        </w:rPr>
        <w:sym w:font="Wingdings" w:char="F078"/>
      </w:r>
      <w:r>
        <w:rPr>
          <w:b/>
          <w:i/>
          <w:noProof/>
        </w:rPr>
        <w:t xml:space="preserve"> </w:t>
      </w:r>
      <w:r>
        <w:rPr>
          <w:b/>
          <w:noProof/>
        </w:rPr>
        <w:t>Gestión compartida</w:t>
      </w:r>
      <w:r>
        <w:rPr>
          <w:noProof/>
        </w:rPr>
        <w:t xml:space="preserve"> con los Estados miembros </w:t>
      </w:r>
    </w:p>
    <w:p>
      <w:pPr>
        <w:pStyle w:val="Text1"/>
        <w:rPr>
          <w:noProof/>
        </w:rPr>
      </w:pPr>
      <w:r>
        <w:rPr>
          <w:noProof/>
        </w:rPr>
        <w:sym w:font="Wingdings" w:char="F0A8"/>
      </w:r>
      <w:r>
        <w:rPr>
          <w:i/>
          <w:noProof/>
        </w:rPr>
        <w:t xml:space="preserve"> </w:t>
      </w:r>
      <w:r>
        <w:rPr>
          <w:b/>
          <w:noProof/>
        </w:rPr>
        <w:t>Gestión indirecta</w:t>
      </w:r>
      <w:r>
        <w:rPr>
          <w:noProof/>
        </w:rPr>
        <w:t xml:space="preserve"> mediante delegación de tareas de ejecución presupuestaria en:</w:t>
      </w:r>
    </w:p>
    <w:p>
      <w:pPr>
        <w:pStyle w:val="ListDash2"/>
        <w:rPr>
          <w:noProof/>
        </w:rPr>
      </w:pPr>
      <w:r>
        <w:rPr>
          <w:noProof/>
        </w:rPr>
        <w:sym w:font="Wingdings" w:char="F0A8"/>
      </w:r>
      <w:r>
        <w:rPr>
          <w:noProof/>
        </w:rPr>
        <w:t xml:space="preserve"> terceros países o los organismos que estos hayan designado;</w:t>
      </w:r>
    </w:p>
    <w:p>
      <w:pPr>
        <w:pStyle w:val="ListDash2"/>
        <w:rPr>
          <w:noProof/>
        </w:rPr>
      </w:pPr>
      <w:r>
        <w:rPr>
          <w:noProof/>
        </w:rPr>
        <w:sym w:font="Wingdings" w:char="F0A8"/>
      </w:r>
      <w:r>
        <w:rPr>
          <w:noProof/>
        </w:rPr>
        <w:t xml:space="preserve"> organizaciones internacionales y sus agencias (especifíquense);</w:t>
      </w:r>
    </w:p>
    <w:p>
      <w:pPr>
        <w:pStyle w:val="ListDash2"/>
        <w:rPr>
          <w:noProof/>
        </w:rPr>
      </w:pPr>
      <w:r>
        <w:rPr>
          <w:noProof/>
        </w:rPr>
        <w:sym w:font="Wingdings" w:char="F0A8"/>
      </w:r>
      <w:r>
        <w:rPr>
          <w:noProof/>
        </w:rPr>
        <w:t xml:space="preserve"> el BEI y el Fondo Europeo de Inversiones;</w:t>
      </w:r>
    </w:p>
    <w:p>
      <w:pPr>
        <w:pStyle w:val="ListDash2"/>
        <w:rPr>
          <w:noProof/>
        </w:rPr>
      </w:pPr>
      <w:r>
        <w:rPr>
          <w:noProof/>
        </w:rPr>
        <w:sym w:font="Wingdings" w:char="F0A8"/>
      </w:r>
      <w:r>
        <w:rPr>
          <w:noProof/>
        </w:rPr>
        <w:t xml:space="preserve"> los organismos a que se hace referencia en los artículos 208 y 209 del Reglamento Financiero;</w:t>
      </w:r>
    </w:p>
    <w:p>
      <w:pPr>
        <w:pStyle w:val="ListDash2"/>
        <w:rPr>
          <w:noProof/>
        </w:rPr>
      </w:pPr>
      <w:r>
        <w:rPr>
          <w:noProof/>
        </w:rPr>
        <w:sym w:font="Wingdings" w:char="F0A8"/>
      </w:r>
      <w:r>
        <w:rPr>
          <w:noProof/>
        </w:rPr>
        <w:t xml:space="preserve"> organismos de Derecho público;</w:t>
      </w:r>
    </w:p>
    <w:p>
      <w:pPr>
        <w:pStyle w:val="ListDash2"/>
        <w:rPr>
          <w:noProof/>
        </w:rPr>
      </w:pPr>
      <w:r>
        <w:rPr>
          <w:noProof/>
        </w:rPr>
        <w:sym w:font="Wingdings" w:char="F0A8"/>
      </w:r>
      <w:r>
        <w:rPr>
          <w:noProof/>
        </w:rPr>
        <w:t xml:space="preserve"> organismos de Derecho privado investidos de una misión de servicio público, en la medida en que presenten garantías financieras suficientes;</w:t>
      </w:r>
    </w:p>
    <w:p>
      <w:pPr>
        <w:pStyle w:val="ListDash2"/>
        <w:rPr>
          <w:noProof/>
        </w:rPr>
      </w:pPr>
      <w:r>
        <w:rPr>
          <w:noProof/>
        </w:rPr>
        <w:sym w:font="Wingdings" w:char="F0A8"/>
      </w:r>
      <w:r>
        <w:rPr>
          <w:noProof/>
        </w:rPr>
        <w:t xml:space="preserve"> organismos de Derecho privado de un Estado miembro a los que se haya encomendado la ejecución de una colaboración público-privada y que presenten garantías financieras suficientes;</w:t>
      </w:r>
    </w:p>
    <w:p>
      <w:pPr>
        <w:pStyle w:val="ListDash2"/>
        <w:rPr>
          <w:noProof/>
        </w:rPr>
      </w:pPr>
      <w:r>
        <w:rPr>
          <w:noProof/>
        </w:rPr>
        <w:sym w:font="Wingdings" w:char="F0A8"/>
      </w:r>
      <w:r>
        <w:rPr>
          <w:noProof/>
        </w:rPr>
        <w:t xml:space="preserve"> personas a quienes se haya encomendado la ejecución de acciones específicas en el marco de la PESC, de conformidad con el título V del Tratado de la Unión Europea, y que estén identificadas en el acto de base correspondiente.</w:t>
      </w:r>
    </w:p>
    <w:p>
      <w:pPr>
        <w:pStyle w:val="ListDash2"/>
        <w:rPr>
          <w:i/>
          <w:noProof/>
          <w:sz w:val="18"/>
          <w:u w:val="single"/>
        </w:rPr>
      </w:pPr>
      <w:r>
        <w:rPr>
          <w:i/>
          <w:noProof/>
          <w:sz w:val="18"/>
        </w:rPr>
        <w:t>Si se indica más de un modo de gestión, facilítense los detalles en el recuadro de observaciones.</w:t>
      </w:r>
    </w:p>
    <w:p>
      <w:pPr>
        <w:rPr>
          <w:noProof/>
        </w:rPr>
      </w:pPr>
      <w:r>
        <w:rPr>
          <w:noProof/>
        </w:rPr>
        <w:t xml:space="preserve">Observaciones </w:t>
      </w:r>
    </w:p>
    <w:p>
      <w:pPr>
        <w:pBdr>
          <w:top w:val="single" w:sz="4" w:space="1" w:color="auto"/>
          <w:left w:val="single" w:sz="4" w:space="4" w:color="auto"/>
          <w:bottom w:val="single" w:sz="4" w:space="1" w:color="auto"/>
          <w:right w:val="single" w:sz="4" w:space="4" w:color="auto"/>
        </w:pBdr>
        <w:rPr>
          <w:noProof/>
        </w:rPr>
      </w:pPr>
      <w:r>
        <w:rPr>
          <w:noProof/>
        </w:rPr>
        <w:t>No aplicable</w:t>
      </w:r>
    </w:p>
    <w:p>
      <w:pPr>
        <w:pStyle w:val="ManualHeading1"/>
        <w:rPr>
          <w:bCs/>
          <w:noProof/>
          <w:szCs w:val="24"/>
        </w:rPr>
      </w:pPr>
      <w:r>
        <w:rPr>
          <w:noProof/>
        </w:rPr>
        <w:t>2.</w:t>
      </w:r>
      <w:r>
        <w:rPr>
          <w:noProof/>
        </w:rPr>
        <w:tab/>
        <w:t xml:space="preserve">MEDIDAS DE GESTIÓN </w:t>
      </w:r>
    </w:p>
    <w:p>
      <w:pPr>
        <w:pStyle w:val="ManualHeading2"/>
        <w:rPr>
          <w:noProof/>
        </w:rPr>
      </w:pPr>
      <w:r>
        <w:rPr>
          <w:noProof/>
        </w:rPr>
        <w:t>2.1.</w:t>
      </w:r>
      <w:r>
        <w:rPr>
          <w:noProof/>
        </w:rPr>
        <w:tab/>
        <w:t xml:space="preserve">Disposiciones en materia de seguimiento e informes </w:t>
      </w:r>
    </w:p>
    <w:p>
      <w:pPr>
        <w:pStyle w:val="Text1"/>
        <w:rPr>
          <w:i/>
          <w:noProof/>
          <w:sz w:val="20"/>
          <w:u w:val="single"/>
        </w:rPr>
      </w:pPr>
      <w:r>
        <w:rPr>
          <w:i/>
          <w:noProof/>
          <w:sz w:val="20"/>
        </w:rPr>
        <w:t>Especifíquense la frecuencia y las condiciones de dichas disposiciones.</w:t>
      </w:r>
    </w:p>
    <w:p>
      <w:pPr>
        <w:pStyle w:val="Text1"/>
        <w:pBdr>
          <w:top w:val="single" w:sz="4" w:space="1" w:color="auto"/>
          <w:left w:val="single" w:sz="4" w:space="4" w:color="auto"/>
          <w:bottom w:val="single" w:sz="4" w:space="1" w:color="auto"/>
          <w:right w:val="single" w:sz="4" w:space="4" w:color="auto"/>
        </w:pBdr>
        <w:rPr>
          <w:noProof/>
        </w:rPr>
      </w:pPr>
      <w:r>
        <w:rPr>
          <w:noProof/>
        </w:rPr>
        <w:t>No aplicable</w:t>
      </w:r>
    </w:p>
    <w:p>
      <w:pPr>
        <w:pStyle w:val="ManualHeading2"/>
        <w:rPr>
          <w:bCs/>
          <w:noProof/>
          <w:szCs w:val="24"/>
        </w:rPr>
      </w:pPr>
      <w:r>
        <w:rPr>
          <w:noProof/>
        </w:rPr>
        <w:t>2.2.</w:t>
      </w:r>
      <w:r>
        <w:rPr>
          <w:noProof/>
        </w:rPr>
        <w:tab/>
        <w:t xml:space="preserve">Sistema de gestión y de control </w:t>
      </w:r>
    </w:p>
    <w:p>
      <w:pPr>
        <w:pStyle w:val="ManualHeading3"/>
        <w:rPr>
          <w:noProof/>
        </w:rPr>
      </w:pPr>
      <w:r>
        <w:rPr>
          <w:noProof/>
        </w:rPr>
        <w:t>2.2.1.</w:t>
      </w:r>
      <w:r>
        <w:rPr>
          <w:noProof/>
        </w:rPr>
        <w:tab/>
        <w:t xml:space="preserve">Riesgo(s) definido(s) </w:t>
      </w:r>
    </w:p>
    <w:p>
      <w:pPr>
        <w:pStyle w:val="Text1"/>
        <w:pBdr>
          <w:top w:val="single" w:sz="4" w:space="1" w:color="auto"/>
          <w:left w:val="single" w:sz="4" w:space="4" w:color="auto"/>
          <w:bottom w:val="single" w:sz="4" w:space="1" w:color="auto"/>
          <w:right w:val="single" w:sz="4" w:space="4" w:color="auto"/>
        </w:pBdr>
        <w:rPr>
          <w:noProof/>
        </w:rPr>
      </w:pPr>
      <w:r>
        <w:rPr>
          <w:noProof/>
        </w:rPr>
        <w:t>No aplicable</w:t>
      </w:r>
    </w:p>
    <w:p>
      <w:pPr>
        <w:pStyle w:val="ManualHeading3"/>
        <w:rPr>
          <w:bCs/>
          <w:noProof/>
          <w:szCs w:val="24"/>
        </w:rPr>
      </w:pPr>
      <w:r>
        <w:rPr>
          <w:noProof/>
        </w:rPr>
        <w:t>2.2.2.</w:t>
      </w:r>
      <w:r>
        <w:rPr>
          <w:noProof/>
        </w:rPr>
        <w:tab/>
        <w:t>Información relativa al sistema de control interno establecido</w:t>
      </w:r>
    </w:p>
    <w:p>
      <w:pPr>
        <w:pStyle w:val="Text1"/>
        <w:pBdr>
          <w:top w:val="single" w:sz="4" w:space="1" w:color="auto"/>
          <w:left w:val="single" w:sz="4" w:space="4" w:color="auto"/>
          <w:bottom w:val="single" w:sz="4" w:space="1" w:color="auto"/>
          <w:right w:val="single" w:sz="4" w:space="4" w:color="auto"/>
        </w:pBdr>
        <w:rPr>
          <w:noProof/>
        </w:rPr>
      </w:pPr>
      <w:r>
        <w:rPr>
          <w:noProof/>
        </w:rPr>
        <w:t>No aplicable</w:t>
      </w:r>
    </w:p>
    <w:p>
      <w:pPr>
        <w:pStyle w:val="ManualHeading3"/>
        <w:rPr>
          <w:noProof/>
        </w:rPr>
      </w:pPr>
      <w:r>
        <w:rPr>
          <w:noProof/>
        </w:rPr>
        <w:t>2.2.3.</w:t>
      </w:r>
      <w:r>
        <w:rPr>
          <w:noProof/>
        </w:rPr>
        <w:tab/>
        <w:t xml:space="preserve">Estimación de los costes y beneficios de los controles y evaluación del nivel de riesgo de error esperado </w:t>
      </w:r>
    </w:p>
    <w:p>
      <w:pPr>
        <w:pStyle w:val="Text1"/>
        <w:pBdr>
          <w:top w:val="single" w:sz="4" w:space="1" w:color="auto"/>
          <w:left w:val="single" w:sz="4" w:space="4" w:color="auto"/>
          <w:bottom w:val="single" w:sz="4" w:space="1" w:color="auto"/>
          <w:right w:val="single" w:sz="4" w:space="4" w:color="auto"/>
        </w:pBdr>
        <w:rPr>
          <w:noProof/>
        </w:rPr>
      </w:pPr>
      <w:r>
        <w:rPr>
          <w:noProof/>
        </w:rPr>
        <w:t>No aplicable</w:t>
      </w:r>
    </w:p>
    <w:p>
      <w:pPr>
        <w:pStyle w:val="ManualHeading2"/>
        <w:rPr>
          <w:bCs/>
          <w:noProof/>
          <w:szCs w:val="24"/>
        </w:rPr>
      </w:pPr>
      <w:r>
        <w:rPr>
          <w:noProof/>
        </w:rPr>
        <w:t>2.3.</w:t>
      </w:r>
      <w:r>
        <w:rPr>
          <w:noProof/>
        </w:rPr>
        <w:tab/>
        <w:t xml:space="preserve">Medidas de prevención del fraude y de las irregularidades </w:t>
      </w:r>
    </w:p>
    <w:p>
      <w:pPr>
        <w:pStyle w:val="Text1"/>
        <w:rPr>
          <w:i/>
          <w:noProof/>
          <w:sz w:val="20"/>
        </w:rPr>
      </w:pPr>
      <w:r>
        <w:rPr>
          <w:i/>
          <w:noProof/>
          <w:sz w:val="20"/>
        </w:rPr>
        <w:t>Especifíquense las medidas de prevención y protección existentes o previstas.</w:t>
      </w:r>
    </w:p>
    <w:p>
      <w:pPr>
        <w:pStyle w:val="Text1"/>
        <w:pBdr>
          <w:top w:val="single" w:sz="4" w:space="1" w:color="auto"/>
          <w:left w:val="single" w:sz="4" w:space="4" w:color="auto"/>
          <w:bottom w:val="single" w:sz="4" w:space="1" w:color="auto"/>
          <w:right w:val="single" w:sz="4" w:space="4" w:color="auto"/>
        </w:pBdr>
        <w:rPr>
          <w:noProof/>
        </w:rPr>
      </w:pPr>
      <w:r>
        <w:rPr>
          <w:noProof/>
        </w:rPr>
        <w:t>No aplicable</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rPr>
          <w:noProof/>
        </w:rPr>
        <w:t>3.</w:t>
      </w:r>
      <w:r>
        <w:rPr>
          <w:noProof/>
        </w:rPr>
        <w:tab/>
        <w:t xml:space="preserve">INCIDENCIA FINANCIERA ESTIMADA DE LA PROPUESTA/INICIATIVA </w:t>
      </w:r>
    </w:p>
    <w:p>
      <w:pPr>
        <w:pStyle w:val="ManualHeading2"/>
        <w:rPr>
          <w:noProof/>
        </w:rPr>
      </w:pPr>
      <w:r>
        <w:rPr>
          <w:noProof/>
        </w:rPr>
        <w:t>3.1.</w:t>
      </w:r>
      <w:r>
        <w:rPr>
          <w:noProof/>
        </w:rPr>
        <w:tab/>
        <w:t xml:space="preserve">Rúbrica(s) del marco financiero plurianual y línea(s) presupuestaria(s) de gastos afectada(s) </w:t>
      </w:r>
    </w:p>
    <w:p>
      <w:pPr>
        <w:pStyle w:val="ListBullet1"/>
        <w:rPr>
          <w:noProof/>
        </w:rPr>
      </w:pPr>
      <w:r>
        <w:rPr>
          <w:noProof/>
        </w:rPr>
        <w:t xml:space="preserve">Líneas presupuestarias existentes </w:t>
      </w:r>
    </w:p>
    <w:p>
      <w:pPr>
        <w:pStyle w:val="Text1"/>
        <w:rPr>
          <w:noProof/>
        </w:rPr>
      </w:pPr>
      <w:r>
        <w:rPr>
          <w:noProof/>
          <w:u w:val="single"/>
        </w:rPr>
        <w:t>En el orden</w:t>
      </w:r>
      <w:r>
        <w:rPr>
          <w:noProof/>
        </w:rPr>
        <w:t xml:space="preserve"> de las rúbricas del marco financiero plurianual y las líneas presupuestarias.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rPr>
            </w:pPr>
            <w:r>
              <w:rPr>
                <w:noProof/>
                <w:sz w:val="18"/>
              </w:rPr>
              <w:t>Rúbrica del marco financiero plurianual</w:t>
            </w:r>
          </w:p>
        </w:tc>
        <w:tc>
          <w:tcPr>
            <w:tcW w:w="3960" w:type="dxa"/>
            <w:vAlign w:val="center"/>
          </w:tcPr>
          <w:p>
            <w:pPr>
              <w:spacing w:before="60" w:after="60"/>
              <w:jc w:val="center"/>
              <w:rPr>
                <w:noProof/>
              </w:rPr>
            </w:pPr>
            <w:r>
              <w:rPr>
                <w:noProof/>
                <w:sz w:val="20"/>
              </w:rPr>
              <w:t>Línea presupuestaria</w:t>
            </w:r>
          </w:p>
        </w:tc>
        <w:tc>
          <w:tcPr>
            <w:tcW w:w="1080" w:type="dxa"/>
            <w:vAlign w:val="center"/>
          </w:tcPr>
          <w:p>
            <w:pPr>
              <w:spacing w:before="60" w:after="60"/>
              <w:jc w:val="center"/>
              <w:rPr>
                <w:noProof/>
              </w:rPr>
            </w:pPr>
            <w:r>
              <w:rPr>
                <w:noProof/>
                <w:sz w:val="18"/>
              </w:rPr>
              <w:t xml:space="preserve">Tipo </w:t>
            </w:r>
            <w:r>
              <w:rPr>
                <w:noProof/>
              </w:rPr>
              <w:br/>
            </w:r>
            <w:r>
              <w:rPr>
                <w:noProof/>
                <w:sz w:val="18"/>
              </w:rPr>
              <w:t>de gasto</w:t>
            </w:r>
          </w:p>
        </w:tc>
        <w:tc>
          <w:tcPr>
            <w:tcW w:w="4440" w:type="dxa"/>
            <w:gridSpan w:val="4"/>
            <w:vAlign w:val="center"/>
          </w:tcPr>
          <w:p>
            <w:pPr>
              <w:spacing w:before="60" w:after="60"/>
              <w:jc w:val="center"/>
              <w:rPr>
                <w:noProof/>
              </w:rPr>
            </w:pPr>
            <w:r>
              <w:rPr>
                <w:noProof/>
                <w:sz w:val="20"/>
              </w:rPr>
              <w:t xml:space="preserve">Contribución </w:t>
            </w:r>
          </w:p>
        </w:tc>
      </w:tr>
      <w:tr>
        <w:tc>
          <w:tcPr>
            <w:tcW w:w="1080" w:type="dxa"/>
            <w:vMerge/>
            <w:vAlign w:val="center"/>
          </w:tcPr>
          <w:p>
            <w:pPr>
              <w:jc w:val="center"/>
              <w:rPr>
                <w:noProof/>
              </w:rPr>
            </w:pPr>
          </w:p>
        </w:tc>
        <w:tc>
          <w:tcPr>
            <w:tcW w:w="3960" w:type="dxa"/>
            <w:vAlign w:val="center"/>
          </w:tcPr>
          <w:p>
            <w:pPr>
              <w:rPr>
                <w:noProof/>
              </w:rPr>
            </w:pPr>
            <w:r>
              <w:rPr>
                <w:noProof/>
                <w:sz w:val="20"/>
              </w:rPr>
              <w:t xml:space="preserve">Número </w:t>
            </w:r>
            <w:r>
              <w:rPr>
                <w:noProof/>
              </w:rPr>
              <w:br/>
            </w:r>
            <w:r>
              <w:rPr>
                <w:noProof/>
                <w:sz w:val="20"/>
              </w:rPr>
              <w:t>[Rúbrica………………………...……………]</w:t>
            </w:r>
          </w:p>
        </w:tc>
        <w:tc>
          <w:tcPr>
            <w:tcW w:w="1080" w:type="dxa"/>
            <w:vAlign w:val="center"/>
          </w:tcPr>
          <w:p>
            <w:pPr>
              <w:jc w:val="center"/>
              <w:rPr>
                <w:noProof/>
              </w:rPr>
            </w:pPr>
            <w:r>
              <w:rPr>
                <w:noProof/>
                <w:sz w:val="18"/>
              </w:rPr>
              <w:t>CD/CND</w:t>
            </w:r>
            <w:r>
              <w:rPr>
                <w:rStyle w:val="FootnoteReference"/>
                <w:noProof/>
                <w:sz w:val="18"/>
              </w:rPr>
              <w:footnoteReference w:id="11"/>
            </w:r>
          </w:p>
        </w:tc>
        <w:tc>
          <w:tcPr>
            <w:tcW w:w="956" w:type="dxa"/>
            <w:vAlign w:val="center"/>
          </w:tcPr>
          <w:p>
            <w:pPr>
              <w:jc w:val="center"/>
              <w:rPr>
                <w:noProof/>
              </w:rPr>
            </w:pPr>
            <w:r>
              <w:rPr>
                <w:noProof/>
                <w:sz w:val="18"/>
              </w:rPr>
              <w:t>de países AELC</w:t>
            </w:r>
            <w:r>
              <w:rPr>
                <w:rStyle w:val="FootnoteReference"/>
                <w:noProof/>
                <w:sz w:val="18"/>
              </w:rPr>
              <w:footnoteReference w:id="12"/>
            </w:r>
          </w:p>
          <w:p>
            <w:pPr>
              <w:spacing w:before="0" w:after="0"/>
              <w:jc w:val="center"/>
              <w:rPr>
                <w:b/>
                <w:noProof/>
                <w:sz w:val="18"/>
              </w:rPr>
            </w:pPr>
          </w:p>
        </w:tc>
        <w:tc>
          <w:tcPr>
            <w:tcW w:w="1080" w:type="dxa"/>
            <w:vAlign w:val="center"/>
          </w:tcPr>
          <w:p>
            <w:pPr>
              <w:jc w:val="center"/>
              <w:rPr>
                <w:noProof/>
              </w:rPr>
            </w:pPr>
            <w:r>
              <w:rPr>
                <w:noProof/>
                <w:sz w:val="18"/>
              </w:rPr>
              <w:t>de países candidatos</w:t>
            </w:r>
            <w:r>
              <w:rPr>
                <w:rStyle w:val="FootnoteReference"/>
                <w:noProof/>
                <w:sz w:val="18"/>
              </w:rPr>
              <w:footnoteReference w:id="13"/>
            </w:r>
          </w:p>
          <w:p>
            <w:pPr>
              <w:spacing w:before="0" w:after="0"/>
              <w:jc w:val="center"/>
              <w:rPr>
                <w:noProof/>
                <w:sz w:val="18"/>
              </w:rPr>
            </w:pPr>
          </w:p>
        </w:tc>
        <w:tc>
          <w:tcPr>
            <w:tcW w:w="956" w:type="dxa"/>
            <w:vAlign w:val="center"/>
          </w:tcPr>
          <w:p>
            <w:pPr>
              <w:jc w:val="center"/>
              <w:rPr>
                <w:noProof/>
                <w:sz w:val="18"/>
              </w:rPr>
            </w:pPr>
            <w:r>
              <w:rPr>
                <w:noProof/>
                <w:sz w:val="18"/>
              </w:rPr>
              <w:t>de terceros países</w:t>
            </w:r>
          </w:p>
        </w:tc>
        <w:tc>
          <w:tcPr>
            <w:tcW w:w="1448" w:type="dxa"/>
            <w:vAlign w:val="center"/>
          </w:tcPr>
          <w:p>
            <w:pPr>
              <w:jc w:val="center"/>
              <w:rPr>
                <w:noProof/>
              </w:rPr>
            </w:pPr>
            <w:r>
              <w:rPr>
                <w:noProof/>
                <w:sz w:val="16"/>
              </w:rPr>
              <w:t xml:space="preserve">a efectos de lo dispuesto en el artículo 21, apartado 2, letra b), del Reglamento Financiero </w:t>
            </w:r>
          </w:p>
        </w:tc>
      </w:tr>
      <w:tr>
        <w:tc>
          <w:tcPr>
            <w:tcW w:w="1080" w:type="dxa"/>
            <w:shd w:val="clear" w:color="auto" w:fill="auto"/>
            <w:vAlign w:val="center"/>
          </w:tcPr>
          <w:p>
            <w:pPr>
              <w:jc w:val="center"/>
              <w:rPr>
                <w:noProof/>
              </w:rPr>
            </w:pPr>
            <w:r>
              <w:rPr>
                <w:noProof/>
              </w:rPr>
              <w:t>1b Crecimiento inteligente e integrador:</w:t>
            </w:r>
          </w:p>
          <w:p>
            <w:pPr>
              <w:jc w:val="center"/>
              <w:rPr>
                <w:noProof/>
                <w:color w:val="0000FF"/>
                <w:sz w:val="22"/>
              </w:rPr>
            </w:pPr>
            <w:r>
              <w:rPr>
                <w:noProof/>
                <w:sz w:val="22"/>
              </w:rPr>
              <w:t xml:space="preserve"> Fondo Europeo de Desarrollo Regional, Fondo Social Europeo, Fondo de Cohesión</w:t>
            </w:r>
          </w:p>
        </w:tc>
        <w:tc>
          <w:tcPr>
            <w:tcW w:w="3960" w:type="dxa"/>
            <w:vAlign w:val="center"/>
          </w:tcPr>
          <w:p>
            <w:pPr>
              <w:spacing w:after="60"/>
              <w:rPr>
                <w:noProof/>
              </w:rPr>
            </w:pPr>
            <w:r>
              <w:rPr>
                <w:noProof/>
              </w:rPr>
              <w:t>4 Empleo, asuntos sociales e inclusión</w:t>
            </w:r>
          </w:p>
          <w:p>
            <w:pPr>
              <w:spacing w:after="60"/>
              <w:rPr>
                <w:noProof/>
              </w:rPr>
            </w:pPr>
            <w:r>
              <w:rPr>
                <w:noProof/>
              </w:rPr>
              <w:t xml:space="preserve">13 Política regional y urbana </w:t>
            </w:r>
          </w:p>
          <w:p>
            <w:pPr>
              <w:spacing w:after="60"/>
              <w:rPr>
                <w:noProof/>
              </w:rPr>
            </w:pPr>
          </w:p>
          <w:p>
            <w:pPr>
              <w:spacing w:after="60"/>
              <w:rPr>
                <w:noProof/>
              </w:rPr>
            </w:pPr>
          </w:p>
          <w:p>
            <w:pPr>
              <w:spacing w:after="60"/>
              <w:rPr>
                <w:noProof/>
              </w:rPr>
            </w:pPr>
          </w:p>
          <w:p>
            <w:pPr>
              <w:spacing w:after="60"/>
              <w:rPr>
                <w:noProof/>
              </w:rPr>
            </w:pPr>
          </w:p>
          <w:p>
            <w:pPr>
              <w:spacing w:after="60"/>
              <w:rPr>
                <w:noProof/>
              </w:rPr>
            </w:pPr>
          </w:p>
        </w:tc>
        <w:tc>
          <w:tcPr>
            <w:tcW w:w="1080" w:type="dxa"/>
            <w:vAlign w:val="center"/>
          </w:tcPr>
          <w:p>
            <w:pPr>
              <w:jc w:val="center"/>
              <w:rPr>
                <w:noProof/>
                <w:color w:val="0000FF"/>
              </w:rPr>
            </w:pPr>
            <w:r>
              <w:rPr>
                <w:noProof/>
              </w:rPr>
              <w:t>CD</w:t>
            </w:r>
          </w:p>
        </w:tc>
        <w:tc>
          <w:tcPr>
            <w:tcW w:w="956" w:type="dxa"/>
            <w:vAlign w:val="center"/>
          </w:tcPr>
          <w:p>
            <w:pPr>
              <w:jc w:val="center"/>
              <w:rPr>
                <w:noProof/>
              </w:rPr>
            </w:pPr>
            <w:r>
              <w:rPr>
                <w:noProof/>
              </w:rPr>
              <w:t>NO</w:t>
            </w:r>
          </w:p>
        </w:tc>
        <w:tc>
          <w:tcPr>
            <w:tcW w:w="1080" w:type="dxa"/>
            <w:vAlign w:val="center"/>
          </w:tcPr>
          <w:p>
            <w:pPr>
              <w:jc w:val="center"/>
              <w:rPr>
                <w:noProof/>
              </w:rPr>
            </w:pPr>
            <w:r>
              <w:rPr>
                <w:noProof/>
              </w:rPr>
              <w:t>NO</w:t>
            </w:r>
          </w:p>
        </w:tc>
        <w:tc>
          <w:tcPr>
            <w:tcW w:w="956" w:type="dxa"/>
            <w:vAlign w:val="center"/>
          </w:tcPr>
          <w:p>
            <w:pPr>
              <w:jc w:val="center"/>
              <w:rPr>
                <w:noProof/>
              </w:rPr>
            </w:pPr>
            <w:r>
              <w:rPr>
                <w:noProof/>
              </w:rPr>
              <w:t>NO</w:t>
            </w:r>
          </w:p>
        </w:tc>
        <w:tc>
          <w:tcPr>
            <w:tcW w:w="1448" w:type="dxa"/>
            <w:vAlign w:val="center"/>
          </w:tcPr>
          <w:p>
            <w:pPr>
              <w:jc w:val="center"/>
              <w:rPr>
                <w:noProof/>
              </w:rPr>
            </w:pPr>
            <w:r>
              <w:rPr>
                <w:noProof/>
              </w:rPr>
              <w:t>NO</w:t>
            </w:r>
          </w:p>
        </w:tc>
      </w:tr>
    </w:tbl>
    <w:p>
      <w:pPr>
        <w:rPr>
          <w:noProof/>
        </w:rPr>
      </w:pPr>
    </w:p>
    <w:p>
      <w:pPr>
        <w:pStyle w:val="ListBullet1"/>
        <w:rPr>
          <w:noProof/>
        </w:rPr>
      </w:pPr>
      <w:r>
        <w:rPr>
          <w:noProof/>
        </w:rPr>
        <w:t xml:space="preserve">Nuevas líneas presupuestarias solicitadas </w:t>
      </w:r>
    </w:p>
    <w:p>
      <w:pPr>
        <w:pStyle w:val="Text1"/>
        <w:rPr>
          <w:i/>
          <w:noProof/>
          <w:sz w:val="20"/>
        </w:rPr>
      </w:pPr>
      <w:r>
        <w:rPr>
          <w:i/>
          <w:noProof/>
          <w:u w:val="single"/>
        </w:rPr>
        <w:t>En el orden</w:t>
      </w:r>
      <w:r>
        <w:rPr>
          <w:i/>
          <w:noProof/>
        </w:rPr>
        <w:t xml:space="preserve"> de las rúbricas del marco financiero plurianual y las líneas presupuestarias.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18"/>
                <w:szCs w:val="18"/>
              </w:rPr>
            </w:pPr>
            <w:r>
              <w:rPr>
                <w:noProof/>
                <w:sz w:val="18"/>
              </w:rPr>
              <w:t>Rúbrica del marco financiero plurianual</w:t>
            </w:r>
          </w:p>
        </w:tc>
        <w:tc>
          <w:tcPr>
            <w:tcW w:w="3960" w:type="dxa"/>
            <w:vAlign w:val="center"/>
          </w:tcPr>
          <w:p>
            <w:pPr>
              <w:spacing w:before="60" w:after="60"/>
              <w:jc w:val="center"/>
              <w:rPr>
                <w:noProof/>
              </w:rPr>
            </w:pPr>
            <w:r>
              <w:rPr>
                <w:noProof/>
                <w:sz w:val="20"/>
              </w:rPr>
              <w:t>Línea presupuestaria</w:t>
            </w:r>
          </w:p>
        </w:tc>
        <w:tc>
          <w:tcPr>
            <w:tcW w:w="1080" w:type="dxa"/>
            <w:vAlign w:val="center"/>
          </w:tcPr>
          <w:p>
            <w:pPr>
              <w:spacing w:before="60" w:after="60"/>
              <w:jc w:val="center"/>
              <w:rPr>
                <w:noProof/>
              </w:rPr>
            </w:pPr>
            <w:r>
              <w:rPr>
                <w:noProof/>
                <w:sz w:val="18"/>
              </w:rPr>
              <w:t>Tipo</w:t>
            </w:r>
            <w:r>
              <w:rPr>
                <w:noProof/>
              </w:rPr>
              <w:br/>
            </w:r>
            <w:r>
              <w:rPr>
                <w:noProof/>
                <w:sz w:val="18"/>
              </w:rPr>
              <w:t>de gasto</w:t>
            </w:r>
          </w:p>
        </w:tc>
        <w:tc>
          <w:tcPr>
            <w:tcW w:w="4440" w:type="dxa"/>
            <w:gridSpan w:val="4"/>
            <w:vAlign w:val="center"/>
          </w:tcPr>
          <w:p>
            <w:pPr>
              <w:spacing w:before="60" w:after="60"/>
              <w:jc w:val="center"/>
              <w:rPr>
                <w:noProof/>
              </w:rPr>
            </w:pPr>
            <w:r>
              <w:rPr>
                <w:noProof/>
                <w:sz w:val="20"/>
              </w:rPr>
              <w:t xml:space="preserve">Contribución </w:t>
            </w:r>
          </w:p>
        </w:tc>
      </w:tr>
      <w:tr>
        <w:tc>
          <w:tcPr>
            <w:tcW w:w="1080" w:type="dxa"/>
            <w:vMerge/>
            <w:vAlign w:val="center"/>
          </w:tcPr>
          <w:p>
            <w:pPr>
              <w:jc w:val="center"/>
              <w:rPr>
                <w:noProof/>
              </w:rPr>
            </w:pPr>
          </w:p>
        </w:tc>
        <w:tc>
          <w:tcPr>
            <w:tcW w:w="3960" w:type="dxa"/>
            <w:vAlign w:val="center"/>
          </w:tcPr>
          <w:p>
            <w:pPr>
              <w:rPr>
                <w:noProof/>
              </w:rPr>
            </w:pPr>
            <w:r>
              <w:rPr>
                <w:noProof/>
                <w:sz w:val="20"/>
              </w:rPr>
              <w:t xml:space="preserve">Número </w:t>
            </w:r>
            <w:r>
              <w:rPr>
                <w:noProof/>
              </w:rPr>
              <w:br/>
            </w:r>
            <w:r>
              <w:rPr>
                <w:noProof/>
                <w:sz w:val="20"/>
              </w:rPr>
              <w:t>[Rúbrica………………………...……………]</w:t>
            </w:r>
          </w:p>
        </w:tc>
        <w:tc>
          <w:tcPr>
            <w:tcW w:w="1080" w:type="dxa"/>
            <w:vAlign w:val="center"/>
          </w:tcPr>
          <w:p>
            <w:pPr>
              <w:jc w:val="center"/>
              <w:rPr>
                <w:noProof/>
              </w:rPr>
            </w:pPr>
            <w:r>
              <w:rPr>
                <w:noProof/>
                <w:sz w:val="18"/>
              </w:rPr>
              <w:t>CD/CND</w:t>
            </w:r>
          </w:p>
        </w:tc>
        <w:tc>
          <w:tcPr>
            <w:tcW w:w="956" w:type="dxa"/>
            <w:vAlign w:val="center"/>
          </w:tcPr>
          <w:p>
            <w:pPr>
              <w:jc w:val="center"/>
              <w:rPr>
                <w:noProof/>
                <w:sz w:val="18"/>
              </w:rPr>
            </w:pPr>
            <w:r>
              <w:rPr>
                <w:noProof/>
                <w:sz w:val="18"/>
              </w:rPr>
              <w:t>de países AELC</w:t>
            </w:r>
          </w:p>
        </w:tc>
        <w:tc>
          <w:tcPr>
            <w:tcW w:w="1080" w:type="dxa"/>
            <w:vAlign w:val="center"/>
          </w:tcPr>
          <w:p>
            <w:pPr>
              <w:jc w:val="center"/>
              <w:rPr>
                <w:noProof/>
                <w:sz w:val="18"/>
              </w:rPr>
            </w:pPr>
            <w:r>
              <w:rPr>
                <w:noProof/>
                <w:sz w:val="18"/>
              </w:rPr>
              <w:t>de países candidatos</w:t>
            </w:r>
          </w:p>
        </w:tc>
        <w:tc>
          <w:tcPr>
            <w:tcW w:w="956" w:type="dxa"/>
            <w:vAlign w:val="center"/>
          </w:tcPr>
          <w:p>
            <w:pPr>
              <w:jc w:val="center"/>
              <w:rPr>
                <w:noProof/>
                <w:sz w:val="18"/>
              </w:rPr>
            </w:pPr>
            <w:r>
              <w:rPr>
                <w:noProof/>
                <w:sz w:val="18"/>
              </w:rPr>
              <w:t>de terceros países</w:t>
            </w:r>
          </w:p>
        </w:tc>
        <w:tc>
          <w:tcPr>
            <w:tcW w:w="1448" w:type="dxa"/>
            <w:vAlign w:val="center"/>
          </w:tcPr>
          <w:p>
            <w:pPr>
              <w:jc w:val="center"/>
              <w:rPr>
                <w:noProof/>
              </w:rPr>
            </w:pPr>
            <w:r>
              <w:rPr>
                <w:noProof/>
                <w:sz w:val="16"/>
              </w:rPr>
              <w:t xml:space="preserve">a efectos de lo dispuesto en el artículo 21, apartado 2, letra b), del Reglamento Financiero </w:t>
            </w:r>
          </w:p>
        </w:tc>
      </w:tr>
      <w:tr>
        <w:tc>
          <w:tcPr>
            <w:tcW w:w="1080" w:type="dxa"/>
            <w:vAlign w:val="center"/>
          </w:tcPr>
          <w:p>
            <w:pPr>
              <w:jc w:val="center"/>
              <w:rPr>
                <w:noProof/>
                <w:color w:val="0000FF"/>
              </w:rPr>
            </w:pPr>
          </w:p>
        </w:tc>
        <w:tc>
          <w:tcPr>
            <w:tcW w:w="3960" w:type="dxa"/>
            <w:vAlign w:val="center"/>
          </w:tcPr>
          <w:p>
            <w:pPr>
              <w:spacing w:before="60"/>
              <w:rPr>
                <w:noProof/>
              </w:rPr>
            </w:pPr>
            <w:r>
              <w:rPr>
                <w:noProof/>
              </w:rPr>
              <w:t>[XX.YY.YY.YY]</w:t>
            </w:r>
          </w:p>
          <w:p>
            <w:pPr>
              <w:spacing w:after="60"/>
              <w:rPr>
                <w:noProof/>
                <w:color w:val="0000FF"/>
              </w:rPr>
            </w:pPr>
          </w:p>
        </w:tc>
        <w:tc>
          <w:tcPr>
            <w:tcW w:w="1080" w:type="dxa"/>
            <w:vAlign w:val="center"/>
          </w:tcPr>
          <w:p>
            <w:pPr>
              <w:jc w:val="center"/>
              <w:rPr>
                <w:noProof/>
                <w:color w:val="0000FF"/>
              </w:rPr>
            </w:pPr>
          </w:p>
        </w:tc>
        <w:tc>
          <w:tcPr>
            <w:tcW w:w="956" w:type="dxa"/>
            <w:vAlign w:val="center"/>
          </w:tcPr>
          <w:p>
            <w:pPr>
              <w:jc w:val="center"/>
              <w:rPr>
                <w:noProof/>
              </w:rPr>
            </w:pPr>
            <w:r>
              <w:rPr>
                <w:noProof/>
              </w:rPr>
              <w:t>NO</w:t>
            </w:r>
          </w:p>
        </w:tc>
        <w:tc>
          <w:tcPr>
            <w:tcW w:w="1080" w:type="dxa"/>
            <w:vAlign w:val="center"/>
          </w:tcPr>
          <w:p>
            <w:pPr>
              <w:rPr>
                <w:noProof/>
                <w:color w:val="0000FF"/>
                <w:sz w:val="18"/>
              </w:rPr>
            </w:pPr>
            <w:r>
              <w:rPr>
                <w:noProof/>
              </w:rPr>
              <w:t>NO</w:t>
            </w:r>
          </w:p>
        </w:tc>
        <w:tc>
          <w:tcPr>
            <w:tcW w:w="956" w:type="dxa"/>
            <w:vAlign w:val="center"/>
          </w:tcPr>
          <w:p>
            <w:pPr>
              <w:jc w:val="center"/>
              <w:rPr>
                <w:noProof/>
                <w:color w:val="0000FF"/>
                <w:sz w:val="18"/>
              </w:rPr>
            </w:pPr>
            <w:r>
              <w:rPr>
                <w:noProof/>
              </w:rPr>
              <w:t>NO</w:t>
            </w:r>
          </w:p>
        </w:tc>
        <w:tc>
          <w:tcPr>
            <w:tcW w:w="1448" w:type="dxa"/>
            <w:vAlign w:val="center"/>
          </w:tcPr>
          <w:p>
            <w:pPr>
              <w:rPr>
                <w:noProof/>
              </w:rPr>
            </w:pPr>
            <w:r>
              <w:rPr>
                <w:noProof/>
              </w:rPr>
              <w:t xml:space="preserve">    NO</w:t>
            </w:r>
          </w:p>
        </w:tc>
      </w:tr>
    </w:tbl>
    <w:p>
      <w:pPr>
        <w:pStyle w:val="Institutionquisigne"/>
        <w:rPr>
          <w:noProof/>
        </w:rPr>
        <w:sectPr>
          <w:pgSz w:w="11907" w:h="16839"/>
          <w:pgMar w:top="1134" w:right="1417" w:bottom="1134" w:left="1417" w:header="709" w:footer="709" w:gutter="0"/>
          <w:cols w:space="708"/>
          <w:docGrid w:linePitch="360"/>
        </w:sectPr>
      </w:pPr>
    </w:p>
    <w:p>
      <w:pPr>
        <w:pStyle w:val="ManualHeading2"/>
        <w:rPr>
          <w:bCs/>
          <w:noProof/>
          <w:szCs w:val="24"/>
        </w:rPr>
      </w:pPr>
      <w:r>
        <w:rPr>
          <w:noProof/>
        </w:rPr>
        <w:t>3.2.</w:t>
      </w:r>
      <w:r>
        <w:rPr>
          <w:noProof/>
        </w:rPr>
        <w:tab/>
        <w:t xml:space="preserve">Incidencia estimada en los gastos </w:t>
      </w:r>
    </w:p>
    <w:p>
      <w:pPr>
        <w:rPr>
          <w:noProof/>
        </w:rPr>
      </w:pPr>
      <w:r>
        <w:rPr>
          <w:noProof/>
        </w:rPr>
        <w:t xml:space="preserve">La modificación propuesta no implica cambio alguno en los límites máximos anuales del marco financiero plurianual en materia de compromisos y pagos tal como figuran en el anexo I del Reglamento (UE) n.º 1311/2013. </w:t>
      </w:r>
    </w:p>
    <w:p>
      <w:pPr>
        <w:rPr>
          <w:noProof/>
        </w:rPr>
      </w:pPr>
      <w:r>
        <w:rPr>
          <w:noProof/>
        </w:rPr>
        <w:t xml:space="preserve">El desglose anual total de los créditos de compromiso del Fondo Europeo de Desarrollo Regional, el Fondo Social Europeo y el Fondo de Cohesión no varía. </w:t>
      </w:r>
    </w:p>
    <w:p>
      <w:pPr>
        <w:rPr>
          <w:noProof/>
        </w:rPr>
      </w:pPr>
      <w:r>
        <w:rPr>
          <w:noProof/>
        </w:rPr>
        <w:t>La propuesta dará lugar a una distribución anticipada de los créditos de pago para el ejercicio contable que comienza el 1 de julio de 2020 y termina el 30 de junio de 2021, según las estimaciones que figuran a continuación.</w:t>
      </w:r>
    </w:p>
    <w:p>
      <w:pPr>
        <w:pBdr>
          <w:top w:val="nil"/>
          <w:left w:val="nil"/>
          <w:bottom w:val="nil"/>
          <w:right w:val="nil"/>
          <w:between w:val="nil"/>
          <w:bar w:val="nil"/>
        </w:pBdr>
        <w:spacing w:before="0" w:after="240"/>
        <w:rPr>
          <w:noProof/>
        </w:rPr>
      </w:pPr>
    </w:p>
    <w:p>
      <w:pPr>
        <w:pStyle w:val="ManualHeading3"/>
        <w:ind w:left="851" w:hanging="851"/>
        <w:rPr>
          <w:noProof/>
          <w:u w:val="single"/>
        </w:rPr>
      </w:pPr>
      <w:r>
        <w:rPr>
          <w:noProof/>
        </w:rPr>
        <w:t>3.2.1.</w:t>
      </w:r>
      <w:r>
        <w:rPr>
          <w:noProof/>
        </w:rPr>
        <w:tab/>
        <w:t xml:space="preserve">Resumen de la incidencia estimada en los gastos </w:t>
      </w:r>
    </w:p>
    <w:p>
      <w:pPr>
        <w:spacing w:before="0" w:after="200" w:line="276" w:lineRule="auto"/>
        <w:jc w:val="left"/>
        <w:rPr>
          <w:noProof/>
          <w:sz w:val="20"/>
        </w:rPr>
      </w:pPr>
      <w:r>
        <w:rPr>
          <w:noProof/>
        </w:rPr>
        <w:br w:type="page"/>
      </w:r>
    </w:p>
    <w:p>
      <w:pPr>
        <w:jc w:val="right"/>
        <w:rPr>
          <w:noProof/>
          <w:sz w:val="20"/>
        </w:rPr>
      </w:pPr>
      <w:r>
        <w:rPr>
          <w:noProof/>
          <w:sz w:val="20"/>
        </w:rPr>
        <w:t>En millones EUR a precios corrientes (al tercer decimal)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1"/>
        <w:gridCol w:w="1080"/>
        <w:gridCol w:w="7817"/>
      </w:tblGrid>
      <w:tr>
        <w:trPr>
          <w:jc w:val="center"/>
        </w:trPr>
        <w:tc>
          <w:tcPr>
            <w:tcW w:w="5351" w:type="dxa"/>
            <w:shd w:val="thinDiagStripe" w:color="C0C0C0" w:fill="auto"/>
            <w:vAlign w:val="center"/>
          </w:tcPr>
          <w:p>
            <w:pPr>
              <w:spacing w:before="60" w:after="60"/>
              <w:jc w:val="center"/>
              <w:rPr>
                <w:b/>
                <w:noProof/>
              </w:rPr>
            </w:pPr>
            <w:r>
              <w:rPr>
                <w:b/>
                <w:noProof/>
              </w:rPr>
              <w:t xml:space="preserve">Rúbrica del marco financiero </w:t>
            </w:r>
            <w:r>
              <w:rPr>
                <w:noProof/>
              </w:rPr>
              <w:br/>
            </w:r>
            <w:r>
              <w:rPr>
                <w:b/>
                <w:noProof/>
              </w:rPr>
              <w:t xml:space="preserve">plurianual </w:t>
            </w:r>
          </w:p>
        </w:tc>
        <w:tc>
          <w:tcPr>
            <w:tcW w:w="1080" w:type="dxa"/>
            <w:vAlign w:val="center"/>
          </w:tcPr>
          <w:p>
            <w:pPr>
              <w:spacing w:before="60" w:after="60"/>
              <w:jc w:val="center"/>
              <w:rPr>
                <w:noProof/>
              </w:rPr>
            </w:pPr>
            <w:r>
              <w:rPr>
                <w:noProof/>
                <w:sz w:val="22"/>
              </w:rPr>
              <w:t>Número</w:t>
            </w:r>
          </w:p>
          <w:p>
            <w:pPr>
              <w:spacing w:before="60" w:after="60"/>
              <w:jc w:val="center"/>
              <w:rPr>
                <w:noProof/>
              </w:rPr>
            </w:pPr>
            <w:r>
              <w:rPr>
                <w:noProof/>
                <w:sz w:val="22"/>
              </w:rPr>
              <w:t>1b</w:t>
            </w:r>
          </w:p>
        </w:tc>
        <w:tc>
          <w:tcPr>
            <w:tcW w:w="7817" w:type="dxa"/>
            <w:vAlign w:val="center"/>
          </w:tcPr>
          <w:p>
            <w:pPr>
              <w:spacing w:before="60" w:after="60"/>
              <w:rPr>
                <w:noProof/>
              </w:rPr>
            </w:pPr>
            <w:r>
              <w:rPr>
                <w:noProof/>
              </w:rPr>
              <w:t>Crecimiento inteligente e integrador</w:t>
            </w:r>
          </w:p>
        </w:tc>
      </w:tr>
    </w:tbl>
    <w:p>
      <w:pPr>
        <w:rPr>
          <w:noProof/>
          <w:sz w:val="16"/>
        </w:rPr>
      </w:pPr>
    </w:p>
    <w:tbl>
      <w:tblPr>
        <w:tblW w:w="1449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3119"/>
        <w:gridCol w:w="425"/>
        <w:gridCol w:w="709"/>
        <w:gridCol w:w="708"/>
        <w:gridCol w:w="709"/>
        <w:gridCol w:w="1276"/>
        <w:gridCol w:w="1276"/>
        <w:gridCol w:w="1275"/>
        <w:gridCol w:w="1276"/>
        <w:gridCol w:w="1518"/>
      </w:tblGrid>
      <w:tr>
        <w:tc>
          <w:tcPr>
            <w:tcW w:w="2203" w:type="dxa"/>
            <w:vAlign w:val="center"/>
          </w:tcPr>
          <w:p>
            <w:pPr>
              <w:jc w:val="center"/>
              <w:rPr>
                <w:noProof/>
              </w:rPr>
            </w:pPr>
            <w:r>
              <w:rPr>
                <w:noProof/>
                <w:sz w:val="22"/>
              </w:rPr>
              <w:t xml:space="preserve">DG: </w:t>
            </w:r>
            <w:r>
              <w:rPr>
                <w:noProof/>
              </w:rPr>
              <w:t xml:space="preserve">EMPL, REGIO </w:t>
            </w:r>
          </w:p>
        </w:tc>
        <w:tc>
          <w:tcPr>
            <w:tcW w:w="3119" w:type="dxa"/>
          </w:tcPr>
          <w:p>
            <w:pPr>
              <w:rPr>
                <w:noProof/>
                <w:sz w:val="20"/>
              </w:rPr>
            </w:pPr>
          </w:p>
        </w:tc>
        <w:tc>
          <w:tcPr>
            <w:tcW w:w="425" w:type="dxa"/>
          </w:tcPr>
          <w:p>
            <w:pPr>
              <w:jc w:val="center"/>
              <w:rPr>
                <w:noProof/>
                <w:sz w:val="20"/>
              </w:rPr>
            </w:pPr>
          </w:p>
        </w:tc>
        <w:tc>
          <w:tcPr>
            <w:tcW w:w="709" w:type="dxa"/>
          </w:tcPr>
          <w:p>
            <w:pPr>
              <w:rPr>
                <w:noProof/>
              </w:rPr>
            </w:pPr>
          </w:p>
        </w:tc>
        <w:tc>
          <w:tcPr>
            <w:tcW w:w="708" w:type="dxa"/>
          </w:tcPr>
          <w:p>
            <w:pPr>
              <w:rPr>
                <w:noProof/>
              </w:rPr>
            </w:pPr>
            <w:r>
              <w:rPr>
                <w:noProof/>
              </w:rPr>
              <w:t>2020</w:t>
            </w:r>
          </w:p>
        </w:tc>
        <w:tc>
          <w:tcPr>
            <w:tcW w:w="709" w:type="dxa"/>
          </w:tcPr>
          <w:p>
            <w:pPr>
              <w:rPr>
                <w:noProof/>
              </w:rPr>
            </w:pPr>
            <w:r>
              <w:rPr>
                <w:noProof/>
              </w:rPr>
              <w:t>2021</w:t>
            </w:r>
          </w:p>
        </w:tc>
        <w:tc>
          <w:tcPr>
            <w:tcW w:w="1276" w:type="dxa"/>
          </w:tcPr>
          <w:p>
            <w:pPr>
              <w:rPr>
                <w:noProof/>
              </w:rPr>
            </w:pPr>
            <w:r>
              <w:rPr>
                <w:noProof/>
              </w:rPr>
              <w:t>2022</w:t>
            </w:r>
          </w:p>
        </w:tc>
        <w:tc>
          <w:tcPr>
            <w:tcW w:w="1276" w:type="dxa"/>
          </w:tcPr>
          <w:p>
            <w:pPr>
              <w:rPr>
                <w:noProof/>
              </w:rPr>
            </w:pPr>
            <w:r>
              <w:rPr>
                <w:noProof/>
              </w:rPr>
              <w:t>2023</w:t>
            </w:r>
          </w:p>
        </w:tc>
        <w:tc>
          <w:tcPr>
            <w:tcW w:w="1275" w:type="dxa"/>
          </w:tcPr>
          <w:p>
            <w:pPr>
              <w:rPr>
                <w:noProof/>
              </w:rPr>
            </w:pPr>
            <w:r>
              <w:rPr>
                <w:noProof/>
              </w:rPr>
              <w:t>2024</w:t>
            </w:r>
          </w:p>
        </w:tc>
        <w:tc>
          <w:tcPr>
            <w:tcW w:w="1276" w:type="dxa"/>
          </w:tcPr>
          <w:p>
            <w:pPr>
              <w:rPr>
                <w:noProof/>
              </w:rPr>
            </w:pPr>
            <w:r>
              <w:rPr>
                <w:noProof/>
              </w:rPr>
              <w:t>2025</w:t>
            </w:r>
          </w:p>
        </w:tc>
        <w:tc>
          <w:tcPr>
            <w:tcW w:w="1518" w:type="dxa"/>
            <w:vAlign w:val="center"/>
          </w:tcPr>
          <w:p>
            <w:pPr>
              <w:jc w:val="center"/>
              <w:rPr>
                <w:b/>
                <w:noProof/>
                <w:sz w:val="20"/>
              </w:rPr>
            </w:pPr>
            <w:r>
              <w:rPr>
                <w:b/>
                <w:noProof/>
                <w:sz w:val="20"/>
              </w:rPr>
              <w:t>TOTAL</w:t>
            </w:r>
          </w:p>
        </w:tc>
      </w:tr>
      <w:tr>
        <w:trPr>
          <w:trHeight w:val="213"/>
        </w:trPr>
        <w:tc>
          <w:tcPr>
            <w:tcW w:w="5747" w:type="dxa"/>
            <w:gridSpan w:val="3"/>
            <w:vAlign w:val="center"/>
          </w:tcPr>
          <w:p>
            <w:pPr>
              <w:spacing w:before="20" w:after="20"/>
              <w:rPr>
                <w:noProof/>
                <w:sz w:val="21"/>
              </w:rPr>
            </w:pPr>
            <w:r>
              <w:rPr>
                <w:noProof/>
                <w:sz w:val="21"/>
              </w:rPr>
              <w:sym w:font="Wingdings" w:char="F09F"/>
            </w:r>
            <w:r>
              <w:rPr>
                <w:noProof/>
                <w:sz w:val="21"/>
              </w:rPr>
              <w:t xml:space="preserve">Créditos de operaciones </w:t>
            </w:r>
          </w:p>
        </w:tc>
        <w:tc>
          <w:tcPr>
            <w:tcW w:w="709" w:type="dxa"/>
            <w:vAlign w:val="center"/>
          </w:tcPr>
          <w:p>
            <w:pPr>
              <w:rPr>
                <w:noProof/>
                <w:sz w:val="20"/>
              </w:rPr>
            </w:pPr>
          </w:p>
        </w:tc>
        <w:tc>
          <w:tcPr>
            <w:tcW w:w="708" w:type="dxa"/>
            <w:vAlign w:val="center"/>
          </w:tcPr>
          <w:p>
            <w:pPr>
              <w:rPr>
                <w:noProof/>
                <w:sz w:val="20"/>
              </w:rPr>
            </w:pPr>
          </w:p>
        </w:tc>
        <w:tc>
          <w:tcPr>
            <w:tcW w:w="709" w:type="dxa"/>
            <w:vAlign w:val="center"/>
          </w:tcPr>
          <w:p>
            <w:pPr>
              <w:rPr>
                <w:noProof/>
                <w:sz w:val="20"/>
              </w:rPr>
            </w:pPr>
          </w:p>
        </w:tc>
        <w:tc>
          <w:tcPr>
            <w:tcW w:w="1276" w:type="dxa"/>
            <w:vAlign w:val="center"/>
          </w:tcPr>
          <w:p>
            <w:pPr>
              <w:rPr>
                <w:noProof/>
                <w:sz w:val="20"/>
              </w:rPr>
            </w:pPr>
          </w:p>
        </w:tc>
        <w:tc>
          <w:tcPr>
            <w:tcW w:w="1276" w:type="dxa"/>
            <w:vAlign w:val="center"/>
          </w:tcPr>
          <w:p>
            <w:pPr>
              <w:rPr>
                <w:noProof/>
                <w:sz w:val="20"/>
              </w:rPr>
            </w:pPr>
          </w:p>
        </w:tc>
        <w:tc>
          <w:tcPr>
            <w:tcW w:w="1275" w:type="dxa"/>
            <w:vAlign w:val="center"/>
          </w:tcPr>
          <w:p>
            <w:pPr>
              <w:rPr>
                <w:noProof/>
                <w:sz w:val="20"/>
              </w:rPr>
            </w:pPr>
          </w:p>
        </w:tc>
        <w:tc>
          <w:tcPr>
            <w:tcW w:w="1276" w:type="dxa"/>
            <w:vAlign w:val="center"/>
          </w:tcPr>
          <w:p>
            <w:pPr>
              <w:rPr>
                <w:b/>
                <w:noProof/>
                <w:sz w:val="20"/>
              </w:rPr>
            </w:pPr>
          </w:p>
        </w:tc>
        <w:tc>
          <w:tcPr>
            <w:tcW w:w="1518" w:type="dxa"/>
            <w:vAlign w:val="center"/>
          </w:tcPr>
          <w:p>
            <w:pPr>
              <w:rPr>
                <w:b/>
                <w:noProof/>
                <w:sz w:val="20"/>
              </w:rPr>
            </w:pPr>
          </w:p>
        </w:tc>
      </w:tr>
      <w:tr>
        <w:trPr>
          <w:trHeight w:val="277"/>
        </w:trPr>
        <w:tc>
          <w:tcPr>
            <w:tcW w:w="2203" w:type="dxa"/>
            <w:vAlign w:val="center"/>
          </w:tcPr>
          <w:p>
            <w:pPr>
              <w:spacing w:before="60"/>
              <w:rPr>
                <w:noProof/>
                <w:sz w:val="21"/>
              </w:rPr>
            </w:pPr>
            <w:r>
              <w:rPr>
                <w:noProof/>
                <w:sz w:val="21"/>
              </w:rPr>
              <w:t>1b: Cohesión económica, social y territorial</w:t>
            </w:r>
          </w:p>
          <w:p>
            <w:pPr>
              <w:spacing w:before="60"/>
              <w:rPr>
                <w:noProof/>
              </w:rPr>
            </w:pPr>
            <w:r>
              <w:rPr>
                <w:noProof/>
                <w:sz w:val="21"/>
              </w:rPr>
              <w:t>Fondo Europeo de Desarrollo Regional, Fondo Social Europeo, Fondo de Cohesión</w:t>
            </w:r>
          </w:p>
        </w:tc>
        <w:tc>
          <w:tcPr>
            <w:tcW w:w="3119" w:type="dxa"/>
            <w:vAlign w:val="center"/>
          </w:tcPr>
          <w:p>
            <w:pPr>
              <w:spacing w:before="20" w:after="20"/>
              <w:rPr>
                <w:noProof/>
                <w:sz w:val="18"/>
              </w:rPr>
            </w:pPr>
            <w:r>
              <w:rPr>
                <w:noProof/>
                <w:sz w:val="18"/>
              </w:rPr>
              <w:t xml:space="preserve">Compromisos </w:t>
            </w:r>
          </w:p>
          <w:p>
            <w:pPr>
              <w:spacing w:before="20" w:after="20"/>
              <w:rPr>
                <w:noProof/>
                <w:sz w:val="18"/>
              </w:rPr>
            </w:pPr>
          </w:p>
          <w:p>
            <w:pPr>
              <w:spacing w:before="20" w:after="20"/>
              <w:rPr>
                <w:noProof/>
                <w:sz w:val="18"/>
              </w:rPr>
            </w:pPr>
          </w:p>
          <w:p>
            <w:pPr>
              <w:spacing w:before="20" w:after="20"/>
              <w:rPr>
                <w:noProof/>
                <w:sz w:val="18"/>
              </w:rPr>
            </w:pPr>
          </w:p>
          <w:p>
            <w:pPr>
              <w:spacing w:before="20" w:after="20"/>
              <w:rPr>
                <w:noProof/>
                <w:sz w:val="18"/>
              </w:rPr>
            </w:pPr>
          </w:p>
          <w:p>
            <w:pPr>
              <w:spacing w:before="20" w:after="20"/>
              <w:rPr>
                <w:noProof/>
                <w:sz w:val="18"/>
              </w:rPr>
            </w:pPr>
          </w:p>
          <w:p>
            <w:pPr>
              <w:spacing w:before="20" w:after="20"/>
              <w:rPr>
                <w:noProof/>
                <w:sz w:val="18"/>
              </w:rPr>
            </w:pPr>
          </w:p>
        </w:tc>
        <w:tc>
          <w:tcPr>
            <w:tcW w:w="425" w:type="dxa"/>
            <w:vAlign w:val="center"/>
          </w:tcPr>
          <w:p>
            <w:pPr>
              <w:spacing w:before="20" w:after="20"/>
              <w:jc w:val="center"/>
              <w:rPr>
                <w:noProof/>
                <w:sz w:val="14"/>
              </w:rPr>
            </w:pPr>
            <w:r>
              <w:rPr>
                <w:noProof/>
                <w:sz w:val="14"/>
              </w:rPr>
              <w:t>(1)</w:t>
            </w:r>
          </w:p>
        </w:tc>
        <w:tc>
          <w:tcPr>
            <w:tcW w:w="709" w:type="dxa"/>
            <w:vAlign w:val="center"/>
          </w:tcPr>
          <w:p>
            <w:pPr>
              <w:spacing w:before="20" w:after="20"/>
              <w:rPr>
                <w:noProof/>
                <w:szCs w:val="24"/>
              </w:rPr>
            </w:pPr>
          </w:p>
          <w:p>
            <w:pPr>
              <w:spacing w:before="20" w:after="20"/>
              <w:jc w:val="right"/>
              <w:rPr>
                <w:noProof/>
                <w:sz w:val="20"/>
              </w:rPr>
            </w:pPr>
          </w:p>
        </w:tc>
        <w:tc>
          <w:tcPr>
            <w:tcW w:w="708" w:type="dxa"/>
          </w:tcPr>
          <w:p>
            <w:pPr>
              <w:rPr>
                <w:noProof/>
              </w:rPr>
            </w:pPr>
            <w:r>
              <w:rPr>
                <w:noProof/>
              </w:rPr>
              <w:t>0,000</w:t>
            </w:r>
          </w:p>
        </w:tc>
        <w:tc>
          <w:tcPr>
            <w:tcW w:w="709" w:type="dxa"/>
          </w:tcPr>
          <w:p>
            <w:pPr>
              <w:rPr>
                <w:noProof/>
              </w:rPr>
            </w:pPr>
            <w:r>
              <w:rPr>
                <w:noProof/>
              </w:rPr>
              <w:t>0,000</w:t>
            </w:r>
          </w:p>
        </w:tc>
        <w:tc>
          <w:tcPr>
            <w:tcW w:w="1276" w:type="dxa"/>
          </w:tcPr>
          <w:p>
            <w:pPr>
              <w:rPr>
                <w:noProof/>
              </w:rPr>
            </w:pPr>
            <w:r>
              <w:rPr>
                <w:noProof/>
              </w:rPr>
              <w:t>0,000</w:t>
            </w:r>
          </w:p>
        </w:tc>
        <w:tc>
          <w:tcPr>
            <w:tcW w:w="1276" w:type="dxa"/>
          </w:tcPr>
          <w:p>
            <w:pPr>
              <w:rPr>
                <w:noProof/>
              </w:rPr>
            </w:pPr>
            <w:r>
              <w:rPr>
                <w:noProof/>
              </w:rPr>
              <w:t>0,000</w:t>
            </w:r>
          </w:p>
        </w:tc>
        <w:tc>
          <w:tcPr>
            <w:tcW w:w="1275" w:type="dxa"/>
          </w:tcPr>
          <w:p>
            <w:pPr>
              <w:rPr>
                <w:noProof/>
              </w:rPr>
            </w:pPr>
            <w:r>
              <w:rPr>
                <w:noProof/>
              </w:rPr>
              <w:t>0,000</w:t>
            </w:r>
          </w:p>
        </w:tc>
        <w:tc>
          <w:tcPr>
            <w:tcW w:w="1276" w:type="dxa"/>
          </w:tcPr>
          <w:p>
            <w:pPr>
              <w:rPr>
                <w:noProof/>
              </w:rPr>
            </w:pPr>
            <w:r>
              <w:rPr>
                <w:noProof/>
              </w:rPr>
              <w:t>0,000</w:t>
            </w:r>
          </w:p>
        </w:tc>
        <w:tc>
          <w:tcPr>
            <w:tcW w:w="1518" w:type="dxa"/>
          </w:tcPr>
          <w:p>
            <w:pPr>
              <w:rPr>
                <w:b/>
                <w:noProof/>
              </w:rPr>
            </w:pPr>
            <w:r>
              <w:rPr>
                <w:b/>
                <w:noProof/>
              </w:rPr>
              <w:t>0,000</w:t>
            </w:r>
          </w:p>
        </w:tc>
      </w:tr>
    </w:tbl>
    <w:p>
      <w:pPr>
        <w:rPr>
          <w:noProof/>
        </w:rPr>
      </w:pPr>
      <w:r>
        <w:rPr>
          <w:noProof/>
        </w:rPr>
        <w:br w:type="page"/>
      </w:r>
    </w:p>
    <w:p>
      <w:pPr>
        <w:rPr>
          <w:noProof/>
        </w:rPr>
      </w:pPr>
    </w:p>
    <w:p>
      <w:pPr>
        <w:rPr>
          <w:noProof/>
        </w:rPr>
      </w:pPr>
    </w:p>
    <w:tbl>
      <w:tblPr>
        <w:tblW w:w="1449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2835"/>
        <w:gridCol w:w="284"/>
        <w:gridCol w:w="425"/>
        <w:gridCol w:w="709"/>
        <w:gridCol w:w="708"/>
        <w:gridCol w:w="709"/>
        <w:gridCol w:w="1276"/>
        <w:gridCol w:w="1276"/>
        <w:gridCol w:w="1275"/>
        <w:gridCol w:w="1276"/>
        <w:gridCol w:w="1518"/>
      </w:tblGrid>
      <w:tr>
        <w:trPr>
          <w:trHeight w:val="85"/>
        </w:trPr>
        <w:tc>
          <w:tcPr>
            <w:tcW w:w="2203" w:type="dxa"/>
          </w:tcPr>
          <w:p>
            <w:pPr>
              <w:jc w:val="center"/>
              <w:rPr>
                <w:noProof/>
                <w:sz w:val="20"/>
              </w:rPr>
            </w:pPr>
            <w:r>
              <w:rPr>
                <w:noProof/>
              </w:rPr>
              <w:br w:type="page"/>
            </w:r>
          </w:p>
        </w:tc>
        <w:tc>
          <w:tcPr>
            <w:tcW w:w="3119" w:type="dxa"/>
            <w:gridSpan w:val="2"/>
            <w:vAlign w:val="center"/>
          </w:tcPr>
          <w:p>
            <w:pPr>
              <w:spacing w:before="20" w:after="20"/>
              <w:rPr>
                <w:noProof/>
                <w:sz w:val="18"/>
              </w:rPr>
            </w:pPr>
            <w:r>
              <w:rPr>
                <w:noProof/>
                <w:sz w:val="18"/>
              </w:rPr>
              <w:t xml:space="preserve">Pagos </w:t>
            </w:r>
          </w:p>
          <w:p>
            <w:pPr>
              <w:spacing w:after="60"/>
              <w:rPr>
                <w:noProof/>
              </w:rPr>
            </w:pPr>
          </w:p>
          <w:p>
            <w:pPr>
              <w:spacing w:after="60"/>
              <w:rPr>
                <w:noProof/>
              </w:rPr>
            </w:pPr>
          </w:p>
          <w:p>
            <w:pPr>
              <w:spacing w:after="60"/>
              <w:rPr>
                <w:noProof/>
              </w:rPr>
            </w:pPr>
          </w:p>
          <w:p>
            <w:pPr>
              <w:spacing w:after="60"/>
              <w:rPr>
                <w:noProof/>
                <w:sz w:val="18"/>
              </w:rPr>
            </w:pPr>
            <w:r>
              <w:rPr>
                <w:noProof/>
              </w:rPr>
              <w:t xml:space="preserve"> </w:t>
            </w:r>
          </w:p>
        </w:tc>
        <w:tc>
          <w:tcPr>
            <w:tcW w:w="425" w:type="dxa"/>
            <w:vAlign w:val="center"/>
          </w:tcPr>
          <w:p>
            <w:pPr>
              <w:spacing w:before="20" w:after="20"/>
              <w:jc w:val="center"/>
              <w:rPr>
                <w:noProof/>
                <w:sz w:val="14"/>
              </w:rPr>
            </w:pPr>
            <w:r>
              <w:rPr>
                <w:noProof/>
                <w:sz w:val="14"/>
              </w:rPr>
              <w:t>(2)</w:t>
            </w:r>
          </w:p>
        </w:tc>
        <w:tc>
          <w:tcPr>
            <w:tcW w:w="709" w:type="dxa"/>
            <w:vAlign w:val="center"/>
          </w:tcPr>
          <w:p>
            <w:pPr>
              <w:spacing w:before="20" w:after="20"/>
              <w:rPr>
                <w:noProof/>
                <w:sz w:val="20"/>
              </w:rPr>
            </w:pPr>
          </w:p>
        </w:tc>
        <w:tc>
          <w:tcPr>
            <w:tcW w:w="708" w:type="dxa"/>
          </w:tcPr>
          <w:p>
            <w:pPr>
              <w:rPr>
                <w:noProof/>
              </w:rPr>
            </w:pPr>
            <w:r>
              <w:rPr>
                <w:noProof/>
              </w:rPr>
              <w:t>8 500,000</w:t>
            </w:r>
          </w:p>
        </w:tc>
        <w:tc>
          <w:tcPr>
            <w:tcW w:w="709" w:type="dxa"/>
          </w:tcPr>
          <w:p>
            <w:pPr>
              <w:rPr>
                <w:noProof/>
              </w:rPr>
            </w:pPr>
            <w:r>
              <w:rPr>
                <w:noProof/>
              </w:rPr>
              <w:t>6 100,000</w:t>
            </w:r>
          </w:p>
        </w:tc>
        <w:tc>
          <w:tcPr>
            <w:tcW w:w="1276" w:type="dxa"/>
          </w:tcPr>
          <w:p>
            <w:pPr>
              <w:rPr>
                <w:noProof/>
              </w:rPr>
            </w:pPr>
            <w:r>
              <w:rPr>
                <w:noProof/>
              </w:rPr>
              <w:t>0,000</w:t>
            </w:r>
          </w:p>
        </w:tc>
        <w:tc>
          <w:tcPr>
            <w:tcW w:w="1276" w:type="dxa"/>
          </w:tcPr>
          <w:p>
            <w:pPr>
              <w:rPr>
                <w:noProof/>
              </w:rPr>
            </w:pPr>
            <w:r>
              <w:rPr>
                <w:noProof/>
              </w:rPr>
              <w:t>-7 300,000</w:t>
            </w:r>
          </w:p>
        </w:tc>
        <w:tc>
          <w:tcPr>
            <w:tcW w:w="1275" w:type="dxa"/>
          </w:tcPr>
          <w:p>
            <w:pPr>
              <w:rPr>
                <w:noProof/>
              </w:rPr>
            </w:pPr>
            <w:r>
              <w:rPr>
                <w:noProof/>
              </w:rPr>
              <w:t>-7 300,000</w:t>
            </w:r>
          </w:p>
        </w:tc>
        <w:tc>
          <w:tcPr>
            <w:tcW w:w="1276" w:type="dxa"/>
          </w:tcPr>
          <w:p>
            <w:pPr>
              <w:rPr>
                <w:noProof/>
              </w:rPr>
            </w:pPr>
            <w:r>
              <w:rPr>
                <w:noProof/>
              </w:rPr>
              <w:t>0,000</w:t>
            </w:r>
          </w:p>
        </w:tc>
        <w:tc>
          <w:tcPr>
            <w:tcW w:w="1518" w:type="dxa"/>
          </w:tcPr>
          <w:p>
            <w:pPr>
              <w:rPr>
                <w:b/>
                <w:noProof/>
              </w:rPr>
            </w:pPr>
            <w:r>
              <w:rPr>
                <w:b/>
                <w:noProof/>
              </w:rPr>
              <w:t>0,000</w:t>
            </w:r>
          </w:p>
        </w:tc>
      </w:tr>
      <w:tr>
        <w:trPr>
          <w:trHeight w:val="231"/>
        </w:trPr>
        <w:tc>
          <w:tcPr>
            <w:tcW w:w="5747" w:type="dxa"/>
            <w:gridSpan w:val="4"/>
            <w:vAlign w:val="center"/>
          </w:tcPr>
          <w:p>
            <w:pPr>
              <w:spacing w:before="20" w:after="20"/>
              <w:rPr>
                <w:noProof/>
              </w:rPr>
            </w:pPr>
            <w:r>
              <w:rPr>
                <w:noProof/>
                <w:sz w:val="21"/>
              </w:rPr>
              <w:t>Créditos de carácter administrativo financiados mediante la dotación de programas específicos</w:t>
            </w:r>
            <w:r>
              <w:rPr>
                <w:rStyle w:val="FootnoteReference"/>
                <w:noProof/>
                <w:sz w:val="21"/>
              </w:rPr>
              <w:footnoteReference w:id="14"/>
            </w:r>
            <w:r>
              <w:rPr>
                <w:noProof/>
                <w:sz w:val="21"/>
              </w:rPr>
              <w:t xml:space="preserve"> </w:t>
            </w:r>
          </w:p>
          <w:p>
            <w:pPr>
              <w:spacing w:before="0" w:after="0"/>
              <w:rPr>
                <w:noProof/>
              </w:rPr>
            </w:pPr>
          </w:p>
        </w:tc>
        <w:tc>
          <w:tcPr>
            <w:tcW w:w="709" w:type="dxa"/>
            <w:vAlign w:val="center"/>
          </w:tcPr>
          <w:p>
            <w:pPr>
              <w:rPr>
                <w:b/>
                <w:noProof/>
                <w:sz w:val="20"/>
              </w:rPr>
            </w:pPr>
          </w:p>
        </w:tc>
        <w:tc>
          <w:tcPr>
            <w:tcW w:w="708" w:type="dxa"/>
            <w:vAlign w:val="center"/>
          </w:tcPr>
          <w:p>
            <w:pPr>
              <w:rPr>
                <w:b/>
                <w:noProof/>
                <w:sz w:val="20"/>
              </w:rPr>
            </w:pPr>
          </w:p>
        </w:tc>
        <w:tc>
          <w:tcPr>
            <w:tcW w:w="709" w:type="dxa"/>
            <w:vAlign w:val="center"/>
          </w:tcPr>
          <w:p>
            <w:pPr>
              <w:rPr>
                <w:b/>
                <w:noProof/>
                <w:sz w:val="20"/>
              </w:rPr>
            </w:pPr>
          </w:p>
        </w:tc>
        <w:tc>
          <w:tcPr>
            <w:tcW w:w="1276" w:type="dxa"/>
            <w:vAlign w:val="center"/>
          </w:tcPr>
          <w:p>
            <w:pPr>
              <w:rPr>
                <w:b/>
                <w:noProof/>
                <w:sz w:val="20"/>
              </w:rPr>
            </w:pPr>
          </w:p>
        </w:tc>
        <w:tc>
          <w:tcPr>
            <w:tcW w:w="1276" w:type="dxa"/>
            <w:vAlign w:val="center"/>
          </w:tcPr>
          <w:p>
            <w:pPr>
              <w:rPr>
                <w:b/>
                <w:noProof/>
                <w:sz w:val="20"/>
              </w:rPr>
            </w:pPr>
          </w:p>
        </w:tc>
        <w:tc>
          <w:tcPr>
            <w:tcW w:w="1275" w:type="dxa"/>
            <w:vAlign w:val="center"/>
          </w:tcPr>
          <w:p>
            <w:pPr>
              <w:rPr>
                <w:b/>
                <w:noProof/>
                <w:sz w:val="20"/>
              </w:rPr>
            </w:pPr>
          </w:p>
        </w:tc>
        <w:tc>
          <w:tcPr>
            <w:tcW w:w="1276" w:type="dxa"/>
            <w:vAlign w:val="center"/>
          </w:tcPr>
          <w:p>
            <w:pPr>
              <w:rPr>
                <w:b/>
                <w:noProof/>
                <w:sz w:val="20"/>
              </w:rPr>
            </w:pPr>
          </w:p>
        </w:tc>
        <w:tc>
          <w:tcPr>
            <w:tcW w:w="1518" w:type="dxa"/>
            <w:vAlign w:val="center"/>
          </w:tcPr>
          <w:p>
            <w:pPr>
              <w:rPr>
                <w:b/>
                <w:noProof/>
                <w:sz w:val="20"/>
              </w:rPr>
            </w:pPr>
          </w:p>
        </w:tc>
      </w:tr>
      <w:tr>
        <w:trPr>
          <w:trHeight w:val="319"/>
        </w:trPr>
        <w:tc>
          <w:tcPr>
            <w:tcW w:w="2203" w:type="dxa"/>
            <w:vAlign w:val="center"/>
          </w:tcPr>
          <w:p>
            <w:pPr>
              <w:spacing w:before="60" w:after="60"/>
              <w:rPr>
                <w:noProof/>
              </w:rPr>
            </w:pPr>
            <w:r>
              <w:rPr>
                <w:noProof/>
                <w:sz w:val="20"/>
              </w:rPr>
              <w:t>No aplicable</w:t>
            </w:r>
          </w:p>
        </w:tc>
        <w:tc>
          <w:tcPr>
            <w:tcW w:w="2835" w:type="dxa"/>
            <w:vAlign w:val="center"/>
          </w:tcPr>
          <w:p>
            <w:pPr>
              <w:spacing w:before="40" w:after="40"/>
              <w:jc w:val="right"/>
              <w:rPr>
                <w:noProof/>
                <w:sz w:val="18"/>
              </w:rPr>
            </w:pPr>
          </w:p>
        </w:tc>
        <w:tc>
          <w:tcPr>
            <w:tcW w:w="709" w:type="dxa"/>
            <w:gridSpan w:val="2"/>
            <w:vAlign w:val="center"/>
          </w:tcPr>
          <w:p>
            <w:pPr>
              <w:spacing w:before="40" w:after="40"/>
              <w:jc w:val="center"/>
              <w:rPr>
                <w:noProof/>
                <w:sz w:val="14"/>
              </w:rPr>
            </w:pPr>
            <w:r>
              <w:rPr>
                <w:noProof/>
                <w:sz w:val="14"/>
              </w:rPr>
              <w:t>(3)</w:t>
            </w:r>
          </w:p>
        </w:tc>
        <w:tc>
          <w:tcPr>
            <w:tcW w:w="709" w:type="dxa"/>
            <w:vAlign w:val="center"/>
          </w:tcPr>
          <w:p>
            <w:pPr>
              <w:spacing w:before="40" w:after="40"/>
              <w:jc w:val="right"/>
              <w:rPr>
                <w:b/>
                <w:noProof/>
                <w:sz w:val="20"/>
              </w:rPr>
            </w:pPr>
          </w:p>
        </w:tc>
        <w:tc>
          <w:tcPr>
            <w:tcW w:w="708" w:type="dxa"/>
            <w:vAlign w:val="center"/>
          </w:tcPr>
          <w:p>
            <w:pPr>
              <w:spacing w:before="40" w:after="40"/>
              <w:jc w:val="right"/>
              <w:rPr>
                <w:b/>
                <w:noProof/>
                <w:sz w:val="20"/>
              </w:rPr>
            </w:pPr>
          </w:p>
        </w:tc>
        <w:tc>
          <w:tcPr>
            <w:tcW w:w="709" w:type="dxa"/>
            <w:vAlign w:val="center"/>
          </w:tcPr>
          <w:p>
            <w:pPr>
              <w:spacing w:before="40" w:after="40"/>
              <w:jc w:val="right"/>
              <w:rPr>
                <w:b/>
                <w:noProof/>
                <w:sz w:val="20"/>
              </w:rPr>
            </w:pPr>
          </w:p>
        </w:tc>
        <w:tc>
          <w:tcPr>
            <w:tcW w:w="1276" w:type="dxa"/>
            <w:vAlign w:val="center"/>
          </w:tcPr>
          <w:p>
            <w:pPr>
              <w:spacing w:before="40" w:after="40"/>
              <w:jc w:val="right"/>
              <w:rPr>
                <w:b/>
                <w:noProof/>
                <w:sz w:val="20"/>
              </w:rPr>
            </w:pPr>
          </w:p>
        </w:tc>
        <w:tc>
          <w:tcPr>
            <w:tcW w:w="1276" w:type="dxa"/>
            <w:vAlign w:val="center"/>
          </w:tcPr>
          <w:p>
            <w:pPr>
              <w:spacing w:before="40" w:after="40"/>
              <w:jc w:val="right"/>
              <w:rPr>
                <w:b/>
                <w:noProof/>
                <w:sz w:val="20"/>
              </w:rPr>
            </w:pPr>
          </w:p>
        </w:tc>
        <w:tc>
          <w:tcPr>
            <w:tcW w:w="1275" w:type="dxa"/>
            <w:vAlign w:val="center"/>
          </w:tcPr>
          <w:p>
            <w:pPr>
              <w:spacing w:before="40" w:after="40"/>
              <w:jc w:val="right"/>
              <w:rPr>
                <w:b/>
                <w:noProof/>
                <w:sz w:val="20"/>
              </w:rPr>
            </w:pPr>
          </w:p>
        </w:tc>
        <w:tc>
          <w:tcPr>
            <w:tcW w:w="1276" w:type="dxa"/>
            <w:vAlign w:val="center"/>
          </w:tcPr>
          <w:p>
            <w:pPr>
              <w:spacing w:before="40" w:after="40"/>
              <w:jc w:val="right"/>
              <w:rPr>
                <w:b/>
                <w:noProof/>
                <w:sz w:val="20"/>
              </w:rPr>
            </w:pPr>
          </w:p>
        </w:tc>
        <w:tc>
          <w:tcPr>
            <w:tcW w:w="1518" w:type="dxa"/>
            <w:vAlign w:val="center"/>
          </w:tcPr>
          <w:p>
            <w:pPr>
              <w:spacing w:before="40" w:after="40"/>
              <w:jc w:val="right"/>
              <w:rPr>
                <w:b/>
                <w:noProof/>
                <w:sz w:val="20"/>
              </w:rPr>
            </w:pPr>
          </w:p>
        </w:tc>
      </w:tr>
      <w:tr>
        <w:tc>
          <w:tcPr>
            <w:tcW w:w="2203" w:type="dxa"/>
            <w:vMerge w:val="restart"/>
            <w:vAlign w:val="center"/>
          </w:tcPr>
          <w:p>
            <w:pPr>
              <w:jc w:val="center"/>
              <w:rPr>
                <w:b/>
                <w:noProof/>
              </w:rPr>
            </w:pPr>
            <w:r>
              <w:rPr>
                <w:b/>
                <w:noProof/>
                <w:sz w:val="22"/>
              </w:rPr>
              <w:t>TOTAL de los créditos</w:t>
            </w:r>
            <w:r>
              <w:rPr>
                <w:noProof/>
              </w:rPr>
              <w:br/>
            </w:r>
            <w:r>
              <w:rPr>
                <w:b/>
                <w:noProof/>
                <w:sz w:val="22"/>
              </w:rPr>
              <w:t xml:space="preserve">para la DG </w:t>
            </w:r>
            <w:r>
              <w:rPr>
                <w:noProof/>
              </w:rPr>
              <w:t xml:space="preserve">EMPL, REGIO </w:t>
            </w:r>
          </w:p>
        </w:tc>
        <w:tc>
          <w:tcPr>
            <w:tcW w:w="2835" w:type="dxa"/>
            <w:vAlign w:val="center"/>
          </w:tcPr>
          <w:p>
            <w:pPr>
              <w:rPr>
                <w:noProof/>
                <w:sz w:val="18"/>
              </w:rPr>
            </w:pPr>
            <w:r>
              <w:rPr>
                <w:noProof/>
                <w:sz w:val="18"/>
              </w:rPr>
              <w:t>Compromisos</w:t>
            </w:r>
          </w:p>
        </w:tc>
        <w:tc>
          <w:tcPr>
            <w:tcW w:w="709" w:type="dxa"/>
            <w:gridSpan w:val="2"/>
            <w:vAlign w:val="center"/>
          </w:tcPr>
          <w:p>
            <w:pPr>
              <w:jc w:val="center"/>
              <w:rPr>
                <w:noProof/>
                <w:sz w:val="14"/>
              </w:rPr>
            </w:pPr>
            <w:r>
              <w:rPr>
                <w:noProof/>
                <w:sz w:val="14"/>
              </w:rPr>
              <w:t>=1+1a +3</w:t>
            </w:r>
          </w:p>
        </w:tc>
        <w:tc>
          <w:tcPr>
            <w:tcW w:w="709" w:type="dxa"/>
            <w:vAlign w:val="center"/>
          </w:tcPr>
          <w:p>
            <w:pPr>
              <w:spacing w:before="20" w:after="20"/>
              <w:rPr>
                <w:noProof/>
                <w:sz w:val="20"/>
              </w:rPr>
            </w:pPr>
          </w:p>
        </w:tc>
        <w:tc>
          <w:tcPr>
            <w:tcW w:w="708" w:type="dxa"/>
          </w:tcPr>
          <w:p>
            <w:pPr>
              <w:rPr>
                <w:noProof/>
              </w:rPr>
            </w:pPr>
            <w:r>
              <w:rPr>
                <w:noProof/>
              </w:rPr>
              <w:t>0,000</w:t>
            </w:r>
          </w:p>
        </w:tc>
        <w:tc>
          <w:tcPr>
            <w:tcW w:w="709" w:type="dxa"/>
          </w:tcPr>
          <w:p>
            <w:pPr>
              <w:rPr>
                <w:noProof/>
              </w:rPr>
            </w:pPr>
            <w:r>
              <w:rPr>
                <w:noProof/>
              </w:rPr>
              <w:t>0,000</w:t>
            </w:r>
          </w:p>
        </w:tc>
        <w:tc>
          <w:tcPr>
            <w:tcW w:w="1276" w:type="dxa"/>
          </w:tcPr>
          <w:p>
            <w:pPr>
              <w:rPr>
                <w:noProof/>
              </w:rPr>
            </w:pPr>
            <w:r>
              <w:rPr>
                <w:noProof/>
              </w:rPr>
              <w:t>0,000</w:t>
            </w:r>
          </w:p>
        </w:tc>
        <w:tc>
          <w:tcPr>
            <w:tcW w:w="1276" w:type="dxa"/>
          </w:tcPr>
          <w:p>
            <w:pPr>
              <w:rPr>
                <w:noProof/>
              </w:rPr>
            </w:pPr>
            <w:r>
              <w:rPr>
                <w:noProof/>
              </w:rPr>
              <w:t>0,000</w:t>
            </w:r>
          </w:p>
        </w:tc>
        <w:tc>
          <w:tcPr>
            <w:tcW w:w="1275" w:type="dxa"/>
          </w:tcPr>
          <w:p>
            <w:pPr>
              <w:rPr>
                <w:noProof/>
              </w:rPr>
            </w:pPr>
            <w:r>
              <w:rPr>
                <w:noProof/>
              </w:rPr>
              <w:t>0,000</w:t>
            </w:r>
          </w:p>
        </w:tc>
        <w:tc>
          <w:tcPr>
            <w:tcW w:w="1276" w:type="dxa"/>
          </w:tcPr>
          <w:p>
            <w:pPr>
              <w:rPr>
                <w:noProof/>
              </w:rPr>
            </w:pPr>
            <w:r>
              <w:rPr>
                <w:noProof/>
              </w:rPr>
              <w:t>0,000</w:t>
            </w:r>
          </w:p>
        </w:tc>
        <w:tc>
          <w:tcPr>
            <w:tcW w:w="1518" w:type="dxa"/>
          </w:tcPr>
          <w:p>
            <w:pPr>
              <w:rPr>
                <w:b/>
                <w:noProof/>
              </w:rPr>
            </w:pPr>
            <w:r>
              <w:rPr>
                <w:b/>
                <w:noProof/>
              </w:rPr>
              <w:t>0,000</w:t>
            </w:r>
          </w:p>
        </w:tc>
      </w:tr>
      <w:tr>
        <w:tc>
          <w:tcPr>
            <w:tcW w:w="2203" w:type="dxa"/>
            <w:vMerge/>
          </w:tcPr>
          <w:p>
            <w:pPr>
              <w:rPr>
                <w:noProof/>
                <w:sz w:val="20"/>
              </w:rPr>
            </w:pPr>
          </w:p>
        </w:tc>
        <w:tc>
          <w:tcPr>
            <w:tcW w:w="2835" w:type="dxa"/>
            <w:vAlign w:val="center"/>
          </w:tcPr>
          <w:p>
            <w:pPr>
              <w:rPr>
                <w:noProof/>
                <w:sz w:val="18"/>
              </w:rPr>
            </w:pPr>
            <w:r>
              <w:rPr>
                <w:noProof/>
                <w:sz w:val="18"/>
              </w:rPr>
              <w:t>Pagos</w:t>
            </w:r>
          </w:p>
        </w:tc>
        <w:tc>
          <w:tcPr>
            <w:tcW w:w="709" w:type="dxa"/>
            <w:gridSpan w:val="2"/>
            <w:vAlign w:val="center"/>
          </w:tcPr>
          <w:p>
            <w:pPr>
              <w:jc w:val="center"/>
              <w:rPr>
                <w:noProof/>
                <w:sz w:val="14"/>
              </w:rPr>
            </w:pPr>
            <w:r>
              <w:rPr>
                <w:noProof/>
                <w:sz w:val="14"/>
              </w:rPr>
              <w:t>=2+2a</w:t>
            </w:r>
          </w:p>
          <w:p>
            <w:pPr>
              <w:jc w:val="center"/>
              <w:rPr>
                <w:noProof/>
                <w:sz w:val="14"/>
              </w:rPr>
            </w:pPr>
            <w:r>
              <w:rPr>
                <w:noProof/>
                <w:sz w:val="14"/>
              </w:rPr>
              <w:t>+3</w:t>
            </w:r>
          </w:p>
        </w:tc>
        <w:tc>
          <w:tcPr>
            <w:tcW w:w="709" w:type="dxa"/>
            <w:vAlign w:val="center"/>
          </w:tcPr>
          <w:p>
            <w:pPr>
              <w:spacing w:before="20" w:after="20"/>
              <w:jc w:val="right"/>
              <w:rPr>
                <w:noProof/>
                <w:sz w:val="20"/>
              </w:rPr>
            </w:pPr>
          </w:p>
        </w:tc>
        <w:tc>
          <w:tcPr>
            <w:tcW w:w="708" w:type="dxa"/>
          </w:tcPr>
          <w:p>
            <w:pPr>
              <w:rPr>
                <w:noProof/>
              </w:rPr>
            </w:pPr>
            <w:r>
              <w:rPr>
                <w:noProof/>
              </w:rPr>
              <w:t>8 500,000</w:t>
            </w:r>
          </w:p>
        </w:tc>
        <w:tc>
          <w:tcPr>
            <w:tcW w:w="709" w:type="dxa"/>
          </w:tcPr>
          <w:p>
            <w:pPr>
              <w:rPr>
                <w:noProof/>
              </w:rPr>
            </w:pPr>
            <w:r>
              <w:rPr>
                <w:noProof/>
              </w:rPr>
              <w:t>6 100,000</w:t>
            </w:r>
          </w:p>
        </w:tc>
        <w:tc>
          <w:tcPr>
            <w:tcW w:w="1276" w:type="dxa"/>
          </w:tcPr>
          <w:p>
            <w:pPr>
              <w:rPr>
                <w:noProof/>
              </w:rPr>
            </w:pPr>
            <w:r>
              <w:rPr>
                <w:noProof/>
              </w:rPr>
              <w:t>0,000</w:t>
            </w:r>
          </w:p>
        </w:tc>
        <w:tc>
          <w:tcPr>
            <w:tcW w:w="1276" w:type="dxa"/>
          </w:tcPr>
          <w:p>
            <w:pPr>
              <w:rPr>
                <w:noProof/>
              </w:rPr>
            </w:pPr>
            <w:r>
              <w:rPr>
                <w:noProof/>
              </w:rPr>
              <w:t>-7 300,000</w:t>
            </w:r>
          </w:p>
        </w:tc>
        <w:tc>
          <w:tcPr>
            <w:tcW w:w="1275" w:type="dxa"/>
          </w:tcPr>
          <w:p>
            <w:pPr>
              <w:rPr>
                <w:noProof/>
              </w:rPr>
            </w:pPr>
            <w:r>
              <w:rPr>
                <w:noProof/>
              </w:rPr>
              <w:t>-7 300,000</w:t>
            </w:r>
          </w:p>
        </w:tc>
        <w:tc>
          <w:tcPr>
            <w:tcW w:w="1276" w:type="dxa"/>
          </w:tcPr>
          <w:p>
            <w:pPr>
              <w:rPr>
                <w:noProof/>
              </w:rPr>
            </w:pPr>
            <w:r>
              <w:rPr>
                <w:noProof/>
              </w:rPr>
              <w:t>0,000</w:t>
            </w:r>
          </w:p>
        </w:tc>
        <w:tc>
          <w:tcPr>
            <w:tcW w:w="1518" w:type="dxa"/>
          </w:tcPr>
          <w:p>
            <w:pPr>
              <w:rPr>
                <w:b/>
                <w:noProof/>
              </w:rPr>
            </w:pPr>
            <w:r>
              <w:rPr>
                <w:b/>
                <w:noProof/>
              </w:rPr>
              <w:t>0,000</w:t>
            </w:r>
          </w:p>
        </w:tc>
      </w:tr>
    </w:tbl>
    <w:p>
      <w:pPr>
        <w:rPr>
          <w:noProof/>
          <w:sz w:val="16"/>
        </w:rPr>
      </w:pPr>
    </w:p>
    <w:tbl>
      <w:tblPr>
        <w:tblW w:w="1442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220"/>
        <w:gridCol w:w="567"/>
        <w:gridCol w:w="709"/>
        <w:gridCol w:w="708"/>
        <w:gridCol w:w="709"/>
        <w:gridCol w:w="1276"/>
        <w:gridCol w:w="1276"/>
        <w:gridCol w:w="1275"/>
        <w:gridCol w:w="1276"/>
        <w:gridCol w:w="1448"/>
      </w:tblGrid>
      <w:tr>
        <w:trPr>
          <w:trHeight w:val="277"/>
        </w:trPr>
        <w:tc>
          <w:tcPr>
            <w:tcW w:w="3960" w:type="dxa"/>
            <w:vMerge w:val="restart"/>
            <w:vAlign w:val="center"/>
          </w:tcPr>
          <w:p>
            <w:pPr>
              <w:spacing w:before="20" w:after="20"/>
              <w:rPr>
                <w:noProof/>
              </w:rPr>
            </w:pPr>
            <w:r>
              <w:rPr>
                <w:noProof/>
              </w:rPr>
              <w:br w:type="page"/>
            </w:r>
            <w:r>
              <w:rPr>
                <w:noProof/>
                <w:sz w:val="21"/>
              </w:rPr>
              <w:sym w:font="Wingdings" w:char="F09F"/>
            </w:r>
            <w:r>
              <w:rPr>
                <w:noProof/>
                <w:sz w:val="21"/>
              </w:rPr>
              <w:t xml:space="preserve">TOTAL de los créditos de operaciones </w:t>
            </w:r>
          </w:p>
        </w:tc>
        <w:tc>
          <w:tcPr>
            <w:tcW w:w="1220" w:type="dxa"/>
            <w:vAlign w:val="center"/>
          </w:tcPr>
          <w:p>
            <w:pPr>
              <w:spacing w:beforeLines="20" w:before="48" w:afterLines="20" w:after="48"/>
              <w:rPr>
                <w:noProof/>
                <w:sz w:val="18"/>
              </w:rPr>
            </w:pPr>
            <w:r>
              <w:rPr>
                <w:noProof/>
                <w:sz w:val="18"/>
              </w:rPr>
              <w:t>Compromisos</w:t>
            </w:r>
          </w:p>
        </w:tc>
        <w:tc>
          <w:tcPr>
            <w:tcW w:w="567" w:type="dxa"/>
            <w:vAlign w:val="center"/>
          </w:tcPr>
          <w:p>
            <w:pPr>
              <w:spacing w:beforeLines="20" w:before="48" w:afterLines="20" w:after="48"/>
              <w:jc w:val="center"/>
              <w:rPr>
                <w:noProof/>
                <w:sz w:val="14"/>
              </w:rPr>
            </w:pPr>
            <w:r>
              <w:rPr>
                <w:noProof/>
                <w:sz w:val="14"/>
              </w:rPr>
              <w:t>(4)</w:t>
            </w:r>
          </w:p>
        </w:tc>
        <w:tc>
          <w:tcPr>
            <w:tcW w:w="709" w:type="dxa"/>
            <w:vAlign w:val="center"/>
          </w:tcPr>
          <w:p>
            <w:pPr>
              <w:spacing w:before="20" w:after="20"/>
              <w:rPr>
                <w:noProof/>
                <w:sz w:val="20"/>
              </w:rPr>
            </w:pPr>
          </w:p>
        </w:tc>
        <w:tc>
          <w:tcPr>
            <w:tcW w:w="708" w:type="dxa"/>
          </w:tcPr>
          <w:p>
            <w:pPr>
              <w:rPr>
                <w:noProof/>
              </w:rPr>
            </w:pPr>
            <w:r>
              <w:rPr>
                <w:noProof/>
              </w:rPr>
              <w:t>0,000</w:t>
            </w:r>
          </w:p>
        </w:tc>
        <w:tc>
          <w:tcPr>
            <w:tcW w:w="709" w:type="dxa"/>
          </w:tcPr>
          <w:p>
            <w:pPr>
              <w:rPr>
                <w:noProof/>
              </w:rPr>
            </w:pPr>
            <w:r>
              <w:rPr>
                <w:noProof/>
              </w:rPr>
              <w:t>0,000</w:t>
            </w:r>
          </w:p>
        </w:tc>
        <w:tc>
          <w:tcPr>
            <w:tcW w:w="1276" w:type="dxa"/>
          </w:tcPr>
          <w:p>
            <w:pPr>
              <w:rPr>
                <w:noProof/>
              </w:rPr>
            </w:pPr>
            <w:r>
              <w:rPr>
                <w:noProof/>
              </w:rPr>
              <w:t>0,000</w:t>
            </w:r>
          </w:p>
        </w:tc>
        <w:tc>
          <w:tcPr>
            <w:tcW w:w="1276" w:type="dxa"/>
          </w:tcPr>
          <w:p>
            <w:pPr>
              <w:rPr>
                <w:noProof/>
              </w:rPr>
            </w:pPr>
            <w:r>
              <w:rPr>
                <w:noProof/>
              </w:rPr>
              <w:t>0,000</w:t>
            </w:r>
          </w:p>
        </w:tc>
        <w:tc>
          <w:tcPr>
            <w:tcW w:w="1275" w:type="dxa"/>
          </w:tcPr>
          <w:p>
            <w:pPr>
              <w:rPr>
                <w:noProof/>
              </w:rPr>
            </w:pPr>
            <w:r>
              <w:rPr>
                <w:noProof/>
              </w:rPr>
              <w:t>0,000</w:t>
            </w:r>
          </w:p>
        </w:tc>
        <w:tc>
          <w:tcPr>
            <w:tcW w:w="1276" w:type="dxa"/>
          </w:tcPr>
          <w:p>
            <w:pPr>
              <w:rPr>
                <w:noProof/>
              </w:rPr>
            </w:pPr>
            <w:r>
              <w:rPr>
                <w:noProof/>
              </w:rPr>
              <w:t>0,000</w:t>
            </w:r>
          </w:p>
        </w:tc>
        <w:tc>
          <w:tcPr>
            <w:tcW w:w="1448" w:type="dxa"/>
          </w:tcPr>
          <w:p>
            <w:pPr>
              <w:rPr>
                <w:b/>
                <w:noProof/>
              </w:rPr>
            </w:pPr>
            <w:r>
              <w:rPr>
                <w:b/>
                <w:noProof/>
              </w:rPr>
              <w:t>0,000</w:t>
            </w:r>
          </w:p>
        </w:tc>
      </w:tr>
      <w:tr>
        <w:trPr>
          <w:trHeight w:val="414"/>
        </w:trPr>
        <w:tc>
          <w:tcPr>
            <w:tcW w:w="3960" w:type="dxa"/>
            <w:vMerge/>
          </w:tcPr>
          <w:p>
            <w:pPr>
              <w:jc w:val="center"/>
              <w:rPr>
                <w:noProof/>
                <w:sz w:val="20"/>
              </w:rPr>
            </w:pPr>
          </w:p>
        </w:tc>
        <w:tc>
          <w:tcPr>
            <w:tcW w:w="1220" w:type="dxa"/>
            <w:vAlign w:val="center"/>
          </w:tcPr>
          <w:p>
            <w:pPr>
              <w:spacing w:beforeLines="20" w:before="48" w:afterLines="20" w:after="48"/>
              <w:rPr>
                <w:noProof/>
                <w:sz w:val="18"/>
              </w:rPr>
            </w:pPr>
            <w:r>
              <w:rPr>
                <w:noProof/>
                <w:sz w:val="18"/>
              </w:rPr>
              <w:t>Pagos</w:t>
            </w:r>
          </w:p>
        </w:tc>
        <w:tc>
          <w:tcPr>
            <w:tcW w:w="567" w:type="dxa"/>
            <w:vAlign w:val="center"/>
          </w:tcPr>
          <w:p>
            <w:pPr>
              <w:spacing w:beforeLines="20" w:before="48" w:afterLines="20" w:after="48"/>
              <w:jc w:val="center"/>
              <w:rPr>
                <w:noProof/>
                <w:sz w:val="14"/>
              </w:rPr>
            </w:pPr>
            <w:r>
              <w:rPr>
                <w:noProof/>
                <w:sz w:val="14"/>
              </w:rPr>
              <w:t>(5)</w:t>
            </w:r>
          </w:p>
        </w:tc>
        <w:tc>
          <w:tcPr>
            <w:tcW w:w="709" w:type="dxa"/>
            <w:vAlign w:val="center"/>
          </w:tcPr>
          <w:p>
            <w:pPr>
              <w:spacing w:before="20" w:after="20"/>
              <w:jc w:val="right"/>
              <w:rPr>
                <w:noProof/>
                <w:sz w:val="20"/>
              </w:rPr>
            </w:pPr>
          </w:p>
        </w:tc>
        <w:tc>
          <w:tcPr>
            <w:tcW w:w="708" w:type="dxa"/>
          </w:tcPr>
          <w:p>
            <w:pPr>
              <w:rPr>
                <w:noProof/>
              </w:rPr>
            </w:pPr>
            <w:r>
              <w:rPr>
                <w:noProof/>
              </w:rPr>
              <w:t>8 500,000</w:t>
            </w:r>
          </w:p>
        </w:tc>
        <w:tc>
          <w:tcPr>
            <w:tcW w:w="709" w:type="dxa"/>
          </w:tcPr>
          <w:p>
            <w:pPr>
              <w:rPr>
                <w:noProof/>
              </w:rPr>
            </w:pPr>
            <w:r>
              <w:rPr>
                <w:noProof/>
              </w:rPr>
              <w:t>6 100,000</w:t>
            </w:r>
          </w:p>
        </w:tc>
        <w:tc>
          <w:tcPr>
            <w:tcW w:w="1276" w:type="dxa"/>
          </w:tcPr>
          <w:p>
            <w:pPr>
              <w:rPr>
                <w:noProof/>
              </w:rPr>
            </w:pPr>
            <w:r>
              <w:rPr>
                <w:noProof/>
              </w:rPr>
              <w:t>0,000</w:t>
            </w:r>
          </w:p>
        </w:tc>
        <w:tc>
          <w:tcPr>
            <w:tcW w:w="1276" w:type="dxa"/>
          </w:tcPr>
          <w:p>
            <w:pPr>
              <w:rPr>
                <w:noProof/>
              </w:rPr>
            </w:pPr>
            <w:r>
              <w:rPr>
                <w:noProof/>
              </w:rPr>
              <w:t>-7 300,000</w:t>
            </w:r>
          </w:p>
        </w:tc>
        <w:tc>
          <w:tcPr>
            <w:tcW w:w="1275" w:type="dxa"/>
          </w:tcPr>
          <w:p>
            <w:pPr>
              <w:rPr>
                <w:noProof/>
              </w:rPr>
            </w:pPr>
            <w:r>
              <w:rPr>
                <w:noProof/>
              </w:rPr>
              <w:t>-7 300,000</w:t>
            </w:r>
          </w:p>
        </w:tc>
        <w:tc>
          <w:tcPr>
            <w:tcW w:w="1276" w:type="dxa"/>
          </w:tcPr>
          <w:p>
            <w:pPr>
              <w:rPr>
                <w:noProof/>
              </w:rPr>
            </w:pPr>
            <w:r>
              <w:rPr>
                <w:noProof/>
              </w:rPr>
              <w:t>0,000</w:t>
            </w:r>
          </w:p>
        </w:tc>
        <w:tc>
          <w:tcPr>
            <w:tcW w:w="1448" w:type="dxa"/>
          </w:tcPr>
          <w:p>
            <w:pPr>
              <w:rPr>
                <w:b/>
                <w:noProof/>
              </w:rPr>
            </w:pPr>
            <w:r>
              <w:rPr>
                <w:b/>
                <w:noProof/>
              </w:rPr>
              <w:t>0,000</w:t>
            </w:r>
          </w:p>
        </w:tc>
      </w:tr>
      <w:tr>
        <w:trPr>
          <w:trHeight w:val="533"/>
        </w:trPr>
        <w:tc>
          <w:tcPr>
            <w:tcW w:w="5180" w:type="dxa"/>
            <w:gridSpan w:val="2"/>
            <w:vAlign w:val="center"/>
          </w:tcPr>
          <w:p>
            <w:pPr>
              <w:spacing w:beforeLines="20" w:before="48" w:afterLines="20" w:after="48"/>
              <w:rPr>
                <w:noProof/>
              </w:rPr>
            </w:pPr>
            <w:r>
              <w:rPr>
                <w:noProof/>
                <w:sz w:val="21"/>
              </w:rPr>
              <w:sym w:font="Wingdings" w:char="F09F"/>
            </w:r>
            <w:r>
              <w:rPr>
                <w:noProof/>
                <w:sz w:val="21"/>
              </w:rPr>
              <w:t xml:space="preserve">TOTAL de los créditos de carácter administrativo financiados mediante la dotación de programas específicos </w:t>
            </w:r>
          </w:p>
        </w:tc>
        <w:tc>
          <w:tcPr>
            <w:tcW w:w="567" w:type="dxa"/>
            <w:vAlign w:val="center"/>
          </w:tcPr>
          <w:p>
            <w:pPr>
              <w:spacing w:beforeLines="20" w:before="48" w:afterLines="20" w:after="48"/>
              <w:jc w:val="center"/>
              <w:rPr>
                <w:noProof/>
                <w:sz w:val="14"/>
              </w:rPr>
            </w:pPr>
            <w:r>
              <w:rPr>
                <w:noProof/>
                <w:sz w:val="14"/>
              </w:rPr>
              <w:t>(6)</w:t>
            </w:r>
          </w:p>
        </w:tc>
        <w:tc>
          <w:tcPr>
            <w:tcW w:w="709" w:type="dxa"/>
            <w:vAlign w:val="center"/>
          </w:tcPr>
          <w:p>
            <w:pPr>
              <w:spacing w:before="20" w:after="20"/>
              <w:jc w:val="right"/>
              <w:rPr>
                <w:b/>
                <w:noProof/>
                <w:sz w:val="20"/>
              </w:rPr>
            </w:pPr>
          </w:p>
        </w:tc>
        <w:tc>
          <w:tcPr>
            <w:tcW w:w="708" w:type="dxa"/>
            <w:vAlign w:val="center"/>
          </w:tcPr>
          <w:p>
            <w:pPr>
              <w:spacing w:before="20" w:after="20"/>
              <w:jc w:val="right"/>
              <w:rPr>
                <w:b/>
                <w:noProof/>
                <w:sz w:val="20"/>
              </w:rPr>
            </w:pPr>
          </w:p>
        </w:tc>
        <w:tc>
          <w:tcPr>
            <w:tcW w:w="709" w:type="dxa"/>
            <w:vAlign w:val="center"/>
          </w:tcPr>
          <w:p>
            <w:pPr>
              <w:spacing w:before="20" w:after="20"/>
              <w:jc w:val="right"/>
              <w:rPr>
                <w:b/>
                <w:noProof/>
                <w:sz w:val="20"/>
              </w:rPr>
            </w:pPr>
          </w:p>
        </w:tc>
        <w:tc>
          <w:tcPr>
            <w:tcW w:w="1276" w:type="dxa"/>
            <w:vAlign w:val="center"/>
          </w:tcPr>
          <w:p>
            <w:pPr>
              <w:spacing w:before="20" w:after="20"/>
              <w:jc w:val="right"/>
              <w:rPr>
                <w:b/>
                <w:noProof/>
                <w:sz w:val="20"/>
              </w:rPr>
            </w:pPr>
          </w:p>
        </w:tc>
        <w:tc>
          <w:tcPr>
            <w:tcW w:w="1276" w:type="dxa"/>
            <w:vAlign w:val="center"/>
          </w:tcPr>
          <w:p>
            <w:pPr>
              <w:spacing w:before="20" w:after="20"/>
              <w:jc w:val="right"/>
              <w:rPr>
                <w:b/>
                <w:noProof/>
                <w:sz w:val="20"/>
              </w:rPr>
            </w:pPr>
          </w:p>
        </w:tc>
        <w:tc>
          <w:tcPr>
            <w:tcW w:w="1275" w:type="dxa"/>
            <w:vAlign w:val="center"/>
          </w:tcPr>
          <w:p>
            <w:pPr>
              <w:spacing w:before="20" w:after="20"/>
              <w:jc w:val="right"/>
              <w:rPr>
                <w:b/>
                <w:noProof/>
                <w:sz w:val="20"/>
              </w:rPr>
            </w:pPr>
          </w:p>
        </w:tc>
        <w:tc>
          <w:tcPr>
            <w:tcW w:w="1276" w:type="dxa"/>
            <w:vAlign w:val="center"/>
          </w:tcPr>
          <w:p>
            <w:pPr>
              <w:spacing w:before="20" w:after="20"/>
              <w:jc w:val="right"/>
              <w:rPr>
                <w:noProof/>
                <w:sz w:val="20"/>
              </w:rPr>
            </w:pPr>
          </w:p>
        </w:tc>
        <w:tc>
          <w:tcPr>
            <w:tcW w:w="1448" w:type="dxa"/>
            <w:vAlign w:val="center"/>
          </w:tcPr>
          <w:p>
            <w:pPr>
              <w:spacing w:before="20" w:after="20"/>
              <w:jc w:val="right"/>
              <w:rPr>
                <w:b/>
                <w:noProof/>
                <w:sz w:val="20"/>
              </w:rPr>
            </w:pPr>
          </w:p>
        </w:tc>
      </w:tr>
      <w:tr>
        <w:tc>
          <w:tcPr>
            <w:tcW w:w="3960" w:type="dxa"/>
            <w:vMerge w:val="restart"/>
            <w:shd w:val="thinDiagStripe" w:color="C0C0C0" w:fill="auto"/>
            <w:vAlign w:val="center"/>
          </w:tcPr>
          <w:p>
            <w:pPr>
              <w:jc w:val="center"/>
              <w:rPr>
                <w:b/>
                <w:noProof/>
              </w:rPr>
            </w:pPr>
            <w:r>
              <w:rPr>
                <w:b/>
                <w:noProof/>
                <w:sz w:val="22"/>
              </w:rPr>
              <w:t xml:space="preserve">TOTAL de los créditos </w:t>
            </w:r>
            <w:r>
              <w:rPr>
                <w:noProof/>
              </w:rPr>
              <w:br/>
            </w:r>
            <w:r>
              <w:rPr>
                <w:b/>
                <w:noProof/>
                <w:sz w:val="22"/>
              </w:rPr>
              <w:t>para la RÚBRICA 1b</w:t>
            </w:r>
            <w:r>
              <w:rPr>
                <w:noProof/>
              </w:rPr>
              <w:br/>
            </w:r>
            <w:r>
              <w:rPr>
                <w:noProof/>
                <w:sz w:val="22"/>
              </w:rPr>
              <w:t>del marco financiero plurianual</w:t>
            </w:r>
          </w:p>
        </w:tc>
        <w:tc>
          <w:tcPr>
            <w:tcW w:w="1220" w:type="dxa"/>
            <w:vAlign w:val="center"/>
          </w:tcPr>
          <w:p>
            <w:pPr>
              <w:rPr>
                <w:noProof/>
                <w:sz w:val="18"/>
              </w:rPr>
            </w:pPr>
            <w:r>
              <w:rPr>
                <w:noProof/>
                <w:sz w:val="18"/>
              </w:rPr>
              <w:t>Compromisos</w:t>
            </w:r>
          </w:p>
        </w:tc>
        <w:tc>
          <w:tcPr>
            <w:tcW w:w="567" w:type="dxa"/>
            <w:vAlign w:val="center"/>
          </w:tcPr>
          <w:p>
            <w:pPr>
              <w:jc w:val="center"/>
              <w:rPr>
                <w:noProof/>
                <w:sz w:val="14"/>
              </w:rPr>
            </w:pPr>
            <w:r>
              <w:rPr>
                <w:noProof/>
                <w:sz w:val="14"/>
              </w:rPr>
              <w:t>=4+ 6</w:t>
            </w:r>
          </w:p>
        </w:tc>
        <w:tc>
          <w:tcPr>
            <w:tcW w:w="709" w:type="dxa"/>
            <w:vAlign w:val="center"/>
          </w:tcPr>
          <w:p>
            <w:pPr>
              <w:spacing w:before="20" w:after="20"/>
              <w:rPr>
                <w:noProof/>
                <w:sz w:val="20"/>
              </w:rPr>
            </w:pPr>
          </w:p>
        </w:tc>
        <w:tc>
          <w:tcPr>
            <w:tcW w:w="708" w:type="dxa"/>
          </w:tcPr>
          <w:p>
            <w:pPr>
              <w:rPr>
                <w:noProof/>
              </w:rPr>
            </w:pPr>
            <w:r>
              <w:rPr>
                <w:noProof/>
              </w:rPr>
              <w:t>0,000</w:t>
            </w:r>
          </w:p>
        </w:tc>
        <w:tc>
          <w:tcPr>
            <w:tcW w:w="709" w:type="dxa"/>
          </w:tcPr>
          <w:p>
            <w:pPr>
              <w:rPr>
                <w:noProof/>
              </w:rPr>
            </w:pPr>
            <w:r>
              <w:rPr>
                <w:noProof/>
              </w:rPr>
              <w:t>0,000</w:t>
            </w:r>
          </w:p>
        </w:tc>
        <w:tc>
          <w:tcPr>
            <w:tcW w:w="1276" w:type="dxa"/>
          </w:tcPr>
          <w:p>
            <w:pPr>
              <w:rPr>
                <w:noProof/>
              </w:rPr>
            </w:pPr>
            <w:r>
              <w:rPr>
                <w:noProof/>
              </w:rPr>
              <w:t>0,000</w:t>
            </w:r>
          </w:p>
        </w:tc>
        <w:tc>
          <w:tcPr>
            <w:tcW w:w="1276" w:type="dxa"/>
          </w:tcPr>
          <w:p>
            <w:pPr>
              <w:rPr>
                <w:noProof/>
              </w:rPr>
            </w:pPr>
            <w:r>
              <w:rPr>
                <w:noProof/>
              </w:rPr>
              <w:t>0,000</w:t>
            </w:r>
          </w:p>
        </w:tc>
        <w:tc>
          <w:tcPr>
            <w:tcW w:w="1275" w:type="dxa"/>
          </w:tcPr>
          <w:p>
            <w:pPr>
              <w:rPr>
                <w:noProof/>
              </w:rPr>
            </w:pPr>
            <w:r>
              <w:rPr>
                <w:noProof/>
              </w:rPr>
              <w:t>0,000</w:t>
            </w:r>
          </w:p>
        </w:tc>
        <w:tc>
          <w:tcPr>
            <w:tcW w:w="1276" w:type="dxa"/>
          </w:tcPr>
          <w:p>
            <w:pPr>
              <w:rPr>
                <w:noProof/>
              </w:rPr>
            </w:pPr>
            <w:r>
              <w:rPr>
                <w:noProof/>
              </w:rPr>
              <w:t>0,000</w:t>
            </w:r>
          </w:p>
        </w:tc>
        <w:tc>
          <w:tcPr>
            <w:tcW w:w="1448" w:type="dxa"/>
          </w:tcPr>
          <w:p>
            <w:pPr>
              <w:rPr>
                <w:b/>
                <w:noProof/>
              </w:rPr>
            </w:pPr>
            <w:r>
              <w:rPr>
                <w:b/>
                <w:noProof/>
              </w:rPr>
              <w:t>0,000</w:t>
            </w:r>
          </w:p>
        </w:tc>
      </w:tr>
      <w:tr>
        <w:tc>
          <w:tcPr>
            <w:tcW w:w="3960" w:type="dxa"/>
            <w:vMerge/>
            <w:shd w:val="thinDiagStripe" w:color="C0C0C0" w:fill="auto"/>
          </w:tcPr>
          <w:p>
            <w:pPr>
              <w:rPr>
                <w:noProof/>
                <w:sz w:val="20"/>
              </w:rPr>
            </w:pPr>
          </w:p>
        </w:tc>
        <w:tc>
          <w:tcPr>
            <w:tcW w:w="1220" w:type="dxa"/>
            <w:vAlign w:val="center"/>
          </w:tcPr>
          <w:p>
            <w:pPr>
              <w:rPr>
                <w:noProof/>
                <w:sz w:val="18"/>
              </w:rPr>
            </w:pPr>
            <w:r>
              <w:rPr>
                <w:noProof/>
                <w:sz w:val="18"/>
              </w:rPr>
              <w:t>Pagos</w:t>
            </w:r>
          </w:p>
        </w:tc>
        <w:tc>
          <w:tcPr>
            <w:tcW w:w="567" w:type="dxa"/>
            <w:vAlign w:val="center"/>
          </w:tcPr>
          <w:p>
            <w:pPr>
              <w:jc w:val="center"/>
              <w:rPr>
                <w:noProof/>
                <w:sz w:val="14"/>
              </w:rPr>
            </w:pPr>
            <w:r>
              <w:rPr>
                <w:noProof/>
                <w:sz w:val="14"/>
              </w:rPr>
              <w:t>=5+ 6</w:t>
            </w:r>
          </w:p>
        </w:tc>
        <w:tc>
          <w:tcPr>
            <w:tcW w:w="709" w:type="dxa"/>
            <w:vAlign w:val="center"/>
          </w:tcPr>
          <w:p>
            <w:pPr>
              <w:spacing w:before="20" w:after="20"/>
              <w:jc w:val="right"/>
              <w:rPr>
                <w:noProof/>
                <w:sz w:val="20"/>
              </w:rPr>
            </w:pPr>
          </w:p>
        </w:tc>
        <w:tc>
          <w:tcPr>
            <w:tcW w:w="708" w:type="dxa"/>
            <w:tcBorders>
              <w:top w:val="single" w:sz="4" w:space="0" w:color="auto"/>
              <w:left w:val="single" w:sz="4" w:space="0" w:color="auto"/>
              <w:bottom w:val="single" w:sz="4" w:space="0" w:color="auto"/>
              <w:right w:val="single" w:sz="4" w:space="0" w:color="auto"/>
            </w:tcBorders>
          </w:tcPr>
          <w:p>
            <w:pPr>
              <w:spacing w:line="256" w:lineRule="auto"/>
              <w:rPr>
                <w:noProof/>
              </w:rPr>
            </w:pPr>
            <w:r>
              <w:rPr>
                <w:noProof/>
              </w:rPr>
              <w:t>8 500,000</w:t>
            </w:r>
          </w:p>
        </w:tc>
        <w:tc>
          <w:tcPr>
            <w:tcW w:w="709" w:type="dxa"/>
            <w:tcBorders>
              <w:top w:val="single" w:sz="4" w:space="0" w:color="auto"/>
              <w:left w:val="single" w:sz="4" w:space="0" w:color="auto"/>
              <w:bottom w:val="single" w:sz="4" w:space="0" w:color="auto"/>
              <w:right w:val="single" w:sz="4" w:space="0" w:color="auto"/>
            </w:tcBorders>
          </w:tcPr>
          <w:p>
            <w:pPr>
              <w:spacing w:line="256" w:lineRule="auto"/>
              <w:rPr>
                <w:noProof/>
              </w:rPr>
            </w:pPr>
            <w:r>
              <w:rPr>
                <w:noProof/>
              </w:rPr>
              <w:t>6 100,000</w:t>
            </w:r>
          </w:p>
        </w:tc>
        <w:tc>
          <w:tcPr>
            <w:tcW w:w="1276" w:type="dxa"/>
            <w:tcBorders>
              <w:top w:val="single" w:sz="4" w:space="0" w:color="auto"/>
              <w:left w:val="single" w:sz="4" w:space="0" w:color="auto"/>
              <w:bottom w:val="single" w:sz="4" w:space="0" w:color="auto"/>
              <w:right w:val="single" w:sz="4" w:space="0" w:color="auto"/>
            </w:tcBorders>
          </w:tcPr>
          <w:p>
            <w:pPr>
              <w:spacing w:line="256" w:lineRule="auto"/>
              <w:rPr>
                <w:noProof/>
              </w:rPr>
            </w:pPr>
            <w:r>
              <w:rPr>
                <w:noProof/>
              </w:rPr>
              <w:t>0,000</w:t>
            </w:r>
          </w:p>
        </w:tc>
        <w:tc>
          <w:tcPr>
            <w:tcW w:w="1276" w:type="dxa"/>
            <w:tcBorders>
              <w:top w:val="single" w:sz="4" w:space="0" w:color="auto"/>
              <w:left w:val="single" w:sz="4" w:space="0" w:color="auto"/>
              <w:bottom w:val="single" w:sz="4" w:space="0" w:color="auto"/>
              <w:right w:val="single" w:sz="4" w:space="0" w:color="auto"/>
            </w:tcBorders>
          </w:tcPr>
          <w:p>
            <w:pPr>
              <w:spacing w:line="256" w:lineRule="auto"/>
              <w:rPr>
                <w:noProof/>
              </w:rPr>
            </w:pPr>
            <w:r>
              <w:rPr>
                <w:noProof/>
              </w:rPr>
              <w:t>-7 300,000</w:t>
            </w:r>
          </w:p>
        </w:tc>
        <w:tc>
          <w:tcPr>
            <w:tcW w:w="1275" w:type="dxa"/>
            <w:tcBorders>
              <w:top w:val="single" w:sz="4" w:space="0" w:color="auto"/>
              <w:left w:val="single" w:sz="4" w:space="0" w:color="auto"/>
              <w:bottom w:val="single" w:sz="4" w:space="0" w:color="auto"/>
              <w:right w:val="single" w:sz="4" w:space="0" w:color="auto"/>
            </w:tcBorders>
          </w:tcPr>
          <w:p>
            <w:pPr>
              <w:spacing w:line="256" w:lineRule="auto"/>
              <w:rPr>
                <w:noProof/>
              </w:rPr>
            </w:pPr>
            <w:r>
              <w:rPr>
                <w:noProof/>
              </w:rPr>
              <w:t>-7 300,000</w:t>
            </w:r>
          </w:p>
        </w:tc>
        <w:tc>
          <w:tcPr>
            <w:tcW w:w="1276" w:type="dxa"/>
            <w:tcBorders>
              <w:top w:val="single" w:sz="4" w:space="0" w:color="auto"/>
              <w:left w:val="single" w:sz="4" w:space="0" w:color="auto"/>
              <w:bottom w:val="single" w:sz="4" w:space="0" w:color="auto"/>
              <w:right w:val="single" w:sz="4" w:space="0" w:color="auto"/>
            </w:tcBorders>
          </w:tcPr>
          <w:p>
            <w:pPr>
              <w:spacing w:line="256" w:lineRule="auto"/>
              <w:rPr>
                <w:noProof/>
              </w:rPr>
            </w:pPr>
            <w:r>
              <w:rPr>
                <w:noProof/>
              </w:rPr>
              <w:t>0,000</w:t>
            </w:r>
          </w:p>
        </w:tc>
        <w:tc>
          <w:tcPr>
            <w:tcW w:w="1448" w:type="dxa"/>
            <w:tcBorders>
              <w:top w:val="single" w:sz="4" w:space="0" w:color="auto"/>
              <w:left w:val="single" w:sz="4" w:space="0" w:color="auto"/>
              <w:bottom w:val="single" w:sz="4" w:space="0" w:color="auto"/>
              <w:right w:val="single" w:sz="4" w:space="0" w:color="auto"/>
            </w:tcBorders>
          </w:tcPr>
          <w:p>
            <w:pPr>
              <w:spacing w:line="256" w:lineRule="auto"/>
              <w:rPr>
                <w:b/>
                <w:noProof/>
              </w:rPr>
            </w:pPr>
            <w:r>
              <w:rPr>
                <w:b/>
                <w:noProof/>
              </w:rPr>
              <w:t>0,000</w:t>
            </w:r>
          </w:p>
        </w:tc>
      </w:tr>
      <w:tr>
        <w:tc>
          <w:tcPr>
            <w:tcW w:w="3960" w:type="dxa"/>
            <w:shd w:val="thinDiagStripe" w:color="C0C0C0" w:fill="auto"/>
          </w:tcPr>
          <w:p>
            <w:pPr>
              <w:rPr>
                <w:noProof/>
                <w:sz w:val="20"/>
              </w:rPr>
            </w:pPr>
          </w:p>
        </w:tc>
        <w:tc>
          <w:tcPr>
            <w:tcW w:w="1220" w:type="dxa"/>
            <w:vAlign w:val="center"/>
          </w:tcPr>
          <w:p>
            <w:pPr>
              <w:rPr>
                <w:noProof/>
                <w:sz w:val="18"/>
              </w:rPr>
            </w:pPr>
          </w:p>
        </w:tc>
        <w:tc>
          <w:tcPr>
            <w:tcW w:w="567" w:type="dxa"/>
            <w:vAlign w:val="center"/>
          </w:tcPr>
          <w:p>
            <w:pPr>
              <w:jc w:val="center"/>
              <w:rPr>
                <w:noProof/>
                <w:sz w:val="14"/>
              </w:rPr>
            </w:pPr>
          </w:p>
        </w:tc>
        <w:tc>
          <w:tcPr>
            <w:tcW w:w="709" w:type="dxa"/>
            <w:vAlign w:val="center"/>
          </w:tcPr>
          <w:p>
            <w:pPr>
              <w:spacing w:before="20" w:after="20"/>
              <w:jc w:val="right"/>
              <w:rPr>
                <w:noProof/>
                <w:sz w:val="20"/>
              </w:rPr>
            </w:pPr>
          </w:p>
        </w:tc>
        <w:tc>
          <w:tcPr>
            <w:tcW w:w="708" w:type="dxa"/>
            <w:vAlign w:val="center"/>
          </w:tcPr>
          <w:p>
            <w:pPr>
              <w:spacing w:before="20" w:after="20"/>
              <w:jc w:val="right"/>
              <w:rPr>
                <w:noProof/>
                <w:sz w:val="20"/>
              </w:rPr>
            </w:pPr>
          </w:p>
        </w:tc>
        <w:tc>
          <w:tcPr>
            <w:tcW w:w="709" w:type="dxa"/>
            <w:vAlign w:val="center"/>
          </w:tcPr>
          <w:p>
            <w:pPr>
              <w:spacing w:before="20" w:after="20"/>
              <w:jc w:val="right"/>
              <w:rPr>
                <w:noProof/>
                <w:sz w:val="20"/>
              </w:rPr>
            </w:pPr>
          </w:p>
        </w:tc>
        <w:tc>
          <w:tcPr>
            <w:tcW w:w="1276" w:type="dxa"/>
            <w:vAlign w:val="center"/>
          </w:tcPr>
          <w:p>
            <w:pPr>
              <w:spacing w:before="20" w:after="20"/>
              <w:jc w:val="right"/>
              <w:rPr>
                <w:noProof/>
                <w:sz w:val="20"/>
              </w:rPr>
            </w:pPr>
          </w:p>
        </w:tc>
        <w:tc>
          <w:tcPr>
            <w:tcW w:w="1276" w:type="dxa"/>
            <w:vAlign w:val="center"/>
          </w:tcPr>
          <w:p>
            <w:pPr>
              <w:spacing w:before="20" w:after="20"/>
              <w:jc w:val="right"/>
              <w:rPr>
                <w:b/>
                <w:noProof/>
                <w:sz w:val="20"/>
              </w:rPr>
            </w:pPr>
          </w:p>
        </w:tc>
        <w:tc>
          <w:tcPr>
            <w:tcW w:w="1275" w:type="dxa"/>
            <w:vAlign w:val="center"/>
          </w:tcPr>
          <w:p>
            <w:pPr>
              <w:spacing w:before="20" w:after="20"/>
              <w:jc w:val="right"/>
              <w:rPr>
                <w:noProof/>
                <w:sz w:val="20"/>
              </w:rPr>
            </w:pPr>
          </w:p>
        </w:tc>
        <w:tc>
          <w:tcPr>
            <w:tcW w:w="1276" w:type="dxa"/>
            <w:vAlign w:val="center"/>
          </w:tcPr>
          <w:p>
            <w:pPr>
              <w:spacing w:before="20" w:after="20"/>
              <w:jc w:val="right"/>
              <w:rPr>
                <w:b/>
                <w:noProof/>
                <w:sz w:val="20"/>
              </w:rPr>
            </w:pPr>
          </w:p>
        </w:tc>
        <w:tc>
          <w:tcPr>
            <w:tcW w:w="1448" w:type="dxa"/>
            <w:vAlign w:val="center"/>
          </w:tcPr>
          <w:p>
            <w:pPr>
              <w:spacing w:before="20" w:after="20"/>
              <w:jc w:val="right"/>
              <w:rPr>
                <w:b/>
                <w:noProof/>
                <w:sz w:val="20"/>
              </w:rPr>
            </w:pPr>
          </w:p>
        </w:tc>
      </w:tr>
    </w:tbl>
    <w:p>
      <w:pPr>
        <w:rPr>
          <w:noProof/>
          <w:sz w:val="16"/>
        </w:rPr>
      </w:pPr>
    </w:p>
    <w:p>
      <w:pPr>
        <w:rPr>
          <w:noProof/>
        </w:rPr>
      </w:pPr>
    </w:p>
    <w:p>
      <w:pPr>
        <w:rPr>
          <w:b/>
          <w:noProof/>
          <w:sz w:val="22"/>
          <w:u w:val="single"/>
        </w:rPr>
      </w:pPr>
      <w:r>
        <w:rPr>
          <w:noProof/>
        </w:rPr>
        <w:br/>
      </w:r>
    </w:p>
    <w:p>
      <w:pPr>
        <w:spacing w:after="40"/>
        <w:rPr>
          <w:b/>
          <w:noProof/>
          <w:sz w:val="22"/>
          <w:u w:val="single"/>
        </w:rPr>
      </w:pPr>
      <w:r>
        <w:rPr>
          <w:b/>
          <w:noProof/>
          <w:sz w:val="22"/>
          <w:u w:val="single"/>
        </w:rPr>
        <w:t>Si la propuesta/iniciativa afecta a más de una rúbrica:</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1386"/>
        <w:gridCol w:w="960"/>
        <w:gridCol w:w="840"/>
        <w:gridCol w:w="840"/>
        <w:gridCol w:w="720"/>
        <w:gridCol w:w="720"/>
        <w:gridCol w:w="960"/>
        <w:gridCol w:w="1427"/>
      </w:tblGrid>
      <w:tr>
        <w:trPr>
          <w:trHeight w:val="277"/>
        </w:trPr>
        <w:tc>
          <w:tcPr>
            <w:tcW w:w="3960" w:type="dxa"/>
            <w:vMerge w:val="restart"/>
            <w:tcBorders>
              <w:top w:val="single" w:sz="4" w:space="0" w:color="auto"/>
              <w:left w:val="single" w:sz="4" w:space="0" w:color="auto"/>
              <w:bottom w:val="single" w:sz="4" w:space="0" w:color="FF0000"/>
            </w:tcBorders>
            <w:vAlign w:val="center"/>
          </w:tcPr>
          <w:p>
            <w:pPr>
              <w:spacing w:before="20" w:after="20"/>
              <w:rPr>
                <w:noProof/>
              </w:rPr>
            </w:pPr>
            <w:r>
              <w:rPr>
                <w:noProof/>
                <w:sz w:val="21"/>
              </w:rPr>
              <w:sym w:font="Wingdings" w:char="F09F"/>
            </w:r>
            <w:r>
              <w:rPr>
                <w:noProof/>
                <w:sz w:val="21"/>
              </w:rPr>
              <w:t xml:space="preserve">TOTAL de los créditos de operaciones </w:t>
            </w:r>
          </w:p>
        </w:tc>
        <w:tc>
          <w:tcPr>
            <w:tcW w:w="1440" w:type="dxa"/>
            <w:tcBorders>
              <w:top w:val="single" w:sz="4" w:space="0" w:color="auto"/>
            </w:tcBorders>
            <w:vAlign w:val="center"/>
          </w:tcPr>
          <w:p>
            <w:pPr>
              <w:spacing w:beforeLines="20" w:before="48" w:afterLines="20" w:after="48"/>
              <w:rPr>
                <w:noProof/>
                <w:sz w:val="18"/>
              </w:rPr>
            </w:pPr>
            <w:r>
              <w:rPr>
                <w:noProof/>
                <w:sz w:val="18"/>
              </w:rPr>
              <w:t>Compromisos</w:t>
            </w:r>
          </w:p>
        </w:tc>
        <w:tc>
          <w:tcPr>
            <w:tcW w:w="654" w:type="dxa"/>
            <w:tcBorders>
              <w:top w:val="single" w:sz="4" w:space="0" w:color="auto"/>
            </w:tcBorders>
            <w:vAlign w:val="center"/>
          </w:tcPr>
          <w:p>
            <w:pPr>
              <w:spacing w:beforeLines="20" w:before="48" w:afterLines="20" w:after="48"/>
              <w:jc w:val="center"/>
              <w:rPr>
                <w:noProof/>
                <w:sz w:val="14"/>
              </w:rPr>
            </w:pPr>
            <w:r>
              <w:rPr>
                <w:noProof/>
                <w:sz w:val="14"/>
              </w:rPr>
              <w:t>(4)</w:t>
            </w:r>
          </w:p>
        </w:tc>
        <w:tc>
          <w:tcPr>
            <w:tcW w:w="1386" w:type="dxa"/>
            <w:tcBorders>
              <w:top w:val="single" w:sz="4" w:space="0" w:color="auto"/>
            </w:tcBorders>
            <w:vAlign w:val="center"/>
          </w:tcPr>
          <w:p>
            <w:pPr>
              <w:spacing w:before="20" w:after="20"/>
              <w:jc w:val="right"/>
              <w:rPr>
                <w:noProof/>
                <w:sz w:val="20"/>
              </w:rPr>
            </w:pPr>
          </w:p>
        </w:tc>
        <w:tc>
          <w:tcPr>
            <w:tcW w:w="960" w:type="dxa"/>
            <w:tcBorders>
              <w:top w:val="single" w:sz="4" w:space="0" w:color="auto"/>
            </w:tcBorders>
            <w:vAlign w:val="center"/>
          </w:tcPr>
          <w:p>
            <w:pPr>
              <w:spacing w:before="20" w:after="20"/>
              <w:jc w:val="right"/>
              <w:rPr>
                <w:noProof/>
                <w:sz w:val="20"/>
              </w:rPr>
            </w:pPr>
          </w:p>
        </w:tc>
        <w:tc>
          <w:tcPr>
            <w:tcW w:w="840" w:type="dxa"/>
            <w:tcBorders>
              <w:top w:val="single" w:sz="4" w:space="0" w:color="auto"/>
            </w:tcBorders>
            <w:vAlign w:val="center"/>
          </w:tcPr>
          <w:p>
            <w:pPr>
              <w:spacing w:before="20" w:after="20"/>
              <w:jc w:val="right"/>
              <w:rPr>
                <w:noProof/>
                <w:sz w:val="20"/>
              </w:rPr>
            </w:pPr>
          </w:p>
        </w:tc>
        <w:tc>
          <w:tcPr>
            <w:tcW w:w="840" w:type="dxa"/>
            <w:tcBorders>
              <w:top w:val="single" w:sz="4" w:space="0" w:color="auto"/>
            </w:tcBorders>
            <w:vAlign w:val="center"/>
          </w:tcPr>
          <w:p>
            <w:pPr>
              <w:spacing w:before="20" w:after="20"/>
              <w:jc w:val="right"/>
              <w:rPr>
                <w:noProof/>
                <w:sz w:val="20"/>
              </w:rPr>
            </w:pPr>
          </w:p>
        </w:tc>
        <w:tc>
          <w:tcPr>
            <w:tcW w:w="720" w:type="dxa"/>
            <w:tcBorders>
              <w:top w:val="single" w:sz="4" w:space="0" w:color="auto"/>
            </w:tcBorders>
            <w:vAlign w:val="center"/>
          </w:tcPr>
          <w:p>
            <w:pPr>
              <w:spacing w:before="20" w:after="20"/>
              <w:jc w:val="right"/>
              <w:rPr>
                <w:noProof/>
                <w:sz w:val="20"/>
              </w:rPr>
            </w:pPr>
          </w:p>
        </w:tc>
        <w:tc>
          <w:tcPr>
            <w:tcW w:w="720" w:type="dxa"/>
            <w:tcBorders>
              <w:top w:val="single" w:sz="4" w:space="0" w:color="auto"/>
            </w:tcBorders>
            <w:vAlign w:val="center"/>
          </w:tcPr>
          <w:p>
            <w:pPr>
              <w:spacing w:before="20" w:after="20"/>
              <w:jc w:val="right"/>
              <w:rPr>
                <w:noProof/>
                <w:sz w:val="20"/>
              </w:rPr>
            </w:pPr>
          </w:p>
        </w:tc>
        <w:tc>
          <w:tcPr>
            <w:tcW w:w="960" w:type="dxa"/>
            <w:tcBorders>
              <w:top w:val="single" w:sz="4" w:space="0" w:color="auto"/>
            </w:tcBorders>
            <w:vAlign w:val="center"/>
          </w:tcPr>
          <w:p>
            <w:pPr>
              <w:spacing w:before="20" w:after="20"/>
              <w:jc w:val="right"/>
              <w:rPr>
                <w:b/>
                <w:noProof/>
                <w:sz w:val="20"/>
              </w:rPr>
            </w:pPr>
          </w:p>
        </w:tc>
        <w:tc>
          <w:tcPr>
            <w:tcW w:w="1427" w:type="dxa"/>
            <w:tcBorders>
              <w:top w:val="single" w:sz="4" w:space="0" w:color="auto"/>
              <w:right w:val="single" w:sz="4" w:space="0" w:color="auto"/>
            </w:tcBorders>
            <w:vAlign w:val="center"/>
          </w:tcPr>
          <w:p>
            <w:pPr>
              <w:spacing w:before="20" w:after="20"/>
              <w:jc w:val="right"/>
              <w:rPr>
                <w:b/>
                <w:noProof/>
                <w:sz w:val="20"/>
              </w:rPr>
            </w:pPr>
          </w:p>
        </w:tc>
      </w:tr>
      <w:tr>
        <w:tc>
          <w:tcPr>
            <w:tcW w:w="3960" w:type="dxa"/>
            <w:vMerge/>
            <w:tcBorders>
              <w:top w:val="single" w:sz="4" w:space="0" w:color="FF0000"/>
              <w:left w:val="single" w:sz="4" w:space="0" w:color="auto"/>
              <w:bottom w:val="single" w:sz="4" w:space="0" w:color="FF0000"/>
            </w:tcBorders>
          </w:tcPr>
          <w:p>
            <w:pPr>
              <w:jc w:val="center"/>
              <w:rPr>
                <w:noProof/>
                <w:sz w:val="20"/>
              </w:rPr>
            </w:pPr>
          </w:p>
        </w:tc>
        <w:tc>
          <w:tcPr>
            <w:tcW w:w="1440" w:type="dxa"/>
            <w:vAlign w:val="center"/>
          </w:tcPr>
          <w:p>
            <w:pPr>
              <w:spacing w:beforeLines="20" w:before="48" w:afterLines="20" w:after="48"/>
              <w:rPr>
                <w:noProof/>
                <w:sz w:val="18"/>
              </w:rPr>
            </w:pPr>
            <w:r>
              <w:rPr>
                <w:noProof/>
                <w:sz w:val="18"/>
              </w:rPr>
              <w:t>Pagos</w:t>
            </w:r>
          </w:p>
        </w:tc>
        <w:tc>
          <w:tcPr>
            <w:tcW w:w="654" w:type="dxa"/>
            <w:vAlign w:val="center"/>
          </w:tcPr>
          <w:p>
            <w:pPr>
              <w:spacing w:beforeLines="20" w:before="48" w:afterLines="20" w:after="48"/>
              <w:jc w:val="center"/>
              <w:rPr>
                <w:noProof/>
                <w:sz w:val="14"/>
              </w:rPr>
            </w:pPr>
            <w:r>
              <w:rPr>
                <w:noProof/>
                <w:sz w:val="14"/>
              </w:rPr>
              <w:t>(5)</w:t>
            </w:r>
          </w:p>
        </w:tc>
        <w:tc>
          <w:tcPr>
            <w:tcW w:w="1386" w:type="dxa"/>
            <w:vAlign w:val="center"/>
          </w:tcPr>
          <w:p>
            <w:pPr>
              <w:spacing w:before="20" w:after="20"/>
              <w:jc w:val="right"/>
              <w:rPr>
                <w:noProof/>
                <w:sz w:val="20"/>
              </w:rPr>
            </w:pPr>
          </w:p>
        </w:tc>
        <w:tc>
          <w:tcPr>
            <w:tcW w:w="960" w:type="dxa"/>
            <w:vAlign w:val="center"/>
          </w:tcPr>
          <w:p>
            <w:pPr>
              <w:spacing w:before="20" w:after="20"/>
              <w:jc w:val="right"/>
              <w:rPr>
                <w:noProof/>
                <w:sz w:val="20"/>
              </w:rPr>
            </w:pPr>
          </w:p>
        </w:tc>
        <w:tc>
          <w:tcPr>
            <w:tcW w:w="840" w:type="dxa"/>
            <w:vAlign w:val="center"/>
          </w:tcPr>
          <w:p>
            <w:pPr>
              <w:spacing w:before="20" w:after="20"/>
              <w:jc w:val="right"/>
              <w:rPr>
                <w:noProof/>
                <w:sz w:val="20"/>
              </w:rPr>
            </w:pPr>
          </w:p>
        </w:tc>
        <w:tc>
          <w:tcPr>
            <w:tcW w:w="840" w:type="dxa"/>
            <w:vAlign w:val="center"/>
          </w:tcPr>
          <w:p>
            <w:pPr>
              <w:spacing w:before="20" w:after="20"/>
              <w:jc w:val="right"/>
              <w:rPr>
                <w:noProof/>
                <w:sz w:val="20"/>
              </w:rPr>
            </w:pPr>
          </w:p>
        </w:tc>
        <w:tc>
          <w:tcPr>
            <w:tcW w:w="720" w:type="dxa"/>
            <w:vAlign w:val="center"/>
          </w:tcPr>
          <w:p>
            <w:pPr>
              <w:spacing w:before="20" w:after="20"/>
              <w:jc w:val="right"/>
              <w:rPr>
                <w:noProof/>
                <w:sz w:val="20"/>
              </w:rPr>
            </w:pPr>
          </w:p>
        </w:tc>
        <w:tc>
          <w:tcPr>
            <w:tcW w:w="720" w:type="dxa"/>
            <w:vAlign w:val="center"/>
          </w:tcPr>
          <w:p>
            <w:pPr>
              <w:spacing w:before="20" w:after="20"/>
              <w:jc w:val="right"/>
              <w:rPr>
                <w:noProof/>
                <w:sz w:val="20"/>
              </w:rPr>
            </w:pPr>
          </w:p>
        </w:tc>
        <w:tc>
          <w:tcPr>
            <w:tcW w:w="960" w:type="dxa"/>
            <w:vAlign w:val="center"/>
          </w:tcPr>
          <w:p>
            <w:pPr>
              <w:spacing w:before="20" w:after="20"/>
              <w:jc w:val="right"/>
              <w:rPr>
                <w:b/>
                <w:noProof/>
                <w:sz w:val="20"/>
              </w:rPr>
            </w:pPr>
          </w:p>
        </w:tc>
        <w:tc>
          <w:tcPr>
            <w:tcW w:w="1427" w:type="dxa"/>
            <w:tcBorders>
              <w:right w:val="single" w:sz="4" w:space="0" w:color="auto"/>
            </w:tcBorders>
            <w:vAlign w:val="center"/>
          </w:tcPr>
          <w:p>
            <w:pPr>
              <w:spacing w:before="20" w:after="20"/>
              <w:jc w:val="right"/>
              <w:rPr>
                <w:b/>
                <w:noProof/>
                <w:sz w:val="20"/>
              </w:rPr>
            </w:pPr>
          </w:p>
        </w:tc>
      </w:tr>
      <w:tr>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pPr>
              <w:spacing w:beforeLines="20" w:before="48" w:afterLines="20" w:after="48"/>
              <w:rPr>
                <w:noProof/>
              </w:rPr>
            </w:pPr>
            <w:r>
              <w:rPr>
                <w:noProof/>
                <w:sz w:val="21"/>
              </w:rPr>
              <w:sym w:font="Wingdings" w:char="F09F"/>
            </w:r>
            <w:r>
              <w:rPr>
                <w:noProof/>
                <w:sz w:val="21"/>
              </w:rPr>
              <w:t xml:space="preserve">TOTAL de los créditos de carácter administrativo financiados mediante la dotación de programas específicos </w:t>
            </w:r>
          </w:p>
        </w:tc>
        <w:tc>
          <w:tcPr>
            <w:tcW w:w="654" w:type="dxa"/>
            <w:vAlign w:val="center"/>
          </w:tcPr>
          <w:p>
            <w:pPr>
              <w:spacing w:beforeLines="20" w:before="48" w:afterLines="20" w:after="48"/>
              <w:jc w:val="center"/>
              <w:rPr>
                <w:noProof/>
                <w:sz w:val="14"/>
              </w:rPr>
            </w:pPr>
            <w:r>
              <w:rPr>
                <w:noProof/>
                <w:sz w:val="14"/>
              </w:rPr>
              <w:t>(6)</w:t>
            </w:r>
          </w:p>
        </w:tc>
        <w:tc>
          <w:tcPr>
            <w:tcW w:w="1386" w:type="dxa"/>
            <w:vAlign w:val="center"/>
          </w:tcPr>
          <w:p>
            <w:pPr>
              <w:spacing w:before="20" w:after="20"/>
              <w:jc w:val="right"/>
              <w:rPr>
                <w:b/>
                <w:noProof/>
                <w:sz w:val="20"/>
              </w:rPr>
            </w:pPr>
          </w:p>
        </w:tc>
        <w:tc>
          <w:tcPr>
            <w:tcW w:w="960" w:type="dxa"/>
            <w:vAlign w:val="center"/>
          </w:tcPr>
          <w:p>
            <w:pPr>
              <w:spacing w:before="20" w:after="20"/>
              <w:jc w:val="right"/>
              <w:rPr>
                <w:b/>
                <w:noProof/>
                <w:sz w:val="20"/>
              </w:rPr>
            </w:pPr>
          </w:p>
        </w:tc>
        <w:tc>
          <w:tcPr>
            <w:tcW w:w="840" w:type="dxa"/>
            <w:vAlign w:val="center"/>
          </w:tcPr>
          <w:p>
            <w:pPr>
              <w:spacing w:before="20" w:after="20"/>
              <w:jc w:val="right"/>
              <w:rPr>
                <w:b/>
                <w:noProof/>
                <w:sz w:val="20"/>
              </w:rPr>
            </w:pPr>
          </w:p>
        </w:tc>
        <w:tc>
          <w:tcPr>
            <w:tcW w:w="840" w:type="dxa"/>
            <w:vAlign w:val="center"/>
          </w:tcPr>
          <w:p>
            <w:pPr>
              <w:spacing w:before="20" w:after="20"/>
              <w:jc w:val="right"/>
              <w:rPr>
                <w:b/>
                <w:noProof/>
                <w:sz w:val="20"/>
              </w:rPr>
            </w:pPr>
          </w:p>
        </w:tc>
        <w:tc>
          <w:tcPr>
            <w:tcW w:w="720" w:type="dxa"/>
            <w:vAlign w:val="center"/>
          </w:tcPr>
          <w:p>
            <w:pPr>
              <w:spacing w:before="20" w:after="20"/>
              <w:jc w:val="right"/>
              <w:rPr>
                <w:b/>
                <w:noProof/>
                <w:sz w:val="20"/>
              </w:rPr>
            </w:pPr>
          </w:p>
        </w:tc>
        <w:tc>
          <w:tcPr>
            <w:tcW w:w="720" w:type="dxa"/>
            <w:vAlign w:val="center"/>
          </w:tcPr>
          <w:p>
            <w:pPr>
              <w:spacing w:before="20" w:after="20"/>
              <w:jc w:val="right"/>
              <w:rPr>
                <w:b/>
                <w:noProof/>
                <w:sz w:val="20"/>
              </w:rPr>
            </w:pPr>
          </w:p>
        </w:tc>
        <w:tc>
          <w:tcPr>
            <w:tcW w:w="960" w:type="dxa"/>
            <w:vAlign w:val="center"/>
          </w:tcPr>
          <w:p>
            <w:pPr>
              <w:spacing w:before="20" w:after="20"/>
              <w:jc w:val="right"/>
              <w:rPr>
                <w:b/>
                <w:noProof/>
                <w:sz w:val="20"/>
              </w:rPr>
            </w:pPr>
          </w:p>
        </w:tc>
        <w:tc>
          <w:tcPr>
            <w:tcW w:w="1427" w:type="dxa"/>
            <w:vAlign w:val="center"/>
          </w:tcPr>
          <w:p>
            <w:pPr>
              <w:spacing w:before="20" w:after="20"/>
              <w:jc w:val="right"/>
              <w:rPr>
                <w:b/>
                <w:noProof/>
                <w:sz w:val="20"/>
              </w:rPr>
            </w:pPr>
          </w:p>
        </w:tc>
      </w:tr>
      <w:tr>
        <w:tc>
          <w:tcPr>
            <w:tcW w:w="3960" w:type="dxa"/>
            <w:vMerge w:val="restart"/>
            <w:tcBorders>
              <w:top w:val="single" w:sz="4" w:space="0" w:color="FF0000"/>
              <w:left w:val="single" w:sz="4" w:space="0" w:color="auto"/>
              <w:bottom w:val="single" w:sz="4" w:space="0" w:color="FF0000"/>
            </w:tcBorders>
            <w:shd w:val="thinDiagStripe" w:color="C0C0C0" w:fill="auto"/>
            <w:vAlign w:val="center"/>
          </w:tcPr>
          <w:p>
            <w:pPr>
              <w:jc w:val="center"/>
              <w:rPr>
                <w:b/>
                <w:noProof/>
              </w:rPr>
            </w:pPr>
            <w:r>
              <w:rPr>
                <w:b/>
                <w:noProof/>
                <w:sz w:val="22"/>
              </w:rPr>
              <w:t xml:space="preserve">TOTAL de los créditos </w:t>
            </w:r>
            <w:r>
              <w:rPr>
                <w:noProof/>
              </w:rPr>
              <w:br/>
            </w:r>
            <w:r>
              <w:rPr>
                <w:b/>
                <w:noProof/>
                <w:sz w:val="22"/>
              </w:rPr>
              <w:t>para las RÚBRICAS 1 a 4</w:t>
            </w:r>
            <w:r>
              <w:rPr>
                <w:noProof/>
              </w:rPr>
              <w:br/>
            </w:r>
            <w:r>
              <w:rPr>
                <w:noProof/>
                <w:sz w:val="22"/>
              </w:rPr>
              <w:t>del marco financiero plurianual</w:t>
            </w:r>
            <w:r>
              <w:rPr>
                <w:noProof/>
              </w:rPr>
              <w:br/>
            </w:r>
            <w:r>
              <w:rPr>
                <w:noProof/>
                <w:sz w:val="20"/>
              </w:rPr>
              <w:t>(Importe de referencia)</w:t>
            </w:r>
          </w:p>
        </w:tc>
        <w:tc>
          <w:tcPr>
            <w:tcW w:w="1440" w:type="dxa"/>
            <w:vAlign w:val="center"/>
          </w:tcPr>
          <w:p>
            <w:pPr>
              <w:rPr>
                <w:noProof/>
                <w:sz w:val="18"/>
              </w:rPr>
            </w:pPr>
            <w:r>
              <w:rPr>
                <w:noProof/>
                <w:sz w:val="18"/>
              </w:rPr>
              <w:t>Compromisos</w:t>
            </w:r>
          </w:p>
        </w:tc>
        <w:tc>
          <w:tcPr>
            <w:tcW w:w="654" w:type="dxa"/>
            <w:vAlign w:val="center"/>
          </w:tcPr>
          <w:p>
            <w:pPr>
              <w:jc w:val="center"/>
              <w:rPr>
                <w:noProof/>
                <w:sz w:val="14"/>
              </w:rPr>
            </w:pPr>
            <w:r>
              <w:rPr>
                <w:noProof/>
                <w:sz w:val="14"/>
              </w:rPr>
              <w:t>=4+ 6</w:t>
            </w:r>
          </w:p>
        </w:tc>
        <w:tc>
          <w:tcPr>
            <w:tcW w:w="1386" w:type="dxa"/>
            <w:vAlign w:val="center"/>
          </w:tcPr>
          <w:p>
            <w:pPr>
              <w:spacing w:before="20" w:after="20"/>
              <w:jc w:val="right"/>
              <w:rPr>
                <w:noProof/>
                <w:sz w:val="20"/>
              </w:rPr>
            </w:pPr>
          </w:p>
        </w:tc>
        <w:tc>
          <w:tcPr>
            <w:tcW w:w="960" w:type="dxa"/>
            <w:vAlign w:val="center"/>
          </w:tcPr>
          <w:p>
            <w:pPr>
              <w:spacing w:before="20" w:after="20"/>
              <w:jc w:val="right"/>
              <w:rPr>
                <w:noProof/>
                <w:sz w:val="20"/>
              </w:rPr>
            </w:pPr>
          </w:p>
        </w:tc>
        <w:tc>
          <w:tcPr>
            <w:tcW w:w="840" w:type="dxa"/>
            <w:vAlign w:val="center"/>
          </w:tcPr>
          <w:p>
            <w:pPr>
              <w:spacing w:before="20" w:after="20"/>
              <w:jc w:val="right"/>
              <w:rPr>
                <w:noProof/>
                <w:sz w:val="20"/>
              </w:rPr>
            </w:pPr>
          </w:p>
        </w:tc>
        <w:tc>
          <w:tcPr>
            <w:tcW w:w="840" w:type="dxa"/>
            <w:vAlign w:val="center"/>
          </w:tcPr>
          <w:p>
            <w:pPr>
              <w:spacing w:before="20" w:after="20"/>
              <w:jc w:val="right"/>
              <w:rPr>
                <w:noProof/>
                <w:sz w:val="20"/>
              </w:rPr>
            </w:pPr>
          </w:p>
        </w:tc>
        <w:tc>
          <w:tcPr>
            <w:tcW w:w="720" w:type="dxa"/>
            <w:vAlign w:val="center"/>
          </w:tcPr>
          <w:p>
            <w:pPr>
              <w:spacing w:before="20" w:after="20"/>
              <w:jc w:val="right"/>
              <w:rPr>
                <w:noProof/>
                <w:sz w:val="20"/>
              </w:rPr>
            </w:pPr>
          </w:p>
        </w:tc>
        <w:tc>
          <w:tcPr>
            <w:tcW w:w="720" w:type="dxa"/>
            <w:vAlign w:val="center"/>
          </w:tcPr>
          <w:p>
            <w:pPr>
              <w:spacing w:before="20" w:after="20"/>
              <w:jc w:val="right"/>
              <w:rPr>
                <w:noProof/>
                <w:sz w:val="20"/>
              </w:rPr>
            </w:pPr>
          </w:p>
        </w:tc>
        <w:tc>
          <w:tcPr>
            <w:tcW w:w="960" w:type="dxa"/>
            <w:vAlign w:val="center"/>
          </w:tcPr>
          <w:p>
            <w:pPr>
              <w:spacing w:before="20" w:after="20"/>
              <w:jc w:val="right"/>
              <w:rPr>
                <w:b/>
                <w:noProof/>
                <w:sz w:val="20"/>
              </w:rPr>
            </w:pPr>
          </w:p>
        </w:tc>
        <w:tc>
          <w:tcPr>
            <w:tcW w:w="1427" w:type="dxa"/>
            <w:tcBorders>
              <w:right w:val="single" w:sz="4" w:space="0" w:color="auto"/>
            </w:tcBorders>
            <w:vAlign w:val="center"/>
          </w:tcPr>
          <w:p>
            <w:pPr>
              <w:spacing w:before="20" w:after="20"/>
              <w:jc w:val="right"/>
              <w:rPr>
                <w:b/>
                <w:noProof/>
                <w:sz w:val="20"/>
              </w:rPr>
            </w:pPr>
          </w:p>
        </w:tc>
      </w:tr>
      <w:tr>
        <w:tc>
          <w:tcPr>
            <w:tcW w:w="3960" w:type="dxa"/>
            <w:vMerge/>
            <w:tcBorders>
              <w:top w:val="single" w:sz="4" w:space="0" w:color="FF0000"/>
              <w:left w:val="single" w:sz="4" w:space="0" w:color="auto"/>
              <w:bottom w:val="single" w:sz="4" w:space="0" w:color="auto"/>
            </w:tcBorders>
            <w:shd w:val="thinDiagStripe" w:color="C0C0C0" w:fill="auto"/>
          </w:tcPr>
          <w:p>
            <w:pPr>
              <w:rPr>
                <w:noProof/>
                <w:sz w:val="20"/>
              </w:rPr>
            </w:pPr>
          </w:p>
        </w:tc>
        <w:tc>
          <w:tcPr>
            <w:tcW w:w="1440" w:type="dxa"/>
            <w:tcBorders>
              <w:bottom w:val="single" w:sz="4" w:space="0" w:color="auto"/>
            </w:tcBorders>
            <w:vAlign w:val="center"/>
          </w:tcPr>
          <w:p>
            <w:pPr>
              <w:rPr>
                <w:noProof/>
                <w:sz w:val="18"/>
              </w:rPr>
            </w:pPr>
            <w:r>
              <w:rPr>
                <w:noProof/>
                <w:sz w:val="18"/>
              </w:rPr>
              <w:t>Pagos</w:t>
            </w:r>
          </w:p>
        </w:tc>
        <w:tc>
          <w:tcPr>
            <w:tcW w:w="654" w:type="dxa"/>
            <w:tcBorders>
              <w:bottom w:val="single" w:sz="4" w:space="0" w:color="auto"/>
            </w:tcBorders>
            <w:vAlign w:val="center"/>
          </w:tcPr>
          <w:p>
            <w:pPr>
              <w:jc w:val="center"/>
              <w:rPr>
                <w:noProof/>
                <w:sz w:val="14"/>
              </w:rPr>
            </w:pPr>
            <w:r>
              <w:rPr>
                <w:noProof/>
                <w:sz w:val="14"/>
              </w:rPr>
              <w:t>=5+ 6</w:t>
            </w:r>
          </w:p>
        </w:tc>
        <w:tc>
          <w:tcPr>
            <w:tcW w:w="1386" w:type="dxa"/>
            <w:tcBorders>
              <w:bottom w:val="single" w:sz="4" w:space="0" w:color="auto"/>
            </w:tcBorders>
            <w:vAlign w:val="center"/>
          </w:tcPr>
          <w:p>
            <w:pPr>
              <w:spacing w:before="20" w:after="20"/>
              <w:jc w:val="right"/>
              <w:rPr>
                <w:noProof/>
                <w:sz w:val="20"/>
              </w:rPr>
            </w:pPr>
          </w:p>
        </w:tc>
        <w:tc>
          <w:tcPr>
            <w:tcW w:w="960" w:type="dxa"/>
            <w:tcBorders>
              <w:bottom w:val="single" w:sz="4" w:space="0" w:color="auto"/>
            </w:tcBorders>
            <w:vAlign w:val="center"/>
          </w:tcPr>
          <w:p>
            <w:pPr>
              <w:spacing w:before="20" w:after="20"/>
              <w:jc w:val="right"/>
              <w:rPr>
                <w:noProof/>
                <w:sz w:val="20"/>
              </w:rPr>
            </w:pPr>
          </w:p>
        </w:tc>
        <w:tc>
          <w:tcPr>
            <w:tcW w:w="840" w:type="dxa"/>
            <w:tcBorders>
              <w:bottom w:val="single" w:sz="4" w:space="0" w:color="auto"/>
            </w:tcBorders>
            <w:vAlign w:val="center"/>
          </w:tcPr>
          <w:p>
            <w:pPr>
              <w:spacing w:before="20" w:after="20"/>
              <w:jc w:val="right"/>
              <w:rPr>
                <w:noProof/>
                <w:sz w:val="20"/>
              </w:rPr>
            </w:pPr>
          </w:p>
        </w:tc>
        <w:tc>
          <w:tcPr>
            <w:tcW w:w="840" w:type="dxa"/>
            <w:tcBorders>
              <w:bottom w:val="single" w:sz="4" w:space="0" w:color="auto"/>
            </w:tcBorders>
            <w:vAlign w:val="center"/>
          </w:tcPr>
          <w:p>
            <w:pPr>
              <w:spacing w:before="20" w:after="20"/>
              <w:jc w:val="right"/>
              <w:rPr>
                <w:noProof/>
                <w:sz w:val="20"/>
              </w:rPr>
            </w:pPr>
          </w:p>
        </w:tc>
        <w:tc>
          <w:tcPr>
            <w:tcW w:w="720" w:type="dxa"/>
            <w:tcBorders>
              <w:bottom w:val="single" w:sz="4" w:space="0" w:color="auto"/>
            </w:tcBorders>
            <w:vAlign w:val="center"/>
          </w:tcPr>
          <w:p>
            <w:pPr>
              <w:spacing w:before="20" w:after="20"/>
              <w:jc w:val="right"/>
              <w:rPr>
                <w:noProof/>
                <w:sz w:val="20"/>
              </w:rPr>
            </w:pPr>
          </w:p>
        </w:tc>
        <w:tc>
          <w:tcPr>
            <w:tcW w:w="720" w:type="dxa"/>
            <w:tcBorders>
              <w:bottom w:val="single" w:sz="4" w:space="0" w:color="auto"/>
            </w:tcBorders>
            <w:vAlign w:val="center"/>
          </w:tcPr>
          <w:p>
            <w:pPr>
              <w:spacing w:before="20" w:after="20"/>
              <w:jc w:val="right"/>
              <w:rPr>
                <w:noProof/>
                <w:sz w:val="20"/>
              </w:rPr>
            </w:pPr>
          </w:p>
        </w:tc>
        <w:tc>
          <w:tcPr>
            <w:tcW w:w="960" w:type="dxa"/>
            <w:tcBorders>
              <w:bottom w:val="single" w:sz="4" w:space="0" w:color="auto"/>
            </w:tcBorders>
            <w:vAlign w:val="center"/>
          </w:tcPr>
          <w:p>
            <w:pPr>
              <w:spacing w:before="20" w:after="20"/>
              <w:jc w:val="right"/>
              <w:rPr>
                <w:b/>
                <w:noProof/>
                <w:sz w:val="20"/>
              </w:rPr>
            </w:pPr>
          </w:p>
        </w:tc>
        <w:tc>
          <w:tcPr>
            <w:tcW w:w="1427" w:type="dxa"/>
            <w:tcBorders>
              <w:bottom w:val="single" w:sz="4" w:space="0" w:color="auto"/>
              <w:right w:val="single" w:sz="4" w:space="0" w:color="auto"/>
            </w:tcBorders>
            <w:vAlign w:val="center"/>
          </w:tcPr>
          <w:p>
            <w:pPr>
              <w:spacing w:before="20" w:after="20"/>
              <w:jc w:val="right"/>
              <w:rPr>
                <w:b/>
                <w:noProof/>
                <w:sz w:val="20"/>
              </w:rPr>
            </w:pPr>
          </w:p>
        </w:tc>
      </w:tr>
    </w:tbl>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rPr>
              <w:t xml:space="preserve">Rúbrica del marco financiero </w:t>
            </w:r>
            <w:r>
              <w:rPr>
                <w:noProof/>
              </w:rPr>
              <w:br/>
            </w:r>
            <w:r>
              <w:rPr>
                <w:b/>
                <w:noProof/>
              </w:rPr>
              <w:t xml:space="preserve">plurianual </w:t>
            </w:r>
          </w:p>
        </w:tc>
        <w:tc>
          <w:tcPr>
            <w:tcW w:w="1080" w:type="dxa"/>
            <w:shd w:val="thinDiagStripe" w:color="C0C0C0" w:fill="auto"/>
            <w:vAlign w:val="center"/>
          </w:tcPr>
          <w:p>
            <w:pPr>
              <w:spacing w:before="60" w:after="60"/>
              <w:jc w:val="center"/>
              <w:rPr>
                <w:noProof/>
              </w:rPr>
            </w:pPr>
            <w:r>
              <w:rPr>
                <w:b/>
                <w:noProof/>
                <w:sz w:val="22"/>
              </w:rPr>
              <w:t>5</w:t>
            </w:r>
          </w:p>
        </w:tc>
        <w:tc>
          <w:tcPr>
            <w:tcW w:w="7817" w:type="dxa"/>
            <w:vAlign w:val="center"/>
          </w:tcPr>
          <w:p>
            <w:pPr>
              <w:spacing w:before="60" w:after="60"/>
              <w:rPr>
                <w:noProof/>
              </w:rPr>
            </w:pPr>
            <w:r>
              <w:rPr>
                <w:noProof/>
                <w:sz w:val="22"/>
              </w:rPr>
              <w:t>«Gastos administrativos»</w:t>
            </w:r>
          </w:p>
        </w:tc>
      </w:tr>
    </w:tbl>
    <w:p>
      <w:pPr>
        <w:jc w:val="right"/>
        <w:rPr>
          <w:noProof/>
          <w:sz w:val="20"/>
        </w:rPr>
      </w:pPr>
      <w:r>
        <w:rPr>
          <w:noProof/>
          <w:sz w:val="20"/>
        </w:rPr>
        <w:t>En millones EUR (al tercer decimal)</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Año</w:t>
            </w:r>
            <w:r>
              <w:rPr>
                <w:noProof/>
              </w:rPr>
              <w:br/>
            </w:r>
            <w:r>
              <w:rPr>
                <w:b/>
                <w:noProof/>
                <w:sz w:val="20"/>
              </w:rPr>
              <w:t>N</w:t>
            </w:r>
          </w:p>
        </w:tc>
        <w:tc>
          <w:tcPr>
            <w:tcW w:w="868" w:type="dxa"/>
            <w:vAlign w:val="center"/>
          </w:tcPr>
          <w:p>
            <w:pPr>
              <w:jc w:val="center"/>
              <w:rPr>
                <w:noProof/>
                <w:sz w:val="20"/>
              </w:rPr>
            </w:pPr>
            <w:r>
              <w:rPr>
                <w:noProof/>
                <w:sz w:val="20"/>
              </w:rPr>
              <w:t>Año</w:t>
            </w:r>
            <w:r>
              <w:rPr>
                <w:noProof/>
              </w:rPr>
              <w:br/>
            </w:r>
            <w:r>
              <w:rPr>
                <w:b/>
                <w:noProof/>
                <w:sz w:val="20"/>
              </w:rPr>
              <w:t>N+1</w:t>
            </w:r>
          </w:p>
        </w:tc>
        <w:tc>
          <w:tcPr>
            <w:tcW w:w="868" w:type="dxa"/>
            <w:vAlign w:val="center"/>
          </w:tcPr>
          <w:p>
            <w:pPr>
              <w:jc w:val="center"/>
              <w:rPr>
                <w:noProof/>
                <w:sz w:val="20"/>
              </w:rPr>
            </w:pPr>
            <w:r>
              <w:rPr>
                <w:noProof/>
                <w:sz w:val="20"/>
              </w:rPr>
              <w:t>Año</w:t>
            </w:r>
            <w:r>
              <w:rPr>
                <w:noProof/>
              </w:rPr>
              <w:br/>
            </w:r>
            <w:r>
              <w:rPr>
                <w:b/>
                <w:noProof/>
                <w:sz w:val="20"/>
              </w:rPr>
              <w:t>N+2</w:t>
            </w:r>
          </w:p>
        </w:tc>
        <w:tc>
          <w:tcPr>
            <w:tcW w:w="868" w:type="dxa"/>
            <w:vAlign w:val="center"/>
          </w:tcPr>
          <w:p>
            <w:pPr>
              <w:jc w:val="center"/>
              <w:rPr>
                <w:noProof/>
                <w:sz w:val="20"/>
              </w:rPr>
            </w:pPr>
            <w:r>
              <w:rPr>
                <w:noProof/>
                <w:sz w:val="20"/>
              </w:rPr>
              <w:t>Año</w:t>
            </w:r>
            <w:r>
              <w:rPr>
                <w:noProof/>
              </w:rPr>
              <w:br/>
            </w:r>
            <w:r>
              <w:rPr>
                <w:b/>
                <w:noProof/>
                <w:sz w:val="20"/>
              </w:rPr>
              <w:t>N+3</w:t>
            </w:r>
          </w:p>
        </w:tc>
        <w:tc>
          <w:tcPr>
            <w:tcW w:w="2604" w:type="dxa"/>
            <w:gridSpan w:val="3"/>
            <w:vAlign w:val="center"/>
          </w:tcPr>
          <w:p>
            <w:pPr>
              <w:jc w:val="center"/>
              <w:rPr>
                <w:b/>
                <w:noProof/>
                <w:sz w:val="18"/>
              </w:rPr>
            </w:pPr>
            <w:r>
              <w:rPr>
                <w:noProof/>
                <w:sz w:val="18"/>
              </w:rPr>
              <w:t xml:space="preserve">Insértense tantos años como sea necesario para reflejar la duración de la incidencia (véase el punto 1.6) </w:t>
            </w:r>
          </w:p>
        </w:tc>
        <w:tc>
          <w:tcPr>
            <w:tcW w:w="1777" w:type="dxa"/>
            <w:vAlign w:val="center"/>
          </w:tcPr>
          <w:p>
            <w:pPr>
              <w:jc w:val="center"/>
              <w:rPr>
                <w:b/>
                <w:noProof/>
                <w:sz w:val="20"/>
              </w:rPr>
            </w:pPr>
            <w:r>
              <w:rPr>
                <w:b/>
                <w:noProof/>
                <w:sz w:val="20"/>
              </w:rPr>
              <w:t>TOTAL</w:t>
            </w:r>
          </w:p>
        </w:tc>
      </w:tr>
      <w:tr>
        <w:trPr>
          <w:gridAfter w:val="10"/>
          <w:wAfter w:w="9947" w:type="dxa"/>
        </w:trPr>
        <w:tc>
          <w:tcPr>
            <w:tcW w:w="3960" w:type="dxa"/>
            <w:vAlign w:val="center"/>
          </w:tcPr>
          <w:p>
            <w:pPr>
              <w:spacing w:before="60" w:after="60"/>
              <w:jc w:val="center"/>
              <w:rPr>
                <w:noProof/>
              </w:rPr>
            </w:pPr>
            <w:r>
              <w:rPr>
                <w:noProof/>
                <w:sz w:val="22"/>
              </w:rPr>
              <w:t xml:space="preserve">DG: </w:t>
            </w:r>
            <w:r>
              <w:rPr>
                <w:noProof/>
              </w:rPr>
              <w:t>&lt;…….&gt;</w:t>
            </w:r>
          </w:p>
        </w:tc>
      </w:tr>
      <w:tr>
        <w:trPr>
          <w:trHeight w:val="313"/>
        </w:trPr>
        <w:tc>
          <w:tcPr>
            <w:tcW w:w="6054" w:type="dxa"/>
            <w:gridSpan w:val="3"/>
            <w:vAlign w:val="center"/>
          </w:tcPr>
          <w:p>
            <w:pPr>
              <w:spacing w:before="20" w:after="20"/>
              <w:rPr>
                <w:noProof/>
              </w:rPr>
            </w:pPr>
            <w:r>
              <w:rPr>
                <w:noProof/>
                <w:sz w:val="22"/>
              </w:rPr>
              <w:sym w:font="Wingdings" w:char="F09F"/>
            </w:r>
            <w:r>
              <w:rPr>
                <w:noProof/>
                <w:sz w:val="22"/>
              </w:rPr>
              <w:t xml:space="preserve">Recursos humanos </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rPr>
          <w:trHeight w:val="351"/>
        </w:trPr>
        <w:tc>
          <w:tcPr>
            <w:tcW w:w="6054" w:type="dxa"/>
            <w:gridSpan w:val="3"/>
            <w:vAlign w:val="center"/>
          </w:tcPr>
          <w:p>
            <w:pPr>
              <w:spacing w:before="20" w:after="20"/>
              <w:rPr>
                <w:noProof/>
              </w:rPr>
            </w:pPr>
            <w:r>
              <w:rPr>
                <w:noProof/>
                <w:sz w:val="22"/>
              </w:rPr>
              <w:sym w:font="Wingdings" w:char="F09F"/>
            </w:r>
            <w:r>
              <w:rPr>
                <w:noProof/>
                <w:sz w:val="22"/>
              </w:rPr>
              <w:t xml:space="preserve">Otros gastos administrativos </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Align w:val="center"/>
          </w:tcPr>
          <w:p>
            <w:pPr>
              <w:jc w:val="center"/>
              <w:rPr>
                <w:b/>
                <w:noProof/>
              </w:rPr>
            </w:pPr>
            <w:r>
              <w:rPr>
                <w:b/>
                <w:noProof/>
                <w:sz w:val="22"/>
              </w:rPr>
              <w:t>TOTAL para la DG</w:t>
            </w:r>
            <w:r>
              <w:rPr>
                <w:noProof/>
              </w:rPr>
              <w:t xml:space="preserve"> &lt;…&gt;</w:t>
            </w:r>
          </w:p>
        </w:tc>
        <w:tc>
          <w:tcPr>
            <w:tcW w:w="2094" w:type="dxa"/>
            <w:gridSpan w:val="2"/>
            <w:vAlign w:val="center"/>
          </w:tcPr>
          <w:p>
            <w:pPr>
              <w:rPr>
                <w:noProof/>
                <w:sz w:val="14"/>
              </w:rPr>
            </w:pPr>
            <w:r>
              <w:rPr>
                <w:noProof/>
                <w:sz w:val="18"/>
              </w:rPr>
              <w:t xml:space="preserve">Créditos </w:t>
            </w:r>
          </w:p>
        </w:tc>
        <w:tc>
          <w:tcPr>
            <w:tcW w:w="868" w:type="dxa"/>
            <w:vAlign w:val="center"/>
          </w:tcPr>
          <w:p>
            <w:pPr>
              <w:spacing w:before="60" w:after="6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shd w:val="thinDiagStripe" w:color="C0C0C0" w:fill="auto"/>
            <w:vAlign w:val="center"/>
          </w:tcPr>
          <w:p>
            <w:pPr>
              <w:jc w:val="center"/>
              <w:rPr>
                <w:b/>
                <w:noProof/>
              </w:rPr>
            </w:pPr>
            <w:r>
              <w:rPr>
                <w:b/>
                <w:noProof/>
                <w:sz w:val="22"/>
              </w:rPr>
              <w:t>TOTAL de los créditos</w:t>
            </w:r>
            <w:r>
              <w:rPr>
                <w:noProof/>
              </w:rPr>
              <w:br/>
            </w:r>
            <w:r>
              <w:rPr>
                <w:b/>
                <w:noProof/>
                <w:sz w:val="22"/>
              </w:rPr>
              <w:t>para la RÚBRICA 5</w:t>
            </w:r>
            <w:r>
              <w:rPr>
                <w:noProof/>
              </w:rPr>
              <w:br/>
            </w:r>
            <w:r>
              <w:rPr>
                <w:noProof/>
                <w:sz w:val="22"/>
              </w:rPr>
              <w:t>del marco financiero plurianual</w:t>
            </w:r>
            <w:r>
              <w:rPr>
                <w:b/>
                <w:noProof/>
                <w:sz w:val="22"/>
              </w:rPr>
              <w:t xml:space="preserve"> </w:t>
            </w:r>
          </w:p>
        </w:tc>
        <w:tc>
          <w:tcPr>
            <w:tcW w:w="2094" w:type="dxa"/>
            <w:vAlign w:val="center"/>
          </w:tcPr>
          <w:p>
            <w:pPr>
              <w:spacing w:before="40" w:after="40"/>
              <w:rPr>
                <w:noProof/>
              </w:rPr>
            </w:pPr>
            <w:r>
              <w:rPr>
                <w:noProof/>
                <w:sz w:val="18"/>
              </w:rPr>
              <w:t>(Total de los compromisos = total de los pagos)</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bl>
    <w:p>
      <w:pPr>
        <w:jc w:val="right"/>
        <w:rPr>
          <w:noProof/>
          <w:sz w:val="20"/>
        </w:rPr>
      </w:pPr>
      <w:r>
        <w:rPr>
          <w:noProof/>
          <w:sz w:val="20"/>
        </w:rPr>
        <w:t>En millones EUR (al tercer decimal)</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Año</w:t>
            </w:r>
            <w:r>
              <w:rPr>
                <w:noProof/>
              </w:rPr>
              <w:br/>
            </w:r>
            <w:r>
              <w:rPr>
                <w:b/>
                <w:noProof/>
                <w:sz w:val="20"/>
              </w:rPr>
              <w:t>N</w:t>
            </w:r>
            <w:r>
              <w:rPr>
                <w:rStyle w:val="FootnoteReference"/>
                <w:b/>
                <w:noProof/>
                <w:sz w:val="20"/>
              </w:rPr>
              <w:footnoteReference w:id="15"/>
            </w:r>
          </w:p>
        </w:tc>
        <w:tc>
          <w:tcPr>
            <w:tcW w:w="868" w:type="dxa"/>
            <w:vAlign w:val="center"/>
          </w:tcPr>
          <w:p>
            <w:pPr>
              <w:jc w:val="center"/>
              <w:rPr>
                <w:noProof/>
                <w:sz w:val="20"/>
              </w:rPr>
            </w:pPr>
            <w:r>
              <w:rPr>
                <w:noProof/>
                <w:sz w:val="20"/>
              </w:rPr>
              <w:t>Año</w:t>
            </w:r>
            <w:r>
              <w:rPr>
                <w:noProof/>
              </w:rPr>
              <w:br/>
            </w:r>
            <w:r>
              <w:rPr>
                <w:b/>
                <w:noProof/>
                <w:sz w:val="20"/>
              </w:rPr>
              <w:t>N+1</w:t>
            </w:r>
          </w:p>
        </w:tc>
        <w:tc>
          <w:tcPr>
            <w:tcW w:w="868" w:type="dxa"/>
            <w:vAlign w:val="center"/>
          </w:tcPr>
          <w:p>
            <w:pPr>
              <w:jc w:val="center"/>
              <w:rPr>
                <w:noProof/>
                <w:sz w:val="20"/>
              </w:rPr>
            </w:pPr>
            <w:r>
              <w:rPr>
                <w:noProof/>
                <w:sz w:val="20"/>
              </w:rPr>
              <w:t>Año</w:t>
            </w:r>
            <w:r>
              <w:rPr>
                <w:noProof/>
              </w:rPr>
              <w:br/>
            </w:r>
            <w:r>
              <w:rPr>
                <w:b/>
                <w:noProof/>
                <w:sz w:val="20"/>
              </w:rPr>
              <w:t>N+2</w:t>
            </w:r>
          </w:p>
        </w:tc>
        <w:tc>
          <w:tcPr>
            <w:tcW w:w="868" w:type="dxa"/>
            <w:vAlign w:val="center"/>
          </w:tcPr>
          <w:p>
            <w:pPr>
              <w:jc w:val="center"/>
              <w:rPr>
                <w:noProof/>
                <w:sz w:val="20"/>
              </w:rPr>
            </w:pPr>
            <w:r>
              <w:rPr>
                <w:noProof/>
                <w:sz w:val="20"/>
              </w:rPr>
              <w:t>Año</w:t>
            </w:r>
            <w:r>
              <w:rPr>
                <w:noProof/>
              </w:rPr>
              <w:br/>
            </w:r>
            <w:r>
              <w:rPr>
                <w:b/>
                <w:noProof/>
                <w:sz w:val="20"/>
              </w:rPr>
              <w:t>N+3</w:t>
            </w:r>
          </w:p>
        </w:tc>
        <w:tc>
          <w:tcPr>
            <w:tcW w:w="2604" w:type="dxa"/>
            <w:gridSpan w:val="3"/>
            <w:vAlign w:val="center"/>
          </w:tcPr>
          <w:p>
            <w:pPr>
              <w:jc w:val="center"/>
              <w:rPr>
                <w:b/>
                <w:noProof/>
                <w:sz w:val="18"/>
              </w:rPr>
            </w:pPr>
            <w:r>
              <w:rPr>
                <w:noProof/>
                <w:sz w:val="18"/>
              </w:rPr>
              <w:t>Insértense tantos años como sea necesario para reflejar la duración de la incidencia (véase el punto 1.6)</w:t>
            </w:r>
          </w:p>
        </w:tc>
        <w:tc>
          <w:tcPr>
            <w:tcW w:w="1777" w:type="dxa"/>
            <w:vAlign w:val="center"/>
          </w:tcPr>
          <w:p>
            <w:pPr>
              <w:jc w:val="center"/>
              <w:rPr>
                <w:b/>
                <w:noProof/>
                <w:sz w:val="20"/>
              </w:rPr>
            </w:pPr>
            <w:r>
              <w:rPr>
                <w:b/>
                <w:noProof/>
                <w:sz w:val="20"/>
              </w:rPr>
              <w:t>TOTAL</w:t>
            </w:r>
          </w:p>
        </w:tc>
      </w:tr>
      <w:tr>
        <w:tc>
          <w:tcPr>
            <w:tcW w:w="3960" w:type="dxa"/>
            <w:vMerge w:val="restart"/>
            <w:shd w:val="clear" w:color="auto" w:fill="C0C0C0"/>
            <w:vAlign w:val="center"/>
          </w:tcPr>
          <w:p>
            <w:pPr>
              <w:jc w:val="center"/>
              <w:rPr>
                <w:b/>
                <w:noProof/>
              </w:rPr>
            </w:pPr>
            <w:r>
              <w:rPr>
                <w:b/>
                <w:noProof/>
                <w:sz w:val="22"/>
              </w:rPr>
              <w:t xml:space="preserve">TOTAL de los créditos </w:t>
            </w:r>
            <w:r>
              <w:rPr>
                <w:noProof/>
              </w:rPr>
              <w:br/>
            </w:r>
            <w:r>
              <w:rPr>
                <w:b/>
                <w:noProof/>
                <w:sz w:val="22"/>
              </w:rPr>
              <w:t>para las RÚBRICAS 1 a 5</w:t>
            </w:r>
            <w:r>
              <w:rPr>
                <w:noProof/>
              </w:rPr>
              <w:br/>
            </w:r>
            <w:r>
              <w:rPr>
                <w:noProof/>
                <w:sz w:val="22"/>
              </w:rPr>
              <w:t>del marco financiero plurianual</w:t>
            </w:r>
            <w:r>
              <w:rPr>
                <w:b/>
                <w:noProof/>
                <w:sz w:val="22"/>
              </w:rPr>
              <w:t xml:space="preserve"> </w:t>
            </w:r>
          </w:p>
        </w:tc>
        <w:tc>
          <w:tcPr>
            <w:tcW w:w="2094" w:type="dxa"/>
            <w:gridSpan w:val="2"/>
            <w:vAlign w:val="center"/>
          </w:tcPr>
          <w:p>
            <w:pPr>
              <w:rPr>
                <w:noProof/>
                <w:sz w:val="14"/>
              </w:rPr>
            </w:pPr>
            <w:r>
              <w:rPr>
                <w:noProof/>
                <w:sz w:val="18"/>
              </w:rPr>
              <w:t>Compromisos</w:t>
            </w: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1777" w:type="dxa"/>
            <w:vAlign w:val="center"/>
          </w:tcPr>
          <w:p>
            <w:pPr>
              <w:spacing w:before="60" w:after="60"/>
              <w:jc w:val="right"/>
              <w:rPr>
                <w:b/>
                <w:noProof/>
                <w:sz w:val="20"/>
              </w:rPr>
            </w:pPr>
          </w:p>
        </w:tc>
      </w:tr>
      <w:tr>
        <w:tc>
          <w:tcPr>
            <w:tcW w:w="3960" w:type="dxa"/>
            <w:vMerge/>
            <w:shd w:val="clear" w:color="auto" w:fill="C0C0C0"/>
          </w:tcPr>
          <w:p>
            <w:pPr>
              <w:rPr>
                <w:noProof/>
                <w:sz w:val="20"/>
              </w:rPr>
            </w:pPr>
          </w:p>
        </w:tc>
        <w:tc>
          <w:tcPr>
            <w:tcW w:w="2094" w:type="dxa"/>
            <w:gridSpan w:val="2"/>
            <w:vAlign w:val="center"/>
          </w:tcPr>
          <w:p>
            <w:pPr>
              <w:rPr>
                <w:noProof/>
                <w:sz w:val="14"/>
              </w:rPr>
            </w:pPr>
            <w:r>
              <w:rPr>
                <w:noProof/>
                <w:sz w:val="18"/>
              </w:rPr>
              <w:t>Pagos</w:t>
            </w: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1777" w:type="dxa"/>
            <w:vAlign w:val="center"/>
          </w:tcPr>
          <w:p>
            <w:pPr>
              <w:spacing w:before="60" w:after="60"/>
              <w:jc w:val="right"/>
              <w:rPr>
                <w:b/>
                <w:noProof/>
                <w:sz w:val="20"/>
              </w:rPr>
            </w:pPr>
          </w:p>
        </w:tc>
      </w:tr>
    </w:tbl>
    <w:p>
      <w:pPr>
        <w:rPr>
          <w:noProof/>
        </w:rPr>
        <w:sectPr>
          <w:headerReference w:type="default" r:id="rId16"/>
          <w:footerReference w:type="default" r:id="rId17"/>
          <w:headerReference w:type="first" r:id="rId18"/>
          <w:footerReference w:type="first" r:id="rId19"/>
          <w:pgSz w:w="16840" w:h="11907" w:orient="landscape" w:code="9"/>
          <w:pgMar w:top="1134" w:right="1418" w:bottom="1134" w:left="1418" w:header="709" w:footer="709" w:gutter="0"/>
          <w:cols w:space="708"/>
          <w:docGrid w:linePitch="360"/>
        </w:sectPr>
      </w:pPr>
    </w:p>
    <w:p>
      <w:pPr>
        <w:pStyle w:val="ManualHeading3"/>
        <w:rPr>
          <w:bCs/>
          <w:noProof/>
          <w:szCs w:val="24"/>
        </w:rPr>
      </w:pPr>
      <w:r>
        <w:rPr>
          <w:noProof/>
        </w:rPr>
        <w:t>3.2.2.</w:t>
      </w:r>
      <w:r>
        <w:rPr>
          <w:noProof/>
        </w:rPr>
        <w:tab/>
        <w:t xml:space="preserve">Incidencia estimada en los créditos de operaciones </w:t>
      </w:r>
    </w:p>
    <w:p>
      <w:pPr>
        <w:pStyle w:val="ListDash1"/>
        <w:rPr>
          <w:noProof/>
        </w:rPr>
      </w:pPr>
      <w:r>
        <w:rPr>
          <w:noProof/>
        </w:rPr>
        <w:sym w:font="Wingdings" w:char="F0A8"/>
      </w:r>
      <w:r>
        <w:rPr>
          <w:noProof/>
        </w:rPr>
        <w:tab/>
        <w:t xml:space="preserve">La propuesta/iniciativa no exige la utilización de créditos de operaciones. </w:t>
      </w:r>
    </w:p>
    <w:p>
      <w:pPr>
        <w:pStyle w:val="ListDash1"/>
        <w:rPr>
          <w:noProof/>
        </w:rPr>
      </w:pPr>
      <w:r>
        <w:rPr>
          <w:noProof/>
        </w:rPr>
        <w:sym w:font="Wingdings" w:char="F078"/>
      </w:r>
      <w:r>
        <w:rPr>
          <w:noProof/>
        </w:rPr>
        <w:tab/>
        <w:t>La propuesta/iniciativa exige la utilización de créditos de operaciones, tal como se explica a continuación:</w:t>
      </w:r>
    </w:p>
    <w:p>
      <w:pPr>
        <w:jc w:val="right"/>
        <w:rPr>
          <w:noProof/>
          <w:sz w:val="20"/>
        </w:rPr>
      </w:pPr>
      <w:r>
        <w:rPr>
          <w:noProof/>
          <w:sz w:val="20"/>
        </w:rPr>
        <w:t>Créditos de compromiso en millones EUR (al tercer decimal)</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trPr>
          <w:jc w:val="center"/>
        </w:trPr>
        <w:tc>
          <w:tcPr>
            <w:tcW w:w="1423" w:type="dxa"/>
            <w:vMerge w:val="restart"/>
            <w:vAlign w:val="center"/>
          </w:tcPr>
          <w:p>
            <w:pPr>
              <w:ind w:right="-29"/>
              <w:jc w:val="center"/>
              <w:rPr>
                <w:b/>
                <w:noProof/>
                <w:sz w:val="18"/>
                <w:szCs w:val="18"/>
              </w:rPr>
            </w:pPr>
            <w:r>
              <w:rPr>
                <w:b/>
                <w:noProof/>
                <w:sz w:val="18"/>
              </w:rPr>
              <w:t xml:space="preserve">Indíquense los objetivos y los resultados </w:t>
            </w:r>
          </w:p>
          <w:p>
            <w:pPr>
              <w:ind w:right="-29"/>
              <w:jc w:val="center"/>
              <w:rPr>
                <w:b/>
                <w:noProof/>
                <w:sz w:val="18"/>
                <w:szCs w:val="18"/>
              </w:rPr>
            </w:pPr>
          </w:p>
          <w:p>
            <w:pPr>
              <w:ind w:right="-29"/>
              <w:jc w:val="center"/>
              <w:rPr>
                <w:noProof/>
                <w:sz w:val="18"/>
                <w:szCs w:val="18"/>
              </w:rPr>
            </w:pPr>
            <w:r>
              <w:rPr>
                <w:noProof/>
                <w:sz w:val="18"/>
              </w:rPr>
              <w:sym w:font="Wingdings" w:char="F0F2"/>
            </w:r>
          </w:p>
        </w:tc>
        <w:tc>
          <w:tcPr>
            <w:tcW w:w="720" w:type="dxa"/>
            <w:vAlign w:val="center"/>
          </w:tcPr>
          <w:p>
            <w:pPr>
              <w:ind w:right="-29"/>
              <w:jc w:val="center"/>
              <w:rPr>
                <w:noProof/>
                <w:sz w:val="18"/>
                <w:szCs w:val="18"/>
              </w:rPr>
            </w:pPr>
          </w:p>
        </w:tc>
        <w:tc>
          <w:tcPr>
            <w:tcW w:w="701" w:type="dxa"/>
            <w:vAlign w:val="center"/>
          </w:tcPr>
          <w:p>
            <w:pPr>
              <w:ind w:right="-29"/>
              <w:jc w:val="center"/>
              <w:rPr>
                <w:noProof/>
                <w:sz w:val="18"/>
                <w:szCs w:val="18"/>
              </w:rPr>
            </w:pPr>
          </w:p>
        </w:tc>
        <w:tc>
          <w:tcPr>
            <w:tcW w:w="1224" w:type="dxa"/>
            <w:gridSpan w:val="2"/>
            <w:tcBorders>
              <w:left w:val="nil"/>
            </w:tcBorders>
            <w:vAlign w:val="center"/>
          </w:tcPr>
          <w:p>
            <w:pPr>
              <w:ind w:right="-29"/>
              <w:jc w:val="center"/>
              <w:rPr>
                <w:noProof/>
                <w:sz w:val="18"/>
                <w:szCs w:val="18"/>
              </w:rPr>
            </w:pPr>
            <w:r>
              <w:rPr>
                <w:noProof/>
                <w:sz w:val="18"/>
              </w:rPr>
              <w:t>Año</w:t>
            </w:r>
            <w:r>
              <w:rPr>
                <w:noProof/>
              </w:rPr>
              <w:br/>
            </w:r>
            <w:r>
              <w:rPr>
                <w:b/>
                <w:noProof/>
                <w:sz w:val="18"/>
              </w:rPr>
              <w:t>N</w:t>
            </w:r>
          </w:p>
        </w:tc>
        <w:tc>
          <w:tcPr>
            <w:tcW w:w="1260" w:type="dxa"/>
            <w:gridSpan w:val="2"/>
            <w:vAlign w:val="center"/>
          </w:tcPr>
          <w:p>
            <w:pPr>
              <w:ind w:right="-29"/>
              <w:jc w:val="center"/>
              <w:rPr>
                <w:noProof/>
                <w:sz w:val="18"/>
                <w:szCs w:val="18"/>
              </w:rPr>
            </w:pPr>
            <w:r>
              <w:rPr>
                <w:noProof/>
                <w:sz w:val="18"/>
              </w:rPr>
              <w:t>Año</w:t>
            </w:r>
            <w:r>
              <w:rPr>
                <w:noProof/>
              </w:rPr>
              <w:br/>
            </w:r>
            <w:r>
              <w:rPr>
                <w:b/>
                <w:noProof/>
                <w:sz w:val="18"/>
              </w:rPr>
              <w:t>N+1</w:t>
            </w:r>
          </w:p>
        </w:tc>
        <w:tc>
          <w:tcPr>
            <w:tcW w:w="1440" w:type="dxa"/>
            <w:gridSpan w:val="2"/>
            <w:vAlign w:val="center"/>
          </w:tcPr>
          <w:p>
            <w:pPr>
              <w:ind w:right="-29"/>
              <w:jc w:val="center"/>
              <w:rPr>
                <w:noProof/>
                <w:sz w:val="18"/>
                <w:szCs w:val="18"/>
              </w:rPr>
            </w:pPr>
            <w:r>
              <w:rPr>
                <w:noProof/>
                <w:sz w:val="18"/>
              </w:rPr>
              <w:t>Año</w:t>
            </w:r>
            <w:r>
              <w:rPr>
                <w:noProof/>
              </w:rPr>
              <w:br/>
            </w:r>
            <w:r>
              <w:rPr>
                <w:b/>
                <w:noProof/>
                <w:sz w:val="18"/>
              </w:rPr>
              <w:t>N+2</w:t>
            </w:r>
          </w:p>
        </w:tc>
        <w:tc>
          <w:tcPr>
            <w:tcW w:w="1620" w:type="dxa"/>
            <w:gridSpan w:val="3"/>
            <w:vAlign w:val="center"/>
          </w:tcPr>
          <w:p>
            <w:pPr>
              <w:ind w:right="-29"/>
              <w:jc w:val="center"/>
              <w:rPr>
                <w:noProof/>
                <w:sz w:val="18"/>
                <w:szCs w:val="18"/>
              </w:rPr>
            </w:pPr>
            <w:r>
              <w:rPr>
                <w:noProof/>
                <w:sz w:val="18"/>
              </w:rPr>
              <w:t>Año</w:t>
            </w:r>
            <w:r>
              <w:rPr>
                <w:noProof/>
              </w:rPr>
              <w:br/>
            </w:r>
            <w:r>
              <w:rPr>
                <w:b/>
                <w:noProof/>
                <w:sz w:val="18"/>
              </w:rPr>
              <w:t>N+3</w:t>
            </w:r>
          </w:p>
        </w:tc>
        <w:tc>
          <w:tcPr>
            <w:tcW w:w="3600" w:type="dxa"/>
            <w:gridSpan w:val="6"/>
            <w:vAlign w:val="center"/>
          </w:tcPr>
          <w:p>
            <w:pPr>
              <w:jc w:val="center"/>
              <w:rPr>
                <w:noProof/>
                <w:sz w:val="18"/>
                <w:szCs w:val="18"/>
              </w:rPr>
            </w:pPr>
            <w:r>
              <w:rPr>
                <w:noProof/>
                <w:sz w:val="18"/>
              </w:rPr>
              <w:t>Insértense tantos años como sea necesario para reflejar la duración de la incidencia (véase el punto 1.6)</w:t>
            </w:r>
          </w:p>
        </w:tc>
        <w:tc>
          <w:tcPr>
            <w:tcW w:w="1620" w:type="dxa"/>
            <w:gridSpan w:val="2"/>
            <w:tcBorders>
              <w:left w:val="nil"/>
              <w:bottom w:val="nil"/>
            </w:tcBorders>
            <w:vAlign w:val="center"/>
          </w:tcPr>
          <w:p>
            <w:pPr>
              <w:ind w:right="-29"/>
              <w:jc w:val="center"/>
              <w:rPr>
                <w:noProof/>
                <w:sz w:val="18"/>
                <w:szCs w:val="18"/>
              </w:rPr>
            </w:pPr>
            <w:r>
              <w:rPr>
                <w:b/>
                <w:noProof/>
                <w:sz w:val="18"/>
              </w:rPr>
              <w:t>TOTAL</w:t>
            </w:r>
          </w:p>
        </w:tc>
      </w:tr>
      <w:tr>
        <w:trPr>
          <w:jc w:val="center"/>
        </w:trPr>
        <w:tc>
          <w:tcPr>
            <w:tcW w:w="1423" w:type="dxa"/>
            <w:vMerge/>
            <w:vAlign w:val="center"/>
          </w:tcPr>
          <w:p>
            <w:pPr>
              <w:ind w:right="-29"/>
              <w:jc w:val="center"/>
              <w:rPr>
                <w:noProof/>
                <w:sz w:val="18"/>
                <w:szCs w:val="18"/>
              </w:rPr>
            </w:pPr>
          </w:p>
        </w:tc>
        <w:tc>
          <w:tcPr>
            <w:tcW w:w="12185" w:type="dxa"/>
            <w:gridSpan w:val="19"/>
            <w:vAlign w:val="center"/>
          </w:tcPr>
          <w:p>
            <w:pPr>
              <w:spacing w:before="60" w:after="60"/>
              <w:ind w:right="-29"/>
              <w:jc w:val="center"/>
              <w:rPr>
                <w:noProof/>
                <w:sz w:val="18"/>
                <w:szCs w:val="18"/>
              </w:rPr>
            </w:pPr>
            <w:r>
              <w:rPr>
                <w:b/>
                <w:noProof/>
                <w:sz w:val="18"/>
              </w:rPr>
              <w:t>RESULTADOS</w:t>
            </w:r>
          </w:p>
        </w:tc>
      </w:tr>
      <w:tr>
        <w:trPr>
          <w:cantSplit/>
          <w:trHeight w:val="1134"/>
          <w:jc w:val="center"/>
        </w:trPr>
        <w:tc>
          <w:tcPr>
            <w:tcW w:w="1423" w:type="dxa"/>
            <w:vMerge/>
            <w:vAlign w:val="center"/>
          </w:tcPr>
          <w:p>
            <w:pPr>
              <w:rPr>
                <w:noProof/>
                <w:sz w:val="18"/>
                <w:szCs w:val="18"/>
              </w:rPr>
            </w:pPr>
          </w:p>
        </w:tc>
        <w:tc>
          <w:tcPr>
            <w:tcW w:w="720" w:type="dxa"/>
            <w:vAlign w:val="center"/>
          </w:tcPr>
          <w:p>
            <w:pPr>
              <w:jc w:val="center"/>
              <w:rPr>
                <w:noProof/>
                <w:sz w:val="18"/>
                <w:szCs w:val="18"/>
              </w:rPr>
            </w:pPr>
            <w:r>
              <w:rPr>
                <w:noProof/>
                <w:sz w:val="18"/>
              </w:rPr>
              <w:t>Tipo</w:t>
            </w:r>
            <w:r>
              <w:rPr>
                <w:rStyle w:val="FootnoteReference"/>
                <w:noProof/>
                <w:sz w:val="18"/>
              </w:rPr>
              <w:footnoteReference w:id="16"/>
            </w:r>
          </w:p>
          <w:p>
            <w:pPr>
              <w:spacing w:before="0" w:after="0"/>
              <w:jc w:val="center"/>
              <w:rPr>
                <w:noProof/>
                <w:sz w:val="18"/>
                <w:szCs w:val="18"/>
              </w:rPr>
            </w:pPr>
          </w:p>
        </w:tc>
        <w:tc>
          <w:tcPr>
            <w:tcW w:w="701" w:type="dxa"/>
            <w:vAlign w:val="center"/>
          </w:tcPr>
          <w:p>
            <w:pPr>
              <w:jc w:val="center"/>
              <w:rPr>
                <w:noProof/>
                <w:sz w:val="18"/>
                <w:szCs w:val="18"/>
              </w:rPr>
            </w:pPr>
            <w:r>
              <w:rPr>
                <w:noProof/>
                <w:sz w:val="18"/>
              </w:rPr>
              <w:t>Coste medio</w:t>
            </w:r>
          </w:p>
        </w:tc>
        <w:tc>
          <w:tcPr>
            <w:tcW w:w="504" w:type="dxa"/>
            <w:tcBorders>
              <w:left w:val="nil"/>
              <w:right w:val="dashSmallGap" w:sz="4" w:space="0" w:color="auto"/>
            </w:tcBorders>
            <w:shd w:val="pct10" w:color="auto" w:fill="auto"/>
            <w:textDirection w:val="btLr"/>
            <w:vAlign w:val="center"/>
          </w:tcPr>
          <w:p>
            <w:pPr>
              <w:ind w:left="113" w:right="113"/>
              <w:jc w:val="center"/>
              <w:rPr>
                <w:noProof/>
                <w:sz w:val="18"/>
                <w:szCs w:val="18"/>
              </w:rPr>
            </w:pPr>
            <w:r>
              <w:rPr>
                <w:noProof/>
                <w:sz w:val="18"/>
              </w:rPr>
              <w:t>Número</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Coste</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Número</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Coste</w:t>
            </w:r>
          </w:p>
        </w:tc>
        <w:tc>
          <w:tcPr>
            <w:tcW w:w="72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Número</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Coste</w:t>
            </w:r>
          </w:p>
        </w:tc>
        <w:tc>
          <w:tcPr>
            <w:tcW w:w="90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Número</w:t>
            </w:r>
          </w:p>
        </w:tc>
        <w:tc>
          <w:tcPr>
            <w:tcW w:w="720" w:type="dxa"/>
            <w:gridSpan w:val="2"/>
            <w:tcBorders>
              <w:left w:val="dashSmallGap" w:sz="4" w:space="0" w:color="auto"/>
            </w:tcBorders>
            <w:shd w:val="pct10" w:color="auto" w:fill="auto"/>
            <w:vAlign w:val="center"/>
          </w:tcPr>
          <w:p>
            <w:pPr>
              <w:jc w:val="center"/>
              <w:rPr>
                <w:noProof/>
                <w:sz w:val="18"/>
                <w:szCs w:val="18"/>
              </w:rPr>
            </w:pPr>
            <w:r>
              <w:rPr>
                <w:noProof/>
                <w:sz w:val="18"/>
              </w:rPr>
              <w:t>Coste</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Número</w:t>
            </w:r>
          </w:p>
        </w:tc>
        <w:tc>
          <w:tcPr>
            <w:tcW w:w="648" w:type="dxa"/>
            <w:tcBorders>
              <w:left w:val="dashSmallGap" w:sz="4" w:space="0" w:color="auto"/>
            </w:tcBorders>
            <w:shd w:val="pct10" w:color="auto" w:fill="auto"/>
            <w:vAlign w:val="center"/>
          </w:tcPr>
          <w:p>
            <w:pPr>
              <w:jc w:val="center"/>
              <w:rPr>
                <w:noProof/>
                <w:sz w:val="18"/>
                <w:szCs w:val="18"/>
              </w:rPr>
            </w:pPr>
            <w:r>
              <w:rPr>
                <w:noProof/>
                <w:sz w:val="18"/>
              </w:rPr>
              <w:t>Coste</w:t>
            </w:r>
          </w:p>
        </w:tc>
        <w:tc>
          <w:tcPr>
            <w:tcW w:w="432"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Número</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Coste</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Número</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Coste</w:t>
            </w:r>
          </w:p>
        </w:tc>
        <w:tc>
          <w:tcPr>
            <w:tcW w:w="720" w:type="dxa"/>
            <w:tcBorders>
              <w:right w:val="dashSmallGap" w:sz="4" w:space="0" w:color="auto"/>
            </w:tcBorders>
            <w:shd w:val="pct10" w:color="auto" w:fill="auto"/>
            <w:vAlign w:val="center"/>
          </w:tcPr>
          <w:p>
            <w:pPr>
              <w:jc w:val="center"/>
              <w:rPr>
                <w:noProof/>
                <w:sz w:val="18"/>
                <w:szCs w:val="18"/>
              </w:rPr>
            </w:pPr>
            <w:r>
              <w:rPr>
                <w:noProof/>
                <w:sz w:val="18"/>
              </w:rPr>
              <w:t>Número total</w:t>
            </w:r>
          </w:p>
        </w:tc>
        <w:tc>
          <w:tcPr>
            <w:tcW w:w="900" w:type="dxa"/>
            <w:tcBorders>
              <w:left w:val="dashSmallGap" w:sz="4" w:space="0" w:color="auto"/>
            </w:tcBorders>
            <w:shd w:val="pct10" w:color="auto" w:fill="auto"/>
            <w:vAlign w:val="center"/>
          </w:tcPr>
          <w:p>
            <w:pPr>
              <w:jc w:val="center"/>
              <w:rPr>
                <w:noProof/>
                <w:sz w:val="18"/>
                <w:szCs w:val="18"/>
              </w:rPr>
            </w:pPr>
            <w:r>
              <w:rPr>
                <w:noProof/>
                <w:sz w:val="18"/>
              </w:rPr>
              <w:t>Coste total</w:t>
            </w:r>
          </w:p>
        </w:tc>
      </w:tr>
      <w:tr>
        <w:trPr>
          <w:jc w:val="center"/>
        </w:trPr>
        <w:tc>
          <w:tcPr>
            <w:tcW w:w="2844" w:type="dxa"/>
            <w:gridSpan w:val="3"/>
            <w:vAlign w:val="center"/>
          </w:tcPr>
          <w:p>
            <w:pPr>
              <w:spacing w:before="60" w:after="60"/>
              <w:ind w:right="-29"/>
              <w:jc w:val="center"/>
              <w:rPr>
                <w:noProof/>
                <w:sz w:val="18"/>
                <w:szCs w:val="18"/>
              </w:rPr>
            </w:pPr>
            <w:r>
              <w:rPr>
                <w:noProof/>
                <w:sz w:val="18"/>
              </w:rPr>
              <w:t>OBJETIVO ESPECÍFICO N.º 1</w:t>
            </w:r>
            <w:r>
              <w:rPr>
                <w:rStyle w:val="FootnoteReference"/>
                <w:noProof/>
                <w:sz w:val="18"/>
              </w:rPr>
              <w:footnoteReference w:id="17"/>
            </w:r>
            <w:r>
              <w:rPr>
                <w:noProof/>
                <w:sz w:val="18"/>
              </w:rPr>
              <w:t>…</w:t>
            </w:r>
          </w:p>
        </w:tc>
        <w:tc>
          <w:tcPr>
            <w:tcW w:w="504"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00" w:type="dxa"/>
            <w:tcBorders>
              <w:top w:val="nil"/>
              <w:left w:val="nil"/>
              <w:bottom w:val="nil"/>
              <w:right w:val="nil"/>
            </w:tcBorders>
          </w:tcPr>
          <w:p>
            <w:pPr>
              <w:spacing w:before="60" w:after="60"/>
              <w:ind w:right="-29"/>
              <w:jc w:val="center"/>
              <w:rPr>
                <w:noProof/>
                <w:sz w:val="18"/>
                <w:szCs w:val="18"/>
              </w:rPr>
            </w:pPr>
          </w:p>
        </w:tc>
        <w:tc>
          <w:tcPr>
            <w:tcW w:w="720" w:type="dxa"/>
            <w:gridSpan w:val="2"/>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648" w:type="dxa"/>
            <w:tcBorders>
              <w:top w:val="nil"/>
              <w:left w:val="nil"/>
              <w:bottom w:val="nil"/>
              <w:right w:val="nil"/>
            </w:tcBorders>
          </w:tcPr>
          <w:p>
            <w:pPr>
              <w:spacing w:before="60" w:after="60"/>
              <w:ind w:right="-29"/>
              <w:jc w:val="center"/>
              <w:rPr>
                <w:noProof/>
                <w:sz w:val="18"/>
                <w:szCs w:val="18"/>
              </w:rPr>
            </w:pPr>
          </w:p>
        </w:tc>
        <w:tc>
          <w:tcPr>
            <w:tcW w:w="432"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00" w:type="dxa"/>
            <w:tcBorders>
              <w:top w:val="nil"/>
              <w:left w:val="nil"/>
              <w:bottom w:val="nil"/>
              <w:right w:val="nil"/>
            </w:tcBorders>
          </w:tcPr>
          <w:p>
            <w:pPr>
              <w:spacing w:before="60" w:after="60"/>
              <w:ind w:right="-29"/>
              <w:jc w:val="center"/>
              <w:rPr>
                <w:noProof/>
                <w:sz w:val="18"/>
                <w:szCs w:val="18"/>
              </w:rPr>
            </w:pPr>
          </w:p>
        </w:tc>
      </w:tr>
      <w:tr>
        <w:trPr>
          <w:trHeight w:hRule="exact" w:val="369"/>
          <w:jc w:val="center"/>
        </w:trPr>
        <w:tc>
          <w:tcPr>
            <w:tcW w:w="1423" w:type="dxa"/>
          </w:tcPr>
          <w:p>
            <w:pPr>
              <w:ind w:right="-29"/>
              <w:jc w:val="center"/>
              <w:rPr>
                <w:noProof/>
                <w:sz w:val="18"/>
                <w:szCs w:val="18"/>
              </w:rPr>
            </w:pPr>
            <w:r>
              <w:rPr>
                <w:noProof/>
                <w:sz w:val="18"/>
              </w:rPr>
              <w:t>- Resultado</w:t>
            </w:r>
          </w:p>
        </w:tc>
        <w:tc>
          <w:tcPr>
            <w:tcW w:w="720" w:type="dxa"/>
          </w:tcPr>
          <w:p>
            <w:pPr>
              <w:ind w:right="-29"/>
              <w:jc w:val="center"/>
              <w:rPr>
                <w:noProof/>
                <w:sz w:val="18"/>
                <w:szCs w:val="18"/>
              </w:rPr>
            </w:pPr>
          </w:p>
        </w:tc>
        <w:tc>
          <w:tcPr>
            <w:tcW w:w="701" w:type="dxa"/>
          </w:tcPr>
          <w:p>
            <w:pPr>
              <w:ind w:right="-29"/>
              <w:jc w:val="center"/>
              <w:rPr>
                <w:noProof/>
                <w:sz w:val="18"/>
                <w:szCs w:val="18"/>
              </w:rPr>
            </w:pPr>
          </w:p>
        </w:tc>
        <w:tc>
          <w:tcPr>
            <w:tcW w:w="504"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72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900" w:type="dxa"/>
            <w:tcBorders>
              <w:right w:val="dashSmallGap" w:sz="4" w:space="0" w:color="auto"/>
            </w:tcBorders>
          </w:tcPr>
          <w:p>
            <w:pPr>
              <w:ind w:right="-29"/>
              <w:jc w:val="center"/>
              <w:rPr>
                <w:noProof/>
                <w:sz w:val="18"/>
                <w:szCs w:val="18"/>
              </w:rPr>
            </w:pPr>
          </w:p>
        </w:tc>
        <w:tc>
          <w:tcPr>
            <w:tcW w:w="720" w:type="dxa"/>
            <w:gridSpan w:val="2"/>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648" w:type="dxa"/>
            <w:tcBorders>
              <w:left w:val="dashSmallGap" w:sz="4" w:space="0" w:color="auto"/>
            </w:tcBorders>
          </w:tcPr>
          <w:p>
            <w:pPr>
              <w:ind w:right="-29"/>
              <w:jc w:val="center"/>
              <w:rPr>
                <w:noProof/>
                <w:sz w:val="18"/>
                <w:szCs w:val="18"/>
              </w:rPr>
            </w:pPr>
          </w:p>
        </w:tc>
        <w:tc>
          <w:tcPr>
            <w:tcW w:w="432"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r>
      <w:tr>
        <w:trPr>
          <w:trHeight w:hRule="exact" w:val="369"/>
          <w:jc w:val="center"/>
        </w:trPr>
        <w:tc>
          <w:tcPr>
            <w:tcW w:w="1423" w:type="dxa"/>
          </w:tcPr>
          <w:p>
            <w:pPr>
              <w:ind w:right="-29"/>
              <w:jc w:val="center"/>
              <w:rPr>
                <w:noProof/>
                <w:sz w:val="18"/>
                <w:szCs w:val="18"/>
              </w:rPr>
            </w:pPr>
            <w:r>
              <w:rPr>
                <w:noProof/>
                <w:sz w:val="18"/>
              </w:rPr>
              <w:t>- Resultado</w:t>
            </w:r>
          </w:p>
        </w:tc>
        <w:tc>
          <w:tcPr>
            <w:tcW w:w="720" w:type="dxa"/>
          </w:tcPr>
          <w:p>
            <w:pPr>
              <w:ind w:right="-29"/>
              <w:jc w:val="center"/>
              <w:rPr>
                <w:noProof/>
                <w:sz w:val="18"/>
                <w:szCs w:val="18"/>
              </w:rPr>
            </w:pPr>
          </w:p>
        </w:tc>
        <w:tc>
          <w:tcPr>
            <w:tcW w:w="701" w:type="dxa"/>
          </w:tcPr>
          <w:p>
            <w:pPr>
              <w:ind w:right="-29"/>
              <w:jc w:val="center"/>
              <w:rPr>
                <w:noProof/>
                <w:sz w:val="18"/>
                <w:szCs w:val="18"/>
              </w:rPr>
            </w:pPr>
          </w:p>
        </w:tc>
        <w:tc>
          <w:tcPr>
            <w:tcW w:w="504"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72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900" w:type="dxa"/>
            <w:tcBorders>
              <w:right w:val="dashSmallGap" w:sz="4" w:space="0" w:color="auto"/>
            </w:tcBorders>
          </w:tcPr>
          <w:p>
            <w:pPr>
              <w:ind w:right="-29"/>
              <w:jc w:val="center"/>
              <w:rPr>
                <w:noProof/>
                <w:sz w:val="18"/>
                <w:szCs w:val="18"/>
              </w:rPr>
            </w:pPr>
          </w:p>
        </w:tc>
        <w:tc>
          <w:tcPr>
            <w:tcW w:w="720" w:type="dxa"/>
            <w:gridSpan w:val="2"/>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648" w:type="dxa"/>
            <w:tcBorders>
              <w:left w:val="dashSmallGap" w:sz="4" w:space="0" w:color="auto"/>
            </w:tcBorders>
          </w:tcPr>
          <w:p>
            <w:pPr>
              <w:ind w:right="-29"/>
              <w:jc w:val="center"/>
              <w:rPr>
                <w:noProof/>
                <w:sz w:val="18"/>
                <w:szCs w:val="18"/>
              </w:rPr>
            </w:pPr>
          </w:p>
        </w:tc>
        <w:tc>
          <w:tcPr>
            <w:tcW w:w="432"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r>
      <w:tr>
        <w:trPr>
          <w:trHeight w:hRule="exact" w:val="369"/>
          <w:jc w:val="center"/>
        </w:trPr>
        <w:tc>
          <w:tcPr>
            <w:tcW w:w="1423" w:type="dxa"/>
          </w:tcPr>
          <w:p>
            <w:pPr>
              <w:ind w:right="-29"/>
              <w:jc w:val="center"/>
              <w:rPr>
                <w:noProof/>
                <w:sz w:val="18"/>
                <w:szCs w:val="18"/>
              </w:rPr>
            </w:pPr>
            <w:r>
              <w:rPr>
                <w:noProof/>
                <w:sz w:val="18"/>
              </w:rPr>
              <w:t>- Resultado</w:t>
            </w:r>
          </w:p>
        </w:tc>
        <w:tc>
          <w:tcPr>
            <w:tcW w:w="720" w:type="dxa"/>
          </w:tcPr>
          <w:p>
            <w:pPr>
              <w:ind w:right="-29"/>
              <w:jc w:val="center"/>
              <w:rPr>
                <w:noProof/>
                <w:sz w:val="18"/>
                <w:szCs w:val="18"/>
              </w:rPr>
            </w:pPr>
          </w:p>
        </w:tc>
        <w:tc>
          <w:tcPr>
            <w:tcW w:w="701" w:type="dxa"/>
          </w:tcPr>
          <w:p>
            <w:pPr>
              <w:ind w:right="-29"/>
              <w:jc w:val="center"/>
              <w:rPr>
                <w:noProof/>
                <w:sz w:val="18"/>
                <w:szCs w:val="18"/>
              </w:rPr>
            </w:pPr>
          </w:p>
        </w:tc>
        <w:tc>
          <w:tcPr>
            <w:tcW w:w="504"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c>
          <w:tcPr>
            <w:tcW w:w="720" w:type="dxa"/>
            <w:gridSpan w:val="2"/>
          </w:tcPr>
          <w:p>
            <w:pPr>
              <w:ind w:right="-29"/>
              <w:jc w:val="center"/>
              <w:rPr>
                <w:noProof/>
                <w:sz w:val="18"/>
                <w:szCs w:val="18"/>
              </w:rPr>
            </w:pPr>
          </w:p>
        </w:tc>
        <w:tc>
          <w:tcPr>
            <w:tcW w:w="540" w:type="dxa"/>
          </w:tcPr>
          <w:p>
            <w:pPr>
              <w:ind w:right="-29"/>
              <w:jc w:val="center"/>
              <w:rPr>
                <w:noProof/>
                <w:sz w:val="18"/>
                <w:szCs w:val="18"/>
              </w:rPr>
            </w:pPr>
          </w:p>
        </w:tc>
        <w:tc>
          <w:tcPr>
            <w:tcW w:w="648" w:type="dxa"/>
          </w:tcPr>
          <w:p>
            <w:pPr>
              <w:ind w:right="-29"/>
              <w:jc w:val="center"/>
              <w:rPr>
                <w:noProof/>
                <w:sz w:val="18"/>
                <w:szCs w:val="18"/>
              </w:rPr>
            </w:pPr>
          </w:p>
        </w:tc>
        <w:tc>
          <w:tcPr>
            <w:tcW w:w="432"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r>
      <w:tr>
        <w:trPr>
          <w:jc w:val="center"/>
        </w:trPr>
        <w:tc>
          <w:tcPr>
            <w:tcW w:w="2844" w:type="dxa"/>
            <w:gridSpan w:val="3"/>
            <w:tcBorders>
              <w:bottom w:val="single" w:sz="12" w:space="0" w:color="auto"/>
            </w:tcBorders>
            <w:vAlign w:val="center"/>
          </w:tcPr>
          <w:p>
            <w:pPr>
              <w:ind w:right="-29"/>
              <w:jc w:val="center"/>
              <w:rPr>
                <w:noProof/>
                <w:sz w:val="18"/>
                <w:szCs w:val="18"/>
              </w:rPr>
            </w:pPr>
            <w:r>
              <w:rPr>
                <w:noProof/>
                <w:sz w:val="18"/>
              </w:rPr>
              <w:t>Subtotal del objetivo específico n.º 1</w:t>
            </w:r>
          </w:p>
        </w:tc>
        <w:tc>
          <w:tcPr>
            <w:tcW w:w="504"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900" w:type="dxa"/>
            <w:tcBorders>
              <w:bottom w:val="single" w:sz="12" w:space="0" w:color="auto"/>
            </w:tcBorders>
          </w:tcPr>
          <w:p>
            <w:pPr>
              <w:ind w:right="-29"/>
              <w:jc w:val="center"/>
              <w:rPr>
                <w:noProof/>
                <w:sz w:val="18"/>
                <w:szCs w:val="18"/>
              </w:rPr>
            </w:pPr>
          </w:p>
        </w:tc>
        <w:tc>
          <w:tcPr>
            <w:tcW w:w="720" w:type="dxa"/>
            <w:gridSpan w:val="2"/>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648" w:type="dxa"/>
            <w:tcBorders>
              <w:bottom w:val="single" w:sz="12" w:space="0" w:color="auto"/>
            </w:tcBorders>
          </w:tcPr>
          <w:p>
            <w:pPr>
              <w:ind w:right="-29"/>
              <w:jc w:val="center"/>
              <w:rPr>
                <w:noProof/>
                <w:sz w:val="18"/>
                <w:szCs w:val="18"/>
              </w:rPr>
            </w:pPr>
          </w:p>
        </w:tc>
        <w:tc>
          <w:tcPr>
            <w:tcW w:w="432"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900" w:type="dxa"/>
            <w:tcBorders>
              <w:bottom w:val="single" w:sz="12" w:space="0" w:color="auto"/>
            </w:tcBorders>
          </w:tcPr>
          <w:p>
            <w:pPr>
              <w:ind w:right="-29"/>
              <w:jc w:val="center"/>
              <w:rPr>
                <w:noProof/>
                <w:sz w:val="18"/>
                <w:szCs w:val="18"/>
              </w:rPr>
            </w:pPr>
          </w:p>
        </w:tc>
      </w:tr>
      <w:tr>
        <w:trPr>
          <w:jc w:val="center"/>
        </w:trPr>
        <w:tc>
          <w:tcPr>
            <w:tcW w:w="2844" w:type="dxa"/>
            <w:gridSpan w:val="3"/>
            <w:vAlign w:val="center"/>
          </w:tcPr>
          <w:p>
            <w:pPr>
              <w:spacing w:before="60" w:after="60"/>
              <w:ind w:right="-29"/>
              <w:jc w:val="center"/>
              <w:rPr>
                <w:noProof/>
                <w:sz w:val="18"/>
                <w:szCs w:val="18"/>
              </w:rPr>
            </w:pPr>
            <w:r>
              <w:rPr>
                <w:noProof/>
                <w:sz w:val="18"/>
              </w:rPr>
              <w:t>OBJETIVO ESPECÍFICO N.º 2</w:t>
            </w:r>
          </w:p>
        </w:tc>
        <w:tc>
          <w:tcPr>
            <w:tcW w:w="504"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00" w:type="dxa"/>
            <w:tcBorders>
              <w:top w:val="nil"/>
              <w:left w:val="nil"/>
              <w:bottom w:val="nil"/>
              <w:right w:val="nil"/>
            </w:tcBorders>
          </w:tcPr>
          <w:p>
            <w:pPr>
              <w:spacing w:before="60" w:after="60"/>
              <w:ind w:right="-29"/>
              <w:jc w:val="center"/>
              <w:rPr>
                <w:noProof/>
                <w:sz w:val="18"/>
                <w:szCs w:val="18"/>
              </w:rPr>
            </w:pPr>
          </w:p>
        </w:tc>
        <w:tc>
          <w:tcPr>
            <w:tcW w:w="720" w:type="dxa"/>
            <w:gridSpan w:val="2"/>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648" w:type="dxa"/>
            <w:tcBorders>
              <w:top w:val="nil"/>
              <w:left w:val="nil"/>
              <w:bottom w:val="nil"/>
              <w:right w:val="nil"/>
            </w:tcBorders>
          </w:tcPr>
          <w:p>
            <w:pPr>
              <w:spacing w:before="60" w:after="60"/>
              <w:ind w:right="-29"/>
              <w:jc w:val="center"/>
              <w:rPr>
                <w:noProof/>
                <w:sz w:val="18"/>
                <w:szCs w:val="18"/>
              </w:rPr>
            </w:pPr>
          </w:p>
        </w:tc>
        <w:tc>
          <w:tcPr>
            <w:tcW w:w="432"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00" w:type="dxa"/>
            <w:tcBorders>
              <w:top w:val="nil"/>
              <w:left w:val="nil"/>
              <w:bottom w:val="nil"/>
              <w:right w:val="nil"/>
            </w:tcBorders>
          </w:tcPr>
          <w:p>
            <w:pPr>
              <w:spacing w:before="60" w:after="60"/>
              <w:ind w:right="-29"/>
              <w:jc w:val="center"/>
              <w:rPr>
                <w:noProof/>
                <w:sz w:val="18"/>
                <w:szCs w:val="18"/>
              </w:rPr>
            </w:pPr>
          </w:p>
        </w:tc>
      </w:tr>
      <w:tr>
        <w:trPr>
          <w:trHeight w:hRule="exact" w:val="369"/>
          <w:jc w:val="center"/>
        </w:trPr>
        <w:tc>
          <w:tcPr>
            <w:tcW w:w="1423" w:type="dxa"/>
          </w:tcPr>
          <w:p>
            <w:pPr>
              <w:ind w:right="-29"/>
              <w:jc w:val="center"/>
              <w:rPr>
                <w:noProof/>
                <w:sz w:val="18"/>
                <w:szCs w:val="18"/>
              </w:rPr>
            </w:pPr>
            <w:r>
              <w:rPr>
                <w:noProof/>
                <w:sz w:val="18"/>
              </w:rPr>
              <w:t>- Resultado</w:t>
            </w:r>
          </w:p>
        </w:tc>
        <w:tc>
          <w:tcPr>
            <w:tcW w:w="720" w:type="dxa"/>
          </w:tcPr>
          <w:p>
            <w:pPr>
              <w:ind w:right="-29"/>
              <w:jc w:val="center"/>
              <w:rPr>
                <w:noProof/>
                <w:sz w:val="18"/>
                <w:szCs w:val="18"/>
              </w:rPr>
            </w:pPr>
          </w:p>
        </w:tc>
        <w:tc>
          <w:tcPr>
            <w:tcW w:w="701" w:type="dxa"/>
          </w:tcPr>
          <w:p>
            <w:pPr>
              <w:ind w:right="-29"/>
              <w:jc w:val="center"/>
              <w:rPr>
                <w:noProof/>
                <w:sz w:val="18"/>
                <w:szCs w:val="18"/>
              </w:rPr>
            </w:pPr>
          </w:p>
        </w:tc>
        <w:tc>
          <w:tcPr>
            <w:tcW w:w="504"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c>
          <w:tcPr>
            <w:tcW w:w="720" w:type="dxa"/>
            <w:gridSpan w:val="2"/>
          </w:tcPr>
          <w:p>
            <w:pPr>
              <w:ind w:right="-29"/>
              <w:jc w:val="center"/>
              <w:rPr>
                <w:noProof/>
                <w:sz w:val="18"/>
                <w:szCs w:val="18"/>
              </w:rPr>
            </w:pPr>
          </w:p>
        </w:tc>
        <w:tc>
          <w:tcPr>
            <w:tcW w:w="540" w:type="dxa"/>
          </w:tcPr>
          <w:p>
            <w:pPr>
              <w:ind w:right="-29"/>
              <w:jc w:val="center"/>
              <w:rPr>
                <w:noProof/>
                <w:sz w:val="18"/>
                <w:szCs w:val="18"/>
              </w:rPr>
            </w:pPr>
          </w:p>
        </w:tc>
        <w:tc>
          <w:tcPr>
            <w:tcW w:w="648" w:type="dxa"/>
          </w:tcPr>
          <w:p>
            <w:pPr>
              <w:ind w:right="-29"/>
              <w:jc w:val="center"/>
              <w:rPr>
                <w:noProof/>
                <w:sz w:val="18"/>
                <w:szCs w:val="18"/>
              </w:rPr>
            </w:pPr>
          </w:p>
        </w:tc>
        <w:tc>
          <w:tcPr>
            <w:tcW w:w="432"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r>
      <w:tr>
        <w:trPr>
          <w:jc w:val="center"/>
        </w:trPr>
        <w:tc>
          <w:tcPr>
            <w:tcW w:w="2844" w:type="dxa"/>
            <w:gridSpan w:val="3"/>
            <w:tcBorders>
              <w:bottom w:val="single" w:sz="12" w:space="0" w:color="auto"/>
            </w:tcBorders>
            <w:vAlign w:val="center"/>
          </w:tcPr>
          <w:p>
            <w:pPr>
              <w:jc w:val="center"/>
              <w:rPr>
                <w:noProof/>
                <w:sz w:val="18"/>
                <w:szCs w:val="18"/>
              </w:rPr>
            </w:pPr>
            <w:r>
              <w:rPr>
                <w:noProof/>
                <w:sz w:val="18"/>
              </w:rPr>
              <w:t>Subtotal del objetivo específico n.º 2</w:t>
            </w:r>
          </w:p>
        </w:tc>
        <w:tc>
          <w:tcPr>
            <w:tcW w:w="504"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951" w:type="dxa"/>
            <w:gridSpan w:val="2"/>
            <w:tcBorders>
              <w:bottom w:val="single" w:sz="12" w:space="0" w:color="auto"/>
            </w:tcBorders>
          </w:tcPr>
          <w:p>
            <w:pPr>
              <w:ind w:right="-29"/>
              <w:jc w:val="center"/>
              <w:rPr>
                <w:noProof/>
                <w:sz w:val="18"/>
                <w:szCs w:val="18"/>
              </w:rPr>
            </w:pPr>
          </w:p>
        </w:tc>
        <w:tc>
          <w:tcPr>
            <w:tcW w:w="669"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648" w:type="dxa"/>
            <w:tcBorders>
              <w:bottom w:val="single" w:sz="12" w:space="0" w:color="auto"/>
            </w:tcBorders>
          </w:tcPr>
          <w:p>
            <w:pPr>
              <w:ind w:right="-29"/>
              <w:jc w:val="center"/>
              <w:rPr>
                <w:noProof/>
                <w:sz w:val="18"/>
                <w:szCs w:val="18"/>
              </w:rPr>
            </w:pPr>
          </w:p>
        </w:tc>
        <w:tc>
          <w:tcPr>
            <w:tcW w:w="432"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900" w:type="dxa"/>
            <w:tcBorders>
              <w:bottom w:val="single" w:sz="12" w:space="0" w:color="auto"/>
            </w:tcBorders>
          </w:tcPr>
          <w:p>
            <w:pPr>
              <w:ind w:right="-29"/>
              <w:jc w:val="center"/>
              <w:rPr>
                <w:noProof/>
                <w:sz w:val="18"/>
                <w:szCs w:val="18"/>
              </w:rPr>
            </w:pPr>
          </w:p>
        </w:tc>
      </w:tr>
      <w:tr>
        <w:trPr>
          <w:jc w:val="center"/>
        </w:trPr>
        <w:tc>
          <w:tcPr>
            <w:tcW w:w="2844" w:type="dxa"/>
            <w:gridSpan w:val="3"/>
            <w:tcBorders>
              <w:top w:val="single" w:sz="12" w:space="0" w:color="auto"/>
              <w:left w:val="single" w:sz="12" w:space="0" w:color="auto"/>
              <w:bottom w:val="single" w:sz="12" w:space="0" w:color="auto"/>
            </w:tcBorders>
            <w:vAlign w:val="center"/>
          </w:tcPr>
          <w:p>
            <w:pPr>
              <w:ind w:right="-29"/>
              <w:jc w:val="center"/>
              <w:rPr>
                <w:noProof/>
                <w:sz w:val="18"/>
                <w:szCs w:val="18"/>
              </w:rPr>
            </w:pPr>
            <w:r>
              <w:rPr>
                <w:b/>
                <w:noProof/>
                <w:sz w:val="18"/>
              </w:rPr>
              <w:t>COSTE TOTAL</w:t>
            </w:r>
          </w:p>
        </w:tc>
        <w:tc>
          <w:tcPr>
            <w:tcW w:w="504"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54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900" w:type="dxa"/>
            <w:tcBorders>
              <w:top w:val="single" w:sz="12" w:space="0" w:color="auto"/>
              <w:bottom w:val="single" w:sz="12" w:space="0" w:color="auto"/>
            </w:tcBorders>
          </w:tcPr>
          <w:p>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pPr>
              <w:spacing w:before="180" w:after="180"/>
              <w:ind w:right="-29"/>
              <w:jc w:val="center"/>
              <w:rPr>
                <w:noProof/>
                <w:sz w:val="18"/>
                <w:szCs w:val="18"/>
              </w:rPr>
            </w:pPr>
          </w:p>
        </w:tc>
        <w:tc>
          <w:tcPr>
            <w:tcW w:w="540" w:type="dxa"/>
            <w:tcBorders>
              <w:top w:val="single" w:sz="12" w:space="0" w:color="auto"/>
              <w:bottom w:val="single" w:sz="12" w:space="0" w:color="auto"/>
            </w:tcBorders>
          </w:tcPr>
          <w:p>
            <w:pPr>
              <w:spacing w:before="180" w:after="180"/>
              <w:ind w:right="-29"/>
              <w:jc w:val="center"/>
              <w:rPr>
                <w:noProof/>
                <w:sz w:val="18"/>
                <w:szCs w:val="18"/>
              </w:rPr>
            </w:pPr>
          </w:p>
        </w:tc>
        <w:tc>
          <w:tcPr>
            <w:tcW w:w="648" w:type="dxa"/>
            <w:tcBorders>
              <w:top w:val="single" w:sz="12" w:space="0" w:color="auto"/>
              <w:bottom w:val="single" w:sz="12" w:space="0" w:color="auto"/>
            </w:tcBorders>
          </w:tcPr>
          <w:p>
            <w:pPr>
              <w:spacing w:before="180" w:after="180"/>
              <w:ind w:right="-29"/>
              <w:jc w:val="center"/>
              <w:rPr>
                <w:noProof/>
                <w:sz w:val="18"/>
                <w:szCs w:val="18"/>
              </w:rPr>
            </w:pPr>
          </w:p>
        </w:tc>
        <w:tc>
          <w:tcPr>
            <w:tcW w:w="432"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54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pPr>
              <w:spacing w:before="180" w:after="180"/>
              <w:ind w:right="-29"/>
              <w:jc w:val="center"/>
              <w:rPr>
                <w:noProof/>
                <w:sz w:val="18"/>
                <w:szCs w:val="18"/>
              </w:rPr>
            </w:pPr>
          </w:p>
        </w:tc>
      </w:tr>
    </w:tbl>
    <w:p>
      <w:pPr>
        <w:rPr>
          <w:noProof/>
        </w:rPr>
        <w:sectPr>
          <w:pgSz w:w="16840" w:h="11907" w:orient="landscape" w:code="9"/>
          <w:pgMar w:top="1134" w:right="1418" w:bottom="567" w:left="1418" w:header="709" w:footer="709" w:gutter="0"/>
          <w:cols w:space="708"/>
          <w:docGrid w:linePitch="360"/>
        </w:sectPr>
      </w:pPr>
    </w:p>
    <w:p>
      <w:pPr>
        <w:pStyle w:val="ManualHeading3"/>
        <w:rPr>
          <w:bCs/>
          <w:noProof/>
          <w:szCs w:val="24"/>
        </w:rPr>
      </w:pPr>
      <w:r>
        <w:rPr>
          <w:noProof/>
        </w:rPr>
        <w:t>3.2.3.</w:t>
      </w:r>
      <w:r>
        <w:rPr>
          <w:noProof/>
        </w:rPr>
        <w:tab/>
        <w:t>Incidencia estimada en los créditos de carácter administrativo</w:t>
      </w:r>
    </w:p>
    <w:p>
      <w:pPr>
        <w:pStyle w:val="ManualHeading4"/>
        <w:rPr>
          <w:noProof/>
        </w:rPr>
      </w:pPr>
      <w:r>
        <w:rPr>
          <w:noProof/>
        </w:rPr>
        <w:t>3.2.3.1.</w:t>
      </w:r>
      <w:r>
        <w:rPr>
          <w:noProof/>
        </w:rPr>
        <w:tab/>
        <w:t xml:space="preserve">Resumen </w:t>
      </w:r>
    </w:p>
    <w:p>
      <w:pPr>
        <w:pStyle w:val="ListDash1"/>
        <w:rPr>
          <w:noProof/>
        </w:rPr>
      </w:pPr>
      <w:r>
        <w:rPr>
          <w:noProof/>
        </w:rPr>
        <w:sym w:font="Wingdings" w:char="F078"/>
      </w:r>
      <w:r>
        <w:rPr>
          <w:noProof/>
        </w:rPr>
        <w:tab/>
        <w:t xml:space="preserve">La propuesta/iniciativa no exige la utilización de créditos administrativos. </w:t>
      </w:r>
    </w:p>
    <w:p>
      <w:pPr>
        <w:pStyle w:val="ListDash1"/>
        <w:rPr>
          <w:noProof/>
        </w:rPr>
      </w:pPr>
      <w:r>
        <w:rPr>
          <w:noProof/>
        </w:rPr>
        <w:sym w:font="Wingdings" w:char="F0A8"/>
      </w:r>
      <w:r>
        <w:rPr>
          <w:noProof/>
        </w:rPr>
        <w:tab/>
        <w:t>La propuesta/iniciativa exige la utilización de créditos administrativos, tal como se explica a continuación:</w:t>
      </w:r>
    </w:p>
    <w:p>
      <w:pPr>
        <w:rPr>
          <w:noProof/>
          <w:sz w:val="20"/>
        </w:rPr>
      </w:pPr>
      <w:r>
        <w:rPr>
          <w:noProof/>
          <w:sz w:val="20"/>
        </w:rPr>
        <w:t>En millones EUR (al tercer decimal)</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trPr>
          <w:trHeight w:val="585"/>
        </w:trPr>
        <w:tc>
          <w:tcPr>
            <w:tcW w:w="1980" w:type="dxa"/>
          </w:tcPr>
          <w:p>
            <w:pPr>
              <w:spacing w:before="60" w:after="60" w:line="200" w:lineRule="exact"/>
              <w:rPr>
                <w:noProof/>
                <w:sz w:val="16"/>
                <w:szCs w:val="16"/>
              </w:rPr>
            </w:pPr>
          </w:p>
        </w:tc>
        <w:tc>
          <w:tcPr>
            <w:tcW w:w="1080" w:type="dxa"/>
            <w:vAlign w:val="center"/>
          </w:tcPr>
          <w:p>
            <w:pPr>
              <w:spacing w:before="60" w:after="60" w:line="200" w:lineRule="exact"/>
              <w:jc w:val="center"/>
              <w:rPr>
                <w:noProof/>
                <w:sz w:val="16"/>
                <w:szCs w:val="16"/>
              </w:rPr>
            </w:pPr>
            <w:r>
              <w:rPr>
                <w:noProof/>
                <w:sz w:val="16"/>
              </w:rPr>
              <w:t>Año</w:t>
            </w:r>
            <w:r>
              <w:rPr>
                <w:noProof/>
              </w:rPr>
              <w:br/>
            </w:r>
            <w:r>
              <w:rPr>
                <w:b/>
                <w:noProof/>
                <w:sz w:val="16"/>
              </w:rPr>
              <w:t xml:space="preserve">N </w:t>
            </w:r>
            <w:r>
              <w:rPr>
                <w:rStyle w:val="FootnoteReference"/>
                <w:b/>
                <w:noProof/>
                <w:sz w:val="16"/>
              </w:rPr>
              <w:footnoteReference w:id="18"/>
            </w:r>
          </w:p>
        </w:tc>
        <w:tc>
          <w:tcPr>
            <w:tcW w:w="1080" w:type="dxa"/>
            <w:vAlign w:val="center"/>
          </w:tcPr>
          <w:p>
            <w:pPr>
              <w:spacing w:before="60" w:after="60" w:line="200" w:lineRule="exact"/>
              <w:jc w:val="center"/>
              <w:rPr>
                <w:noProof/>
                <w:sz w:val="16"/>
                <w:szCs w:val="16"/>
              </w:rPr>
            </w:pPr>
            <w:r>
              <w:rPr>
                <w:noProof/>
                <w:sz w:val="16"/>
              </w:rPr>
              <w:t>Año</w:t>
            </w:r>
            <w:r>
              <w:rPr>
                <w:noProof/>
              </w:rPr>
              <w:br/>
            </w:r>
            <w:r>
              <w:rPr>
                <w:b/>
                <w:noProof/>
                <w:sz w:val="16"/>
              </w:rPr>
              <w:t>N+1</w:t>
            </w:r>
          </w:p>
        </w:tc>
        <w:tc>
          <w:tcPr>
            <w:tcW w:w="1080" w:type="dxa"/>
            <w:vAlign w:val="center"/>
          </w:tcPr>
          <w:p>
            <w:pPr>
              <w:spacing w:before="60" w:after="60" w:line="200" w:lineRule="exact"/>
              <w:jc w:val="center"/>
              <w:rPr>
                <w:noProof/>
                <w:sz w:val="16"/>
                <w:szCs w:val="16"/>
              </w:rPr>
            </w:pPr>
            <w:r>
              <w:rPr>
                <w:noProof/>
                <w:sz w:val="16"/>
              </w:rPr>
              <w:t>Año</w:t>
            </w:r>
            <w:r>
              <w:rPr>
                <w:noProof/>
              </w:rPr>
              <w:br/>
            </w:r>
            <w:r>
              <w:rPr>
                <w:b/>
                <w:noProof/>
                <w:sz w:val="16"/>
              </w:rPr>
              <w:t>N+2</w:t>
            </w:r>
          </w:p>
        </w:tc>
        <w:tc>
          <w:tcPr>
            <w:tcW w:w="1080" w:type="dxa"/>
            <w:vAlign w:val="center"/>
          </w:tcPr>
          <w:p>
            <w:pPr>
              <w:spacing w:before="60" w:after="60" w:line="200" w:lineRule="exact"/>
              <w:jc w:val="center"/>
              <w:rPr>
                <w:noProof/>
                <w:sz w:val="16"/>
                <w:szCs w:val="16"/>
              </w:rPr>
            </w:pPr>
            <w:r>
              <w:rPr>
                <w:noProof/>
                <w:sz w:val="16"/>
              </w:rPr>
              <w:t>Año</w:t>
            </w:r>
            <w:r>
              <w:rPr>
                <w:noProof/>
              </w:rPr>
              <w:br/>
            </w:r>
            <w:r>
              <w:rPr>
                <w:b/>
                <w:noProof/>
                <w:sz w:val="16"/>
              </w:rPr>
              <w:t>N+3</w:t>
            </w:r>
          </w:p>
        </w:tc>
        <w:tc>
          <w:tcPr>
            <w:tcW w:w="3240" w:type="dxa"/>
            <w:vAlign w:val="center"/>
          </w:tcPr>
          <w:p>
            <w:pPr>
              <w:spacing w:line="200" w:lineRule="exact"/>
              <w:jc w:val="center"/>
              <w:rPr>
                <w:b/>
                <w:noProof/>
                <w:sz w:val="16"/>
                <w:szCs w:val="16"/>
              </w:rPr>
            </w:pPr>
            <w:r>
              <w:rPr>
                <w:noProof/>
                <w:sz w:val="16"/>
              </w:rPr>
              <w:t>Insértense tantos años como sea necesario para reflejar la duración de la incidencia (véase el punto 1.6)</w:t>
            </w:r>
          </w:p>
        </w:tc>
        <w:tc>
          <w:tcPr>
            <w:tcW w:w="1080" w:type="dxa"/>
            <w:vAlign w:val="center"/>
          </w:tcPr>
          <w:p>
            <w:pPr>
              <w:spacing w:before="60" w:after="60" w:line="200" w:lineRule="exact"/>
              <w:jc w:val="center"/>
              <w:rPr>
                <w:b/>
                <w:noProof/>
                <w:sz w:val="16"/>
                <w:szCs w:val="16"/>
              </w:rPr>
            </w:pPr>
            <w:r>
              <w:rPr>
                <w:b/>
                <w:noProof/>
                <w:sz w:val="16"/>
              </w:rPr>
              <w:t>TOTAL</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RÚBRICA 5</w:t>
            </w:r>
            <w:r>
              <w:rPr>
                <w:noProof/>
              </w:rPr>
              <w:br/>
            </w:r>
            <w:r>
              <w:rPr>
                <w:b/>
                <w:noProof/>
                <w:sz w:val="16"/>
              </w:rPr>
              <w:t>del marco financiero plurianual</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Recursos humanos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Otros gastos administrativos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Subtotal para la RÚBRICA 5</w:t>
            </w:r>
            <w:r>
              <w:rPr>
                <w:noProof/>
              </w:rPr>
              <w:br/>
            </w:r>
            <w:r>
              <w:rPr>
                <w:b/>
                <w:noProof/>
                <w:sz w:val="16"/>
              </w:rPr>
              <w:t xml:space="preserve">del marco financiero plurianual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Al margen de la RÚBRICA 5</w:t>
            </w:r>
            <w:r>
              <w:rPr>
                <w:rStyle w:val="FootnoteReference"/>
                <w:b/>
                <w:noProof/>
                <w:sz w:val="16"/>
              </w:rPr>
              <w:footnoteReference w:id="19"/>
            </w:r>
            <w:r>
              <w:rPr>
                <w:noProof/>
              </w:rPr>
              <w:br/>
            </w:r>
            <w:r>
              <w:rPr>
                <w:b/>
                <w:noProof/>
                <w:sz w:val="16"/>
              </w:rPr>
              <w:t>del marco financiero plurianual</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Recursos humanos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Otros gastos </w:t>
            </w:r>
            <w:r>
              <w:rPr>
                <w:noProof/>
              </w:rPr>
              <w:br/>
            </w:r>
            <w:r>
              <w:rPr>
                <w:noProof/>
                <w:sz w:val="16"/>
              </w:rPr>
              <w:t>de carácter administrativo</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Subtotal </w:t>
            </w:r>
            <w:r>
              <w:rPr>
                <w:noProof/>
              </w:rPr>
              <w:br/>
            </w:r>
            <w:r>
              <w:rPr>
                <w:b/>
                <w:noProof/>
                <w:sz w:val="16"/>
              </w:rPr>
              <w:t>al margen de la RÚBRICA 5</w:t>
            </w:r>
            <w:r>
              <w:rPr>
                <w:noProof/>
              </w:rPr>
              <w:br/>
            </w:r>
            <w:r>
              <w:rPr>
                <w:b/>
                <w:noProof/>
                <w:sz w:val="16"/>
              </w:rPr>
              <w:t xml:space="preserve">del marco financiero plurianual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bl>
    <w:p>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b/>
                <w:noProof/>
                <w:sz w:val="16"/>
                <w:szCs w:val="16"/>
              </w:rPr>
            </w:pPr>
          </w:p>
        </w:tc>
      </w:tr>
    </w:tbl>
    <w:p>
      <w:pPr>
        <w:rPr>
          <w:noProof/>
          <w:sz w:val="18"/>
        </w:rPr>
        <w:sectPr>
          <w:headerReference w:type="default" r:id="rId20"/>
          <w:footerReference w:type="default" r:id="rId21"/>
          <w:headerReference w:type="first" r:id="rId22"/>
          <w:footerReference w:type="first" r:id="rId23"/>
          <w:pgSz w:w="11907" w:h="16840"/>
          <w:pgMar w:top="1134" w:right="1418" w:bottom="1134" w:left="1418" w:header="709" w:footer="709" w:gutter="0"/>
          <w:cols w:space="708"/>
          <w:docGrid w:linePitch="360"/>
        </w:sectPr>
      </w:pPr>
      <w:r>
        <w:rPr>
          <w:noProof/>
          <w:sz w:val="18"/>
        </w:rPr>
        <w:t>Los créditos necesarios para recursos humanos y otros gastos de carácter administrativo se cubrirán mediante créditos de la DG ya asignados a la gestión de la acción y/o reasignados dentro de la DG, que se complementarán, en caso necesario, con cualquier dotación adicional que pudiera asignarse a la DG gestora en el marco del procedimiento de asignación anual y a la luz de los imperativos presupuestarios existentes.</w:t>
      </w:r>
      <w:r>
        <w:rPr>
          <w:noProof/>
          <w:sz w:val="18"/>
        </w:rPr>
        <w:tab/>
      </w:r>
    </w:p>
    <w:p>
      <w:pPr>
        <w:pStyle w:val="ManualHeading4"/>
        <w:rPr>
          <w:bCs/>
          <w:noProof/>
          <w:szCs w:val="24"/>
        </w:rPr>
      </w:pPr>
      <w:r>
        <w:rPr>
          <w:noProof/>
        </w:rPr>
        <w:t>3.2.3.2.</w:t>
      </w:r>
      <w:r>
        <w:rPr>
          <w:noProof/>
        </w:rPr>
        <w:tab/>
        <w:t>Necesidades estimadas en recursos humanos</w:t>
      </w:r>
    </w:p>
    <w:p>
      <w:pPr>
        <w:pStyle w:val="ListDash1"/>
        <w:rPr>
          <w:noProof/>
        </w:rPr>
      </w:pPr>
      <w:r>
        <w:rPr>
          <w:noProof/>
        </w:rPr>
        <w:sym w:font="Wingdings" w:char="F078"/>
      </w:r>
      <w:r>
        <w:rPr>
          <w:noProof/>
        </w:rPr>
        <w:tab/>
        <w:t xml:space="preserve">La propuesta/iniciativa no exige la utilización de recursos humanos. </w:t>
      </w:r>
    </w:p>
    <w:p>
      <w:pPr>
        <w:pStyle w:val="ListDash1"/>
        <w:rPr>
          <w:noProof/>
        </w:rPr>
      </w:pPr>
      <w:r>
        <w:rPr>
          <w:noProof/>
        </w:rPr>
        <w:sym w:font="Wingdings" w:char="F0A8"/>
      </w:r>
      <w:r>
        <w:rPr>
          <w:noProof/>
        </w:rPr>
        <w:tab/>
        <w:t>La propuesta/iniciativa exige la utilización de recursos humanos, tal como se explica a continuación:</w:t>
      </w:r>
    </w:p>
    <w:p>
      <w:pPr>
        <w:spacing w:after="60"/>
        <w:jc w:val="right"/>
        <w:rPr>
          <w:i/>
          <w:noProof/>
          <w:sz w:val="20"/>
        </w:rPr>
      </w:pPr>
      <w:r>
        <w:rPr>
          <w:i/>
          <w:noProof/>
          <w:sz w:val="20"/>
        </w:rPr>
        <w:t>Estimación que debe expresarse en unidades de equivalente a jornada completa</w:t>
      </w:r>
    </w:p>
    <w:tbl>
      <w:tblPr>
        <w:tblW w:w="554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
        <w:gridCol w:w="1952"/>
        <w:gridCol w:w="1954"/>
        <w:gridCol w:w="655"/>
        <w:gridCol w:w="655"/>
        <w:gridCol w:w="3748"/>
        <w:gridCol w:w="610"/>
        <w:gridCol w:w="237"/>
        <w:gridCol w:w="237"/>
        <w:gridCol w:w="237"/>
      </w:tblGrid>
      <w:tr>
        <w:trPr>
          <w:gridBefore w:val="1"/>
          <w:wBefore w:w="6" w:type="pct"/>
          <w:trHeight w:val="289"/>
          <w:jc w:val="center"/>
        </w:trPr>
        <w:tc>
          <w:tcPr>
            <w:tcW w:w="1897" w:type="pct"/>
            <w:gridSpan w:val="2"/>
            <w:shd w:val="clear" w:color="auto" w:fill="auto"/>
          </w:tcPr>
          <w:p>
            <w:pPr>
              <w:pStyle w:val="Text1"/>
              <w:spacing w:before="40" w:after="40"/>
              <w:ind w:left="0"/>
              <w:jc w:val="center"/>
              <w:rPr>
                <w:i/>
                <w:noProof/>
                <w:sz w:val="16"/>
                <w:szCs w:val="16"/>
              </w:rPr>
            </w:pPr>
          </w:p>
        </w:tc>
        <w:tc>
          <w:tcPr>
            <w:tcW w:w="318" w:type="pct"/>
            <w:shd w:val="clear" w:color="auto" w:fill="auto"/>
            <w:vAlign w:val="center"/>
          </w:tcPr>
          <w:p>
            <w:pPr>
              <w:spacing w:before="20" w:after="20"/>
              <w:jc w:val="center"/>
              <w:rPr>
                <w:noProof/>
                <w:sz w:val="16"/>
                <w:szCs w:val="16"/>
              </w:rPr>
            </w:pPr>
            <w:r>
              <w:rPr>
                <w:noProof/>
                <w:sz w:val="16"/>
              </w:rPr>
              <w:t>Año</w:t>
            </w:r>
            <w:r>
              <w:rPr>
                <w:noProof/>
              </w:rPr>
              <w:br/>
            </w:r>
            <w:r>
              <w:rPr>
                <w:b/>
                <w:noProof/>
                <w:sz w:val="16"/>
              </w:rPr>
              <w:t>N</w:t>
            </w:r>
          </w:p>
        </w:tc>
        <w:tc>
          <w:tcPr>
            <w:tcW w:w="318" w:type="pct"/>
            <w:shd w:val="clear" w:color="auto" w:fill="auto"/>
            <w:vAlign w:val="center"/>
          </w:tcPr>
          <w:p>
            <w:pPr>
              <w:spacing w:before="20" w:after="20"/>
              <w:jc w:val="center"/>
              <w:rPr>
                <w:noProof/>
                <w:sz w:val="16"/>
                <w:szCs w:val="16"/>
              </w:rPr>
            </w:pPr>
            <w:r>
              <w:rPr>
                <w:noProof/>
                <w:sz w:val="16"/>
              </w:rPr>
              <w:t>Año</w:t>
            </w:r>
            <w:r>
              <w:rPr>
                <w:noProof/>
              </w:rPr>
              <w:br/>
            </w:r>
            <w:r>
              <w:rPr>
                <w:b/>
                <w:noProof/>
                <w:sz w:val="16"/>
              </w:rPr>
              <w:t>N+1</w:t>
            </w:r>
          </w:p>
        </w:tc>
        <w:tc>
          <w:tcPr>
            <w:tcW w:w="1820" w:type="pct"/>
            <w:shd w:val="clear" w:color="auto" w:fill="auto"/>
            <w:vAlign w:val="center"/>
          </w:tcPr>
          <w:p>
            <w:pPr>
              <w:spacing w:before="20" w:after="20"/>
              <w:jc w:val="center"/>
              <w:rPr>
                <w:noProof/>
                <w:sz w:val="16"/>
                <w:szCs w:val="16"/>
              </w:rPr>
            </w:pPr>
            <w:r>
              <w:rPr>
                <w:noProof/>
                <w:sz w:val="16"/>
                <w:szCs w:val="16"/>
              </w:rPr>
              <w:t xml:space="preserve">Año </w:t>
            </w:r>
            <w:r>
              <w:rPr>
                <w:b/>
                <w:noProof/>
                <w:sz w:val="16"/>
                <w:szCs w:val="16"/>
              </w:rPr>
              <w:t>N+2</w:t>
            </w:r>
          </w:p>
        </w:tc>
        <w:tc>
          <w:tcPr>
            <w:tcW w:w="296" w:type="pct"/>
            <w:shd w:val="clear" w:color="auto" w:fill="auto"/>
            <w:vAlign w:val="center"/>
          </w:tcPr>
          <w:p>
            <w:pPr>
              <w:spacing w:before="20" w:after="20"/>
              <w:jc w:val="center"/>
              <w:rPr>
                <w:noProof/>
                <w:sz w:val="16"/>
                <w:szCs w:val="16"/>
              </w:rPr>
            </w:pPr>
            <w:r>
              <w:rPr>
                <w:noProof/>
                <w:sz w:val="16"/>
                <w:szCs w:val="16"/>
              </w:rPr>
              <w:t xml:space="preserve">Año </w:t>
            </w:r>
            <w:r>
              <w:rPr>
                <w:b/>
                <w:noProof/>
                <w:sz w:val="16"/>
                <w:szCs w:val="16"/>
              </w:rPr>
              <w:t>N+3</w:t>
            </w:r>
          </w:p>
        </w:tc>
        <w:tc>
          <w:tcPr>
            <w:tcW w:w="345" w:type="pct"/>
            <w:gridSpan w:val="3"/>
            <w:shd w:val="clear" w:color="auto" w:fill="auto"/>
            <w:vAlign w:val="center"/>
          </w:tcPr>
          <w:p>
            <w:pPr>
              <w:jc w:val="center"/>
              <w:rPr>
                <w:b/>
                <w:noProof/>
                <w:sz w:val="16"/>
                <w:szCs w:val="16"/>
              </w:rPr>
            </w:pPr>
            <w:r>
              <w:rPr>
                <w:noProof/>
                <w:sz w:val="16"/>
              </w:rPr>
              <w:t>Insértense tantos años como sea necesario para reflejar la duración de la incidencia (véase el punto 1.6)</w:t>
            </w:r>
          </w:p>
        </w:tc>
      </w:tr>
      <w:tr>
        <w:trPr>
          <w:gridBefore w:val="1"/>
          <w:wBefore w:w="6" w:type="pct"/>
          <w:trHeight w:val="289"/>
          <w:jc w:val="center"/>
        </w:trPr>
        <w:tc>
          <w:tcPr>
            <w:tcW w:w="4353" w:type="pct"/>
            <w:gridSpan w:val="5"/>
            <w:shd w:val="clear" w:color="auto" w:fill="auto"/>
          </w:tcPr>
          <w:p>
            <w:pPr>
              <w:spacing w:before="20" w:after="20"/>
              <w:rPr>
                <w:noProof/>
                <w:sz w:val="16"/>
                <w:szCs w:val="16"/>
              </w:rPr>
            </w:pPr>
            <w:r>
              <w:rPr>
                <w:b/>
                <w:noProof/>
                <w:sz w:val="16"/>
              </w:rPr>
              <w:sym w:font="Wingdings" w:char="F09F"/>
            </w:r>
            <w:r>
              <w:rPr>
                <w:b/>
                <w:noProof/>
                <w:sz w:val="16"/>
              </w:rPr>
              <w:t>Empleos de plantilla (funcionarios y personal temporal)</w:t>
            </w:r>
          </w:p>
        </w:tc>
        <w:tc>
          <w:tcPr>
            <w:tcW w:w="296" w:type="pct"/>
            <w:shd w:val="clear" w:color="auto" w:fill="auto"/>
            <w:vAlign w:val="center"/>
          </w:tcPr>
          <w:p>
            <w:pPr>
              <w:spacing w:before="20" w:after="20"/>
              <w:jc w:val="center"/>
              <w:rPr>
                <w:noProof/>
                <w:sz w:val="16"/>
                <w:szCs w:val="16"/>
              </w:rPr>
            </w:pPr>
          </w:p>
        </w:tc>
        <w:tc>
          <w:tcPr>
            <w:tcW w:w="345" w:type="pct"/>
            <w:gridSpan w:val="3"/>
            <w:shd w:val="clear" w:color="auto" w:fill="auto"/>
            <w:vAlign w:val="center"/>
          </w:tcPr>
          <w:p>
            <w:pPr>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b/>
                <w:noProof/>
                <w:sz w:val="16"/>
                <w:szCs w:val="16"/>
              </w:rPr>
            </w:pPr>
            <w:r>
              <w:rPr>
                <w:noProof/>
                <w:sz w:val="16"/>
              </w:rPr>
              <w:t>XX 01 01 01 (Sede y Oficinas de Representación de la Comisión)</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20" w:type="pct"/>
            <w:shd w:val="clear" w:color="auto" w:fill="auto"/>
            <w:vAlign w:val="center"/>
          </w:tcPr>
          <w:p>
            <w:pPr>
              <w:spacing w:beforeLines="20" w:before="48" w:afterLines="20" w:after="48"/>
              <w:jc w:val="center"/>
              <w:rPr>
                <w:noProof/>
                <w:sz w:val="16"/>
                <w:szCs w:val="16"/>
              </w:rPr>
            </w:pPr>
          </w:p>
        </w:tc>
        <w:tc>
          <w:tcPr>
            <w:tcW w:w="29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01 02 (Delegaciones)</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20" w:type="pct"/>
            <w:shd w:val="clear" w:color="auto" w:fill="auto"/>
            <w:vAlign w:val="center"/>
          </w:tcPr>
          <w:p>
            <w:pPr>
              <w:spacing w:beforeLines="20" w:before="48" w:afterLines="20" w:after="48"/>
              <w:jc w:val="center"/>
              <w:rPr>
                <w:noProof/>
                <w:sz w:val="16"/>
                <w:szCs w:val="16"/>
              </w:rPr>
            </w:pPr>
          </w:p>
        </w:tc>
        <w:tc>
          <w:tcPr>
            <w:tcW w:w="29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05 01 (Investigación indirecta)</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20" w:type="pct"/>
            <w:shd w:val="clear" w:color="auto" w:fill="auto"/>
            <w:vAlign w:val="center"/>
          </w:tcPr>
          <w:p>
            <w:pPr>
              <w:spacing w:beforeLines="20" w:before="48" w:afterLines="20" w:after="48"/>
              <w:jc w:val="center"/>
              <w:rPr>
                <w:noProof/>
                <w:sz w:val="16"/>
                <w:szCs w:val="16"/>
              </w:rPr>
            </w:pPr>
          </w:p>
        </w:tc>
        <w:tc>
          <w:tcPr>
            <w:tcW w:w="29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10 01 05 01 (Investigación directa)</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20" w:type="pct"/>
            <w:shd w:val="clear" w:color="auto" w:fill="auto"/>
            <w:vAlign w:val="center"/>
          </w:tcPr>
          <w:p>
            <w:pPr>
              <w:spacing w:beforeLines="20" w:before="48" w:afterLines="20" w:after="48"/>
              <w:jc w:val="center"/>
              <w:rPr>
                <w:noProof/>
                <w:sz w:val="16"/>
                <w:szCs w:val="16"/>
              </w:rPr>
            </w:pPr>
          </w:p>
        </w:tc>
        <w:tc>
          <w:tcPr>
            <w:tcW w:w="29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After w:val="4"/>
          <w:wAfter w:w="641" w:type="pct"/>
          <w:trHeight w:val="248"/>
          <w:jc w:val="center"/>
        </w:trPr>
        <w:tc>
          <w:tcPr>
            <w:tcW w:w="4359" w:type="pct"/>
            <w:gridSpan w:val="6"/>
            <w:shd w:val="clear" w:color="auto" w:fill="auto"/>
            <w:vAlign w:val="center"/>
          </w:tcPr>
          <w:p>
            <w:pPr>
              <w:pStyle w:val="Text1"/>
              <w:spacing w:before="60" w:after="60"/>
              <w:ind w:left="0"/>
              <w:jc w:val="left"/>
              <w:rPr>
                <w:b/>
                <w:noProof/>
                <w:sz w:val="16"/>
                <w:szCs w:val="16"/>
              </w:rPr>
            </w:pPr>
            <w:r>
              <w:rPr>
                <w:b/>
                <w:noProof/>
                <w:sz w:val="16"/>
              </w:rPr>
              <w:sym w:font="Wingdings" w:char="F09F"/>
            </w:r>
            <w:r>
              <w:rPr>
                <w:b/>
                <w:noProof/>
                <w:sz w:val="16"/>
              </w:rPr>
              <w:t>Personal externo (en unidades de equivalente a jornada completa, EJC)</w:t>
            </w:r>
            <w:r>
              <w:rPr>
                <w:rStyle w:val="FootnoteReference"/>
                <w:b/>
                <w:noProof/>
                <w:sz w:val="16"/>
              </w:rPr>
              <w:footnoteReference w:id="20"/>
            </w:r>
          </w:p>
          <w:p>
            <w:pPr>
              <w:pStyle w:val="Text1"/>
              <w:spacing w:before="0" w:after="0"/>
              <w:ind w:left="0"/>
              <w:jc w:val="left"/>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b/>
                <w:noProof/>
                <w:sz w:val="16"/>
                <w:szCs w:val="16"/>
              </w:rPr>
            </w:pPr>
            <w:r>
              <w:rPr>
                <w:noProof/>
                <w:sz w:val="16"/>
              </w:rPr>
              <w:t>XX 01 02 01 (AC, ENCS, INT de la dotación global)</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20" w:type="pct"/>
            <w:shd w:val="clear" w:color="auto" w:fill="auto"/>
            <w:vAlign w:val="center"/>
          </w:tcPr>
          <w:p>
            <w:pPr>
              <w:spacing w:beforeLines="20" w:before="48" w:afterLines="20" w:after="48"/>
              <w:jc w:val="center"/>
              <w:rPr>
                <w:noProof/>
                <w:sz w:val="16"/>
                <w:szCs w:val="16"/>
              </w:rPr>
            </w:pPr>
          </w:p>
        </w:tc>
        <w:tc>
          <w:tcPr>
            <w:tcW w:w="29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XX 01 02 02 (AC, LA, ENCS, INT y JED en las Delegaciones)</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20" w:type="pct"/>
            <w:shd w:val="clear" w:color="auto" w:fill="auto"/>
            <w:vAlign w:val="center"/>
          </w:tcPr>
          <w:p>
            <w:pPr>
              <w:spacing w:beforeLines="20" w:before="48" w:afterLines="20" w:after="48"/>
              <w:jc w:val="center"/>
              <w:rPr>
                <w:noProof/>
                <w:sz w:val="16"/>
                <w:szCs w:val="16"/>
              </w:rPr>
            </w:pPr>
          </w:p>
        </w:tc>
        <w:tc>
          <w:tcPr>
            <w:tcW w:w="29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948" w:type="pct"/>
            <w:vMerge w:val="restart"/>
            <w:shd w:val="clear" w:color="auto" w:fill="auto"/>
            <w:vAlign w:val="center"/>
          </w:tcPr>
          <w:p>
            <w:pPr>
              <w:pStyle w:val="Text1"/>
              <w:spacing w:beforeLines="20" w:before="48" w:afterLines="20" w:after="48"/>
              <w:ind w:left="136"/>
              <w:jc w:val="left"/>
              <w:rPr>
                <w:b/>
                <w:noProof/>
                <w:sz w:val="16"/>
                <w:szCs w:val="16"/>
              </w:rPr>
            </w:pPr>
            <w:r>
              <w:rPr>
                <w:b/>
                <w:noProof/>
                <w:sz w:val="16"/>
                <w:szCs w:val="16"/>
              </w:rPr>
              <w:t>XX</w:t>
            </w:r>
            <w:r>
              <w:rPr>
                <w:noProof/>
                <w:sz w:val="16"/>
                <w:szCs w:val="16"/>
              </w:rPr>
              <w:t xml:space="preserve"> 01 04 </w:t>
            </w:r>
            <w:r>
              <w:rPr>
                <w:b/>
                <w:noProof/>
                <w:sz w:val="16"/>
                <w:szCs w:val="16"/>
              </w:rPr>
              <w:t>yy</w:t>
            </w:r>
            <w:r>
              <w:rPr>
                <w:b/>
                <w:i/>
                <w:noProof/>
                <w:sz w:val="16"/>
              </w:rPr>
              <w:t xml:space="preserve"> </w:t>
            </w:r>
            <w:r>
              <w:rPr>
                <w:rStyle w:val="FootnoteReference"/>
                <w:b/>
                <w:i/>
                <w:noProof/>
                <w:sz w:val="16"/>
              </w:rPr>
              <w:footnoteReference w:id="21"/>
            </w:r>
          </w:p>
          <w:p>
            <w:pPr>
              <w:pStyle w:val="Text1"/>
              <w:spacing w:beforeLines="20" w:before="48" w:afterLines="20" w:after="48"/>
              <w:ind w:left="136"/>
              <w:jc w:val="left"/>
              <w:rPr>
                <w:b/>
                <w:noProof/>
                <w:sz w:val="16"/>
                <w:szCs w:val="16"/>
              </w:rPr>
            </w:pPr>
          </w:p>
        </w:tc>
        <w:tc>
          <w:tcPr>
            <w:tcW w:w="949" w:type="pct"/>
            <w:shd w:val="clear" w:color="auto" w:fill="auto"/>
            <w:vAlign w:val="center"/>
          </w:tcPr>
          <w:p>
            <w:pPr>
              <w:pStyle w:val="Text1"/>
              <w:spacing w:beforeLines="20" w:before="48" w:afterLines="20" w:after="48"/>
              <w:ind w:left="136"/>
              <w:jc w:val="left"/>
              <w:rPr>
                <w:b/>
                <w:noProof/>
                <w:sz w:val="16"/>
                <w:szCs w:val="16"/>
              </w:rPr>
            </w:pPr>
            <w:r>
              <w:rPr>
                <w:noProof/>
                <w:sz w:val="16"/>
              </w:rPr>
              <w:t>- en la sede</w:t>
            </w:r>
          </w:p>
          <w:p>
            <w:pPr>
              <w:pStyle w:val="Text1"/>
              <w:spacing w:beforeLines="20" w:before="48" w:afterLines="20" w:after="48"/>
              <w:ind w:left="136"/>
              <w:jc w:val="left"/>
              <w:rPr>
                <w:b/>
                <w:noProof/>
                <w:sz w:val="16"/>
                <w:szCs w:val="16"/>
              </w:rPr>
            </w:pPr>
          </w:p>
        </w:tc>
        <w:tc>
          <w:tcPr>
            <w:tcW w:w="318" w:type="pct"/>
            <w:shd w:val="clear" w:color="auto" w:fill="auto"/>
            <w:vAlign w:val="center"/>
          </w:tcPr>
          <w:p>
            <w:pPr>
              <w:pStyle w:val="Text1"/>
              <w:spacing w:beforeLines="20" w:before="48" w:afterLines="20" w:after="48"/>
              <w:ind w:left="0"/>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20" w:type="pct"/>
            <w:shd w:val="clear" w:color="auto" w:fill="auto"/>
            <w:vAlign w:val="center"/>
          </w:tcPr>
          <w:p>
            <w:pPr>
              <w:spacing w:beforeLines="20" w:before="48" w:afterLines="20" w:after="48"/>
              <w:jc w:val="center"/>
              <w:rPr>
                <w:noProof/>
                <w:sz w:val="16"/>
                <w:szCs w:val="16"/>
              </w:rPr>
            </w:pPr>
          </w:p>
        </w:tc>
        <w:tc>
          <w:tcPr>
            <w:tcW w:w="29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948" w:type="pct"/>
            <w:vMerge/>
            <w:shd w:val="clear" w:color="auto" w:fill="auto"/>
            <w:vAlign w:val="center"/>
          </w:tcPr>
          <w:p>
            <w:pPr>
              <w:pStyle w:val="Text1"/>
              <w:spacing w:beforeLines="20" w:before="48" w:afterLines="20" w:after="48"/>
              <w:ind w:left="136"/>
              <w:jc w:val="left"/>
              <w:rPr>
                <w:b/>
                <w:noProof/>
                <w:sz w:val="16"/>
                <w:szCs w:val="16"/>
              </w:rPr>
            </w:pPr>
          </w:p>
        </w:tc>
        <w:tc>
          <w:tcPr>
            <w:tcW w:w="949"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en las Delegaciones </w:t>
            </w:r>
          </w:p>
        </w:tc>
        <w:tc>
          <w:tcPr>
            <w:tcW w:w="318" w:type="pct"/>
            <w:shd w:val="clear" w:color="auto" w:fill="auto"/>
            <w:vAlign w:val="center"/>
          </w:tcPr>
          <w:p>
            <w:pPr>
              <w:pStyle w:val="Text1"/>
              <w:spacing w:beforeLines="20" w:before="48" w:afterLines="20" w:after="48"/>
              <w:ind w:left="0"/>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20" w:type="pct"/>
            <w:shd w:val="clear" w:color="auto" w:fill="auto"/>
            <w:vAlign w:val="center"/>
          </w:tcPr>
          <w:p>
            <w:pPr>
              <w:spacing w:beforeLines="20" w:before="48" w:afterLines="20" w:after="48"/>
              <w:jc w:val="center"/>
              <w:rPr>
                <w:noProof/>
                <w:sz w:val="16"/>
                <w:szCs w:val="16"/>
              </w:rPr>
            </w:pPr>
          </w:p>
        </w:tc>
        <w:tc>
          <w:tcPr>
            <w:tcW w:w="29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noProof/>
                <w:sz w:val="16"/>
                <w:szCs w:val="16"/>
              </w:rPr>
            </w:pPr>
            <w:r>
              <w:rPr>
                <w:b/>
                <w:noProof/>
                <w:sz w:val="16"/>
                <w:szCs w:val="16"/>
              </w:rPr>
              <w:t>XX</w:t>
            </w:r>
            <w:r>
              <w:rPr>
                <w:noProof/>
                <w:sz w:val="16"/>
                <w:szCs w:val="16"/>
              </w:rPr>
              <w:t xml:space="preserve"> 01 05 02 (AC, ENCS, INT; investigación indirecta)</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20" w:type="pct"/>
            <w:shd w:val="clear" w:color="auto" w:fill="auto"/>
            <w:vAlign w:val="center"/>
          </w:tcPr>
          <w:p>
            <w:pPr>
              <w:spacing w:beforeLines="20" w:before="48" w:afterLines="20" w:after="48"/>
              <w:jc w:val="center"/>
              <w:rPr>
                <w:noProof/>
                <w:sz w:val="16"/>
                <w:szCs w:val="16"/>
              </w:rPr>
            </w:pPr>
          </w:p>
        </w:tc>
        <w:tc>
          <w:tcPr>
            <w:tcW w:w="29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10 01 05 02 (AC, INT, ENCS; investigación directa)</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20" w:type="pct"/>
            <w:shd w:val="clear" w:color="auto" w:fill="auto"/>
            <w:vAlign w:val="center"/>
          </w:tcPr>
          <w:p>
            <w:pPr>
              <w:spacing w:beforeLines="20" w:before="48" w:afterLines="20" w:after="48"/>
              <w:jc w:val="center"/>
              <w:rPr>
                <w:noProof/>
                <w:sz w:val="16"/>
                <w:szCs w:val="16"/>
              </w:rPr>
            </w:pPr>
          </w:p>
        </w:tc>
        <w:tc>
          <w:tcPr>
            <w:tcW w:w="29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tcBorders>
              <w:bottom w:val="double" w:sz="4" w:space="0" w:color="auto"/>
            </w:tcBorders>
            <w:shd w:val="clear" w:color="auto" w:fill="auto"/>
            <w:vAlign w:val="center"/>
          </w:tcPr>
          <w:p>
            <w:pPr>
              <w:pStyle w:val="Text1"/>
              <w:spacing w:beforeLines="20" w:before="48" w:afterLines="20" w:after="48"/>
              <w:ind w:left="134"/>
              <w:jc w:val="left"/>
              <w:rPr>
                <w:noProof/>
                <w:sz w:val="16"/>
                <w:szCs w:val="16"/>
              </w:rPr>
            </w:pPr>
            <w:r>
              <w:rPr>
                <w:noProof/>
                <w:sz w:val="16"/>
              </w:rPr>
              <w:t>Otras líneas presupuestarias (especifíquense)</w:t>
            </w:r>
          </w:p>
        </w:tc>
        <w:tc>
          <w:tcPr>
            <w:tcW w:w="31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1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820"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29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TOTAL</w:t>
            </w:r>
          </w:p>
        </w:tc>
        <w:tc>
          <w:tcPr>
            <w:tcW w:w="318"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318"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1820"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296"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pPr>
              <w:spacing w:beforeLines="20" w:before="48" w:afterLines="20" w:after="48"/>
              <w:jc w:val="center"/>
              <w:rPr>
                <w:b/>
                <w:noProof/>
                <w:sz w:val="16"/>
                <w:szCs w:val="16"/>
              </w:rPr>
            </w:pPr>
          </w:p>
        </w:tc>
      </w:tr>
    </w:tbl>
    <w:p>
      <w:pPr>
        <w:pStyle w:val="Text1"/>
        <w:spacing w:before="60" w:after="60"/>
        <w:ind w:left="851"/>
        <w:rPr>
          <w:noProof/>
          <w:sz w:val="18"/>
          <w:szCs w:val="18"/>
        </w:rPr>
      </w:pPr>
      <w:r>
        <w:rPr>
          <w:b/>
          <w:noProof/>
          <w:sz w:val="18"/>
          <w:szCs w:val="18"/>
        </w:rPr>
        <w:t>XX</w:t>
      </w:r>
      <w:r>
        <w:rPr>
          <w:noProof/>
          <w:sz w:val="18"/>
          <w:szCs w:val="18"/>
        </w:rPr>
        <w:t xml:space="preserve"> es el ámbito político o título presupuestario en cuestión.</w:t>
      </w:r>
    </w:p>
    <w:p>
      <w:pPr>
        <w:pStyle w:val="Text1"/>
        <w:rPr>
          <w:noProof/>
          <w:sz w:val="18"/>
          <w:szCs w:val="18"/>
        </w:rPr>
      </w:pPr>
      <w:r>
        <w:rPr>
          <w:noProof/>
          <w:sz w:val="18"/>
        </w:rPr>
        <w:t>Las necesidades en materia de recursos humanos las cubrirá el personal de la DG ya destinado a la gestión de la acción y/o reasignado dentro de la DG, que se complementará, en caso necesario, con cualquier dotación adicional que pudiera asignarse a la DG gestora en el marco del procedimiento de asignación anual y a la luz de los imperativos presupuestarios existentes.</w:t>
      </w:r>
    </w:p>
    <w:p>
      <w:pPr>
        <w:rPr>
          <w:noProof/>
          <w:sz w:val="20"/>
        </w:rPr>
      </w:pPr>
      <w:r>
        <w:rPr>
          <w:noProof/>
          <w:sz w:val="20"/>
        </w:rPr>
        <w:t>Descripción de las tareas que deben llevarse a cabo:</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Funcionarios y agentes temporales</w:t>
            </w:r>
          </w:p>
        </w:tc>
        <w:tc>
          <w:tcPr>
            <w:tcW w:w="7200" w:type="dxa"/>
          </w:tcPr>
          <w:p>
            <w:pPr>
              <w:rPr>
                <w:noProof/>
                <w:sz w:val="20"/>
              </w:rPr>
            </w:pPr>
          </w:p>
        </w:tc>
      </w:tr>
      <w:tr>
        <w:tc>
          <w:tcPr>
            <w:tcW w:w="3240" w:type="dxa"/>
          </w:tcPr>
          <w:p>
            <w:pPr>
              <w:spacing w:before="60" w:after="60"/>
              <w:rPr>
                <w:noProof/>
                <w:sz w:val="20"/>
              </w:rPr>
            </w:pPr>
            <w:r>
              <w:rPr>
                <w:noProof/>
                <w:sz w:val="20"/>
              </w:rPr>
              <w:t>Personal externo</w:t>
            </w:r>
          </w:p>
        </w:tc>
        <w:tc>
          <w:tcPr>
            <w:tcW w:w="7200" w:type="dxa"/>
          </w:tcPr>
          <w:p>
            <w:pPr>
              <w:rPr>
                <w:noProof/>
                <w:sz w:val="20"/>
              </w:rPr>
            </w:pPr>
          </w:p>
        </w:tc>
      </w:tr>
    </w:tbl>
    <w:p>
      <w:pPr>
        <w:rPr>
          <w:noProof/>
        </w:rPr>
        <w:sectPr>
          <w:pgSz w:w="11907" w:h="16840"/>
          <w:pgMar w:top="1134" w:right="1418" w:bottom="1134" w:left="1418" w:header="709" w:footer="709" w:gutter="0"/>
          <w:cols w:space="708"/>
          <w:docGrid w:linePitch="360"/>
        </w:sectPr>
      </w:pPr>
    </w:p>
    <w:p>
      <w:pPr>
        <w:pStyle w:val="ManualHeading3"/>
        <w:rPr>
          <w:bCs/>
          <w:noProof/>
          <w:szCs w:val="24"/>
        </w:rPr>
      </w:pPr>
      <w:r>
        <w:rPr>
          <w:noProof/>
        </w:rPr>
        <w:t>3.2.4.</w:t>
      </w:r>
      <w:r>
        <w:rPr>
          <w:noProof/>
        </w:rPr>
        <w:tab/>
        <w:t xml:space="preserve">Compatibilidad con el marco financiero plurianual vigente </w:t>
      </w:r>
    </w:p>
    <w:p>
      <w:pPr>
        <w:pStyle w:val="ListDash1"/>
        <w:rPr>
          <w:noProof/>
        </w:rPr>
      </w:pPr>
      <w:r>
        <w:rPr>
          <w:noProof/>
        </w:rPr>
        <w:sym w:font="Wingdings" w:char="F078"/>
      </w:r>
      <w:r>
        <w:rPr>
          <w:noProof/>
        </w:rPr>
        <w:tab/>
        <w:t>La propuesta/iniciativa es compatible con el marco financiero plurianual vigente.</w:t>
      </w:r>
    </w:p>
    <w:p>
      <w:pPr>
        <w:pStyle w:val="ListDash1"/>
        <w:rPr>
          <w:noProof/>
        </w:rPr>
      </w:pPr>
      <w:r>
        <w:rPr>
          <w:noProof/>
        </w:rPr>
        <w:sym w:font="Wingdings" w:char="F0A8"/>
      </w:r>
      <w:r>
        <w:rPr>
          <w:noProof/>
        </w:rPr>
        <w:tab/>
        <w:t>La propuesta/iniciativa implicará la reprogramación de la rúbrica correspondiente del marco financiero plurianual.</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Explíquese la reprogramación requerida, precisando las líneas presupuestarias afectadas y los importes correspondientes.</w:t>
      </w:r>
    </w:p>
    <w:p>
      <w:pPr>
        <w:pStyle w:val="ListDash1"/>
        <w:rPr>
          <w:noProof/>
        </w:rPr>
      </w:pPr>
      <w:r>
        <w:rPr>
          <w:noProof/>
        </w:rPr>
        <w:sym w:font="Wingdings" w:char="F0A8"/>
      </w:r>
      <w:r>
        <w:rPr>
          <w:noProof/>
        </w:rPr>
        <w:tab/>
        <w:t>La propuesta/iniciativa requiere la aplicación del Instrumento de Flexibilidad o la revisión del marco financiero plurianual.</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Explíquese qué es lo que se requiere, precisando las rúbricas y líneas presupuestarias afectadas y los importes correspondientes.</w:t>
      </w:r>
    </w:p>
    <w:p>
      <w:pPr>
        <w:pStyle w:val="ManualHeading3"/>
        <w:rPr>
          <w:bCs/>
          <w:noProof/>
          <w:szCs w:val="24"/>
        </w:rPr>
      </w:pPr>
      <w:r>
        <w:rPr>
          <w:noProof/>
        </w:rPr>
        <w:t>3.2.5.</w:t>
      </w:r>
      <w:r>
        <w:rPr>
          <w:noProof/>
        </w:rPr>
        <w:tab/>
        <w:t xml:space="preserve">Contribución de terceros </w:t>
      </w:r>
    </w:p>
    <w:p>
      <w:pPr>
        <w:pStyle w:val="ListDash1"/>
        <w:rPr>
          <w:noProof/>
        </w:rPr>
      </w:pPr>
      <w:r>
        <w:rPr>
          <w:noProof/>
        </w:rPr>
        <w:t xml:space="preserve">La propuesta/iniciativa no prevé la cofinanciación por terceros. </w:t>
      </w:r>
    </w:p>
    <w:p>
      <w:pPr>
        <w:pStyle w:val="ListDash1"/>
        <w:rPr>
          <w:noProof/>
        </w:rPr>
      </w:pPr>
      <w:r>
        <w:rPr>
          <w:noProof/>
        </w:rPr>
        <w:t>La propuesta/iniciativa prevé la cofinanciación que se estima a continuación:</w:t>
      </w:r>
    </w:p>
    <w:p>
      <w:pPr>
        <w:jc w:val="right"/>
        <w:rPr>
          <w:noProof/>
          <w:sz w:val="20"/>
        </w:rPr>
      </w:pPr>
      <w:r>
        <w:rPr>
          <w:noProof/>
          <w:sz w:val="20"/>
        </w:rPr>
        <w:t>Créditos en millones EUR (al tercer decimal)</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rPr>
                <w:noProof/>
                <w:sz w:val="20"/>
              </w:rPr>
            </w:pPr>
          </w:p>
        </w:tc>
        <w:tc>
          <w:tcPr>
            <w:tcW w:w="964" w:type="dxa"/>
            <w:vAlign w:val="center"/>
          </w:tcPr>
          <w:p>
            <w:pPr>
              <w:jc w:val="center"/>
              <w:rPr>
                <w:noProof/>
                <w:sz w:val="20"/>
              </w:rPr>
            </w:pPr>
            <w:r>
              <w:rPr>
                <w:noProof/>
                <w:sz w:val="20"/>
              </w:rPr>
              <w:t>Año</w:t>
            </w:r>
            <w:r>
              <w:rPr>
                <w:noProof/>
              </w:rPr>
              <w:br/>
            </w:r>
            <w:r>
              <w:rPr>
                <w:b/>
                <w:noProof/>
                <w:sz w:val="20"/>
              </w:rPr>
              <w:t>N</w:t>
            </w:r>
          </w:p>
        </w:tc>
        <w:tc>
          <w:tcPr>
            <w:tcW w:w="964" w:type="dxa"/>
            <w:vAlign w:val="center"/>
          </w:tcPr>
          <w:p>
            <w:pPr>
              <w:jc w:val="center"/>
              <w:rPr>
                <w:noProof/>
                <w:sz w:val="20"/>
              </w:rPr>
            </w:pPr>
            <w:r>
              <w:rPr>
                <w:noProof/>
                <w:sz w:val="20"/>
              </w:rPr>
              <w:t>Año</w:t>
            </w:r>
            <w:r>
              <w:rPr>
                <w:noProof/>
              </w:rPr>
              <w:br/>
            </w:r>
            <w:r>
              <w:rPr>
                <w:b/>
                <w:noProof/>
                <w:sz w:val="20"/>
              </w:rPr>
              <w:t>N+1</w:t>
            </w:r>
          </w:p>
        </w:tc>
        <w:tc>
          <w:tcPr>
            <w:tcW w:w="964" w:type="dxa"/>
            <w:vAlign w:val="center"/>
          </w:tcPr>
          <w:p>
            <w:pPr>
              <w:jc w:val="center"/>
              <w:rPr>
                <w:noProof/>
                <w:sz w:val="20"/>
              </w:rPr>
            </w:pPr>
            <w:r>
              <w:rPr>
                <w:noProof/>
                <w:sz w:val="20"/>
              </w:rPr>
              <w:t>Año</w:t>
            </w:r>
            <w:r>
              <w:rPr>
                <w:noProof/>
              </w:rPr>
              <w:br/>
            </w:r>
            <w:r>
              <w:rPr>
                <w:b/>
                <w:noProof/>
                <w:sz w:val="20"/>
              </w:rPr>
              <w:t>N+2</w:t>
            </w:r>
          </w:p>
        </w:tc>
        <w:tc>
          <w:tcPr>
            <w:tcW w:w="964" w:type="dxa"/>
            <w:vAlign w:val="center"/>
          </w:tcPr>
          <w:p>
            <w:pPr>
              <w:jc w:val="center"/>
              <w:rPr>
                <w:noProof/>
                <w:sz w:val="20"/>
              </w:rPr>
            </w:pPr>
            <w:r>
              <w:rPr>
                <w:noProof/>
                <w:sz w:val="20"/>
              </w:rPr>
              <w:t>Año</w:t>
            </w:r>
            <w:r>
              <w:rPr>
                <w:noProof/>
              </w:rPr>
              <w:br/>
            </w:r>
            <w:r>
              <w:rPr>
                <w:b/>
                <w:noProof/>
                <w:sz w:val="20"/>
              </w:rPr>
              <w:t>N+3</w:t>
            </w:r>
          </w:p>
        </w:tc>
        <w:tc>
          <w:tcPr>
            <w:tcW w:w="2892" w:type="dxa"/>
            <w:gridSpan w:val="3"/>
            <w:vAlign w:val="center"/>
          </w:tcPr>
          <w:p>
            <w:pPr>
              <w:jc w:val="center"/>
              <w:rPr>
                <w:b/>
                <w:noProof/>
                <w:sz w:val="20"/>
              </w:rPr>
            </w:pPr>
            <w:r>
              <w:rPr>
                <w:noProof/>
                <w:sz w:val="20"/>
              </w:rPr>
              <w:t>Insértense tantos años como sea necesario para reflejar la duración de la incidencia (véase el punto 1.6)</w:t>
            </w:r>
          </w:p>
        </w:tc>
        <w:tc>
          <w:tcPr>
            <w:tcW w:w="1158" w:type="dxa"/>
            <w:vAlign w:val="center"/>
          </w:tcPr>
          <w:p>
            <w:pPr>
              <w:spacing w:before="60" w:after="60"/>
              <w:jc w:val="center"/>
              <w:rPr>
                <w:noProof/>
                <w:sz w:val="20"/>
              </w:rPr>
            </w:pPr>
            <w:r>
              <w:rPr>
                <w:noProof/>
                <w:sz w:val="20"/>
              </w:rPr>
              <w:t>Total</w:t>
            </w:r>
          </w:p>
        </w:tc>
      </w:tr>
      <w:tr>
        <w:trPr>
          <w:cantSplit/>
        </w:trPr>
        <w:tc>
          <w:tcPr>
            <w:tcW w:w="2340" w:type="dxa"/>
          </w:tcPr>
          <w:p>
            <w:pPr>
              <w:rPr>
                <w:noProof/>
              </w:rPr>
            </w:pPr>
            <w:r>
              <w:rPr>
                <w:noProof/>
                <w:sz w:val="20"/>
              </w:rPr>
              <w:t>Especifíquese el organismo de cofinanciación</w:t>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r>
        <w:trPr>
          <w:cantSplit/>
        </w:trPr>
        <w:tc>
          <w:tcPr>
            <w:tcW w:w="2340" w:type="dxa"/>
          </w:tcPr>
          <w:p>
            <w:pPr>
              <w:spacing w:before="60" w:after="60"/>
              <w:jc w:val="left"/>
              <w:rPr>
                <w:noProof/>
                <w:sz w:val="20"/>
              </w:rPr>
            </w:pPr>
            <w:r>
              <w:rPr>
                <w:noProof/>
                <w:sz w:val="20"/>
              </w:rPr>
              <w:t xml:space="preserve">TOTAL de los créditos cofinanciados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bl>
    <w:p>
      <w:pPr>
        <w:pStyle w:val="ManualHeading2"/>
        <w:rPr>
          <w:bCs/>
          <w:noProof/>
          <w:szCs w:val="24"/>
        </w:rPr>
      </w:pPr>
      <w:r>
        <w:rPr>
          <w:noProof/>
        </w:rPr>
        <w:t>3.3.</w:t>
      </w:r>
      <w:r>
        <w:rPr>
          <w:noProof/>
        </w:rPr>
        <w:tab/>
        <w:t xml:space="preserve">Incidencia estimada en los ingresos </w:t>
      </w:r>
    </w:p>
    <w:p>
      <w:pPr>
        <w:pStyle w:val="ListDash1"/>
        <w:rPr>
          <w:noProof/>
        </w:rPr>
      </w:pPr>
      <w:r>
        <w:rPr>
          <w:noProof/>
        </w:rPr>
        <w:sym w:font="Wingdings" w:char="F078"/>
      </w:r>
      <w:r>
        <w:rPr>
          <w:noProof/>
        </w:rPr>
        <w:tab/>
        <w:t>La propuesta/iniciativa no tiene incidencia financiera en los ingresos.</w:t>
      </w:r>
    </w:p>
    <w:p>
      <w:pPr>
        <w:pStyle w:val="ListDash1"/>
        <w:rPr>
          <w:noProof/>
        </w:rPr>
      </w:pPr>
      <w:r>
        <w:rPr>
          <w:noProof/>
        </w:rPr>
        <w:sym w:font="Wingdings" w:char="F0A8"/>
      </w:r>
      <w:r>
        <w:rPr>
          <w:noProof/>
        </w:rPr>
        <w:tab/>
        <w:t>La propuesta/iniciativa tiene la incidencia financiera que se indica a continuación:</w:t>
      </w:r>
    </w:p>
    <w:p>
      <w:pPr>
        <w:pStyle w:val="ListNumberLevel3"/>
        <w:tabs>
          <w:tab w:val="clear" w:pos="2126"/>
        </w:tabs>
        <w:rPr>
          <w:noProof/>
        </w:rPr>
      </w:pPr>
      <w:r>
        <w:rPr>
          <w:noProof/>
        </w:rPr>
        <w:sym w:font="Wingdings" w:char="F0A8"/>
      </w:r>
      <w:r>
        <w:rPr>
          <w:noProof/>
        </w:rPr>
        <w:tab/>
        <w:t xml:space="preserve">en los recursos propios </w:t>
      </w:r>
    </w:p>
    <w:p>
      <w:pPr>
        <w:pStyle w:val="ListNumberLevel3"/>
        <w:tabs>
          <w:tab w:val="clear" w:pos="2126"/>
        </w:tabs>
        <w:rPr>
          <w:noProof/>
        </w:rPr>
      </w:pPr>
      <w:r>
        <w:rPr>
          <w:noProof/>
        </w:rPr>
        <w:sym w:font="Wingdings" w:char="F0A8"/>
      </w:r>
      <w:r>
        <w:rPr>
          <w:noProof/>
        </w:rPr>
        <w:tab/>
        <w:t xml:space="preserve">en ingresos diversos </w:t>
      </w:r>
    </w:p>
    <w:p>
      <w:pPr>
        <w:jc w:val="right"/>
        <w:rPr>
          <w:i/>
          <w:noProof/>
          <w:sz w:val="20"/>
        </w:rPr>
      </w:pPr>
      <w:r>
        <w:rPr>
          <w:noProof/>
        </w:rPr>
        <w:t>En millones EUR (al tercer decimal)</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Línea presupuestaria de ingresos:</w:t>
            </w:r>
          </w:p>
        </w:tc>
        <w:tc>
          <w:tcPr>
            <w:tcW w:w="1276" w:type="dxa"/>
            <w:vMerge w:val="restart"/>
            <w:vAlign w:val="center"/>
          </w:tcPr>
          <w:p>
            <w:pPr>
              <w:jc w:val="center"/>
              <w:rPr>
                <w:noProof/>
                <w:sz w:val="18"/>
              </w:rPr>
            </w:pPr>
            <w:r>
              <w:rPr>
                <w:noProof/>
                <w:sz w:val="18"/>
              </w:rPr>
              <w:t>Créditos disponibles para el ejercicio presupuestario en curso</w:t>
            </w:r>
          </w:p>
        </w:tc>
        <w:tc>
          <w:tcPr>
            <w:tcW w:w="7200" w:type="dxa"/>
            <w:gridSpan w:val="7"/>
            <w:vAlign w:val="center"/>
          </w:tcPr>
          <w:p>
            <w:pPr>
              <w:jc w:val="center"/>
              <w:rPr>
                <w:noProof/>
                <w:sz w:val="18"/>
              </w:rPr>
            </w:pPr>
            <w:r>
              <w:rPr>
                <w:noProof/>
                <w:sz w:val="18"/>
              </w:rPr>
              <w:t>Incidencia de la propuesta/iniciativa</w:t>
            </w:r>
            <w:r>
              <w:rPr>
                <w:rStyle w:val="FootnoteReference"/>
                <w:noProof/>
                <w:sz w:val="18"/>
              </w:rPr>
              <w:footnoteReference w:id="22"/>
            </w:r>
          </w:p>
        </w:tc>
      </w:tr>
      <w:tr>
        <w:trPr>
          <w:trHeight w:val="388"/>
        </w:trPr>
        <w:tc>
          <w:tcPr>
            <w:tcW w:w="2144" w:type="dxa"/>
            <w:vMerge/>
          </w:tcPr>
          <w:p>
            <w:pPr>
              <w:spacing w:before="40" w:after="40"/>
              <w:rPr>
                <w:noProof/>
                <w:sz w:val="18"/>
              </w:rPr>
            </w:pPr>
          </w:p>
        </w:tc>
        <w:tc>
          <w:tcPr>
            <w:tcW w:w="1276" w:type="dxa"/>
            <w:vMerge/>
          </w:tcPr>
          <w:p>
            <w:pPr>
              <w:spacing w:beforeLines="40" w:before="96" w:afterLines="40" w:after="96"/>
              <w:rPr>
                <w:i/>
                <w:noProof/>
                <w:sz w:val="18"/>
              </w:rPr>
            </w:pPr>
          </w:p>
        </w:tc>
        <w:tc>
          <w:tcPr>
            <w:tcW w:w="1080" w:type="dxa"/>
            <w:vAlign w:val="center"/>
          </w:tcPr>
          <w:p>
            <w:pPr>
              <w:jc w:val="center"/>
              <w:rPr>
                <w:noProof/>
                <w:sz w:val="18"/>
              </w:rPr>
            </w:pPr>
            <w:r>
              <w:rPr>
                <w:noProof/>
                <w:sz w:val="18"/>
              </w:rPr>
              <w:t>Año</w:t>
            </w:r>
            <w:r>
              <w:rPr>
                <w:noProof/>
              </w:rPr>
              <w:br/>
            </w:r>
            <w:r>
              <w:rPr>
                <w:b/>
                <w:noProof/>
                <w:sz w:val="18"/>
              </w:rPr>
              <w:t>N</w:t>
            </w:r>
          </w:p>
        </w:tc>
        <w:tc>
          <w:tcPr>
            <w:tcW w:w="900" w:type="dxa"/>
            <w:vAlign w:val="center"/>
          </w:tcPr>
          <w:p>
            <w:pPr>
              <w:jc w:val="center"/>
              <w:rPr>
                <w:noProof/>
                <w:sz w:val="18"/>
              </w:rPr>
            </w:pPr>
            <w:r>
              <w:rPr>
                <w:noProof/>
                <w:sz w:val="18"/>
              </w:rPr>
              <w:t>Año</w:t>
            </w:r>
            <w:r>
              <w:rPr>
                <w:noProof/>
              </w:rPr>
              <w:br/>
            </w:r>
            <w:r>
              <w:rPr>
                <w:b/>
                <w:noProof/>
                <w:sz w:val="18"/>
              </w:rPr>
              <w:t>N+1</w:t>
            </w:r>
          </w:p>
        </w:tc>
        <w:tc>
          <w:tcPr>
            <w:tcW w:w="900" w:type="dxa"/>
            <w:vAlign w:val="center"/>
          </w:tcPr>
          <w:p>
            <w:pPr>
              <w:jc w:val="center"/>
              <w:rPr>
                <w:noProof/>
                <w:sz w:val="18"/>
              </w:rPr>
            </w:pPr>
            <w:r>
              <w:rPr>
                <w:noProof/>
                <w:sz w:val="18"/>
              </w:rPr>
              <w:t>Año</w:t>
            </w:r>
            <w:r>
              <w:rPr>
                <w:noProof/>
              </w:rPr>
              <w:br/>
            </w:r>
            <w:r>
              <w:rPr>
                <w:b/>
                <w:noProof/>
                <w:sz w:val="18"/>
              </w:rPr>
              <w:t>N+2</w:t>
            </w:r>
          </w:p>
        </w:tc>
        <w:tc>
          <w:tcPr>
            <w:tcW w:w="1080" w:type="dxa"/>
            <w:vAlign w:val="center"/>
          </w:tcPr>
          <w:p>
            <w:pPr>
              <w:jc w:val="center"/>
              <w:rPr>
                <w:noProof/>
                <w:sz w:val="18"/>
              </w:rPr>
            </w:pPr>
            <w:r>
              <w:rPr>
                <w:noProof/>
                <w:sz w:val="18"/>
              </w:rPr>
              <w:t>Año</w:t>
            </w:r>
            <w:r>
              <w:rPr>
                <w:noProof/>
              </w:rPr>
              <w:br/>
            </w:r>
            <w:r>
              <w:rPr>
                <w:b/>
                <w:noProof/>
                <w:sz w:val="18"/>
              </w:rPr>
              <w:t>N+3</w:t>
            </w:r>
          </w:p>
        </w:tc>
        <w:tc>
          <w:tcPr>
            <w:tcW w:w="3240" w:type="dxa"/>
            <w:gridSpan w:val="3"/>
            <w:vAlign w:val="center"/>
          </w:tcPr>
          <w:p>
            <w:pPr>
              <w:jc w:val="center"/>
              <w:rPr>
                <w:b/>
                <w:noProof/>
                <w:sz w:val="18"/>
              </w:rPr>
            </w:pPr>
            <w:r>
              <w:rPr>
                <w:noProof/>
                <w:sz w:val="18"/>
              </w:rPr>
              <w:t>Insértense tantos años como sea necesario para reflejar la duración de la incidencia (véase el punto 1.6)</w:t>
            </w:r>
          </w:p>
        </w:tc>
      </w:tr>
      <w:tr>
        <w:trPr>
          <w:trHeight w:val="388"/>
        </w:trPr>
        <w:tc>
          <w:tcPr>
            <w:tcW w:w="2144" w:type="dxa"/>
            <w:vAlign w:val="center"/>
          </w:tcPr>
          <w:p>
            <w:pPr>
              <w:spacing w:before="40" w:after="40"/>
              <w:rPr>
                <w:noProof/>
                <w:sz w:val="18"/>
              </w:rPr>
            </w:pPr>
            <w:r>
              <w:rPr>
                <w:noProof/>
                <w:sz w:val="18"/>
              </w:rPr>
              <w:t>Artículo ………….</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En el caso de los ingresos diversos «asignados», especifíquese la línea o líneas presupuestarias de gasto en la(s) que repercutan.</w:t>
      </w:r>
    </w:p>
    <w:p>
      <w:pPr>
        <w:pStyle w:val="Text1"/>
        <w:pBdr>
          <w:top w:val="single" w:sz="4" w:space="1" w:color="auto"/>
          <w:left w:val="single" w:sz="4" w:space="4" w:color="auto"/>
          <w:bottom w:val="single" w:sz="4" w:space="1" w:color="auto"/>
          <w:right w:val="single" w:sz="4" w:space="4" w:color="auto"/>
        </w:pBdr>
        <w:rPr>
          <w:noProof/>
        </w:rPr>
      </w:pPr>
    </w:p>
    <w:p>
      <w:pPr>
        <w:pStyle w:val="Text1"/>
        <w:rPr>
          <w:noProof/>
        </w:rPr>
      </w:pPr>
      <w:r>
        <w:rPr>
          <w:noProof/>
          <w:sz w:val="20"/>
        </w:rPr>
        <w:t>Especifíquese el método de cálculo de la incidencia en los ingresos.</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12</w:t>
    </w:r>
    <w:r>
      <w:fldChar w:fldCharType="end"/>
    </w:r>
    <w: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23</w:t>
    </w:r>
    <w:r>
      <w:fldChar w:fldCharType="end"/>
    </w:r>
    <w:r>
      <w:tab/>
    </w:r>
    <w:r>
      <w:tab/>
    </w:r>
    <w:r>
      <w:rPr>
        <w:rFonts w:ascii="Arial" w:hAnsi="Arial" w:cs="Arial"/>
        <w:b/>
        <w:sz w:val="48"/>
      </w:rPr>
      <w:t>ES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28</w:t>
    </w:r>
    <w:r>
      <w:fldChar w:fldCharType="end"/>
    </w:r>
    <w:r>
      <w:tab/>
    </w:r>
    <w:r>
      <w:tab/>
    </w:r>
    <w:r>
      <w:rPr>
        <w:rFonts w:ascii="Arial" w:hAnsi="Arial" w:cs="Arial"/>
        <w:b/>
        <w:sz w:val="48"/>
      </w:rPr>
      <w:t>ES</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DO C  de , p. .</w:t>
      </w:r>
    </w:p>
  </w:footnote>
  <w:footnote w:id="3">
    <w:p>
      <w:pPr>
        <w:pStyle w:val="FootnoteText"/>
      </w:pPr>
      <w:r>
        <w:rPr>
          <w:rStyle w:val="FootnoteReference"/>
        </w:rPr>
        <w:footnoteRef/>
      </w:r>
      <w:r>
        <w:tab/>
        <w:t>DO C  de , p. .</w:t>
      </w:r>
    </w:p>
  </w:footnote>
  <w:footnote w:id="4">
    <w:p>
      <w:pPr>
        <w:pStyle w:val="FootnoteText"/>
      </w:pPr>
      <w:r>
        <w:rPr>
          <w:rStyle w:val="FootnoteReference"/>
        </w:rPr>
        <w:footnoteRef/>
      </w:r>
      <w:r>
        <w:tab/>
        <w:t>DO C 91 I de 20.3.2020, p. 1.</w:t>
      </w:r>
    </w:p>
  </w:footnote>
  <w:footnote w:id="5">
    <w:p>
      <w:pPr>
        <w:pStyle w:val="FootnoteText"/>
      </w:pPr>
      <w:r>
        <w:rPr>
          <w:rStyle w:val="FootnoteReference"/>
        </w:rPr>
        <w:footnoteRef/>
      </w:r>
      <w:r>
        <w:tab/>
        <w:t xml:space="preserve">Reglamento (UE) n.º 1407/2013 de la Comisión, de 18 de diciembre de 2013, relativo a la aplicación de los artículos 107 y 108 del Tratado de Funcionamiento de la Unión Europea a las ayudas </w:t>
      </w:r>
      <w:r>
        <w:rPr>
          <w:i/>
          <w:iCs/>
        </w:rPr>
        <w:t>de minimis</w:t>
      </w:r>
      <w:r>
        <w:t xml:space="preserve"> (DO L 352 de 24.12.2013, p. 1).</w:t>
      </w:r>
    </w:p>
  </w:footnote>
  <w:footnote w:id="6">
    <w:p>
      <w:pPr>
        <w:pStyle w:val="FootnoteText"/>
      </w:pPr>
      <w:r>
        <w:rPr>
          <w:rStyle w:val="FootnoteReference"/>
        </w:rPr>
        <w:footnoteRef/>
      </w:r>
      <w:r>
        <w:tab/>
        <w:t xml:space="preserve">Reglamento (UE) n.º 1408/2013 de la Comisión, de 18 de diciembre de 2013, relativo a la aplicación de los artículos 107 y 108 del Tratado de Funcionamiento de la Unión Europea a las ayudas </w:t>
      </w:r>
      <w:r>
        <w:rPr>
          <w:i/>
          <w:iCs/>
        </w:rPr>
        <w:t>de minimis</w:t>
      </w:r>
      <w:r>
        <w:t xml:space="preserve"> en el sector agrícola (DO L 352 de 24.12.2013, p. 9).</w:t>
      </w:r>
    </w:p>
  </w:footnote>
  <w:footnote w:id="7">
    <w:p>
      <w:pPr>
        <w:pStyle w:val="FootnoteText"/>
      </w:pPr>
      <w:r>
        <w:rPr>
          <w:rStyle w:val="FootnoteReference"/>
        </w:rPr>
        <w:footnoteRef/>
      </w:r>
      <w:r>
        <w:tab/>
        <w:t xml:space="preserve">Reglamento (UE) n.º 717/2014 de la Comisión, de 27 de junio de 2014, relativo a la aplicación de los artículos 107 y 108 del Tratado de Funcionamiento de la Unión Europea a las ayudas </w:t>
      </w:r>
      <w:r>
        <w:rPr>
          <w:i/>
          <w:iCs/>
        </w:rPr>
        <w:t>de minimis</w:t>
      </w:r>
      <w:r>
        <w:t xml:space="preserve"> en el sector de la pesca y de la acuicultura (DO L 190 de 28.6.2014, p. 45).</w:t>
      </w:r>
    </w:p>
  </w:footnote>
  <w:footnote w:id="8">
    <w:p>
      <w:pPr>
        <w:pStyle w:val="FootnoteText"/>
        <w:rPr>
          <w:szCs w:val="24"/>
        </w:rPr>
      </w:pPr>
      <w:r>
        <w:rPr>
          <w:rStyle w:val="FootnoteReference"/>
        </w:rPr>
        <w:footnoteRef/>
      </w:r>
      <w:r>
        <w:tab/>
        <w:t>GPA: Gestión por actividades. PPA: Presupuestación por actividades.</w:t>
      </w:r>
    </w:p>
  </w:footnote>
  <w:footnote w:id="9">
    <w:p>
      <w:pPr>
        <w:pStyle w:val="FootnoteText"/>
        <w:rPr>
          <w:szCs w:val="24"/>
        </w:rPr>
      </w:pPr>
      <w:r>
        <w:rPr>
          <w:rStyle w:val="FootnoteReference"/>
        </w:rPr>
        <w:footnoteRef/>
      </w:r>
      <w:r>
        <w:tab/>
        <w:t>Tal como se contempla en el artículo 54, apartado 2, letras a) o b), del Reglamento Financiero.</w:t>
      </w:r>
    </w:p>
  </w:footnote>
  <w:footnote w:id="10">
    <w:p>
      <w:pPr>
        <w:pStyle w:val="FootnoteText"/>
        <w:rPr>
          <w:szCs w:val="24"/>
        </w:rPr>
      </w:pPr>
      <w:r>
        <w:rPr>
          <w:rStyle w:val="FootnoteReference"/>
        </w:rPr>
        <w:footnoteRef/>
      </w:r>
      <w:r>
        <w:tab/>
        <w:t xml:space="preserve">Las explicaciones sobre los modos de gestión y las referencias al Reglamento Financiero pueden consultarse en el sitio BudgWeb: </w:t>
      </w:r>
      <w:hyperlink r:id="rId1" w:history="1">
        <w:r>
          <w:rPr>
            <w:rStyle w:val="Hyperlink"/>
            <w:sz w:val="18"/>
          </w:rPr>
          <w:t>http://www.cc.cec/budg/man/budgmanag/budgmanag_en.html</w:t>
        </w:r>
      </w:hyperlink>
    </w:p>
  </w:footnote>
  <w:footnote w:id="11">
    <w:p>
      <w:pPr>
        <w:pStyle w:val="FootnoteText"/>
        <w:rPr>
          <w:szCs w:val="24"/>
        </w:rPr>
      </w:pPr>
      <w:r>
        <w:rPr>
          <w:rStyle w:val="FootnoteReference"/>
        </w:rPr>
        <w:footnoteRef/>
      </w:r>
      <w:r>
        <w:tab/>
        <w:t>CD = créditos disociados / CND = créditos no disociados.</w:t>
      </w:r>
    </w:p>
  </w:footnote>
  <w:footnote w:id="12">
    <w:p>
      <w:pPr>
        <w:pStyle w:val="FootnoteText"/>
        <w:rPr>
          <w:szCs w:val="24"/>
        </w:rPr>
      </w:pPr>
      <w:r>
        <w:rPr>
          <w:rStyle w:val="FootnoteReference"/>
        </w:rPr>
        <w:footnoteRef/>
      </w:r>
      <w:r>
        <w:tab/>
        <w:t xml:space="preserve">AELC: Asociación Europea de Libre Comercio. </w:t>
      </w:r>
    </w:p>
  </w:footnote>
  <w:footnote w:id="13">
    <w:p>
      <w:pPr>
        <w:pStyle w:val="FootnoteText"/>
        <w:rPr>
          <w:szCs w:val="24"/>
        </w:rPr>
      </w:pPr>
      <w:r>
        <w:rPr>
          <w:rStyle w:val="FootnoteReference"/>
        </w:rPr>
        <w:footnoteRef/>
      </w:r>
      <w:r>
        <w:tab/>
        <w:t>Países candidatos y, en su caso, países candidatos potenciales de los Balcanes Occidentales.</w:t>
      </w:r>
    </w:p>
  </w:footnote>
  <w:footnote w:id="14">
    <w:p>
      <w:pPr>
        <w:pStyle w:val="FootnoteText"/>
        <w:rPr>
          <w:szCs w:val="24"/>
        </w:rPr>
      </w:pPr>
      <w:r>
        <w:rPr>
          <w:rStyle w:val="FootnoteReference"/>
        </w:rPr>
        <w:footnoteRef/>
      </w:r>
      <w:r>
        <w:tab/>
        <w:t>Asistencia técnica y/o administrativa y gastos de apoyo a la ejecución de programas o acciones de la UE (antiguas líneas «BA»), investigación indirecta, investigación directa.</w:t>
      </w:r>
    </w:p>
  </w:footnote>
  <w:footnote w:id="15">
    <w:p>
      <w:pPr>
        <w:pStyle w:val="FootnoteText"/>
        <w:rPr>
          <w:szCs w:val="24"/>
        </w:rPr>
      </w:pPr>
      <w:r>
        <w:rPr>
          <w:rStyle w:val="FootnoteReference"/>
        </w:rPr>
        <w:footnoteRef/>
      </w:r>
      <w:r>
        <w:tab/>
        <w:t>El año N es el año de comienzo de la ejecución de la propuesta/iniciativa.</w:t>
      </w:r>
    </w:p>
  </w:footnote>
  <w:footnote w:id="16">
    <w:p>
      <w:pPr>
        <w:pStyle w:val="FootnoteText"/>
        <w:rPr>
          <w:szCs w:val="24"/>
        </w:rPr>
      </w:pPr>
      <w:r>
        <w:rPr>
          <w:rStyle w:val="FootnoteReference"/>
        </w:rPr>
        <w:footnoteRef/>
      </w:r>
      <w:r>
        <w:tab/>
        <w:t>Los resultados son los productos y servicios que van a suministrarse (por ejemplo, número de intercambios de estudiantes financiados, número de kilómetros de carretera construidos, etc.).</w:t>
      </w:r>
    </w:p>
  </w:footnote>
  <w:footnote w:id="17">
    <w:p>
      <w:pPr>
        <w:pStyle w:val="FootnoteText"/>
        <w:rPr>
          <w:szCs w:val="24"/>
        </w:rPr>
      </w:pPr>
      <w:r>
        <w:rPr>
          <w:rStyle w:val="FootnoteReference"/>
        </w:rPr>
        <w:footnoteRef/>
      </w:r>
      <w:r>
        <w:tab/>
        <w:t xml:space="preserve">Tal como se describe en el punto 1.4.2, «Objetivo(s) específico(s)…». </w:t>
      </w:r>
    </w:p>
  </w:footnote>
  <w:footnote w:id="18">
    <w:p>
      <w:pPr>
        <w:pStyle w:val="FootnoteText"/>
        <w:rPr>
          <w:szCs w:val="24"/>
        </w:rPr>
      </w:pPr>
      <w:r>
        <w:rPr>
          <w:rStyle w:val="FootnoteReference"/>
        </w:rPr>
        <w:footnoteRef/>
      </w:r>
      <w:r>
        <w:tab/>
        <w:t>El año N es el año de comienzo de la ejecución de la propuesta/iniciativa.</w:t>
      </w:r>
    </w:p>
  </w:footnote>
  <w:footnote w:id="19">
    <w:p>
      <w:pPr>
        <w:pStyle w:val="FootnoteText"/>
        <w:rPr>
          <w:szCs w:val="24"/>
        </w:rPr>
      </w:pPr>
      <w:r>
        <w:rPr>
          <w:rStyle w:val="FootnoteReference"/>
        </w:rPr>
        <w:footnoteRef/>
      </w:r>
      <w:r>
        <w:tab/>
        <w:t>Asistencia técnica y/o administrativa y gastos de apoyo a la ejecución de programas y/o acciones de la UE (antiguas líneas «BA»), investigación indirecta, investigación directa.</w:t>
      </w:r>
    </w:p>
  </w:footnote>
  <w:footnote w:id="20">
    <w:p>
      <w:pPr>
        <w:pStyle w:val="FootnoteText"/>
        <w:rPr>
          <w:szCs w:val="24"/>
        </w:rPr>
      </w:pPr>
      <w:r>
        <w:rPr>
          <w:rStyle w:val="FootnoteReference"/>
        </w:rPr>
        <w:footnoteRef/>
      </w:r>
      <w:r>
        <w:tab/>
        <w:t xml:space="preserve">AC = agente contractual; AL = agente local; ENCS = experto nacional en comisión de servicios; INT = personal de empresas de trabajo temporal («intérimaires»); JED = joven experto en delegación. </w:t>
      </w:r>
    </w:p>
  </w:footnote>
  <w:footnote w:id="21">
    <w:p>
      <w:pPr>
        <w:pStyle w:val="FootnoteText"/>
        <w:rPr>
          <w:szCs w:val="24"/>
        </w:rPr>
      </w:pPr>
      <w:r>
        <w:rPr>
          <w:rStyle w:val="FootnoteReference"/>
        </w:rPr>
        <w:footnoteRef/>
      </w:r>
      <w:r>
        <w:tab/>
        <w:t>Por debajo del límite de personal externo con cargo a créditos de operaciones (antiguas líneas «BA»).</w:t>
      </w:r>
    </w:p>
  </w:footnote>
  <w:footnote w:id="22">
    <w:p>
      <w:pPr>
        <w:pStyle w:val="FootnoteText"/>
        <w:rPr>
          <w:szCs w:val="24"/>
        </w:rPr>
      </w:pPr>
      <w:r>
        <w:rPr>
          <w:rStyle w:val="FootnoteReference"/>
        </w:rPr>
        <w:footnoteRef/>
      </w:r>
      <w:r>
        <w:tab/>
        <w:t>Por lo que se refiere a los recursos propios tradicionales (derechos de aduana, cotizaciones sobre el azúcar), los importes indicados deben ser importes netos, es decir, importes brutos tras la deducción del 25 % de los gastos de recaudación.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994E0B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87EF0E8"/>
    <w:lvl w:ilvl="0">
      <w:start w:val="1"/>
      <w:numFmt w:val="decimal"/>
      <w:pStyle w:val="ListNumber3"/>
      <w:lvlText w:val="%1."/>
      <w:lvlJc w:val="left"/>
      <w:pPr>
        <w:tabs>
          <w:tab w:val="num" w:pos="926"/>
        </w:tabs>
        <w:ind w:left="926" w:hanging="360"/>
      </w:pPr>
    </w:lvl>
  </w:abstractNum>
  <w:abstractNum w:abstractNumId="2">
    <w:nsid w:val="FFFFFF7F"/>
    <w:multiLevelType w:val="singleLevel"/>
    <w:tmpl w:val="493AAAC6"/>
    <w:lvl w:ilvl="0">
      <w:start w:val="1"/>
      <w:numFmt w:val="decimal"/>
      <w:pStyle w:val="ListNumber2"/>
      <w:lvlText w:val="%1."/>
      <w:lvlJc w:val="left"/>
      <w:pPr>
        <w:tabs>
          <w:tab w:val="num" w:pos="643"/>
        </w:tabs>
        <w:ind w:left="643" w:hanging="360"/>
      </w:pPr>
    </w:lvl>
  </w:abstractNum>
  <w:abstractNum w:abstractNumId="3">
    <w:nsid w:val="FFFFFF81"/>
    <w:multiLevelType w:val="singleLevel"/>
    <w:tmpl w:val="48BA982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C48330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570E61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4C06B26"/>
    <w:lvl w:ilvl="0">
      <w:start w:val="1"/>
      <w:numFmt w:val="decimal"/>
      <w:pStyle w:val="ListNumber"/>
      <w:lvlText w:val="%1."/>
      <w:lvlJc w:val="left"/>
      <w:pPr>
        <w:tabs>
          <w:tab w:val="num" w:pos="360"/>
        </w:tabs>
        <w:ind w:left="360" w:hanging="360"/>
      </w:pPr>
    </w:lvl>
  </w:abstractNum>
  <w:abstractNum w:abstractNumId="7">
    <w:nsid w:val="FFFFFF89"/>
    <w:multiLevelType w:val="singleLevel"/>
    <w:tmpl w:val="27F659E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5"/>
    <w:lvlOverride w:ilvl="0">
      <w:startOverride w:val="1"/>
    </w:lvlOverride>
  </w:num>
  <w:num w:numId="6">
    <w:abstractNumId w:val="6"/>
  </w:num>
  <w:num w:numId="7">
    <w:abstractNumId w:val="2"/>
  </w:num>
  <w:num w:numId="8">
    <w:abstractNumId w:val="1"/>
  </w:num>
  <w:num w:numId="9">
    <w:abstractNumId w:val="0"/>
  </w:num>
  <w:num w:numId="10">
    <w:abstractNumId w:val="8"/>
  </w:num>
  <w:num w:numId="11">
    <w:abstractNumId w:val="18"/>
  </w:num>
  <w:num w:numId="12">
    <w:abstractNumId w:val="17"/>
  </w:num>
  <w:num w:numId="13">
    <w:abstractNumId w:val="13"/>
  </w:num>
  <w:num w:numId="14">
    <w:abstractNumId w:val="22"/>
  </w:num>
  <w:num w:numId="15">
    <w:abstractNumId w:val="14"/>
  </w:num>
  <w:num w:numId="16">
    <w:abstractNumId w:val="24"/>
  </w:num>
  <w:num w:numId="17">
    <w:abstractNumId w:val="12"/>
  </w:num>
  <w:num w:numId="18">
    <w:abstractNumId w:val="15"/>
  </w:num>
  <w:num w:numId="19">
    <w:abstractNumId w:val="10"/>
  </w:num>
  <w:num w:numId="20">
    <w:abstractNumId w:val="23"/>
  </w:num>
  <w:num w:numId="21">
    <w:abstractNumId w:val="9"/>
  </w:num>
  <w:num w:numId="22">
    <w:abstractNumId w:val="16"/>
  </w:num>
  <w:num w:numId="23">
    <w:abstractNumId w:val="20"/>
  </w:num>
  <w:num w:numId="24">
    <w:abstractNumId w:val="21"/>
  </w:num>
  <w:num w:numId="25">
    <w:abstractNumId w:val="11"/>
  </w:num>
  <w:num w:numId="26">
    <w:abstractNumId w:val="19"/>
  </w:num>
  <w:num w:numId="27">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ttachedTemplate r:id="rId1"/>
  <w:revisionView w:markup="0"/>
  <w:defaultTabStop w:val="720"/>
  <w:hyphenationZone w:val="425"/>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4-06 17:40:24"/>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4"/>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BC98EA0D-E742-4A72-AAC2-4D26A4143210"/>
    <w:docVar w:name="LW_COVERPAGE_TYPE" w:val="1"/>
    <w:docVar w:name="LW_CROSSREFERENCE" w:val="&lt;UNUSED&gt;"/>
    <w:docVar w:name="LW_DocType" w:val="COM"/>
    <w:docVar w:name="LW_EMISSION" w:val="2.4.2020"/>
    <w:docVar w:name="LW_EMISSION_ISODATE" w:val="2020-04-02"/>
    <w:docVar w:name="LW_EMISSION_LOCATION" w:val="BRX"/>
    <w:docVar w:name="LW_EMISSION_PREFIX" w:val="Brusela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COD"/>
    <w:docVar w:name="LW_REF.II.NEW.CP_NUMBER" w:val="0054"/>
    <w:docVar w:name="LW_REF.II.NEW.CP_YEAR" w:val="2020"/>
    <w:docVar w:name="LW_REF.INST.NEW" w:val="COM"/>
    <w:docVar w:name="LW_REF.INST.NEW_ADOPTED" w:val="final"/>
    <w:docVar w:name="LW_REF.INST.NEW_TEXT" w:val="(2020) 13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esta de"/>
    <w:docVar w:name="LW_SUPERTITRE" w:val="&lt;UNUSED&gt;"/>
    <w:docVar w:name="LW_TITRE.OBJ.CP" w:val="por el que se modifican el Reglamento (UE) n.º 1303/2013 y el Reglamento (UE) n.º 1301/2013 en lo que respecta a medidas específicas para ofrecer una flexibilidad excepcional en el uso de los Fondos Estructurales y de Inversión Europeos en respuesta al brote de COVID-19"/>
    <w:docVar w:name="LW_TYPE.DOC.CP" w:val="REGLAMENTO DEL PARLAMENTO EUROPEO Y DEL CONSEJ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es-ES"/>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es-E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6"/>
      </w:numPr>
      <w:contextualSpacing/>
    </w:pPr>
  </w:style>
  <w:style w:type="paragraph" w:styleId="ListNumber2">
    <w:name w:val="List Number 2"/>
    <w:basedOn w:val="Normal"/>
    <w:unhideWhenUsed/>
    <w:pPr>
      <w:numPr>
        <w:numId w:val="7"/>
      </w:numPr>
      <w:contextualSpacing/>
    </w:pPr>
  </w:style>
  <w:style w:type="paragraph" w:styleId="ListNumber3">
    <w:name w:val="List Number 3"/>
    <w:basedOn w:val="Normal"/>
    <w:unhideWhenUsed/>
    <w:pPr>
      <w:numPr>
        <w:numId w:val="8"/>
      </w:numPr>
      <w:contextualSpacing/>
    </w:pPr>
  </w:style>
  <w:style w:type="paragraph" w:styleId="ListNumber4">
    <w:name w:val="List Number 4"/>
    <w:basedOn w:val="Normal"/>
    <w:unhideWhenUsed/>
    <w:pPr>
      <w:numPr>
        <w:numId w:val="9"/>
      </w:numPr>
      <w:contextualSpacing/>
    </w:pPr>
  </w:style>
  <w:style w:type="character" w:styleId="Hyperlink">
    <w:name w:val="Hyperlink"/>
    <w:basedOn w:val="DefaultParagraphFont"/>
    <w:unhideWhenUsed/>
    <w:rPr>
      <w:color w:val="0000FF" w:themeColor="hyperlink"/>
      <w:u w:val="single"/>
    </w:rPr>
  </w:style>
  <w:style w:type="paragraph" w:customStyle="1" w:styleId="ListBullet1">
    <w:name w:val="List Bullet 1"/>
    <w:basedOn w:val="Normal"/>
    <w:pPr>
      <w:numPr>
        <w:numId w:val="10"/>
      </w:numPr>
    </w:pPr>
    <w:rPr>
      <w:rFonts w:eastAsia="Times New Roman"/>
      <w:lang w:eastAsia="de-DE"/>
    </w:rPr>
  </w:style>
  <w:style w:type="paragraph" w:customStyle="1" w:styleId="ListDash1">
    <w:name w:val="List Dash 1"/>
    <w:basedOn w:val="Normal"/>
    <w:pPr>
      <w:numPr>
        <w:numId w:val="11"/>
      </w:numPr>
    </w:pPr>
    <w:rPr>
      <w:rFonts w:eastAsia="Times New Roman"/>
      <w:lang w:eastAsia="de-DE"/>
    </w:rPr>
  </w:style>
  <w:style w:type="paragraph" w:customStyle="1" w:styleId="ListDash2">
    <w:name w:val="List Dash 2"/>
    <w:basedOn w:val="Normal"/>
    <w:pPr>
      <w:numPr>
        <w:numId w:val="12"/>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character" w:styleId="FollowedHyperlink">
    <w:name w:val="FollowedHyperlink"/>
    <w:uiPriority w:val="99"/>
    <w:unhideWhenUsed/>
    <w:rPr>
      <w:color w:val="800080"/>
      <w:u w:val="single"/>
    </w:rPr>
  </w:style>
  <w:style w:type="character" w:customStyle="1" w:styleId="apple-converted-space">
    <w:name w:val="apple-converted-space"/>
  </w:style>
  <w:style w:type="paragraph" w:customStyle="1" w:styleId="CM1">
    <w:name w:val="CM1"/>
    <w:basedOn w:val="Normal"/>
    <w:next w:val="Normal"/>
    <w:uiPriority w:val="99"/>
    <w:pPr>
      <w:autoSpaceDE w:val="0"/>
      <w:autoSpaceDN w:val="0"/>
      <w:adjustRightInd w:val="0"/>
      <w:spacing w:before="0" w:after="0"/>
      <w:jc w:val="left"/>
    </w:pPr>
    <w:rPr>
      <w:rFonts w:ascii="EUAlbertina" w:eastAsia="Times New Roman" w:hAnsi="EUAlbertina"/>
      <w:lang w:eastAsia="en-GB"/>
    </w:rPr>
  </w:style>
  <w:style w:type="paragraph" w:customStyle="1" w:styleId="CM3">
    <w:name w:val="CM3"/>
    <w:basedOn w:val="Normal"/>
    <w:next w:val="Normal"/>
    <w:uiPriority w:val="99"/>
    <w:pPr>
      <w:autoSpaceDE w:val="0"/>
      <w:autoSpaceDN w:val="0"/>
      <w:adjustRightInd w:val="0"/>
      <w:spacing w:before="0" w:after="0"/>
      <w:jc w:val="left"/>
    </w:pPr>
    <w:rPr>
      <w:rFonts w:ascii="EUAlbertina" w:eastAsia="Times New Roman" w:hAnsi="EUAlbertina"/>
      <w:lang w:eastAsia="en-GB"/>
    </w:rPr>
  </w:style>
  <w:style w:type="paragraph" w:customStyle="1" w:styleId="doc-ti">
    <w:name w:val="doc-ti"/>
    <w:basedOn w:val="Normal"/>
    <w:pPr>
      <w:spacing w:before="240"/>
      <w:jc w:val="center"/>
    </w:pPr>
    <w:rPr>
      <w:rFonts w:eastAsia="Times New Roman"/>
      <w:b/>
      <w:bCs/>
      <w:lang w:eastAsia="en-GB"/>
    </w:rPr>
  </w:style>
  <w:style w:type="paragraph" w:customStyle="1" w:styleId="ListDash">
    <w:name w:val="List Dash"/>
    <w:basedOn w:val="Normal"/>
    <w:pPr>
      <w:numPr>
        <w:numId w:val="13"/>
      </w:numPr>
    </w:pPr>
    <w:rPr>
      <w:rFonts w:eastAsia="Times New Roman"/>
      <w:szCs w:val="20"/>
      <w:lang w:eastAsia="en-GB"/>
    </w:rPr>
  </w:style>
  <w:style w:type="character" w:customStyle="1" w:styleId="super">
    <w:name w:val="super"/>
    <w:basedOn w:val="DefaultParagraphFont"/>
    <w:rPr>
      <w:sz w:val="17"/>
      <w:szCs w:val="17"/>
      <w:vertAlign w:val="superscript"/>
    </w:rPr>
  </w:style>
  <w:style w:type="paragraph" w:customStyle="1" w:styleId="normal2">
    <w:name w:val="normal2"/>
    <w:basedOn w:val="Normal"/>
    <w:pPr>
      <w:spacing w:after="0" w:line="312" w:lineRule="atLeast"/>
    </w:pPr>
    <w:rPr>
      <w:rFonts w:eastAsia="Times New Roman"/>
      <w:szCs w:val="24"/>
      <w:lang w:eastAsia="en-GB"/>
    </w:rPr>
  </w:style>
  <w:style w:type="character" w:styleId="Strong">
    <w:name w:val="Strong"/>
    <w:basedOn w:val="DefaultParagraphFont"/>
    <w:uiPriority w:val="22"/>
    <w:qFormat/>
    <w:rPr>
      <w:b/>
      <w:bCs/>
    </w:rPr>
  </w:style>
  <w:style w:type="character" w:customStyle="1" w:styleId="bold">
    <w:name w:val="bold"/>
    <w:basedOn w:val="DefaultParagraphFont"/>
    <w:rPr>
      <w:b/>
      <w:bCs/>
    </w:rPr>
  </w:style>
  <w:style w:type="paragraph" w:customStyle="1" w:styleId="ti-grseq-12">
    <w:name w:val="ti-grseq-12"/>
    <w:basedOn w:val="Normal"/>
    <w:pPr>
      <w:spacing w:before="240" w:line="312" w:lineRule="atLeast"/>
    </w:pPr>
    <w:rPr>
      <w:rFonts w:eastAsia="Times New Roman"/>
      <w:b/>
      <w:bCs/>
      <w:szCs w:val="24"/>
      <w:lang w:eastAsia="en-GB"/>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0" w:after="150"/>
      <w:jc w:val="left"/>
    </w:pPr>
    <w:rPr>
      <w:rFonts w:eastAsia="Times New Roman"/>
      <w:szCs w:val="24"/>
      <w:lang w:eastAsia="en-GB"/>
    </w:rPr>
  </w:style>
  <w:style w:type="paragraph" w:customStyle="1" w:styleId="hidden">
    <w:name w:val="hidden"/>
    <w:basedOn w:val="Normal"/>
    <w:pPr>
      <w:spacing w:before="0" w:after="150"/>
      <w:jc w:val="left"/>
    </w:pPr>
    <w:rPr>
      <w:rFonts w:eastAsia="Times New Roman"/>
      <w:vanish/>
      <w:szCs w:val="24"/>
      <w:lang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es-ES"/>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es-E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6"/>
      </w:numPr>
      <w:contextualSpacing/>
    </w:pPr>
  </w:style>
  <w:style w:type="paragraph" w:styleId="ListNumber2">
    <w:name w:val="List Number 2"/>
    <w:basedOn w:val="Normal"/>
    <w:unhideWhenUsed/>
    <w:pPr>
      <w:numPr>
        <w:numId w:val="7"/>
      </w:numPr>
      <w:contextualSpacing/>
    </w:pPr>
  </w:style>
  <w:style w:type="paragraph" w:styleId="ListNumber3">
    <w:name w:val="List Number 3"/>
    <w:basedOn w:val="Normal"/>
    <w:unhideWhenUsed/>
    <w:pPr>
      <w:numPr>
        <w:numId w:val="8"/>
      </w:numPr>
      <w:contextualSpacing/>
    </w:pPr>
  </w:style>
  <w:style w:type="paragraph" w:styleId="ListNumber4">
    <w:name w:val="List Number 4"/>
    <w:basedOn w:val="Normal"/>
    <w:unhideWhenUsed/>
    <w:pPr>
      <w:numPr>
        <w:numId w:val="9"/>
      </w:numPr>
      <w:contextualSpacing/>
    </w:pPr>
  </w:style>
  <w:style w:type="character" w:styleId="Hyperlink">
    <w:name w:val="Hyperlink"/>
    <w:basedOn w:val="DefaultParagraphFont"/>
    <w:unhideWhenUsed/>
    <w:rPr>
      <w:color w:val="0000FF" w:themeColor="hyperlink"/>
      <w:u w:val="single"/>
    </w:rPr>
  </w:style>
  <w:style w:type="paragraph" w:customStyle="1" w:styleId="ListBullet1">
    <w:name w:val="List Bullet 1"/>
    <w:basedOn w:val="Normal"/>
    <w:pPr>
      <w:numPr>
        <w:numId w:val="10"/>
      </w:numPr>
    </w:pPr>
    <w:rPr>
      <w:rFonts w:eastAsia="Times New Roman"/>
      <w:lang w:eastAsia="de-DE"/>
    </w:rPr>
  </w:style>
  <w:style w:type="paragraph" w:customStyle="1" w:styleId="ListDash1">
    <w:name w:val="List Dash 1"/>
    <w:basedOn w:val="Normal"/>
    <w:pPr>
      <w:numPr>
        <w:numId w:val="11"/>
      </w:numPr>
    </w:pPr>
    <w:rPr>
      <w:rFonts w:eastAsia="Times New Roman"/>
      <w:lang w:eastAsia="de-DE"/>
    </w:rPr>
  </w:style>
  <w:style w:type="paragraph" w:customStyle="1" w:styleId="ListDash2">
    <w:name w:val="List Dash 2"/>
    <w:basedOn w:val="Normal"/>
    <w:pPr>
      <w:numPr>
        <w:numId w:val="12"/>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character" w:styleId="FollowedHyperlink">
    <w:name w:val="FollowedHyperlink"/>
    <w:uiPriority w:val="99"/>
    <w:unhideWhenUsed/>
    <w:rPr>
      <w:color w:val="800080"/>
      <w:u w:val="single"/>
    </w:rPr>
  </w:style>
  <w:style w:type="character" w:customStyle="1" w:styleId="apple-converted-space">
    <w:name w:val="apple-converted-space"/>
  </w:style>
  <w:style w:type="paragraph" w:customStyle="1" w:styleId="CM1">
    <w:name w:val="CM1"/>
    <w:basedOn w:val="Normal"/>
    <w:next w:val="Normal"/>
    <w:uiPriority w:val="99"/>
    <w:pPr>
      <w:autoSpaceDE w:val="0"/>
      <w:autoSpaceDN w:val="0"/>
      <w:adjustRightInd w:val="0"/>
      <w:spacing w:before="0" w:after="0"/>
      <w:jc w:val="left"/>
    </w:pPr>
    <w:rPr>
      <w:rFonts w:ascii="EUAlbertina" w:eastAsia="Times New Roman" w:hAnsi="EUAlbertina"/>
      <w:lang w:eastAsia="en-GB"/>
    </w:rPr>
  </w:style>
  <w:style w:type="paragraph" w:customStyle="1" w:styleId="CM3">
    <w:name w:val="CM3"/>
    <w:basedOn w:val="Normal"/>
    <w:next w:val="Normal"/>
    <w:uiPriority w:val="99"/>
    <w:pPr>
      <w:autoSpaceDE w:val="0"/>
      <w:autoSpaceDN w:val="0"/>
      <w:adjustRightInd w:val="0"/>
      <w:spacing w:before="0" w:after="0"/>
      <w:jc w:val="left"/>
    </w:pPr>
    <w:rPr>
      <w:rFonts w:ascii="EUAlbertina" w:eastAsia="Times New Roman" w:hAnsi="EUAlbertina"/>
      <w:lang w:eastAsia="en-GB"/>
    </w:rPr>
  </w:style>
  <w:style w:type="paragraph" w:customStyle="1" w:styleId="doc-ti">
    <w:name w:val="doc-ti"/>
    <w:basedOn w:val="Normal"/>
    <w:pPr>
      <w:spacing w:before="240"/>
      <w:jc w:val="center"/>
    </w:pPr>
    <w:rPr>
      <w:rFonts w:eastAsia="Times New Roman"/>
      <w:b/>
      <w:bCs/>
      <w:lang w:eastAsia="en-GB"/>
    </w:rPr>
  </w:style>
  <w:style w:type="paragraph" w:customStyle="1" w:styleId="ListDash">
    <w:name w:val="List Dash"/>
    <w:basedOn w:val="Normal"/>
    <w:pPr>
      <w:numPr>
        <w:numId w:val="13"/>
      </w:numPr>
    </w:pPr>
    <w:rPr>
      <w:rFonts w:eastAsia="Times New Roman"/>
      <w:szCs w:val="20"/>
      <w:lang w:eastAsia="en-GB"/>
    </w:rPr>
  </w:style>
  <w:style w:type="character" w:customStyle="1" w:styleId="super">
    <w:name w:val="super"/>
    <w:basedOn w:val="DefaultParagraphFont"/>
    <w:rPr>
      <w:sz w:val="17"/>
      <w:szCs w:val="17"/>
      <w:vertAlign w:val="superscript"/>
    </w:rPr>
  </w:style>
  <w:style w:type="paragraph" w:customStyle="1" w:styleId="normal2">
    <w:name w:val="normal2"/>
    <w:basedOn w:val="Normal"/>
    <w:pPr>
      <w:spacing w:after="0" w:line="312" w:lineRule="atLeast"/>
    </w:pPr>
    <w:rPr>
      <w:rFonts w:eastAsia="Times New Roman"/>
      <w:szCs w:val="24"/>
      <w:lang w:eastAsia="en-GB"/>
    </w:rPr>
  </w:style>
  <w:style w:type="character" w:styleId="Strong">
    <w:name w:val="Strong"/>
    <w:basedOn w:val="DefaultParagraphFont"/>
    <w:uiPriority w:val="22"/>
    <w:qFormat/>
    <w:rPr>
      <w:b/>
      <w:bCs/>
    </w:rPr>
  </w:style>
  <w:style w:type="character" w:customStyle="1" w:styleId="bold">
    <w:name w:val="bold"/>
    <w:basedOn w:val="DefaultParagraphFont"/>
    <w:rPr>
      <w:b/>
      <w:bCs/>
    </w:rPr>
  </w:style>
  <w:style w:type="paragraph" w:customStyle="1" w:styleId="ti-grseq-12">
    <w:name w:val="ti-grseq-12"/>
    <w:basedOn w:val="Normal"/>
    <w:pPr>
      <w:spacing w:before="240" w:line="312" w:lineRule="atLeast"/>
    </w:pPr>
    <w:rPr>
      <w:rFonts w:eastAsia="Times New Roman"/>
      <w:b/>
      <w:bCs/>
      <w:szCs w:val="24"/>
      <w:lang w:eastAsia="en-GB"/>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0" w:after="150"/>
      <w:jc w:val="left"/>
    </w:pPr>
    <w:rPr>
      <w:rFonts w:eastAsia="Times New Roman"/>
      <w:szCs w:val="24"/>
      <w:lang w:eastAsia="en-GB"/>
    </w:rPr>
  </w:style>
  <w:style w:type="paragraph" w:customStyle="1" w:styleId="hidden">
    <w:name w:val="hidden"/>
    <w:basedOn w:val="Normal"/>
    <w:pPr>
      <w:spacing w:before="0" w:after="150"/>
      <w:jc w:val="left"/>
    </w:pPr>
    <w:rPr>
      <w:rFonts w:eastAsia="Times New Roman"/>
      <w:vanish/>
      <w:szCs w:val="24"/>
      <w:lang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69352">
      <w:bodyDiv w:val="1"/>
      <w:marLeft w:val="0"/>
      <w:marRight w:val="0"/>
      <w:marTop w:val="0"/>
      <w:marBottom w:val="0"/>
      <w:divBdr>
        <w:top w:val="none" w:sz="0" w:space="0" w:color="auto"/>
        <w:left w:val="none" w:sz="0" w:space="0" w:color="auto"/>
        <w:bottom w:val="none" w:sz="0" w:space="0" w:color="auto"/>
        <w:right w:val="none" w:sz="0" w:space="0" w:color="auto"/>
      </w:divBdr>
    </w:div>
    <w:div w:id="109515952">
      <w:bodyDiv w:val="1"/>
      <w:marLeft w:val="0"/>
      <w:marRight w:val="0"/>
      <w:marTop w:val="0"/>
      <w:marBottom w:val="0"/>
      <w:divBdr>
        <w:top w:val="none" w:sz="0" w:space="0" w:color="auto"/>
        <w:left w:val="none" w:sz="0" w:space="0" w:color="auto"/>
        <w:bottom w:val="none" w:sz="0" w:space="0" w:color="auto"/>
        <w:right w:val="none" w:sz="0" w:space="0" w:color="auto"/>
      </w:divBdr>
    </w:div>
    <w:div w:id="254943782">
      <w:bodyDiv w:val="1"/>
      <w:marLeft w:val="0"/>
      <w:marRight w:val="0"/>
      <w:marTop w:val="0"/>
      <w:marBottom w:val="0"/>
      <w:divBdr>
        <w:top w:val="none" w:sz="0" w:space="0" w:color="auto"/>
        <w:left w:val="none" w:sz="0" w:space="0" w:color="auto"/>
        <w:bottom w:val="none" w:sz="0" w:space="0" w:color="auto"/>
        <w:right w:val="none" w:sz="0" w:space="0" w:color="auto"/>
      </w:divBdr>
    </w:div>
    <w:div w:id="336541489">
      <w:bodyDiv w:val="1"/>
      <w:marLeft w:val="0"/>
      <w:marRight w:val="0"/>
      <w:marTop w:val="0"/>
      <w:marBottom w:val="0"/>
      <w:divBdr>
        <w:top w:val="none" w:sz="0" w:space="0" w:color="auto"/>
        <w:left w:val="none" w:sz="0" w:space="0" w:color="auto"/>
        <w:bottom w:val="none" w:sz="0" w:space="0" w:color="auto"/>
        <w:right w:val="none" w:sz="0" w:space="0" w:color="auto"/>
      </w:divBdr>
    </w:div>
    <w:div w:id="413014906">
      <w:bodyDiv w:val="1"/>
      <w:marLeft w:val="0"/>
      <w:marRight w:val="0"/>
      <w:marTop w:val="0"/>
      <w:marBottom w:val="0"/>
      <w:divBdr>
        <w:top w:val="none" w:sz="0" w:space="0" w:color="auto"/>
        <w:left w:val="none" w:sz="0" w:space="0" w:color="auto"/>
        <w:bottom w:val="none" w:sz="0" w:space="0" w:color="auto"/>
        <w:right w:val="none" w:sz="0" w:space="0" w:color="auto"/>
      </w:divBdr>
    </w:div>
    <w:div w:id="792333122">
      <w:bodyDiv w:val="1"/>
      <w:marLeft w:val="0"/>
      <w:marRight w:val="0"/>
      <w:marTop w:val="0"/>
      <w:marBottom w:val="0"/>
      <w:divBdr>
        <w:top w:val="none" w:sz="0" w:space="0" w:color="auto"/>
        <w:left w:val="none" w:sz="0" w:space="0" w:color="auto"/>
        <w:bottom w:val="none" w:sz="0" w:space="0" w:color="auto"/>
        <w:right w:val="none" w:sz="0" w:space="0" w:color="auto"/>
      </w:divBdr>
    </w:div>
    <w:div w:id="840584757">
      <w:bodyDiv w:val="1"/>
      <w:marLeft w:val="0"/>
      <w:marRight w:val="0"/>
      <w:marTop w:val="0"/>
      <w:marBottom w:val="0"/>
      <w:divBdr>
        <w:top w:val="none" w:sz="0" w:space="0" w:color="auto"/>
        <w:left w:val="none" w:sz="0" w:space="0" w:color="auto"/>
        <w:bottom w:val="none" w:sz="0" w:space="0" w:color="auto"/>
        <w:right w:val="none" w:sz="0" w:space="0" w:color="auto"/>
      </w:divBdr>
    </w:div>
    <w:div w:id="1020399835">
      <w:bodyDiv w:val="1"/>
      <w:marLeft w:val="0"/>
      <w:marRight w:val="0"/>
      <w:marTop w:val="0"/>
      <w:marBottom w:val="0"/>
      <w:divBdr>
        <w:top w:val="none" w:sz="0" w:space="0" w:color="auto"/>
        <w:left w:val="none" w:sz="0" w:space="0" w:color="auto"/>
        <w:bottom w:val="none" w:sz="0" w:space="0" w:color="auto"/>
        <w:right w:val="none" w:sz="0" w:space="0" w:color="auto"/>
      </w:divBdr>
    </w:div>
    <w:div w:id="1036199854">
      <w:bodyDiv w:val="1"/>
      <w:marLeft w:val="0"/>
      <w:marRight w:val="0"/>
      <w:marTop w:val="0"/>
      <w:marBottom w:val="0"/>
      <w:divBdr>
        <w:top w:val="none" w:sz="0" w:space="0" w:color="auto"/>
        <w:left w:val="none" w:sz="0" w:space="0" w:color="auto"/>
        <w:bottom w:val="none" w:sz="0" w:space="0" w:color="auto"/>
        <w:right w:val="none" w:sz="0" w:space="0" w:color="auto"/>
      </w:divBdr>
    </w:div>
    <w:div w:id="1058164167">
      <w:bodyDiv w:val="1"/>
      <w:marLeft w:val="0"/>
      <w:marRight w:val="0"/>
      <w:marTop w:val="0"/>
      <w:marBottom w:val="0"/>
      <w:divBdr>
        <w:top w:val="none" w:sz="0" w:space="0" w:color="auto"/>
        <w:left w:val="none" w:sz="0" w:space="0" w:color="auto"/>
        <w:bottom w:val="none" w:sz="0" w:space="0" w:color="auto"/>
        <w:right w:val="none" w:sz="0" w:space="0" w:color="auto"/>
      </w:divBdr>
    </w:div>
    <w:div w:id="1175729724">
      <w:bodyDiv w:val="1"/>
      <w:marLeft w:val="0"/>
      <w:marRight w:val="0"/>
      <w:marTop w:val="0"/>
      <w:marBottom w:val="0"/>
      <w:divBdr>
        <w:top w:val="none" w:sz="0" w:space="0" w:color="auto"/>
        <w:left w:val="none" w:sz="0" w:space="0" w:color="auto"/>
        <w:bottom w:val="none" w:sz="0" w:space="0" w:color="auto"/>
        <w:right w:val="none" w:sz="0" w:space="0" w:color="auto"/>
      </w:divBdr>
    </w:div>
    <w:div w:id="1251161004">
      <w:bodyDiv w:val="1"/>
      <w:marLeft w:val="0"/>
      <w:marRight w:val="0"/>
      <w:marTop w:val="0"/>
      <w:marBottom w:val="0"/>
      <w:divBdr>
        <w:top w:val="none" w:sz="0" w:space="0" w:color="auto"/>
        <w:left w:val="none" w:sz="0" w:space="0" w:color="auto"/>
        <w:bottom w:val="none" w:sz="0" w:space="0" w:color="auto"/>
        <w:right w:val="none" w:sz="0" w:space="0" w:color="auto"/>
      </w:divBdr>
    </w:div>
    <w:div w:id="1256859194">
      <w:bodyDiv w:val="1"/>
      <w:marLeft w:val="0"/>
      <w:marRight w:val="0"/>
      <w:marTop w:val="0"/>
      <w:marBottom w:val="0"/>
      <w:divBdr>
        <w:top w:val="none" w:sz="0" w:space="0" w:color="auto"/>
        <w:left w:val="none" w:sz="0" w:space="0" w:color="auto"/>
        <w:bottom w:val="none" w:sz="0" w:space="0" w:color="auto"/>
        <w:right w:val="none" w:sz="0" w:space="0" w:color="auto"/>
      </w:divBdr>
    </w:div>
    <w:div w:id="1294874134">
      <w:bodyDiv w:val="1"/>
      <w:marLeft w:val="0"/>
      <w:marRight w:val="0"/>
      <w:marTop w:val="0"/>
      <w:marBottom w:val="0"/>
      <w:divBdr>
        <w:top w:val="none" w:sz="0" w:space="0" w:color="auto"/>
        <w:left w:val="none" w:sz="0" w:space="0" w:color="auto"/>
        <w:bottom w:val="none" w:sz="0" w:space="0" w:color="auto"/>
        <w:right w:val="none" w:sz="0" w:space="0" w:color="auto"/>
      </w:divBdr>
    </w:div>
    <w:div w:id="1948852339">
      <w:bodyDiv w:val="1"/>
      <w:marLeft w:val="0"/>
      <w:marRight w:val="0"/>
      <w:marTop w:val="0"/>
      <w:marBottom w:val="0"/>
      <w:divBdr>
        <w:top w:val="none" w:sz="0" w:space="0" w:color="auto"/>
        <w:left w:val="none" w:sz="0" w:space="0" w:color="auto"/>
        <w:bottom w:val="none" w:sz="0" w:space="0" w:color="auto"/>
        <w:right w:val="none" w:sz="0" w:space="0" w:color="auto"/>
      </w:divBdr>
    </w:div>
    <w:div w:id="1983999061">
      <w:bodyDiv w:val="1"/>
      <w:marLeft w:val="0"/>
      <w:marRight w:val="0"/>
      <w:marTop w:val="0"/>
      <w:marBottom w:val="0"/>
      <w:divBdr>
        <w:top w:val="none" w:sz="0" w:space="0" w:color="auto"/>
        <w:left w:val="none" w:sz="0" w:space="0" w:color="auto"/>
        <w:bottom w:val="none" w:sz="0" w:space="0" w:color="auto"/>
        <w:right w:val="none" w:sz="0" w:space="0" w:color="auto"/>
      </w:divBdr>
    </w:div>
    <w:div w:id="2069644947">
      <w:bodyDiv w:val="1"/>
      <w:marLeft w:val="0"/>
      <w:marRight w:val="0"/>
      <w:marTop w:val="0"/>
      <w:marBottom w:val="0"/>
      <w:divBdr>
        <w:top w:val="none" w:sz="0" w:space="0" w:color="auto"/>
        <w:left w:val="none" w:sz="0" w:space="0" w:color="auto"/>
        <w:bottom w:val="none" w:sz="0" w:space="0" w:color="auto"/>
        <w:right w:val="none" w:sz="0" w:space="0" w:color="auto"/>
      </w:divBdr>
    </w:div>
    <w:div w:id="214704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cc.cec/budg/man/budgmanag/budgmanag_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Status xmlns="62e97ea9-7ea3-481f-81a3-2d45a5a9b393">Not Started</EC_Collab_Status>
    <EC_Collab_DocumentLanguage xmlns="62e97ea9-7ea3-481f-81a3-2d45a5a9b393">EN</EC_Collab_DocumentLanguage>
    <EC_Collab_Reference xmlns="62e97ea9-7ea3-481f-81a3-2d45a5a9b393"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9934AA0B36B1384886ADB3E40549A2B0" ma:contentTypeVersion="0" ma:contentTypeDescription="Create a new document in this library." ma:contentTypeScope="" ma:versionID="2ccea2f6a9419b2cc6372d603c4d829b">
  <xsd:schema xmlns:xsd="http://www.w3.org/2001/XMLSchema" xmlns:xs="http://www.w3.org/2001/XMLSchema" xmlns:p="http://schemas.microsoft.com/office/2006/metadata/properties" xmlns:ns2="http://schemas.microsoft.com/sharepoint/v3/fields" xmlns:ns3="62e97ea9-7ea3-481f-81a3-2d45a5a9b393" targetNamespace="http://schemas.microsoft.com/office/2006/metadata/properties" ma:root="true" ma:fieldsID="e99a88584d72bb20f25083a2210d0d03" ns2:_="" ns3:_="">
    <xsd:import namespace="http://schemas.microsoft.com/sharepoint/v3/fields"/>
    <xsd:import namespace="62e97ea9-7ea3-481f-81a3-2d45a5a9b393"/>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2e97ea9-7ea3-481f-81a3-2d45a5a9b393"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5716F78-C311-4872-8C4A-C603A696F179}">
  <ds:schemaRefs>
    <ds:schemaRef ds:uri="http://schemas.microsoft.com/office/2006/metadata/properties"/>
    <ds:schemaRef ds:uri="http://purl.org/dc/elements/1.1/"/>
    <ds:schemaRef ds:uri="62e97ea9-7ea3-481f-81a3-2d45a5a9b393"/>
    <ds:schemaRef ds:uri="http://schemas.microsoft.com/sharepoint/v3/field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93A58C45-29C4-4014-94DF-4206643B6015}">
  <ds:schemaRefs>
    <ds:schemaRef ds:uri="http://schemas.microsoft.com/sharepoint/v3/contenttype/forms"/>
  </ds:schemaRefs>
</ds:datastoreItem>
</file>

<file path=customXml/itemProps3.xml><?xml version="1.0" encoding="utf-8"?>
<ds:datastoreItem xmlns:ds="http://schemas.openxmlformats.org/officeDocument/2006/customXml" ds:itemID="{DCE3FE85-EE68-4FCA-AD13-79181A2C0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62e97ea9-7ea3-481f-81a3-2d45a5a9b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2F60FA-FD24-48A5-A4F9-DF1F974F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29</Pages>
  <Words>7481</Words>
  <Characters>40702</Characters>
  <Application>Microsoft Office Word</Application>
  <DocSecurity>0</DocSecurity>
  <Lines>1695</Lines>
  <Paragraphs>609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dcterms:created xsi:type="dcterms:W3CDTF">2020-04-06T11:32:00Z</dcterms:created>
  <dcterms:modified xsi:type="dcterms:W3CDTF">2020-04-06T15:40:00Z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0x010100258AA79CEB83498886A3A08681123250009934AA0B36B1384886ADB3E40549A2B0</vt:lpwstr>
  </property>
  <property fmtid="{D5CDD505-2E9C-101B-9397-08002B2CF9AE}" pid="11" name="DQCStatus">
    <vt:lpwstr>Green (DQC version 03)</vt:lpwstr>
  </property>
  <property name="OP_sanitized" fmtid="{D5CDD505-2E9C-101B-9397-08002B2CF9AE}" pid="12">
    <vt:lpwstr>True</vt:lpwstr>
  </property>
</Properties>
</file>