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0169" w:rsidRDefault="00941F3E">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7E2879FB-CD3B-4564-8434-C5D1C6D67566" style="width:450.6pt;height:320.3pt">
            <v:imagedata r:id="rId8" o:title=""/>
          </v:shape>
        </w:pict>
      </w:r>
    </w:p>
    <w:bookmarkEnd w:id="0"/>
    <w:p w:rsidR="00C80169" w:rsidRDefault="00C80169">
      <w:pPr>
        <w:rPr>
          <w:noProof/>
        </w:rPr>
        <w:sectPr w:rsidR="00C80169">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bookmarkStart w:id="1" w:name="_Toc33800393" w:displacedByCustomXml="next"/>
    <w:bookmarkStart w:id="2" w:name="_Toc32444145" w:displacedByCustomXml="next"/>
    <w:sdt>
      <w:sdtPr>
        <w:rPr>
          <w:rFonts w:asciiTheme="minorHAnsi" w:eastAsiaTheme="minorHAnsi" w:hAnsiTheme="minorHAnsi" w:cstheme="minorBidi"/>
          <w:b w:val="0"/>
          <w:caps w:val="0"/>
          <w:noProof/>
          <w:sz w:val="22"/>
          <w:szCs w:val="22"/>
        </w:rPr>
        <w:id w:val="1540171752"/>
        <w:docPartObj>
          <w:docPartGallery w:val="Table of Contents"/>
          <w:docPartUnique/>
        </w:docPartObj>
      </w:sdtPr>
      <w:sdtEndPr>
        <w:rPr>
          <w:rFonts w:ascii="Times New Roman" w:eastAsia="Times New Roman" w:hAnsi="Times New Roman" w:cs="Times New Roman"/>
          <w:bCs/>
          <w:sz w:val="24"/>
          <w:szCs w:val="20"/>
        </w:rPr>
      </w:sdtEndPr>
      <w:sdtContent>
        <w:p w:rsidR="00C80169" w:rsidRDefault="00941F3E">
          <w:pPr>
            <w:pStyle w:val="TOCHeading"/>
            <w:rPr>
              <w:noProof/>
            </w:rPr>
          </w:pPr>
          <w:r>
            <w:rPr>
              <w:noProof/>
            </w:rPr>
            <w:t>Índice</w:t>
          </w:r>
        </w:p>
        <w:p w:rsidR="00C80169" w:rsidRDefault="00941F3E" w:rsidP="00941F3E">
          <w:pPr>
            <w:pStyle w:val="TOC1"/>
            <w:ind w:right="1472"/>
            <w:rPr>
              <w:rFonts w:asciiTheme="minorHAnsi" w:eastAsiaTheme="minorEastAsia" w:hAnsiTheme="minorHAnsi" w:cstheme="minorBidi"/>
              <w:caps w:val="0"/>
              <w:noProof/>
              <w:sz w:val="22"/>
              <w:szCs w:val="22"/>
              <w:lang w:val="en-US" w:eastAsia="en-US"/>
            </w:rPr>
          </w:pPr>
          <w:r>
            <w:rPr>
              <w:noProof/>
            </w:rPr>
            <w:fldChar w:fldCharType="begin"/>
          </w:r>
          <w:r>
            <w:rPr>
              <w:noProof/>
            </w:rPr>
            <w:instrText xml:space="preserve"> TOC \o "1-3" \h \z \u </w:instrText>
          </w:r>
          <w:r>
            <w:rPr>
              <w:noProof/>
            </w:rPr>
            <w:fldChar w:fldCharType="separate"/>
          </w:r>
          <w:hyperlink w:anchor="_Toc43897445" w:history="1">
            <w:r>
              <w:rPr>
                <w:rStyle w:val="Hyperlink"/>
                <w:noProof/>
              </w:rPr>
              <w:t>1.</w:t>
            </w:r>
            <w:r>
              <w:rPr>
                <w:rFonts w:asciiTheme="minorHAnsi" w:eastAsiaTheme="minorEastAsia" w:hAnsiTheme="minorHAnsi" w:cstheme="minorBidi"/>
                <w:caps w:val="0"/>
                <w:noProof/>
                <w:sz w:val="22"/>
                <w:szCs w:val="22"/>
                <w:lang w:val="en-US" w:eastAsia="en-US"/>
              </w:rPr>
              <w:tab/>
            </w:r>
            <w:r>
              <w:rPr>
                <w:rStyle w:val="Hyperlink"/>
                <w:noProof/>
              </w:rPr>
              <w:t>INTRODUCCIÓN</w:t>
            </w:r>
            <w:r>
              <w:rPr>
                <w:noProof/>
                <w:webHidden/>
              </w:rPr>
              <w:tab/>
            </w:r>
            <w:r>
              <w:rPr>
                <w:noProof/>
                <w:webHidden/>
              </w:rPr>
              <w:fldChar w:fldCharType="begin"/>
            </w:r>
            <w:r>
              <w:rPr>
                <w:noProof/>
                <w:webHidden/>
              </w:rPr>
              <w:instrText xml:space="preserve"> PAGEREF _Toc43897445 \h </w:instrText>
            </w:r>
            <w:r>
              <w:rPr>
                <w:noProof/>
                <w:webHidden/>
              </w:rPr>
            </w:r>
            <w:r>
              <w:rPr>
                <w:noProof/>
                <w:webHidden/>
              </w:rPr>
              <w:fldChar w:fldCharType="separate"/>
            </w:r>
            <w:r>
              <w:rPr>
                <w:noProof/>
                <w:webHidden/>
              </w:rPr>
              <w:t>2</w:t>
            </w:r>
            <w:r>
              <w:rPr>
                <w:noProof/>
                <w:webHidden/>
              </w:rPr>
              <w:fldChar w:fldCharType="end"/>
            </w:r>
          </w:hyperlink>
        </w:p>
        <w:p w:rsidR="00C80169" w:rsidRDefault="00941F3E" w:rsidP="00941F3E">
          <w:pPr>
            <w:pStyle w:val="TOC1"/>
            <w:ind w:right="1472"/>
            <w:rPr>
              <w:rFonts w:asciiTheme="minorHAnsi" w:eastAsiaTheme="minorEastAsia" w:hAnsiTheme="minorHAnsi" w:cstheme="minorBidi"/>
              <w:caps w:val="0"/>
              <w:noProof/>
              <w:sz w:val="22"/>
              <w:szCs w:val="22"/>
              <w:lang w:val="en-US" w:eastAsia="en-US"/>
            </w:rPr>
          </w:pPr>
          <w:hyperlink w:anchor="_Toc43897446" w:history="1">
            <w:r>
              <w:rPr>
                <w:rStyle w:val="Hyperlink"/>
                <w:noProof/>
              </w:rPr>
              <w:t>2.</w:t>
            </w:r>
            <w:r>
              <w:rPr>
                <w:rFonts w:asciiTheme="minorHAnsi" w:eastAsiaTheme="minorEastAsia" w:hAnsiTheme="minorHAnsi" w:cstheme="minorBidi"/>
                <w:caps w:val="0"/>
                <w:noProof/>
                <w:sz w:val="22"/>
                <w:szCs w:val="22"/>
                <w:lang w:val="en-US" w:eastAsia="en-US"/>
              </w:rPr>
              <w:tab/>
            </w:r>
            <w:r>
              <w:rPr>
                <w:rStyle w:val="Hyperlink"/>
                <w:noProof/>
              </w:rPr>
              <w:t>LOS FACTORES QUE IMPULSAN EL CAMBIO DEMOGRÁFICO EN EUROPA</w:t>
            </w:r>
            <w:r>
              <w:rPr>
                <w:noProof/>
                <w:webHidden/>
              </w:rPr>
              <w:tab/>
            </w:r>
            <w:r>
              <w:rPr>
                <w:noProof/>
                <w:webHidden/>
              </w:rPr>
              <w:fldChar w:fldCharType="begin"/>
            </w:r>
            <w:r>
              <w:rPr>
                <w:noProof/>
                <w:webHidden/>
              </w:rPr>
              <w:instrText xml:space="preserve"> PAGEREF _Toc43897446 \h </w:instrText>
            </w:r>
            <w:r>
              <w:rPr>
                <w:noProof/>
                <w:webHidden/>
              </w:rPr>
            </w:r>
            <w:r>
              <w:rPr>
                <w:noProof/>
                <w:webHidden/>
              </w:rPr>
              <w:fldChar w:fldCharType="separate"/>
            </w:r>
            <w:r>
              <w:rPr>
                <w:noProof/>
                <w:webHidden/>
              </w:rPr>
              <w:t>4</w:t>
            </w:r>
            <w:r>
              <w:rPr>
                <w:noProof/>
                <w:webHidden/>
              </w:rPr>
              <w:fldChar w:fldCharType="end"/>
            </w:r>
          </w:hyperlink>
        </w:p>
        <w:p w:rsidR="00C80169" w:rsidRDefault="00941F3E" w:rsidP="00941F3E">
          <w:pPr>
            <w:pStyle w:val="TOC2"/>
            <w:ind w:right="1472"/>
            <w:rPr>
              <w:rFonts w:asciiTheme="minorHAnsi" w:eastAsiaTheme="minorEastAsia" w:hAnsiTheme="minorHAnsi" w:cstheme="minorBidi"/>
              <w:sz w:val="22"/>
              <w:szCs w:val="22"/>
              <w:lang w:val="en-US" w:eastAsia="en-US"/>
            </w:rPr>
          </w:pPr>
          <w:hyperlink w:anchor="_Toc43897447" w:history="1">
            <w:r>
              <w:rPr>
                <w:rStyle w:val="Hyperlink"/>
              </w:rPr>
              <w:t>2.1. MAYOR ESPERANZA DE VIDA</w:t>
            </w:r>
            <w:r>
              <w:rPr>
                <w:webHidden/>
              </w:rPr>
              <w:tab/>
            </w:r>
            <w:r>
              <w:rPr>
                <w:webHidden/>
              </w:rPr>
              <w:fldChar w:fldCharType="begin"/>
            </w:r>
            <w:r>
              <w:rPr>
                <w:webHidden/>
              </w:rPr>
              <w:instrText xml:space="preserve"> PAGEREF _Toc43897447 \h </w:instrText>
            </w:r>
            <w:r>
              <w:rPr>
                <w:webHidden/>
              </w:rPr>
            </w:r>
            <w:r>
              <w:rPr>
                <w:webHidden/>
              </w:rPr>
              <w:fldChar w:fldCharType="separate"/>
            </w:r>
            <w:r>
              <w:rPr>
                <w:webHidden/>
              </w:rPr>
              <w:t>4</w:t>
            </w:r>
            <w:r>
              <w:rPr>
                <w:webHidden/>
              </w:rPr>
              <w:fldChar w:fldCharType="end"/>
            </w:r>
          </w:hyperlink>
        </w:p>
        <w:p w:rsidR="00C80169" w:rsidRDefault="00941F3E" w:rsidP="00941F3E">
          <w:pPr>
            <w:pStyle w:val="TOC2"/>
            <w:ind w:right="1472"/>
            <w:rPr>
              <w:rFonts w:asciiTheme="minorHAnsi" w:eastAsiaTheme="minorEastAsia" w:hAnsiTheme="minorHAnsi" w:cstheme="minorBidi"/>
              <w:sz w:val="22"/>
              <w:szCs w:val="22"/>
              <w:lang w:val="en-US" w:eastAsia="en-US"/>
            </w:rPr>
          </w:pPr>
          <w:hyperlink w:anchor="_Toc43897448" w:history="1">
            <w:r>
              <w:rPr>
                <w:rStyle w:val="Hyperlink"/>
              </w:rPr>
              <w:t>2.2. MENOS NACIMIENTOS</w:t>
            </w:r>
            <w:r>
              <w:rPr>
                <w:webHidden/>
              </w:rPr>
              <w:tab/>
            </w:r>
            <w:r>
              <w:rPr>
                <w:webHidden/>
              </w:rPr>
              <w:fldChar w:fldCharType="begin"/>
            </w:r>
            <w:r>
              <w:rPr>
                <w:webHidden/>
              </w:rPr>
              <w:instrText xml:space="preserve"> PAGEREF _Toc43897448 \h </w:instrText>
            </w:r>
            <w:r>
              <w:rPr>
                <w:webHidden/>
              </w:rPr>
            </w:r>
            <w:r>
              <w:rPr>
                <w:webHidden/>
              </w:rPr>
              <w:fldChar w:fldCharType="separate"/>
            </w:r>
            <w:r>
              <w:rPr>
                <w:webHidden/>
              </w:rPr>
              <w:t>8</w:t>
            </w:r>
            <w:r>
              <w:rPr>
                <w:webHidden/>
              </w:rPr>
              <w:fldChar w:fldCharType="end"/>
            </w:r>
          </w:hyperlink>
        </w:p>
        <w:p w:rsidR="00C80169" w:rsidRDefault="00941F3E" w:rsidP="00941F3E">
          <w:pPr>
            <w:pStyle w:val="TOC2"/>
            <w:ind w:right="1472"/>
            <w:rPr>
              <w:rFonts w:asciiTheme="minorHAnsi" w:eastAsiaTheme="minorEastAsia" w:hAnsiTheme="minorHAnsi" w:cstheme="minorBidi"/>
              <w:sz w:val="22"/>
              <w:szCs w:val="22"/>
              <w:lang w:val="en-US" w:eastAsia="en-US"/>
            </w:rPr>
          </w:pPr>
          <w:hyperlink w:anchor="_Toc43897449" w:history="1">
            <w:r>
              <w:rPr>
                <w:rStyle w:val="Hyperlink"/>
              </w:rPr>
              <w:t>2.3. ENVEJECIMIENTO DE LA POBLACIÓN</w:t>
            </w:r>
            <w:r>
              <w:rPr>
                <w:webHidden/>
              </w:rPr>
              <w:tab/>
            </w:r>
            <w:r>
              <w:rPr>
                <w:webHidden/>
              </w:rPr>
              <w:fldChar w:fldCharType="begin"/>
            </w:r>
            <w:r>
              <w:rPr>
                <w:webHidden/>
              </w:rPr>
              <w:instrText xml:space="preserve"> PAGEREF _Toc43897449 \h </w:instrText>
            </w:r>
            <w:r>
              <w:rPr>
                <w:webHidden/>
              </w:rPr>
            </w:r>
            <w:r>
              <w:rPr>
                <w:webHidden/>
              </w:rPr>
              <w:fldChar w:fldCharType="separate"/>
            </w:r>
            <w:r>
              <w:rPr>
                <w:webHidden/>
              </w:rPr>
              <w:t>10</w:t>
            </w:r>
            <w:r>
              <w:rPr>
                <w:webHidden/>
              </w:rPr>
              <w:fldChar w:fldCharType="end"/>
            </w:r>
          </w:hyperlink>
        </w:p>
        <w:p w:rsidR="00C80169" w:rsidRDefault="00941F3E" w:rsidP="00941F3E">
          <w:pPr>
            <w:pStyle w:val="TOC2"/>
            <w:ind w:right="1472"/>
            <w:rPr>
              <w:rFonts w:asciiTheme="minorHAnsi" w:eastAsiaTheme="minorEastAsia" w:hAnsiTheme="minorHAnsi" w:cstheme="minorBidi"/>
              <w:sz w:val="22"/>
              <w:szCs w:val="22"/>
              <w:lang w:val="en-US" w:eastAsia="en-US"/>
            </w:rPr>
          </w:pPr>
          <w:hyperlink w:anchor="_Toc43897450" w:history="1">
            <w:r>
              <w:rPr>
                <w:rStyle w:val="Hyperlink"/>
              </w:rPr>
              <w:t>2.4. HOGARES MÁS P</w:t>
            </w:r>
            <w:r>
              <w:rPr>
                <w:rStyle w:val="Hyperlink"/>
              </w:rPr>
              <w:t>EQUEÑOS</w:t>
            </w:r>
            <w:r>
              <w:rPr>
                <w:webHidden/>
              </w:rPr>
              <w:tab/>
            </w:r>
            <w:r>
              <w:rPr>
                <w:webHidden/>
              </w:rPr>
              <w:fldChar w:fldCharType="begin"/>
            </w:r>
            <w:r>
              <w:rPr>
                <w:webHidden/>
              </w:rPr>
              <w:instrText xml:space="preserve"> PAGEREF _Toc43897450 \h </w:instrText>
            </w:r>
            <w:r>
              <w:rPr>
                <w:webHidden/>
              </w:rPr>
            </w:r>
            <w:r>
              <w:rPr>
                <w:webHidden/>
              </w:rPr>
              <w:fldChar w:fldCharType="separate"/>
            </w:r>
            <w:r>
              <w:rPr>
                <w:webHidden/>
              </w:rPr>
              <w:t>11</w:t>
            </w:r>
            <w:r>
              <w:rPr>
                <w:webHidden/>
              </w:rPr>
              <w:fldChar w:fldCharType="end"/>
            </w:r>
          </w:hyperlink>
        </w:p>
        <w:p w:rsidR="00C80169" w:rsidRDefault="00941F3E" w:rsidP="00941F3E">
          <w:pPr>
            <w:pStyle w:val="TOC2"/>
            <w:ind w:right="1472"/>
            <w:rPr>
              <w:rFonts w:asciiTheme="minorHAnsi" w:eastAsiaTheme="minorEastAsia" w:hAnsiTheme="minorHAnsi" w:cstheme="minorBidi"/>
              <w:sz w:val="22"/>
              <w:szCs w:val="22"/>
              <w:lang w:val="en-US" w:eastAsia="en-US"/>
            </w:rPr>
          </w:pPr>
          <w:hyperlink w:anchor="_Toc43897451" w:history="1">
            <w:r>
              <w:rPr>
                <w:rStyle w:val="Hyperlink"/>
              </w:rPr>
              <w:t>2.5. UNA EUROPA CON MÁS MOVILIDAD</w:t>
            </w:r>
            <w:r>
              <w:rPr>
                <w:webHidden/>
              </w:rPr>
              <w:tab/>
            </w:r>
            <w:r>
              <w:rPr>
                <w:webHidden/>
              </w:rPr>
              <w:fldChar w:fldCharType="begin"/>
            </w:r>
            <w:r>
              <w:rPr>
                <w:webHidden/>
              </w:rPr>
              <w:instrText xml:space="preserve"> PAGEREF _Toc43897451 \h </w:instrText>
            </w:r>
            <w:r>
              <w:rPr>
                <w:webHidden/>
              </w:rPr>
            </w:r>
            <w:r>
              <w:rPr>
                <w:webHidden/>
              </w:rPr>
              <w:fldChar w:fldCharType="separate"/>
            </w:r>
            <w:r>
              <w:rPr>
                <w:webHidden/>
              </w:rPr>
              <w:t>12</w:t>
            </w:r>
            <w:r>
              <w:rPr>
                <w:webHidden/>
              </w:rPr>
              <w:fldChar w:fldCharType="end"/>
            </w:r>
          </w:hyperlink>
        </w:p>
        <w:p w:rsidR="00C80169" w:rsidRDefault="00941F3E" w:rsidP="00941F3E">
          <w:pPr>
            <w:pStyle w:val="TOC2"/>
            <w:ind w:right="1472"/>
            <w:rPr>
              <w:rFonts w:asciiTheme="minorHAnsi" w:eastAsiaTheme="minorEastAsia" w:hAnsiTheme="minorHAnsi" w:cstheme="minorBidi"/>
              <w:sz w:val="22"/>
              <w:szCs w:val="22"/>
              <w:lang w:val="en-US" w:eastAsia="en-US"/>
            </w:rPr>
          </w:pPr>
          <w:hyperlink w:anchor="_Toc43897452" w:history="1">
            <w:r>
              <w:rPr>
                <w:rStyle w:val="Hyperlink"/>
              </w:rPr>
              <w:t>2.6. CAMBIOS EN EL TAMAÑO DE LA POBLACIÓN</w:t>
            </w:r>
            <w:r>
              <w:rPr>
                <w:webHidden/>
              </w:rPr>
              <w:tab/>
            </w:r>
            <w:r>
              <w:rPr>
                <w:webHidden/>
              </w:rPr>
              <w:fldChar w:fldCharType="begin"/>
            </w:r>
            <w:r>
              <w:rPr>
                <w:webHidden/>
              </w:rPr>
              <w:instrText xml:space="preserve"> PAGEREF _Toc43897452 \h </w:instrText>
            </w:r>
            <w:r>
              <w:rPr>
                <w:webHidden/>
              </w:rPr>
            </w:r>
            <w:r>
              <w:rPr>
                <w:webHidden/>
              </w:rPr>
              <w:fldChar w:fldCharType="separate"/>
            </w:r>
            <w:r>
              <w:rPr>
                <w:webHidden/>
              </w:rPr>
              <w:t>13</w:t>
            </w:r>
            <w:r>
              <w:rPr>
                <w:webHidden/>
              </w:rPr>
              <w:fldChar w:fldCharType="end"/>
            </w:r>
          </w:hyperlink>
        </w:p>
        <w:p w:rsidR="00C80169" w:rsidRDefault="00941F3E" w:rsidP="00941F3E">
          <w:pPr>
            <w:pStyle w:val="TOC1"/>
            <w:ind w:right="1472"/>
            <w:rPr>
              <w:rFonts w:asciiTheme="minorHAnsi" w:eastAsiaTheme="minorEastAsia" w:hAnsiTheme="minorHAnsi" w:cstheme="minorBidi"/>
              <w:caps w:val="0"/>
              <w:noProof/>
              <w:sz w:val="22"/>
              <w:szCs w:val="22"/>
              <w:lang w:val="en-US" w:eastAsia="en-US"/>
            </w:rPr>
          </w:pPr>
          <w:hyperlink w:anchor="_Toc43897453" w:history="1">
            <w:r>
              <w:rPr>
                <w:rStyle w:val="Hyperlink"/>
                <w:noProof/>
              </w:rPr>
              <w:t>3.</w:t>
            </w:r>
            <w:r>
              <w:rPr>
                <w:rFonts w:asciiTheme="minorHAnsi" w:eastAsiaTheme="minorEastAsia" w:hAnsiTheme="minorHAnsi" w:cstheme="minorBidi"/>
                <w:caps w:val="0"/>
                <w:noProof/>
                <w:sz w:val="22"/>
                <w:szCs w:val="22"/>
                <w:lang w:val="en-US" w:eastAsia="en-US"/>
              </w:rPr>
              <w:tab/>
            </w:r>
            <w:r>
              <w:rPr>
                <w:rStyle w:val="Hyperlink"/>
                <w:noProof/>
              </w:rPr>
              <w:t xml:space="preserve">EFECTOS DEL CAMBIO DEMOGRÁFICO EN NUESTRA </w:t>
            </w:r>
            <w:r>
              <w:rPr>
                <w:rStyle w:val="Hyperlink"/>
                <w:noProof/>
              </w:rPr>
              <w:t>ECONOMÍA SOCIAL DE MERCADO</w:t>
            </w:r>
            <w:r>
              <w:rPr>
                <w:noProof/>
                <w:webHidden/>
              </w:rPr>
              <w:tab/>
            </w:r>
            <w:r>
              <w:rPr>
                <w:noProof/>
                <w:webHidden/>
              </w:rPr>
              <w:fldChar w:fldCharType="begin"/>
            </w:r>
            <w:r>
              <w:rPr>
                <w:noProof/>
                <w:webHidden/>
              </w:rPr>
              <w:instrText xml:space="preserve"> PAGEREF _Toc43897453 \h </w:instrText>
            </w:r>
            <w:r>
              <w:rPr>
                <w:noProof/>
                <w:webHidden/>
              </w:rPr>
            </w:r>
            <w:r>
              <w:rPr>
                <w:noProof/>
                <w:webHidden/>
              </w:rPr>
              <w:fldChar w:fldCharType="separate"/>
            </w:r>
            <w:r>
              <w:rPr>
                <w:noProof/>
                <w:webHidden/>
              </w:rPr>
              <w:t>15</w:t>
            </w:r>
            <w:r>
              <w:rPr>
                <w:noProof/>
                <w:webHidden/>
              </w:rPr>
              <w:fldChar w:fldCharType="end"/>
            </w:r>
          </w:hyperlink>
        </w:p>
        <w:p w:rsidR="00C80169" w:rsidRDefault="00941F3E" w:rsidP="00941F3E">
          <w:pPr>
            <w:pStyle w:val="TOC2"/>
            <w:ind w:right="1472"/>
            <w:rPr>
              <w:rFonts w:asciiTheme="minorHAnsi" w:eastAsiaTheme="minorEastAsia" w:hAnsiTheme="minorHAnsi" w:cstheme="minorBidi"/>
              <w:sz w:val="22"/>
              <w:szCs w:val="22"/>
              <w:lang w:val="en-US" w:eastAsia="en-US"/>
            </w:rPr>
          </w:pPr>
          <w:hyperlink w:anchor="_Toc43897454" w:history="1">
            <w:r>
              <w:rPr>
                <w:rStyle w:val="Hyperlink"/>
              </w:rPr>
              <w:t>3.1. PERSONAS, TRABAJO Y CAPACIDADES</w:t>
            </w:r>
            <w:r>
              <w:rPr>
                <w:webHidden/>
              </w:rPr>
              <w:tab/>
            </w:r>
            <w:r>
              <w:rPr>
                <w:webHidden/>
              </w:rPr>
              <w:fldChar w:fldCharType="begin"/>
            </w:r>
            <w:r>
              <w:rPr>
                <w:webHidden/>
              </w:rPr>
              <w:instrText xml:space="preserve"> PAGEREF _Toc43897454 \h </w:instrText>
            </w:r>
            <w:r>
              <w:rPr>
                <w:webHidden/>
              </w:rPr>
            </w:r>
            <w:r>
              <w:rPr>
                <w:webHidden/>
              </w:rPr>
              <w:fldChar w:fldCharType="separate"/>
            </w:r>
            <w:r>
              <w:rPr>
                <w:webHidden/>
              </w:rPr>
              <w:t>16</w:t>
            </w:r>
            <w:r>
              <w:rPr>
                <w:webHidden/>
              </w:rPr>
              <w:fldChar w:fldCharType="end"/>
            </w:r>
          </w:hyperlink>
          <w:bookmarkStart w:id="3" w:name="_GoBack"/>
          <w:bookmarkEnd w:id="3"/>
        </w:p>
        <w:p w:rsidR="00C80169" w:rsidRDefault="00941F3E" w:rsidP="00941F3E">
          <w:pPr>
            <w:pStyle w:val="TOC2"/>
            <w:ind w:right="1472"/>
            <w:rPr>
              <w:rFonts w:asciiTheme="minorHAnsi" w:eastAsiaTheme="minorEastAsia" w:hAnsiTheme="minorHAnsi" w:cstheme="minorBidi"/>
              <w:sz w:val="22"/>
              <w:szCs w:val="22"/>
              <w:lang w:val="en-US" w:eastAsia="en-US"/>
            </w:rPr>
          </w:pPr>
          <w:hyperlink w:anchor="_Toc43897455" w:history="1">
            <w:r>
              <w:rPr>
                <w:rStyle w:val="Hyperlink"/>
              </w:rPr>
              <w:t>3.1.1. UN MERCADO LABORAL MAYOR Y MÁS INCLUSIVO</w:t>
            </w:r>
            <w:r>
              <w:rPr>
                <w:webHidden/>
              </w:rPr>
              <w:tab/>
            </w:r>
            <w:r>
              <w:rPr>
                <w:webHidden/>
              </w:rPr>
              <w:fldChar w:fldCharType="begin"/>
            </w:r>
            <w:r>
              <w:rPr>
                <w:webHidden/>
              </w:rPr>
              <w:instrText xml:space="preserve"> PAGEREF _Toc43897455 \h </w:instrText>
            </w:r>
            <w:r>
              <w:rPr>
                <w:webHidden/>
              </w:rPr>
            </w:r>
            <w:r>
              <w:rPr>
                <w:webHidden/>
              </w:rPr>
              <w:fldChar w:fldCharType="separate"/>
            </w:r>
            <w:r>
              <w:rPr>
                <w:webHidden/>
              </w:rPr>
              <w:t>17</w:t>
            </w:r>
            <w:r>
              <w:rPr>
                <w:webHidden/>
              </w:rPr>
              <w:fldChar w:fldCharType="end"/>
            </w:r>
          </w:hyperlink>
        </w:p>
        <w:p w:rsidR="00C80169" w:rsidRDefault="00941F3E" w:rsidP="00941F3E">
          <w:pPr>
            <w:pStyle w:val="TOC2"/>
            <w:ind w:right="1472"/>
            <w:rPr>
              <w:rFonts w:asciiTheme="minorHAnsi" w:eastAsiaTheme="minorEastAsia" w:hAnsiTheme="minorHAnsi" w:cstheme="minorBidi"/>
              <w:sz w:val="22"/>
              <w:szCs w:val="22"/>
              <w:lang w:val="en-US" w:eastAsia="en-US"/>
            </w:rPr>
          </w:pPr>
          <w:hyperlink w:anchor="_Toc43897456" w:history="1">
            <w:r>
              <w:rPr>
                <w:rStyle w:val="Hyperlink"/>
              </w:rPr>
              <w:t>3.1.2. PRODUCTIVIDAD MEDIANTE CAPACIDADES Y EDUCACIÓN</w:t>
            </w:r>
            <w:r>
              <w:rPr>
                <w:webHidden/>
              </w:rPr>
              <w:tab/>
            </w:r>
            <w:r>
              <w:rPr>
                <w:webHidden/>
              </w:rPr>
              <w:fldChar w:fldCharType="begin"/>
            </w:r>
            <w:r>
              <w:rPr>
                <w:webHidden/>
              </w:rPr>
              <w:instrText xml:space="preserve"> PAGEREF _Toc43897456 \h </w:instrText>
            </w:r>
            <w:r>
              <w:rPr>
                <w:webHidden/>
              </w:rPr>
            </w:r>
            <w:r>
              <w:rPr>
                <w:webHidden/>
              </w:rPr>
              <w:fldChar w:fldCharType="separate"/>
            </w:r>
            <w:r>
              <w:rPr>
                <w:webHidden/>
              </w:rPr>
              <w:t>19</w:t>
            </w:r>
            <w:r>
              <w:rPr>
                <w:webHidden/>
              </w:rPr>
              <w:fldChar w:fldCharType="end"/>
            </w:r>
          </w:hyperlink>
        </w:p>
        <w:p w:rsidR="00C80169" w:rsidRDefault="00941F3E" w:rsidP="00941F3E">
          <w:pPr>
            <w:pStyle w:val="TOC2"/>
            <w:ind w:right="1472"/>
            <w:rPr>
              <w:rFonts w:asciiTheme="minorHAnsi" w:eastAsiaTheme="minorEastAsia" w:hAnsiTheme="minorHAnsi" w:cstheme="minorBidi"/>
              <w:sz w:val="22"/>
              <w:szCs w:val="22"/>
              <w:lang w:val="en-US" w:eastAsia="en-US"/>
            </w:rPr>
          </w:pPr>
          <w:hyperlink w:anchor="_Toc43897457" w:history="1">
            <w:r>
              <w:rPr>
                <w:rStyle w:val="Hyperlink"/>
              </w:rPr>
              <w:t>3.2. ATENCIÓN SANITARIA Y CUIDADOS DE LARGA DURACIÓN</w:t>
            </w:r>
            <w:r>
              <w:rPr>
                <w:webHidden/>
              </w:rPr>
              <w:tab/>
            </w:r>
            <w:r>
              <w:rPr>
                <w:webHidden/>
              </w:rPr>
              <w:fldChar w:fldCharType="begin"/>
            </w:r>
            <w:r>
              <w:rPr>
                <w:webHidden/>
              </w:rPr>
              <w:instrText xml:space="preserve"> PAGEREF </w:instrText>
            </w:r>
            <w:r>
              <w:rPr>
                <w:webHidden/>
              </w:rPr>
              <w:instrText xml:space="preserve">_Toc43897457 \h </w:instrText>
            </w:r>
            <w:r>
              <w:rPr>
                <w:webHidden/>
              </w:rPr>
            </w:r>
            <w:r>
              <w:rPr>
                <w:webHidden/>
              </w:rPr>
              <w:fldChar w:fldCharType="separate"/>
            </w:r>
            <w:r>
              <w:rPr>
                <w:webHidden/>
              </w:rPr>
              <w:t>20</w:t>
            </w:r>
            <w:r>
              <w:rPr>
                <w:webHidden/>
              </w:rPr>
              <w:fldChar w:fldCharType="end"/>
            </w:r>
          </w:hyperlink>
        </w:p>
        <w:p w:rsidR="00C80169" w:rsidRDefault="00941F3E" w:rsidP="00941F3E">
          <w:pPr>
            <w:pStyle w:val="TOC2"/>
            <w:ind w:right="1472"/>
            <w:rPr>
              <w:rFonts w:asciiTheme="minorHAnsi" w:eastAsiaTheme="minorEastAsia" w:hAnsiTheme="minorHAnsi" w:cstheme="minorBidi"/>
              <w:sz w:val="22"/>
              <w:szCs w:val="22"/>
              <w:lang w:val="en-US" w:eastAsia="en-US"/>
            </w:rPr>
          </w:pPr>
          <w:hyperlink w:anchor="_Toc43897458" w:history="1">
            <w:r>
              <w:rPr>
                <w:rStyle w:val="Hyperlink"/>
              </w:rPr>
              <w:t>3.3. EFECTOS EN LOS PRESUPUESTOS PÚBLICOS</w:t>
            </w:r>
            <w:r>
              <w:rPr>
                <w:webHidden/>
              </w:rPr>
              <w:tab/>
            </w:r>
            <w:r>
              <w:rPr>
                <w:webHidden/>
              </w:rPr>
              <w:fldChar w:fldCharType="begin"/>
            </w:r>
            <w:r>
              <w:rPr>
                <w:webHidden/>
              </w:rPr>
              <w:instrText xml:space="preserve"> PAGEREF _Toc43897458 \h </w:instrText>
            </w:r>
            <w:r>
              <w:rPr>
                <w:webHidden/>
              </w:rPr>
            </w:r>
            <w:r>
              <w:rPr>
                <w:webHidden/>
              </w:rPr>
              <w:fldChar w:fldCharType="separate"/>
            </w:r>
            <w:r>
              <w:rPr>
                <w:webHidden/>
              </w:rPr>
              <w:t>23</w:t>
            </w:r>
            <w:r>
              <w:rPr>
                <w:webHidden/>
              </w:rPr>
              <w:fldChar w:fldCharType="end"/>
            </w:r>
          </w:hyperlink>
        </w:p>
        <w:p w:rsidR="00C80169" w:rsidRDefault="00941F3E" w:rsidP="00941F3E">
          <w:pPr>
            <w:pStyle w:val="TOC2"/>
            <w:ind w:right="1472"/>
            <w:rPr>
              <w:rFonts w:asciiTheme="minorHAnsi" w:eastAsiaTheme="minorEastAsia" w:hAnsiTheme="minorHAnsi" w:cstheme="minorBidi"/>
              <w:sz w:val="22"/>
              <w:szCs w:val="22"/>
              <w:lang w:val="en-US" w:eastAsia="en-US"/>
            </w:rPr>
          </w:pPr>
          <w:hyperlink w:anchor="_Toc43897459" w:history="1">
            <w:r>
              <w:rPr>
                <w:rStyle w:val="Hyperlink"/>
              </w:rPr>
              <w:t>3.4. DIMENSIÓN REGIONAL Y LOCAL</w:t>
            </w:r>
            <w:r>
              <w:rPr>
                <w:webHidden/>
              </w:rPr>
              <w:tab/>
            </w:r>
            <w:r>
              <w:rPr>
                <w:webHidden/>
              </w:rPr>
              <w:fldChar w:fldCharType="begin"/>
            </w:r>
            <w:r>
              <w:rPr>
                <w:webHidden/>
              </w:rPr>
              <w:instrText xml:space="preserve"> PAGEREF _Toc43897459 \h </w:instrText>
            </w:r>
            <w:r>
              <w:rPr>
                <w:webHidden/>
              </w:rPr>
            </w:r>
            <w:r>
              <w:rPr>
                <w:webHidden/>
              </w:rPr>
              <w:fldChar w:fldCharType="separate"/>
            </w:r>
            <w:r>
              <w:rPr>
                <w:webHidden/>
              </w:rPr>
              <w:t>25</w:t>
            </w:r>
            <w:r>
              <w:rPr>
                <w:webHidden/>
              </w:rPr>
              <w:fldChar w:fldCharType="end"/>
            </w:r>
          </w:hyperlink>
        </w:p>
        <w:p w:rsidR="00C80169" w:rsidRDefault="00941F3E" w:rsidP="00941F3E">
          <w:pPr>
            <w:pStyle w:val="TOC3"/>
            <w:ind w:right="1472"/>
            <w:rPr>
              <w:rFonts w:asciiTheme="minorHAnsi" w:eastAsiaTheme="minorEastAsia" w:hAnsiTheme="minorHAnsi" w:cstheme="minorBidi"/>
              <w:noProof/>
              <w:sz w:val="22"/>
              <w:szCs w:val="22"/>
              <w:lang w:val="en-US" w:eastAsia="en-US"/>
            </w:rPr>
          </w:pPr>
          <w:hyperlink w:anchor="_Toc43897460" w:history="1">
            <w:r>
              <w:rPr>
                <w:rStyle w:val="Hyperlink"/>
                <w:noProof/>
              </w:rPr>
              <w:t>3.4.1. CALIDAD DE VIDA, INFRAESTRUCTURA Y ACCESO A SERVICIOS</w:t>
            </w:r>
            <w:r>
              <w:rPr>
                <w:noProof/>
                <w:webHidden/>
              </w:rPr>
              <w:tab/>
            </w:r>
            <w:r>
              <w:rPr>
                <w:noProof/>
                <w:webHidden/>
              </w:rPr>
              <w:fldChar w:fldCharType="begin"/>
            </w:r>
            <w:r>
              <w:rPr>
                <w:noProof/>
                <w:webHidden/>
              </w:rPr>
              <w:instrText xml:space="preserve"> PAGERE</w:instrText>
            </w:r>
            <w:r>
              <w:rPr>
                <w:noProof/>
                <w:webHidden/>
              </w:rPr>
              <w:instrText xml:space="preserve">F _Toc43897460 \h </w:instrText>
            </w:r>
            <w:r>
              <w:rPr>
                <w:noProof/>
                <w:webHidden/>
              </w:rPr>
            </w:r>
            <w:r>
              <w:rPr>
                <w:noProof/>
                <w:webHidden/>
              </w:rPr>
              <w:fldChar w:fldCharType="separate"/>
            </w:r>
            <w:r>
              <w:rPr>
                <w:noProof/>
                <w:webHidden/>
              </w:rPr>
              <w:t>28</w:t>
            </w:r>
            <w:r>
              <w:rPr>
                <w:noProof/>
                <w:webHidden/>
              </w:rPr>
              <w:fldChar w:fldCharType="end"/>
            </w:r>
          </w:hyperlink>
        </w:p>
        <w:p w:rsidR="00C80169" w:rsidRDefault="00941F3E" w:rsidP="00941F3E">
          <w:pPr>
            <w:pStyle w:val="TOC2"/>
            <w:tabs>
              <w:tab w:val="left" w:pos="1077"/>
            </w:tabs>
            <w:ind w:right="1472"/>
            <w:rPr>
              <w:rFonts w:asciiTheme="minorHAnsi" w:eastAsiaTheme="minorEastAsia" w:hAnsiTheme="minorHAnsi" w:cstheme="minorBidi"/>
              <w:sz w:val="22"/>
              <w:szCs w:val="22"/>
              <w:lang w:val="en-US" w:eastAsia="en-US"/>
            </w:rPr>
          </w:pPr>
          <w:hyperlink w:anchor="_Toc43897461" w:history="1">
            <w:r>
              <w:rPr>
                <w:rStyle w:val="Hyperlink"/>
              </w:rPr>
              <w:t>4.</w:t>
            </w:r>
            <w:r>
              <w:rPr>
                <w:rFonts w:asciiTheme="minorHAnsi" w:eastAsiaTheme="minorEastAsia" w:hAnsiTheme="minorHAnsi" w:cstheme="minorBidi"/>
                <w:sz w:val="22"/>
                <w:szCs w:val="22"/>
                <w:lang w:val="en-US" w:eastAsia="en-US"/>
              </w:rPr>
              <w:tab/>
            </w:r>
            <w:r>
              <w:rPr>
                <w:rStyle w:val="Hyperlink"/>
              </w:rPr>
              <w:t>DOBLE TRANSICIÓN Y CAMBIO DEMOGRÁFICO</w:t>
            </w:r>
            <w:r>
              <w:rPr>
                <w:webHidden/>
              </w:rPr>
              <w:tab/>
            </w:r>
            <w:r>
              <w:rPr>
                <w:webHidden/>
              </w:rPr>
              <w:fldChar w:fldCharType="begin"/>
            </w:r>
            <w:r>
              <w:rPr>
                <w:webHidden/>
              </w:rPr>
              <w:instrText xml:space="preserve"> PAGEREF _Toc43897461 \h </w:instrText>
            </w:r>
            <w:r>
              <w:rPr>
                <w:webHidden/>
              </w:rPr>
            </w:r>
            <w:r>
              <w:rPr>
                <w:webHidden/>
              </w:rPr>
              <w:fldChar w:fldCharType="separate"/>
            </w:r>
            <w:r>
              <w:rPr>
                <w:webHidden/>
              </w:rPr>
              <w:t>32</w:t>
            </w:r>
            <w:r>
              <w:rPr>
                <w:webHidden/>
              </w:rPr>
              <w:fldChar w:fldCharType="end"/>
            </w:r>
          </w:hyperlink>
        </w:p>
        <w:p w:rsidR="00C80169" w:rsidRDefault="00941F3E" w:rsidP="00941F3E">
          <w:pPr>
            <w:pStyle w:val="TOC2"/>
            <w:tabs>
              <w:tab w:val="left" w:pos="1077"/>
            </w:tabs>
            <w:ind w:right="1472"/>
            <w:rPr>
              <w:rFonts w:asciiTheme="minorHAnsi" w:eastAsiaTheme="minorEastAsia" w:hAnsiTheme="minorHAnsi" w:cstheme="minorBidi"/>
              <w:sz w:val="22"/>
              <w:szCs w:val="22"/>
              <w:lang w:val="en-US" w:eastAsia="en-US"/>
            </w:rPr>
          </w:pPr>
          <w:hyperlink w:anchor="_Toc43897462" w:history="1">
            <w:r>
              <w:rPr>
                <w:rStyle w:val="Hyperlink"/>
              </w:rPr>
              <w:t xml:space="preserve">5. </w:t>
            </w:r>
            <w:r>
              <w:rPr>
                <w:rFonts w:asciiTheme="minorHAnsi" w:eastAsiaTheme="minorEastAsia" w:hAnsiTheme="minorHAnsi" w:cstheme="minorBidi"/>
                <w:sz w:val="22"/>
                <w:szCs w:val="22"/>
                <w:lang w:val="en-US" w:eastAsia="en-US"/>
              </w:rPr>
              <w:tab/>
            </w:r>
            <w:r>
              <w:rPr>
                <w:rStyle w:val="Hyperlink"/>
              </w:rPr>
              <w:t>LA GEOPOLÍTICA DE LA DEMOGRAFÍA: EUROPA EN EL MUNDO</w:t>
            </w:r>
            <w:r>
              <w:rPr>
                <w:webHidden/>
              </w:rPr>
              <w:tab/>
            </w:r>
            <w:r>
              <w:rPr>
                <w:webHidden/>
              </w:rPr>
              <w:fldChar w:fldCharType="begin"/>
            </w:r>
            <w:r>
              <w:rPr>
                <w:webHidden/>
              </w:rPr>
              <w:instrText xml:space="preserve"> PAGEREF _Toc43897462 \h </w:instrText>
            </w:r>
            <w:r>
              <w:rPr>
                <w:webHidden/>
              </w:rPr>
            </w:r>
            <w:r>
              <w:rPr>
                <w:webHidden/>
              </w:rPr>
              <w:fldChar w:fldCharType="separate"/>
            </w:r>
            <w:r>
              <w:rPr>
                <w:webHidden/>
              </w:rPr>
              <w:t>34</w:t>
            </w:r>
            <w:r>
              <w:rPr>
                <w:webHidden/>
              </w:rPr>
              <w:fldChar w:fldCharType="end"/>
            </w:r>
          </w:hyperlink>
        </w:p>
        <w:p w:rsidR="00C80169" w:rsidRDefault="00941F3E" w:rsidP="00941F3E">
          <w:pPr>
            <w:pStyle w:val="TOC2"/>
            <w:ind w:right="1472"/>
            <w:rPr>
              <w:rFonts w:asciiTheme="minorHAnsi" w:eastAsiaTheme="minorEastAsia" w:hAnsiTheme="minorHAnsi" w:cstheme="minorBidi"/>
              <w:sz w:val="22"/>
              <w:szCs w:val="22"/>
              <w:lang w:val="en-US" w:eastAsia="en-US"/>
            </w:rPr>
          </w:pPr>
          <w:hyperlink w:anchor="_Toc43897463" w:history="1">
            <w:r>
              <w:rPr>
                <w:rStyle w:val="Hyperlink"/>
              </w:rPr>
              <w:t>CONCLUSIONES Y PERSPECTIVAS</w:t>
            </w:r>
            <w:r>
              <w:rPr>
                <w:webHidden/>
              </w:rPr>
              <w:tab/>
            </w:r>
            <w:r>
              <w:rPr>
                <w:webHidden/>
              </w:rPr>
              <w:fldChar w:fldCharType="begin"/>
            </w:r>
            <w:r>
              <w:rPr>
                <w:webHidden/>
              </w:rPr>
              <w:instrText xml:space="preserve"> PAGEREF _Toc43897463 \h </w:instrText>
            </w:r>
            <w:r>
              <w:rPr>
                <w:webHidden/>
              </w:rPr>
            </w:r>
            <w:r>
              <w:rPr>
                <w:webHidden/>
              </w:rPr>
              <w:fldChar w:fldCharType="separate"/>
            </w:r>
            <w:r>
              <w:rPr>
                <w:webHidden/>
              </w:rPr>
              <w:t>36</w:t>
            </w:r>
            <w:r>
              <w:rPr>
                <w:webHidden/>
              </w:rPr>
              <w:fldChar w:fldCharType="end"/>
            </w:r>
          </w:hyperlink>
        </w:p>
        <w:p w:rsidR="00C80169" w:rsidRDefault="00941F3E" w:rsidP="00941F3E">
          <w:pPr>
            <w:pStyle w:val="TOC2"/>
            <w:ind w:right="1472"/>
          </w:pPr>
          <w:r>
            <w:rPr>
              <w:b/>
              <w:bCs/>
            </w:rPr>
            <w:fldChar w:fldCharType="end"/>
          </w:r>
        </w:p>
      </w:sdtContent>
    </w:sdt>
    <w:p w:rsidR="00C80169" w:rsidRDefault="00941F3E">
      <w:pPr>
        <w:rPr>
          <w:rFonts w:ascii="Times New Roman" w:eastAsia="Times New Roman" w:hAnsi="Times New Roman" w:cs="Times New Roman"/>
          <w:b/>
          <w:smallCaps/>
          <w:noProof/>
          <w:color w:val="0070C0"/>
          <w:sz w:val="28"/>
          <w:szCs w:val="28"/>
        </w:rPr>
      </w:pPr>
      <w:r>
        <w:rPr>
          <w:noProof/>
        </w:rPr>
        <w:br w:type="page"/>
      </w:r>
    </w:p>
    <w:p w:rsidR="00C80169" w:rsidRDefault="00941F3E">
      <w:pPr>
        <w:pStyle w:val="Heading1"/>
        <w:rPr>
          <w:noProof/>
          <w:color w:val="000000" w:themeColor="text1"/>
          <w:szCs w:val="24"/>
        </w:rPr>
      </w:pPr>
      <w:bookmarkStart w:id="4" w:name="_Toc43897445"/>
      <w:r>
        <w:rPr>
          <w:noProof/>
          <w:color w:val="000000" w:themeColor="text1"/>
          <w:szCs w:val="24"/>
        </w:rPr>
        <w:lastRenderedPageBreak/>
        <w:t>INTRODUCCIÓN</w:t>
      </w:r>
      <w:bookmarkEnd w:id="4"/>
      <w:bookmarkEnd w:id="2"/>
      <w:bookmarkEnd w:id="1"/>
    </w:p>
    <w:p w:rsidR="00C80169" w:rsidRDefault="00941F3E">
      <w:pPr>
        <w:jc w:val="both"/>
        <w:rPr>
          <w:rFonts w:ascii="Times New Roman" w:hAnsi="Times New Roman" w:cs="Times New Roman"/>
          <w:noProof/>
          <w:sz w:val="24"/>
          <w:szCs w:val="24"/>
        </w:rPr>
      </w:pPr>
      <w:r>
        <w:rPr>
          <w:rFonts w:ascii="Times New Roman" w:hAnsi="Times New Roman"/>
          <w:noProof/>
          <w:sz w:val="24"/>
        </w:rPr>
        <w:t>La pandemia de COVID-19 ha transformado Europa y el mundo en un abrir y cerrar de ojos.</w:t>
      </w:r>
      <w:r>
        <w:rPr>
          <w:rFonts w:ascii="Times New Roman" w:hAnsi="Times New Roman"/>
          <w:noProof/>
          <w:sz w:val="24"/>
          <w:szCs w:val="24"/>
        </w:rPr>
        <w:t xml:space="preserve"> Ha puesto a prueba nuestros sistemas sanitarios y de </w:t>
      </w:r>
      <w:r>
        <w:rPr>
          <w:rFonts w:ascii="Times New Roman" w:hAnsi="Times New Roman"/>
          <w:noProof/>
          <w:sz w:val="24"/>
          <w:szCs w:val="24"/>
        </w:rPr>
        <w:t xml:space="preserve">protección social, así como nuestra resiliencia económica y social. Tendrá repercusiones duraderas en la manera en que vivimos y trabajamos juntos, que persistirán incluso cuando el virus haya desaparecido. </w:t>
      </w:r>
      <w:r>
        <w:rPr>
          <w:rFonts w:ascii="Times New Roman" w:hAnsi="Times New Roman"/>
          <w:noProof/>
          <w:sz w:val="24"/>
        </w:rPr>
        <w:t>Y la pandemia nos ha golpeado en un momento en el</w:t>
      </w:r>
      <w:r>
        <w:rPr>
          <w:rFonts w:ascii="Times New Roman" w:hAnsi="Times New Roman"/>
          <w:noProof/>
          <w:sz w:val="24"/>
        </w:rPr>
        <w:t xml:space="preserve"> que Europa ya estaba inmersa en un profundo proceso de transformación a través de cambios climáticos, sociales y demográficos.</w:t>
      </w:r>
    </w:p>
    <w:p w:rsidR="00C80169" w:rsidRDefault="00941F3E">
      <w:pPr>
        <w:jc w:val="both"/>
        <w:rPr>
          <w:rFonts w:ascii="Times New Roman" w:hAnsi="Times New Roman" w:cs="Times New Roman"/>
          <w:noProof/>
          <w:sz w:val="24"/>
          <w:szCs w:val="24"/>
        </w:rPr>
      </w:pPr>
      <w:r>
        <w:rPr>
          <w:rFonts w:ascii="Times New Roman" w:hAnsi="Times New Roman"/>
          <w:b/>
          <w:noProof/>
          <w:sz w:val="24"/>
          <w:szCs w:val="24"/>
        </w:rPr>
        <w:t>El cambio demográfico</w:t>
      </w:r>
      <w:r>
        <w:rPr>
          <w:rFonts w:ascii="Times New Roman" w:hAnsi="Times New Roman"/>
          <w:b/>
          <w:noProof/>
          <w:sz w:val="24"/>
        </w:rPr>
        <w:t xml:space="preserve"> concierne a las personas y a sus vidas</w:t>
      </w:r>
      <w:r>
        <w:rPr>
          <w:rFonts w:ascii="Times New Roman" w:hAnsi="Times New Roman"/>
          <w:noProof/>
          <w:sz w:val="24"/>
          <w:szCs w:val="24"/>
        </w:rPr>
        <w:t>. Concierne a lo que hacemos, a cómo trabajamos y a lo que denominam</w:t>
      </w:r>
      <w:r>
        <w:rPr>
          <w:rFonts w:ascii="Times New Roman" w:hAnsi="Times New Roman"/>
          <w:noProof/>
          <w:sz w:val="24"/>
          <w:szCs w:val="24"/>
        </w:rPr>
        <w:t>os nuestro hogar. Concierne a nuestras comunidades y a la forma en que vivimos juntos. Concierne al hecho de aunar la variedad de personas y de entornos que enriquecen y configuran nuestras sociedades, nos hacen más fuertes y convierten en realidad el lema</w:t>
      </w:r>
      <w:r>
        <w:rPr>
          <w:rFonts w:ascii="Times New Roman" w:hAnsi="Times New Roman"/>
          <w:noProof/>
          <w:sz w:val="24"/>
          <w:szCs w:val="24"/>
        </w:rPr>
        <w:t xml:space="preserve"> de la UE </w:t>
      </w:r>
      <w:r>
        <w:rPr>
          <w:rFonts w:ascii="Times New Roman" w:hAnsi="Times New Roman"/>
          <w:i/>
          <w:iCs/>
          <w:noProof/>
          <w:sz w:val="24"/>
          <w:szCs w:val="24"/>
        </w:rPr>
        <w:t>Unida en la diversidad</w:t>
      </w:r>
      <w:r>
        <w:rPr>
          <w:rFonts w:ascii="Times New Roman" w:hAnsi="Times New Roman"/>
          <w:noProof/>
          <w:sz w:val="24"/>
          <w:szCs w:val="24"/>
        </w:rPr>
        <w:t>. Esto es más necesario que nunca. A medida que vamos saliendo despacio y con prudencia del confinamiento impuesto en toda Europa, la situación ha puesto de relieve la importancia de comprender y abordar los efectos del camb</w:t>
      </w:r>
      <w:r>
        <w:rPr>
          <w:rFonts w:ascii="Times New Roman" w:hAnsi="Times New Roman"/>
          <w:noProof/>
          <w:sz w:val="24"/>
          <w:szCs w:val="24"/>
        </w:rPr>
        <w:t xml:space="preserve">io demográfico en nuestra sociedad. Esta labor tendrá que tenerse en cuenta a la hora de emprender la recuperación de Europa y de extraer las lecciones pertinentes, ya sea, entre otros muchos aspectos, en la dimensión social y económica o en la salud y en </w:t>
      </w:r>
      <w:r>
        <w:rPr>
          <w:rFonts w:ascii="Times New Roman" w:hAnsi="Times New Roman"/>
          <w:noProof/>
          <w:sz w:val="24"/>
          <w:szCs w:val="24"/>
        </w:rPr>
        <w:t>los cuidados de larga duración.</w:t>
      </w:r>
    </w:p>
    <w:p w:rsidR="00C80169" w:rsidRDefault="00941F3E">
      <w:pPr>
        <w:jc w:val="both"/>
        <w:rPr>
          <w:rFonts w:ascii="Times New Roman" w:hAnsi="Times New Roman" w:cs="Times New Roman"/>
          <w:noProof/>
          <w:sz w:val="24"/>
          <w:szCs w:val="24"/>
        </w:rPr>
      </w:pPr>
      <w:r>
        <w:rPr>
          <w:rFonts w:ascii="Times New Roman" w:hAnsi="Times New Roman"/>
          <w:noProof/>
          <w:sz w:val="24"/>
          <w:szCs w:val="24"/>
        </w:rPr>
        <w:t xml:space="preserve">En las últimas semanas y meses, el vínculo entre estructuras demográficas, por un lado, y efectos de la crisis y potencial de recuperación, por otro, ha quedado patente de manera muy acusada y a menudo dolorosa. Hemos visto </w:t>
      </w:r>
      <w:r>
        <w:rPr>
          <w:rFonts w:ascii="Times New Roman" w:hAnsi="Times New Roman"/>
          <w:noProof/>
          <w:sz w:val="24"/>
          <w:szCs w:val="24"/>
        </w:rPr>
        <w:t>que la generación de nuestros mayores es la que más ha sufrido, que las personas de edad avanzada han sido las más vulnerables en esta crisis. No solo tienen un mayor riesgo de padecer complicaciones si contraen la enfermedad, sino que además se encuentran</w:t>
      </w:r>
      <w:r>
        <w:rPr>
          <w:rFonts w:ascii="Times New Roman" w:hAnsi="Times New Roman"/>
          <w:noProof/>
          <w:sz w:val="24"/>
          <w:szCs w:val="24"/>
        </w:rPr>
        <w:t xml:space="preserve"> entre los que más solos y más aislados han estado por las medidas de distanciamiento social y de confinamiento adoptadas en toda Europa con el objetivo de salvar vidas. </w:t>
      </w:r>
      <w:r>
        <w:rPr>
          <w:rFonts w:ascii="Times New Roman" w:hAnsi="Times New Roman"/>
          <w:b/>
          <w:noProof/>
          <w:sz w:val="24"/>
          <w:szCs w:val="24"/>
        </w:rPr>
        <w:t>La necesidad de solidaridad entre generaciones es uno de los elementos esenciales de l</w:t>
      </w:r>
      <w:r>
        <w:rPr>
          <w:rFonts w:ascii="Times New Roman" w:hAnsi="Times New Roman"/>
          <w:b/>
          <w:noProof/>
          <w:sz w:val="24"/>
          <w:szCs w:val="24"/>
        </w:rPr>
        <w:t>a recuperación de Europa</w:t>
      </w:r>
      <w:r>
        <w:rPr>
          <w:rStyle w:val="FootnoteReference"/>
          <w:rFonts w:ascii="Times New Roman" w:hAnsi="Times New Roman"/>
          <w:b/>
          <w:noProof/>
          <w:sz w:val="24"/>
          <w:szCs w:val="24"/>
        </w:rPr>
        <w:footnoteReference w:id="2"/>
      </w:r>
      <w:r>
        <w:rPr>
          <w:noProof/>
        </w:rPr>
        <w:t>.</w:t>
      </w:r>
      <w:r>
        <w:rPr>
          <w:rFonts w:ascii="Times New Roman" w:hAnsi="Times New Roman"/>
          <w:noProof/>
          <w:sz w:val="24"/>
          <w:szCs w:val="24"/>
        </w:rPr>
        <w:t xml:space="preserve"> </w:t>
      </w:r>
    </w:p>
    <w:p w:rsidR="00C80169" w:rsidRDefault="00941F3E">
      <w:pPr>
        <w:jc w:val="both"/>
        <w:rPr>
          <w:rFonts w:ascii="Times New Roman" w:hAnsi="Times New Roman" w:cs="Times New Roman"/>
          <w:noProof/>
          <w:sz w:val="24"/>
          <w:szCs w:val="24"/>
        </w:rPr>
      </w:pPr>
      <w:r>
        <w:rPr>
          <w:rFonts w:ascii="Times New Roman" w:hAnsi="Times New Roman"/>
          <w:noProof/>
          <w:sz w:val="24"/>
          <w:szCs w:val="24"/>
        </w:rPr>
        <w:t xml:space="preserve">La gestión de los efectos del cambio demográfico a largo plazo tiene múltiples facetas: cómo gestionamos nuestra sanidad pública, nuestros presupuestos públicos o nuestra vida pública, pero también cómo abordamos problemas como </w:t>
      </w:r>
      <w:r>
        <w:rPr>
          <w:rFonts w:ascii="Times New Roman" w:hAnsi="Times New Roman"/>
          <w:noProof/>
          <w:sz w:val="24"/>
          <w:szCs w:val="24"/>
        </w:rPr>
        <w:t>la soledad, los cuidados en la comunidad y el acceso a servicios vitales. Hacer frente a estos problemas será importante para el éxito de la recuperación y determinará la velocidad y el alcance de la reconstrucción de nuestra vida cotidiana, nuestras redes</w:t>
      </w:r>
      <w:r>
        <w:rPr>
          <w:rFonts w:ascii="Times New Roman" w:hAnsi="Times New Roman"/>
          <w:noProof/>
          <w:sz w:val="24"/>
          <w:szCs w:val="24"/>
        </w:rPr>
        <w:t xml:space="preserve"> sociales y nuestra economía. A más largo plazo, se presenta ante Europa la oportunidad de </w:t>
      </w:r>
      <w:r>
        <w:rPr>
          <w:rFonts w:ascii="Times New Roman" w:hAnsi="Times New Roman"/>
          <w:b/>
          <w:noProof/>
          <w:sz w:val="24"/>
          <w:szCs w:val="24"/>
        </w:rPr>
        <w:t>construir una sociedad más justa y más resiliente</w:t>
      </w:r>
      <w:r>
        <w:rPr>
          <w:rFonts w:ascii="Times New Roman" w:hAnsi="Times New Roman"/>
          <w:noProof/>
          <w:sz w:val="24"/>
          <w:szCs w:val="24"/>
        </w:rPr>
        <w:t>.</w:t>
      </w:r>
    </w:p>
    <w:p w:rsidR="00C80169" w:rsidRDefault="00941F3E">
      <w:pPr>
        <w:jc w:val="both"/>
        <w:rPr>
          <w:rFonts w:ascii="Times New Roman" w:hAnsi="Times New Roman" w:cs="Times New Roman"/>
          <w:noProof/>
          <w:sz w:val="24"/>
          <w:szCs w:val="24"/>
        </w:rPr>
      </w:pPr>
      <w:r>
        <w:rPr>
          <w:rFonts w:ascii="Times New Roman" w:hAnsi="Times New Roman"/>
          <w:noProof/>
          <w:sz w:val="24"/>
          <w:szCs w:val="24"/>
        </w:rPr>
        <w:t xml:space="preserve">No podemos subestimar los daños provocados por la crisis ni la necesidad de afrontar todo tipo de pérdidas. </w:t>
      </w:r>
      <w:r>
        <w:rPr>
          <w:rFonts w:ascii="Times New Roman" w:hAnsi="Times New Roman"/>
          <w:noProof/>
          <w:sz w:val="24"/>
        </w:rPr>
        <w:t xml:space="preserve">Puede </w:t>
      </w:r>
      <w:r>
        <w:rPr>
          <w:rFonts w:ascii="Times New Roman" w:hAnsi="Times New Roman"/>
          <w:noProof/>
          <w:sz w:val="24"/>
        </w:rPr>
        <w:t xml:space="preserve">parecer contradictorio, en este contexto, afirmar que los </w:t>
      </w:r>
      <w:r>
        <w:rPr>
          <w:rFonts w:ascii="Times New Roman" w:hAnsi="Times New Roman"/>
          <w:b/>
          <w:noProof/>
          <w:sz w:val="24"/>
        </w:rPr>
        <w:t>europeos, por lo general, viven más tiempo y con más salud y seguridad</w:t>
      </w:r>
      <w:r>
        <w:rPr>
          <w:rFonts w:ascii="Times New Roman" w:hAnsi="Times New Roman"/>
          <w:noProof/>
          <w:sz w:val="24"/>
        </w:rPr>
        <w:t>.</w:t>
      </w:r>
      <w:r>
        <w:rPr>
          <w:rFonts w:ascii="Times New Roman" w:hAnsi="Times New Roman"/>
          <w:noProof/>
          <w:sz w:val="24"/>
          <w:szCs w:val="24"/>
        </w:rPr>
        <w:t xml:space="preserve"> No obstante, a largo plazo esta sigue siendo la realidad y debemos estar orgullosos de los grandes esfuerzos realizados en las</w:t>
      </w:r>
      <w:r>
        <w:rPr>
          <w:rFonts w:ascii="Times New Roman" w:hAnsi="Times New Roman"/>
          <w:noProof/>
          <w:sz w:val="24"/>
          <w:szCs w:val="24"/>
        </w:rPr>
        <w:t xml:space="preserve"> últimas décadas para conseguirlo. Los sistemas sanitarios y de protección social de Europa son los más avanzados del mundo. Junto con la capacidad y el sacrificio de tantos trabajadores de primera línea, han contribuido a salvar innumerables vidas desde e</w:t>
      </w:r>
      <w:r>
        <w:rPr>
          <w:rFonts w:ascii="Times New Roman" w:hAnsi="Times New Roman"/>
          <w:noProof/>
          <w:sz w:val="24"/>
          <w:szCs w:val="24"/>
        </w:rPr>
        <w:t xml:space="preserve">l principio de la crisis. Sin embargo, la presión a la que han estado sometidos, especialmente en las zonas con una población de más edad, ha puesto de manifiesto que debemos prestarles más apoyo. </w:t>
      </w:r>
    </w:p>
    <w:p w:rsidR="00C80169" w:rsidRDefault="00941F3E">
      <w:pPr>
        <w:jc w:val="both"/>
        <w:rPr>
          <w:rFonts w:ascii="Times New Roman" w:hAnsi="Times New Roman" w:cs="Times New Roman"/>
          <w:noProof/>
          <w:sz w:val="24"/>
          <w:szCs w:val="24"/>
        </w:rPr>
      </w:pPr>
      <w:r>
        <w:rPr>
          <w:rFonts w:ascii="Times New Roman" w:hAnsi="Times New Roman"/>
          <w:noProof/>
          <w:sz w:val="24"/>
          <w:szCs w:val="24"/>
        </w:rPr>
        <w:t>Gracias a este progreso, nuestra calidad de vida sigue sie</w:t>
      </w:r>
      <w:r>
        <w:rPr>
          <w:rFonts w:ascii="Times New Roman" w:hAnsi="Times New Roman"/>
          <w:noProof/>
          <w:sz w:val="24"/>
          <w:szCs w:val="24"/>
        </w:rPr>
        <w:t>ndo única y nuestras sociedades figuran entre las más igualitarias del mundo, aunque persistan desigualdades. Nos estamos convirtiendo en una población envejecida y, por lo general, tendemos a vivir en hogares más pequeños. Cada vez nos desplazamos más, tr</w:t>
      </w:r>
      <w:r>
        <w:rPr>
          <w:rFonts w:ascii="Times New Roman" w:hAnsi="Times New Roman"/>
          <w:noProof/>
          <w:sz w:val="24"/>
          <w:szCs w:val="24"/>
        </w:rPr>
        <w:t>abajamos durante más tiempo, aprendemos más y cambiamos más a menudo de trabajo. Todas esas tendencias tienen repercusiones significativas en nuestra sociedad, y algunas de ellas —ya sea el envejecimiento de la población, la composición de los hogares o la</w:t>
      </w:r>
      <w:r>
        <w:rPr>
          <w:rFonts w:ascii="Times New Roman" w:hAnsi="Times New Roman"/>
          <w:noProof/>
          <w:sz w:val="24"/>
          <w:szCs w:val="24"/>
        </w:rPr>
        <w:t xml:space="preserve"> densidad de población— han podido contribuir a la manera en que el virus se ha instalado y se ha propagado en algunos países. </w:t>
      </w:r>
    </w:p>
    <w:p w:rsidR="00C80169" w:rsidRDefault="00941F3E">
      <w:pPr>
        <w:jc w:val="both"/>
        <w:rPr>
          <w:rFonts w:ascii="Times New Roman" w:hAnsi="Times New Roman" w:cs="Times New Roman"/>
          <w:noProof/>
          <w:sz w:val="24"/>
          <w:szCs w:val="24"/>
        </w:rPr>
      </w:pPr>
      <w:r>
        <w:rPr>
          <w:rFonts w:ascii="Times New Roman" w:hAnsi="Times New Roman"/>
          <w:noProof/>
          <w:sz w:val="24"/>
          <w:szCs w:val="24"/>
        </w:rPr>
        <w:t>Estas cuestiones a menudo obtienen mejor respuesta a nivel local y regional, puesto que el cambio demográfico a menudo varía con</w:t>
      </w:r>
      <w:r>
        <w:rPr>
          <w:rFonts w:ascii="Times New Roman" w:hAnsi="Times New Roman"/>
          <w:noProof/>
          <w:sz w:val="24"/>
          <w:szCs w:val="24"/>
        </w:rPr>
        <w:t>siderablemente de una zona a otra dentro de un mismo país.</w:t>
      </w:r>
      <w:r>
        <w:rPr>
          <w:rFonts w:ascii="Times New Roman" w:hAnsi="Times New Roman"/>
          <w:b/>
          <w:noProof/>
          <w:sz w:val="24"/>
          <w:szCs w:val="24"/>
        </w:rPr>
        <w:t xml:space="preserve"> </w:t>
      </w:r>
      <w:r>
        <w:rPr>
          <w:rFonts w:ascii="Times New Roman" w:hAnsi="Times New Roman"/>
          <w:noProof/>
          <w:sz w:val="24"/>
          <w:szCs w:val="24"/>
        </w:rPr>
        <w:t>Algunas regiones se enfrentan al doble desafío de una renta baja y un rápido descenso de la población. Con 31 millones de personas viviendo en estas regiones, casi siempre rurales, las dificultades</w:t>
      </w:r>
      <w:r>
        <w:rPr>
          <w:rFonts w:ascii="Times New Roman" w:hAnsi="Times New Roman"/>
          <w:noProof/>
          <w:sz w:val="24"/>
          <w:szCs w:val="24"/>
        </w:rPr>
        <w:t xml:space="preserve"> son enormes. </w:t>
      </w:r>
      <w:r>
        <w:rPr>
          <w:rFonts w:ascii="Times New Roman" w:hAnsi="Times New Roman"/>
          <w:b/>
          <w:noProof/>
          <w:sz w:val="24"/>
          <w:szCs w:val="24"/>
        </w:rPr>
        <w:t xml:space="preserve">Europa se esforzará por mejorar las condiciones de vida y reducir las disparidades. </w:t>
      </w:r>
      <w:r>
        <w:rPr>
          <w:rFonts w:ascii="Times New Roman" w:hAnsi="Times New Roman"/>
          <w:noProof/>
          <w:sz w:val="24"/>
          <w:szCs w:val="24"/>
        </w:rPr>
        <w:t>Se trata de garantizar que se cubran las necesidades de los ciudadanos y que allí donde estos vivan existan perspectivas y oportunidades de empleo. Se trata d</w:t>
      </w:r>
      <w:r>
        <w:rPr>
          <w:rFonts w:ascii="Times New Roman" w:hAnsi="Times New Roman"/>
          <w:noProof/>
          <w:sz w:val="24"/>
          <w:szCs w:val="24"/>
        </w:rPr>
        <w:t>el acceso a asistencia sanitaria, a la atención a la infancia y la educación, así como a otros servicios locales vitales como oficinas de correos, bibliotecas o medios de transporte.</w:t>
      </w:r>
    </w:p>
    <w:p w:rsidR="00C80169" w:rsidRDefault="00941F3E">
      <w:pPr>
        <w:jc w:val="both"/>
        <w:rPr>
          <w:rFonts w:ascii="Times New Roman" w:hAnsi="Times New Roman" w:cs="Times New Roman"/>
          <w:noProof/>
          <w:sz w:val="24"/>
          <w:szCs w:val="24"/>
        </w:rPr>
      </w:pPr>
      <w:r>
        <w:rPr>
          <w:rFonts w:ascii="Times New Roman" w:hAnsi="Times New Roman"/>
          <w:noProof/>
          <w:sz w:val="24"/>
          <w:szCs w:val="24"/>
        </w:rPr>
        <w:t>Si bien los cambios demográficos no son nuevos, la diferencia en nuestras</w:t>
      </w:r>
      <w:r>
        <w:rPr>
          <w:rFonts w:ascii="Times New Roman" w:hAnsi="Times New Roman"/>
          <w:noProof/>
          <w:sz w:val="24"/>
          <w:szCs w:val="24"/>
        </w:rPr>
        <w:t xml:space="preserve"> vidas se está dejando sentir de manera más aguda. Abordar este cambio será aún más importante cuando Europa inicie su camino hacia la recuperación. Mantener el centro de atención en la doble transición ecológica y digital contribuirá a aportar muchas de l</w:t>
      </w:r>
      <w:r>
        <w:rPr>
          <w:rFonts w:ascii="Times New Roman" w:hAnsi="Times New Roman"/>
          <w:noProof/>
          <w:sz w:val="24"/>
          <w:szCs w:val="24"/>
        </w:rPr>
        <w:t>as soluciones innovadoras y sostenibles que necesitamos para hacer frente a los efectos del cambio demográfico.</w:t>
      </w:r>
    </w:p>
    <w:p w:rsidR="00C80169" w:rsidRDefault="00941F3E">
      <w:pPr>
        <w:jc w:val="both"/>
        <w:rPr>
          <w:rFonts w:ascii="Times New Roman" w:hAnsi="Times New Roman" w:cs="Times New Roman"/>
          <w:noProof/>
          <w:sz w:val="24"/>
          <w:szCs w:val="24"/>
        </w:rPr>
      </w:pPr>
      <w:r>
        <w:rPr>
          <w:rFonts w:ascii="Times New Roman" w:hAnsi="Times New Roman"/>
          <w:b/>
          <w:noProof/>
          <w:sz w:val="24"/>
          <w:szCs w:val="24"/>
        </w:rPr>
        <w:t xml:space="preserve">El cambio demográfico también afecta al lugar de Europa en el mundo. </w:t>
      </w:r>
      <w:r>
        <w:rPr>
          <w:rFonts w:ascii="Times New Roman" w:hAnsi="Times New Roman"/>
          <w:noProof/>
          <w:sz w:val="24"/>
          <w:szCs w:val="24"/>
        </w:rPr>
        <w:t>A medida que la proporción de la población europea en el mundo sigue dismin</w:t>
      </w:r>
      <w:r>
        <w:rPr>
          <w:rFonts w:ascii="Times New Roman" w:hAnsi="Times New Roman"/>
          <w:noProof/>
          <w:sz w:val="24"/>
          <w:szCs w:val="24"/>
        </w:rPr>
        <w:t xml:space="preserve">uyendo, más acuciante es la necesidad de que Europa hable y actúe con una sola voz, aprovechando todos sus puntos fuertes y su diversidad. Deben tenerse también en cuenta los grandes cambios demográficos en nuestra vecindad y en todo el mundo, que tendrán </w:t>
      </w:r>
      <w:r>
        <w:rPr>
          <w:rFonts w:ascii="Times New Roman" w:hAnsi="Times New Roman"/>
          <w:noProof/>
          <w:sz w:val="24"/>
          <w:szCs w:val="24"/>
        </w:rPr>
        <w:t>repercusiones directas en la propia Europa.</w:t>
      </w:r>
    </w:p>
    <w:p w:rsidR="00C80169" w:rsidRDefault="00941F3E">
      <w:pPr>
        <w:jc w:val="both"/>
        <w:rPr>
          <w:rFonts w:ascii="Times New Roman" w:hAnsi="Times New Roman" w:cs="Times New Roman"/>
          <w:noProof/>
          <w:sz w:val="24"/>
          <w:szCs w:val="24"/>
        </w:rPr>
      </w:pPr>
      <w:r>
        <w:rPr>
          <w:rFonts w:ascii="Times New Roman" w:hAnsi="Times New Roman"/>
          <w:b/>
          <w:noProof/>
          <w:sz w:val="24"/>
          <w:szCs w:val="24"/>
        </w:rPr>
        <w:t>El presente informe explica los factores que impulsan el cambio demográfico y sus repercusiones en toda Europa</w:t>
      </w:r>
      <w:r>
        <w:rPr>
          <w:rStyle w:val="FootnoteReference"/>
          <w:rFonts w:ascii="Times New Roman" w:hAnsi="Times New Roman" w:cs="Times New Roman"/>
          <w:b/>
          <w:noProof/>
          <w:sz w:val="24"/>
          <w:szCs w:val="24"/>
        </w:rPr>
        <w:footnoteReference w:id="3"/>
      </w:r>
      <w:r>
        <w:rPr>
          <w:rFonts w:ascii="Times New Roman" w:hAnsi="Times New Roman"/>
          <w:b/>
          <w:noProof/>
          <w:sz w:val="24"/>
          <w:szCs w:val="24"/>
        </w:rPr>
        <w:t xml:space="preserve">. </w:t>
      </w:r>
      <w:r>
        <w:rPr>
          <w:rFonts w:ascii="Times New Roman" w:hAnsi="Times New Roman"/>
          <w:noProof/>
          <w:sz w:val="24"/>
          <w:szCs w:val="24"/>
        </w:rPr>
        <w:t>El informe contribuirá a determinar la mejor manera de apoyar a las personas, las regiones y las co</w:t>
      </w:r>
      <w:r>
        <w:rPr>
          <w:rFonts w:ascii="Times New Roman" w:hAnsi="Times New Roman"/>
          <w:noProof/>
          <w:sz w:val="24"/>
          <w:szCs w:val="24"/>
        </w:rPr>
        <w:t>munidades más afectadas para que se adapten a una realidad que se ha visto transformada por la crisis, la recuperación, etc. El objetivo de la labor de la Comisión en este terreno es mejorar nuestros conocimientos y previsiones para asegurar que podemos ap</w:t>
      </w:r>
      <w:r>
        <w:rPr>
          <w:rFonts w:ascii="Times New Roman" w:hAnsi="Times New Roman"/>
          <w:noProof/>
          <w:sz w:val="24"/>
          <w:szCs w:val="24"/>
        </w:rPr>
        <w:t>oyar a quienes lo necesitan, tanto hoy como en el futuro. No se trata necesariamente de revertir o ralentizar ninguna tendencia; se trata de equiparnos con las herramientas adecuadas para aportar soluciones nuevas y respaldar a los ciudadanos en el proceso</w:t>
      </w:r>
      <w:r>
        <w:rPr>
          <w:rFonts w:ascii="Times New Roman" w:hAnsi="Times New Roman"/>
          <w:noProof/>
          <w:sz w:val="24"/>
          <w:szCs w:val="24"/>
        </w:rPr>
        <w:t xml:space="preserve"> de cambio.</w:t>
      </w:r>
    </w:p>
    <w:p w:rsidR="00C80169" w:rsidRDefault="00941F3E">
      <w:pPr>
        <w:jc w:val="both"/>
        <w:rPr>
          <w:rFonts w:ascii="Times New Roman" w:hAnsi="Times New Roman" w:cs="Times New Roman"/>
          <w:noProof/>
          <w:sz w:val="24"/>
          <w:szCs w:val="24"/>
        </w:rPr>
      </w:pPr>
      <w:r>
        <w:rPr>
          <w:rFonts w:ascii="Times New Roman" w:hAnsi="Times New Roman"/>
          <w:noProof/>
          <w:sz w:val="24"/>
          <w:szCs w:val="24"/>
        </w:rPr>
        <w:t xml:space="preserve">En última instancia, la labor consiste en </w:t>
      </w:r>
      <w:r>
        <w:rPr>
          <w:rFonts w:ascii="Times New Roman" w:hAnsi="Times New Roman"/>
          <w:b/>
          <w:noProof/>
          <w:sz w:val="24"/>
          <w:szCs w:val="24"/>
        </w:rPr>
        <w:t>garantizar que ninguna región ni persona se queden atrás</w:t>
      </w:r>
      <w:r>
        <w:rPr>
          <w:rFonts w:ascii="Times New Roman" w:hAnsi="Times New Roman"/>
          <w:noProof/>
          <w:sz w:val="24"/>
          <w:szCs w:val="24"/>
        </w:rPr>
        <w:t>, un sentimiento que puede llevar a la pérdida de fe en nuestra democracia. Es por ello que la Comisión tiene por vez primera una vicepresidenta d</w:t>
      </w:r>
      <w:r>
        <w:rPr>
          <w:rFonts w:ascii="Times New Roman" w:hAnsi="Times New Roman"/>
          <w:noProof/>
          <w:sz w:val="24"/>
          <w:szCs w:val="24"/>
        </w:rPr>
        <w:t xml:space="preserve">e Democracia y Demografía y que este tema figurará también en la Conferencia sobre el Futuro de Europa, a través de la cual los ciudadanos desempeñarán un papel predominante en la construcción de una Unión más resiliente, sostenible y justa. Aunque muchas </w:t>
      </w:r>
      <w:r>
        <w:rPr>
          <w:rFonts w:ascii="Times New Roman" w:hAnsi="Times New Roman"/>
          <w:noProof/>
          <w:sz w:val="24"/>
          <w:szCs w:val="24"/>
        </w:rPr>
        <w:t>de las competencias en estos ámbitos están en manos de los Estados miembros, la Comisión está dispuesta a liderar el camino definiendo las cuestiones que deban abordarse y respaldando la acción nacional, regional y local.</w:t>
      </w:r>
    </w:p>
    <w:p w:rsidR="00C80169" w:rsidRDefault="00941F3E">
      <w:pPr>
        <w:pStyle w:val="Heading1"/>
        <w:rPr>
          <w:noProof/>
          <w:color w:val="0070C0"/>
          <w:szCs w:val="24"/>
        </w:rPr>
      </w:pPr>
      <w:bookmarkStart w:id="5" w:name="_Toc32414435"/>
      <w:bookmarkStart w:id="6" w:name="_Toc32444146"/>
      <w:bookmarkStart w:id="7" w:name="_Toc33800394"/>
      <w:bookmarkStart w:id="8" w:name="_Toc43897446"/>
      <w:r>
        <w:rPr>
          <w:noProof/>
          <w:color w:val="000000" w:themeColor="text1"/>
          <w:szCs w:val="24"/>
        </w:rPr>
        <w:t>LOS FACTORES QUE IMPULSAN EL CAMBI</w:t>
      </w:r>
      <w:r>
        <w:rPr>
          <w:noProof/>
          <w:color w:val="000000" w:themeColor="text1"/>
          <w:szCs w:val="24"/>
        </w:rPr>
        <w:t>O DEMOGRÁFICO EN EUROPA</w:t>
      </w:r>
      <w:bookmarkEnd w:id="5"/>
      <w:bookmarkEnd w:id="6"/>
      <w:bookmarkEnd w:id="7"/>
      <w:r>
        <w:rPr>
          <w:rStyle w:val="FootnoteReference"/>
          <w:noProof/>
          <w:color w:val="000000" w:themeColor="text1"/>
          <w:szCs w:val="24"/>
        </w:rPr>
        <w:footnoteReference w:id="4"/>
      </w:r>
      <w:bookmarkEnd w:id="8"/>
    </w:p>
    <w:p w:rsidR="00C80169" w:rsidRDefault="00941F3E">
      <w:pPr>
        <w:keepLines/>
        <w:shd w:val="clear" w:color="auto" w:fill="FFFFFF"/>
        <w:jc w:val="both"/>
        <w:rPr>
          <w:rFonts w:ascii="Times New Roman" w:hAnsi="Times New Roman" w:cs="Times New Roman"/>
          <w:noProof/>
          <w:sz w:val="24"/>
          <w:szCs w:val="24"/>
        </w:rPr>
      </w:pPr>
      <w:r>
        <w:rPr>
          <w:rFonts w:ascii="Times New Roman" w:hAnsi="Times New Roman"/>
          <w:noProof/>
          <w:sz w:val="24"/>
          <w:szCs w:val="24"/>
        </w:rPr>
        <w:t xml:space="preserve">Como europeos vivimos más años que nunca y cada año somos una población más envejecida. Cada vez más europeos eligen vivir, trabajar o estudiar en otro país de la UE, y la migración desde y hacia Europa sigue fluctuando. Cada vez </w:t>
      </w:r>
      <w:r>
        <w:rPr>
          <w:rFonts w:ascii="Times New Roman" w:hAnsi="Times New Roman"/>
          <w:noProof/>
          <w:sz w:val="24"/>
          <w:szCs w:val="24"/>
        </w:rPr>
        <w:t>somos más quienes vivimos en hogares más pequeños y tenemos menos hijos que antes. Los factores que impulsan el cambio demográfico no son uniformes en Europa y a menudo varían de forma considerable de una región a otra dentro de un mismo país</w:t>
      </w:r>
      <w:r>
        <w:rPr>
          <w:rStyle w:val="FootnoteReference"/>
          <w:rFonts w:ascii="Times New Roman" w:hAnsi="Times New Roman" w:cs="Times New Roman"/>
          <w:noProof/>
          <w:sz w:val="24"/>
          <w:szCs w:val="24"/>
        </w:rPr>
        <w:footnoteReference w:id="5"/>
      </w:r>
      <w:r>
        <w:rPr>
          <w:rFonts w:ascii="Times New Roman" w:hAnsi="Times New Roman"/>
          <w:noProof/>
          <w:sz w:val="24"/>
          <w:szCs w:val="24"/>
        </w:rPr>
        <w:t xml:space="preserve">. </w:t>
      </w:r>
    </w:p>
    <w:p w:rsidR="00C80169" w:rsidRDefault="00941F3E">
      <w:pPr>
        <w:pStyle w:val="Heading2"/>
        <w:keepNext/>
        <w:rPr>
          <w:noProof/>
        </w:rPr>
      </w:pPr>
      <w:bookmarkStart w:id="9" w:name="_Toc32444147"/>
      <w:bookmarkStart w:id="10" w:name="_Toc33800395"/>
      <w:bookmarkStart w:id="11" w:name="_Toc43897447"/>
      <w:r>
        <w:rPr>
          <w:noProof/>
        </w:rPr>
        <w:t>2.1. MAYOR</w:t>
      </w:r>
      <w:r>
        <w:rPr>
          <w:noProof/>
        </w:rPr>
        <w:t xml:space="preserve"> ESPERANZA DE VIDA</w:t>
      </w:r>
      <w:bookmarkEnd w:id="9"/>
      <w:bookmarkEnd w:id="10"/>
      <w:bookmarkEnd w:id="11"/>
      <w:r>
        <w:rPr>
          <w:noProof/>
        </w:rPr>
        <w:t xml:space="preserve"> </w:t>
      </w:r>
    </w:p>
    <w:p w:rsidR="00C80169" w:rsidRDefault="00941F3E">
      <w:pPr>
        <w:shd w:val="clear" w:color="auto" w:fill="FFFFFF"/>
        <w:jc w:val="both"/>
        <w:rPr>
          <w:rFonts w:ascii="Times New Roman" w:hAnsi="Times New Roman" w:cs="Times New Roman"/>
          <w:noProof/>
          <w:sz w:val="24"/>
          <w:szCs w:val="24"/>
        </w:rPr>
      </w:pPr>
      <w:r>
        <w:rPr>
          <w:rFonts w:ascii="Times New Roman" w:hAnsi="Times New Roman"/>
          <w:b/>
          <w:noProof/>
          <w:sz w:val="24"/>
          <w:szCs w:val="24"/>
        </w:rPr>
        <w:t>Los europeos viven más años y, como promedio, se mantienen durante más tiempo en buen estado de salud</w:t>
      </w:r>
      <w:r>
        <w:rPr>
          <w:rFonts w:ascii="Times New Roman" w:hAnsi="Times New Roman"/>
          <w:noProof/>
          <w:sz w:val="24"/>
          <w:szCs w:val="24"/>
        </w:rPr>
        <w:t>. En las últimas cinco décadas, la esperanza de vida al nacer ha aumentado en unos diez años tanto para los hombres como para las mujer</w:t>
      </w:r>
      <w:r>
        <w:rPr>
          <w:rFonts w:ascii="Times New Roman" w:hAnsi="Times New Roman"/>
          <w:noProof/>
          <w:sz w:val="24"/>
          <w:szCs w:val="24"/>
        </w:rPr>
        <w:t>es</w:t>
      </w:r>
      <w:r>
        <w:rPr>
          <w:rStyle w:val="FootnoteReference"/>
          <w:rFonts w:ascii="Times New Roman" w:hAnsi="Times New Roman" w:cs="Times New Roman"/>
          <w:noProof/>
          <w:sz w:val="24"/>
          <w:szCs w:val="24"/>
        </w:rPr>
        <w:footnoteReference w:id="6"/>
      </w:r>
      <w:r>
        <w:rPr>
          <w:rFonts w:ascii="Times New Roman" w:hAnsi="Times New Roman"/>
          <w:noProof/>
          <w:sz w:val="24"/>
          <w:szCs w:val="24"/>
        </w:rPr>
        <w:t xml:space="preserve">. La pandemia ha puesto en evidencia las vulnerabilidades de una población en proceso de envejecimiento, pero no se considera probable que haya alterado esa tendencia general positiva de la esperanza de vida. </w:t>
      </w:r>
    </w:p>
    <w:p w:rsidR="00C80169" w:rsidRDefault="00941F3E">
      <w:pPr>
        <w:shd w:val="clear" w:color="auto" w:fill="FFFFFF"/>
        <w:jc w:val="both"/>
        <w:rPr>
          <w:rFonts w:ascii="Times New Roman" w:hAnsi="Times New Roman" w:cs="Times New Roman"/>
          <w:noProof/>
          <w:sz w:val="24"/>
          <w:szCs w:val="24"/>
        </w:rPr>
      </w:pPr>
      <w:r>
        <w:rPr>
          <w:rFonts w:ascii="Times New Roman" w:hAnsi="Times New Roman"/>
          <w:noProof/>
          <w:sz w:val="24"/>
          <w:szCs w:val="24"/>
        </w:rPr>
        <w:t>En 2070, según las proyecciones</w:t>
      </w:r>
      <w:r>
        <w:rPr>
          <w:rStyle w:val="FootnoteReference"/>
          <w:rFonts w:ascii="Times New Roman" w:hAnsi="Times New Roman" w:cs="Times New Roman"/>
          <w:noProof/>
          <w:sz w:val="24"/>
          <w:szCs w:val="24"/>
        </w:rPr>
        <w:footnoteReference w:id="7"/>
      </w:r>
      <w:r>
        <w:rPr>
          <w:rFonts w:ascii="Times New Roman" w:hAnsi="Times New Roman"/>
          <w:noProof/>
          <w:sz w:val="24"/>
          <w:szCs w:val="24"/>
        </w:rPr>
        <w:t>, la espera</w:t>
      </w:r>
      <w:r>
        <w:rPr>
          <w:rFonts w:ascii="Times New Roman" w:hAnsi="Times New Roman"/>
          <w:noProof/>
          <w:sz w:val="24"/>
          <w:szCs w:val="24"/>
        </w:rPr>
        <w:t xml:space="preserve">nza de vida al nacer de los hombres alcanzará los 86,1 años, frente a los 78,2 años en 2018. En el caso de las mujeres, pasará de 83,7 a 90,3 años. El lugar en el que se vive influye decisivamente en la esperanza de vida. A nivel nacional, la esperanza de </w:t>
      </w:r>
      <w:r>
        <w:rPr>
          <w:rFonts w:ascii="Times New Roman" w:hAnsi="Times New Roman"/>
          <w:noProof/>
          <w:sz w:val="24"/>
          <w:szCs w:val="24"/>
        </w:rPr>
        <w:t>vida al nacer oscila entre los 83,5 años en España y los 75 en Bulgaria.</w:t>
      </w:r>
    </w:p>
    <w:p w:rsidR="00C80169" w:rsidRDefault="00941F3E">
      <w:pPr>
        <w:shd w:val="clear" w:color="auto" w:fill="FFFFFF"/>
        <w:jc w:val="both"/>
        <w:rPr>
          <w:rFonts w:ascii="Times New Roman" w:hAnsi="Times New Roman" w:cs="Times New Roman"/>
          <w:b/>
          <w:noProof/>
          <w:sz w:val="24"/>
          <w:szCs w:val="24"/>
        </w:rPr>
      </w:pPr>
      <w:r>
        <w:rPr>
          <w:rFonts w:ascii="Times New Roman" w:hAnsi="Times New Roman"/>
          <w:noProof/>
          <w:sz w:val="24"/>
          <w:szCs w:val="24"/>
        </w:rPr>
        <w:t xml:space="preserve">Hay diferencias entre las mujeres y los hombres que viven en distintas zonas de la UE. Aunque la esperanza de vida de las mujeres al nacer en la EU-27 es 5,5 años mayor que la de los </w:t>
      </w:r>
      <w:r>
        <w:rPr>
          <w:rFonts w:ascii="Times New Roman" w:hAnsi="Times New Roman"/>
          <w:noProof/>
          <w:sz w:val="24"/>
          <w:szCs w:val="24"/>
        </w:rPr>
        <w:t>hombres, el panorama no es el mismo en todos los lugares. En Letonia y Lituania, la diferencia es superior a 9 años, mientras que en Dinamarca, Irlanda, Chipre, los Países Bajos y Suecia es inferior a 4 años.</w:t>
      </w:r>
    </w:p>
    <w:p w:rsidR="00C80169" w:rsidRDefault="00941F3E">
      <w:pPr>
        <w:keepNext/>
        <w:keepLines/>
        <w:shd w:val="clear" w:color="auto" w:fill="FFFFFF"/>
        <w:spacing w:after="0"/>
        <w:contextualSpacing/>
        <w:jc w:val="center"/>
        <w:rPr>
          <w:rFonts w:ascii="Times New Roman" w:hAnsi="Times New Roman" w:cs="Times New Roman"/>
          <w:i/>
          <w:noProof/>
          <w:sz w:val="24"/>
          <w:szCs w:val="24"/>
        </w:rPr>
      </w:pPr>
      <w:r>
        <w:rPr>
          <w:rFonts w:ascii="Times New Roman" w:hAnsi="Times New Roman"/>
          <w:b/>
          <w:noProof/>
          <w:sz w:val="24"/>
          <w:szCs w:val="24"/>
        </w:rPr>
        <w:t>Esperanza de vida al nacer, diferencia entre mu</w:t>
      </w:r>
      <w:r>
        <w:rPr>
          <w:rFonts w:ascii="Times New Roman" w:hAnsi="Times New Roman"/>
          <w:b/>
          <w:noProof/>
          <w:sz w:val="24"/>
          <w:szCs w:val="24"/>
        </w:rPr>
        <w:t>jeres y hombres, 2018</w:t>
      </w:r>
    </w:p>
    <w:p w:rsidR="00C80169" w:rsidRDefault="00941F3E">
      <w:pPr>
        <w:shd w:val="clear" w:color="auto" w:fill="FFFFFF" w:themeFill="background1"/>
        <w:spacing w:after="0"/>
        <w:jc w:val="center"/>
        <w:rPr>
          <w:rFonts w:ascii="Times New Roman" w:hAnsi="Times New Roman" w:cs="Times New Roman"/>
          <w:b/>
          <w:noProof/>
          <w:sz w:val="24"/>
          <w:szCs w:val="24"/>
        </w:rPr>
      </w:pPr>
      <w:r>
        <w:rPr>
          <w:noProof/>
          <w:lang w:val="fr-BE" w:eastAsia="fr-BE"/>
        </w:rPr>
        <w:drawing>
          <wp:inline distT="0" distB="0" distL="0" distR="0">
            <wp:extent cx="6192520" cy="3477088"/>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92520" cy="3477088"/>
                    </a:xfrm>
                    <a:prstGeom prst="rect">
                      <a:avLst/>
                    </a:prstGeom>
                    <a:noFill/>
                    <a:ln>
                      <a:noFill/>
                    </a:ln>
                  </pic:spPr>
                </pic:pic>
              </a:graphicData>
            </a:graphic>
          </wp:inline>
        </w:drawing>
      </w:r>
    </w:p>
    <w:p w:rsidR="00C80169" w:rsidRDefault="00941F3E">
      <w:pPr>
        <w:shd w:val="clear" w:color="auto" w:fill="FFFFFF"/>
        <w:spacing w:after="0"/>
        <w:contextualSpacing/>
        <w:rPr>
          <w:rFonts w:ascii="Times New Roman" w:hAnsi="Times New Roman" w:cs="Times New Roman"/>
          <w:noProof/>
          <w:sz w:val="24"/>
          <w:szCs w:val="24"/>
        </w:rPr>
      </w:pPr>
      <w:r>
        <w:rPr>
          <w:rFonts w:ascii="Times New Roman" w:hAnsi="Times New Roman"/>
          <w:i/>
          <w:noProof/>
          <w:sz w:val="24"/>
          <w:szCs w:val="24"/>
        </w:rPr>
        <w:t>Fuente: Eurostat</w:t>
      </w:r>
    </w:p>
    <w:p w:rsidR="00C80169" w:rsidRDefault="00C80169">
      <w:pPr>
        <w:shd w:val="clear" w:color="auto" w:fill="FFFFFF"/>
        <w:spacing w:after="0"/>
        <w:contextualSpacing/>
        <w:rPr>
          <w:rFonts w:ascii="Times New Roman" w:hAnsi="Times New Roman" w:cs="Times New Roman"/>
          <w:b/>
          <w:noProof/>
          <w:sz w:val="24"/>
          <w:szCs w:val="24"/>
        </w:rPr>
      </w:pPr>
    </w:p>
    <w:p w:rsidR="00C80169" w:rsidRDefault="00941F3E">
      <w:pPr>
        <w:shd w:val="clear" w:color="auto" w:fill="FFFFFF"/>
        <w:spacing w:after="0"/>
        <w:contextualSpacing/>
        <w:jc w:val="both"/>
        <w:rPr>
          <w:rFonts w:ascii="Times New Roman" w:hAnsi="Times New Roman" w:cs="Times New Roman"/>
          <w:noProof/>
          <w:sz w:val="24"/>
          <w:szCs w:val="24"/>
        </w:rPr>
      </w:pPr>
      <w:r>
        <w:rPr>
          <w:rFonts w:ascii="Times New Roman" w:hAnsi="Times New Roman"/>
          <w:b/>
          <w:noProof/>
          <w:sz w:val="24"/>
          <w:szCs w:val="24"/>
        </w:rPr>
        <w:t xml:space="preserve">Nos mantenemos en buen estado de salud durante una gran parte de nuestra vida. </w:t>
      </w:r>
      <w:r>
        <w:rPr>
          <w:rFonts w:ascii="Times New Roman" w:hAnsi="Times New Roman"/>
          <w:noProof/>
          <w:sz w:val="24"/>
          <w:szCs w:val="24"/>
        </w:rPr>
        <w:t xml:space="preserve">La esperanza de </w:t>
      </w:r>
      <w:r>
        <w:rPr>
          <w:rFonts w:ascii="Times New Roman" w:hAnsi="Times New Roman"/>
          <w:i/>
          <w:noProof/>
          <w:sz w:val="24"/>
          <w:szCs w:val="24"/>
        </w:rPr>
        <w:t>vida con buena salud</w:t>
      </w:r>
      <w:r>
        <w:rPr>
          <w:rStyle w:val="FootnoteReference"/>
          <w:rFonts w:ascii="Times New Roman" w:hAnsi="Times New Roman" w:cs="Times New Roman"/>
          <w:noProof/>
          <w:sz w:val="24"/>
          <w:szCs w:val="24"/>
        </w:rPr>
        <w:footnoteReference w:id="8"/>
      </w:r>
      <w:r>
        <w:rPr>
          <w:rFonts w:ascii="Times New Roman" w:hAnsi="Times New Roman"/>
          <w:noProof/>
          <w:sz w:val="24"/>
          <w:szCs w:val="24"/>
        </w:rPr>
        <w:t xml:space="preserve"> varía según el sexo y el país. En el conjunto de la UE, la esperanza de vida con buena salud, en </w:t>
      </w:r>
      <w:r>
        <w:rPr>
          <w:rFonts w:ascii="Times New Roman" w:hAnsi="Times New Roman"/>
          <w:noProof/>
          <w:sz w:val="24"/>
          <w:szCs w:val="24"/>
        </w:rPr>
        <w:t>2018, era de 64,2 años para las mujeres y de 63,7 para los hombres</w:t>
      </w:r>
      <w:r>
        <w:rPr>
          <w:rStyle w:val="FootnoteReference"/>
          <w:rFonts w:ascii="Times New Roman" w:hAnsi="Times New Roman" w:cs="Times New Roman"/>
          <w:noProof/>
          <w:sz w:val="24"/>
          <w:szCs w:val="24"/>
        </w:rPr>
        <w:footnoteReference w:id="9"/>
      </w:r>
      <w:r>
        <w:rPr>
          <w:rFonts w:ascii="Times New Roman" w:hAnsi="Times New Roman"/>
          <w:noProof/>
          <w:sz w:val="24"/>
          <w:szCs w:val="24"/>
        </w:rPr>
        <w:t>. Estas cifras también varían considerablemente en función del lugar en el que se vive. Por ejemplo, en Suecia un hombre vive con buena salud más de 73 años, y en Letonia, 51. Casi la mitad</w:t>
      </w:r>
      <w:r>
        <w:rPr>
          <w:rFonts w:ascii="Times New Roman" w:hAnsi="Times New Roman"/>
          <w:noProof/>
          <w:sz w:val="24"/>
          <w:szCs w:val="24"/>
        </w:rPr>
        <w:t xml:space="preserve"> de las personas de edad avanzada tiene una discapacidad</w:t>
      </w:r>
      <w:r>
        <w:rPr>
          <w:rStyle w:val="FootnoteReference"/>
          <w:rFonts w:ascii="Times New Roman" w:hAnsi="Times New Roman" w:cs="Times New Roman"/>
          <w:noProof/>
          <w:sz w:val="24"/>
          <w:szCs w:val="24"/>
        </w:rPr>
        <w:footnoteReference w:id="10"/>
      </w:r>
      <w:r>
        <w:rPr>
          <w:rFonts w:ascii="Times New Roman" w:hAnsi="Times New Roman"/>
          <w:noProof/>
          <w:sz w:val="24"/>
          <w:szCs w:val="24"/>
        </w:rPr>
        <w:t>, cifra que aumenta a medida que más personas se incorporan a los grupos de más edad. Los mayores son más propensos a padecer problemas de movilidad reducida, y su calidad de vida depende del grado d</w:t>
      </w:r>
      <w:r>
        <w:rPr>
          <w:rFonts w:ascii="Times New Roman" w:hAnsi="Times New Roman"/>
          <w:noProof/>
          <w:sz w:val="24"/>
          <w:szCs w:val="24"/>
        </w:rPr>
        <w:t>e inclusividad y accesibilidad de nuestras sociedades y nuestro entorno.</w:t>
      </w:r>
      <w:r>
        <w:rPr>
          <w:rFonts w:ascii="Times New Roman" w:hAnsi="Times New Roman"/>
          <w:noProof/>
          <w:sz w:val="24"/>
          <w:szCs w:val="24"/>
        </w:rPr>
        <w:cr/>
      </w:r>
      <w:r>
        <w:rPr>
          <w:rFonts w:ascii="Times New Roman" w:hAnsi="Times New Roman"/>
          <w:noProof/>
          <w:sz w:val="24"/>
          <w:szCs w:val="24"/>
        </w:rPr>
        <w:br/>
      </w:r>
    </w:p>
    <w:p w:rsidR="00C80169" w:rsidRDefault="00C80169">
      <w:pPr>
        <w:shd w:val="clear" w:color="auto" w:fill="FFFFFF"/>
        <w:spacing w:after="0"/>
        <w:contextualSpacing/>
        <w:rPr>
          <w:rFonts w:ascii="Times New Roman" w:hAnsi="Times New Roman" w:cs="Times New Roman"/>
          <w:b/>
          <w:noProof/>
          <w:sz w:val="24"/>
          <w:szCs w:val="24"/>
        </w:rPr>
      </w:pPr>
    </w:p>
    <w:p w:rsidR="00C80169" w:rsidRDefault="00941F3E">
      <w:pPr>
        <w:keepNext/>
        <w:shd w:val="clear" w:color="auto" w:fill="FFFFFF"/>
        <w:spacing w:after="0"/>
        <w:contextualSpacing/>
        <w:jc w:val="center"/>
        <w:rPr>
          <w:rFonts w:ascii="Times New Roman" w:hAnsi="Times New Roman" w:cs="Times New Roman"/>
          <w:b/>
          <w:noProof/>
          <w:sz w:val="24"/>
          <w:szCs w:val="24"/>
        </w:rPr>
      </w:pPr>
      <w:r>
        <w:rPr>
          <w:rFonts w:ascii="Times New Roman" w:hAnsi="Times New Roman"/>
          <w:b/>
          <w:noProof/>
          <w:sz w:val="24"/>
          <w:szCs w:val="24"/>
        </w:rPr>
        <w:t>Esperanza de vida con buena salud al nacer, 2018</w:t>
      </w:r>
    </w:p>
    <w:p w:rsidR="00C80169" w:rsidRDefault="00941F3E">
      <w:pPr>
        <w:shd w:val="clear" w:color="auto" w:fill="FFFFFF"/>
        <w:jc w:val="center"/>
        <w:rPr>
          <w:rFonts w:ascii="Times New Roman" w:hAnsi="Times New Roman" w:cs="Times New Roman"/>
          <w:noProof/>
          <w:sz w:val="24"/>
          <w:szCs w:val="24"/>
        </w:rPr>
      </w:pPr>
      <w:r>
        <w:rPr>
          <w:rFonts w:ascii="Times New Roman" w:hAnsi="Times New Roman" w:cs="Times New Roman"/>
          <w:noProof/>
          <w:sz w:val="24"/>
          <w:szCs w:val="24"/>
          <w:lang w:val="fr-BE" w:eastAsia="fr-BE"/>
        </w:rPr>
        <w:drawing>
          <wp:inline distT="0" distB="0" distL="0" distR="0">
            <wp:extent cx="6217920" cy="39319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217920" cy="3931920"/>
                    </a:xfrm>
                    <a:prstGeom prst="rect">
                      <a:avLst/>
                    </a:prstGeom>
                    <a:noFill/>
                    <a:ln>
                      <a:noFill/>
                    </a:ln>
                  </pic:spPr>
                </pic:pic>
              </a:graphicData>
            </a:graphic>
          </wp:inline>
        </w:drawing>
      </w:r>
    </w:p>
    <w:p w:rsidR="00C80169" w:rsidRDefault="00941F3E">
      <w:pPr>
        <w:shd w:val="clear" w:color="auto" w:fill="FFFFFF"/>
        <w:rPr>
          <w:rFonts w:ascii="Times New Roman" w:hAnsi="Times New Roman" w:cs="Times New Roman"/>
          <w:noProof/>
          <w:sz w:val="24"/>
          <w:szCs w:val="24"/>
        </w:rPr>
      </w:pPr>
      <w:r>
        <w:rPr>
          <w:rFonts w:ascii="Times New Roman" w:hAnsi="Times New Roman"/>
          <w:i/>
          <w:noProof/>
          <w:sz w:val="24"/>
          <w:szCs w:val="24"/>
        </w:rPr>
        <w:t>Fuente: Eurostat</w:t>
      </w:r>
    </w:p>
    <w:p w:rsidR="00C80169" w:rsidRDefault="00941F3E">
      <w:pPr>
        <w:keepNext/>
        <w:keepLines/>
        <w:shd w:val="clear" w:color="auto" w:fill="FFFFFF"/>
        <w:spacing w:after="0"/>
        <w:ind w:left="2160" w:firstLine="720"/>
        <w:rPr>
          <w:rFonts w:ascii="Times New Roman" w:hAnsi="Times New Roman"/>
          <w:b/>
          <w:noProof/>
          <w:sz w:val="24"/>
          <w:szCs w:val="24"/>
        </w:rPr>
      </w:pPr>
      <w:r>
        <w:rPr>
          <w:rFonts w:ascii="Times New Roman" w:hAnsi="Times New Roman"/>
          <w:b/>
          <w:noProof/>
          <w:sz w:val="24"/>
          <w:szCs w:val="24"/>
        </w:rPr>
        <w:t>Esperanza de vida al nacer, por región</w:t>
      </w:r>
      <w:r>
        <w:rPr>
          <w:rFonts w:ascii="Times New Roman" w:hAnsi="Times New Roman" w:cs="Times New Roman"/>
          <w:b/>
          <w:noProof/>
          <w:sz w:val="24"/>
          <w:szCs w:val="24"/>
          <w:vertAlign w:val="superscript"/>
        </w:rPr>
        <w:footnoteReference w:id="11"/>
      </w:r>
      <w:r>
        <w:rPr>
          <w:rFonts w:ascii="Times New Roman" w:hAnsi="Times New Roman"/>
          <w:b/>
          <w:noProof/>
          <w:sz w:val="24"/>
          <w:szCs w:val="24"/>
        </w:rPr>
        <w:t>, 2018</w:t>
      </w:r>
    </w:p>
    <w:p w:rsidR="00C80169" w:rsidRDefault="00C80169">
      <w:pPr>
        <w:keepNext/>
        <w:keepLines/>
        <w:shd w:val="clear" w:color="auto" w:fill="FFFFFF"/>
        <w:spacing w:after="0"/>
        <w:ind w:left="2160" w:firstLine="720"/>
        <w:rPr>
          <w:rFonts w:ascii="Times New Roman" w:hAnsi="Times New Roman" w:cs="Times New Roman"/>
          <w:b/>
          <w:noProof/>
          <w:sz w:val="24"/>
          <w:szCs w:val="24"/>
        </w:rPr>
      </w:pPr>
    </w:p>
    <w:p w:rsidR="00C80169" w:rsidRDefault="00941F3E">
      <w:pPr>
        <w:spacing w:after="0"/>
        <w:jc w:val="center"/>
        <w:rPr>
          <w:rFonts w:ascii="Times New Roman" w:hAnsi="Times New Roman" w:cs="Times New Roman"/>
          <w:b/>
          <w:noProof/>
          <w:color w:val="0070C0"/>
          <w:sz w:val="24"/>
          <w:szCs w:val="24"/>
        </w:rPr>
      </w:pPr>
      <w:bookmarkStart w:id="12" w:name="_Toc32414436"/>
      <w:bookmarkStart w:id="13" w:name="_Toc32444148"/>
      <w:r>
        <w:rPr>
          <w:rFonts w:ascii="Times New Roman" w:hAnsi="Times New Roman" w:cs="Times New Roman"/>
          <w:b/>
          <w:noProof/>
          <w:color w:val="0070C0"/>
          <w:sz w:val="24"/>
          <w:szCs w:val="24"/>
          <w:lang w:val="fr-BE" w:eastAsia="fr-BE"/>
        </w:rPr>
        <w:drawing>
          <wp:inline distT="0" distB="0" distL="0" distR="0">
            <wp:extent cx="5434642" cy="757223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40825" cy="7580846"/>
                    </a:xfrm>
                    <a:prstGeom prst="rect">
                      <a:avLst/>
                    </a:prstGeom>
                    <a:noFill/>
                    <a:ln>
                      <a:noFill/>
                    </a:ln>
                  </pic:spPr>
                </pic:pic>
              </a:graphicData>
            </a:graphic>
          </wp:inline>
        </w:drawing>
      </w:r>
    </w:p>
    <w:p w:rsidR="00C80169" w:rsidRDefault="00941F3E">
      <w:pPr>
        <w:rPr>
          <w:rFonts w:ascii="Times New Roman" w:hAnsi="Times New Roman" w:cs="Times New Roman"/>
          <w:b/>
          <w:noProof/>
          <w:sz w:val="24"/>
          <w:szCs w:val="24"/>
        </w:rPr>
      </w:pPr>
      <w:bookmarkStart w:id="14" w:name="_Toc33800396"/>
      <w:r>
        <w:rPr>
          <w:noProof/>
        </w:rPr>
        <w:br w:type="page"/>
      </w:r>
    </w:p>
    <w:p w:rsidR="00C80169" w:rsidRDefault="00941F3E">
      <w:pPr>
        <w:pStyle w:val="Heading2"/>
        <w:keepNext/>
        <w:rPr>
          <w:noProof/>
        </w:rPr>
      </w:pPr>
      <w:bookmarkStart w:id="15" w:name="_Toc43897448"/>
      <w:r>
        <w:rPr>
          <w:noProof/>
        </w:rPr>
        <w:t>2.2. MENOS NACIMIENTOS</w:t>
      </w:r>
      <w:bookmarkEnd w:id="12"/>
      <w:bookmarkEnd w:id="13"/>
      <w:bookmarkEnd w:id="14"/>
      <w:bookmarkEnd w:id="15"/>
    </w:p>
    <w:p w:rsidR="00C80169" w:rsidRDefault="00941F3E">
      <w:pPr>
        <w:shd w:val="clear" w:color="auto" w:fill="FFFFFF"/>
        <w:jc w:val="both"/>
        <w:rPr>
          <w:rFonts w:ascii="Times New Roman" w:hAnsi="Times New Roman" w:cs="Times New Roman"/>
          <w:noProof/>
          <w:sz w:val="24"/>
          <w:szCs w:val="24"/>
        </w:rPr>
      </w:pPr>
      <w:r>
        <w:rPr>
          <w:rFonts w:ascii="Times New Roman" w:hAnsi="Times New Roman"/>
          <w:noProof/>
          <w:sz w:val="24"/>
          <w:szCs w:val="24"/>
        </w:rPr>
        <w:t>Entre la década de 1960 hasta mediados</w:t>
      </w:r>
      <w:r>
        <w:rPr>
          <w:rFonts w:ascii="Times New Roman" w:hAnsi="Times New Roman"/>
          <w:noProof/>
          <w:sz w:val="24"/>
          <w:szCs w:val="24"/>
        </w:rPr>
        <w:t xml:space="preserve"> de la década de los 1990, la media de nacimientos por mujer en Europa disminuyó</w:t>
      </w:r>
      <w:r>
        <w:rPr>
          <w:rStyle w:val="FootnoteReference"/>
          <w:rFonts w:ascii="Times New Roman" w:hAnsi="Times New Roman" w:cs="Times New Roman"/>
          <w:noProof/>
          <w:sz w:val="24"/>
          <w:szCs w:val="24"/>
        </w:rPr>
        <w:footnoteReference w:id="12"/>
      </w:r>
      <w:r>
        <w:rPr>
          <w:rFonts w:ascii="Times New Roman" w:hAnsi="Times New Roman"/>
          <w:noProof/>
          <w:sz w:val="24"/>
          <w:szCs w:val="24"/>
        </w:rPr>
        <w:t xml:space="preserve">. Remontó en cierta medida en los 2000 y prácticamente se estabilizó en la década siguiente. </w:t>
      </w:r>
    </w:p>
    <w:p w:rsidR="00C80169" w:rsidRDefault="00941F3E">
      <w:pPr>
        <w:shd w:val="clear" w:color="auto" w:fill="FFFFFF"/>
        <w:jc w:val="both"/>
        <w:rPr>
          <w:rFonts w:ascii="Times New Roman" w:hAnsi="Times New Roman" w:cs="Times New Roman"/>
          <w:noProof/>
          <w:sz w:val="24"/>
          <w:szCs w:val="24"/>
        </w:rPr>
      </w:pPr>
      <w:r>
        <w:rPr>
          <w:rFonts w:ascii="Times New Roman" w:hAnsi="Times New Roman"/>
          <w:noProof/>
          <w:sz w:val="24"/>
          <w:szCs w:val="24"/>
        </w:rPr>
        <w:t xml:space="preserve">En 2018, la cifra se situaba en 1,55 hijos por mujer, por debajo de la tasa </w:t>
      </w:r>
      <w:r>
        <w:rPr>
          <w:rFonts w:ascii="Times New Roman" w:hAnsi="Times New Roman"/>
          <w:noProof/>
          <w:sz w:val="24"/>
          <w:szCs w:val="24"/>
        </w:rPr>
        <w:t>considerada necesaria para mantener constante el tamaño de la población en ausencia de migración, de 2,1. Casi ninguna región de Europa alcanza este nivel en su tasa de nacimientos</w:t>
      </w:r>
      <w:r>
        <w:rPr>
          <w:rStyle w:val="FootnoteReference"/>
          <w:rFonts w:ascii="Times New Roman" w:hAnsi="Times New Roman" w:cs="Times New Roman"/>
          <w:noProof/>
          <w:sz w:val="24"/>
          <w:szCs w:val="24"/>
        </w:rPr>
        <w:footnoteReference w:id="13"/>
      </w:r>
      <w:r>
        <w:rPr>
          <w:rFonts w:ascii="Times New Roman" w:hAnsi="Times New Roman"/>
          <w:noProof/>
          <w:sz w:val="24"/>
          <w:szCs w:val="24"/>
        </w:rPr>
        <w:t>, que en algunas es inferior a 1,25. Este es el caso, por ejemplo, en el no</w:t>
      </w:r>
      <w:r>
        <w:rPr>
          <w:rFonts w:ascii="Times New Roman" w:hAnsi="Times New Roman"/>
          <w:noProof/>
          <w:sz w:val="24"/>
          <w:szCs w:val="24"/>
        </w:rPr>
        <w:t xml:space="preserve">roeste de la Península Ibérica, en el sureste de Italia, en Cerdeña y en algunas zonas de Grecia. </w:t>
      </w:r>
    </w:p>
    <w:p w:rsidR="00C80169" w:rsidRDefault="00941F3E">
      <w:pPr>
        <w:shd w:val="clear" w:color="auto" w:fill="FFFFFF"/>
        <w:jc w:val="both"/>
        <w:rPr>
          <w:rFonts w:ascii="Times New Roman" w:hAnsi="Times New Roman" w:cs="Times New Roman"/>
          <w:noProof/>
          <w:sz w:val="24"/>
          <w:szCs w:val="24"/>
        </w:rPr>
      </w:pPr>
      <w:r>
        <w:rPr>
          <w:rFonts w:ascii="Times New Roman" w:hAnsi="Times New Roman"/>
          <w:noProof/>
          <w:sz w:val="24"/>
          <w:szCs w:val="24"/>
        </w:rPr>
        <w:t>Como promedio, además, las mujeres tienen hijos más tarde. Entre 2001 y 2018, la edad de las mujeres en el momento del parto en la UE pasó de 29,0 a 30,8, co</w:t>
      </w:r>
      <w:r>
        <w:rPr>
          <w:rFonts w:ascii="Times New Roman" w:hAnsi="Times New Roman"/>
          <w:noProof/>
          <w:sz w:val="24"/>
          <w:szCs w:val="24"/>
        </w:rPr>
        <w:t>mo media.</w:t>
      </w:r>
    </w:p>
    <w:p w:rsidR="00C80169" w:rsidRDefault="00941F3E">
      <w:pPr>
        <w:keepNext/>
        <w:shd w:val="clear" w:color="auto" w:fill="FFFFFF"/>
        <w:spacing w:after="0" w:line="240" w:lineRule="auto"/>
        <w:ind w:left="1440" w:firstLine="720"/>
        <w:contextualSpacing/>
        <w:rPr>
          <w:rFonts w:ascii="Times New Roman" w:eastAsia="Calibri" w:hAnsi="Times New Roman" w:cs="Times New Roman"/>
          <w:b/>
          <w:noProof/>
          <w:sz w:val="24"/>
          <w:szCs w:val="24"/>
        </w:rPr>
      </w:pPr>
      <w:r>
        <w:rPr>
          <w:rFonts w:ascii="Times New Roman" w:hAnsi="Times New Roman"/>
          <w:b/>
          <w:noProof/>
          <w:sz w:val="24"/>
          <w:szCs w:val="24"/>
        </w:rPr>
        <w:t>Indicadores de fecundidad, EU-27, 2001–2018</w:t>
      </w:r>
    </w:p>
    <w:p w:rsidR="00C80169" w:rsidRDefault="00941F3E">
      <w:pPr>
        <w:shd w:val="clear" w:color="auto" w:fill="FFFFFF"/>
        <w:spacing w:after="0" w:line="240" w:lineRule="auto"/>
        <w:contextualSpacing/>
        <w:jc w:val="center"/>
        <w:rPr>
          <w:rFonts w:ascii="Times New Roman" w:eastAsia="Calibri" w:hAnsi="Times New Roman" w:cs="Times New Roman"/>
          <w:noProof/>
          <w:sz w:val="24"/>
          <w:szCs w:val="24"/>
        </w:rPr>
      </w:pPr>
      <w:r>
        <w:rPr>
          <w:noProof/>
          <w:lang w:val="fr-BE" w:eastAsia="fr-BE"/>
        </w:rPr>
        <w:drawing>
          <wp:inline distT="0" distB="0" distL="0" distR="0">
            <wp:extent cx="5607170" cy="3451576"/>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13802" cy="3455658"/>
                    </a:xfrm>
                    <a:prstGeom prst="rect">
                      <a:avLst/>
                    </a:prstGeom>
                    <a:noFill/>
                    <a:ln>
                      <a:noFill/>
                    </a:ln>
                  </pic:spPr>
                </pic:pic>
              </a:graphicData>
            </a:graphic>
          </wp:inline>
        </w:drawing>
      </w:r>
    </w:p>
    <w:p w:rsidR="00C80169" w:rsidRDefault="00941F3E">
      <w:pPr>
        <w:shd w:val="clear" w:color="auto" w:fill="FFFFFF"/>
        <w:spacing w:after="0" w:line="240" w:lineRule="auto"/>
        <w:contextualSpacing/>
        <w:rPr>
          <w:rFonts w:ascii="Times New Roman" w:eastAsia="Calibri" w:hAnsi="Times New Roman" w:cs="Times New Roman"/>
          <w:i/>
          <w:noProof/>
          <w:sz w:val="24"/>
          <w:szCs w:val="24"/>
        </w:rPr>
      </w:pPr>
      <w:r>
        <w:rPr>
          <w:rFonts w:ascii="Times New Roman" w:hAnsi="Times New Roman"/>
          <w:i/>
          <w:noProof/>
          <w:sz w:val="24"/>
          <w:szCs w:val="24"/>
        </w:rPr>
        <w:t>Fuente: Eurostat</w:t>
      </w:r>
    </w:p>
    <w:p w:rsidR="00C80169" w:rsidRDefault="00941F3E">
      <w:pPr>
        <w:keepNext/>
        <w:keepLines/>
        <w:spacing w:after="0" w:line="240" w:lineRule="auto"/>
        <w:jc w:val="center"/>
        <w:rPr>
          <w:rFonts w:ascii="Times New Roman" w:hAnsi="Times New Roman"/>
          <w:b/>
          <w:noProof/>
          <w:sz w:val="24"/>
          <w:szCs w:val="24"/>
        </w:rPr>
      </w:pPr>
      <w:r>
        <w:rPr>
          <w:rFonts w:ascii="Times New Roman" w:hAnsi="Times New Roman"/>
          <w:b/>
          <w:noProof/>
          <w:sz w:val="24"/>
          <w:szCs w:val="24"/>
        </w:rPr>
        <w:t>Tasa global de fecundidad, por región</w:t>
      </w:r>
      <w:r>
        <w:rPr>
          <w:rStyle w:val="FootnoteReference"/>
          <w:rFonts w:ascii="Times New Roman" w:hAnsi="Times New Roman" w:cs="Times New Roman"/>
          <w:b/>
          <w:noProof/>
          <w:sz w:val="24"/>
          <w:szCs w:val="24"/>
        </w:rPr>
        <w:footnoteReference w:id="14"/>
      </w:r>
      <w:r>
        <w:rPr>
          <w:rFonts w:ascii="Times New Roman" w:hAnsi="Times New Roman"/>
          <w:b/>
          <w:noProof/>
          <w:sz w:val="24"/>
          <w:szCs w:val="24"/>
        </w:rPr>
        <w:t>, 2018</w:t>
      </w:r>
    </w:p>
    <w:p w:rsidR="00C80169" w:rsidRDefault="00C80169">
      <w:pPr>
        <w:keepNext/>
        <w:keepLines/>
        <w:spacing w:after="0" w:line="240" w:lineRule="auto"/>
        <w:jc w:val="center"/>
        <w:rPr>
          <w:rFonts w:ascii="Times New Roman" w:hAnsi="Times New Roman" w:cs="Times New Roman"/>
          <w:b/>
          <w:noProof/>
          <w:sz w:val="24"/>
          <w:szCs w:val="24"/>
        </w:rPr>
      </w:pPr>
    </w:p>
    <w:p w:rsidR="00C80169" w:rsidRDefault="00941F3E">
      <w:pPr>
        <w:keepNext/>
        <w:keepLines/>
        <w:spacing w:after="0" w:line="240" w:lineRule="auto"/>
        <w:jc w:val="center"/>
        <w:rPr>
          <w:rFonts w:ascii="Times New Roman" w:hAnsi="Times New Roman" w:cs="Times New Roman"/>
          <w:b/>
          <w:noProof/>
          <w:sz w:val="24"/>
          <w:szCs w:val="24"/>
        </w:rPr>
      </w:pPr>
      <w:bookmarkStart w:id="16" w:name="_Toc32414437"/>
      <w:bookmarkStart w:id="17" w:name="_Toc32444149"/>
      <w:bookmarkStart w:id="18" w:name="_Toc33800397"/>
      <w:r>
        <w:rPr>
          <w:noProof/>
          <w:lang w:val="fr-BE" w:eastAsia="fr-BE"/>
        </w:rPr>
        <w:drawing>
          <wp:inline distT="0" distB="0" distL="0" distR="0">
            <wp:extent cx="5520690" cy="7962265"/>
            <wp:effectExtent l="0" t="0" r="3810" b="63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520690" cy="7962265"/>
                    </a:xfrm>
                    <a:prstGeom prst="rect">
                      <a:avLst/>
                    </a:prstGeom>
                    <a:noFill/>
                    <a:ln>
                      <a:noFill/>
                    </a:ln>
                  </pic:spPr>
                </pic:pic>
              </a:graphicData>
            </a:graphic>
          </wp:inline>
        </w:drawing>
      </w:r>
      <w:r>
        <w:rPr>
          <w:noProof/>
        </w:rPr>
        <w:br w:type="page"/>
      </w:r>
    </w:p>
    <w:p w:rsidR="00C80169" w:rsidRDefault="00941F3E">
      <w:pPr>
        <w:pStyle w:val="Heading2"/>
        <w:keepNext/>
        <w:rPr>
          <w:noProof/>
        </w:rPr>
      </w:pPr>
      <w:bookmarkStart w:id="19" w:name="_Toc43897449"/>
      <w:r>
        <w:rPr>
          <w:noProof/>
        </w:rPr>
        <w:t>2.3. ENVEJECIMIENTO DE LA POBLACIÓN</w:t>
      </w:r>
      <w:bookmarkEnd w:id="16"/>
      <w:bookmarkEnd w:id="17"/>
      <w:bookmarkEnd w:id="18"/>
      <w:bookmarkEnd w:id="19"/>
    </w:p>
    <w:p w:rsidR="00C80169" w:rsidRDefault="00941F3E">
      <w:pPr>
        <w:jc w:val="both"/>
        <w:rPr>
          <w:rFonts w:ascii="Times New Roman" w:hAnsi="Times New Roman" w:cs="Times New Roman"/>
          <w:noProof/>
          <w:sz w:val="24"/>
          <w:szCs w:val="24"/>
        </w:rPr>
      </w:pPr>
      <w:r>
        <w:rPr>
          <w:rFonts w:ascii="Times New Roman" w:hAnsi="Times New Roman"/>
          <w:b/>
          <w:noProof/>
          <w:sz w:val="24"/>
          <w:szCs w:val="24"/>
        </w:rPr>
        <w:t>La población de Europa está envejeciendo</w:t>
      </w:r>
      <w:r>
        <w:rPr>
          <w:rFonts w:ascii="Times New Roman" w:hAnsi="Times New Roman"/>
          <w:noProof/>
          <w:sz w:val="24"/>
          <w:szCs w:val="24"/>
        </w:rPr>
        <w:t>.</w:t>
      </w:r>
      <w:r>
        <w:rPr>
          <w:rFonts w:ascii="Times New Roman" w:hAnsi="Times New Roman"/>
          <w:b/>
          <w:noProof/>
          <w:sz w:val="24"/>
          <w:szCs w:val="24"/>
        </w:rPr>
        <w:t xml:space="preserve"> </w:t>
      </w:r>
      <w:r>
        <w:rPr>
          <w:rFonts w:ascii="Times New Roman" w:hAnsi="Times New Roman"/>
          <w:noProof/>
          <w:sz w:val="24"/>
          <w:szCs w:val="24"/>
        </w:rPr>
        <w:t>La mediana de edad</w:t>
      </w:r>
      <w:r>
        <w:rPr>
          <w:rStyle w:val="FootnoteReference"/>
          <w:rFonts w:ascii="Times New Roman" w:hAnsi="Times New Roman" w:cs="Times New Roman"/>
          <w:noProof/>
          <w:sz w:val="24"/>
          <w:szCs w:val="24"/>
        </w:rPr>
        <w:footnoteReference w:id="15"/>
      </w:r>
      <w:r>
        <w:rPr>
          <w:rFonts w:ascii="Times New Roman" w:hAnsi="Times New Roman"/>
          <w:noProof/>
          <w:sz w:val="24"/>
          <w:szCs w:val="24"/>
        </w:rPr>
        <w:t xml:space="preserve"> de la población de la EU-27 ha ido aumentando año tras año y, según las proyecciones, lo seguirá haciendo a un ritmo similar durante otras dos décadas. En 2070, la mediana de edad podría alcanzar los 49 años, unos cinco años más que hoy.</w:t>
      </w:r>
    </w:p>
    <w:p w:rsidR="00C80169" w:rsidRDefault="00941F3E">
      <w:pPr>
        <w:keepNext/>
        <w:spacing w:after="0"/>
        <w:contextualSpacing/>
        <w:jc w:val="center"/>
        <w:rPr>
          <w:rStyle w:val="Strong"/>
          <w:rFonts w:ascii="Times New Roman" w:hAnsi="Times New Roman" w:cs="Times New Roman"/>
          <w:noProof/>
          <w:sz w:val="24"/>
          <w:szCs w:val="24"/>
        </w:rPr>
      </w:pPr>
      <w:r>
        <w:rPr>
          <w:rStyle w:val="Strong"/>
          <w:rFonts w:ascii="Times New Roman" w:hAnsi="Times New Roman"/>
          <w:noProof/>
          <w:sz w:val="24"/>
          <w:szCs w:val="24"/>
        </w:rPr>
        <w:t>Mediana de edad d</w:t>
      </w:r>
      <w:r>
        <w:rPr>
          <w:rStyle w:val="Strong"/>
          <w:rFonts w:ascii="Times New Roman" w:hAnsi="Times New Roman"/>
          <w:noProof/>
          <w:sz w:val="24"/>
          <w:szCs w:val="24"/>
        </w:rPr>
        <w:t>e la población de la EU-27, 2001-2070</w:t>
      </w:r>
    </w:p>
    <w:p w:rsidR="00C80169" w:rsidRDefault="00941F3E">
      <w:pPr>
        <w:spacing w:after="0"/>
        <w:contextualSpacing/>
        <w:jc w:val="center"/>
        <w:rPr>
          <w:rFonts w:ascii="Times New Roman" w:hAnsi="Times New Roman" w:cs="Times New Roman"/>
          <w:b/>
          <w:noProof/>
          <w:sz w:val="24"/>
          <w:szCs w:val="24"/>
        </w:rPr>
      </w:pPr>
      <w:r>
        <w:rPr>
          <w:noProof/>
          <w:lang w:val="fr-BE" w:eastAsia="fr-BE"/>
        </w:rPr>
        <w:drawing>
          <wp:inline distT="0" distB="0" distL="0" distR="0">
            <wp:extent cx="6192520" cy="3096034"/>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92520" cy="3096034"/>
                    </a:xfrm>
                    <a:prstGeom prst="rect">
                      <a:avLst/>
                    </a:prstGeom>
                    <a:noFill/>
                    <a:ln>
                      <a:noFill/>
                    </a:ln>
                  </pic:spPr>
                </pic:pic>
              </a:graphicData>
            </a:graphic>
          </wp:inline>
        </w:drawing>
      </w:r>
    </w:p>
    <w:p w:rsidR="00C80169" w:rsidRDefault="00941F3E">
      <w:pPr>
        <w:rPr>
          <w:rFonts w:ascii="Times New Roman" w:hAnsi="Times New Roman" w:cs="Times New Roman"/>
          <w:i/>
          <w:noProof/>
          <w:sz w:val="24"/>
          <w:szCs w:val="24"/>
        </w:rPr>
      </w:pPr>
      <w:r>
        <w:rPr>
          <w:rFonts w:ascii="Times New Roman" w:hAnsi="Times New Roman"/>
          <w:i/>
          <w:noProof/>
          <w:sz w:val="24"/>
          <w:szCs w:val="24"/>
        </w:rPr>
        <w:t xml:space="preserve">Fuente: Eurostat </w:t>
      </w:r>
    </w:p>
    <w:p w:rsidR="00C80169" w:rsidRDefault="00941F3E">
      <w:pPr>
        <w:jc w:val="both"/>
        <w:rPr>
          <w:rFonts w:ascii="Times New Roman" w:hAnsi="Times New Roman" w:cs="Times New Roman"/>
          <w:noProof/>
          <w:sz w:val="24"/>
          <w:szCs w:val="24"/>
        </w:rPr>
      </w:pPr>
      <w:r>
        <w:rPr>
          <w:rFonts w:ascii="Times New Roman" w:hAnsi="Times New Roman"/>
          <w:b/>
          <w:noProof/>
          <w:sz w:val="24"/>
          <w:szCs w:val="24"/>
        </w:rPr>
        <w:t>Cuanto más aumenta nuestra mediana de edad, más crece el número y la proporción de personas pertenecientes a los grupos de más edad.</w:t>
      </w:r>
      <w:r>
        <w:rPr>
          <w:rFonts w:ascii="Times New Roman" w:hAnsi="Times New Roman"/>
          <w:noProof/>
          <w:sz w:val="24"/>
          <w:szCs w:val="24"/>
        </w:rPr>
        <w:t xml:space="preserve"> Se estima que el 30 % de los europeos tendrá 65 años o más en 207</w:t>
      </w:r>
      <w:r>
        <w:rPr>
          <w:rFonts w:ascii="Times New Roman" w:hAnsi="Times New Roman"/>
          <w:noProof/>
          <w:sz w:val="24"/>
          <w:szCs w:val="24"/>
        </w:rPr>
        <w:t>0, frente al 20 % hoy. Entre 2019 y 2070, la proporción de personas de 80 años o más, según las proyecciones, se duplicará con creces hasta situarse en el 13 %</w:t>
      </w:r>
      <w:r>
        <w:rPr>
          <w:rStyle w:val="FootnoteReference"/>
          <w:rFonts w:ascii="Times New Roman" w:hAnsi="Times New Roman" w:cs="Times New Roman"/>
          <w:noProof/>
          <w:sz w:val="24"/>
          <w:szCs w:val="24"/>
        </w:rPr>
        <w:footnoteReference w:id="16"/>
      </w:r>
      <w:r>
        <w:rPr>
          <w:rFonts w:ascii="Times New Roman" w:hAnsi="Times New Roman"/>
          <w:noProof/>
          <w:sz w:val="24"/>
          <w:szCs w:val="24"/>
        </w:rPr>
        <w:t xml:space="preserve">. </w:t>
      </w:r>
    </w:p>
    <w:p w:rsidR="00C80169" w:rsidRDefault="00941F3E">
      <w:pPr>
        <w:jc w:val="both"/>
        <w:rPr>
          <w:rFonts w:ascii="Times New Roman" w:hAnsi="Times New Roman" w:cs="Times New Roman"/>
          <w:noProof/>
          <w:sz w:val="24"/>
          <w:szCs w:val="24"/>
        </w:rPr>
      </w:pPr>
      <w:r>
        <w:rPr>
          <w:rFonts w:ascii="Times New Roman" w:hAnsi="Times New Roman"/>
          <w:b/>
          <w:noProof/>
          <w:sz w:val="24"/>
          <w:szCs w:val="24"/>
        </w:rPr>
        <w:t>Al mismo tiempo, las proyecciones apuntan a un descenso de la población en edad laboral (entr</w:t>
      </w:r>
      <w:r>
        <w:rPr>
          <w:rFonts w:ascii="Times New Roman" w:hAnsi="Times New Roman"/>
          <w:b/>
          <w:noProof/>
          <w:sz w:val="24"/>
          <w:szCs w:val="24"/>
        </w:rPr>
        <w:t>e 20 y 64 años)</w:t>
      </w:r>
      <w:r>
        <w:rPr>
          <w:rStyle w:val="FootnoteReference"/>
          <w:rFonts w:ascii="Times New Roman" w:hAnsi="Times New Roman" w:cs="Times New Roman"/>
          <w:b/>
          <w:noProof/>
          <w:sz w:val="24"/>
          <w:szCs w:val="24"/>
        </w:rPr>
        <w:footnoteReference w:id="17"/>
      </w:r>
      <w:r>
        <w:rPr>
          <w:rFonts w:ascii="Times New Roman" w:hAnsi="Times New Roman"/>
          <w:noProof/>
          <w:sz w:val="24"/>
          <w:szCs w:val="24"/>
        </w:rPr>
        <w:t>. En 2019,</w:t>
      </w:r>
      <w:r>
        <w:rPr>
          <w:rFonts w:ascii="Times New Roman" w:hAnsi="Times New Roman"/>
          <w:b/>
          <w:noProof/>
          <w:sz w:val="24"/>
          <w:szCs w:val="24"/>
        </w:rPr>
        <w:t xml:space="preserve"> </w:t>
      </w:r>
      <w:r>
        <w:rPr>
          <w:rFonts w:ascii="Times New Roman" w:hAnsi="Times New Roman"/>
          <w:noProof/>
          <w:sz w:val="24"/>
          <w:szCs w:val="24"/>
        </w:rPr>
        <w:t xml:space="preserve">este grupo de edad representaba el 59 % de la población total. Según las proyecciones, en 2070 se situará en el 51 % y habrá 12,6 millones menos de niños y jóvenes (de 0 a 19 años de edad). </w:t>
      </w:r>
    </w:p>
    <w:p w:rsidR="00C80169" w:rsidRDefault="00C80169">
      <w:pPr>
        <w:spacing w:after="0"/>
        <w:rPr>
          <w:rStyle w:val="Strong"/>
          <w:rFonts w:ascii="Times New Roman" w:hAnsi="Times New Roman" w:cs="Times New Roman"/>
          <w:noProof/>
          <w:sz w:val="24"/>
          <w:szCs w:val="24"/>
        </w:rPr>
      </w:pPr>
      <w:bookmarkStart w:id="20" w:name="_Toc32414438"/>
    </w:p>
    <w:p w:rsidR="00C80169" w:rsidRDefault="00941F3E">
      <w:pPr>
        <w:rPr>
          <w:rStyle w:val="Strong"/>
          <w:rFonts w:ascii="Times New Roman" w:hAnsi="Times New Roman" w:cs="Times New Roman"/>
          <w:noProof/>
          <w:sz w:val="24"/>
          <w:szCs w:val="24"/>
        </w:rPr>
      </w:pPr>
      <w:r>
        <w:rPr>
          <w:noProof/>
        </w:rPr>
        <w:br w:type="page"/>
      </w:r>
    </w:p>
    <w:p w:rsidR="00C80169" w:rsidRDefault="00941F3E">
      <w:pPr>
        <w:keepNext/>
        <w:spacing w:after="0"/>
        <w:jc w:val="center"/>
        <w:rPr>
          <w:rFonts w:ascii="Times New Roman" w:hAnsi="Times New Roman"/>
          <w:noProof/>
          <w:sz w:val="24"/>
        </w:rPr>
      </w:pPr>
      <w:r>
        <w:rPr>
          <w:rStyle w:val="Strong"/>
          <w:rFonts w:ascii="Times New Roman" w:hAnsi="Times New Roman"/>
          <w:noProof/>
          <w:sz w:val="24"/>
          <w:szCs w:val="24"/>
        </w:rPr>
        <w:t xml:space="preserve">Población, por grupos de edad, </w:t>
      </w:r>
      <w:r>
        <w:rPr>
          <w:rStyle w:val="Strong"/>
          <w:rFonts w:ascii="Times New Roman" w:hAnsi="Times New Roman"/>
          <w:noProof/>
          <w:sz w:val="24"/>
          <w:szCs w:val="24"/>
        </w:rPr>
        <w:t>EU-27 (2001-2070)</w:t>
      </w:r>
      <w:r>
        <w:rPr>
          <w:rStyle w:val="Strong"/>
          <w:b w:val="0"/>
          <w:bCs w:val="0"/>
          <w:noProof/>
          <w:lang w:val="fr-BE" w:eastAsia="fr-BE"/>
        </w:rPr>
        <w:drawing>
          <wp:inline distT="0" distB="0" distL="0" distR="0">
            <wp:extent cx="6192520" cy="3226038"/>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92520" cy="3226038"/>
                    </a:xfrm>
                    <a:prstGeom prst="rect">
                      <a:avLst/>
                    </a:prstGeom>
                    <a:noFill/>
                    <a:ln>
                      <a:noFill/>
                    </a:ln>
                  </pic:spPr>
                </pic:pic>
              </a:graphicData>
            </a:graphic>
          </wp:inline>
        </w:drawing>
      </w:r>
    </w:p>
    <w:p w:rsidR="00C80169" w:rsidRDefault="00941F3E">
      <w:pPr>
        <w:spacing w:after="0"/>
        <w:rPr>
          <w:rFonts w:ascii="Times New Roman" w:hAnsi="Times New Roman" w:cs="Times New Roman"/>
          <w:i/>
          <w:noProof/>
          <w:sz w:val="24"/>
          <w:szCs w:val="24"/>
        </w:rPr>
      </w:pPr>
      <w:r>
        <w:rPr>
          <w:rFonts w:ascii="Times New Roman" w:hAnsi="Times New Roman"/>
          <w:i/>
          <w:noProof/>
          <w:sz w:val="24"/>
          <w:szCs w:val="24"/>
        </w:rPr>
        <w:t xml:space="preserve">Fuente: Eurostat </w:t>
      </w:r>
    </w:p>
    <w:p w:rsidR="00C80169" w:rsidRDefault="00C80169">
      <w:pPr>
        <w:pStyle w:val="Heading2"/>
        <w:rPr>
          <w:noProof/>
        </w:rPr>
      </w:pPr>
      <w:bookmarkStart w:id="21" w:name="_Toc32444150"/>
    </w:p>
    <w:p w:rsidR="00C80169" w:rsidRDefault="00941F3E">
      <w:pPr>
        <w:pStyle w:val="Heading2"/>
        <w:keepNext/>
        <w:rPr>
          <w:noProof/>
        </w:rPr>
      </w:pPr>
      <w:bookmarkStart w:id="22" w:name="_Toc33800398"/>
      <w:bookmarkStart w:id="23" w:name="_Toc43897450"/>
      <w:r>
        <w:rPr>
          <w:noProof/>
        </w:rPr>
        <w:t>2.4. HOGARES MÁS PEQUEÑOS</w:t>
      </w:r>
      <w:bookmarkEnd w:id="20"/>
      <w:bookmarkEnd w:id="21"/>
      <w:bookmarkEnd w:id="22"/>
      <w:bookmarkEnd w:id="23"/>
    </w:p>
    <w:p w:rsidR="00C80169" w:rsidRDefault="00941F3E">
      <w:pPr>
        <w:shd w:val="clear" w:color="auto" w:fill="FFFFFF"/>
        <w:jc w:val="both"/>
        <w:rPr>
          <w:rFonts w:ascii="Times New Roman" w:hAnsi="Times New Roman" w:cs="Times New Roman"/>
          <w:noProof/>
          <w:sz w:val="24"/>
          <w:szCs w:val="24"/>
        </w:rPr>
      </w:pPr>
      <w:r>
        <w:rPr>
          <w:rFonts w:ascii="Times New Roman" w:hAnsi="Times New Roman"/>
          <w:b/>
          <w:noProof/>
          <w:sz w:val="24"/>
          <w:szCs w:val="24"/>
        </w:rPr>
        <w:t>A medida que aumenta el número de hogares en Europa, se reduce su tamaño medio</w:t>
      </w:r>
      <w:r>
        <w:rPr>
          <w:rFonts w:ascii="Times New Roman" w:hAnsi="Times New Roman"/>
          <w:noProof/>
          <w:sz w:val="24"/>
          <w:szCs w:val="24"/>
        </w:rPr>
        <w:t>.</w:t>
      </w:r>
      <w:r>
        <w:rPr>
          <w:rFonts w:ascii="Times New Roman" w:hAnsi="Times New Roman"/>
          <w:b/>
          <w:noProof/>
          <w:sz w:val="24"/>
          <w:szCs w:val="24"/>
        </w:rPr>
        <w:t xml:space="preserve"> </w:t>
      </w:r>
      <w:r>
        <w:rPr>
          <w:rFonts w:ascii="Times New Roman" w:hAnsi="Times New Roman"/>
          <w:noProof/>
          <w:sz w:val="24"/>
          <w:szCs w:val="24"/>
        </w:rPr>
        <w:t>En 2019 había 195 millones de hogares en Europa, un aumento de 13 millones desde 2010. El tamaño medio de esos h</w:t>
      </w:r>
      <w:r>
        <w:rPr>
          <w:rFonts w:ascii="Times New Roman" w:hAnsi="Times New Roman"/>
          <w:noProof/>
          <w:sz w:val="24"/>
          <w:szCs w:val="24"/>
        </w:rPr>
        <w:t>ogares es cada vez menor. En 2010, el hogar medio estaba compuesto por 2,4 personas. En la última década fue descendiendo paulatinamente hasta situarse en 2,3 personas en 2019.</w:t>
      </w:r>
    </w:p>
    <w:p w:rsidR="00C80169" w:rsidRDefault="00941F3E">
      <w:pPr>
        <w:shd w:val="clear" w:color="auto" w:fill="FFFFFF"/>
        <w:jc w:val="both"/>
        <w:rPr>
          <w:rFonts w:ascii="Times New Roman" w:hAnsi="Times New Roman" w:cs="Times New Roman"/>
          <w:noProof/>
          <w:sz w:val="24"/>
          <w:szCs w:val="24"/>
        </w:rPr>
      </w:pPr>
      <w:r>
        <w:rPr>
          <w:rFonts w:ascii="Times New Roman" w:hAnsi="Times New Roman"/>
          <w:b/>
          <w:noProof/>
          <w:sz w:val="24"/>
          <w:szCs w:val="24"/>
        </w:rPr>
        <w:t>Alrededor de un tercio de todos los hogares está compuesto por una sola persona</w:t>
      </w:r>
      <w:r>
        <w:rPr>
          <w:rFonts w:ascii="Times New Roman" w:hAnsi="Times New Roman"/>
          <w:noProof/>
          <w:sz w:val="24"/>
          <w:szCs w:val="24"/>
        </w:rPr>
        <w:t>, lo que representa un aumento del 19 % respecto a 2010. Se observa una tendencia general hacia los hogares formados por parejas sin hijos, personas que viven solas y familias monoparentales. En la mayoría de los hogares no hay niños, mientras que los hoga</w:t>
      </w:r>
      <w:r>
        <w:rPr>
          <w:rFonts w:ascii="Times New Roman" w:hAnsi="Times New Roman"/>
          <w:noProof/>
          <w:sz w:val="24"/>
          <w:szCs w:val="24"/>
        </w:rPr>
        <w:t>res monoparentales han aumentado un 13 % desde 2010. Esos patrones también pueden desempeñar un papel en el contexto de la pandemia, dado que determinadas estructuras de los hogares han podido afectar a la propagación del virus.</w:t>
      </w:r>
    </w:p>
    <w:p w:rsidR="00C80169" w:rsidRDefault="00941F3E">
      <w:pPr>
        <w:shd w:val="clear" w:color="auto" w:fill="FFFFFF"/>
        <w:jc w:val="both"/>
        <w:rPr>
          <w:rFonts w:ascii="Times New Roman" w:hAnsi="Times New Roman" w:cs="Times New Roman"/>
          <w:noProof/>
          <w:sz w:val="24"/>
          <w:szCs w:val="24"/>
        </w:rPr>
      </w:pPr>
      <w:r>
        <w:rPr>
          <w:rFonts w:ascii="Times New Roman" w:hAnsi="Times New Roman"/>
          <w:noProof/>
          <w:sz w:val="24"/>
          <w:szCs w:val="24"/>
        </w:rPr>
        <w:t>A medida que Europa envejec</w:t>
      </w:r>
      <w:r>
        <w:rPr>
          <w:rFonts w:ascii="Times New Roman" w:hAnsi="Times New Roman"/>
          <w:noProof/>
          <w:sz w:val="24"/>
          <w:szCs w:val="24"/>
        </w:rPr>
        <w:t>e,</w:t>
      </w:r>
      <w:r>
        <w:rPr>
          <w:rFonts w:ascii="Times New Roman" w:hAnsi="Times New Roman"/>
          <w:b/>
          <w:noProof/>
          <w:sz w:val="24"/>
          <w:szCs w:val="24"/>
        </w:rPr>
        <w:t xml:space="preserve"> aumenta el número de personas de 65 años o más que viven solas</w:t>
      </w:r>
      <w:r>
        <w:rPr>
          <w:rStyle w:val="FootnoteReference"/>
          <w:rFonts w:ascii="Times New Roman" w:hAnsi="Times New Roman" w:cs="Times New Roman"/>
          <w:noProof/>
          <w:sz w:val="24"/>
          <w:szCs w:val="24"/>
        </w:rPr>
        <w:footnoteReference w:id="18"/>
      </w:r>
      <w:r>
        <w:rPr>
          <w:rFonts w:ascii="Times New Roman" w:hAnsi="Times New Roman"/>
          <w:noProof/>
          <w:sz w:val="24"/>
          <w:szCs w:val="24"/>
        </w:rPr>
        <w:t>. Este fenómeno se da sobre todo entre las mujeres. En 2019, la proporción de mujeres de edad avanzada que vivía sola era del 40 %, el doble que los hombres.</w:t>
      </w:r>
    </w:p>
    <w:p w:rsidR="00C80169" w:rsidRDefault="00941F3E">
      <w:pPr>
        <w:keepNext/>
        <w:keepLines/>
        <w:spacing w:after="0"/>
        <w:contextualSpacing/>
        <w:jc w:val="center"/>
        <w:rPr>
          <w:rFonts w:ascii="Times New Roman" w:hAnsi="Times New Roman" w:cs="Times New Roman"/>
          <w:i/>
          <w:noProof/>
          <w:sz w:val="24"/>
          <w:szCs w:val="24"/>
        </w:rPr>
      </w:pPr>
      <w:r>
        <w:rPr>
          <w:rFonts w:ascii="Times New Roman" w:hAnsi="Times New Roman"/>
          <w:b/>
          <w:noProof/>
          <w:sz w:val="24"/>
          <w:szCs w:val="24"/>
        </w:rPr>
        <w:t>Hogares, por presencia de hijos,</w:t>
      </w:r>
      <w:r>
        <w:rPr>
          <w:rFonts w:ascii="Times New Roman" w:hAnsi="Times New Roman"/>
          <w:b/>
          <w:noProof/>
          <w:sz w:val="24"/>
          <w:szCs w:val="24"/>
        </w:rPr>
        <w:t xml:space="preserve"> EU-27 (2010-2019) </w:t>
      </w:r>
      <w:r>
        <w:rPr>
          <w:rFonts w:ascii="Times New Roman" w:hAnsi="Times New Roman"/>
          <w:i/>
          <w:noProof/>
          <w:sz w:val="24"/>
          <w:szCs w:val="24"/>
        </w:rPr>
        <w:t>(en millones)</w:t>
      </w:r>
    </w:p>
    <w:p w:rsidR="00C80169" w:rsidRDefault="00941F3E">
      <w:pPr>
        <w:spacing w:after="0"/>
        <w:contextualSpacing/>
        <w:rPr>
          <w:rFonts w:ascii="Times New Roman" w:hAnsi="Times New Roman" w:cs="Times New Roman"/>
          <w:noProof/>
          <w:sz w:val="24"/>
          <w:szCs w:val="24"/>
        </w:rPr>
      </w:pPr>
      <w:r>
        <w:rPr>
          <w:noProof/>
          <w:lang w:val="fr-BE" w:eastAsia="fr-BE"/>
        </w:rPr>
        <w:drawing>
          <wp:inline distT="0" distB="0" distL="0" distR="0">
            <wp:extent cx="6192520" cy="3934053"/>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92520" cy="3934053"/>
                    </a:xfrm>
                    <a:prstGeom prst="rect">
                      <a:avLst/>
                    </a:prstGeom>
                    <a:noFill/>
                    <a:ln>
                      <a:noFill/>
                    </a:ln>
                  </pic:spPr>
                </pic:pic>
              </a:graphicData>
            </a:graphic>
          </wp:inline>
        </w:drawing>
      </w:r>
    </w:p>
    <w:p w:rsidR="00C80169" w:rsidRDefault="00941F3E">
      <w:pPr>
        <w:spacing w:after="0"/>
        <w:contextualSpacing/>
        <w:rPr>
          <w:rFonts w:ascii="Times New Roman" w:hAnsi="Times New Roman"/>
          <w:i/>
          <w:noProof/>
          <w:sz w:val="24"/>
        </w:rPr>
      </w:pPr>
      <w:r>
        <w:rPr>
          <w:rFonts w:ascii="Times New Roman" w:hAnsi="Times New Roman"/>
          <w:i/>
          <w:noProof/>
          <w:sz w:val="24"/>
        </w:rPr>
        <w:t>Fuente: Eurostat</w:t>
      </w:r>
    </w:p>
    <w:p w:rsidR="00C80169" w:rsidRDefault="00C80169">
      <w:pPr>
        <w:pStyle w:val="Text2"/>
        <w:rPr>
          <w:noProof/>
          <w:lang w:val="es-ES_tradnl"/>
        </w:rPr>
      </w:pPr>
    </w:p>
    <w:p w:rsidR="00C80169" w:rsidRDefault="00941F3E">
      <w:pPr>
        <w:pStyle w:val="Heading2"/>
        <w:keepNext/>
        <w:rPr>
          <w:noProof/>
        </w:rPr>
      </w:pPr>
      <w:bookmarkStart w:id="24" w:name="_Toc32414439"/>
      <w:bookmarkStart w:id="25" w:name="_Toc32444151"/>
      <w:bookmarkStart w:id="26" w:name="_Toc33800399"/>
      <w:bookmarkStart w:id="27" w:name="_Toc43897451"/>
      <w:r>
        <w:rPr>
          <w:noProof/>
        </w:rPr>
        <w:t xml:space="preserve">2.5. </w:t>
      </w:r>
      <w:bookmarkEnd w:id="24"/>
      <w:bookmarkEnd w:id="25"/>
      <w:bookmarkEnd w:id="26"/>
      <w:r>
        <w:rPr>
          <w:noProof/>
        </w:rPr>
        <w:t>UNA EUROPA CON MÁS MOVILIDAD</w:t>
      </w:r>
      <w:bookmarkEnd w:id="27"/>
    </w:p>
    <w:p w:rsidR="00C80169" w:rsidRDefault="00941F3E">
      <w:pPr>
        <w:pStyle w:val="xmsonormal"/>
        <w:spacing w:line="276" w:lineRule="auto"/>
        <w:jc w:val="both"/>
        <w:rPr>
          <w:rFonts w:ascii="Times New Roman" w:hAnsi="Times New Roman" w:cs="Times New Roman"/>
          <w:noProof/>
          <w:sz w:val="24"/>
          <w:szCs w:val="24"/>
        </w:rPr>
      </w:pPr>
      <w:r>
        <w:rPr>
          <w:rFonts w:ascii="Times New Roman" w:hAnsi="Times New Roman"/>
          <w:b/>
          <w:noProof/>
          <w:sz w:val="24"/>
          <w:szCs w:val="24"/>
        </w:rPr>
        <w:t>La movilidad de las personas, tanto dentro como fuera de las fronteras de Europa, es un factor esencial del cambio demográfico</w:t>
      </w:r>
      <w:r>
        <w:rPr>
          <w:rFonts w:ascii="Times New Roman" w:hAnsi="Times New Roman"/>
          <w:noProof/>
          <w:sz w:val="24"/>
          <w:szCs w:val="24"/>
        </w:rPr>
        <w:t xml:space="preserve">. </w:t>
      </w:r>
    </w:p>
    <w:p w:rsidR="00C80169" w:rsidRDefault="00941F3E">
      <w:pPr>
        <w:pStyle w:val="xmsonormal"/>
        <w:pBdr>
          <w:top w:val="single" w:sz="4" w:space="1" w:color="auto"/>
          <w:left w:val="single" w:sz="4" w:space="4" w:color="auto"/>
          <w:bottom w:val="single" w:sz="4" w:space="1" w:color="auto"/>
          <w:right w:val="single" w:sz="4" w:space="4" w:color="auto"/>
        </w:pBdr>
        <w:shd w:val="clear" w:color="auto" w:fill="F2F2F2"/>
        <w:spacing w:line="276" w:lineRule="auto"/>
        <w:jc w:val="both"/>
        <w:rPr>
          <w:rFonts w:ascii="Times New Roman" w:hAnsi="Times New Roman" w:cs="Times New Roman"/>
          <w:noProof/>
          <w:sz w:val="24"/>
          <w:szCs w:val="24"/>
        </w:rPr>
      </w:pPr>
      <w:r>
        <w:rPr>
          <w:rFonts w:ascii="Times New Roman" w:hAnsi="Times New Roman"/>
          <w:b/>
          <w:noProof/>
          <w:sz w:val="24"/>
          <w:szCs w:val="24"/>
        </w:rPr>
        <w:t xml:space="preserve">Hay personas que cruzan la frontera </w:t>
      </w:r>
      <w:r>
        <w:rPr>
          <w:rFonts w:ascii="Times New Roman" w:hAnsi="Times New Roman"/>
          <w:b/>
          <w:noProof/>
          <w:sz w:val="24"/>
          <w:szCs w:val="24"/>
        </w:rPr>
        <w:t>exterior de la UE</w:t>
      </w:r>
      <w:r>
        <w:rPr>
          <w:rFonts w:ascii="Times New Roman" w:hAnsi="Times New Roman"/>
          <w:noProof/>
          <w:sz w:val="24"/>
          <w:szCs w:val="24"/>
        </w:rPr>
        <w:t xml:space="preserve"> para entrar en Europa o abandonarla. A lo largo de 2018 llegaron 2,4 millones de inmigrantes a la EU- 27, y 1,1 millones de personas emigraron a países de fuera de la EU-27</w:t>
      </w:r>
      <w:r>
        <w:rPr>
          <w:rStyle w:val="FootnoteReference"/>
          <w:rFonts w:ascii="Times New Roman" w:hAnsi="Times New Roman" w:cs="Times New Roman"/>
          <w:noProof/>
          <w:sz w:val="24"/>
          <w:szCs w:val="24"/>
          <w:lang w:val="en-GB"/>
        </w:rPr>
        <w:footnoteReference w:id="19"/>
      </w:r>
      <w:r>
        <w:rPr>
          <w:rFonts w:ascii="Times New Roman" w:hAnsi="Times New Roman"/>
          <w:noProof/>
          <w:sz w:val="24"/>
          <w:szCs w:val="24"/>
        </w:rPr>
        <w:t xml:space="preserve">. Gracias a la libre circulación de personas en Europa, </w:t>
      </w:r>
      <w:r>
        <w:rPr>
          <w:rFonts w:ascii="Times New Roman" w:hAnsi="Times New Roman"/>
          <w:b/>
          <w:noProof/>
          <w:sz w:val="24"/>
          <w:szCs w:val="24"/>
        </w:rPr>
        <w:t>mucha gen</w:t>
      </w:r>
      <w:r>
        <w:rPr>
          <w:rFonts w:ascii="Times New Roman" w:hAnsi="Times New Roman"/>
          <w:b/>
          <w:noProof/>
          <w:sz w:val="24"/>
          <w:szCs w:val="24"/>
        </w:rPr>
        <w:t>te opta por trasladarse a otros países dentro de la UE.</w:t>
      </w:r>
      <w:r>
        <w:rPr>
          <w:rFonts w:ascii="Times New Roman" w:hAnsi="Times New Roman"/>
          <w:noProof/>
          <w:sz w:val="24"/>
          <w:szCs w:val="24"/>
        </w:rPr>
        <w:t xml:space="preserve"> Esos movimientos no influyen en el tamaño o la estructura de edad de la UE en su conjunto, pero tienen un efecto significativo a nivel nacional, regional y local. En 2018, 1,4 millones de personas se </w:t>
      </w:r>
      <w:r>
        <w:rPr>
          <w:rFonts w:ascii="Times New Roman" w:hAnsi="Times New Roman"/>
          <w:noProof/>
          <w:sz w:val="24"/>
          <w:szCs w:val="24"/>
        </w:rPr>
        <w:t>trasladaron a otro Estado miembro. Este grupo también incluye a los nacionales de terceros países que viven en Europa.</w:t>
      </w:r>
    </w:p>
    <w:p w:rsidR="00C80169" w:rsidRDefault="00941F3E">
      <w:pPr>
        <w:pStyle w:val="xmsonormal"/>
        <w:spacing w:line="276" w:lineRule="auto"/>
        <w:jc w:val="both"/>
        <w:rPr>
          <w:rFonts w:ascii="Times New Roman" w:hAnsi="Times New Roman" w:cs="Times New Roman"/>
          <w:noProof/>
          <w:sz w:val="24"/>
          <w:szCs w:val="24"/>
        </w:rPr>
      </w:pPr>
      <w:r>
        <w:rPr>
          <w:rFonts w:ascii="Times New Roman" w:hAnsi="Times New Roman"/>
          <w:noProof/>
          <w:sz w:val="24"/>
          <w:szCs w:val="24"/>
        </w:rPr>
        <w:t>El 1 de enero de 2019, la población de la EU-27 contaba con 21,8 millones de nacionales de terceros países, que representaban el 4,9 % de</w:t>
      </w:r>
      <w:r>
        <w:rPr>
          <w:rFonts w:ascii="Times New Roman" w:hAnsi="Times New Roman"/>
          <w:noProof/>
          <w:sz w:val="24"/>
          <w:szCs w:val="24"/>
        </w:rPr>
        <w:t xml:space="preserve"> la población. Al mismo tiempo, 13,3 millones de ciudadanos de la UE vivían en otro país de la UE.</w:t>
      </w:r>
    </w:p>
    <w:p w:rsidR="00C80169" w:rsidRDefault="00941F3E">
      <w:pPr>
        <w:pStyle w:val="xmsonormal"/>
        <w:spacing w:line="276" w:lineRule="auto"/>
        <w:jc w:val="both"/>
        <w:rPr>
          <w:rFonts w:ascii="Times New Roman" w:hAnsi="Times New Roman"/>
          <w:noProof/>
          <w:sz w:val="24"/>
        </w:rPr>
      </w:pPr>
      <w:r>
        <w:rPr>
          <w:rFonts w:ascii="Times New Roman" w:hAnsi="Times New Roman"/>
          <w:b/>
          <w:noProof/>
          <w:sz w:val="24"/>
          <w:szCs w:val="24"/>
        </w:rPr>
        <w:t>El volumen anual de esos flujos puede cambiar, pero las tendencias a largo plazo son relativamente estables</w:t>
      </w:r>
      <w:r>
        <w:rPr>
          <w:rFonts w:ascii="Times New Roman" w:hAnsi="Times New Roman"/>
          <w:noProof/>
          <w:sz w:val="24"/>
          <w:szCs w:val="24"/>
        </w:rPr>
        <w:t>. En los últimos 35 años, Europa ha sido un contin</w:t>
      </w:r>
      <w:r>
        <w:rPr>
          <w:rFonts w:ascii="Times New Roman" w:hAnsi="Times New Roman"/>
          <w:noProof/>
          <w:sz w:val="24"/>
          <w:szCs w:val="24"/>
        </w:rPr>
        <w:t>ente de inmigración neta. Desde mediados de los ochenta, todos los años ha habido más inmigración que emigración en la UE, lo que da lugar a una migración neta positiva.</w:t>
      </w:r>
    </w:p>
    <w:p w:rsidR="00C80169" w:rsidRDefault="00941F3E">
      <w:pPr>
        <w:pStyle w:val="xmsonormal"/>
        <w:spacing w:line="276" w:lineRule="auto"/>
        <w:jc w:val="both"/>
        <w:rPr>
          <w:rFonts w:ascii="Times New Roman" w:hAnsi="Times New Roman" w:cs="Times New Roman"/>
          <w:noProof/>
          <w:sz w:val="24"/>
          <w:szCs w:val="24"/>
        </w:rPr>
      </w:pPr>
      <w:r>
        <w:rPr>
          <w:rFonts w:ascii="Times New Roman" w:hAnsi="Times New Roman"/>
          <w:noProof/>
          <w:sz w:val="24"/>
          <w:szCs w:val="24"/>
        </w:rPr>
        <w:t>Aún queda por ver cómo afectarán las medidas de emergencia que limitan la movilidad de</w:t>
      </w:r>
      <w:r>
        <w:rPr>
          <w:rFonts w:ascii="Times New Roman" w:hAnsi="Times New Roman"/>
          <w:noProof/>
          <w:sz w:val="24"/>
          <w:szCs w:val="24"/>
        </w:rPr>
        <w:t xml:space="preserve"> las personas a los patrones y preferencias de la movilidad a largo plazo, en particular si las personas que han perdido su trabajo y sus medios de subsistencia en un lugar podrían buscar oportunidades en otro lugar.</w:t>
      </w:r>
    </w:p>
    <w:p w:rsidR="00C80169" w:rsidRDefault="00C80169">
      <w:pPr>
        <w:pStyle w:val="xmsonormal"/>
        <w:spacing w:line="276" w:lineRule="auto"/>
        <w:jc w:val="both"/>
        <w:rPr>
          <w:rFonts w:ascii="Times New Roman" w:hAnsi="Times New Roman" w:cs="Times New Roman"/>
          <w:noProof/>
          <w:sz w:val="24"/>
          <w:szCs w:val="24"/>
          <w:lang w:val="es-ES_tradnl"/>
        </w:rPr>
      </w:pPr>
    </w:p>
    <w:p w:rsidR="00C80169" w:rsidRDefault="00941F3E">
      <w:pPr>
        <w:keepNext/>
        <w:shd w:val="clear" w:color="auto" w:fill="FFFFFF"/>
        <w:spacing w:after="0"/>
        <w:jc w:val="center"/>
        <w:rPr>
          <w:rFonts w:ascii="Times New Roman" w:hAnsi="Times New Roman" w:cs="Times New Roman"/>
          <w:i/>
          <w:noProof/>
          <w:sz w:val="24"/>
          <w:szCs w:val="24"/>
        </w:rPr>
      </w:pPr>
      <w:r>
        <w:rPr>
          <w:rFonts w:ascii="Times New Roman" w:hAnsi="Times New Roman"/>
          <w:b/>
          <w:noProof/>
          <w:sz w:val="24"/>
          <w:szCs w:val="24"/>
        </w:rPr>
        <w:t>Migración neta, EU-27, 1961-2018</w:t>
      </w:r>
      <w:r>
        <w:rPr>
          <w:noProof/>
          <w:lang w:val="fr-BE" w:eastAsia="fr-BE"/>
        </w:rPr>
        <w:drawing>
          <wp:inline distT="0" distB="0" distL="0" distR="0">
            <wp:extent cx="6192520" cy="4482544"/>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92520" cy="4482544"/>
                    </a:xfrm>
                    <a:prstGeom prst="rect">
                      <a:avLst/>
                    </a:prstGeom>
                    <a:noFill/>
                    <a:ln>
                      <a:noFill/>
                    </a:ln>
                  </pic:spPr>
                </pic:pic>
              </a:graphicData>
            </a:graphic>
          </wp:inline>
        </w:drawing>
      </w:r>
    </w:p>
    <w:p w:rsidR="00C80169" w:rsidRDefault="00941F3E">
      <w:pPr>
        <w:shd w:val="clear" w:color="auto" w:fill="FFFFFF"/>
        <w:spacing w:after="0"/>
        <w:rPr>
          <w:rFonts w:ascii="Times New Roman" w:hAnsi="Times New Roman" w:cs="Times New Roman"/>
          <w:i/>
          <w:noProof/>
          <w:sz w:val="24"/>
          <w:szCs w:val="24"/>
        </w:rPr>
      </w:pPr>
      <w:r>
        <w:rPr>
          <w:rFonts w:ascii="Times New Roman" w:hAnsi="Times New Roman"/>
          <w:i/>
          <w:noProof/>
          <w:sz w:val="24"/>
          <w:szCs w:val="24"/>
        </w:rPr>
        <w:t>Fuen</w:t>
      </w:r>
      <w:r>
        <w:rPr>
          <w:rFonts w:ascii="Times New Roman" w:hAnsi="Times New Roman"/>
          <w:i/>
          <w:noProof/>
          <w:sz w:val="24"/>
          <w:szCs w:val="24"/>
        </w:rPr>
        <w:t xml:space="preserve">te: Eurostat </w:t>
      </w:r>
    </w:p>
    <w:p w:rsidR="00C80169" w:rsidRDefault="00C80169">
      <w:pPr>
        <w:shd w:val="clear" w:color="auto" w:fill="FFFFFF"/>
        <w:spacing w:after="0"/>
        <w:rPr>
          <w:rFonts w:ascii="Times New Roman" w:hAnsi="Times New Roman" w:cs="Times New Roman"/>
          <w:i/>
          <w:noProof/>
          <w:sz w:val="24"/>
          <w:szCs w:val="24"/>
          <w:lang w:val="es-ES_tradnl"/>
        </w:rPr>
      </w:pPr>
    </w:p>
    <w:p w:rsidR="00C80169" w:rsidRDefault="00941F3E">
      <w:pPr>
        <w:pStyle w:val="Heading2"/>
        <w:keepNext/>
        <w:rPr>
          <w:noProof/>
        </w:rPr>
      </w:pPr>
      <w:bookmarkStart w:id="28" w:name="_Toc32414440"/>
      <w:bookmarkStart w:id="29" w:name="_Toc32444152"/>
      <w:bookmarkStart w:id="30" w:name="_Toc33800400"/>
      <w:bookmarkStart w:id="31" w:name="_Toc43897452"/>
      <w:r>
        <w:rPr>
          <w:noProof/>
        </w:rPr>
        <w:t xml:space="preserve">2.6. </w:t>
      </w:r>
      <w:bookmarkEnd w:id="28"/>
      <w:bookmarkEnd w:id="29"/>
      <w:r>
        <w:rPr>
          <w:noProof/>
        </w:rPr>
        <w:t>CAMBIOS EN EL TAMAÑO DE LA POBLACIÓN</w:t>
      </w:r>
      <w:bookmarkEnd w:id="30"/>
      <w:bookmarkEnd w:id="31"/>
      <w:r>
        <w:rPr>
          <w:noProof/>
        </w:rPr>
        <w:t xml:space="preserve"> </w:t>
      </w:r>
    </w:p>
    <w:p w:rsidR="00C80169" w:rsidRDefault="00941F3E">
      <w:pPr>
        <w:shd w:val="clear" w:color="auto" w:fill="FFFFFF"/>
        <w:jc w:val="both"/>
        <w:rPr>
          <w:rFonts w:ascii="Times New Roman" w:hAnsi="Times New Roman" w:cs="Times New Roman"/>
          <w:noProof/>
          <w:sz w:val="24"/>
          <w:szCs w:val="24"/>
        </w:rPr>
      </w:pPr>
      <w:r>
        <w:rPr>
          <w:rFonts w:ascii="Times New Roman" w:hAnsi="Times New Roman"/>
          <w:b/>
          <w:noProof/>
          <w:sz w:val="24"/>
          <w:szCs w:val="24"/>
        </w:rPr>
        <w:t xml:space="preserve">La población europea ha crecido de manera constante a lo largo del tiempo. </w:t>
      </w:r>
      <w:r>
        <w:rPr>
          <w:rFonts w:ascii="Times New Roman" w:hAnsi="Times New Roman"/>
          <w:noProof/>
          <w:sz w:val="24"/>
          <w:szCs w:val="24"/>
        </w:rPr>
        <w:t xml:space="preserve">En la EU-27, la población total ha aumentado un 25 % desde 1960, hasta situarse en casi 447 millones en 2019. Se observan, </w:t>
      </w:r>
      <w:r>
        <w:rPr>
          <w:rFonts w:ascii="Times New Roman" w:hAnsi="Times New Roman"/>
          <w:noProof/>
          <w:sz w:val="24"/>
          <w:szCs w:val="24"/>
        </w:rPr>
        <w:t>sin embargo, diferencias entre países. Bélgica, Irlanda, Chipre, Luxemburgo, Malta y Suecia han experimentado un aumento relativamente estable, mientras que Bulgaria, Croacia, Letonia, Lituania y Rumanía han asistido a un descenso de su población desde 199</w:t>
      </w:r>
      <w:r>
        <w:rPr>
          <w:rFonts w:ascii="Times New Roman" w:hAnsi="Times New Roman"/>
          <w:noProof/>
          <w:sz w:val="24"/>
          <w:szCs w:val="24"/>
        </w:rPr>
        <w:t>0</w:t>
      </w:r>
      <w:r>
        <w:rPr>
          <w:rStyle w:val="FootnoteReference"/>
          <w:rFonts w:ascii="Times New Roman" w:hAnsi="Times New Roman" w:cs="Times New Roman"/>
          <w:noProof/>
          <w:sz w:val="24"/>
          <w:szCs w:val="24"/>
        </w:rPr>
        <w:footnoteReference w:id="20"/>
      </w:r>
      <w:r>
        <w:rPr>
          <w:rFonts w:ascii="Times New Roman" w:hAnsi="Times New Roman"/>
          <w:noProof/>
          <w:sz w:val="24"/>
          <w:szCs w:val="24"/>
        </w:rPr>
        <w:t>.</w:t>
      </w:r>
    </w:p>
    <w:p w:rsidR="00C80169" w:rsidRDefault="00941F3E">
      <w:pPr>
        <w:jc w:val="both"/>
        <w:rPr>
          <w:rFonts w:ascii="Times New Roman" w:hAnsi="Times New Roman" w:cs="Times New Roman"/>
          <w:b/>
          <w:noProof/>
          <w:sz w:val="24"/>
          <w:szCs w:val="24"/>
        </w:rPr>
      </w:pPr>
      <w:r>
        <w:rPr>
          <w:rFonts w:ascii="Times New Roman" w:hAnsi="Times New Roman"/>
          <w:b/>
          <w:noProof/>
          <w:sz w:val="24"/>
          <w:szCs w:val="24"/>
        </w:rPr>
        <w:t>Está previsto que la tendencia general del crecimiento de la población se mantenga, pero no por mucho tiempo</w:t>
      </w:r>
      <w:r>
        <w:rPr>
          <w:rFonts w:ascii="Times New Roman" w:hAnsi="Times New Roman"/>
          <w:b/>
          <w:noProof/>
          <w:sz w:val="24"/>
        </w:rPr>
        <w:t xml:space="preserve">. </w:t>
      </w:r>
      <w:r>
        <w:rPr>
          <w:rFonts w:ascii="Times New Roman" w:hAnsi="Times New Roman"/>
          <w:noProof/>
          <w:sz w:val="24"/>
          <w:szCs w:val="24"/>
        </w:rPr>
        <w:t>Desde 2012, el número de muertes en la EU-27 supera el número de nacimientos. Esto significa que, sin migración neta positiva, la población eu</w:t>
      </w:r>
      <w:r>
        <w:rPr>
          <w:rFonts w:ascii="Times New Roman" w:hAnsi="Times New Roman"/>
          <w:noProof/>
          <w:sz w:val="24"/>
          <w:szCs w:val="24"/>
        </w:rPr>
        <w:t>ropea ya habría empezado a reducirse.</w:t>
      </w:r>
      <w:r>
        <w:rPr>
          <w:rFonts w:ascii="Times New Roman" w:hAnsi="Times New Roman"/>
          <w:b/>
          <w:noProof/>
          <w:sz w:val="24"/>
          <w:szCs w:val="24"/>
        </w:rPr>
        <w:t xml:space="preserve"> </w:t>
      </w:r>
    </w:p>
    <w:p w:rsidR="00C80169" w:rsidRDefault="00941F3E">
      <w:pPr>
        <w:jc w:val="both"/>
        <w:rPr>
          <w:rFonts w:ascii="Times New Roman" w:hAnsi="Times New Roman" w:cs="Times New Roman"/>
          <w:b/>
          <w:noProof/>
          <w:sz w:val="24"/>
          <w:szCs w:val="24"/>
        </w:rPr>
      </w:pPr>
      <w:r>
        <w:rPr>
          <w:rFonts w:ascii="Times New Roman" w:hAnsi="Times New Roman"/>
          <w:noProof/>
          <w:sz w:val="24"/>
          <w:szCs w:val="24"/>
        </w:rPr>
        <w:t>Las proyecciones</w:t>
      </w:r>
      <w:r>
        <w:rPr>
          <w:rStyle w:val="FootnoteReference"/>
          <w:rFonts w:ascii="Times New Roman" w:hAnsi="Times New Roman" w:cs="Times New Roman"/>
          <w:noProof/>
          <w:sz w:val="24"/>
          <w:szCs w:val="24"/>
        </w:rPr>
        <w:footnoteReference w:id="21"/>
      </w:r>
      <w:r>
        <w:rPr>
          <w:rFonts w:ascii="Times New Roman" w:hAnsi="Times New Roman"/>
          <w:noProof/>
          <w:sz w:val="24"/>
          <w:szCs w:val="24"/>
        </w:rPr>
        <w:t xml:space="preserve"> muestran que el tamaño de la población total de Europa se mantendrá bastante estable en las dos próximas décadas y a partir de entonces comenzará a descender. </w:t>
      </w:r>
      <w:r>
        <w:rPr>
          <w:rFonts w:ascii="Times New Roman" w:hAnsi="Times New Roman"/>
          <w:b/>
          <w:noProof/>
          <w:sz w:val="24"/>
          <w:szCs w:val="24"/>
        </w:rPr>
        <w:t>Se proyecta que se alcance una meseta de</w:t>
      </w:r>
      <w:r>
        <w:rPr>
          <w:rFonts w:ascii="Times New Roman" w:hAnsi="Times New Roman"/>
          <w:b/>
          <w:noProof/>
          <w:sz w:val="24"/>
          <w:szCs w:val="24"/>
        </w:rPr>
        <w:t xml:space="preserve"> unos 449 millones de habitantes antes de 2025</w:t>
      </w:r>
      <w:r>
        <w:rPr>
          <w:rFonts w:ascii="Times New Roman" w:hAnsi="Times New Roman"/>
          <w:noProof/>
          <w:sz w:val="24"/>
        </w:rPr>
        <w:t xml:space="preserve"> </w:t>
      </w:r>
      <w:r>
        <w:rPr>
          <w:rFonts w:ascii="Times New Roman" w:hAnsi="Times New Roman"/>
          <w:b/>
          <w:noProof/>
          <w:sz w:val="24"/>
        </w:rPr>
        <w:t>y que, a partir de 2030, la población disminuya progresivamente</w:t>
      </w:r>
      <w:r>
        <w:rPr>
          <w:rFonts w:ascii="Times New Roman" w:hAnsi="Times New Roman"/>
          <w:noProof/>
          <w:sz w:val="24"/>
          <w:szCs w:val="24"/>
        </w:rPr>
        <w:t xml:space="preserve"> hasta situarse en 424 millones en 2070, lo que representa una reducción del 5 % en 50 años.</w:t>
      </w:r>
    </w:p>
    <w:p w:rsidR="00C80169" w:rsidRDefault="00941F3E">
      <w:pPr>
        <w:jc w:val="both"/>
        <w:rPr>
          <w:rFonts w:ascii="Times New Roman" w:hAnsi="Times New Roman" w:cs="Times New Roman"/>
          <w:noProof/>
          <w:sz w:val="24"/>
          <w:szCs w:val="24"/>
        </w:rPr>
      </w:pPr>
      <w:r>
        <w:rPr>
          <w:rFonts w:ascii="Times New Roman" w:hAnsi="Times New Roman"/>
          <w:noProof/>
          <w:sz w:val="24"/>
          <w:szCs w:val="24"/>
        </w:rPr>
        <w:t xml:space="preserve">Según las proyecciones, algunos Estados miembros </w:t>
      </w:r>
      <w:r>
        <w:rPr>
          <w:rFonts w:ascii="Times New Roman" w:hAnsi="Times New Roman"/>
          <w:noProof/>
          <w:sz w:val="24"/>
          <w:szCs w:val="24"/>
        </w:rPr>
        <w:t>—Bulgaria, Grecia, Croacia, Italia, Letonia, Lituania, Hungría, Polonia y Rumanía— registrarán un descenso de la población durante todo el período que se extiende hasta 2070.</w:t>
      </w:r>
      <w:r>
        <w:rPr>
          <w:rFonts w:ascii="Times New Roman" w:hAnsi="Times New Roman"/>
          <w:noProof/>
          <w:sz w:val="24"/>
          <w:szCs w:val="24"/>
        </w:rPr>
        <w:cr/>
      </w:r>
      <w:r>
        <w:rPr>
          <w:rFonts w:ascii="Times New Roman" w:hAnsi="Times New Roman"/>
          <w:noProof/>
          <w:sz w:val="24"/>
          <w:szCs w:val="24"/>
        </w:rPr>
        <w:br/>
        <w:t xml:space="preserve"> En algunos otros —Dinamarca, Irlanda, Chipre, Luxemburgo, Malta y Suecia— se pr</w:t>
      </w:r>
      <w:r>
        <w:rPr>
          <w:rFonts w:ascii="Times New Roman" w:hAnsi="Times New Roman"/>
          <w:noProof/>
          <w:sz w:val="24"/>
          <w:szCs w:val="24"/>
        </w:rPr>
        <w:t>evé un crecimiento de la población en el mismo período. Por su parte, Bélgica, Chequia, Alemania, Estonia, España, Francia, los Países Bajos, Austria, Portugal, Eslovenia, Eslovaquia y Finlandia registrarán un crecimiento inicial seguido de un descenso.</w:t>
      </w:r>
      <w:bookmarkStart w:id="32" w:name="_Toc32414441"/>
    </w:p>
    <w:p w:rsidR="00C80169" w:rsidRDefault="00941F3E">
      <w:pPr>
        <w:keepNext/>
        <w:spacing w:after="0" w:line="240" w:lineRule="auto"/>
        <w:contextualSpacing/>
        <w:jc w:val="center"/>
        <w:rPr>
          <w:rFonts w:ascii="Times New Roman" w:eastAsia="Calibri" w:hAnsi="Times New Roman" w:cs="Times New Roman"/>
          <w:b/>
          <w:bCs/>
          <w:noProof/>
          <w:sz w:val="24"/>
          <w:szCs w:val="24"/>
        </w:rPr>
      </w:pPr>
      <w:r>
        <w:rPr>
          <w:rFonts w:ascii="Times New Roman" w:hAnsi="Times New Roman"/>
          <w:b/>
          <w:bCs/>
          <w:noProof/>
          <w:sz w:val="24"/>
          <w:szCs w:val="24"/>
        </w:rPr>
        <w:t>Po</w:t>
      </w:r>
      <w:r>
        <w:rPr>
          <w:rFonts w:ascii="Times New Roman" w:hAnsi="Times New Roman"/>
          <w:b/>
          <w:bCs/>
          <w:noProof/>
          <w:sz w:val="24"/>
          <w:szCs w:val="24"/>
        </w:rPr>
        <w:t>blación total y variación anual de la población, EU-27, 1960-2070</w:t>
      </w:r>
    </w:p>
    <w:p w:rsidR="00C80169" w:rsidRDefault="00941F3E">
      <w:pPr>
        <w:spacing w:after="0" w:line="240" w:lineRule="auto"/>
        <w:contextualSpacing/>
        <w:rPr>
          <w:rFonts w:ascii="Times New Roman" w:eastAsia="Calibri" w:hAnsi="Times New Roman" w:cs="Times New Roman"/>
          <w:i/>
          <w:noProof/>
          <w:sz w:val="24"/>
          <w:szCs w:val="24"/>
        </w:rPr>
      </w:pPr>
      <w:r>
        <w:rPr>
          <w:noProof/>
          <w:lang w:val="fr-BE" w:eastAsia="fr-BE"/>
        </w:rPr>
        <w:drawing>
          <wp:inline distT="0" distB="0" distL="0" distR="0">
            <wp:extent cx="5900468" cy="3141335"/>
            <wp:effectExtent l="0" t="0" r="5080" b="254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04240" cy="3143343"/>
                    </a:xfrm>
                    <a:prstGeom prst="rect">
                      <a:avLst/>
                    </a:prstGeom>
                    <a:noFill/>
                    <a:ln>
                      <a:noFill/>
                    </a:ln>
                  </pic:spPr>
                </pic:pic>
              </a:graphicData>
            </a:graphic>
          </wp:inline>
        </w:drawing>
      </w:r>
    </w:p>
    <w:p w:rsidR="00C80169" w:rsidRDefault="00941F3E">
      <w:pPr>
        <w:spacing w:after="0" w:line="240" w:lineRule="auto"/>
        <w:contextualSpacing/>
        <w:rPr>
          <w:rFonts w:ascii="Times New Roman" w:eastAsia="Calibri" w:hAnsi="Times New Roman" w:cs="Times New Roman"/>
          <w:b/>
          <w:i/>
          <w:noProof/>
          <w:sz w:val="24"/>
          <w:szCs w:val="24"/>
          <w:u w:val="single"/>
        </w:rPr>
      </w:pPr>
      <w:r>
        <w:rPr>
          <w:rFonts w:ascii="Times New Roman" w:hAnsi="Times New Roman"/>
          <w:i/>
          <w:noProof/>
          <w:sz w:val="24"/>
          <w:szCs w:val="24"/>
        </w:rPr>
        <w:t xml:space="preserve">Fuente: Eurostat </w:t>
      </w:r>
    </w:p>
    <w:p w:rsidR="00C80169" w:rsidRDefault="00C80169">
      <w:pPr>
        <w:shd w:val="clear" w:color="auto" w:fill="FFFFFF"/>
        <w:rPr>
          <w:rFonts w:ascii="Times New Roman" w:hAnsi="Times New Roman" w:cs="Times New Roman"/>
          <w:noProof/>
          <w:sz w:val="24"/>
          <w:szCs w:val="24"/>
        </w:rPr>
      </w:pPr>
    </w:p>
    <w:p w:rsidR="00C80169" w:rsidRDefault="00941F3E">
      <w:pPr>
        <w:pStyle w:val="Heading1"/>
        <w:rPr>
          <w:noProof/>
        </w:rPr>
      </w:pPr>
      <w:bookmarkStart w:id="33" w:name="_Toc33643876"/>
      <w:bookmarkStart w:id="34" w:name="_Toc33643877"/>
      <w:bookmarkStart w:id="35" w:name="_Toc33643878"/>
      <w:bookmarkStart w:id="36" w:name="_Toc33800401"/>
      <w:bookmarkStart w:id="37" w:name="_Toc43897453"/>
      <w:bookmarkEnd w:id="32"/>
      <w:bookmarkEnd w:id="33"/>
      <w:bookmarkEnd w:id="34"/>
      <w:bookmarkEnd w:id="35"/>
      <w:r>
        <w:rPr>
          <w:noProof/>
        </w:rPr>
        <w:t>EFECTOS DEL CAMBIO DEMOGRÁFICO</w:t>
      </w:r>
      <w:bookmarkEnd w:id="36"/>
      <w:r>
        <w:rPr>
          <w:noProof/>
        </w:rPr>
        <w:t xml:space="preserve"> EN NUESTRA ECONOMÍA SOCIAL DE MERCADO</w:t>
      </w:r>
      <w:bookmarkEnd w:id="37"/>
    </w:p>
    <w:p w:rsidR="00C80169" w:rsidRDefault="00941F3E">
      <w:pPr>
        <w:spacing w:after="120"/>
        <w:jc w:val="both"/>
        <w:rPr>
          <w:rFonts w:ascii="Times New Roman" w:hAnsi="Times New Roman" w:cs="Times New Roman"/>
          <w:noProof/>
          <w:color w:val="000000"/>
          <w:sz w:val="24"/>
          <w:szCs w:val="24"/>
          <w:shd w:val="clear" w:color="auto" w:fill="FFFFFF"/>
        </w:rPr>
      </w:pPr>
      <w:r>
        <w:rPr>
          <w:rFonts w:ascii="Times New Roman" w:hAnsi="Times New Roman"/>
          <w:noProof/>
          <w:sz w:val="24"/>
          <w:szCs w:val="24"/>
          <w:shd w:val="clear" w:color="auto" w:fill="FFFFFF"/>
        </w:rPr>
        <w:t xml:space="preserve">Los efectos del cambio demográfico de Europa se hacen sentir en el conjunto de nuestra economía y </w:t>
      </w:r>
      <w:r>
        <w:rPr>
          <w:rFonts w:ascii="Times New Roman" w:hAnsi="Times New Roman"/>
          <w:noProof/>
          <w:sz w:val="24"/>
          <w:szCs w:val="24"/>
          <w:shd w:val="clear" w:color="auto" w:fill="FFFFFF"/>
        </w:rPr>
        <w:t>nuestra sociedad.</w:t>
      </w:r>
      <w:r>
        <w:rPr>
          <w:rFonts w:ascii="Times New Roman" w:hAnsi="Times New Roman"/>
          <w:noProof/>
          <w:color w:val="000000"/>
          <w:sz w:val="24"/>
          <w:szCs w:val="24"/>
          <w:shd w:val="clear" w:color="auto" w:fill="FFFFFF"/>
        </w:rPr>
        <w:t xml:space="preserve"> Así ha quedado patente en los últimos meses con la paralización de una gran parte de la actividad económica y las necesarias medidas de distanciamiento social que han afectado a nuestra vida cotidiana. </w:t>
      </w:r>
      <w:r>
        <w:rPr>
          <w:rFonts w:ascii="Times New Roman" w:hAnsi="Times New Roman"/>
          <w:noProof/>
          <w:sz w:val="24"/>
          <w:shd w:val="clear" w:color="auto" w:fill="FFFFFF"/>
        </w:rPr>
        <w:t>El cambio demográfico tiene repercus</w:t>
      </w:r>
      <w:r>
        <w:rPr>
          <w:rFonts w:ascii="Times New Roman" w:hAnsi="Times New Roman"/>
          <w:noProof/>
          <w:sz w:val="24"/>
          <w:shd w:val="clear" w:color="auto" w:fill="FFFFFF"/>
        </w:rPr>
        <w:t>iones para el futuro de nuestros sistemas sanitarios y de protección social, nuestros presupuestos y nuestras necesidades de vivienda e infraestructuras.</w:t>
      </w:r>
      <w:r>
        <w:rPr>
          <w:rFonts w:ascii="Times New Roman" w:hAnsi="Times New Roman"/>
          <w:noProof/>
          <w:color w:val="000000"/>
          <w:sz w:val="24"/>
          <w:shd w:val="clear" w:color="auto" w:fill="FFFFFF"/>
        </w:rPr>
        <w:t xml:space="preserve"> </w:t>
      </w:r>
      <w:r>
        <w:rPr>
          <w:rFonts w:ascii="Times New Roman" w:hAnsi="Times New Roman"/>
          <w:noProof/>
          <w:color w:val="000000"/>
          <w:sz w:val="24"/>
          <w:szCs w:val="24"/>
          <w:shd w:val="clear" w:color="auto" w:fill="FFFFFF"/>
        </w:rPr>
        <w:t xml:space="preserve">Es probable que nuestras ciudades y zonas urbanas estén cada vez más pobladas y que las zonas rurales </w:t>
      </w:r>
      <w:r>
        <w:rPr>
          <w:rFonts w:ascii="Times New Roman" w:hAnsi="Times New Roman"/>
          <w:noProof/>
          <w:color w:val="000000"/>
          <w:sz w:val="24"/>
          <w:szCs w:val="24"/>
          <w:shd w:val="clear" w:color="auto" w:fill="FFFFFF"/>
        </w:rPr>
        <w:t xml:space="preserve">se enfrenten a sus propias dificultades. Nuestras carreras seguirán cambiando y tendremos que encontrar soluciones para garantizar que Europa mantenga su competitividad ante el descenso de la población en edad laboral. </w:t>
      </w:r>
    </w:p>
    <w:p w:rsidR="00C80169" w:rsidRDefault="00941F3E">
      <w:pPr>
        <w:spacing w:after="120"/>
        <w:jc w:val="both"/>
        <w:rPr>
          <w:rFonts w:ascii="Times New Roman" w:hAnsi="Times New Roman" w:cs="Times New Roman"/>
          <w:noProof/>
          <w:color w:val="000000"/>
          <w:sz w:val="24"/>
          <w:szCs w:val="24"/>
          <w:shd w:val="clear" w:color="auto" w:fill="FFFFFF"/>
        </w:rPr>
      </w:pPr>
      <w:r>
        <w:rPr>
          <w:rFonts w:ascii="Times New Roman" w:hAnsi="Times New Roman"/>
          <w:noProof/>
          <w:color w:val="000000"/>
          <w:sz w:val="24"/>
          <w:szCs w:val="24"/>
          <w:shd w:val="clear" w:color="auto" w:fill="FFFFFF"/>
        </w:rPr>
        <w:t>La estructura económica y demográfic</w:t>
      </w:r>
      <w:r>
        <w:rPr>
          <w:rFonts w:ascii="Times New Roman" w:hAnsi="Times New Roman"/>
          <w:noProof/>
          <w:color w:val="000000"/>
          <w:sz w:val="24"/>
          <w:szCs w:val="24"/>
          <w:shd w:val="clear" w:color="auto" w:fill="FFFFFF"/>
        </w:rPr>
        <w:t>a de un país incidirá en la velocidad y capacidad de recuperación. En otros lugares se dará una coincidencia entre cambio demográfico a largo plazo y necesidades de recuperación. En este contexto, las necesidades son variadas, desde la de aumentar la resil</w:t>
      </w:r>
      <w:r>
        <w:rPr>
          <w:rFonts w:ascii="Times New Roman" w:hAnsi="Times New Roman"/>
          <w:noProof/>
          <w:color w:val="000000"/>
          <w:sz w:val="24"/>
          <w:szCs w:val="24"/>
          <w:shd w:val="clear" w:color="auto" w:fill="FFFFFF"/>
        </w:rPr>
        <w:t>iencia de nuestros sistemas de asistencia sanitaria y de cuidados de larga duración hasta la de garantizar que nuestras zonas urbanas y rurales puedan hacer frente a la densidad de población o a la falta de servicios.</w:t>
      </w:r>
    </w:p>
    <w:p w:rsidR="00C80169" w:rsidRDefault="00941F3E">
      <w:pPr>
        <w:rPr>
          <w:rFonts w:ascii="Times New Roman" w:hAnsi="Times New Roman" w:cs="Times New Roman"/>
          <w:b/>
          <w:noProof/>
          <w:sz w:val="24"/>
          <w:szCs w:val="24"/>
        </w:rPr>
      </w:pPr>
      <w:r>
        <w:rPr>
          <w:rFonts w:ascii="Times New Roman" w:hAnsi="Times New Roman"/>
          <w:noProof/>
          <w:sz w:val="24"/>
          <w:szCs w:val="24"/>
        </w:rPr>
        <w:t>El Mecanismo de Recuperación y Resiliencia de la Comisión proporcionará apoyo financiero a gran escala para reforzar la resiliencia de las economías de los Estados miembros y su preparación de cara al futuro, en especial ante el cambio demográfico. Las pri</w:t>
      </w:r>
      <w:r>
        <w:rPr>
          <w:rFonts w:ascii="Times New Roman" w:hAnsi="Times New Roman"/>
          <w:noProof/>
          <w:sz w:val="24"/>
          <w:szCs w:val="24"/>
        </w:rPr>
        <w:t xml:space="preserve">oridades de inversión estarán en consonancia con los desafíos definidos en las recomendaciones específicas por país en el marco del Semestre Europeo. </w:t>
      </w:r>
      <w:bookmarkStart w:id="38" w:name="_Toc33800402"/>
      <w:r>
        <w:rPr>
          <w:noProof/>
        </w:rPr>
        <w:br w:type="page"/>
      </w:r>
    </w:p>
    <w:p w:rsidR="00C80169" w:rsidRDefault="00941F3E">
      <w:pPr>
        <w:pStyle w:val="Heading2"/>
        <w:rPr>
          <w:noProof/>
        </w:rPr>
      </w:pPr>
      <w:bookmarkStart w:id="39" w:name="_Toc43897454"/>
      <w:r>
        <w:rPr>
          <w:noProof/>
        </w:rPr>
        <w:t xml:space="preserve">3.1. </w:t>
      </w:r>
      <w:bookmarkEnd w:id="38"/>
      <w:r>
        <w:rPr>
          <w:noProof/>
        </w:rPr>
        <w:t>PERSONAS, TRABAJO Y CAPACIDADES</w:t>
      </w:r>
      <w:bookmarkEnd w:id="39"/>
    </w:p>
    <w:p w:rsidR="00C80169" w:rsidRDefault="00941F3E">
      <w:pPr>
        <w:jc w:val="both"/>
        <w:rPr>
          <w:rFonts w:ascii="Times New Roman" w:hAnsi="Times New Roman" w:cs="Times New Roman"/>
          <w:b/>
          <w:noProof/>
          <w:sz w:val="24"/>
          <w:szCs w:val="24"/>
        </w:rPr>
      </w:pPr>
      <w:r>
        <w:rPr>
          <w:rFonts w:ascii="Times New Roman" w:hAnsi="Times New Roman"/>
          <w:b/>
          <w:noProof/>
          <w:sz w:val="24"/>
          <w:szCs w:val="24"/>
        </w:rPr>
        <w:t>Los efectos del envejecimiento de la población en el mercado labora</w:t>
      </w:r>
      <w:r>
        <w:rPr>
          <w:rFonts w:ascii="Times New Roman" w:hAnsi="Times New Roman"/>
          <w:b/>
          <w:noProof/>
          <w:sz w:val="24"/>
          <w:szCs w:val="24"/>
        </w:rPr>
        <w:t xml:space="preserve">l están acentuándose. </w:t>
      </w:r>
      <w:r>
        <w:rPr>
          <w:rFonts w:ascii="Times New Roman" w:hAnsi="Times New Roman"/>
          <w:noProof/>
          <w:sz w:val="24"/>
          <w:szCs w:val="24"/>
        </w:rPr>
        <w:t>La población de la EU-27 en edad laboral viene descendiendo desde hace diez años y, según las proyecciones, se habrá reducido un 18 % en 2070. La situación difiere considerablemente entre Estados miembros y regiones.</w:t>
      </w:r>
    </w:p>
    <w:p w:rsidR="00C80169" w:rsidRDefault="00941F3E">
      <w:pPr>
        <w:spacing w:after="0"/>
        <w:jc w:val="center"/>
        <w:rPr>
          <w:rFonts w:ascii="Times New Roman" w:hAnsi="Times New Roman"/>
          <w:b/>
          <w:noProof/>
          <w:sz w:val="24"/>
          <w:szCs w:val="24"/>
        </w:rPr>
      </w:pPr>
      <w:r>
        <w:rPr>
          <w:rFonts w:ascii="Times New Roman" w:hAnsi="Times New Roman"/>
          <w:b/>
          <w:noProof/>
          <w:sz w:val="24"/>
          <w:szCs w:val="24"/>
        </w:rPr>
        <w:t>Variación de la p</w:t>
      </w:r>
      <w:r>
        <w:rPr>
          <w:rFonts w:ascii="Times New Roman" w:hAnsi="Times New Roman"/>
          <w:b/>
          <w:noProof/>
          <w:sz w:val="24"/>
          <w:szCs w:val="24"/>
        </w:rPr>
        <w:t>oblación de entre 20 y 64 años, por región</w:t>
      </w:r>
      <w:r>
        <w:rPr>
          <w:rFonts w:ascii="Times New Roman" w:hAnsi="Times New Roman" w:cs="Times New Roman"/>
          <w:b/>
          <w:bCs/>
          <w:noProof/>
          <w:sz w:val="24"/>
          <w:szCs w:val="24"/>
          <w:vertAlign w:val="superscript"/>
        </w:rPr>
        <w:footnoteReference w:id="22"/>
      </w:r>
      <w:r>
        <w:rPr>
          <w:rFonts w:ascii="Times New Roman" w:hAnsi="Times New Roman"/>
          <w:b/>
          <w:noProof/>
          <w:sz w:val="24"/>
          <w:szCs w:val="24"/>
        </w:rPr>
        <w:t>, 2020-2030</w:t>
      </w:r>
    </w:p>
    <w:p w:rsidR="00C80169" w:rsidRDefault="00C80169">
      <w:pPr>
        <w:spacing w:after="0"/>
        <w:jc w:val="center"/>
        <w:rPr>
          <w:rFonts w:ascii="Times New Roman" w:hAnsi="Times New Roman" w:cs="Times New Roman"/>
          <w:b/>
          <w:noProof/>
          <w:sz w:val="24"/>
          <w:szCs w:val="24"/>
        </w:rPr>
      </w:pPr>
    </w:p>
    <w:p w:rsidR="00C80169" w:rsidRDefault="00941F3E">
      <w:pPr>
        <w:jc w:val="center"/>
        <w:rPr>
          <w:rFonts w:ascii="Times New Roman" w:hAnsi="Times New Roman" w:cs="Times New Roman"/>
          <w:noProof/>
          <w:sz w:val="24"/>
          <w:szCs w:val="24"/>
        </w:rPr>
      </w:pPr>
      <w:r>
        <w:rPr>
          <w:rFonts w:ascii="Times New Roman" w:hAnsi="Times New Roman" w:cs="Times New Roman"/>
          <w:noProof/>
          <w:sz w:val="24"/>
          <w:szCs w:val="24"/>
          <w:lang w:val="fr-BE" w:eastAsia="fr-BE"/>
        </w:rPr>
        <w:drawing>
          <wp:inline distT="0" distB="0" distL="0" distR="0">
            <wp:extent cx="4218317" cy="6084111"/>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220155" cy="6086762"/>
                    </a:xfrm>
                    <a:prstGeom prst="rect">
                      <a:avLst/>
                    </a:prstGeom>
                    <a:noFill/>
                    <a:ln>
                      <a:noFill/>
                    </a:ln>
                  </pic:spPr>
                </pic:pic>
              </a:graphicData>
            </a:graphic>
          </wp:inline>
        </w:drawing>
      </w:r>
    </w:p>
    <w:p w:rsidR="00C80169" w:rsidRDefault="00941F3E">
      <w:pPr>
        <w:spacing w:after="0"/>
        <w:jc w:val="both"/>
        <w:rPr>
          <w:rFonts w:ascii="Times New Roman" w:hAnsi="Times New Roman" w:cs="Times New Roman"/>
          <w:noProof/>
          <w:sz w:val="24"/>
          <w:szCs w:val="24"/>
        </w:rPr>
      </w:pPr>
      <w:r>
        <w:rPr>
          <w:rFonts w:ascii="Times New Roman" w:hAnsi="Times New Roman"/>
          <w:noProof/>
          <w:sz w:val="24"/>
          <w:szCs w:val="24"/>
        </w:rPr>
        <w:t xml:space="preserve">Según proyecciones económicas realizadas en 2018, </w:t>
      </w:r>
      <w:r>
        <w:rPr>
          <w:rFonts w:ascii="Times New Roman" w:hAnsi="Times New Roman"/>
          <w:b/>
          <w:noProof/>
          <w:sz w:val="24"/>
          <w:szCs w:val="24"/>
        </w:rPr>
        <w:t>el número de personas con empleo podría alcanzar su máximo en 2020</w:t>
      </w:r>
      <w:r>
        <w:rPr>
          <w:rFonts w:ascii="Times New Roman" w:hAnsi="Times New Roman"/>
          <w:noProof/>
          <w:sz w:val="24"/>
          <w:szCs w:val="24"/>
        </w:rPr>
        <w:t>, seguido de un descenso constante durante las próximas décadas</w:t>
      </w:r>
      <w:r>
        <w:rPr>
          <w:rStyle w:val="FootnoteReference"/>
          <w:rFonts w:ascii="Times New Roman" w:hAnsi="Times New Roman" w:cs="Times New Roman"/>
          <w:noProof/>
          <w:sz w:val="24"/>
          <w:szCs w:val="24"/>
        </w:rPr>
        <w:footnoteReference w:id="23"/>
      </w:r>
      <w:r>
        <w:rPr>
          <w:rFonts w:ascii="Times New Roman" w:hAnsi="Times New Roman"/>
          <w:noProof/>
          <w:sz w:val="24"/>
          <w:szCs w:val="24"/>
        </w:rPr>
        <w:t>. Aún es prematuro</w:t>
      </w:r>
      <w:r>
        <w:rPr>
          <w:rFonts w:ascii="Times New Roman" w:hAnsi="Times New Roman"/>
          <w:noProof/>
          <w:sz w:val="24"/>
          <w:szCs w:val="24"/>
        </w:rPr>
        <w:t xml:space="preserve"> determinar si la crisis actual alterará las proyecciones a largo plazo, pero las primeras previsiones realizadas desde el inicio del brote</w:t>
      </w:r>
      <w:r>
        <w:rPr>
          <w:rStyle w:val="FootnoteReference"/>
          <w:rFonts w:ascii="Times New Roman" w:hAnsi="Times New Roman" w:cs="Times New Roman"/>
          <w:noProof/>
          <w:sz w:val="24"/>
          <w:szCs w:val="24"/>
        </w:rPr>
        <w:footnoteReference w:id="24"/>
      </w:r>
      <w:r>
        <w:rPr>
          <w:rFonts w:ascii="Times New Roman" w:hAnsi="Times New Roman"/>
          <w:noProof/>
          <w:sz w:val="24"/>
          <w:szCs w:val="24"/>
        </w:rPr>
        <w:t xml:space="preserve"> apuntan a una importante contracción del empleo. En función de cómo se expanda el virus, podría incluso reducirse e</w:t>
      </w:r>
      <w:r>
        <w:rPr>
          <w:rFonts w:ascii="Times New Roman" w:hAnsi="Times New Roman"/>
          <w:noProof/>
          <w:sz w:val="24"/>
          <w:szCs w:val="24"/>
        </w:rPr>
        <w:t xml:space="preserve">l número de personas activas al mismo tiempo. Por tanto, la lucha contra el desempleo, en particular el juvenil, y la atracción de más personas a los mercados laborales serán retos aún más acuciantes. </w:t>
      </w:r>
    </w:p>
    <w:p w:rsidR="00C80169" w:rsidRDefault="00C80169">
      <w:pPr>
        <w:spacing w:after="0"/>
        <w:jc w:val="both"/>
        <w:rPr>
          <w:rFonts w:ascii="Times New Roman" w:hAnsi="Times New Roman" w:cs="Times New Roman"/>
          <w:noProof/>
          <w:sz w:val="24"/>
          <w:szCs w:val="24"/>
        </w:rPr>
      </w:pPr>
    </w:p>
    <w:p w:rsidR="00C80169" w:rsidRDefault="00941F3E">
      <w:pPr>
        <w:spacing w:after="0"/>
        <w:jc w:val="both"/>
        <w:rPr>
          <w:rFonts w:ascii="Times New Roman" w:hAnsi="Times New Roman" w:cs="Times New Roman"/>
          <w:noProof/>
          <w:sz w:val="24"/>
          <w:szCs w:val="24"/>
        </w:rPr>
      </w:pPr>
      <w:r>
        <w:rPr>
          <w:rFonts w:ascii="Times New Roman" w:hAnsi="Times New Roman"/>
          <w:noProof/>
          <w:sz w:val="24"/>
          <w:szCs w:val="24"/>
        </w:rPr>
        <w:t>También está claro que los efectos de una menor pobla</w:t>
      </w:r>
      <w:r>
        <w:rPr>
          <w:rFonts w:ascii="Times New Roman" w:hAnsi="Times New Roman"/>
          <w:noProof/>
          <w:sz w:val="24"/>
          <w:szCs w:val="24"/>
        </w:rPr>
        <w:t>ción en edad laboral se harán sentir de manera más acusada y rápida, salvo —y hasta— que aumente el número de personas actualmente infrarrepresentadas que se incorporen al mercado laboral o participen más en él</w:t>
      </w:r>
      <w:r>
        <w:rPr>
          <w:noProof/>
        </w:rPr>
        <w:t>.</w:t>
      </w:r>
    </w:p>
    <w:p w:rsidR="00C80169" w:rsidRDefault="00C80169">
      <w:pPr>
        <w:spacing w:after="0"/>
        <w:jc w:val="both"/>
        <w:rPr>
          <w:rFonts w:ascii="Times New Roman" w:hAnsi="Times New Roman" w:cs="Times New Roman"/>
          <w:noProof/>
          <w:sz w:val="24"/>
          <w:szCs w:val="24"/>
        </w:rPr>
      </w:pPr>
    </w:p>
    <w:p w:rsidR="00C80169" w:rsidRDefault="00941F3E">
      <w:pPr>
        <w:keepNext/>
        <w:spacing w:after="0"/>
        <w:jc w:val="center"/>
        <w:rPr>
          <w:rFonts w:ascii="Times New Roman" w:hAnsi="Times New Roman" w:cs="Times New Roman"/>
          <w:b/>
          <w:noProof/>
          <w:sz w:val="24"/>
          <w:szCs w:val="24"/>
        </w:rPr>
      </w:pPr>
      <w:r>
        <w:rPr>
          <w:rFonts w:ascii="Times New Roman" w:hAnsi="Times New Roman"/>
          <w:b/>
          <w:noProof/>
          <w:sz w:val="24"/>
          <w:szCs w:val="24"/>
        </w:rPr>
        <w:t>Población en edad laboral (20-64), EU-27, 2</w:t>
      </w:r>
      <w:r>
        <w:rPr>
          <w:rFonts w:ascii="Times New Roman" w:hAnsi="Times New Roman"/>
          <w:b/>
          <w:noProof/>
          <w:sz w:val="24"/>
          <w:szCs w:val="24"/>
        </w:rPr>
        <w:t>001-2070</w:t>
      </w:r>
    </w:p>
    <w:p w:rsidR="00C80169" w:rsidRDefault="00941F3E">
      <w:pPr>
        <w:spacing w:after="0"/>
        <w:jc w:val="center"/>
        <w:rPr>
          <w:rFonts w:ascii="Times New Roman" w:hAnsi="Times New Roman" w:cs="Times New Roman"/>
          <w:noProof/>
          <w:sz w:val="24"/>
          <w:szCs w:val="24"/>
        </w:rPr>
      </w:pPr>
      <w:r>
        <w:rPr>
          <w:noProof/>
          <w:lang w:val="fr-BE" w:eastAsia="fr-BE"/>
        </w:rPr>
        <w:drawing>
          <wp:inline distT="0" distB="0" distL="0" distR="0">
            <wp:extent cx="6192520" cy="3137054"/>
            <wp:effectExtent l="0" t="0" r="0" b="63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192520" cy="3137054"/>
                    </a:xfrm>
                    <a:prstGeom prst="rect">
                      <a:avLst/>
                    </a:prstGeom>
                    <a:noFill/>
                    <a:ln>
                      <a:noFill/>
                    </a:ln>
                  </pic:spPr>
                </pic:pic>
              </a:graphicData>
            </a:graphic>
          </wp:inline>
        </w:drawing>
      </w:r>
    </w:p>
    <w:p w:rsidR="00C80169" w:rsidRDefault="00941F3E">
      <w:pPr>
        <w:spacing w:after="0"/>
        <w:contextualSpacing/>
        <w:rPr>
          <w:rFonts w:ascii="Times New Roman" w:hAnsi="Times New Roman" w:cs="Times New Roman"/>
          <w:i/>
          <w:noProof/>
          <w:sz w:val="24"/>
          <w:szCs w:val="24"/>
        </w:rPr>
      </w:pPr>
      <w:r>
        <w:rPr>
          <w:rFonts w:ascii="Times New Roman" w:hAnsi="Times New Roman"/>
          <w:i/>
          <w:noProof/>
          <w:sz w:val="24"/>
        </w:rPr>
        <w:t>Fuente: Eurostat</w:t>
      </w:r>
    </w:p>
    <w:p w:rsidR="00C80169" w:rsidRDefault="00C80169">
      <w:pPr>
        <w:spacing w:after="0"/>
        <w:jc w:val="both"/>
        <w:rPr>
          <w:rFonts w:ascii="Times New Roman" w:hAnsi="Times New Roman" w:cs="Times New Roman"/>
          <w:noProof/>
          <w:sz w:val="24"/>
          <w:szCs w:val="24"/>
        </w:rPr>
      </w:pPr>
    </w:p>
    <w:p w:rsidR="00C80169" w:rsidRDefault="00941F3E">
      <w:pPr>
        <w:pStyle w:val="Heading2"/>
        <w:keepNext/>
        <w:rPr>
          <w:noProof/>
        </w:rPr>
      </w:pPr>
      <w:bookmarkStart w:id="40" w:name="_Toc33800403"/>
      <w:bookmarkStart w:id="41" w:name="_Toc32414443"/>
      <w:bookmarkStart w:id="42" w:name="_Toc32444154"/>
      <w:bookmarkStart w:id="43" w:name="_Toc43897455"/>
      <w:r>
        <w:rPr>
          <w:noProof/>
        </w:rPr>
        <w:t>3.1.1. UN MERCADO LABORAL MAYOR Y MÁS INCLUSIVO</w:t>
      </w:r>
      <w:bookmarkEnd w:id="40"/>
      <w:bookmarkEnd w:id="41"/>
      <w:bookmarkEnd w:id="42"/>
      <w:bookmarkEnd w:id="43"/>
    </w:p>
    <w:p w:rsidR="00C80169" w:rsidRDefault="00941F3E">
      <w:pPr>
        <w:spacing w:after="0"/>
        <w:jc w:val="both"/>
        <w:rPr>
          <w:rFonts w:ascii="Times New Roman" w:hAnsi="Times New Roman" w:cs="Times New Roman"/>
          <w:bCs/>
          <w:noProof/>
          <w:sz w:val="24"/>
          <w:szCs w:val="24"/>
        </w:rPr>
      </w:pPr>
      <w:r>
        <w:rPr>
          <w:rFonts w:ascii="Times New Roman" w:hAnsi="Times New Roman"/>
          <w:bCs/>
          <w:noProof/>
          <w:sz w:val="24"/>
          <w:szCs w:val="24"/>
        </w:rPr>
        <w:t>El descenso de la población en edad laboral pone de relieve la necesidad de que Europa y su mercado laboral aprovechen todos sus puntos fuertes, sus talentos y su diversidad.</w:t>
      </w:r>
    </w:p>
    <w:p w:rsidR="00C80169" w:rsidRDefault="00C80169">
      <w:pPr>
        <w:spacing w:after="0"/>
        <w:jc w:val="both"/>
        <w:rPr>
          <w:rFonts w:ascii="Times New Roman" w:hAnsi="Times New Roman" w:cs="Times New Roman"/>
          <w:b/>
          <w:noProof/>
          <w:sz w:val="24"/>
          <w:szCs w:val="24"/>
        </w:rPr>
      </w:pPr>
    </w:p>
    <w:p w:rsidR="00C80169" w:rsidRDefault="00941F3E">
      <w:pPr>
        <w:spacing w:after="160"/>
        <w:jc w:val="both"/>
        <w:rPr>
          <w:rFonts w:ascii="Times New Roman" w:hAnsi="Times New Roman" w:cs="Times New Roman"/>
          <w:noProof/>
          <w:sz w:val="24"/>
          <w:szCs w:val="24"/>
        </w:rPr>
      </w:pPr>
      <w:r>
        <w:rPr>
          <w:rFonts w:ascii="Times New Roman" w:hAnsi="Times New Roman"/>
          <w:b/>
          <w:noProof/>
          <w:sz w:val="24"/>
          <w:szCs w:val="24"/>
        </w:rPr>
        <w:t xml:space="preserve">El </w:t>
      </w:r>
      <w:r>
        <w:rPr>
          <w:rFonts w:ascii="Times New Roman" w:hAnsi="Times New Roman"/>
          <w:b/>
          <w:noProof/>
          <w:sz w:val="24"/>
          <w:szCs w:val="24"/>
        </w:rPr>
        <w:t>impulso de la tasa de empleo de las mujeres revestirá una importancia crucial</w:t>
      </w:r>
      <w:r>
        <w:rPr>
          <w:rFonts w:ascii="Times New Roman" w:hAnsi="Times New Roman"/>
          <w:noProof/>
          <w:sz w:val="24"/>
          <w:szCs w:val="24"/>
        </w:rPr>
        <w:t xml:space="preserve">. La brecha de empleo entre mujeres y hombres se situó en el 12 % en 2019, y es incluso mayor si se tiene en cuenta la notable diferencia entre hombres y mujeres en las cifras de </w:t>
      </w:r>
      <w:r>
        <w:rPr>
          <w:rFonts w:ascii="Times New Roman" w:hAnsi="Times New Roman"/>
          <w:noProof/>
          <w:sz w:val="24"/>
          <w:szCs w:val="24"/>
        </w:rPr>
        <w:t>trabajo a tiempo parcial. En 2019, 3 de cada 10 mujeres empleadas trabajaban a tiempo parcial, casi cuatro veces más que los hombres. Es posible que estas situaciones se hayan percibido de forma más acusada con motivo de la pandemia, durante la cual los cu</w:t>
      </w:r>
      <w:r>
        <w:rPr>
          <w:rFonts w:ascii="Times New Roman" w:hAnsi="Times New Roman"/>
          <w:noProof/>
          <w:sz w:val="24"/>
          <w:szCs w:val="24"/>
        </w:rPr>
        <w:t xml:space="preserve">idados a los mayores, las personas con discapacidad o los niños han tenido que organizarse con medios privados y han recaído en gran medida en las mujeres. En algunos Estados miembros, la falta de servicios formales de cuidados de larga duración adecuados </w:t>
      </w:r>
      <w:r>
        <w:rPr>
          <w:rFonts w:ascii="Times New Roman" w:hAnsi="Times New Roman"/>
          <w:noProof/>
          <w:sz w:val="24"/>
          <w:szCs w:val="24"/>
        </w:rPr>
        <w:t>o de fórmulas de trabajo flexible e incentivos para las personas que aportan la segunda fuente de ingresos en un hogar contribuye a acentuar este fenómeno.</w:t>
      </w:r>
    </w:p>
    <w:p w:rsidR="00C80169" w:rsidRDefault="00941F3E">
      <w:pPr>
        <w:spacing w:after="0"/>
        <w:jc w:val="both"/>
        <w:rPr>
          <w:rFonts w:ascii="Times New Roman" w:hAnsi="Times New Roman" w:cs="Times New Roman"/>
          <w:noProof/>
          <w:sz w:val="24"/>
          <w:szCs w:val="24"/>
        </w:rPr>
      </w:pPr>
      <w:r>
        <w:rPr>
          <w:rFonts w:ascii="Times New Roman" w:hAnsi="Times New Roman"/>
          <w:noProof/>
          <w:sz w:val="24"/>
          <w:szCs w:val="24"/>
        </w:rPr>
        <w:t xml:space="preserve">En el núcleo de esta situación se sitúa el reto de </w:t>
      </w:r>
      <w:r>
        <w:rPr>
          <w:rFonts w:ascii="Times New Roman" w:hAnsi="Times New Roman"/>
          <w:b/>
          <w:noProof/>
          <w:sz w:val="24"/>
          <w:szCs w:val="24"/>
        </w:rPr>
        <w:t>conciliar la vida laboral y la vida familiar.</w:t>
      </w:r>
      <w:r>
        <w:rPr>
          <w:rFonts w:ascii="Times New Roman" w:hAnsi="Times New Roman"/>
          <w:noProof/>
          <w:sz w:val="24"/>
          <w:szCs w:val="24"/>
        </w:rPr>
        <w:t xml:space="preserve"> En </w:t>
      </w:r>
      <w:r>
        <w:rPr>
          <w:rFonts w:ascii="Times New Roman" w:hAnsi="Times New Roman"/>
          <w:noProof/>
          <w:sz w:val="24"/>
          <w:szCs w:val="24"/>
        </w:rPr>
        <w:t>2019, la tasa de empleo de las mujeres con hijos menores de 6 años se situó casi 14 puntos porcentuales por debajo de la de las mujeres sin niños. Además, las mujeres siguen percibiendo salarios inferiores a los que perciben los hombres; la brecha salarial</w:t>
      </w:r>
      <w:r>
        <w:rPr>
          <w:rFonts w:ascii="Times New Roman" w:hAnsi="Times New Roman"/>
          <w:noProof/>
          <w:sz w:val="24"/>
          <w:szCs w:val="24"/>
        </w:rPr>
        <w:t xml:space="preserve"> entre hombres y mujeres se sitúa actualmente en el 14,8 %. La Comisión está tratando esta problemática en el marco de su labor en materia de igualdad y en su </w:t>
      </w:r>
      <w:r>
        <w:rPr>
          <w:rFonts w:ascii="Times New Roman" w:hAnsi="Times New Roman"/>
          <w:b/>
          <w:noProof/>
          <w:sz w:val="24"/>
          <w:szCs w:val="24"/>
        </w:rPr>
        <w:t>nueva estrategia de género 2020-2025</w:t>
      </w:r>
      <w:r>
        <w:rPr>
          <w:rStyle w:val="FootnoteReference"/>
          <w:rFonts w:ascii="Times New Roman" w:hAnsi="Times New Roman" w:cs="Times New Roman"/>
          <w:noProof/>
          <w:sz w:val="24"/>
          <w:szCs w:val="24"/>
        </w:rPr>
        <w:footnoteReference w:id="25"/>
      </w:r>
      <w:r>
        <w:rPr>
          <w:rFonts w:ascii="Times New Roman" w:hAnsi="Times New Roman"/>
          <w:noProof/>
          <w:sz w:val="24"/>
          <w:szCs w:val="24"/>
        </w:rPr>
        <w:t>.</w:t>
      </w:r>
    </w:p>
    <w:p w:rsidR="00C80169" w:rsidRDefault="00C80169">
      <w:pPr>
        <w:spacing w:after="0"/>
        <w:rPr>
          <w:rFonts w:ascii="Times New Roman" w:hAnsi="Times New Roman" w:cs="Times New Roman"/>
          <w:noProof/>
          <w:sz w:val="24"/>
          <w:szCs w:val="24"/>
        </w:rPr>
      </w:pPr>
    </w:p>
    <w:p w:rsidR="00C80169" w:rsidRDefault="00941F3E">
      <w:pPr>
        <w:spacing w:after="0"/>
        <w:jc w:val="both"/>
        <w:rPr>
          <w:rFonts w:ascii="Times New Roman" w:hAnsi="Times New Roman" w:cs="Times New Roman"/>
          <w:noProof/>
          <w:sz w:val="24"/>
          <w:szCs w:val="24"/>
        </w:rPr>
      </w:pPr>
      <w:r>
        <w:rPr>
          <w:rFonts w:ascii="Times New Roman" w:hAnsi="Times New Roman"/>
          <w:b/>
          <w:noProof/>
          <w:sz w:val="24"/>
          <w:szCs w:val="24"/>
        </w:rPr>
        <w:t>Avanzar más en el empleo de trabajadores de más edad tamb</w:t>
      </w:r>
      <w:r>
        <w:rPr>
          <w:rFonts w:ascii="Times New Roman" w:hAnsi="Times New Roman"/>
          <w:b/>
          <w:noProof/>
          <w:sz w:val="24"/>
          <w:szCs w:val="24"/>
        </w:rPr>
        <w:t>ién ayudaría</w:t>
      </w:r>
      <w:r>
        <w:rPr>
          <w:rFonts w:ascii="Times New Roman" w:hAnsi="Times New Roman"/>
          <w:noProof/>
          <w:sz w:val="24"/>
          <w:szCs w:val="24"/>
        </w:rPr>
        <w:t>. En 2019, la tasa de empleo de los trabajadores de más edad (de 55 a 64 años) se situaba en el 59,1 % en la EU-27, frente a un 44,1 % en 2009. La consecución de más avances exigiría la aplicación de políticas que permitieran que las personas t</w:t>
      </w:r>
      <w:r>
        <w:rPr>
          <w:rFonts w:ascii="Times New Roman" w:hAnsi="Times New Roman"/>
          <w:noProof/>
          <w:sz w:val="24"/>
          <w:szCs w:val="24"/>
        </w:rPr>
        <w:t>rabajasen más tiempo, se mantuvieran más en forma y tuvieran actualizadas sus capacidades,</w:t>
      </w:r>
      <w:r>
        <w:rPr>
          <w:noProof/>
        </w:rPr>
        <w:t xml:space="preserve"> </w:t>
      </w:r>
      <w:r>
        <w:rPr>
          <w:rFonts w:ascii="Times New Roman" w:hAnsi="Times New Roman"/>
          <w:noProof/>
          <w:sz w:val="24"/>
          <w:szCs w:val="24"/>
        </w:rPr>
        <w:t>así como el reconocimiento de nuevas capacidades y cualificaciones. A medio plazo, es probable que el envejecimiento de la población exija prolongar la vida laboral.</w:t>
      </w:r>
      <w:r>
        <w:rPr>
          <w:rFonts w:ascii="Times New Roman" w:hAnsi="Times New Roman"/>
          <w:noProof/>
          <w:sz w:val="24"/>
          <w:szCs w:val="24"/>
        </w:rPr>
        <w:t xml:space="preserve"> El </w:t>
      </w:r>
      <w:r>
        <w:rPr>
          <w:rFonts w:ascii="Times New Roman" w:hAnsi="Times New Roman"/>
          <w:b/>
          <w:noProof/>
          <w:sz w:val="24"/>
          <w:szCs w:val="24"/>
        </w:rPr>
        <w:t>Libro Verde sobre el Envejecimiento</w:t>
      </w:r>
      <w:r>
        <w:rPr>
          <w:rFonts w:ascii="Times New Roman" w:hAnsi="Times New Roman"/>
          <w:noProof/>
          <w:sz w:val="24"/>
          <w:szCs w:val="24"/>
        </w:rPr>
        <w:t xml:space="preserve"> que se publicará próximamente abordará esta cuestión con mayor profundidad, tomando plenamente en consideración las vulnerabilidades que han surgido durante la pandemia. </w:t>
      </w:r>
    </w:p>
    <w:p w:rsidR="00C80169" w:rsidRDefault="00C80169">
      <w:pPr>
        <w:spacing w:after="0"/>
        <w:jc w:val="both"/>
        <w:rPr>
          <w:rFonts w:ascii="Times New Roman" w:hAnsi="Times New Roman" w:cs="Times New Roman"/>
          <w:noProof/>
          <w:sz w:val="24"/>
          <w:szCs w:val="24"/>
        </w:rPr>
      </w:pPr>
    </w:p>
    <w:p w:rsidR="00C80169" w:rsidRDefault="00941F3E">
      <w:pPr>
        <w:spacing w:after="0"/>
        <w:jc w:val="both"/>
        <w:rPr>
          <w:rFonts w:ascii="Times New Roman" w:hAnsi="Times New Roman" w:cs="Times New Roman"/>
          <w:noProof/>
          <w:sz w:val="24"/>
          <w:szCs w:val="24"/>
        </w:rPr>
      </w:pPr>
      <w:r>
        <w:rPr>
          <w:rFonts w:ascii="Times New Roman" w:hAnsi="Times New Roman"/>
          <w:noProof/>
          <w:sz w:val="24"/>
          <w:szCs w:val="24"/>
        </w:rPr>
        <w:t xml:space="preserve">La </w:t>
      </w:r>
      <w:r>
        <w:rPr>
          <w:rFonts w:ascii="Times New Roman" w:hAnsi="Times New Roman"/>
          <w:b/>
          <w:noProof/>
          <w:sz w:val="24"/>
          <w:szCs w:val="24"/>
        </w:rPr>
        <w:t>inversión en las cualificaciones de perso</w:t>
      </w:r>
      <w:r>
        <w:rPr>
          <w:rFonts w:ascii="Times New Roman" w:hAnsi="Times New Roman"/>
          <w:b/>
          <w:noProof/>
          <w:sz w:val="24"/>
          <w:szCs w:val="24"/>
        </w:rPr>
        <w:t>nas con bajo nivel de educación</w:t>
      </w:r>
      <w:r>
        <w:rPr>
          <w:rFonts w:ascii="Times New Roman" w:hAnsi="Times New Roman"/>
          <w:noProof/>
          <w:sz w:val="24"/>
          <w:szCs w:val="24"/>
        </w:rPr>
        <w:t xml:space="preserve"> seguirá siendo esencial. Más del 10 % de los jóvenes de entre 18 y 24 años abandona los estudios o la formación con escasas o nulas cualificaciones; en las regiones ultraperiféricas este porcentaje supera el 20 %. Entre las </w:t>
      </w:r>
      <w:r>
        <w:rPr>
          <w:rFonts w:ascii="Times New Roman" w:hAnsi="Times New Roman"/>
          <w:noProof/>
          <w:sz w:val="24"/>
          <w:szCs w:val="24"/>
        </w:rPr>
        <w:t xml:space="preserve">personas que abandonan los estudios prematuramente, el 45 % tiene empleo. Hacer realidad el Espacio Europeo de Educación de aquí a 2025, renovar el Espacio Europeo de Investigación y apoyar el empleo juvenil serán herramientas importantes para restablecer </w:t>
      </w:r>
      <w:r>
        <w:rPr>
          <w:rFonts w:ascii="Times New Roman" w:hAnsi="Times New Roman"/>
          <w:noProof/>
          <w:sz w:val="24"/>
          <w:szCs w:val="24"/>
        </w:rPr>
        <w:t xml:space="preserve">el equilibrio. </w:t>
      </w:r>
    </w:p>
    <w:p w:rsidR="00C80169" w:rsidRDefault="00C80169">
      <w:pPr>
        <w:spacing w:after="0"/>
        <w:rPr>
          <w:rFonts w:ascii="Times New Roman" w:hAnsi="Times New Roman" w:cs="Times New Roman"/>
          <w:noProof/>
          <w:sz w:val="24"/>
          <w:szCs w:val="24"/>
        </w:rPr>
      </w:pPr>
    </w:p>
    <w:p w:rsidR="00C80169" w:rsidRDefault="00941F3E">
      <w:pPr>
        <w:spacing w:after="0"/>
        <w:jc w:val="both"/>
        <w:rPr>
          <w:rFonts w:ascii="Times New Roman" w:hAnsi="Times New Roman" w:cs="Times New Roman"/>
          <w:noProof/>
          <w:sz w:val="24"/>
          <w:szCs w:val="24"/>
        </w:rPr>
      </w:pPr>
      <w:r>
        <w:rPr>
          <w:rFonts w:ascii="Times New Roman" w:hAnsi="Times New Roman"/>
          <w:b/>
          <w:noProof/>
          <w:sz w:val="24"/>
          <w:szCs w:val="24"/>
        </w:rPr>
        <w:t>El acceso de personas de perfiles distintos al mercado laboral</w:t>
      </w:r>
      <w:r>
        <w:rPr>
          <w:rFonts w:ascii="Times New Roman" w:hAnsi="Times New Roman"/>
          <w:noProof/>
          <w:sz w:val="24"/>
          <w:szCs w:val="24"/>
        </w:rPr>
        <w:t xml:space="preserve"> contribuiría a aumentar más la tasa de empleo. La tasa de empleo de los nacidos fuera de la UE se sitúa 9,6 puntos porcentuales por debajo de la de los nacidos en la UE, y es e</w:t>
      </w:r>
      <w:r>
        <w:rPr>
          <w:rFonts w:ascii="Times New Roman" w:hAnsi="Times New Roman"/>
          <w:noProof/>
          <w:sz w:val="24"/>
          <w:szCs w:val="24"/>
        </w:rPr>
        <w:t xml:space="preserve">specialmente baja entre las mujeres. La situación de los nacionales de terceros países es similar. </w:t>
      </w:r>
    </w:p>
    <w:p w:rsidR="00C80169" w:rsidRDefault="00C80169">
      <w:pPr>
        <w:spacing w:after="0"/>
        <w:jc w:val="both"/>
        <w:rPr>
          <w:rFonts w:ascii="Times New Roman" w:hAnsi="Times New Roman" w:cs="Times New Roman"/>
          <w:noProof/>
          <w:sz w:val="24"/>
          <w:szCs w:val="24"/>
        </w:rPr>
      </w:pPr>
    </w:p>
    <w:p w:rsidR="00C80169" w:rsidRDefault="00941F3E">
      <w:pPr>
        <w:spacing w:after="0"/>
        <w:jc w:val="both"/>
        <w:rPr>
          <w:rFonts w:ascii="Times New Roman" w:hAnsi="Times New Roman" w:cs="Times New Roman"/>
          <w:noProof/>
          <w:sz w:val="24"/>
          <w:szCs w:val="24"/>
        </w:rPr>
      </w:pPr>
      <w:r>
        <w:rPr>
          <w:rFonts w:ascii="Times New Roman" w:hAnsi="Times New Roman"/>
          <w:noProof/>
          <w:sz w:val="24"/>
          <w:szCs w:val="24"/>
        </w:rPr>
        <w:t xml:space="preserve">La </w:t>
      </w:r>
      <w:r>
        <w:rPr>
          <w:rFonts w:ascii="Times New Roman" w:hAnsi="Times New Roman"/>
          <w:b/>
          <w:noProof/>
          <w:sz w:val="24"/>
          <w:szCs w:val="24"/>
        </w:rPr>
        <w:t>apertura del mercado laboral a las personas con discapacidad</w:t>
      </w:r>
      <w:r>
        <w:rPr>
          <w:rFonts w:ascii="Times New Roman" w:hAnsi="Times New Roman"/>
          <w:noProof/>
          <w:sz w:val="24"/>
          <w:szCs w:val="24"/>
        </w:rPr>
        <w:t xml:space="preserve"> contribuiría a una sociedad más justa y a combatir los efectos del cambio demográfico. Sin </w:t>
      </w:r>
      <w:r>
        <w:rPr>
          <w:rFonts w:ascii="Times New Roman" w:hAnsi="Times New Roman"/>
          <w:noProof/>
          <w:sz w:val="24"/>
          <w:szCs w:val="24"/>
        </w:rPr>
        <w:t>embargo, la tasa de empleo de las personas con discapacidad en la UE es reducida por las numerosas barreras a las que se enfrentan, en particular, a la discriminación y la falta de accesibilidad en el lugar de trabajo, el alojamiento y la educación de gran</w:t>
      </w:r>
      <w:r>
        <w:rPr>
          <w:rFonts w:ascii="Times New Roman" w:hAnsi="Times New Roman"/>
          <w:noProof/>
          <w:sz w:val="24"/>
          <w:szCs w:val="24"/>
        </w:rPr>
        <w:t xml:space="preserve"> calidad. Esas barreras pueden basarse en una percepción negativa y en una reticencia injusta a la contratación de personas con discapacidad.</w:t>
      </w:r>
    </w:p>
    <w:p w:rsidR="00C80169" w:rsidRDefault="00C80169">
      <w:pPr>
        <w:spacing w:after="0"/>
        <w:jc w:val="both"/>
        <w:rPr>
          <w:rFonts w:ascii="Times New Roman" w:hAnsi="Times New Roman" w:cs="Times New Roman"/>
          <w:b/>
          <w:noProof/>
          <w:sz w:val="24"/>
          <w:szCs w:val="24"/>
        </w:rPr>
      </w:pPr>
    </w:p>
    <w:p w:rsidR="00C80169" w:rsidRDefault="00941F3E">
      <w:pPr>
        <w:spacing w:after="0"/>
        <w:jc w:val="both"/>
        <w:rPr>
          <w:rFonts w:ascii="Times New Roman" w:hAnsi="Times New Roman" w:cs="Times New Roman"/>
          <w:noProof/>
          <w:sz w:val="24"/>
          <w:szCs w:val="24"/>
        </w:rPr>
      </w:pPr>
      <w:r>
        <w:rPr>
          <w:rFonts w:ascii="Times New Roman" w:hAnsi="Times New Roman"/>
          <w:b/>
          <w:noProof/>
          <w:sz w:val="24"/>
          <w:szCs w:val="24"/>
        </w:rPr>
        <w:t>Contar con un mercado laboral más amplio y más inclusivo</w:t>
      </w:r>
      <w:r>
        <w:rPr>
          <w:rFonts w:ascii="Times New Roman" w:hAnsi="Times New Roman"/>
          <w:noProof/>
          <w:sz w:val="24"/>
          <w:szCs w:val="24"/>
        </w:rPr>
        <w:t xml:space="preserve"> significa combatir todas las formas de discriminación po</w:t>
      </w:r>
      <w:r>
        <w:rPr>
          <w:rFonts w:ascii="Times New Roman" w:hAnsi="Times New Roman"/>
          <w:noProof/>
          <w:sz w:val="24"/>
          <w:szCs w:val="24"/>
        </w:rPr>
        <w:t>r razón de sexo, origen racial o étnico, religión o creencias, discapacidad, edad u orientación sexual. Los agentes y empresas de la economía social pueden desempeñar un papel destacado en el fomento de un mercado laboral más inclusivo, en beneficio de los</w:t>
      </w:r>
      <w:r>
        <w:rPr>
          <w:rFonts w:ascii="Times New Roman" w:hAnsi="Times New Roman"/>
          <w:noProof/>
          <w:sz w:val="24"/>
          <w:szCs w:val="24"/>
        </w:rPr>
        <w:t xml:space="preserve"> trabajadores y las comunidades locales. </w:t>
      </w:r>
    </w:p>
    <w:p w:rsidR="00C80169" w:rsidRDefault="00C80169">
      <w:pPr>
        <w:spacing w:after="0"/>
        <w:jc w:val="both"/>
        <w:rPr>
          <w:rFonts w:ascii="Times New Roman" w:hAnsi="Times New Roman" w:cs="Times New Roman"/>
          <w:noProof/>
          <w:sz w:val="24"/>
          <w:szCs w:val="24"/>
        </w:rPr>
      </w:pPr>
    </w:p>
    <w:p w:rsidR="00C80169" w:rsidRDefault="00C80169">
      <w:pPr>
        <w:spacing w:after="0"/>
        <w:jc w:val="both"/>
        <w:rPr>
          <w:rFonts w:ascii="Times New Roman" w:hAnsi="Times New Roman" w:cs="Times New Roman"/>
          <w:noProof/>
          <w:sz w:val="24"/>
          <w:szCs w:val="24"/>
        </w:rPr>
      </w:pPr>
    </w:p>
    <w:p w:rsidR="00C80169" w:rsidRDefault="00941F3E">
      <w:pPr>
        <w:pStyle w:val="Heading2"/>
        <w:keepNext/>
        <w:rPr>
          <w:noProof/>
        </w:rPr>
      </w:pPr>
      <w:bookmarkStart w:id="44" w:name="_Toc43897456"/>
      <w:r>
        <w:rPr>
          <w:noProof/>
        </w:rPr>
        <w:t xml:space="preserve">3.1.2. </w:t>
      </w:r>
      <w:bookmarkStart w:id="45" w:name="_Toc33800404"/>
      <w:r>
        <w:rPr>
          <w:noProof/>
        </w:rPr>
        <w:t>PRODUCTIVIDAD MEDIANTE CAPACIDADES</w:t>
      </w:r>
      <w:bookmarkEnd w:id="45"/>
      <w:r>
        <w:rPr>
          <w:noProof/>
        </w:rPr>
        <w:t xml:space="preserve"> Y EDUCACIÓN</w:t>
      </w:r>
      <w:bookmarkEnd w:id="44"/>
    </w:p>
    <w:p w:rsidR="00C80169" w:rsidRDefault="00941F3E">
      <w:pPr>
        <w:keepLines/>
        <w:jc w:val="both"/>
        <w:rPr>
          <w:rFonts w:ascii="Times New Roman" w:hAnsi="Times New Roman" w:cs="Times New Roman"/>
          <w:b/>
          <w:iCs/>
          <w:noProof/>
          <w:sz w:val="24"/>
          <w:szCs w:val="24"/>
        </w:rPr>
      </w:pPr>
      <w:r>
        <w:rPr>
          <w:rFonts w:ascii="Times New Roman" w:hAnsi="Times New Roman"/>
          <w:b/>
          <w:iCs/>
          <w:noProof/>
          <w:sz w:val="24"/>
          <w:szCs w:val="24"/>
        </w:rPr>
        <w:t>A medida que empiece a disminuir la población activa, la resiliencia económica y el crecimiento de la productividad serán aún más importantes.</w:t>
      </w:r>
      <w:r>
        <w:rPr>
          <w:rFonts w:ascii="Times New Roman" w:hAnsi="Times New Roman"/>
          <w:iCs/>
          <w:noProof/>
          <w:sz w:val="24"/>
          <w:szCs w:val="24"/>
        </w:rPr>
        <w:t xml:space="preserve"> Estos factores también serán relevantes para una recuperación sostenible de la crisis. Antes del brote de coronavirus, las proyecciones de la Comisión mostraban que estabilizar el crecimiento del PIB en un 1,3 % anual hasta 2070 exigiría un aumento de la </w:t>
      </w:r>
      <w:r>
        <w:rPr>
          <w:rFonts w:ascii="Times New Roman" w:hAnsi="Times New Roman"/>
          <w:iCs/>
          <w:noProof/>
          <w:sz w:val="24"/>
          <w:szCs w:val="24"/>
        </w:rPr>
        <w:t>productividad laboral de un 1,5 % anual, como promedio</w:t>
      </w:r>
      <w:r>
        <w:rPr>
          <w:rStyle w:val="FootnoteReference"/>
          <w:rFonts w:ascii="Times New Roman" w:hAnsi="Times New Roman" w:cs="Times New Roman"/>
          <w:iCs/>
          <w:noProof/>
          <w:sz w:val="24"/>
          <w:szCs w:val="24"/>
        </w:rPr>
        <w:footnoteReference w:id="26"/>
      </w:r>
      <w:r>
        <w:rPr>
          <w:rFonts w:ascii="Times New Roman" w:hAnsi="Times New Roman"/>
          <w:iCs/>
          <w:noProof/>
          <w:sz w:val="24"/>
          <w:szCs w:val="24"/>
        </w:rPr>
        <w:t xml:space="preserve"> Ahora bien, el aumento de la productividad ha ido ralentizándose; se estimó en un 1 % antes del inicio de la crisis.</w:t>
      </w:r>
    </w:p>
    <w:p w:rsidR="00C80169" w:rsidRDefault="00941F3E">
      <w:pPr>
        <w:jc w:val="both"/>
        <w:rPr>
          <w:rFonts w:ascii="Times New Roman" w:hAnsi="Times New Roman" w:cs="Times New Roman"/>
          <w:iCs/>
          <w:noProof/>
          <w:sz w:val="24"/>
          <w:szCs w:val="24"/>
        </w:rPr>
      </w:pPr>
      <w:r>
        <w:rPr>
          <w:rFonts w:ascii="Times New Roman" w:hAnsi="Times New Roman"/>
          <w:b/>
          <w:iCs/>
          <w:noProof/>
          <w:sz w:val="24"/>
          <w:szCs w:val="24"/>
        </w:rPr>
        <w:t>La transición hacia una economía digital y climáticamente neutra puede contribuir a</w:t>
      </w:r>
      <w:r>
        <w:rPr>
          <w:rFonts w:ascii="Times New Roman" w:hAnsi="Times New Roman"/>
          <w:b/>
          <w:iCs/>
          <w:noProof/>
          <w:sz w:val="24"/>
          <w:szCs w:val="24"/>
        </w:rPr>
        <w:t xml:space="preserve"> impulsar la productividad. </w:t>
      </w:r>
      <w:r>
        <w:rPr>
          <w:rFonts w:ascii="Times New Roman" w:hAnsi="Times New Roman"/>
          <w:iCs/>
          <w:noProof/>
          <w:sz w:val="24"/>
          <w:szCs w:val="24"/>
        </w:rPr>
        <w:t>En esta doble transición serán necesarias la innovación y la difusión tecnológica, junto con una economía más circular y digital que cree nuevos modelos empresariales y nuevas formas de trabajo. La pandemia y sus consecuencias e</w:t>
      </w:r>
      <w:r>
        <w:rPr>
          <w:rFonts w:ascii="Times New Roman" w:hAnsi="Times New Roman"/>
          <w:iCs/>
          <w:noProof/>
          <w:sz w:val="24"/>
          <w:szCs w:val="24"/>
        </w:rPr>
        <w:t>n nuestras vidas y nuestra economía han puesto en evidencia la importancia de la digitalización en todos los ámbitos de la economía y la sociedad de la Unión. También serán importantes la competencia y la existencia de condiciones de igualdad, tal como est</w:t>
      </w:r>
      <w:r>
        <w:rPr>
          <w:rFonts w:ascii="Times New Roman" w:hAnsi="Times New Roman"/>
          <w:iCs/>
          <w:noProof/>
          <w:sz w:val="24"/>
          <w:szCs w:val="24"/>
        </w:rPr>
        <w:t xml:space="preserve">ablece la recientemente adoptada </w:t>
      </w:r>
      <w:r>
        <w:rPr>
          <w:rFonts w:ascii="Times New Roman" w:hAnsi="Times New Roman"/>
          <w:b/>
          <w:iCs/>
          <w:noProof/>
          <w:sz w:val="24"/>
          <w:szCs w:val="24"/>
        </w:rPr>
        <w:t>Nueva Estrategia Industrial para Europa</w:t>
      </w:r>
      <w:r>
        <w:rPr>
          <w:rFonts w:ascii="Times New Roman" w:hAnsi="Times New Roman" w:cs="Times New Roman"/>
          <w:iCs/>
          <w:noProof/>
          <w:sz w:val="24"/>
          <w:szCs w:val="24"/>
          <w:vertAlign w:val="superscript"/>
        </w:rPr>
        <w:footnoteReference w:id="27"/>
      </w:r>
      <w:r>
        <w:rPr>
          <w:rFonts w:ascii="Times New Roman" w:hAnsi="Times New Roman"/>
          <w:iCs/>
          <w:noProof/>
          <w:sz w:val="24"/>
          <w:szCs w:val="24"/>
        </w:rPr>
        <w:t xml:space="preserve">. </w:t>
      </w:r>
    </w:p>
    <w:p w:rsidR="00C80169" w:rsidRDefault="00941F3E">
      <w:pPr>
        <w:jc w:val="both"/>
        <w:rPr>
          <w:rFonts w:ascii="Times New Roman" w:hAnsi="Times New Roman"/>
          <w:noProof/>
          <w:sz w:val="24"/>
        </w:rPr>
      </w:pPr>
      <w:r>
        <w:rPr>
          <w:rFonts w:ascii="Times New Roman" w:hAnsi="Times New Roman"/>
          <w:iCs/>
          <w:noProof/>
          <w:sz w:val="24"/>
          <w:szCs w:val="24"/>
        </w:rPr>
        <w:t>La automatización y el desarrollo de tecnologías nuevas y más limpias pueden contribuir a impulsar la productividad laboral en el futuro; una transición justa para todos será esenc</w:t>
      </w:r>
      <w:r>
        <w:rPr>
          <w:rFonts w:ascii="Times New Roman" w:hAnsi="Times New Roman"/>
          <w:iCs/>
          <w:noProof/>
          <w:sz w:val="24"/>
          <w:szCs w:val="24"/>
        </w:rPr>
        <w:t>ial para aquellos que deban adquirir nuevas capacidades o cambiar de puesto de trabajo.</w:t>
      </w:r>
      <w:r>
        <w:rPr>
          <w:rFonts w:ascii="Times New Roman" w:hAnsi="Times New Roman"/>
          <w:b/>
          <w:iCs/>
          <w:noProof/>
          <w:sz w:val="24"/>
          <w:szCs w:val="24"/>
        </w:rPr>
        <w:t xml:space="preserve"> </w:t>
      </w:r>
      <w:r>
        <w:rPr>
          <w:rFonts w:ascii="Times New Roman" w:hAnsi="Times New Roman"/>
          <w:iCs/>
          <w:noProof/>
          <w:sz w:val="24"/>
          <w:szCs w:val="24"/>
        </w:rPr>
        <w:t>En esta línea, la Comisión ha propuesto reforzar el Fondo de Transición Justa, a fin de atenuar los efectos socioeconómicos de la transición, apoyar el reciclaje profes</w:t>
      </w:r>
      <w:r>
        <w:rPr>
          <w:rFonts w:ascii="Times New Roman" w:hAnsi="Times New Roman"/>
          <w:iCs/>
          <w:noProof/>
          <w:sz w:val="24"/>
          <w:szCs w:val="24"/>
        </w:rPr>
        <w:t xml:space="preserve">ional, ayudar a las pymes a crear nuevas oportunidades económicas e invertir en la transición hacia las energías limpias. </w:t>
      </w:r>
    </w:p>
    <w:p w:rsidR="00C80169" w:rsidRDefault="00941F3E">
      <w:pPr>
        <w:jc w:val="both"/>
        <w:rPr>
          <w:rFonts w:ascii="Times New Roman" w:hAnsi="Times New Roman" w:cs="Times New Roman"/>
          <w:iCs/>
          <w:noProof/>
          <w:sz w:val="24"/>
          <w:szCs w:val="24"/>
        </w:rPr>
      </w:pPr>
      <w:r>
        <w:rPr>
          <w:rFonts w:ascii="Times New Roman" w:hAnsi="Times New Roman"/>
          <w:b/>
          <w:iCs/>
          <w:noProof/>
          <w:sz w:val="24"/>
          <w:szCs w:val="24"/>
        </w:rPr>
        <w:t>Europa necesita una fuerza laboral altamente cualificada, bien formada y adaptable</w:t>
      </w:r>
      <w:r>
        <w:rPr>
          <w:rStyle w:val="FootnoteReference"/>
          <w:rFonts w:ascii="Times New Roman" w:hAnsi="Times New Roman" w:cs="Times New Roman"/>
          <w:b/>
          <w:iCs/>
          <w:noProof/>
          <w:sz w:val="24"/>
          <w:szCs w:val="24"/>
        </w:rPr>
        <w:footnoteReference w:id="28"/>
      </w:r>
      <w:r>
        <w:rPr>
          <w:rFonts w:ascii="Times New Roman" w:hAnsi="Times New Roman"/>
          <w:b/>
          <w:iCs/>
          <w:noProof/>
          <w:sz w:val="24"/>
          <w:szCs w:val="24"/>
        </w:rPr>
        <w:t xml:space="preserve">. </w:t>
      </w:r>
      <w:r>
        <w:rPr>
          <w:rFonts w:ascii="Times New Roman" w:hAnsi="Times New Roman"/>
          <w:iCs/>
          <w:noProof/>
          <w:sz w:val="24"/>
          <w:szCs w:val="24"/>
        </w:rPr>
        <w:t>Hacer del aprendizaje permanente una realidad pa</w:t>
      </w:r>
      <w:r>
        <w:rPr>
          <w:rFonts w:ascii="Times New Roman" w:hAnsi="Times New Roman"/>
          <w:iCs/>
          <w:noProof/>
          <w:sz w:val="24"/>
          <w:szCs w:val="24"/>
        </w:rPr>
        <w:t>ra todos será todavía más importante: en los próximos años, millones de europeos tendrán que mejorar sus capacidades o reciclarse profesionalmente. Atraer mejor capacidades y talentos procedentes del exterior también contribuirá a satisfacer las necesidade</w:t>
      </w:r>
      <w:r>
        <w:rPr>
          <w:rFonts w:ascii="Times New Roman" w:hAnsi="Times New Roman"/>
          <w:iCs/>
          <w:noProof/>
          <w:sz w:val="24"/>
          <w:szCs w:val="24"/>
        </w:rPr>
        <w:t xml:space="preserve">s del mercado de trabajo. </w:t>
      </w:r>
    </w:p>
    <w:p w:rsidR="00C80169" w:rsidRDefault="00941F3E">
      <w:pPr>
        <w:jc w:val="both"/>
        <w:rPr>
          <w:rFonts w:ascii="Times New Roman" w:hAnsi="Times New Roman" w:cs="Times New Roman"/>
          <w:b/>
          <w:iCs/>
          <w:noProof/>
          <w:sz w:val="24"/>
          <w:szCs w:val="24"/>
        </w:rPr>
      </w:pPr>
      <w:r>
        <w:rPr>
          <w:rFonts w:ascii="Times New Roman" w:hAnsi="Times New Roman"/>
          <w:iCs/>
          <w:noProof/>
          <w:sz w:val="24"/>
          <w:szCs w:val="24"/>
        </w:rPr>
        <w:t>A medida que la doble transición va cobrando velocidad, Europa tiene que garantizar que sus capacidades, incluidas las ecológicas y digitales, sigan el ritmo. Antes de la crisis había cerca de un millón de puestos vacantes en Eur</w:t>
      </w:r>
      <w:r>
        <w:rPr>
          <w:rFonts w:ascii="Times New Roman" w:hAnsi="Times New Roman"/>
          <w:iCs/>
          <w:noProof/>
          <w:sz w:val="24"/>
          <w:szCs w:val="24"/>
        </w:rPr>
        <w:t>opa para expertos en tecnología digital, pero el 70 % de las empresas afirmaba estar retrasando las inversiones al no poder encontrar personas con las capacidades adecuadas. Esto se debe a que, en 2019, el 29 % de la población de la UE tenía competencias d</w:t>
      </w:r>
      <w:r>
        <w:rPr>
          <w:rFonts w:ascii="Times New Roman" w:hAnsi="Times New Roman"/>
          <w:iCs/>
          <w:noProof/>
          <w:sz w:val="24"/>
          <w:szCs w:val="24"/>
        </w:rPr>
        <w:t>igitales limitadas, mientras que el 15 % no las tenía en absoluto. La crisis, además, ha resaltado la importancia de las competencias digitales de los niños, estudiantes, profesores y formadores, y de todos nosotros, para comunicarnos y trabajar. Ha revela</w:t>
      </w:r>
      <w:r>
        <w:rPr>
          <w:rFonts w:ascii="Times New Roman" w:hAnsi="Times New Roman"/>
          <w:iCs/>
          <w:noProof/>
          <w:sz w:val="24"/>
          <w:szCs w:val="24"/>
        </w:rPr>
        <w:t xml:space="preserve">do que mucha gente aún no tiene acceso a las herramientas necesarias. La Comisión presentará un </w:t>
      </w:r>
      <w:r>
        <w:rPr>
          <w:rFonts w:ascii="Times New Roman" w:hAnsi="Times New Roman"/>
          <w:b/>
          <w:iCs/>
          <w:noProof/>
          <w:sz w:val="24"/>
          <w:szCs w:val="24"/>
        </w:rPr>
        <w:t>Plan de Acción de Educación Digital</w:t>
      </w:r>
      <w:r>
        <w:rPr>
          <w:rFonts w:ascii="Times New Roman" w:hAnsi="Times New Roman"/>
          <w:iCs/>
          <w:noProof/>
          <w:sz w:val="24"/>
          <w:szCs w:val="24"/>
        </w:rPr>
        <w:t xml:space="preserve"> que establecerá medidas concretas para hacer frente a estos desafíos.</w:t>
      </w:r>
    </w:p>
    <w:p w:rsidR="00C80169" w:rsidRDefault="00941F3E">
      <w:pPr>
        <w:jc w:val="both"/>
        <w:rPr>
          <w:rFonts w:ascii="Times New Roman" w:hAnsi="Times New Roman" w:cs="Times New Roman"/>
          <w:iCs/>
          <w:noProof/>
          <w:sz w:val="24"/>
          <w:szCs w:val="24"/>
        </w:rPr>
      </w:pPr>
      <w:r>
        <w:rPr>
          <w:rFonts w:ascii="Times New Roman" w:hAnsi="Times New Roman"/>
          <w:b/>
          <w:iCs/>
          <w:noProof/>
          <w:sz w:val="24"/>
          <w:szCs w:val="24"/>
        </w:rPr>
        <w:t xml:space="preserve">La solución radica en la inversión en las personas y sus capacidades y en mejorar el acceso a la educación y formación. </w:t>
      </w:r>
      <w:r>
        <w:rPr>
          <w:rFonts w:ascii="Times New Roman" w:hAnsi="Times New Roman"/>
          <w:iCs/>
          <w:noProof/>
          <w:sz w:val="24"/>
          <w:szCs w:val="24"/>
        </w:rPr>
        <w:t>Para ello, será necesaria la acción colectiva de la industria, los Estados miembros, los interlocutores sociales y otras partes interesa</w:t>
      </w:r>
      <w:r>
        <w:rPr>
          <w:rFonts w:ascii="Times New Roman" w:hAnsi="Times New Roman"/>
          <w:iCs/>
          <w:noProof/>
          <w:sz w:val="24"/>
          <w:szCs w:val="24"/>
        </w:rPr>
        <w:t xml:space="preserve">das, a fin de contribuir a la mejora de las capacidades y al reciclaje profesional, así como para desbloquear inversión pública y privada y destinarla a la fuerza laboral. La actualización de la </w:t>
      </w:r>
      <w:r>
        <w:rPr>
          <w:rFonts w:ascii="Times New Roman" w:hAnsi="Times New Roman"/>
          <w:b/>
          <w:iCs/>
          <w:noProof/>
          <w:sz w:val="24"/>
          <w:szCs w:val="24"/>
        </w:rPr>
        <w:t>Agenda de Capacidades</w:t>
      </w:r>
      <w:r>
        <w:rPr>
          <w:rFonts w:ascii="Times New Roman" w:hAnsi="Times New Roman"/>
          <w:iCs/>
          <w:noProof/>
          <w:sz w:val="24"/>
          <w:szCs w:val="24"/>
        </w:rPr>
        <w:t xml:space="preserve"> y la recomendación sobre la formación p</w:t>
      </w:r>
      <w:r>
        <w:rPr>
          <w:rFonts w:ascii="Times New Roman" w:hAnsi="Times New Roman"/>
          <w:iCs/>
          <w:noProof/>
          <w:sz w:val="24"/>
          <w:szCs w:val="24"/>
        </w:rPr>
        <w:t xml:space="preserve">rofesional serán también pasos importantes en esta dirección. </w:t>
      </w:r>
    </w:p>
    <w:p w:rsidR="00C80169" w:rsidRDefault="00941F3E">
      <w:pPr>
        <w:pStyle w:val="Heading2"/>
        <w:keepNext/>
        <w:rPr>
          <w:noProof/>
        </w:rPr>
      </w:pPr>
      <w:bookmarkStart w:id="46" w:name="_Toc32414444"/>
      <w:bookmarkStart w:id="47" w:name="_Toc32444155"/>
      <w:bookmarkStart w:id="48" w:name="_Toc33800405"/>
      <w:bookmarkStart w:id="49" w:name="_Toc43897457"/>
      <w:r>
        <w:rPr>
          <w:noProof/>
        </w:rPr>
        <w:t xml:space="preserve">3.2. </w:t>
      </w:r>
      <w:bookmarkEnd w:id="46"/>
      <w:bookmarkEnd w:id="47"/>
      <w:r>
        <w:rPr>
          <w:noProof/>
        </w:rPr>
        <w:t>ATENCIÓN SANITARIA Y CUIDADOS DE LARGA DURACIÓN</w:t>
      </w:r>
      <w:bookmarkEnd w:id="48"/>
      <w:bookmarkEnd w:id="49"/>
    </w:p>
    <w:p w:rsidR="00C80169" w:rsidRDefault="00941F3E">
      <w:pPr>
        <w:keepLines/>
        <w:spacing w:after="160"/>
        <w:jc w:val="both"/>
        <w:rPr>
          <w:rFonts w:ascii="Times New Roman" w:hAnsi="Times New Roman" w:cs="Times New Roman"/>
          <w:noProof/>
          <w:sz w:val="24"/>
          <w:szCs w:val="24"/>
        </w:rPr>
      </w:pPr>
      <w:r>
        <w:rPr>
          <w:rFonts w:ascii="Times New Roman" w:hAnsi="Times New Roman"/>
          <w:noProof/>
          <w:sz w:val="24"/>
        </w:rPr>
        <w:t>Los sistemas sanitarios y de cuidados de larga duración europeos han estado en primera línea durante la pandemia de COVID-19</w:t>
      </w:r>
      <w:r>
        <w:rPr>
          <w:rStyle w:val="FootnoteReference"/>
          <w:rFonts w:ascii="Times New Roman" w:hAnsi="Times New Roman" w:cs="Times New Roman"/>
          <w:noProof/>
          <w:sz w:val="24"/>
          <w:szCs w:val="24"/>
        </w:rPr>
        <w:footnoteReference w:id="29"/>
      </w:r>
      <w:r>
        <w:rPr>
          <w:rFonts w:ascii="Times New Roman" w:hAnsi="Times New Roman"/>
          <w:noProof/>
          <w:sz w:val="24"/>
        </w:rPr>
        <w:t>.</w:t>
      </w:r>
      <w:r>
        <w:rPr>
          <w:rFonts w:ascii="Times New Roman" w:hAnsi="Times New Roman"/>
          <w:noProof/>
          <w:sz w:val="24"/>
          <w:szCs w:val="24"/>
        </w:rPr>
        <w:t xml:space="preserve"> </w:t>
      </w:r>
      <w:r>
        <w:rPr>
          <w:rFonts w:ascii="Times New Roman" w:hAnsi="Times New Roman"/>
          <w:noProof/>
          <w:sz w:val="24"/>
        </w:rPr>
        <w:t xml:space="preserve">Han sufrido </w:t>
      </w:r>
      <w:r>
        <w:rPr>
          <w:rFonts w:ascii="Times New Roman" w:hAnsi="Times New Roman"/>
          <w:noProof/>
          <w:sz w:val="24"/>
        </w:rPr>
        <w:t>fuertes tensiones en la lucha contra el virus, partiendo de una situación en la que ya estaban sometidos a una creciente presión, en particular como consecuencia del envejecimiento de nuestra sociedad.</w:t>
      </w:r>
      <w:r>
        <w:rPr>
          <w:rFonts w:ascii="Times New Roman" w:hAnsi="Times New Roman"/>
          <w:b/>
          <w:noProof/>
          <w:sz w:val="24"/>
          <w:szCs w:val="24"/>
        </w:rPr>
        <w:t xml:space="preserve"> </w:t>
      </w:r>
      <w:r>
        <w:rPr>
          <w:rFonts w:ascii="Times New Roman" w:hAnsi="Times New Roman"/>
          <w:noProof/>
          <w:sz w:val="24"/>
          <w:szCs w:val="24"/>
        </w:rPr>
        <w:t>Esta situación afecta especialmente a las regiones que</w:t>
      </w:r>
      <w:r>
        <w:rPr>
          <w:rFonts w:ascii="Times New Roman" w:hAnsi="Times New Roman"/>
          <w:noProof/>
          <w:sz w:val="24"/>
          <w:szCs w:val="24"/>
        </w:rPr>
        <w:t>, según las proyecciones, tendrán un considerable aumento de la población de más de 65 años de aquí a 2030.</w:t>
      </w:r>
    </w:p>
    <w:p w:rsidR="00C80169" w:rsidRDefault="00941F3E">
      <w:pPr>
        <w:rPr>
          <w:rFonts w:ascii="Times New Roman" w:hAnsi="Times New Roman"/>
          <w:b/>
          <w:noProof/>
          <w:sz w:val="24"/>
        </w:rPr>
      </w:pPr>
      <w:r>
        <w:rPr>
          <w:rFonts w:ascii="Times New Roman" w:hAnsi="Times New Roman"/>
          <w:b/>
          <w:noProof/>
          <w:sz w:val="24"/>
        </w:rPr>
        <w:br w:type="page"/>
      </w:r>
    </w:p>
    <w:p w:rsidR="00C80169" w:rsidRDefault="00941F3E">
      <w:pPr>
        <w:keepNext/>
        <w:spacing w:after="0"/>
        <w:jc w:val="center"/>
        <w:rPr>
          <w:rFonts w:ascii="Times New Roman" w:hAnsi="Times New Roman"/>
          <w:b/>
          <w:noProof/>
          <w:sz w:val="24"/>
        </w:rPr>
      </w:pPr>
      <w:r>
        <w:rPr>
          <w:rFonts w:ascii="Times New Roman" w:hAnsi="Times New Roman"/>
          <w:b/>
          <w:noProof/>
          <w:sz w:val="24"/>
        </w:rPr>
        <w:t>Variación en el porcentaje de población de 65 años o más, por región</w:t>
      </w:r>
      <w:r>
        <w:rPr>
          <w:rStyle w:val="FootnoteReference"/>
          <w:rFonts w:ascii="Times New Roman" w:hAnsi="Times New Roman" w:cs="Times New Roman"/>
          <w:b/>
          <w:noProof/>
          <w:sz w:val="24"/>
        </w:rPr>
        <w:footnoteReference w:id="30"/>
      </w:r>
      <w:r>
        <w:rPr>
          <w:rFonts w:ascii="Times New Roman" w:hAnsi="Times New Roman"/>
          <w:b/>
          <w:noProof/>
          <w:sz w:val="24"/>
        </w:rPr>
        <w:t>, 2020-2030</w:t>
      </w:r>
    </w:p>
    <w:p w:rsidR="00C80169" w:rsidRDefault="00C80169">
      <w:pPr>
        <w:keepNext/>
        <w:spacing w:after="0"/>
        <w:jc w:val="center"/>
        <w:rPr>
          <w:rFonts w:ascii="Times New Roman" w:hAnsi="Times New Roman" w:cs="Times New Roman"/>
          <w:b/>
          <w:noProof/>
          <w:sz w:val="24"/>
          <w:szCs w:val="24"/>
        </w:rPr>
      </w:pPr>
    </w:p>
    <w:p w:rsidR="00C80169" w:rsidRDefault="00941F3E">
      <w:pPr>
        <w:spacing w:after="0"/>
        <w:jc w:val="center"/>
        <w:rPr>
          <w:rFonts w:ascii="Times New Roman" w:hAnsi="Times New Roman" w:cs="Times New Roman"/>
          <w:noProof/>
          <w:sz w:val="24"/>
          <w:szCs w:val="24"/>
        </w:rPr>
      </w:pPr>
      <w:r>
        <w:rPr>
          <w:rFonts w:ascii="Times New Roman" w:hAnsi="Times New Roman" w:cs="Times New Roman"/>
          <w:noProof/>
          <w:sz w:val="24"/>
          <w:szCs w:val="24"/>
          <w:lang w:val="fr-BE" w:eastAsia="fr-BE"/>
        </w:rPr>
        <w:drawing>
          <wp:inline distT="0" distB="0" distL="0" distR="0">
            <wp:extent cx="4632325" cy="646112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632325" cy="6461125"/>
                    </a:xfrm>
                    <a:prstGeom prst="rect">
                      <a:avLst/>
                    </a:prstGeom>
                    <a:noFill/>
                    <a:ln>
                      <a:noFill/>
                    </a:ln>
                  </pic:spPr>
                </pic:pic>
              </a:graphicData>
            </a:graphic>
          </wp:inline>
        </w:drawing>
      </w:r>
    </w:p>
    <w:p w:rsidR="00C80169" w:rsidRDefault="00941F3E">
      <w:pPr>
        <w:spacing w:after="160"/>
        <w:jc w:val="both"/>
        <w:rPr>
          <w:rFonts w:ascii="Times New Roman" w:hAnsi="Times New Roman" w:cs="Times New Roman"/>
          <w:noProof/>
          <w:sz w:val="24"/>
          <w:szCs w:val="24"/>
        </w:rPr>
      </w:pPr>
      <w:r>
        <w:rPr>
          <w:rFonts w:ascii="Times New Roman" w:hAnsi="Times New Roman"/>
          <w:noProof/>
          <w:sz w:val="24"/>
          <w:szCs w:val="24"/>
        </w:rPr>
        <w:t>El brote de coronavirus ha expuesto las vulnerabilidades de la</w:t>
      </w:r>
      <w:r>
        <w:rPr>
          <w:rFonts w:ascii="Times New Roman" w:hAnsi="Times New Roman"/>
          <w:noProof/>
          <w:sz w:val="24"/>
          <w:szCs w:val="24"/>
        </w:rPr>
        <w:t xml:space="preserve">s personas de edad avanzada a la pandemia y otras enfermedades, sobre todo porque es más probable que estas personas tengan afecciones subyacentes. También ha puesto de manifiesto la necesidad de contar con sistemas de salud pública robustos y con mayores </w:t>
      </w:r>
      <w:r>
        <w:rPr>
          <w:rFonts w:ascii="Times New Roman" w:hAnsi="Times New Roman"/>
          <w:noProof/>
          <w:sz w:val="24"/>
          <w:szCs w:val="24"/>
        </w:rPr>
        <w:t xml:space="preserve">capacidades de unidades de cuidados intensivos. </w:t>
      </w:r>
    </w:p>
    <w:p w:rsidR="00C80169" w:rsidRDefault="00941F3E">
      <w:pPr>
        <w:spacing w:after="160"/>
        <w:jc w:val="both"/>
        <w:rPr>
          <w:rFonts w:ascii="Times New Roman" w:hAnsi="Times New Roman" w:cs="Times New Roman"/>
          <w:noProof/>
          <w:sz w:val="24"/>
          <w:szCs w:val="24"/>
        </w:rPr>
      </w:pPr>
      <w:r>
        <w:rPr>
          <w:rFonts w:ascii="Times New Roman" w:hAnsi="Times New Roman"/>
          <w:noProof/>
          <w:sz w:val="24"/>
          <w:szCs w:val="24"/>
        </w:rPr>
        <w:t>Unos sistemas sanitarios más resilientes necesitan una inversión adecuada y un apoyo financiero acorde con su papel de liderazgo. Es por ello que la Comisión propuso recientemente un programa EU4Health indep</w:t>
      </w:r>
      <w:r>
        <w:rPr>
          <w:rFonts w:ascii="Times New Roman" w:hAnsi="Times New Roman"/>
          <w:noProof/>
          <w:sz w:val="24"/>
          <w:szCs w:val="24"/>
        </w:rPr>
        <w:t>endiente destinado a apoyar a los Estados miembros y la UE en el desarrollo de capacidades y preparación ante crisis</w:t>
      </w:r>
      <w:r>
        <w:rPr>
          <w:rStyle w:val="FootnoteReference"/>
          <w:rFonts w:ascii="Times New Roman" w:hAnsi="Times New Roman" w:cs="Times New Roman"/>
          <w:noProof/>
          <w:sz w:val="24"/>
          <w:szCs w:val="24"/>
        </w:rPr>
        <w:footnoteReference w:id="31"/>
      </w:r>
      <w:r>
        <w:rPr>
          <w:rFonts w:ascii="Times New Roman" w:hAnsi="Times New Roman"/>
          <w:noProof/>
          <w:sz w:val="24"/>
          <w:szCs w:val="24"/>
        </w:rPr>
        <w:t>. Este programa ayudará a hacer realidad una visión a largo plazo de unos sistemas de salud pública eficientes y resilientes, en particular</w:t>
      </w:r>
      <w:r>
        <w:rPr>
          <w:rFonts w:ascii="Times New Roman" w:hAnsi="Times New Roman"/>
          <w:noProof/>
          <w:sz w:val="24"/>
          <w:szCs w:val="24"/>
        </w:rPr>
        <w:t xml:space="preserve"> invirtiendo en la prevención y el control de las enfermedades y mejorando el acceso generalizado a la asistencia sanitaria, el diagnóstico y el tratamiento. Podrá ser el punto de partida de un debate sobre qué más podemos hacer juntos para hacer frente a </w:t>
      </w:r>
      <w:r>
        <w:rPr>
          <w:rFonts w:ascii="Times New Roman" w:hAnsi="Times New Roman"/>
          <w:noProof/>
          <w:sz w:val="24"/>
          <w:szCs w:val="24"/>
        </w:rPr>
        <w:t>una crisis, pero también, más en general, en el sector sanitario.</w:t>
      </w:r>
    </w:p>
    <w:p w:rsidR="00C80169" w:rsidRDefault="00941F3E">
      <w:pPr>
        <w:spacing w:after="160"/>
        <w:jc w:val="both"/>
        <w:rPr>
          <w:rFonts w:ascii="Times New Roman" w:hAnsi="Times New Roman" w:cs="Times New Roman"/>
          <w:i/>
          <w:noProof/>
          <w:sz w:val="24"/>
          <w:szCs w:val="24"/>
        </w:rPr>
      </w:pPr>
      <w:r>
        <w:rPr>
          <w:rFonts w:ascii="Times New Roman" w:hAnsi="Times New Roman"/>
          <w:b/>
          <w:noProof/>
          <w:sz w:val="24"/>
          <w:szCs w:val="24"/>
        </w:rPr>
        <w:t>La creciente carga que suponen las enfermedades crónicas será también un desafío para los sistemas sanitarios de Europa</w:t>
      </w:r>
      <w:r>
        <w:rPr>
          <w:rFonts w:ascii="Times New Roman" w:hAnsi="Times New Roman"/>
          <w:noProof/>
          <w:sz w:val="24"/>
          <w:szCs w:val="24"/>
        </w:rPr>
        <w:t>. Estas enfermedades representan ya entre el 70 % y el 80 % de los cost</w:t>
      </w:r>
      <w:r>
        <w:rPr>
          <w:rFonts w:ascii="Times New Roman" w:hAnsi="Times New Roman"/>
          <w:noProof/>
          <w:sz w:val="24"/>
          <w:szCs w:val="24"/>
        </w:rPr>
        <w:t>es sanitarios</w:t>
      </w:r>
      <w:r>
        <w:rPr>
          <w:rStyle w:val="FootnoteReference"/>
          <w:rFonts w:ascii="Times New Roman" w:hAnsi="Times New Roman" w:cs="Times New Roman"/>
          <w:noProof/>
          <w:sz w:val="24"/>
          <w:szCs w:val="24"/>
        </w:rPr>
        <w:footnoteReference w:id="32"/>
      </w:r>
      <w:r>
        <w:rPr>
          <w:noProof/>
        </w:rPr>
        <w:t>.</w:t>
      </w:r>
      <w:r>
        <w:rPr>
          <w:rFonts w:ascii="Times New Roman" w:hAnsi="Times New Roman"/>
          <w:i/>
          <w:noProof/>
          <w:sz w:val="24"/>
          <w:szCs w:val="24"/>
        </w:rPr>
        <w:t xml:space="preserve"> </w:t>
      </w:r>
      <w:r>
        <w:rPr>
          <w:rFonts w:ascii="Times New Roman" w:hAnsi="Times New Roman"/>
          <w:noProof/>
          <w:sz w:val="24"/>
          <w:szCs w:val="24"/>
        </w:rPr>
        <w:t>Actualmente, unos 50 millones de ciudadanos europeos, la mayoría de más de 65 años de edad, sufren dos o más enfermedades crónicas</w:t>
      </w:r>
      <w:r>
        <w:rPr>
          <w:rFonts w:ascii="Times New Roman" w:hAnsi="Times New Roman" w:cs="Times New Roman"/>
          <w:noProof/>
          <w:sz w:val="24"/>
          <w:szCs w:val="24"/>
          <w:vertAlign w:val="superscript"/>
        </w:rPr>
        <w:footnoteReference w:id="33"/>
      </w:r>
      <w:r>
        <w:rPr>
          <w:rFonts w:ascii="Times New Roman" w:hAnsi="Times New Roman"/>
          <w:noProof/>
          <w:sz w:val="24"/>
          <w:szCs w:val="24"/>
        </w:rPr>
        <w:t xml:space="preserve">. En el contexto de los esfuerzos para reforzar la prevención, la </w:t>
      </w:r>
      <w:r>
        <w:rPr>
          <w:rFonts w:ascii="Times New Roman" w:hAnsi="Times New Roman"/>
          <w:b/>
          <w:noProof/>
          <w:sz w:val="24"/>
          <w:szCs w:val="24"/>
        </w:rPr>
        <w:t>Estrategia «de la granja a la mesa»</w:t>
      </w:r>
      <w:r>
        <w:rPr>
          <w:rStyle w:val="FootnoteReference"/>
          <w:rFonts w:ascii="Times New Roman" w:hAnsi="Times New Roman" w:cs="Times New Roman"/>
          <w:b/>
          <w:noProof/>
          <w:sz w:val="24"/>
          <w:szCs w:val="24"/>
        </w:rPr>
        <w:footnoteReference w:id="34"/>
      </w:r>
      <w:r>
        <w:rPr>
          <w:rFonts w:ascii="Times New Roman" w:hAnsi="Times New Roman"/>
          <w:noProof/>
          <w:sz w:val="24"/>
          <w:szCs w:val="24"/>
        </w:rPr>
        <w:t xml:space="preserve"> tiene por objetivo facilitar más información a los europeos y prestarles apoyo para que puedan optar por hábitos alimentarios más saludables. Teniendo en cuenta que las enfermedades crónicas conllevan mayores riesgos, los trabajos en torno al </w:t>
      </w:r>
      <w:r>
        <w:rPr>
          <w:rFonts w:ascii="Times New Roman" w:hAnsi="Times New Roman"/>
          <w:b/>
          <w:noProof/>
          <w:sz w:val="24"/>
          <w:szCs w:val="24"/>
        </w:rPr>
        <w:t>Plan Europeo</w:t>
      </w:r>
      <w:r>
        <w:rPr>
          <w:rFonts w:ascii="Times New Roman" w:hAnsi="Times New Roman"/>
          <w:b/>
          <w:noProof/>
          <w:sz w:val="24"/>
          <w:szCs w:val="24"/>
        </w:rPr>
        <w:t xml:space="preserve"> de Lucha contra el Cáncer</w:t>
      </w:r>
      <w:r>
        <w:rPr>
          <w:rFonts w:ascii="Times New Roman" w:hAnsi="Times New Roman"/>
          <w:noProof/>
          <w:sz w:val="24"/>
          <w:szCs w:val="24"/>
        </w:rPr>
        <w:t xml:space="preserve"> serán esenciales para nuestra salud y para nuestros sistemas sanitarios. El deporte y la actividad física también pueden desempeñar un papel destacado en la prevención y promoción de la salud.</w:t>
      </w:r>
    </w:p>
    <w:p w:rsidR="00C80169" w:rsidRDefault="00941F3E">
      <w:pPr>
        <w:spacing w:after="160"/>
        <w:jc w:val="both"/>
        <w:rPr>
          <w:rFonts w:ascii="Times New Roman" w:hAnsi="Times New Roman" w:cs="Times New Roman"/>
          <w:noProof/>
          <w:sz w:val="24"/>
          <w:szCs w:val="24"/>
        </w:rPr>
      </w:pPr>
      <w:r>
        <w:rPr>
          <w:rFonts w:ascii="Times New Roman" w:hAnsi="Times New Roman"/>
          <w:noProof/>
          <w:sz w:val="24"/>
          <w:szCs w:val="24"/>
        </w:rPr>
        <w:t>Se espera que la demanda de profesio</w:t>
      </w:r>
      <w:r>
        <w:rPr>
          <w:rFonts w:ascii="Times New Roman" w:hAnsi="Times New Roman"/>
          <w:noProof/>
          <w:sz w:val="24"/>
          <w:szCs w:val="24"/>
        </w:rPr>
        <w:t>nales aumente en consonancia con la demanda de asistencia sanitaria y de cuidados de larga duración. Ya hay indicaciones de escasez de personal</w:t>
      </w:r>
      <w:r>
        <w:rPr>
          <w:rFonts w:ascii="Times New Roman" w:hAnsi="Times New Roman" w:cs="Times New Roman"/>
          <w:iCs/>
          <w:noProof/>
          <w:sz w:val="24"/>
          <w:szCs w:val="24"/>
          <w:vertAlign w:val="superscript"/>
        </w:rPr>
        <w:footnoteReference w:id="35"/>
      </w:r>
      <w:r>
        <w:rPr>
          <w:rFonts w:ascii="Times New Roman" w:hAnsi="Times New Roman"/>
          <w:noProof/>
          <w:sz w:val="24"/>
          <w:szCs w:val="24"/>
        </w:rPr>
        <w:t xml:space="preserve"> en la sanidad</w:t>
      </w:r>
      <w:r>
        <w:rPr>
          <w:rFonts w:ascii="Times New Roman" w:hAnsi="Times New Roman" w:cs="Times New Roman"/>
          <w:noProof/>
          <w:sz w:val="24"/>
          <w:szCs w:val="24"/>
          <w:vertAlign w:val="superscript"/>
        </w:rPr>
        <w:footnoteReference w:id="36"/>
      </w:r>
      <w:r>
        <w:rPr>
          <w:rFonts w:ascii="Times New Roman" w:hAnsi="Times New Roman"/>
          <w:noProof/>
          <w:sz w:val="24"/>
          <w:szCs w:val="24"/>
        </w:rPr>
        <w:t xml:space="preserve"> y en los cuidados de larga duración. Los trabajos en curso de la OCDE sobre el personal empleado</w:t>
      </w:r>
      <w:r>
        <w:rPr>
          <w:rFonts w:ascii="Times New Roman" w:hAnsi="Times New Roman"/>
          <w:noProof/>
          <w:sz w:val="24"/>
          <w:szCs w:val="24"/>
        </w:rPr>
        <w:t xml:space="preserve"> en el sector de los cuidados de larga duración</w:t>
      </w:r>
      <w:r>
        <w:rPr>
          <w:rStyle w:val="FootnoteReference"/>
          <w:rFonts w:ascii="Times New Roman" w:hAnsi="Times New Roman" w:cs="Times New Roman"/>
          <w:noProof/>
          <w:sz w:val="24"/>
          <w:szCs w:val="24"/>
        </w:rPr>
        <w:footnoteReference w:id="37"/>
      </w:r>
      <w:r>
        <w:rPr>
          <w:rFonts w:ascii="Times New Roman" w:hAnsi="Times New Roman"/>
          <w:noProof/>
          <w:sz w:val="24"/>
          <w:szCs w:val="24"/>
        </w:rPr>
        <w:t xml:space="preserve"> apuntan a la importancia de mejorar las condiciones de trabajo en el sector y de reforzar el atractivo de esa profesión. Pese a que en la última década ha aumentado el número de médicos y enfermeros en casi </w:t>
      </w:r>
      <w:r>
        <w:rPr>
          <w:rFonts w:ascii="Times New Roman" w:hAnsi="Times New Roman"/>
          <w:noProof/>
          <w:sz w:val="24"/>
          <w:szCs w:val="24"/>
        </w:rPr>
        <w:t xml:space="preserve">todos los países de la UE, persiste la escasez de médicos generalistas, sobre todo en zonas rurales y remotas y en las regiones ultraperiféricas. </w:t>
      </w:r>
    </w:p>
    <w:p w:rsidR="00C80169" w:rsidRDefault="00941F3E">
      <w:pPr>
        <w:spacing w:after="160"/>
        <w:jc w:val="both"/>
        <w:rPr>
          <w:rFonts w:ascii="Times New Roman" w:hAnsi="Times New Roman" w:cs="Times New Roman"/>
          <w:noProof/>
          <w:sz w:val="24"/>
          <w:szCs w:val="24"/>
        </w:rPr>
      </w:pPr>
      <w:r>
        <w:rPr>
          <w:rFonts w:ascii="Times New Roman" w:hAnsi="Times New Roman"/>
          <w:noProof/>
          <w:sz w:val="24"/>
          <w:szCs w:val="24"/>
        </w:rPr>
        <w:t xml:space="preserve">El principal desafío consiste en </w:t>
      </w:r>
      <w:r>
        <w:rPr>
          <w:rFonts w:ascii="Times New Roman" w:hAnsi="Times New Roman"/>
          <w:b/>
          <w:noProof/>
          <w:sz w:val="24"/>
          <w:szCs w:val="24"/>
        </w:rPr>
        <w:t>cubrir la creciente demanda de unos servicios sanitarios y de cuidados de la</w:t>
      </w:r>
      <w:r>
        <w:rPr>
          <w:rFonts w:ascii="Times New Roman" w:hAnsi="Times New Roman"/>
          <w:b/>
          <w:noProof/>
          <w:sz w:val="24"/>
          <w:szCs w:val="24"/>
        </w:rPr>
        <w:t>rga duración suficientes, accesibles, de buena calidad y asequibles, que están consagrados en el pilar europeo de derechos sociales</w:t>
      </w:r>
      <w:r>
        <w:rPr>
          <w:rFonts w:ascii="Times New Roman" w:hAnsi="Times New Roman"/>
          <w:noProof/>
          <w:sz w:val="24"/>
          <w:szCs w:val="24"/>
        </w:rPr>
        <w:t>. Garantizar un elevado nivel de protección de la salud humana</w:t>
      </w:r>
      <w:r>
        <w:rPr>
          <w:rStyle w:val="FootnoteReference"/>
          <w:rFonts w:ascii="Times New Roman" w:hAnsi="Times New Roman" w:cs="Times New Roman"/>
          <w:noProof/>
          <w:sz w:val="24"/>
          <w:szCs w:val="24"/>
        </w:rPr>
        <w:footnoteReference w:id="38"/>
      </w:r>
      <w:r>
        <w:rPr>
          <w:rFonts w:ascii="Times New Roman" w:hAnsi="Times New Roman"/>
          <w:noProof/>
          <w:sz w:val="24"/>
          <w:szCs w:val="24"/>
        </w:rPr>
        <w:t xml:space="preserve"> requiere contar con la infraestructura adecuada, como hospita</w:t>
      </w:r>
      <w:r>
        <w:rPr>
          <w:rFonts w:ascii="Times New Roman" w:hAnsi="Times New Roman"/>
          <w:noProof/>
          <w:sz w:val="24"/>
          <w:szCs w:val="24"/>
        </w:rPr>
        <w:t>les, centros asistenciales para estancias prolongadas, y viviendas adaptadas y equipadas para personas de edad avanzada. A diferencia de la atención sanitaria, no en todos los Estados miembros existe protección social para los cuidados de larga duración. L</w:t>
      </w:r>
      <w:r>
        <w:rPr>
          <w:rFonts w:ascii="Times New Roman" w:hAnsi="Times New Roman"/>
          <w:noProof/>
          <w:sz w:val="24"/>
          <w:szCs w:val="24"/>
        </w:rPr>
        <w:t>os cuidados formales de larga duración son costosos y a menudo son asumidos por la persona que los necesita o por su familia. El proceso de envejecimiento de la población europea y la disminución del tamaño de sus hogares supondrán probablemente un desafío</w:t>
      </w:r>
      <w:r>
        <w:rPr>
          <w:rFonts w:ascii="Times New Roman" w:hAnsi="Times New Roman"/>
          <w:noProof/>
          <w:sz w:val="24"/>
          <w:szCs w:val="24"/>
        </w:rPr>
        <w:t xml:space="preserve"> permanente para muchos.</w:t>
      </w:r>
    </w:p>
    <w:p w:rsidR="00C80169" w:rsidRDefault="00941F3E">
      <w:pPr>
        <w:spacing w:after="160"/>
        <w:jc w:val="both"/>
        <w:rPr>
          <w:rFonts w:ascii="Times New Roman" w:hAnsi="Times New Roman" w:cs="Times New Roman"/>
          <w:noProof/>
          <w:sz w:val="24"/>
          <w:szCs w:val="24"/>
        </w:rPr>
      </w:pPr>
      <w:r>
        <w:rPr>
          <w:rFonts w:ascii="Times New Roman" w:hAnsi="Times New Roman"/>
          <w:b/>
          <w:noProof/>
          <w:sz w:val="24"/>
          <w:szCs w:val="24"/>
        </w:rPr>
        <w:t xml:space="preserve">La incipiente «economía plateada» puede brindar oportunidades en el sector sanitario y en los cuidados de larga duración. </w:t>
      </w:r>
      <w:r>
        <w:rPr>
          <w:rFonts w:ascii="Times New Roman" w:hAnsi="Times New Roman"/>
          <w:noProof/>
          <w:sz w:val="24"/>
          <w:szCs w:val="24"/>
        </w:rPr>
        <w:t>Puede ser un motor de innovación que ayude a la prestación de servicios asistenciales de gran calidad de mane</w:t>
      </w:r>
      <w:r>
        <w:rPr>
          <w:rFonts w:ascii="Times New Roman" w:hAnsi="Times New Roman"/>
          <w:noProof/>
          <w:sz w:val="24"/>
          <w:szCs w:val="24"/>
        </w:rPr>
        <w:t>ra más eficiente. La digitalización puede brindar a las personas de edad avanzada la posibilidad de ser autónomas en la vigilancia de su estado de salud. El impacto de las tecnologías digitales en la sanidad y en los cuidados de larga duración puede aporta</w:t>
      </w:r>
      <w:r>
        <w:rPr>
          <w:rFonts w:ascii="Times New Roman" w:hAnsi="Times New Roman"/>
          <w:noProof/>
          <w:sz w:val="24"/>
          <w:szCs w:val="24"/>
        </w:rPr>
        <w:t>r un triple beneficio: mejor calidad de vida, mayor eficiencia de la atención sanitaria y los cuidados de larga duración, y crecimiento del mercado y desarrollo del sector</w:t>
      </w:r>
      <w:r>
        <w:rPr>
          <w:rFonts w:ascii="Times New Roman" w:hAnsi="Times New Roman" w:cs="Times New Roman"/>
          <w:noProof/>
          <w:sz w:val="24"/>
          <w:szCs w:val="24"/>
          <w:vertAlign w:val="superscript"/>
        </w:rPr>
        <w:footnoteReference w:id="39"/>
      </w:r>
      <w:r>
        <w:rPr>
          <w:rFonts w:ascii="Times New Roman" w:hAnsi="Times New Roman"/>
          <w:noProof/>
          <w:sz w:val="24"/>
          <w:szCs w:val="24"/>
        </w:rPr>
        <w:t xml:space="preserve">. La investigación y la innovación serán cruciales en este sentido. </w:t>
      </w:r>
    </w:p>
    <w:p w:rsidR="00C80169" w:rsidRDefault="00941F3E">
      <w:pPr>
        <w:pStyle w:val="Heading2"/>
        <w:keepNext/>
        <w:rPr>
          <w:noProof/>
        </w:rPr>
      </w:pPr>
      <w:bookmarkStart w:id="50" w:name="_Toc32414445"/>
      <w:bookmarkStart w:id="51" w:name="_Toc32444156"/>
      <w:bookmarkStart w:id="52" w:name="_Toc33800406"/>
      <w:bookmarkStart w:id="53" w:name="_Toc43897458"/>
      <w:r>
        <w:rPr>
          <w:noProof/>
        </w:rPr>
        <w:t xml:space="preserve">3.3. </w:t>
      </w:r>
      <w:bookmarkEnd w:id="50"/>
      <w:bookmarkEnd w:id="51"/>
      <w:bookmarkEnd w:id="52"/>
      <w:r>
        <w:rPr>
          <w:noProof/>
        </w:rPr>
        <w:t>EFECTOS EN</w:t>
      </w:r>
      <w:r>
        <w:rPr>
          <w:noProof/>
        </w:rPr>
        <w:t xml:space="preserve"> LOS PRESUPUESTOS PÚBLICOS</w:t>
      </w:r>
      <w:bookmarkEnd w:id="53"/>
    </w:p>
    <w:p w:rsidR="00C80169" w:rsidRDefault="00941F3E">
      <w:pPr>
        <w:keepLines/>
        <w:jc w:val="both"/>
        <w:rPr>
          <w:rFonts w:ascii="Times New Roman" w:hAnsi="Times New Roman" w:cs="Times New Roman"/>
          <w:b/>
          <w:noProof/>
          <w:sz w:val="24"/>
          <w:szCs w:val="24"/>
        </w:rPr>
      </w:pPr>
      <w:r>
        <w:rPr>
          <w:rFonts w:ascii="Times New Roman" w:hAnsi="Times New Roman"/>
          <w:b/>
          <w:noProof/>
          <w:sz w:val="24"/>
          <w:szCs w:val="24"/>
        </w:rPr>
        <w:t>Es probable que una Europa envejecida con una fuerza laboral más reducida ejerza más presión sobre los presupuestos públicos</w:t>
      </w:r>
      <w:r>
        <w:rPr>
          <w:rFonts w:ascii="Times New Roman" w:hAnsi="Times New Roman"/>
          <w:noProof/>
          <w:sz w:val="24"/>
          <w:szCs w:val="24"/>
        </w:rPr>
        <w:t xml:space="preserve"> en un momento en el que los esfuerzos de recuperación requieren una financiación sustancial. Antes de la</w:t>
      </w:r>
      <w:r>
        <w:rPr>
          <w:rFonts w:ascii="Times New Roman" w:hAnsi="Times New Roman"/>
          <w:noProof/>
          <w:sz w:val="24"/>
          <w:szCs w:val="24"/>
        </w:rPr>
        <w:t xml:space="preserve"> crisis, la proyección del coste total del envejecimiento</w:t>
      </w:r>
      <w:r>
        <w:rPr>
          <w:rFonts w:ascii="Times New Roman" w:hAnsi="Times New Roman" w:cs="Times New Roman"/>
          <w:noProof/>
          <w:sz w:val="24"/>
          <w:szCs w:val="24"/>
          <w:vertAlign w:val="superscript"/>
        </w:rPr>
        <w:footnoteReference w:id="40"/>
      </w:r>
      <w:r>
        <w:rPr>
          <w:rFonts w:ascii="Times New Roman" w:hAnsi="Times New Roman"/>
          <w:noProof/>
          <w:sz w:val="24"/>
          <w:szCs w:val="24"/>
        </w:rPr>
        <w:t xml:space="preserve"> en la UE se situaba en el 26,6 % del PIB de aquí a 2070. </w:t>
      </w:r>
    </w:p>
    <w:p w:rsidR="00C80169" w:rsidRDefault="00941F3E">
      <w:pPr>
        <w:jc w:val="both"/>
        <w:rPr>
          <w:rFonts w:ascii="Times New Roman" w:hAnsi="Times New Roman" w:cs="Times New Roman"/>
          <w:noProof/>
          <w:sz w:val="24"/>
          <w:szCs w:val="24"/>
        </w:rPr>
      </w:pPr>
      <w:r>
        <w:rPr>
          <w:rFonts w:ascii="Times New Roman" w:hAnsi="Times New Roman"/>
          <w:noProof/>
          <w:sz w:val="24"/>
          <w:szCs w:val="24"/>
        </w:rPr>
        <w:t xml:space="preserve">Europa afrontará un enorme desafío a la hora de financiar su gasto relacionado con la edad de forma </w:t>
      </w:r>
      <w:r>
        <w:rPr>
          <w:rFonts w:ascii="Times New Roman" w:hAnsi="Times New Roman"/>
          <w:b/>
          <w:noProof/>
          <w:sz w:val="24"/>
          <w:szCs w:val="24"/>
        </w:rPr>
        <w:t>justa desde la perspectiva intergenerac</w:t>
      </w:r>
      <w:r>
        <w:rPr>
          <w:rFonts w:ascii="Times New Roman" w:hAnsi="Times New Roman"/>
          <w:b/>
          <w:noProof/>
          <w:sz w:val="24"/>
          <w:szCs w:val="24"/>
        </w:rPr>
        <w:t>ional</w:t>
      </w:r>
      <w:r>
        <w:rPr>
          <w:rFonts w:ascii="Times New Roman" w:hAnsi="Times New Roman"/>
          <w:noProof/>
          <w:sz w:val="24"/>
          <w:szCs w:val="24"/>
        </w:rPr>
        <w:t>. Esto se debe a que la relación entre las personas que pagan impuestos y contribuciones a la seguridad social y las que reciben pensiones y otras prestaciones está descendiendo con rapidez. En 2019 había un promedio de 2,9 personas en edad laboral po</w:t>
      </w:r>
      <w:r>
        <w:rPr>
          <w:rFonts w:ascii="Times New Roman" w:hAnsi="Times New Roman"/>
          <w:noProof/>
          <w:sz w:val="24"/>
          <w:szCs w:val="24"/>
        </w:rPr>
        <w:t xml:space="preserve">r cada persona de más de 65 años. Las proyecciones indican que en 2070 esa relación caerá a 1,7. </w:t>
      </w:r>
    </w:p>
    <w:p w:rsidR="00C80169" w:rsidRDefault="00941F3E">
      <w:pPr>
        <w:jc w:val="both"/>
        <w:rPr>
          <w:rFonts w:ascii="Times New Roman" w:hAnsi="Times New Roman" w:cs="Times New Roman"/>
          <w:i/>
          <w:noProof/>
          <w:sz w:val="24"/>
          <w:szCs w:val="24"/>
        </w:rPr>
      </w:pPr>
      <w:r>
        <w:rPr>
          <w:rFonts w:ascii="Times New Roman" w:hAnsi="Times New Roman"/>
          <w:noProof/>
          <w:sz w:val="24"/>
          <w:szCs w:val="24"/>
        </w:rPr>
        <w:t xml:space="preserve">Aunque la mayor parte del gasto relacionado con la edad se destinará a la atención sanitaria y los cuidados de larga duración, el gasto en pensiones públicas también está previsto que suba con respecto al PIB de aquí a 2040. Gracias a los efectos de las </w:t>
      </w:r>
      <w:r>
        <w:rPr>
          <w:rFonts w:ascii="Times New Roman" w:hAnsi="Times New Roman"/>
          <w:b/>
          <w:noProof/>
          <w:sz w:val="24"/>
          <w:szCs w:val="24"/>
        </w:rPr>
        <w:t>im</w:t>
      </w:r>
      <w:r>
        <w:rPr>
          <w:rFonts w:ascii="Times New Roman" w:hAnsi="Times New Roman"/>
          <w:b/>
          <w:noProof/>
          <w:sz w:val="24"/>
          <w:szCs w:val="24"/>
        </w:rPr>
        <w:t>portantes reformas de los regímenes de pensiones en la mayoría de los Estados miembros</w:t>
      </w:r>
      <w:r>
        <w:rPr>
          <w:rFonts w:ascii="Times New Roman" w:hAnsi="Times New Roman"/>
          <w:noProof/>
          <w:sz w:val="24"/>
          <w:szCs w:val="24"/>
        </w:rPr>
        <w:t>, se espera que a partir de esa fecha la relación crezca más despacio que el PIB y vuelva más o menos al mismo porcentaje del PIB que el registrado en 2016, aunque en alg</w:t>
      </w:r>
      <w:r>
        <w:rPr>
          <w:rFonts w:ascii="Times New Roman" w:hAnsi="Times New Roman"/>
          <w:noProof/>
          <w:sz w:val="24"/>
          <w:szCs w:val="24"/>
        </w:rPr>
        <w:t xml:space="preserve">unos Estados miembros las recientes reformas de las pensiones aumentarán el gasto en este concepto, según las proyecciones. En la preparación de soluciones a estas cuestiones, </w:t>
      </w:r>
      <w:r>
        <w:rPr>
          <w:rFonts w:ascii="Times New Roman" w:hAnsi="Times New Roman"/>
          <w:b/>
          <w:noProof/>
          <w:sz w:val="24"/>
          <w:szCs w:val="24"/>
        </w:rPr>
        <w:t>los responsables políticos están expuestos a un elevado grado de incertidumbre</w:t>
      </w:r>
      <w:r>
        <w:rPr>
          <w:rFonts w:ascii="Times New Roman" w:hAnsi="Times New Roman"/>
          <w:noProof/>
          <w:sz w:val="24"/>
          <w:szCs w:val="24"/>
        </w:rPr>
        <w:t xml:space="preserve">. </w:t>
      </w:r>
      <w:r>
        <w:rPr>
          <w:rFonts w:ascii="Times New Roman" w:hAnsi="Times New Roman"/>
          <w:noProof/>
          <w:sz w:val="24"/>
          <w:szCs w:val="24"/>
        </w:rPr>
        <w:t>El tipo de evolución del gasto público no solo depende de las tendencias demográficas, sino también de otros factores como el progreso tecnológico en materia de diagnóstico, tratamientos y productos farmacéuticos y sanitarios, o la creciente demanda de ate</w:t>
      </w:r>
      <w:r>
        <w:rPr>
          <w:rFonts w:ascii="Times New Roman" w:hAnsi="Times New Roman"/>
          <w:noProof/>
          <w:sz w:val="24"/>
          <w:szCs w:val="24"/>
        </w:rPr>
        <w:t>nción sanitaria y cuidados de larga duración prestados por el sector público</w:t>
      </w:r>
      <w:r>
        <w:rPr>
          <w:rStyle w:val="FootnoteReference"/>
          <w:rFonts w:ascii="Times New Roman" w:hAnsi="Times New Roman" w:cs="Times New Roman"/>
          <w:noProof/>
          <w:sz w:val="24"/>
          <w:szCs w:val="24"/>
        </w:rPr>
        <w:footnoteReference w:id="41"/>
      </w:r>
      <w:r>
        <w:rPr>
          <w:rFonts w:ascii="Times New Roman" w:hAnsi="Times New Roman"/>
          <w:noProof/>
          <w:sz w:val="24"/>
          <w:szCs w:val="24"/>
        </w:rPr>
        <w:t xml:space="preserve">. Todos esos factores implican costes adicionales a medio y largo plazo. Sin una modificación de las políticas, también el gasto privado estará sometido a una mayor presión, pues </w:t>
      </w:r>
      <w:r>
        <w:rPr>
          <w:rFonts w:ascii="Times New Roman" w:hAnsi="Times New Roman"/>
          <w:noProof/>
          <w:sz w:val="24"/>
          <w:szCs w:val="24"/>
        </w:rPr>
        <w:t xml:space="preserve">las personas que reciben cuidados de larga duración es probable que tengan que cubrir una proporción mayor de los costes totales. </w:t>
      </w:r>
    </w:p>
    <w:p w:rsidR="00C80169" w:rsidRDefault="00941F3E">
      <w:pPr>
        <w:jc w:val="both"/>
        <w:rPr>
          <w:rFonts w:ascii="Times New Roman" w:hAnsi="Times New Roman" w:cs="Times New Roman"/>
          <w:noProof/>
          <w:sz w:val="24"/>
          <w:szCs w:val="24"/>
        </w:rPr>
      </w:pPr>
      <w:r>
        <w:rPr>
          <w:rFonts w:ascii="Times New Roman" w:hAnsi="Times New Roman"/>
          <w:noProof/>
          <w:sz w:val="24"/>
          <w:szCs w:val="24"/>
        </w:rPr>
        <w:t>La mayor parte de las proyecciones existentes consideran, por lo general, que la edad de 65 años es el límite superior del gr</w:t>
      </w:r>
      <w:r>
        <w:rPr>
          <w:rFonts w:ascii="Times New Roman" w:hAnsi="Times New Roman"/>
          <w:noProof/>
          <w:sz w:val="24"/>
          <w:szCs w:val="24"/>
        </w:rPr>
        <w:t>upo de población en edad laboral. Ahora bien, en el futuro aumentará el número de personas que prolonguen su vida laboral. Si se parte de un límite superior más elevado, las proyecciones cambian significativamente. Todos los datos disponibles, sin embargo,</w:t>
      </w:r>
      <w:r>
        <w:rPr>
          <w:rFonts w:ascii="Times New Roman" w:hAnsi="Times New Roman"/>
          <w:noProof/>
          <w:sz w:val="24"/>
          <w:szCs w:val="24"/>
        </w:rPr>
        <w:t xml:space="preserve"> revelan la importancia de garantizar unas condiciones de trabajo adecuadas y unos sistemas de sanidad pública sólidos, así como del aprendizaje permanente y del mantenimiento de las inversiones en capacidades y educación.</w:t>
      </w:r>
    </w:p>
    <w:p w:rsidR="00C80169" w:rsidRDefault="00941F3E">
      <w:pPr>
        <w:jc w:val="both"/>
        <w:rPr>
          <w:rFonts w:ascii="Times New Roman" w:hAnsi="Times New Roman" w:cs="Times New Roman"/>
          <w:noProof/>
          <w:sz w:val="24"/>
          <w:szCs w:val="24"/>
        </w:rPr>
      </w:pPr>
      <w:r>
        <w:rPr>
          <w:rFonts w:ascii="Times New Roman" w:hAnsi="Times New Roman"/>
          <w:b/>
          <w:noProof/>
          <w:sz w:val="24"/>
          <w:szCs w:val="24"/>
        </w:rPr>
        <w:t xml:space="preserve">La pobreza en la vejez puede ser </w:t>
      </w:r>
      <w:r>
        <w:rPr>
          <w:rFonts w:ascii="Times New Roman" w:hAnsi="Times New Roman"/>
          <w:b/>
          <w:noProof/>
          <w:sz w:val="24"/>
          <w:szCs w:val="24"/>
        </w:rPr>
        <w:t>una fuente de preocupación cada vez mayor a medida que avanza el cambio demográfico</w:t>
      </w:r>
      <w:r>
        <w:rPr>
          <w:rFonts w:ascii="Times New Roman" w:hAnsi="Times New Roman"/>
          <w:noProof/>
          <w:sz w:val="24"/>
          <w:szCs w:val="24"/>
        </w:rPr>
        <w:t>. Actualmente, la mayoría de los jubilados reciben una renta en concepto de pensión que les permite mantener su nivel de vida y les protege frente a la pobreza en la vejez</w:t>
      </w:r>
      <w:r>
        <w:rPr>
          <w:rStyle w:val="FootnoteReference"/>
          <w:rFonts w:ascii="Times New Roman" w:hAnsi="Times New Roman" w:cs="Times New Roman"/>
          <w:noProof/>
          <w:sz w:val="24"/>
          <w:szCs w:val="24"/>
        </w:rPr>
        <w:footnoteReference w:id="42"/>
      </w:r>
      <w:r>
        <w:rPr>
          <w:rFonts w:ascii="Times New Roman" w:hAnsi="Times New Roman"/>
          <w:noProof/>
          <w:sz w:val="24"/>
          <w:szCs w:val="24"/>
        </w:rPr>
        <w:t>.</w:t>
      </w:r>
      <w:r>
        <w:rPr>
          <w:rFonts w:ascii="Times New Roman" w:hAnsi="Times New Roman"/>
          <w:noProof/>
          <w:sz w:val="24"/>
          <w:szCs w:val="24"/>
        </w:rPr>
        <w:t xml:space="preserve"> Esto no significa que se haya erradicado la pobreza entre las personas de más de 64 años de edad. En 2018, un 15,5 % de las personas de 65 años o más estaban en riesgo de pobreza en la EU-27</w:t>
      </w:r>
      <w:r>
        <w:rPr>
          <w:rStyle w:val="FootnoteReference"/>
          <w:rFonts w:ascii="Times New Roman" w:hAnsi="Times New Roman" w:cs="Times New Roman"/>
          <w:noProof/>
          <w:sz w:val="24"/>
          <w:szCs w:val="24"/>
        </w:rPr>
        <w:footnoteReference w:id="43"/>
      </w:r>
      <w:r>
        <w:rPr>
          <w:rFonts w:ascii="Times New Roman" w:hAnsi="Times New Roman"/>
          <w:noProof/>
          <w:sz w:val="24"/>
          <w:szCs w:val="24"/>
        </w:rPr>
        <w:t xml:space="preserve">. </w:t>
      </w:r>
    </w:p>
    <w:p w:rsidR="00C80169" w:rsidRDefault="00941F3E">
      <w:pPr>
        <w:jc w:val="both"/>
        <w:rPr>
          <w:rFonts w:ascii="Times New Roman" w:hAnsi="Times New Roman" w:cs="Times New Roman"/>
          <w:noProof/>
          <w:sz w:val="24"/>
          <w:szCs w:val="24"/>
        </w:rPr>
      </w:pPr>
      <w:r>
        <w:rPr>
          <w:rFonts w:ascii="Times New Roman" w:hAnsi="Times New Roman"/>
          <w:b/>
          <w:noProof/>
          <w:sz w:val="24"/>
          <w:szCs w:val="24"/>
        </w:rPr>
        <w:t xml:space="preserve">Las mujeres tienen más probabilidades de verse afectadas por </w:t>
      </w:r>
      <w:r>
        <w:rPr>
          <w:rFonts w:ascii="Times New Roman" w:hAnsi="Times New Roman"/>
          <w:b/>
          <w:noProof/>
          <w:sz w:val="24"/>
          <w:szCs w:val="24"/>
        </w:rPr>
        <w:t>la pobreza en la vejez.</w:t>
      </w:r>
      <w:r>
        <w:rPr>
          <w:rFonts w:ascii="Times New Roman" w:hAnsi="Times New Roman"/>
          <w:b/>
          <w:noProof/>
          <w:sz w:val="24"/>
        </w:rPr>
        <w:t xml:space="preserve"> </w:t>
      </w:r>
      <w:r>
        <w:rPr>
          <w:rFonts w:ascii="Times New Roman" w:hAnsi="Times New Roman"/>
          <w:noProof/>
          <w:sz w:val="24"/>
          <w:szCs w:val="24"/>
        </w:rPr>
        <w:t>Esto se debe a su tendencia a unas tasas de empleo más bajas, más interrupciones en la carrera y salarios más bajos, y a que recurren en mayor medida al trabajo a tiempo parcial</w:t>
      </w:r>
      <w:r>
        <w:rPr>
          <w:rStyle w:val="FootnoteReference"/>
          <w:rFonts w:ascii="Times New Roman" w:hAnsi="Times New Roman" w:cs="Times New Roman"/>
          <w:noProof/>
          <w:sz w:val="24"/>
          <w:szCs w:val="24"/>
        </w:rPr>
        <w:footnoteReference w:id="44"/>
      </w:r>
      <w:r>
        <w:rPr>
          <w:rFonts w:ascii="Times New Roman" w:hAnsi="Times New Roman"/>
          <w:noProof/>
          <w:sz w:val="24"/>
          <w:szCs w:val="24"/>
        </w:rPr>
        <w:t xml:space="preserve"> y al trabajo temporal</w:t>
      </w:r>
      <w:r>
        <w:rPr>
          <w:rStyle w:val="FootnoteReference"/>
          <w:rFonts w:ascii="Times New Roman" w:hAnsi="Times New Roman" w:cs="Times New Roman"/>
          <w:noProof/>
          <w:sz w:val="24"/>
          <w:szCs w:val="24"/>
        </w:rPr>
        <w:footnoteReference w:id="45"/>
      </w:r>
      <w:r>
        <w:rPr>
          <w:rFonts w:ascii="Times New Roman" w:hAnsi="Times New Roman"/>
          <w:noProof/>
          <w:sz w:val="24"/>
          <w:szCs w:val="24"/>
        </w:rPr>
        <w:t>. Las pensiones mensuales que p</w:t>
      </w:r>
      <w:r>
        <w:rPr>
          <w:rFonts w:ascii="Times New Roman" w:hAnsi="Times New Roman"/>
          <w:noProof/>
          <w:sz w:val="24"/>
          <w:szCs w:val="24"/>
        </w:rPr>
        <w:t xml:space="preserve">erciben las mujeres se sitúan un tercio por debajo de las de los hombres, y su esperanza de vida es mayor. </w:t>
      </w:r>
    </w:p>
    <w:p w:rsidR="00C80169" w:rsidRDefault="00941F3E">
      <w:pPr>
        <w:jc w:val="both"/>
        <w:rPr>
          <w:rFonts w:ascii="Times New Roman" w:hAnsi="Times New Roman" w:cs="Times New Roman"/>
          <w:noProof/>
          <w:sz w:val="24"/>
          <w:szCs w:val="24"/>
        </w:rPr>
      </w:pPr>
      <w:r>
        <w:rPr>
          <w:rFonts w:ascii="Times New Roman" w:hAnsi="Times New Roman"/>
          <w:b/>
          <w:noProof/>
          <w:sz w:val="24"/>
          <w:szCs w:val="24"/>
        </w:rPr>
        <w:t xml:space="preserve">Las personas con discapacidad, un grupo con mayor riesgo de pobreza, pueden estar expuestas a riesgos adicionales. </w:t>
      </w:r>
      <w:r>
        <w:rPr>
          <w:rFonts w:ascii="Times New Roman" w:hAnsi="Times New Roman"/>
          <w:noProof/>
          <w:sz w:val="24"/>
          <w:szCs w:val="24"/>
        </w:rPr>
        <w:t>Las personas con discapacidad que</w:t>
      </w:r>
      <w:r>
        <w:rPr>
          <w:rFonts w:ascii="Times New Roman" w:hAnsi="Times New Roman"/>
          <w:noProof/>
          <w:sz w:val="24"/>
          <w:szCs w:val="24"/>
        </w:rPr>
        <w:t xml:space="preserve"> están en edad laboral a menudo optan a prestaciones y asistencia específicas. Ahora bien, cuando llegan a la edad de jubilación, es posible que ya no puedan acogerse a esas ayudas, lo que puede ser causa adicional de pobreza o exclusión social. </w:t>
      </w:r>
    </w:p>
    <w:p w:rsidR="00C80169" w:rsidRDefault="00941F3E">
      <w:pPr>
        <w:jc w:val="both"/>
        <w:rPr>
          <w:rFonts w:ascii="Times New Roman" w:hAnsi="Times New Roman" w:cs="Times New Roman"/>
          <w:noProof/>
          <w:sz w:val="24"/>
          <w:szCs w:val="24"/>
        </w:rPr>
      </w:pPr>
      <w:r>
        <w:rPr>
          <w:rFonts w:ascii="Times New Roman" w:hAnsi="Times New Roman"/>
          <w:b/>
          <w:noProof/>
          <w:sz w:val="24"/>
          <w:szCs w:val="24"/>
        </w:rPr>
        <w:t xml:space="preserve">Al mismo </w:t>
      </w:r>
      <w:r>
        <w:rPr>
          <w:rFonts w:ascii="Times New Roman" w:hAnsi="Times New Roman"/>
          <w:b/>
          <w:noProof/>
          <w:sz w:val="24"/>
          <w:szCs w:val="24"/>
        </w:rPr>
        <w:t xml:space="preserve">tiempo, una población en proceso de envejecimiento también brinda nuevas oportunidades a nuestra economía. </w:t>
      </w:r>
      <w:r>
        <w:rPr>
          <w:rFonts w:ascii="Times New Roman" w:hAnsi="Times New Roman"/>
          <w:noProof/>
          <w:sz w:val="24"/>
          <w:szCs w:val="24"/>
        </w:rPr>
        <w:t>Los consumidores de más edad representan una gran parte de la economía, y el consumo entre las personas de 50 años o más en la UE alcanzó los 3,7 bil</w:t>
      </w:r>
      <w:r>
        <w:rPr>
          <w:rFonts w:ascii="Times New Roman" w:hAnsi="Times New Roman"/>
          <w:noProof/>
          <w:sz w:val="24"/>
          <w:szCs w:val="24"/>
        </w:rPr>
        <w:t>lones EUR en 2015. Se prevé que esta cifra aumente alrededor de un 5 % al año y, así, alcance los 5,7 billones EUR en 2025. El Libro Verde de la Comisión sobre el Envejecimiento analizará también cómo aprovechar al máximo estas oportunidades.</w:t>
      </w:r>
      <w:r>
        <w:rPr>
          <w:rFonts w:ascii="Times New Roman" w:hAnsi="Times New Roman"/>
          <w:b/>
          <w:noProof/>
          <w:sz w:val="24"/>
          <w:szCs w:val="24"/>
        </w:rPr>
        <w:t xml:space="preserve"> </w:t>
      </w:r>
    </w:p>
    <w:p w:rsidR="00C80169" w:rsidRDefault="00941F3E">
      <w:pPr>
        <w:pStyle w:val="Heading2"/>
        <w:keepNext/>
        <w:rPr>
          <w:b w:val="0"/>
          <w:noProof/>
        </w:rPr>
      </w:pPr>
      <w:bookmarkStart w:id="54" w:name="_Toc32414446"/>
      <w:bookmarkStart w:id="55" w:name="_Toc32444157"/>
      <w:bookmarkStart w:id="56" w:name="_Toc33800407"/>
      <w:bookmarkStart w:id="57" w:name="_Toc35516330"/>
      <w:bookmarkStart w:id="58" w:name="_Toc36563276"/>
      <w:bookmarkStart w:id="59" w:name="_Toc43897459"/>
      <w:r>
        <w:rPr>
          <w:rStyle w:val="Heading2Char"/>
          <w:b/>
          <w:noProof/>
        </w:rPr>
        <w:t xml:space="preserve">3.4. </w:t>
      </w:r>
      <w:bookmarkEnd w:id="54"/>
      <w:bookmarkEnd w:id="55"/>
      <w:bookmarkEnd w:id="56"/>
      <w:bookmarkEnd w:id="57"/>
      <w:r>
        <w:rPr>
          <w:rStyle w:val="Heading2Char"/>
          <w:b/>
          <w:noProof/>
        </w:rPr>
        <w:t>DIMENSI</w:t>
      </w:r>
      <w:r>
        <w:rPr>
          <w:rStyle w:val="Heading2Char"/>
          <w:b/>
          <w:noProof/>
        </w:rPr>
        <w:t>ÓN REGIONAL Y LOCAL</w:t>
      </w:r>
      <w:r>
        <w:rPr>
          <w:b w:val="0"/>
          <w:noProof/>
          <w:vertAlign w:val="superscript"/>
          <w:lang w:val="en-GB"/>
        </w:rPr>
        <w:footnoteReference w:id="46"/>
      </w:r>
      <w:bookmarkEnd w:id="58"/>
      <w:bookmarkEnd w:id="59"/>
    </w:p>
    <w:p w:rsidR="00C80169" w:rsidRDefault="00941F3E">
      <w:pPr>
        <w:keepLines/>
        <w:jc w:val="both"/>
        <w:rPr>
          <w:rFonts w:ascii="Times New Roman" w:hAnsi="Times New Roman" w:cs="Times New Roman"/>
          <w:noProof/>
          <w:sz w:val="24"/>
          <w:szCs w:val="24"/>
        </w:rPr>
      </w:pPr>
      <w:r>
        <w:rPr>
          <w:rFonts w:ascii="Times New Roman" w:hAnsi="Times New Roman"/>
          <w:b/>
          <w:noProof/>
          <w:sz w:val="24"/>
          <w:szCs w:val="24"/>
        </w:rPr>
        <w:t>Las distintas regiones se ven afectadas de forma distinta por el cambio demográfico</w:t>
      </w:r>
      <w:r>
        <w:rPr>
          <w:rFonts w:ascii="Times New Roman" w:hAnsi="Times New Roman"/>
          <w:noProof/>
          <w:sz w:val="24"/>
          <w:szCs w:val="24"/>
        </w:rPr>
        <w:t>. Algunas regiones tienen una población relativamente envejecida, con una edad mediana superior a 50 años, mientras que en otras la mediana de edad está</w:t>
      </w:r>
      <w:r>
        <w:rPr>
          <w:rFonts w:ascii="Times New Roman" w:hAnsi="Times New Roman"/>
          <w:noProof/>
          <w:sz w:val="24"/>
          <w:szCs w:val="24"/>
        </w:rPr>
        <w:t xml:space="preserve"> por debajo de 42,5 años, como en (o en zonas de) Irlanda, Chipre, Luxemburgo, el sur de España, Polonia, el norte de Rumanía, Eslovaquia y el sur de Suecia.</w:t>
      </w:r>
    </w:p>
    <w:p w:rsidR="00C80169" w:rsidRDefault="00941F3E">
      <w:pPr>
        <w:jc w:val="both"/>
        <w:rPr>
          <w:rFonts w:ascii="Times New Roman" w:hAnsi="Times New Roman" w:cs="Times New Roman"/>
          <w:noProof/>
          <w:sz w:val="24"/>
          <w:szCs w:val="24"/>
        </w:rPr>
      </w:pPr>
      <w:r>
        <w:rPr>
          <w:rFonts w:ascii="Times New Roman" w:hAnsi="Times New Roman"/>
          <w:noProof/>
          <w:sz w:val="24"/>
          <w:szCs w:val="24"/>
        </w:rPr>
        <w:t xml:space="preserve">A nivel regional, los movimientos de la población también inciden de forma significativa en el perfil demográfico de una región. Esto se percibe con intensidad en lugares que registran un gran movimiento de jóvenes. </w:t>
      </w:r>
      <w:r>
        <w:rPr>
          <w:rFonts w:ascii="Times New Roman" w:hAnsi="Times New Roman"/>
          <w:bCs/>
          <w:noProof/>
          <w:sz w:val="24"/>
          <w:szCs w:val="24"/>
        </w:rPr>
        <w:t>Esos movimientos también afectan a la po</w:t>
      </w:r>
      <w:r>
        <w:rPr>
          <w:rFonts w:ascii="Times New Roman" w:hAnsi="Times New Roman"/>
          <w:bCs/>
          <w:noProof/>
          <w:sz w:val="24"/>
          <w:szCs w:val="24"/>
        </w:rPr>
        <w:t xml:space="preserve">blación total de una región. </w:t>
      </w:r>
      <w:r>
        <w:rPr>
          <w:rFonts w:ascii="Times New Roman" w:hAnsi="Times New Roman"/>
          <w:noProof/>
          <w:sz w:val="24"/>
          <w:szCs w:val="24"/>
        </w:rPr>
        <w:t>El 65 % de la población de la UE vive en una región que registró un aumento de la población entre 2011 y 2019. En algunas regiones, el descenso de la población es una tendencia duradera que, a menudo, se prolonga durante década</w:t>
      </w:r>
      <w:r>
        <w:rPr>
          <w:rFonts w:ascii="Times New Roman" w:hAnsi="Times New Roman"/>
          <w:noProof/>
          <w:sz w:val="24"/>
          <w:szCs w:val="24"/>
        </w:rPr>
        <w:t xml:space="preserve">s; cabe esperar que en la próxima década, y en las siguientes, aumente el número de regiones en las que la población disminuya. </w:t>
      </w:r>
    </w:p>
    <w:p w:rsidR="00C80169" w:rsidRDefault="00941F3E">
      <w:pPr>
        <w:jc w:val="both"/>
        <w:rPr>
          <w:rFonts w:ascii="Times New Roman" w:hAnsi="Times New Roman" w:cs="Times New Roman"/>
          <w:noProof/>
          <w:sz w:val="24"/>
          <w:szCs w:val="24"/>
        </w:rPr>
      </w:pPr>
      <w:r>
        <w:rPr>
          <w:rFonts w:ascii="Times New Roman" w:hAnsi="Times New Roman"/>
          <w:noProof/>
          <w:sz w:val="24"/>
          <w:szCs w:val="24"/>
        </w:rPr>
        <w:t xml:space="preserve">Para evitar que esta situación se acentúe como consecuencia de la pandemia, la Comisión ha propuesto dedicar más recursos a la </w:t>
      </w:r>
      <w:r>
        <w:rPr>
          <w:rFonts w:ascii="Times New Roman" w:hAnsi="Times New Roman"/>
          <w:noProof/>
          <w:sz w:val="24"/>
          <w:szCs w:val="24"/>
        </w:rPr>
        <w:t>política de cohesión con miras a la adopción de medidas de reparación de los daños de la crisis y de recuperación mediante una iniciativa denominada REACT-UE</w:t>
      </w:r>
      <w:r>
        <w:rPr>
          <w:rStyle w:val="FootnoteReference"/>
          <w:rFonts w:ascii="Times New Roman" w:hAnsi="Times New Roman" w:cs="Times New Roman"/>
          <w:noProof/>
          <w:sz w:val="24"/>
          <w:szCs w:val="24"/>
        </w:rPr>
        <w:footnoteReference w:id="47"/>
      </w:r>
      <w:r>
        <w:rPr>
          <w:rFonts w:ascii="Times New Roman" w:hAnsi="Times New Roman"/>
          <w:noProof/>
          <w:sz w:val="24"/>
          <w:szCs w:val="24"/>
        </w:rPr>
        <w:t>. El instrumento de recuperación propuesto, Next Generation EU, prevé la prestación de apoyo adici</w:t>
      </w:r>
      <w:r>
        <w:rPr>
          <w:rFonts w:ascii="Times New Roman" w:hAnsi="Times New Roman"/>
          <w:noProof/>
          <w:sz w:val="24"/>
          <w:szCs w:val="24"/>
        </w:rPr>
        <w:t>onal para la financiación de medidas esenciales de reparación de los daños de la crisis y para ayudar a los trabajadores y las pymes, los sistemas sanitarios y las transiciones ecológica y digital en las regiones. Por su parte, el Programa de Desarrollo Ru</w:t>
      </w:r>
      <w:r>
        <w:rPr>
          <w:rFonts w:ascii="Times New Roman" w:hAnsi="Times New Roman"/>
          <w:noProof/>
          <w:sz w:val="24"/>
          <w:szCs w:val="24"/>
        </w:rPr>
        <w:t>ral de la UE desempeñará un papel crucial en el apoyo a la recuperación.</w:t>
      </w:r>
    </w:p>
    <w:p w:rsidR="00C80169" w:rsidRDefault="00941F3E">
      <w:pPr>
        <w:rPr>
          <w:rFonts w:ascii="Times New Roman" w:hAnsi="Times New Roman"/>
          <w:b/>
          <w:noProof/>
          <w:sz w:val="24"/>
          <w:szCs w:val="24"/>
        </w:rPr>
      </w:pPr>
      <w:r>
        <w:rPr>
          <w:rFonts w:ascii="Times New Roman" w:hAnsi="Times New Roman"/>
          <w:b/>
          <w:noProof/>
          <w:sz w:val="24"/>
          <w:szCs w:val="24"/>
        </w:rPr>
        <w:br w:type="page"/>
      </w:r>
    </w:p>
    <w:p w:rsidR="00C80169" w:rsidRDefault="00941F3E">
      <w:pPr>
        <w:keepNext/>
        <w:spacing w:after="0"/>
        <w:jc w:val="center"/>
        <w:rPr>
          <w:rFonts w:ascii="Times New Roman" w:hAnsi="Times New Roman" w:cs="Times New Roman"/>
          <w:b/>
          <w:noProof/>
          <w:sz w:val="24"/>
          <w:szCs w:val="24"/>
        </w:rPr>
      </w:pPr>
      <w:r>
        <w:rPr>
          <w:rFonts w:ascii="Times New Roman" w:hAnsi="Times New Roman"/>
          <w:b/>
          <w:noProof/>
          <w:sz w:val="24"/>
          <w:szCs w:val="24"/>
        </w:rPr>
        <w:t>Variación total de la población, por región</w:t>
      </w:r>
      <w:r>
        <w:rPr>
          <w:rFonts w:ascii="Times New Roman" w:hAnsi="Times New Roman" w:cs="Times New Roman"/>
          <w:b/>
          <w:noProof/>
          <w:sz w:val="24"/>
          <w:szCs w:val="24"/>
          <w:vertAlign w:val="superscript"/>
        </w:rPr>
        <w:footnoteReference w:id="48"/>
      </w:r>
      <w:r>
        <w:rPr>
          <w:rFonts w:ascii="Times New Roman" w:hAnsi="Times New Roman"/>
          <w:b/>
          <w:noProof/>
          <w:sz w:val="24"/>
          <w:szCs w:val="24"/>
        </w:rPr>
        <w:t>, 2011-2019</w:t>
      </w:r>
    </w:p>
    <w:p w:rsidR="00C80169" w:rsidRDefault="00C80169">
      <w:pPr>
        <w:spacing w:after="0"/>
        <w:jc w:val="center"/>
        <w:rPr>
          <w:rFonts w:ascii="Times New Roman" w:hAnsi="Times New Roman" w:cs="Times New Roman"/>
          <w:b/>
          <w:noProof/>
          <w:sz w:val="24"/>
          <w:szCs w:val="24"/>
        </w:rPr>
      </w:pPr>
    </w:p>
    <w:p w:rsidR="00C80169" w:rsidRDefault="00941F3E">
      <w:pPr>
        <w:jc w:val="center"/>
        <w:rPr>
          <w:rFonts w:ascii="Times New Roman" w:hAnsi="Times New Roman" w:cs="Times New Roman"/>
          <w:noProof/>
          <w:sz w:val="24"/>
          <w:szCs w:val="24"/>
        </w:rPr>
      </w:pPr>
      <w:r>
        <w:rPr>
          <w:rFonts w:ascii="Times New Roman" w:hAnsi="Times New Roman" w:cs="Times New Roman"/>
          <w:noProof/>
          <w:sz w:val="24"/>
          <w:szCs w:val="24"/>
          <w:lang w:val="fr-BE" w:eastAsia="fr-BE"/>
        </w:rPr>
        <w:drawing>
          <wp:inline distT="0" distB="0" distL="0" distR="0">
            <wp:extent cx="5507965" cy="7539487"/>
            <wp:effectExtent l="0" t="0" r="0" b="444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508679" cy="7540464"/>
                    </a:xfrm>
                    <a:prstGeom prst="rect">
                      <a:avLst/>
                    </a:prstGeom>
                    <a:noFill/>
                    <a:ln>
                      <a:noFill/>
                    </a:ln>
                  </pic:spPr>
                </pic:pic>
              </a:graphicData>
            </a:graphic>
          </wp:inline>
        </w:drawing>
      </w:r>
    </w:p>
    <w:p w:rsidR="00C80169" w:rsidRDefault="00941F3E">
      <w:pPr>
        <w:jc w:val="both"/>
        <w:rPr>
          <w:rFonts w:ascii="Times New Roman" w:hAnsi="Times New Roman" w:cs="Times New Roman"/>
          <w:noProof/>
          <w:sz w:val="24"/>
          <w:szCs w:val="24"/>
        </w:rPr>
      </w:pPr>
      <w:r>
        <w:rPr>
          <w:rFonts w:ascii="Times New Roman" w:hAnsi="Times New Roman"/>
          <w:b/>
          <w:noProof/>
          <w:sz w:val="24"/>
          <w:szCs w:val="24"/>
        </w:rPr>
        <w:t xml:space="preserve">El cambio demográfico se refleja de manera distinta en las regiones urbanas y rurales. </w:t>
      </w:r>
      <w:r>
        <w:rPr>
          <w:rFonts w:ascii="Times New Roman" w:hAnsi="Times New Roman"/>
          <w:noProof/>
          <w:sz w:val="24"/>
          <w:szCs w:val="24"/>
        </w:rPr>
        <w:t xml:space="preserve">Las regiones de la UE se inscriben </w:t>
      </w:r>
      <w:r>
        <w:rPr>
          <w:rFonts w:ascii="Times New Roman" w:hAnsi="Times New Roman"/>
          <w:noProof/>
          <w:sz w:val="24"/>
          <w:szCs w:val="24"/>
        </w:rPr>
        <w:t xml:space="preserve">en categorías distintas, dependiendo de si son de carácter más urbano o más rural o están en un punto intermedio entre ambos. Cada una de las tres categorías presenta sus propias características. El tamaño de la población y la densidad de población de las </w:t>
      </w:r>
      <w:r>
        <w:rPr>
          <w:rFonts w:ascii="Times New Roman" w:hAnsi="Times New Roman"/>
          <w:noProof/>
          <w:sz w:val="24"/>
          <w:szCs w:val="24"/>
        </w:rPr>
        <w:t>aglomeraciones va descendiendo de las regiones urbanas a las intermedias y de estas a las rurales. Durante la pandemia, la densidad de población y la categoría de región parecen haber influido en la propagación del virus. Se estima que el virus se introduj</w:t>
      </w:r>
      <w:r>
        <w:rPr>
          <w:rFonts w:ascii="Times New Roman" w:hAnsi="Times New Roman"/>
          <w:noProof/>
          <w:sz w:val="24"/>
          <w:szCs w:val="24"/>
        </w:rPr>
        <w:t>o y se expandió antes en las regiones urbanas que en las regiones intermedias y rurales</w:t>
      </w:r>
      <w:r>
        <w:rPr>
          <w:rStyle w:val="FootnoteReference"/>
          <w:rFonts w:ascii="Times New Roman" w:hAnsi="Times New Roman" w:cs="Times New Roman"/>
          <w:noProof/>
          <w:sz w:val="24"/>
          <w:szCs w:val="24"/>
        </w:rPr>
        <w:footnoteReference w:id="49"/>
      </w:r>
      <w:r>
        <w:rPr>
          <w:rFonts w:ascii="Times New Roman" w:hAnsi="Times New Roman"/>
          <w:noProof/>
          <w:sz w:val="24"/>
          <w:szCs w:val="24"/>
        </w:rPr>
        <w:t xml:space="preserve">. </w:t>
      </w:r>
    </w:p>
    <w:p w:rsidR="00C80169" w:rsidRDefault="00C80169">
      <w:pPr>
        <w:jc w:val="both"/>
        <w:rPr>
          <w:rFonts w:ascii="Times New Roman" w:hAnsi="Times New Roman" w:cs="Times New Roman"/>
          <w:noProof/>
          <w:sz w:val="24"/>
          <w:szCs w:val="24"/>
        </w:rPr>
      </w:pPr>
    </w:p>
    <w:p w:rsidR="00C80169" w:rsidRDefault="00941F3E">
      <w:pPr>
        <w:keepNext/>
        <w:jc w:val="center"/>
        <w:rPr>
          <w:rFonts w:ascii="Times New Roman" w:hAnsi="Times New Roman" w:cs="Times New Roman"/>
          <w:b/>
          <w:noProof/>
          <w:sz w:val="24"/>
          <w:szCs w:val="24"/>
        </w:rPr>
      </w:pPr>
      <w:r>
        <w:rPr>
          <w:rFonts w:ascii="Times New Roman" w:hAnsi="Times New Roman"/>
          <w:b/>
          <w:noProof/>
          <w:sz w:val="24"/>
          <w:szCs w:val="24"/>
        </w:rPr>
        <w:t>Población de la EU-27, por tipología regional urbana/rural, 2019</w:t>
      </w:r>
    </w:p>
    <w:p w:rsidR="00C80169" w:rsidRDefault="00941F3E">
      <w:pPr>
        <w:jc w:val="center"/>
        <w:rPr>
          <w:rFonts w:ascii="Times New Roman" w:hAnsi="Times New Roman" w:cs="Times New Roman"/>
          <w:noProof/>
          <w:sz w:val="24"/>
          <w:szCs w:val="24"/>
        </w:rPr>
      </w:pPr>
      <w:r>
        <w:rPr>
          <w:noProof/>
          <w:lang w:val="fr-BE" w:eastAsia="fr-BE"/>
        </w:rPr>
        <w:drawing>
          <wp:inline distT="0" distB="0" distL="0" distR="0">
            <wp:extent cx="2924175" cy="2734310"/>
            <wp:effectExtent l="0" t="0" r="9525"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924175" cy="2734310"/>
                    </a:xfrm>
                    <a:prstGeom prst="rect">
                      <a:avLst/>
                    </a:prstGeom>
                    <a:noFill/>
                    <a:ln>
                      <a:noFill/>
                    </a:ln>
                  </pic:spPr>
                </pic:pic>
              </a:graphicData>
            </a:graphic>
          </wp:inline>
        </w:drawing>
      </w:r>
    </w:p>
    <w:p w:rsidR="00C80169" w:rsidRDefault="00941F3E">
      <w:pPr>
        <w:jc w:val="both"/>
        <w:rPr>
          <w:rFonts w:ascii="Times New Roman" w:hAnsi="Times New Roman" w:cs="Times New Roman"/>
          <w:i/>
          <w:noProof/>
          <w:sz w:val="24"/>
          <w:szCs w:val="24"/>
        </w:rPr>
      </w:pPr>
      <w:r>
        <w:rPr>
          <w:rFonts w:ascii="Times New Roman" w:hAnsi="Times New Roman"/>
          <w:i/>
          <w:noProof/>
          <w:sz w:val="24"/>
          <w:szCs w:val="24"/>
        </w:rPr>
        <w:t>Fuente: Eurostat</w:t>
      </w:r>
    </w:p>
    <w:p w:rsidR="00C80169" w:rsidRDefault="00C80169">
      <w:pPr>
        <w:jc w:val="both"/>
        <w:rPr>
          <w:rFonts w:ascii="Times New Roman" w:hAnsi="Times New Roman" w:cs="Times New Roman"/>
          <w:noProof/>
          <w:sz w:val="24"/>
          <w:szCs w:val="24"/>
        </w:rPr>
      </w:pPr>
    </w:p>
    <w:p w:rsidR="00C80169" w:rsidRDefault="00941F3E">
      <w:pPr>
        <w:jc w:val="both"/>
        <w:rPr>
          <w:rFonts w:ascii="Times New Roman" w:hAnsi="Times New Roman" w:cs="Times New Roman"/>
          <w:noProof/>
          <w:sz w:val="24"/>
          <w:szCs w:val="24"/>
        </w:rPr>
      </w:pPr>
      <w:r>
        <w:rPr>
          <w:rFonts w:ascii="Times New Roman" w:hAnsi="Times New Roman"/>
          <w:b/>
          <w:noProof/>
          <w:sz w:val="24"/>
          <w:szCs w:val="24"/>
        </w:rPr>
        <w:t>En las regiones rurales, la población registró un descenso de 0,8 millones entr</w:t>
      </w:r>
      <w:r>
        <w:rPr>
          <w:rFonts w:ascii="Times New Roman" w:hAnsi="Times New Roman"/>
          <w:b/>
          <w:noProof/>
          <w:sz w:val="24"/>
          <w:szCs w:val="24"/>
        </w:rPr>
        <w:t>e 2014 y 2019.</w:t>
      </w:r>
      <w:r>
        <w:rPr>
          <w:rFonts w:ascii="Times New Roman" w:hAnsi="Times New Roman"/>
          <w:noProof/>
          <w:sz w:val="24"/>
          <w:szCs w:val="24"/>
        </w:rPr>
        <w:t xml:space="preserve"> Ahora bien, esta es solo una parte de la realidad. En algunos Estados miembros, estas regiones crecieron más de un 0,2 % anual, mientras que otras disminuyeron su población en la misma medida. Las regiones rurales de ocho Estados miembros —l</w:t>
      </w:r>
      <w:r>
        <w:rPr>
          <w:rFonts w:ascii="Times New Roman" w:hAnsi="Times New Roman"/>
          <w:noProof/>
          <w:sz w:val="24"/>
          <w:szCs w:val="24"/>
        </w:rPr>
        <w:t>os tres Estados bálticos, Bulgaria, Croacia, Hungría, Portugal y Rumanía— han perdido población desde 1991. Un estudio reciente de la OCDE indica que las regiones que se encuentran cerca de ciudades tienden a crecer, mientras que las más remotas</w:t>
      </w:r>
      <w:r>
        <w:rPr>
          <w:rFonts w:ascii="Times New Roman" w:hAnsi="Times New Roman" w:cs="Times New Roman"/>
          <w:noProof/>
          <w:sz w:val="24"/>
          <w:szCs w:val="24"/>
          <w:vertAlign w:val="superscript"/>
        </w:rPr>
        <w:footnoteReference w:id="50"/>
      </w:r>
      <w:r>
        <w:rPr>
          <w:rFonts w:ascii="Times New Roman" w:hAnsi="Times New Roman"/>
          <w:noProof/>
          <w:sz w:val="24"/>
          <w:szCs w:val="24"/>
        </w:rPr>
        <w:t xml:space="preserve"> tienden a perder población.</w:t>
      </w:r>
    </w:p>
    <w:p w:rsidR="00C80169" w:rsidRDefault="00941F3E">
      <w:pPr>
        <w:jc w:val="both"/>
        <w:rPr>
          <w:rFonts w:ascii="Times New Roman" w:hAnsi="Times New Roman" w:cs="Times New Roman"/>
          <w:noProof/>
          <w:sz w:val="24"/>
          <w:szCs w:val="24"/>
        </w:rPr>
      </w:pPr>
      <w:r>
        <w:rPr>
          <w:rFonts w:ascii="Times New Roman" w:hAnsi="Times New Roman"/>
          <w:b/>
          <w:noProof/>
          <w:sz w:val="24"/>
          <w:szCs w:val="24"/>
        </w:rPr>
        <w:t>Las regiones urbanas de la UE presentan un panorama diferente: su población creció en 3,8 millones en el mismo período</w:t>
      </w:r>
      <w:r>
        <w:rPr>
          <w:rFonts w:ascii="Times New Roman" w:hAnsi="Times New Roman"/>
          <w:noProof/>
          <w:sz w:val="24"/>
          <w:szCs w:val="24"/>
        </w:rPr>
        <w:t xml:space="preserve">. Sin embargo, en Grecia y Letonia cayó un 0,3 % y un 0,6 %, respectivamente. El 22 % de la población urbana </w:t>
      </w:r>
      <w:r>
        <w:rPr>
          <w:rFonts w:ascii="Times New Roman" w:hAnsi="Times New Roman"/>
          <w:noProof/>
          <w:sz w:val="24"/>
          <w:szCs w:val="24"/>
        </w:rPr>
        <w:t xml:space="preserve">de la UE vivía en una región que registró un descenso de la población entre 2014 y 2019. Todas las regiones urbanas de 14 Estados miembros ganaron población. </w:t>
      </w:r>
    </w:p>
    <w:p w:rsidR="00C80169" w:rsidRDefault="00C80169">
      <w:pPr>
        <w:rPr>
          <w:rFonts w:ascii="Times New Roman" w:hAnsi="Times New Roman" w:cs="Times New Roman"/>
          <w:noProof/>
          <w:sz w:val="24"/>
          <w:szCs w:val="24"/>
        </w:rPr>
      </w:pPr>
    </w:p>
    <w:p w:rsidR="00C80169" w:rsidRDefault="00941F3E">
      <w:pPr>
        <w:pStyle w:val="Heading3"/>
        <w:keepNext/>
        <w:rPr>
          <w:noProof/>
        </w:rPr>
      </w:pPr>
      <w:bookmarkStart w:id="60" w:name="_Toc32414447"/>
      <w:bookmarkStart w:id="61" w:name="_Toc32444158"/>
      <w:bookmarkStart w:id="62" w:name="_Toc33800409"/>
      <w:bookmarkStart w:id="63" w:name="_Toc35516332"/>
      <w:bookmarkStart w:id="64" w:name="_Toc36563277"/>
      <w:bookmarkStart w:id="65" w:name="_Toc43897460"/>
      <w:r>
        <w:rPr>
          <w:noProof/>
        </w:rPr>
        <w:t xml:space="preserve">3.4.1. </w:t>
      </w:r>
      <w:bookmarkEnd w:id="60"/>
      <w:bookmarkEnd w:id="61"/>
      <w:bookmarkEnd w:id="62"/>
      <w:bookmarkEnd w:id="63"/>
      <w:r>
        <w:rPr>
          <w:noProof/>
        </w:rPr>
        <w:t>CALIDAD DE VIDA, INFRAESTRUCTURA Y ACCESO A SERVICIOS</w:t>
      </w:r>
      <w:bookmarkEnd w:id="64"/>
      <w:bookmarkEnd w:id="65"/>
    </w:p>
    <w:p w:rsidR="00C80169" w:rsidRDefault="00941F3E">
      <w:pPr>
        <w:keepLines/>
        <w:jc w:val="both"/>
        <w:rPr>
          <w:rFonts w:ascii="Times New Roman" w:hAnsi="Times New Roman" w:cs="Times New Roman"/>
          <w:noProof/>
          <w:sz w:val="24"/>
          <w:szCs w:val="24"/>
        </w:rPr>
      </w:pPr>
      <w:r>
        <w:rPr>
          <w:rFonts w:ascii="Times New Roman" w:hAnsi="Times New Roman"/>
          <w:noProof/>
          <w:sz w:val="24"/>
          <w:szCs w:val="24"/>
        </w:rPr>
        <w:t>En toda Europa se trata de proporci</w:t>
      </w:r>
      <w:r>
        <w:rPr>
          <w:rFonts w:ascii="Times New Roman" w:hAnsi="Times New Roman"/>
          <w:noProof/>
          <w:sz w:val="24"/>
          <w:szCs w:val="24"/>
        </w:rPr>
        <w:t>onar servicios e infraestructura para atender las necesidades de su población. Tanto si la población crece como si decrece, los servicios y la infraestructura deben adaptarse en consecuencia, ya sea en el transporte, los servicios digitales, la vivienda, l</w:t>
      </w:r>
      <w:r>
        <w:rPr>
          <w:rFonts w:ascii="Times New Roman" w:hAnsi="Times New Roman"/>
          <w:noProof/>
          <w:sz w:val="24"/>
          <w:szCs w:val="24"/>
        </w:rPr>
        <w:t xml:space="preserve">as escuelas, la asistencia sanitaria y los cuidados de larga duración, o la integración social. </w:t>
      </w:r>
    </w:p>
    <w:p w:rsidR="00C80169" w:rsidRDefault="00941F3E">
      <w:pPr>
        <w:jc w:val="both"/>
        <w:rPr>
          <w:rFonts w:ascii="Times New Roman" w:hAnsi="Times New Roman" w:cs="Times New Roman"/>
          <w:noProof/>
          <w:sz w:val="24"/>
          <w:szCs w:val="24"/>
        </w:rPr>
      </w:pPr>
      <w:r>
        <w:rPr>
          <w:rFonts w:ascii="Times New Roman" w:hAnsi="Times New Roman"/>
          <w:noProof/>
          <w:sz w:val="24"/>
          <w:szCs w:val="24"/>
        </w:rPr>
        <w:t>Los efectos del cambio demográfico en una región específica dependen en gran parte del ritmo y el volumen de la variación de la población y de si la región tie</w:t>
      </w:r>
      <w:r>
        <w:rPr>
          <w:rFonts w:ascii="Times New Roman" w:hAnsi="Times New Roman"/>
          <w:noProof/>
          <w:sz w:val="24"/>
          <w:szCs w:val="24"/>
        </w:rPr>
        <w:t>ne los medios para hacer frente a ese cambio.</w:t>
      </w:r>
      <w:r>
        <w:rPr>
          <w:rFonts w:ascii="Times New Roman" w:hAnsi="Times New Roman"/>
          <w:b/>
          <w:noProof/>
          <w:sz w:val="24"/>
          <w:szCs w:val="24"/>
        </w:rPr>
        <w:t xml:space="preserve"> </w:t>
      </w:r>
      <w:r>
        <w:rPr>
          <w:rFonts w:ascii="Times New Roman" w:hAnsi="Times New Roman"/>
          <w:bCs/>
          <w:noProof/>
          <w:sz w:val="24"/>
          <w:szCs w:val="24"/>
        </w:rPr>
        <w:t>El PIB per cápita de la mayoría de las regiones que registran un rápido crecimiento de la población está por encima de la media de la UE, mientras que el de las regiones con un rápido descenso de la población t</w:t>
      </w:r>
      <w:r>
        <w:rPr>
          <w:rFonts w:ascii="Times New Roman" w:hAnsi="Times New Roman"/>
          <w:bCs/>
          <w:noProof/>
          <w:sz w:val="24"/>
          <w:szCs w:val="24"/>
        </w:rPr>
        <w:t xml:space="preserve">iende a ser comparativamente bajo. </w:t>
      </w:r>
      <w:r>
        <w:rPr>
          <w:rFonts w:ascii="Times New Roman" w:hAnsi="Times New Roman"/>
          <w:noProof/>
          <w:sz w:val="24"/>
          <w:szCs w:val="24"/>
        </w:rPr>
        <w:t>La situación de las regiones con renta baja y que experimentan rápidos cambios de la población es la más problemática.</w:t>
      </w:r>
    </w:p>
    <w:p w:rsidR="00C80169" w:rsidRDefault="00941F3E">
      <w:pPr>
        <w:jc w:val="both"/>
        <w:rPr>
          <w:rFonts w:ascii="Times New Roman" w:hAnsi="Times New Roman" w:cs="Times New Roman"/>
          <w:noProof/>
          <w:sz w:val="24"/>
          <w:szCs w:val="24"/>
        </w:rPr>
      </w:pPr>
      <w:r>
        <w:rPr>
          <w:rFonts w:ascii="Times New Roman" w:hAnsi="Times New Roman"/>
          <w:noProof/>
          <w:sz w:val="24"/>
          <w:szCs w:val="24"/>
        </w:rPr>
        <w:t>Un total de 31 millones de personas, o el 7 % de la población de la UE, vive en una región que se enfr</w:t>
      </w:r>
      <w:r>
        <w:rPr>
          <w:rFonts w:ascii="Times New Roman" w:hAnsi="Times New Roman"/>
          <w:noProof/>
          <w:sz w:val="24"/>
          <w:szCs w:val="24"/>
        </w:rPr>
        <w:t xml:space="preserve">enta a la </w:t>
      </w:r>
      <w:r>
        <w:rPr>
          <w:rFonts w:ascii="Times New Roman" w:hAnsi="Times New Roman"/>
          <w:b/>
          <w:i/>
          <w:noProof/>
          <w:sz w:val="24"/>
          <w:szCs w:val="24"/>
        </w:rPr>
        <w:t>doble dificultad</w:t>
      </w:r>
      <w:r>
        <w:rPr>
          <w:rFonts w:ascii="Times New Roman" w:hAnsi="Times New Roman"/>
          <w:b/>
          <w:noProof/>
          <w:sz w:val="24"/>
          <w:szCs w:val="24"/>
        </w:rPr>
        <w:t xml:space="preserve"> de un rápido descenso de la población y un PIB per cápita bajo</w:t>
      </w:r>
      <w:r>
        <w:rPr>
          <w:rFonts w:ascii="Times New Roman" w:hAnsi="Times New Roman"/>
          <w:noProof/>
          <w:sz w:val="24"/>
          <w:szCs w:val="24"/>
        </w:rPr>
        <w:t>. Muchas de estas regiones se encuentran en los Estados bálticos, Bulgaria, Croacia, Hungría, Portugal y Rumanía. También hay algunas regiones en esta situación en Gre</w:t>
      </w:r>
      <w:r>
        <w:rPr>
          <w:rFonts w:ascii="Times New Roman" w:hAnsi="Times New Roman"/>
          <w:noProof/>
          <w:sz w:val="24"/>
          <w:szCs w:val="24"/>
        </w:rPr>
        <w:t xml:space="preserve">cia y España, así como unas cuantas en el este de Alemania, Francia y Polonia. </w:t>
      </w:r>
    </w:p>
    <w:p w:rsidR="00C80169" w:rsidRDefault="00941F3E">
      <w:pPr>
        <w:jc w:val="both"/>
        <w:rPr>
          <w:rFonts w:ascii="Times New Roman" w:hAnsi="Times New Roman" w:cs="Times New Roman"/>
          <w:noProof/>
          <w:sz w:val="24"/>
          <w:szCs w:val="24"/>
        </w:rPr>
      </w:pPr>
      <w:r>
        <w:rPr>
          <w:rFonts w:ascii="Times New Roman" w:hAnsi="Times New Roman"/>
          <w:noProof/>
          <w:sz w:val="24"/>
          <w:szCs w:val="24"/>
        </w:rPr>
        <w:t>A la hora de contrarrestar los efectos del cambio demográfico local y regional, deben tenerse en cuenta los motivos que llevan a una persona a trasladarse a una región o a aban</w:t>
      </w:r>
      <w:r>
        <w:rPr>
          <w:rFonts w:ascii="Times New Roman" w:hAnsi="Times New Roman"/>
          <w:noProof/>
          <w:sz w:val="24"/>
          <w:szCs w:val="24"/>
        </w:rPr>
        <w:t>donarla. A menudo es una cuestión de oportunidades de empleo y calidad de vida. La calidad de vida en una región específica puede verse influida por muchos factores distintos, ya sea el entorno natural, el acceso a servicios (atención a la infancia, accesi</w:t>
      </w:r>
      <w:r>
        <w:rPr>
          <w:rFonts w:ascii="Times New Roman" w:hAnsi="Times New Roman"/>
          <w:noProof/>
          <w:sz w:val="24"/>
          <w:szCs w:val="24"/>
        </w:rPr>
        <w:t>bilidad para las personas con discapacidad, educación de buena calidad, atención sanitaria, cuidados de larga duración, vivienda, ocio y servicios culturales) o la disponibilidad y calidad de la infraestructura (carreteras, transporte ferroviario, suminist</w:t>
      </w:r>
      <w:r>
        <w:rPr>
          <w:rFonts w:ascii="Times New Roman" w:hAnsi="Times New Roman"/>
          <w:noProof/>
          <w:sz w:val="24"/>
          <w:szCs w:val="24"/>
        </w:rPr>
        <w:t>ro de energía o acceso a Internet).</w:t>
      </w:r>
    </w:p>
    <w:p w:rsidR="00C80169" w:rsidRDefault="00941F3E">
      <w:pPr>
        <w:jc w:val="both"/>
        <w:rPr>
          <w:rFonts w:ascii="Times New Roman" w:hAnsi="Times New Roman" w:cs="Times New Roman"/>
          <w:noProof/>
          <w:sz w:val="24"/>
          <w:szCs w:val="24"/>
        </w:rPr>
      </w:pPr>
      <w:r>
        <w:rPr>
          <w:rFonts w:ascii="Times New Roman" w:hAnsi="Times New Roman"/>
          <w:b/>
          <w:noProof/>
          <w:sz w:val="24"/>
          <w:szCs w:val="24"/>
        </w:rPr>
        <w:t>La accesibilidad y la conectividad adquirirán más importancia para las perspectivas de las regiones</w:t>
      </w:r>
      <w:r>
        <w:rPr>
          <w:rFonts w:ascii="Times New Roman" w:hAnsi="Times New Roman"/>
          <w:noProof/>
          <w:sz w:val="24"/>
          <w:szCs w:val="24"/>
        </w:rPr>
        <w:t>. Influyen en sus perspectivas económicas y en su potencial para ofrecer empleos atractivos. A medida que Europa se embar</w:t>
      </w:r>
      <w:r>
        <w:rPr>
          <w:rFonts w:ascii="Times New Roman" w:hAnsi="Times New Roman"/>
          <w:noProof/>
          <w:sz w:val="24"/>
          <w:szCs w:val="24"/>
        </w:rPr>
        <w:t>ca en su transición ecológica, la necesidad de un transporte público limpio, frecuente, accesible y asequible será cada vez más relevante para el atractivo de una región. A medida que Europa vaya digitalizándose cada vez más, los ciudadanos demandarán acce</w:t>
      </w:r>
      <w:r>
        <w:rPr>
          <w:rFonts w:ascii="Times New Roman" w:hAnsi="Times New Roman"/>
          <w:noProof/>
          <w:sz w:val="24"/>
          <w:szCs w:val="24"/>
        </w:rPr>
        <w:t>so de gran calidad a la banda ancha de próxima generación. El acceso a la banda ancha de próxima generación puede contribuir a colmar la brecha digital entre las zonas urbanas y rurales.</w:t>
      </w:r>
    </w:p>
    <w:p w:rsidR="00C80169" w:rsidRDefault="00941F3E">
      <w:pPr>
        <w:keepNext/>
        <w:jc w:val="center"/>
        <w:rPr>
          <w:rFonts w:ascii="Times New Roman" w:hAnsi="Times New Roman" w:cs="Times New Roman"/>
          <w:b/>
          <w:noProof/>
          <w:sz w:val="24"/>
          <w:szCs w:val="24"/>
        </w:rPr>
      </w:pPr>
      <w:r>
        <w:rPr>
          <w:rFonts w:ascii="Times New Roman" w:hAnsi="Times New Roman"/>
          <w:b/>
          <w:noProof/>
          <w:sz w:val="24"/>
          <w:szCs w:val="24"/>
        </w:rPr>
        <w:t>Cobertura del acceso a la banda ancha de próxima generación</w:t>
      </w:r>
    </w:p>
    <w:p w:rsidR="00C80169" w:rsidRDefault="00941F3E">
      <w:pPr>
        <w:jc w:val="both"/>
        <w:rPr>
          <w:rFonts w:ascii="Times New Roman" w:hAnsi="Times New Roman" w:cs="Times New Roman"/>
          <w:noProof/>
          <w:sz w:val="24"/>
          <w:szCs w:val="24"/>
        </w:rPr>
      </w:pPr>
      <w:r>
        <w:rPr>
          <w:noProof/>
          <w:lang w:val="fr-BE" w:eastAsia="fr-BE"/>
        </w:rPr>
        <w:drawing>
          <wp:inline distT="0" distB="0" distL="0" distR="0">
            <wp:extent cx="6192520" cy="213507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192520" cy="2135074"/>
                    </a:xfrm>
                    <a:prstGeom prst="rect">
                      <a:avLst/>
                    </a:prstGeom>
                    <a:noFill/>
                    <a:ln>
                      <a:noFill/>
                    </a:ln>
                  </pic:spPr>
                </pic:pic>
              </a:graphicData>
            </a:graphic>
          </wp:inline>
        </w:drawing>
      </w:r>
    </w:p>
    <w:p w:rsidR="00C80169" w:rsidRDefault="00941F3E">
      <w:pPr>
        <w:spacing w:after="120"/>
        <w:jc w:val="both"/>
        <w:rPr>
          <w:rFonts w:ascii="Times New Roman" w:hAnsi="Times New Roman" w:cs="Times New Roman"/>
          <w:b/>
          <w:noProof/>
          <w:sz w:val="24"/>
          <w:szCs w:val="24"/>
        </w:rPr>
      </w:pPr>
      <w:r>
        <w:rPr>
          <w:rFonts w:ascii="Times New Roman" w:hAnsi="Times New Roman"/>
          <w:b/>
          <w:noProof/>
          <w:sz w:val="24"/>
          <w:szCs w:val="24"/>
        </w:rPr>
        <w:t>Las inv</w:t>
      </w:r>
      <w:r>
        <w:rPr>
          <w:rFonts w:ascii="Times New Roman" w:hAnsi="Times New Roman"/>
          <w:b/>
          <w:noProof/>
          <w:sz w:val="24"/>
          <w:szCs w:val="24"/>
        </w:rPr>
        <w:t>ersiones en infraestructura y servicios, también mediante la política de cohesión, son una parte esencial de la solución</w:t>
      </w:r>
      <w:r>
        <w:rPr>
          <w:rFonts w:ascii="Times New Roman" w:hAnsi="Times New Roman"/>
          <w:noProof/>
          <w:sz w:val="24"/>
          <w:szCs w:val="24"/>
        </w:rPr>
        <w:t>.</w:t>
      </w:r>
      <w:r>
        <w:rPr>
          <w:rFonts w:ascii="Times New Roman" w:hAnsi="Times New Roman"/>
          <w:b/>
          <w:noProof/>
          <w:sz w:val="24"/>
          <w:szCs w:val="24"/>
        </w:rPr>
        <w:t xml:space="preserve"> </w:t>
      </w:r>
      <w:r>
        <w:rPr>
          <w:rFonts w:ascii="Times New Roman" w:hAnsi="Times New Roman"/>
          <w:noProof/>
          <w:sz w:val="24"/>
          <w:szCs w:val="24"/>
        </w:rPr>
        <w:t>La infraestructura presenta múltiples dimensiones, entre las que destacan la disponibilidad de servicios digitales (incluido el acceso</w:t>
      </w:r>
      <w:r>
        <w:rPr>
          <w:rFonts w:ascii="Times New Roman" w:hAnsi="Times New Roman"/>
          <w:noProof/>
          <w:sz w:val="24"/>
          <w:szCs w:val="24"/>
        </w:rPr>
        <w:t xml:space="preserve"> a tecnologías de la información y la comunicación y la cobertura de 5G), los servicios de educación y asistencia sanitaria, así como la oferta de ocio y cultura. </w:t>
      </w:r>
    </w:p>
    <w:p w:rsidR="00C80169" w:rsidRDefault="00941F3E">
      <w:pPr>
        <w:rPr>
          <w:rFonts w:ascii="Times New Roman" w:hAnsi="Times New Roman"/>
          <w:b/>
          <w:noProof/>
          <w:sz w:val="24"/>
          <w:szCs w:val="24"/>
        </w:rPr>
      </w:pPr>
      <w:r>
        <w:rPr>
          <w:rFonts w:ascii="Times New Roman" w:hAnsi="Times New Roman"/>
          <w:b/>
          <w:noProof/>
          <w:sz w:val="24"/>
          <w:szCs w:val="24"/>
        </w:rPr>
        <w:br w:type="page"/>
      </w:r>
    </w:p>
    <w:p w:rsidR="00C80169" w:rsidRDefault="00941F3E">
      <w:pPr>
        <w:keepNext/>
        <w:spacing w:after="0"/>
        <w:jc w:val="center"/>
        <w:rPr>
          <w:rFonts w:ascii="Times New Roman" w:hAnsi="Times New Roman" w:cs="Times New Roman"/>
          <w:b/>
          <w:noProof/>
          <w:sz w:val="24"/>
          <w:szCs w:val="24"/>
        </w:rPr>
      </w:pPr>
      <w:r>
        <w:rPr>
          <w:rFonts w:ascii="Times New Roman" w:hAnsi="Times New Roman"/>
          <w:b/>
          <w:noProof/>
          <w:sz w:val="24"/>
          <w:szCs w:val="24"/>
        </w:rPr>
        <w:t>Accesibilidad por transporte ferroviario, por región</w:t>
      </w:r>
      <w:r>
        <w:rPr>
          <w:rFonts w:ascii="Times New Roman" w:hAnsi="Times New Roman" w:cs="Times New Roman"/>
          <w:b/>
          <w:noProof/>
          <w:sz w:val="24"/>
          <w:szCs w:val="24"/>
          <w:vertAlign w:val="superscript"/>
        </w:rPr>
        <w:footnoteReference w:id="51"/>
      </w:r>
      <w:r>
        <w:rPr>
          <w:rFonts w:ascii="Times New Roman" w:hAnsi="Times New Roman"/>
          <w:b/>
          <w:noProof/>
          <w:sz w:val="24"/>
          <w:szCs w:val="24"/>
        </w:rPr>
        <w:t>, 2014</w:t>
      </w:r>
    </w:p>
    <w:p w:rsidR="00C80169" w:rsidRDefault="00C80169">
      <w:pPr>
        <w:spacing w:after="0"/>
        <w:jc w:val="center"/>
        <w:rPr>
          <w:rFonts w:ascii="Times New Roman" w:hAnsi="Times New Roman" w:cs="Times New Roman"/>
          <w:noProof/>
          <w:sz w:val="24"/>
          <w:szCs w:val="24"/>
        </w:rPr>
      </w:pPr>
    </w:p>
    <w:p w:rsidR="00C80169" w:rsidRDefault="00941F3E">
      <w:pPr>
        <w:jc w:val="center"/>
        <w:rPr>
          <w:rFonts w:ascii="Times New Roman" w:hAnsi="Times New Roman" w:cs="Times New Roman"/>
          <w:noProof/>
          <w:sz w:val="24"/>
          <w:szCs w:val="24"/>
        </w:rPr>
      </w:pPr>
      <w:r>
        <w:rPr>
          <w:rFonts w:ascii="Times New Roman" w:hAnsi="Times New Roman" w:cs="Times New Roman"/>
          <w:noProof/>
          <w:sz w:val="24"/>
          <w:szCs w:val="24"/>
          <w:lang w:val="fr-BE" w:eastAsia="fr-BE"/>
        </w:rPr>
        <w:drawing>
          <wp:inline distT="0" distB="0" distL="0" distR="0">
            <wp:extent cx="5520690" cy="7298055"/>
            <wp:effectExtent l="0" t="0" r="381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520690" cy="7298055"/>
                    </a:xfrm>
                    <a:prstGeom prst="rect">
                      <a:avLst/>
                    </a:prstGeom>
                    <a:noFill/>
                    <a:ln>
                      <a:noFill/>
                    </a:ln>
                  </pic:spPr>
                </pic:pic>
              </a:graphicData>
            </a:graphic>
          </wp:inline>
        </w:drawing>
      </w:r>
    </w:p>
    <w:p w:rsidR="00C80169" w:rsidRDefault="00941F3E">
      <w:pPr>
        <w:jc w:val="both"/>
        <w:rPr>
          <w:rFonts w:ascii="Times New Roman" w:hAnsi="Times New Roman" w:cs="Times New Roman"/>
          <w:noProof/>
          <w:sz w:val="24"/>
          <w:szCs w:val="24"/>
        </w:rPr>
      </w:pPr>
      <w:r>
        <w:rPr>
          <w:rFonts w:ascii="Times New Roman" w:hAnsi="Times New Roman"/>
          <w:noProof/>
          <w:sz w:val="24"/>
          <w:szCs w:val="24"/>
        </w:rPr>
        <w:t xml:space="preserve">Las iniciativas regionales </w:t>
      </w:r>
      <w:r>
        <w:rPr>
          <w:rFonts w:ascii="Times New Roman" w:hAnsi="Times New Roman"/>
          <w:noProof/>
          <w:sz w:val="24"/>
          <w:szCs w:val="24"/>
        </w:rPr>
        <w:t>pueden mejorar la calidad de vida y el acceso a servicios e infraestructura, así como paliar los efectos negativos de la despoblación. Por ejemplo, el entorno empresarial local puede mejorarse mediante servicios de apoyo a las empresas que incentiven la in</w:t>
      </w:r>
      <w:r>
        <w:rPr>
          <w:rFonts w:ascii="Times New Roman" w:hAnsi="Times New Roman"/>
          <w:noProof/>
          <w:sz w:val="24"/>
          <w:szCs w:val="24"/>
        </w:rPr>
        <w:t>novación y la investigación. El desarrollo local participativo puede responder a las necesidades de los ciudadanos y mejorar la calidad de vida local. Un rápido acuerdo sobre el próximo presupuesto de la UE a largo plazo, así como sobre su instrumento de r</w:t>
      </w:r>
      <w:r>
        <w:rPr>
          <w:rFonts w:ascii="Times New Roman" w:hAnsi="Times New Roman"/>
          <w:noProof/>
          <w:sz w:val="24"/>
          <w:szCs w:val="24"/>
        </w:rPr>
        <w:t>ecuperación Next Generation EU</w:t>
      </w:r>
      <w:r>
        <w:rPr>
          <w:rStyle w:val="FootnoteReference"/>
          <w:rFonts w:ascii="Times New Roman" w:hAnsi="Times New Roman" w:cs="Times New Roman"/>
          <w:noProof/>
          <w:sz w:val="24"/>
          <w:szCs w:val="24"/>
        </w:rPr>
        <w:footnoteReference w:id="52"/>
      </w:r>
      <w:r>
        <w:rPr>
          <w:rFonts w:ascii="Times New Roman" w:hAnsi="Times New Roman"/>
          <w:noProof/>
          <w:sz w:val="24"/>
          <w:szCs w:val="24"/>
        </w:rPr>
        <w:t xml:space="preserve">, asegurará que los fondos de la UE y los programas de cohesión puedan desempeñar un papel importante en el apoyo a esta labor. </w:t>
      </w:r>
    </w:p>
    <w:p w:rsidR="00C80169" w:rsidRDefault="00941F3E">
      <w:pPr>
        <w:jc w:val="both"/>
        <w:rPr>
          <w:rFonts w:ascii="Times New Roman" w:hAnsi="Times New Roman" w:cs="Times New Roman"/>
          <w:noProof/>
          <w:sz w:val="24"/>
          <w:szCs w:val="24"/>
        </w:rPr>
      </w:pPr>
      <w:r>
        <w:rPr>
          <w:rFonts w:ascii="Times New Roman" w:hAnsi="Times New Roman"/>
          <w:b/>
          <w:noProof/>
          <w:sz w:val="24"/>
          <w:szCs w:val="24"/>
        </w:rPr>
        <w:t>La cuestión esencial para las políticas públicas es cómo desarrollar soluciones sostenibles</w:t>
      </w:r>
      <w:r>
        <w:rPr>
          <w:rFonts w:ascii="Times New Roman" w:hAnsi="Times New Roman"/>
          <w:noProof/>
          <w:sz w:val="24"/>
          <w:szCs w:val="24"/>
        </w:rPr>
        <w:t xml:space="preserve">. Ha </w:t>
      </w:r>
      <w:r>
        <w:rPr>
          <w:rFonts w:ascii="Times New Roman" w:hAnsi="Times New Roman"/>
          <w:noProof/>
          <w:sz w:val="24"/>
          <w:szCs w:val="24"/>
        </w:rPr>
        <w:t>quedado demostrada la capacidad de las regiones y los municipios para innovar y gestionar el cambio demográfico con inteligencia. Aprender de esta experiencia será esencial para compartir las mejores prácticas y expandir ideas, productos o servicios innova</w:t>
      </w:r>
      <w:r>
        <w:rPr>
          <w:rFonts w:ascii="Times New Roman" w:hAnsi="Times New Roman"/>
          <w:noProof/>
          <w:sz w:val="24"/>
          <w:szCs w:val="24"/>
        </w:rPr>
        <w:t>dores.</w:t>
      </w:r>
    </w:p>
    <w:p w:rsidR="00C80169" w:rsidRDefault="00941F3E">
      <w:pPr>
        <w:jc w:val="both"/>
        <w:rPr>
          <w:rFonts w:ascii="Times New Roman" w:hAnsi="Times New Roman" w:cs="Times New Roman"/>
          <w:b/>
          <w:noProof/>
          <w:sz w:val="24"/>
          <w:szCs w:val="24"/>
        </w:rPr>
      </w:pPr>
      <w:r>
        <w:rPr>
          <w:rFonts w:ascii="Times New Roman" w:hAnsi="Times New Roman"/>
          <w:b/>
          <w:noProof/>
          <w:sz w:val="24"/>
          <w:szCs w:val="24"/>
        </w:rPr>
        <w:t xml:space="preserve">Toda respuesta política que aborde los desafíos regionales debe centrarse en la situación sobre el terreno. </w:t>
      </w:r>
      <w:r>
        <w:rPr>
          <w:rFonts w:ascii="Times New Roman" w:hAnsi="Times New Roman"/>
          <w:noProof/>
          <w:sz w:val="24"/>
          <w:szCs w:val="24"/>
        </w:rPr>
        <w:t>Esto se debe a que la situación difiere de un país a otro y dentro de un mismo país; en algunos lugares la brecha entre las zonas rurales y l</w:t>
      </w:r>
      <w:r>
        <w:rPr>
          <w:rFonts w:ascii="Times New Roman" w:hAnsi="Times New Roman"/>
          <w:noProof/>
          <w:sz w:val="24"/>
          <w:szCs w:val="24"/>
        </w:rPr>
        <w:t xml:space="preserve">as urbanas es mayor y contrarresta la tendencia general. En 2018, en la mayoría de los países de Europa occidental, la proporción de la población en riesgo de pobreza era especialmente elevada entre las personas que vivían en ciudades, mientras que, en el </w:t>
      </w:r>
      <w:r>
        <w:rPr>
          <w:rFonts w:ascii="Times New Roman" w:hAnsi="Times New Roman"/>
          <w:noProof/>
          <w:sz w:val="24"/>
          <w:szCs w:val="24"/>
        </w:rPr>
        <w:t>este y el sur de la UE, lo era entre las personas que vivían en zonas rurales.</w:t>
      </w:r>
      <w:r>
        <w:rPr>
          <w:rFonts w:ascii="Times New Roman" w:hAnsi="Times New Roman"/>
          <w:b/>
          <w:noProof/>
          <w:sz w:val="24"/>
          <w:szCs w:val="24"/>
        </w:rPr>
        <w:t xml:space="preserve"> </w:t>
      </w:r>
    </w:p>
    <w:p w:rsidR="00C80169" w:rsidRDefault="00941F3E">
      <w:pPr>
        <w:jc w:val="both"/>
        <w:rPr>
          <w:rFonts w:ascii="Times New Roman" w:hAnsi="Times New Roman" w:cs="Times New Roman"/>
          <w:noProof/>
          <w:sz w:val="24"/>
          <w:szCs w:val="24"/>
        </w:rPr>
      </w:pPr>
      <w:r>
        <w:rPr>
          <w:rFonts w:ascii="Times New Roman" w:hAnsi="Times New Roman"/>
          <w:noProof/>
          <w:sz w:val="24"/>
          <w:szCs w:val="24"/>
        </w:rPr>
        <w:t xml:space="preserve">En las ciudades, el uso de energía, transporte y espacio son más eficientes. Resulta más sencillo organizar y mantener la infraestructura pública, como el transporte público o </w:t>
      </w:r>
      <w:r>
        <w:rPr>
          <w:rFonts w:ascii="Times New Roman" w:hAnsi="Times New Roman"/>
          <w:noProof/>
          <w:sz w:val="24"/>
          <w:szCs w:val="24"/>
        </w:rPr>
        <w:t>el acceso a Internet, y el acceso a servicios sociales, por ejemplo en el sector asistencial. La coincidencia entre la oferta y la demanda de capacidades tiende a ser más fácil, lo que redunda en una mayor productividad y renta per cápita. Las ciudades tie</w:t>
      </w:r>
      <w:r>
        <w:rPr>
          <w:rFonts w:ascii="Times New Roman" w:hAnsi="Times New Roman"/>
          <w:noProof/>
          <w:sz w:val="24"/>
          <w:szCs w:val="24"/>
        </w:rPr>
        <w:t>nen mejor acceso a educación de buena calidad y cuentan con más centros de enseñanza superior, lo que puede ayudar a generar innovación</w:t>
      </w:r>
      <w:r>
        <w:rPr>
          <w:rFonts w:ascii="Times New Roman" w:hAnsi="Times New Roman" w:cs="Times New Roman"/>
          <w:noProof/>
          <w:sz w:val="24"/>
          <w:szCs w:val="24"/>
          <w:vertAlign w:val="superscript"/>
        </w:rPr>
        <w:footnoteReference w:id="53"/>
      </w:r>
      <w:r>
        <w:rPr>
          <w:rFonts w:ascii="Times New Roman" w:hAnsi="Times New Roman"/>
          <w:noProof/>
          <w:sz w:val="24"/>
          <w:szCs w:val="24"/>
        </w:rPr>
        <w:t xml:space="preserve">. </w:t>
      </w:r>
    </w:p>
    <w:p w:rsidR="00C80169" w:rsidRDefault="00941F3E">
      <w:pPr>
        <w:jc w:val="both"/>
        <w:rPr>
          <w:rFonts w:ascii="Times New Roman" w:hAnsi="Times New Roman" w:cs="Times New Roman"/>
          <w:noProof/>
          <w:sz w:val="24"/>
          <w:szCs w:val="24"/>
        </w:rPr>
      </w:pPr>
      <w:r>
        <w:rPr>
          <w:rFonts w:ascii="Times New Roman" w:hAnsi="Times New Roman"/>
          <w:noProof/>
          <w:sz w:val="24"/>
          <w:szCs w:val="24"/>
        </w:rPr>
        <w:t xml:space="preserve">Por otro lado, </w:t>
      </w:r>
      <w:r>
        <w:rPr>
          <w:rFonts w:ascii="Times New Roman" w:hAnsi="Times New Roman"/>
          <w:b/>
          <w:noProof/>
          <w:sz w:val="24"/>
          <w:szCs w:val="24"/>
        </w:rPr>
        <w:t xml:space="preserve">las altas tasas de crecimiento de la población de las ciudades deben gestionarse bien para evitar que </w:t>
      </w:r>
      <w:r>
        <w:rPr>
          <w:rFonts w:ascii="Times New Roman" w:hAnsi="Times New Roman"/>
          <w:b/>
          <w:noProof/>
          <w:sz w:val="24"/>
          <w:szCs w:val="24"/>
        </w:rPr>
        <w:t>se agudicen la congestión y la contaminación y aumenten los costes de la vivienda</w:t>
      </w:r>
      <w:r>
        <w:rPr>
          <w:rFonts w:ascii="Times New Roman" w:hAnsi="Times New Roman" w:cs="Times New Roman"/>
          <w:noProof/>
          <w:sz w:val="24"/>
          <w:szCs w:val="24"/>
          <w:vertAlign w:val="superscript"/>
        </w:rPr>
        <w:footnoteReference w:id="54"/>
      </w:r>
      <w:r>
        <w:rPr>
          <w:rFonts w:ascii="Times New Roman" w:hAnsi="Times New Roman"/>
          <w:noProof/>
          <w:sz w:val="24"/>
          <w:szCs w:val="24"/>
        </w:rPr>
        <w:t>. Las ciudades deberán además ajustar sus servicios en ámbitos como la asistencia sanitaria y la movilidad, la infraestructura pública, la vivienda, la educación y la polític</w:t>
      </w:r>
      <w:r>
        <w:rPr>
          <w:rFonts w:ascii="Times New Roman" w:hAnsi="Times New Roman"/>
          <w:noProof/>
          <w:sz w:val="24"/>
          <w:szCs w:val="24"/>
        </w:rPr>
        <w:t>a social para responder a la evolución demográfica. Dada la estrecha relación entre envejecimiento y discapacidad, debe mejorarse también la accesibilidad, sobre todo de productos, servicios e infraestructura.</w:t>
      </w:r>
    </w:p>
    <w:p w:rsidR="00C80169" w:rsidRDefault="00941F3E">
      <w:pPr>
        <w:jc w:val="both"/>
        <w:rPr>
          <w:rFonts w:ascii="Times New Roman" w:hAnsi="Times New Roman" w:cs="Times New Roman"/>
          <w:noProof/>
          <w:sz w:val="24"/>
          <w:szCs w:val="24"/>
        </w:rPr>
      </w:pPr>
      <w:r>
        <w:rPr>
          <w:rFonts w:ascii="Times New Roman" w:hAnsi="Times New Roman"/>
          <w:b/>
          <w:noProof/>
          <w:sz w:val="24"/>
          <w:szCs w:val="24"/>
        </w:rPr>
        <w:t>Las zonas rurales disponen de espacio abundant</w:t>
      </w:r>
      <w:r>
        <w:rPr>
          <w:rFonts w:ascii="Times New Roman" w:hAnsi="Times New Roman"/>
          <w:b/>
          <w:noProof/>
          <w:sz w:val="24"/>
          <w:szCs w:val="24"/>
        </w:rPr>
        <w:t>e y en ellas el coste de la vida y los niveles de contaminación atmosférica son menores</w:t>
      </w:r>
      <w:r>
        <w:rPr>
          <w:rFonts w:ascii="Times New Roman" w:hAnsi="Times New Roman"/>
          <w:noProof/>
          <w:sz w:val="24"/>
          <w:szCs w:val="24"/>
        </w:rPr>
        <w:t>. Sin embargo, también se enfrentan a una serie de retos a la hora de garantizar un buen acceso a los servicios públicos y privados. Las zonas rurales con un descenso si</w:t>
      </w:r>
      <w:r>
        <w:rPr>
          <w:rFonts w:ascii="Times New Roman" w:hAnsi="Times New Roman"/>
          <w:noProof/>
          <w:sz w:val="24"/>
          <w:szCs w:val="24"/>
        </w:rPr>
        <w:t>gnificativo de la población pueden estar expuestas al abandono de tierras y a un mayor riesgo de incendios forestales</w:t>
      </w:r>
      <w:r>
        <w:rPr>
          <w:rFonts w:ascii="Times New Roman" w:hAnsi="Times New Roman" w:cs="Times New Roman"/>
          <w:noProof/>
          <w:sz w:val="24"/>
          <w:szCs w:val="24"/>
          <w:vertAlign w:val="superscript"/>
        </w:rPr>
        <w:footnoteReference w:id="55"/>
      </w:r>
      <w:r>
        <w:rPr>
          <w:rFonts w:ascii="Times New Roman" w:hAnsi="Times New Roman"/>
          <w:noProof/>
          <w:sz w:val="24"/>
          <w:szCs w:val="24"/>
        </w:rPr>
        <w:t xml:space="preserve">, y en general tienen dificultades para atraer nuevas inversiones. Suscita preocupación la reducción del número de jóvenes agricultores y </w:t>
      </w:r>
      <w:r>
        <w:rPr>
          <w:rFonts w:ascii="Times New Roman" w:hAnsi="Times New Roman"/>
          <w:noProof/>
          <w:sz w:val="24"/>
          <w:szCs w:val="24"/>
        </w:rPr>
        <w:t xml:space="preserve">la importancia del «relevo generacional». </w:t>
      </w:r>
    </w:p>
    <w:p w:rsidR="00C80169" w:rsidRDefault="00941F3E">
      <w:pPr>
        <w:jc w:val="both"/>
        <w:rPr>
          <w:rFonts w:ascii="Times New Roman" w:hAnsi="Times New Roman" w:cs="Times New Roman"/>
          <w:noProof/>
          <w:sz w:val="24"/>
          <w:szCs w:val="24"/>
        </w:rPr>
      </w:pPr>
      <w:r>
        <w:rPr>
          <w:rFonts w:ascii="Times New Roman" w:hAnsi="Times New Roman"/>
          <w:bCs/>
          <w:noProof/>
          <w:sz w:val="24"/>
          <w:szCs w:val="24"/>
        </w:rPr>
        <w:t xml:space="preserve">Un factor esencial para las zonas rurales es si están cerca de una ciudad o lejos de un área urbana funcional. </w:t>
      </w:r>
      <w:r>
        <w:rPr>
          <w:rFonts w:ascii="Times New Roman" w:hAnsi="Times New Roman"/>
          <w:noProof/>
          <w:sz w:val="24"/>
          <w:szCs w:val="24"/>
        </w:rPr>
        <w:t>Las zonas rurales que están cerca de una ciudad tienen frecuentes interacciones con esa ciudad. Se pue</w:t>
      </w:r>
      <w:r>
        <w:rPr>
          <w:rFonts w:ascii="Times New Roman" w:hAnsi="Times New Roman"/>
          <w:noProof/>
          <w:sz w:val="24"/>
          <w:szCs w:val="24"/>
        </w:rPr>
        <w:t>de trabajar en la ciudad, pero vivir fuera de ella, desplazándose cada día. Este patrón está sujeto a requisitos específicos, por ejemplo en materia de transporte. Se puede dar una división de tareas específicas; por ejemplo, la ciudad puede ofrecer acceso</w:t>
      </w:r>
      <w:r>
        <w:rPr>
          <w:rFonts w:ascii="Times New Roman" w:hAnsi="Times New Roman"/>
          <w:noProof/>
          <w:sz w:val="24"/>
          <w:szCs w:val="24"/>
        </w:rPr>
        <w:t xml:space="preserve"> a hospitales, también a las personas que viven en la zona rural adyacente.</w:t>
      </w:r>
    </w:p>
    <w:p w:rsidR="00C80169" w:rsidRDefault="00941F3E">
      <w:pPr>
        <w:jc w:val="both"/>
        <w:rPr>
          <w:rFonts w:ascii="Times New Roman" w:hAnsi="Times New Roman" w:cs="Times New Roman"/>
          <w:noProof/>
          <w:sz w:val="24"/>
          <w:szCs w:val="24"/>
        </w:rPr>
      </w:pPr>
      <w:r>
        <w:rPr>
          <w:rFonts w:ascii="Times New Roman" w:hAnsi="Times New Roman"/>
          <w:noProof/>
          <w:sz w:val="24"/>
          <w:szCs w:val="24"/>
        </w:rPr>
        <w:t>Por otro lado, algunas zonas rurales no tienen cerca ninguna ciudad de mayor tamaño. En este caso, el desarrollo rural se enfrenta a retos concretos, por ejemplo, a la preponderanc</w:t>
      </w:r>
      <w:r>
        <w:rPr>
          <w:rFonts w:ascii="Times New Roman" w:hAnsi="Times New Roman"/>
          <w:noProof/>
          <w:sz w:val="24"/>
          <w:szCs w:val="24"/>
        </w:rPr>
        <w:t>ia del sector primario y las cadenas de valor asociadas</w:t>
      </w:r>
      <w:r>
        <w:rPr>
          <w:rFonts w:ascii="Times New Roman" w:hAnsi="Times New Roman" w:cs="Times New Roman"/>
          <w:noProof/>
          <w:sz w:val="24"/>
          <w:szCs w:val="24"/>
          <w:vertAlign w:val="superscript"/>
        </w:rPr>
        <w:footnoteReference w:id="56"/>
      </w:r>
      <w:r>
        <w:rPr>
          <w:rFonts w:ascii="Times New Roman" w:hAnsi="Times New Roman"/>
          <w:noProof/>
          <w:sz w:val="24"/>
          <w:szCs w:val="24"/>
        </w:rPr>
        <w:t xml:space="preserve"> o a una menor población y un menor crecimiento económico</w:t>
      </w:r>
      <w:r>
        <w:rPr>
          <w:rFonts w:ascii="Times New Roman" w:hAnsi="Times New Roman" w:cs="Times New Roman"/>
          <w:noProof/>
          <w:sz w:val="24"/>
          <w:szCs w:val="24"/>
          <w:vertAlign w:val="superscript"/>
        </w:rPr>
        <w:footnoteReference w:id="57"/>
      </w:r>
      <w:r>
        <w:rPr>
          <w:rFonts w:ascii="Times New Roman" w:hAnsi="Times New Roman"/>
          <w:noProof/>
          <w:sz w:val="24"/>
          <w:szCs w:val="24"/>
        </w:rPr>
        <w:t>. El declive económico de regiones específicas no solo es un problema para la cohesión territorial, sino que también puede llevar a una «geogr</w:t>
      </w:r>
      <w:r>
        <w:rPr>
          <w:rFonts w:ascii="Times New Roman" w:hAnsi="Times New Roman"/>
          <w:noProof/>
          <w:sz w:val="24"/>
          <w:szCs w:val="24"/>
        </w:rPr>
        <w:t xml:space="preserve">afía del descontento». Si los ciudadanos empiezan a sentir que se les deja atrás, pueden perder la fe en la justicia de nuestra economía y en nuestras instituciones democráticas. </w:t>
      </w:r>
    </w:p>
    <w:p w:rsidR="00C80169" w:rsidRDefault="00941F3E">
      <w:pPr>
        <w:jc w:val="both"/>
        <w:rPr>
          <w:rFonts w:ascii="Times New Roman" w:hAnsi="Times New Roman" w:cs="Times New Roman"/>
          <w:noProof/>
          <w:sz w:val="24"/>
          <w:szCs w:val="24"/>
        </w:rPr>
      </w:pPr>
      <w:r>
        <w:rPr>
          <w:rFonts w:ascii="Times New Roman" w:hAnsi="Times New Roman"/>
          <w:noProof/>
          <w:sz w:val="24"/>
          <w:szCs w:val="24"/>
        </w:rPr>
        <w:t xml:space="preserve">Todas estas cuestiones, entre otras, se abordarán en una </w:t>
      </w:r>
      <w:r>
        <w:rPr>
          <w:rFonts w:ascii="Times New Roman" w:hAnsi="Times New Roman"/>
          <w:b/>
          <w:noProof/>
          <w:sz w:val="24"/>
          <w:szCs w:val="24"/>
        </w:rPr>
        <w:t>Visión de la Comisi</w:t>
      </w:r>
      <w:r>
        <w:rPr>
          <w:rFonts w:ascii="Times New Roman" w:hAnsi="Times New Roman"/>
          <w:b/>
          <w:noProof/>
          <w:sz w:val="24"/>
          <w:szCs w:val="24"/>
        </w:rPr>
        <w:t>ón a largo plazo para las zonas rurales</w:t>
      </w:r>
      <w:r>
        <w:rPr>
          <w:rFonts w:ascii="Times New Roman" w:hAnsi="Times New Roman"/>
          <w:noProof/>
          <w:sz w:val="24"/>
          <w:szCs w:val="24"/>
        </w:rPr>
        <w:t xml:space="preserve"> que se presentará el próximo año tras un amplio proceso de consulta pública y tomando en consideración los distintos aspectos que la pandemia de COVID-19 ha puesto de manifiesto.</w:t>
      </w:r>
    </w:p>
    <w:p w:rsidR="00C80169" w:rsidRDefault="00941F3E">
      <w:pPr>
        <w:pStyle w:val="Heading2"/>
        <w:keepNext/>
        <w:rPr>
          <w:noProof/>
        </w:rPr>
      </w:pPr>
      <w:bookmarkStart w:id="66" w:name="_Toc43897461"/>
      <w:r>
        <w:rPr>
          <w:noProof/>
        </w:rPr>
        <w:t>4.</w:t>
      </w:r>
      <w:r>
        <w:rPr>
          <w:noProof/>
        </w:rPr>
        <w:tab/>
        <w:t xml:space="preserve">DOBLE TRANSICIÓN Y CAMBIO </w:t>
      </w:r>
      <w:r>
        <w:rPr>
          <w:noProof/>
        </w:rPr>
        <w:t>DEMOGRÁFICO</w:t>
      </w:r>
      <w:bookmarkEnd w:id="66"/>
    </w:p>
    <w:p w:rsidR="00C80169" w:rsidRDefault="00941F3E">
      <w:pPr>
        <w:keepLines/>
        <w:jc w:val="both"/>
        <w:rPr>
          <w:rFonts w:ascii="Times New Roman" w:hAnsi="Times New Roman" w:cs="Times New Roman"/>
          <w:noProof/>
          <w:sz w:val="24"/>
          <w:szCs w:val="24"/>
        </w:rPr>
      </w:pPr>
      <w:r>
        <w:rPr>
          <w:rFonts w:ascii="Times New Roman" w:hAnsi="Times New Roman"/>
          <w:b/>
          <w:noProof/>
          <w:sz w:val="24"/>
          <w:szCs w:val="24"/>
        </w:rPr>
        <w:t xml:space="preserve">El cambio demográfico y la doble transición ecológica y digital a menudo tendrán efectos cruzados o se impulsarán mutuamente. </w:t>
      </w:r>
      <w:r>
        <w:rPr>
          <w:rFonts w:ascii="Times New Roman" w:hAnsi="Times New Roman"/>
          <w:noProof/>
          <w:sz w:val="24"/>
          <w:szCs w:val="24"/>
        </w:rPr>
        <w:t>La prospectiva estratégica puede ser una herramienta importante para definir y predecir los desafíos que afectarán a e</w:t>
      </w:r>
      <w:r>
        <w:rPr>
          <w:rFonts w:ascii="Times New Roman" w:hAnsi="Times New Roman"/>
          <w:noProof/>
          <w:sz w:val="24"/>
          <w:szCs w:val="24"/>
        </w:rPr>
        <w:t xml:space="preserve">sas transiciones y mejorar la preparación de políticas que los aborden. </w:t>
      </w:r>
    </w:p>
    <w:p w:rsidR="00C80169" w:rsidRDefault="00941F3E">
      <w:pPr>
        <w:jc w:val="both"/>
        <w:rPr>
          <w:rFonts w:ascii="Times New Roman" w:hAnsi="Times New Roman" w:cs="Times New Roman"/>
          <w:noProof/>
          <w:sz w:val="24"/>
          <w:szCs w:val="24"/>
        </w:rPr>
      </w:pPr>
      <w:r>
        <w:rPr>
          <w:rFonts w:ascii="Times New Roman" w:hAnsi="Times New Roman"/>
          <w:noProof/>
          <w:sz w:val="24"/>
          <w:szCs w:val="24"/>
        </w:rPr>
        <w:t>Las presiones generadas a nivel global por el cambio demográfico pueden verse exacerbadas por los efectos del cambio climático y la degradación medioambiental. Si no se adoptan medida</w:t>
      </w:r>
      <w:r>
        <w:rPr>
          <w:rFonts w:ascii="Times New Roman" w:hAnsi="Times New Roman"/>
          <w:noProof/>
          <w:sz w:val="24"/>
          <w:szCs w:val="24"/>
        </w:rPr>
        <w:t>s, se producirá un enorme incremento simultáneo de las necesidades globales de alimentos, energía y agua en las próximas décadas: un 60 % más de alimentos, un 50 % más de energía y un 40 % más de agua de aquí a 2050</w:t>
      </w:r>
      <w:r>
        <w:rPr>
          <w:rFonts w:ascii="Times New Roman" w:hAnsi="Times New Roman" w:cs="Times New Roman"/>
          <w:noProof/>
          <w:sz w:val="24"/>
          <w:szCs w:val="24"/>
          <w:vertAlign w:val="superscript"/>
        </w:rPr>
        <w:footnoteReference w:id="58"/>
      </w:r>
      <w:r>
        <w:rPr>
          <w:rFonts w:ascii="Times New Roman" w:hAnsi="Times New Roman"/>
          <w:noProof/>
          <w:sz w:val="24"/>
          <w:szCs w:val="24"/>
        </w:rPr>
        <w:t xml:space="preserve">. </w:t>
      </w:r>
    </w:p>
    <w:p w:rsidR="00C80169" w:rsidRDefault="00941F3E">
      <w:pPr>
        <w:jc w:val="both"/>
        <w:rPr>
          <w:rFonts w:ascii="Times New Roman" w:hAnsi="Times New Roman" w:cs="Times New Roman"/>
          <w:noProof/>
          <w:sz w:val="24"/>
          <w:szCs w:val="24"/>
        </w:rPr>
      </w:pPr>
      <w:r>
        <w:rPr>
          <w:rFonts w:ascii="Times New Roman" w:hAnsi="Times New Roman"/>
          <w:noProof/>
          <w:sz w:val="24"/>
          <w:szCs w:val="24"/>
        </w:rPr>
        <w:t>Como se indicaba en el Pacto Verde Eu</w:t>
      </w:r>
      <w:r>
        <w:rPr>
          <w:rFonts w:ascii="Times New Roman" w:hAnsi="Times New Roman"/>
          <w:noProof/>
          <w:sz w:val="24"/>
          <w:szCs w:val="24"/>
        </w:rPr>
        <w:t>ropeo y en la Ley del Clima</w:t>
      </w:r>
      <w:r>
        <w:rPr>
          <w:rStyle w:val="FootnoteReference"/>
          <w:rFonts w:ascii="Times New Roman" w:hAnsi="Times New Roman" w:cs="Times New Roman"/>
          <w:noProof/>
          <w:sz w:val="24"/>
          <w:szCs w:val="24"/>
        </w:rPr>
        <w:footnoteReference w:id="59"/>
      </w:r>
      <w:r>
        <w:rPr>
          <w:rFonts w:ascii="Times New Roman" w:hAnsi="Times New Roman"/>
          <w:noProof/>
          <w:sz w:val="24"/>
          <w:szCs w:val="24"/>
        </w:rPr>
        <w:t>, en ese mismo período Europa se convertirá en una economía climáticamente neutra y eficiente en el uso de los recursos. Esos factores acentúan la necesidad de contar con energía limpia y con una movilidad sostenible e inteligen</w:t>
      </w:r>
      <w:r>
        <w:rPr>
          <w:rFonts w:ascii="Times New Roman" w:hAnsi="Times New Roman"/>
          <w:noProof/>
          <w:sz w:val="24"/>
          <w:szCs w:val="24"/>
        </w:rPr>
        <w:t xml:space="preserve">te, de efectuar una transición hacia una economía más circular y de reforzar en gran medida la protección y el restablecimiento de nuestra biodiversidad. Las recientes medidas de confinamiento adoptadas como consecuencia de la pandemia de COVID-19 nos han </w:t>
      </w:r>
      <w:r>
        <w:rPr>
          <w:rFonts w:ascii="Times New Roman" w:hAnsi="Times New Roman"/>
          <w:noProof/>
          <w:sz w:val="24"/>
          <w:szCs w:val="24"/>
        </w:rPr>
        <w:t>mostrado el valor de los espacios urbanos verdes para nuestro bienestar físico y mental. Muchas ciudades europeas también han dado pasos durante la pandemia para hacer más segura y atractiva la movilidad activa, como caminar y andar en bicicleta. Para faci</w:t>
      </w:r>
      <w:r>
        <w:rPr>
          <w:rFonts w:ascii="Times New Roman" w:hAnsi="Times New Roman"/>
          <w:noProof/>
          <w:sz w:val="24"/>
          <w:szCs w:val="24"/>
        </w:rPr>
        <w:t>litar esa labor, la Comisión establecerá en 2021 una Plataforma de la UE para la Ecologización de las Ciudades en el marco de un nuevo «Acuerdo de Ciudad Verde» con ciudades y alcaldes.</w:t>
      </w:r>
    </w:p>
    <w:p w:rsidR="00C80169" w:rsidRDefault="00941F3E">
      <w:pPr>
        <w:jc w:val="both"/>
        <w:rPr>
          <w:rFonts w:ascii="Times New Roman" w:hAnsi="Times New Roman" w:cs="Times New Roman"/>
          <w:noProof/>
          <w:sz w:val="24"/>
          <w:szCs w:val="24"/>
        </w:rPr>
      </w:pPr>
      <w:r>
        <w:rPr>
          <w:rFonts w:ascii="Times New Roman" w:hAnsi="Times New Roman"/>
          <w:noProof/>
          <w:sz w:val="24"/>
          <w:szCs w:val="24"/>
        </w:rPr>
        <w:t>En un proceso de crecimiento de la población urbana, las zonas urbanas</w:t>
      </w:r>
      <w:r>
        <w:rPr>
          <w:rFonts w:ascii="Times New Roman" w:hAnsi="Times New Roman"/>
          <w:noProof/>
          <w:sz w:val="24"/>
          <w:szCs w:val="24"/>
        </w:rPr>
        <w:t xml:space="preserve"> deberán proseguir y redoblar sus esfuerzos por establecer espacios urbanos verdes, que también pueden servir de sumideros de carbono y, así, ayudar a eliminar las emisiones de la atmósfera. La aplicación del </w:t>
      </w:r>
      <w:r>
        <w:rPr>
          <w:rFonts w:ascii="Times New Roman" w:hAnsi="Times New Roman"/>
          <w:b/>
          <w:noProof/>
          <w:sz w:val="24"/>
          <w:szCs w:val="24"/>
        </w:rPr>
        <w:t>Plan de Acción para la Economía Circular</w:t>
      </w:r>
      <w:r>
        <w:rPr>
          <w:rFonts w:ascii="Times New Roman" w:hAnsi="Times New Roman"/>
          <w:noProof/>
          <w:sz w:val="24"/>
          <w:szCs w:val="24"/>
        </w:rPr>
        <w:t xml:space="preserve">, la </w:t>
      </w:r>
      <w:r>
        <w:rPr>
          <w:rFonts w:ascii="Times New Roman" w:hAnsi="Times New Roman"/>
          <w:b/>
          <w:noProof/>
          <w:sz w:val="24"/>
          <w:szCs w:val="24"/>
        </w:rPr>
        <w:t>Es</w:t>
      </w:r>
      <w:r>
        <w:rPr>
          <w:rFonts w:ascii="Times New Roman" w:hAnsi="Times New Roman"/>
          <w:b/>
          <w:noProof/>
          <w:sz w:val="24"/>
          <w:szCs w:val="24"/>
        </w:rPr>
        <w:t>trategia de la UE sobre Biodiversidad</w:t>
      </w:r>
      <w:r>
        <w:rPr>
          <w:rFonts w:ascii="Times New Roman" w:hAnsi="Times New Roman"/>
          <w:noProof/>
          <w:sz w:val="24"/>
          <w:szCs w:val="24"/>
        </w:rPr>
        <w:t xml:space="preserve"> y la </w:t>
      </w:r>
      <w:r>
        <w:rPr>
          <w:rFonts w:ascii="Times New Roman" w:hAnsi="Times New Roman"/>
          <w:b/>
          <w:noProof/>
          <w:sz w:val="24"/>
          <w:szCs w:val="24"/>
        </w:rPr>
        <w:t>Estrategia «de la granja a la mesa»</w:t>
      </w:r>
      <w:r>
        <w:rPr>
          <w:rFonts w:ascii="Times New Roman" w:hAnsi="Times New Roman"/>
          <w:noProof/>
          <w:sz w:val="24"/>
          <w:szCs w:val="24"/>
        </w:rPr>
        <w:t xml:space="preserve">, así como la próxima </w:t>
      </w:r>
      <w:r>
        <w:rPr>
          <w:rFonts w:ascii="Times New Roman" w:hAnsi="Times New Roman"/>
          <w:b/>
          <w:noProof/>
          <w:sz w:val="24"/>
          <w:szCs w:val="24"/>
        </w:rPr>
        <w:t>Estrategia revisada de adaptación al cambio climático de la UE</w:t>
      </w:r>
      <w:r>
        <w:rPr>
          <w:rFonts w:ascii="Times New Roman" w:hAnsi="Times New Roman"/>
          <w:noProof/>
          <w:sz w:val="24"/>
          <w:szCs w:val="24"/>
        </w:rPr>
        <w:t xml:space="preserve"> abordan muchas de estas cuestiones. </w:t>
      </w:r>
    </w:p>
    <w:p w:rsidR="00C80169" w:rsidRDefault="00941F3E">
      <w:pPr>
        <w:jc w:val="both"/>
        <w:rPr>
          <w:rFonts w:ascii="Times New Roman" w:hAnsi="Times New Roman" w:cs="Times New Roman"/>
          <w:b/>
          <w:noProof/>
          <w:sz w:val="24"/>
          <w:szCs w:val="24"/>
        </w:rPr>
      </w:pPr>
      <w:r>
        <w:rPr>
          <w:rFonts w:ascii="Times New Roman" w:hAnsi="Times New Roman"/>
          <w:b/>
          <w:noProof/>
          <w:sz w:val="24"/>
          <w:szCs w:val="24"/>
        </w:rPr>
        <w:t>Se espera que el cambio climático y la pérdida de biodiv</w:t>
      </w:r>
      <w:r>
        <w:rPr>
          <w:rFonts w:ascii="Times New Roman" w:hAnsi="Times New Roman"/>
          <w:b/>
          <w:noProof/>
          <w:sz w:val="24"/>
          <w:szCs w:val="24"/>
        </w:rPr>
        <w:t>ersidad influyan de manera considerable en los patrones migratorios</w:t>
      </w:r>
      <w:r>
        <w:rPr>
          <w:rFonts w:ascii="Times New Roman" w:hAnsi="Times New Roman"/>
          <w:noProof/>
          <w:sz w:val="24"/>
          <w:szCs w:val="24"/>
        </w:rPr>
        <w:t>. Ello se debe a que los cambios que se producen en el medio ambiente, como la desertificación, la acidificación de los océanos y la erosión costera, repercuten de manera directa en los med</w:t>
      </w:r>
      <w:r>
        <w:rPr>
          <w:rFonts w:ascii="Times New Roman" w:hAnsi="Times New Roman"/>
          <w:noProof/>
          <w:sz w:val="24"/>
          <w:szCs w:val="24"/>
        </w:rPr>
        <w:t>ios de subsistencia de las personas y en su capacidad para sobrevivir en sus lugares de origen</w:t>
      </w:r>
      <w:r>
        <w:rPr>
          <w:rFonts w:ascii="Times New Roman" w:hAnsi="Times New Roman" w:cs="Times New Roman"/>
          <w:noProof/>
          <w:sz w:val="24"/>
          <w:szCs w:val="24"/>
          <w:vertAlign w:val="superscript"/>
        </w:rPr>
        <w:footnoteReference w:id="60"/>
      </w:r>
      <w:r>
        <w:rPr>
          <w:rFonts w:ascii="Times New Roman" w:hAnsi="Times New Roman"/>
          <w:noProof/>
          <w:sz w:val="24"/>
          <w:szCs w:val="24"/>
        </w:rPr>
        <w:t xml:space="preserve">. Está previsto que esta tendencia se mantenga a medida que se acentúen los efectos del cambio climático. Según el Banco Mundial, hasta 143 millones de personas </w:t>
      </w:r>
      <w:r>
        <w:rPr>
          <w:rFonts w:ascii="Times New Roman" w:hAnsi="Times New Roman"/>
          <w:noProof/>
          <w:sz w:val="24"/>
          <w:szCs w:val="24"/>
        </w:rPr>
        <w:t>del África Subsahariana, de Asia Meridional y de América Latina podrían desplazarse dentro de sus propios países de aquí a 2050 si no se adoptan medidas en el ámbito del clima</w:t>
      </w:r>
      <w:r>
        <w:rPr>
          <w:rFonts w:ascii="Times New Roman" w:hAnsi="Times New Roman" w:cs="Times New Roman"/>
          <w:noProof/>
          <w:sz w:val="24"/>
          <w:szCs w:val="24"/>
          <w:vertAlign w:val="superscript"/>
        </w:rPr>
        <w:footnoteReference w:id="61"/>
      </w:r>
      <w:r>
        <w:rPr>
          <w:rFonts w:ascii="Times New Roman" w:hAnsi="Times New Roman"/>
          <w:noProof/>
          <w:sz w:val="24"/>
          <w:szCs w:val="24"/>
        </w:rPr>
        <w:t>.</w:t>
      </w:r>
      <w:r>
        <w:rPr>
          <w:rFonts w:ascii="Times New Roman" w:hAnsi="Times New Roman"/>
          <w:b/>
          <w:noProof/>
          <w:sz w:val="24"/>
          <w:szCs w:val="24"/>
        </w:rPr>
        <w:t xml:space="preserve"> </w:t>
      </w:r>
      <w:r>
        <w:rPr>
          <w:rFonts w:ascii="Times New Roman" w:hAnsi="Times New Roman"/>
          <w:noProof/>
          <w:sz w:val="24"/>
          <w:szCs w:val="24"/>
        </w:rPr>
        <w:t>Estas proyecciones acentúan la necesidad de que Europa se convierta en líder m</w:t>
      </w:r>
      <w:r>
        <w:rPr>
          <w:rFonts w:ascii="Times New Roman" w:hAnsi="Times New Roman"/>
          <w:noProof/>
          <w:sz w:val="24"/>
          <w:szCs w:val="24"/>
        </w:rPr>
        <w:t xml:space="preserve">undial de las iniciativas en favor del clima y el medio ambiente, sobre todo mediante la aplicación del Pacto Verde Europeo y la intensificación de su diplomacia por el Pacto Verde en todas sus políticas y asociaciones. </w:t>
      </w:r>
    </w:p>
    <w:p w:rsidR="00C80169" w:rsidRDefault="00941F3E">
      <w:pPr>
        <w:jc w:val="both"/>
        <w:rPr>
          <w:rFonts w:ascii="Times New Roman" w:hAnsi="Times New Roman" w:cs="Times New Roman"/>
          <w:noProof/>
          <w:sz w:val="24"/>
          <w:szCs w:val="24"/>
        </w:rPr>
      </w:pPr>
      <w:r>
        <w:rPr>
          <w:rFonts w:ascii="Times New Roman" w:hAnsi="Times New Roman"/>
          <w:noProof/>
          <w:sz w:val="24"/>
          <w:szCs w:val="24"/>
        </w:rPr>
        <w:t>La revolución digital y la rápida d</w:t>
      </w:r>
      <w:r>
        <w:rPr>
          <w:rFonts w:ascii="Times New Roman" w:hAnsi="Times New Roman"/>
          <w:noProof/>
          <w:sz w:val="24"/>
          <w:szCs w:val="24"/>
        </w:rPr>
        <w:t xml:space="preserve">ifusión de Internet ya han modificado la vida y los hábitos de los ciudadanos. La digitalización puede impulsar la productividad y el crecimiento económico, pero el acceso desigual a la red está generando una brecha digital que se está convirtiendo en una </w:t>
      </w:r>
      <w:r>
        <w:rPr>
          <w:rFonts w:ascii="Times New Roman" w:hAnsi="Times New Roman"/>
          <w:noProof/>
          <w:sz w:val="24"/>
          <w:szCs w:val="24"/>
        </w:rPr>
        <w:t>importante dimensión de la desigualdad. Además, la insuficiencia de capacidades digitales y la gran divergencia entre países y regiones en este terreno, así como la falta de accesibilidad a tales capacidades, podrían agravar esta brecha.</w:t>
      </w:r>
    </w:p>
    <w:p w:rsidR="00C80169" w:rsidRDefault="00941F3E">
      <w:pPr>
        <w:jc w:val="both"/>
        <w:rPr>
          <w:rFonts w:ascii="Times New Roman" w:hAnsi="Times New Roman" w:cs="Times New Roman"/>
          <w:noProof/>
          <w:sz w:val="24"/>
          <w:szCs w:val="24"/>
        </w:rPr>
      </w:pPr>
      <w:r>
        <w:rPr>
          <w:rFonts w:ascii="Times New Roman" w:hAnsi="Times New Roman"/>
          <w:noProof/>
          <w:sz w:val="24"/>
          <w:szCs w:val="24"/>
        </w:rPr>
        <w:t>La crisis actual h</w:t>
      </w:r>
      <w:r>
        <w:rPr>
          <w:rFonts w:ascii="Times New Roman" w:hAnsi="Times New Roman"/>
          <w:noProof/>
          <w:sz w:val="24"/>
          <w:szCs w:val="24"/>
        </w:rPr>
        <w:t>a puesto en evidencia la urgencia de convertir esta transición digital en una realidad para todos lo antes posible: con las medidas de distanciamiento social vigentes en toda Europa, muchos ciudadanos se han visto obligados a trabajar desde casa o a recurr</w:t>
      </w:r>
      <w:r>
        <w:rPr>
          <w:rFonts w:ascii="Times New Roman" w:hAnsi="Times New Roman"/>
          <w:noProof/>
          <w:sz w:val="24"/>
          <w:szCs w:val="24"/>
        </w:rPr>
        <w:t>ir a Internet o a las aplicaciones móviles para socializar con la familia y los amigos. El acceso a una Internet fiable y rápida y la capacidad de utilizar herramientas digitales han sido aún más esenciales para las empresas, los trabajadores y los autónom</w:t>
      </w:r>
      <w:r>
        <w:rPr>
          <w:rFonts w:ascii="Times New Roman" w:hAnsi="Times New Roman"/>
          <w:noProof/>
          <w:sz w:val="24"/>
          <w:szCs w:val="24"/>
        </w:rPr>
        <w:t xml:space="preserve">os. </w:t>
      </w:r>
    </w:p>
    <w:p w:rsidR="00C80169" w:rsidRDefault="00941F3E">
      <w:pPr>
        <w:pStyle w:val="Heading2"/>
        <w:keepNext/>
        <w:rPr>
          <w:noProof/>
        </w:rPr>
      </w:pPr>
      <w:bookmarkStart w:id="67" w:name="_Toc33643888"/>
      <w:bookmarkStart w:id="68" w:name="_Toc33800411"/>
      <w:bookmarkStart w:id="69" w:name="_Toc36563279"/>
      <w:bookmarkStart w:id="70" w:name="_Toc43897462"/>
      <w:bookmarkStart w:id="71" w:name="_Toc32414448"/>
      <w:bookmarkEnd w:id="67"/>
      <w:r>
        <w:rPr>
          <w:noProof/>
        </w:rPr>
        <w:t xml:space="preserve">5. </w:t>
      </w:r>
      <w:r>
        <w:rPr>
          <w:noProof/>
        </w:rPr>
        <w:tab/>
        <w:t>LA GEOPOLÍTICA DE LA DEMOGRAFÍA: EUROPA EN EL MUNDO</w:t>
      </w:r>
      <w:bookmarkEnd w:id="68"/>
      <w:bookmarkEnd w:id="69"/>
      <w:bookmarkEnd w:id="70"/>
    </w:p>
    <w:bookmarkEnd w:id="71"/>
    <w:p w:rsidR="00C80169" w:rsidRDefault="00941F3E">
      <w:pPr>
        <w:keepLines/>
        <w:jc w:val="both"/>
        <w:rPr>
          <w:rFonts w:ascii="Times New Roman" w:hAnsi="Times New Roman" w:cs="Times New Roman"/>
          <w:noProof/>
          <w:sz w:val="24"/>
          <w:szCs w:val="24"/>
        </w:rPr>
      </w:pPr>
      <w:r>
        <w:rPr>
          <w:rFonts w:ascii="Times New Roman" w:hAnsi="Times New Roman"/>
          <w:noProof/>
          <w:sz w:val="24"/>
          <w:szCs w:val="24"/>
        </w:rPr>
        <w:t>El cambio demográfico también repercute en las perspectivas geopolíticas de Europa y en su posición en el mundo. La población y el tamaño de la economía desempeñan un papel destacado en las estru</w:t>
      </w:r>
      <w:r>
        <w:rPr>
          <w:rFonts w:ascii="Times New Roman" w:hAnsi="Times New Roman"/>
          <w:noProof/>
          <w:sz w:val="24"/>
          <w:szCs w:val="24"/>
        </w:rPr>
        <w:t>cturas de poder a nivel mundial. A medida que las naciones de Europa reducen su tamaño y su pujanza económica frente a otras economías emergentes, se acrecienta aún más la necesidad de que la Unión Europea utilice plenamente su poder colectivo. Al mismo ti</w:t>
      </w:r>
      <w:r>
        <w:rPr>
          <w:rFonts w:ascii="Times New Roman" w:hAnsi="Times New Roman"/>
          <w:noProof/>
          <w:sz w:val="24"/>
          <w:szCs w:val="24"/>
        </w:rPr>
        <w:t xml:space="preserve">empo, como estamos observando durante la pandemia, los virus no conocen fronteras y generan desafíos comunes a muchas zonas del mundo. </w:t>
      </w:r>
    </w:p>
    <w:p w:rsidR="00C80169" w:rsidRDefault="00941F3E">
      <w:pPr>
        <w:jc w:val="both"/>
        <w:rPr>
          <w:rFonts w:ascii="Times New Roman" w:hAnsi="Times New Roman" w:cs="Times New Roman"/>
          <w:noProof/>
          <w:sz w:val="24"/>
          <w:szCs w:val="24"/>
        </w:rPr>
      </w:pPr>
      <w:r>
        <w:rPr>
          <w:rFonts w:ascii="Times New Roman" w:hAnsi="Times New Roman"/>
          <w:b/>
          <w:noProof/>
          <w:sz w:val="24"/>
          <w:szCs w:val="24"/>
        </w:rPr>
        <w:t>La proporción de la población europea sobre la población mundial está disminuyendo</w:t>
      </w:r>
      <w:r>
        <w:rPr>
          <w:rFonts w:ascii="Times New Roman" w:hAnsi="Times New Roman"/>
          <w:noProof/>
          <w:sz w:val="24"/>
          <w:szCs w:val="24"/>
        </w:rPr>
        <w:t>. En 1960, la población de la EU-27 re</w:t>
      </w:r>
      <w:r>
        <w:rPr>
          <w:rFonts w:ascii="Times New Roman" w:hAnsi="Times New Roman"/>
          <w:noProof/>
          <w:sz w:val="24"/>
          <w:szCs w:val="24"/>
        </w:rPr>
        <w:t>presentaba aproximadamente el 12 % de la población mundial. Esa proporción se ha reducido al 6 % y, según las proyecciones, se situará por debajo del 4 % en 2070. Otra evolución importante es el aumento de la proporción de la población africana sobre la po</w:t>
      </w:r>
      <w:r>
        <w:rPr>
          <w:rFonts w:ascii="Times New Roman" w:hAnsi="Times New Roman"/>
          <w:noProof/>
          <w:sz w:val="24"/>
          <w:szCs w:val="24"/>
        </w:rPr>
        <w:t>blación mundial: las proyecciones apuntan a que pasará del 9 % al 32 %, mientras que la población asiática registrará cierto descenso</w:t>
      </w:r>
      <w:r>
        <w:rPr>
          <w:rFonts w:ascii="Times New Roman" w:hAnsi="Times New Roman" w:cs="Times New Roman"/>
          <w:noProof/>
          <w:sz w:val="24"/>
          <w:szCs w:val="24"/>
          <w:vertAlign w:val="superscript"/>
        </w:rPr>
        <w:footnoteReference w:id="62"/>
      </w:r>
      <w:r>
        <w:rPr>
          <w:rFonts w:ascii="Times New Roman" w:hAnsi="Times New Roman"/>
          <w:noProof/>
          <w:sz w:val="24"/>
          <w:szCs w:val="24"/>
        </w:rPr>
        <w:t>.</w:t>
      </w:r>
    </w:p>
    <w:p w:rsidR="00C80169" w:rsidRDefault="00941F3E">
      <w:pPr>
        <w:keepNext/>
        <w:ind w:firstLine="720"/>
        <w:jc w:val="center"/>
        <w:rPr>
          <w:rFonts w:ascii="Times New Roman" w:hAnsi="Times New Roman" w:cs="Times New Roman"/>
          <w:b/>
          <w:noProof/>
          <w:sz w:val="24"/>
          <w:szCs w:val="24"/>
        </w:rPr>
      </w:pPr>
      <w:r>
        <w:rPr>
          <w:rFonts w:ascii="Times New Roman" w:hAnsi="Times New Roman"/>
          <w:b/>
          <w:bCs/>
          <w:noProof/>
          <w:sz w:val="24"/>
          <w:szCs w:val="24"/>
        </w:rPr>
        <w:t>Población mundial, por continente, 1960-2070</w:t>
      </w:r>
      <w:r>
        <w:rPr>
          <w:noProof/>
        </w:rPr>
        <w:t xml:space="preserve"> </w:t>
      </w:r>
      <w:r>
        <w:rPr>
          <w:noProof/>
        </w:rPr>
        <w:br/>
      </w:r>
      <w:r>
        <w:rPr>
          <w:noProof/>
          <w:lang w:val="fr-BE" w:eastAsia="fr-BE"/>
        </w:rPr>
        <w:drawing>
          <wp:inline distT="0" distB="0" distL="0" distR="0">
            <wp:extent cx="6192520" cy="396506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192520" cy="3965061"/>
                    </a:xfrm>
                    <a:prstGeom prst="rect">
                      <a:avLst/>
                    </a:prstGeom>
                    <a:noFill/>
                    <a:ln>
                      <a:noFill/>
                    </a:ln>
                  </pic:spPr>
                </pic:pic>
              </a:graphicData>
            </a:graphic>
          </wp:inline>
        </w:drawing>
      </w:r>
    </w:p>
    <w:p w:rsidR="00C80169" w:rsidRDefault="00941F3E">
      <w:pPr>
        <w:jc w:val="both"/>
        <w:rPr>
          <w:rFonts w:ascii="Times New Roman" w:hAnsi="Times New Roman" w:cs="Times New Roman"/>
          <w:i/>
          <w:noProof/>
          <w:sz w:val="24"/>
          <w:szCs w:val="24"/>
        </w:rPr>
      </w:pPr>
      <w:r>
        <w:rPr>
          <w:rFonts w:ascii="Times New Roman" w:hAnsi="Times New Roman"/>
          <w:i/>
          <w:noProof/>
          <w:sz w:val="24"/>
          <w:szCs w:val="24"/>
        </w:rPr>
        <w:t xml:space="preserve">Fuente: Departamento de Asuntos Económicos y Sociales de las Naciones Unidas, División de Población (2019). </w:t>
      </w:r>
    </w:p>
    <w:p w:rsidR="00C80169" w:rsidRDefault="00941F3E">
      <w:pPr>
        <w:jc w:val="both"/>
        <w:rPr>
          <w:rFonts w:ascii="Times New Roman" w:hAnsi="Times New Roman" w:cs="Times New Roman"/>
          <w:b/>
          <w:noProof/>
          <w:sz w:val="24"/>
          <w:szCs w:val="24"/>
        </w:rPr>
      </w:pPr>
      <w:r>
        <w:rPr>
          <w:rFonts w:ascii="Times New Roman" w:hAnsi="Times New Roman"/>
          <w:b/>
          <w:noProof/>
          <w:sz w:val="24"/>
          <w:szCs w:val="24"/>
        </w:rPr>
        <w:t xml:space="preserve">Europa no es el único continente que está envejeciendo, pero sí el de mayor edad media. </w:t>
      </w:r>
      <w:r>
        <w:rPr>
          <w:rFonts w:ascii="Times New Roman" w:hAnsi="Times New Roman"/>
          <w:noProof/>
          <w:sz w:val="24"/>
          <w:szCs w:val="24"/>
        </w:rPr>
        <w:t>Al comparar la tendencia de Europa frente a la de otras zon</w:t>
      </w:r>
      <w:r>
        <w:rPr>
          <w:rFonts w:ascii="Times New Roman" w:hAnsi="Times New Roman"/>
          <w:noProof/>
          <w:sz w:val="24"/>
          <w:szCs w:val="24"/>
        </w:rPr>
        <w:t>as del mundo, queda patente que otros continentes están experimentando un proceso similar de envejecimiento, aunque con un desfase temporal respecto a Europa. Las proyecciones revelan que la edad media en África también aumentará con el tiempo, pero se esp</w:t>
      </w:r>
      <w:r>
        <w:rPr>
          <w:rFonts w:ascii="Times New Roman" w:hAnsi="Times New Roman"/>
          <w:noProof/>
          <w:sz w:val="24"/>
          <w:szCs w:val="24"/>
        </w:rPr>
        <w:t xml:space="preserve">era que este siga siendo el continente con una población más joven de aquí a 2070. </w:t>
      </w:r>
    </w:p>
    <w:p w:rsidR="00C80169" w:rsidRDefault="00941F3E">
      <w:pPr>
        <w:keepNext/>
        <w:jc w:val="center"/>
        <w:rPr>
          <w:rFonts w:ascii="Times New Roman" w:hAnsi="Times New Roman" w:cs="Times New Roman"/>
          <w:b/>
          <w:noProof/>
          <w:sz w:val="24"/>
          <w:szCs w:val="24"/>
        </w:rPr>
      </w:pPr>
      <w:r>
        <w:rPr>
          <w:rFonts w:ascii="Times New Roman" w:hAnsi="Times New Roman"/>
          <w:b/>
          <w:noProof/>
          <w:sz w:val="24"/>
          <w:szCs w:val="24"/>
        </w:rPr>
        <w:t>Mediana de edad de la población mundial, por continente, 1960-2070</w:t>
      </w:r>
    </w:p>
    <w:p w:rsidR="00C80169" w:rsidRDefault="00941F3E">
      <w:pPr>
        <w:jc w:val="center"/>
        <w:rPr>
          <w:rFonts w:ascii="Times New Roman" w:hAnsi="Times New Roman" w:cs="Times New Roman"/>
          <w:noProof/>
          <w:sz w:val="24"/>
          <w:szCs w:val="24"/>
        </w:rPr>
      </w:pPr>
      <w:r>
        <w:rPr>
          <w:noProof/>
          <w:lang w:val="fr-BE" w:eastAsia="fr-BE"/>
        </w:rPr>
        <w:drawing>
          <wp:inline distT="0" distB="0" distL="0" distR="0">
            <wp:extent cx="6192316" cy="383875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94774" cy="3840279"/>
                    </a:xfrm>
                    <a:prstGeom prst="rect">
                      <a:avLst/>
                    </a:prstGeom>
                    <a:noFill/>
                    <a:ln>
                      <a:noFill/>
                    </a:ln>
                  </pic:spPr>
                </pic:pic>
              </a:graphicData>
            </a:graphic>
          </wp:inline>
        </w:drawing>
      </w:r>
    </w:p>
    <w:p w:rsidR="00C80169" w:rsidRDefault="00941F3E">
      <w:pPr>
        <w:jc w:val="both"/>
        <w:rPr>
          <w:rFonts w:ascii="Times New Roman" w:hAnsi="Times New Roman" w:cs="Times New Roman"/>
          <w:i/>
          <w:noProof/>
          <w:sz w:val="24"/>
          <w:szCs w:val="24"/>
        </w:rPr>
      </w:pPr>
      <w:r>
        <w:rPr>
          <w:rFonts w:ascii="Times New Roman" w:hAnsi="Times New Roman"/>
          <w:i/>
          <w:noProof/>
          <w:sz w:val="24"/>
          <w:szCs w:val="24"/>
        </w:rPr>
        <w:t>Fuente: Departamento de Asuntos Económicos y Sociales de las Naciones Unidas, División de Población (20</w:t>
      </w:r>
      <w:r>
        <w:rPr>
          <w:rFonts w:ascii="Times New Roman" w:hAnsi="Times New Roman"/>
          <w:i/>
          <w:noProof/>
          <w:sz w:val="24"/>
          <w:szCs w:val="24"/>
        </w:rPr>
        <w:t>19).</w:t>
      </w:r>
    </w:p>
    <w:p w:rsidR="00C80169" w:rsidRDefault="00941F3E">
      <w:pPr>
        <w:jc w:val="both"/>
        <w:rPr>
          <w:rFonts w:ascii="Times New Roman" w:hAnsi="Times New Roman" w:cs="Times New Roman"/>
          <w:iCs/>
          <w:noProof/>
          <w:sz w:val="24"/>
          <w:szCs w:val="24"/>
        </w:rPr>
      </w:pPr>
      <w:r>
        <w:rPr>
          <w:rFonts w:ascii="Times New Roman" w:hAnsi="Times New Roman"/>
          <w:b/>
          <w:noProof/>
          <w:sz w:val="24"/>
          <w:szCs w:val="24"/>
        </w:rPr>
        <w:t>La proporción de Europa sobre el PIB mundial también está disminuyendo</w:t>
      </w:r>
      <w:r>
        <w:rPr>
          <w:rFonts w:ascii="Times New Roman" w:hAnsi="Times New Roman"/>
          <w:noProof/>
          <w:sz w:val="24"/>
          <w:szCs w:val="24"/>
        </w:rPr>
        <w:t xml:space="preserve">. </w:t>
      </w:r>
      <w:r>
        <w:rPr>
          <w:rFonts w:ascii="Times New Roman" w:hAnsi="Times New Roman"/>
          <w:iCs/>
          <w:noProof/>
          <w:sz w:val="24"/>
          <w:szCs w:val="24"/>
        </w:rPr>
        <w:t>En 2004, Europa representaba el 18,3 % del PIB mundial, porcentaje que disminuyó al 14,3 % en 2018</w:t>
      </w:r>
      <w:r>
        <w:rPr>
          <w:rStyle w:val="FootnoteReference"/>
          <w:rFonts w:ascii="Times New Roman" w:hAnsi="Times New Roman"/>
          <w:iCs/>
          <w:noProof/>
          <w:sz w:val="24"/>
          <w:szCs w:val="24"/>
        </w:rPr>
        <w:footnoteReference w:id="63"/>
      </w:r>
      <w:r>
        <w:rPr>
          <w:rFonts w:ascii="Times New Roman" w:hAnsi="Times New Roman"/>
          <w:iCs/>
          <w:noProof/>
          <w:sz w:val="24"/>
          <w:szCs w:val="24"/>
        </w:rPr>
        <w:t>. Con una población en edad laboral cada vez más reducida, hay riesgo de que est</w:t>
      </w:r>
      <w:r>
        <w:rPr>
          <w:rFonts w:ascii="Times New Roman" w:hAnsi="Times New Roman"/>
          <w:iCs/>
          <w:noProof/>
          <w:sz w:val="24"/>
          <w:szCs w:val="24"/>
        </w:rPr>
        <w:t>a tendencia se mantenga o incluso se acelere. Los Estados miembros serán agentes económicos más pequeños, pero en conjunto la UE seguirá siendo un agente económico, político y diplomático de primer orden.</w:t>
      </w:r>
      <w:r>
        <w:rPr>
          <w:noProof/>
        </w:rPr>
        <w:t xml:space="preserve"> </w:t>
      </w:r>
    </w:p>
    <w:p w:rsidR="00C80169" w:rsidRDefault="00941F3E">
      <w:pPr>
        <w:jc w:val="both"/>
        <w:rPr>
          <w:rFonts w:ascii="Times New Roman" w:hAnsi="Times New Roman" w:cs="Times New Roman"/>
          <w:iCs/>
          <w:noProof/>
          <w:sz w:val="24"/>
          <w:szCs w:val="24"/>
        </w:rPr>
      </w:pPr>
      <w:r>
        <w:rPr>
          <w:rFonts w:ascii="Times New Roman" w:hAnsi="Times New Roman"/>
          <w:iCs/>
          <w:noProof/>
          <w:sz w:val="24"/>
          <w:szCs w:val="24"/>
        </w:rPr>
        <w:t xml:space="preserve">Será necesaria una Europa más fuerte, más unida y </w:t>
      </w:r>
      <w:r>
        <w:rPr>
          <w:rFonts w:ascii="Times New Roman" w:hAnsi="Times New Roman"/>
          <w:iCs/>
          <w:noProof/>
          <w:sz w:val="24"/>
          <w:szCs w:val="24"/>
        </w:rPr>
        <w:t xml:space="preserve">más estratégica en el modo en que piensa, actúa y habla. Debemos reforzar las asociaciones existentes y crear otras nuevas, sobre todo con nuestros socios y vecinos más próximos. La nueva </w:t>
      </w:r>
      <w:r>
        <w:rPr>
          <w:rFonts w:ascii="Times New Roman" w:hAnsi="Times New Roman"/>
          <w:b/>
          <w:iCs/>
          <w:noProof/>
          <w:sz w:val="24"/>
          <w:szCs w:val="24"/>
        </w:rPr>
        <w:t>Estrategia Global con África</w:t>
      </w:r>
      <w:r>
        <w:rPr>
          <w:rStyle w:val="FootnoteReference"/>
          <w:rFonts w:ascii="Times New Roman" w:hAnsi="Times New Roman" w:cs="Times New Roman"/>
          <w:b/>
          <w:iCs/>
          <w:noProof/>
          <w:sz w:val="24"/>
          <w:szCs w:val="24"/>
        </w:rPr>
        <w:footnoteReference w:id="64"/>
      </w:r>
      <w:r>
        <w:rPr>
          <w:rFonts w:ascii="Times New Roman" w:hAnsi="Times New Roman"/>
          <w:iCs/>
          <w:noProof/>
          <w:sz w:val="24"/>
          <w:szCs w:val="24"/>
        </w:rPr>
        <w:t xml:space="preserve"> reviste una importancia especial, dado</w:t>
      </w:r>
      <w:r>
        <w:rPr>
          <w:rFonts w:ascii="Times New Roman" w:hAnsi="Times New Roman"/>
          <w:iCs/>
          <w:noProof/>
          <w:sz w:val="24"/>
          <w:szCs w:val="24"/>
        </w:rPr>
        <w:t>s los desafíos demográficos complementarios que afrontarán nuestros continentes. Será aún más importante defender el orden mundial basado en normas y sus instituciones, como las Naciones Unidas o la Organización Mundial del Comercio, y ejercer un papel más</w:t>
      </w:r>
      <w:r>
        <w:rPr>
          <w:rFonts w:ascii="Times New Roman" w:hAnsi="Times New Roman"/>
          <w:iCs/>
          <w:noProof/>
          <w:sz w:val="24"/>
          <w:szCs w:val="24"/>
        </w:rPr>
        <w:t xml:space="preserve"> activo en las estructuras internacionales. </w:t>
      </w:r>
    </w:p>
    <w:p w:rsidR="00C80169" w:rsidRDefault="00941F3E">
      <w:pPr>
        <w:pStyle w:val="Heading2"/>
        <w:rPr>
          <w:noProof/>
        </w:rPr>
      </w:pPr>
      <w:bookmarkStart w:id="72" w:name="_Toc32414449"/>
      <w:bookmarkStart w:id="73" w:name="_Toc32444050"/>
      <w:bookmarkStart w:id="74" w:name="_Toc32444159"/>
      <w:bookmarkStart w:id="75" w:name="_Toc33800413"/>
      <w:bookmarkStart w:id="76" w:name="_Toc36563280"/>
      <w:bookmarkStart w:id="77" w:name="_Toc43897463"/>
      <w:r>
        <w:rPr>
          <w:noProof/>
        </w:rPr>
        <w:t>CONCLUSIONES Y PERSPECTIVAS</w:t>
      </w:r>
      <w:bookmarkEnd w:id="72"/>
      <w:bookmarkEnd w:id="73"/>
      <w:bookmarkEnd w:id="74"/>
      <w:bookmarkEnd w:id="75"/>
      <w:bookmarkEnd w:id="76"/>
      <w:bookmarkEnd w:id="77"/>
    </w:p>
    <w:p w:rsidR="00C80169" w:rsidRDefault="00941F3E">
      <w:pPr>
        <w:jc w:val="both"/>
        <w:rPr>
          <w:rFonts w:ascii="Times New Roman" w:hAnsi="Times New Roman" w:cs="Times New Roman"/>
          <w:noProof/>
          <w:sz w:val="24"/>
          <w:szCs w:val="24"/>
        </w:rPr>
      </w:pPr>
      <w:r>
        <w:rPr>
          <w:rFonts w:ascii="Times New Roman" w:hAnsi="Times New Roman"/>
          <w:noProof/>
          <w:sz w:val="24"/>
          <w:szCs w:val="24"/>
        </w:rPr>
        <w:t xml:space="preserve">En este momento de dificultades extraordinarias y de incertidumbre, la Unión Europa, sus Estados miembros y sus regiones tienen el interés común de dar respuesta a los efectos del </w:t>
      </w:r>
      <w:r>
        <w:rPr>
          <w:rFonts w:ascii="Times New Roman" w:hAnsi="Times New Roman"/>
          <w:noProof/>
          <w:sz w:val="24"/>
          <w:szCs w:val="24"/>
        </w:rPr>
        <w:t>cambio demográfico en beneficio de todos los europeos.</w:t>
      </w:r>
      <w:r>
        <w:rPr>
          <w:rFonts w:ascii="Times New Roman" w:hAnsi="Times New Roman"/>
          <w:b/>
          <w:noProof/>
          <w:sz w:val="24"/>
          <w:szCs w:val="24"/>
        </w:rPr>
        <w:t xml:space="preserve"> </w:t>
      </w:r>
      <w:r>
        <w:rPr>
          <w:rFonts w:ascii="Times New Roman" w:hAnsi="Times New Roman"/>
          <w:noProof/>
          <w:sz w:val="24"/>
          <w:szCs w:val="24"/>
        </w:rPr>
        <w:t>Es parte de la recuperación de Europa y de la construcción de una Unión más resiliente, sostenible y justa. El futuro depende de una serie de cuestiones estratégicas, entre las que destacan cómo estimu</w:t>
      </w:r>
      <w:r>
        <w:rPr>
          <w:rFonts w:ascii="Times New Roman" w:hAnsi="Times New Roman"/>
          <w:noProof/>
          <w:sz w:val="24"/>
          <w:szCs w:val="24"/>
        </w:rPr>
        <w:t>lar la innovación y la productividad, cómo aumentar las tasas de empleo, cómo modernizar los sistemas sanitarios, la protección social y los servicios sociales, y cómo afrontar las disparidades territoriales.</w:t>
      </w:r>
    </w:p>
    <w:p w:rsidR="00C80169" w:rsidRDefault="00941F3E">
      <w:pPr>
        <w:jc w:val="both"/>
        <w:rPr>
          <w:rFonts w:ascii="Times New Roman" w:hAnsi="Times New Roman" w:cs="Times New Roman"/>
          <w:noProof/>
          <w:sz w:val="24"/>
          <w:szCs w:val="24"/>
        </w:rPr>
      </w:pPr>
      <w:r>
        <w:rPr>
          <w:rFonts w:ascii="Times New Roman" w:hAnsi="Times New Roman"/>
          <w:noProof/>
          <w:sz w:val="24"/>
          <w:szCs w:val="24"/>
        </w:rPr>
        <w:t xml:space="preserve">Teniendo en mente estos objetivos, y partiendo </w:t>
      </w:r>
      <w:r>
        <w:rPr>
          <w:rFonts w:ascii="Times New Roman" w:hAnsi="Times New Roman"/>
          <w:noProof/>
          <w:sz w:val="24"/>
          <w:szCs w:val="24"/>
        </w:rPr>
        <w:t xml:space="preserve">de las conclusiones del presente informe, la Comisión presentará un </w:t>
      </w:r>
      <w:r>
        <w:rPr>
          <w:rFonts w:ascii="Times New Roman" w:hAnsi="Times New Roman"/>
          <w:b/>
          <w:noProof/>
          <w:sz w:val="24"/>
          <w:szCs w:val="24"/>
        </w:rPr>
        <w:t>Libro Verde sobre el Envejecimiento</w:t>
      </w:r>
      <w:r>
        <w:rPr>
          <w:rFonts w:ascii="Times New Roman" w:hAnsi="Times New Roman"/>
          <w:noProof/>
          <w:sz w:val="24"/>
          <w:szCs w:val="24"/>
        </w:rPr>
        <w:t xml:space="preserve"> y una </w:t>
      </w:r>
      <w:r>
        <w:rPr>
          <w:rFonts w:ascii="Times New Roman" w:hAnsi="Times New Roman"/>
          <w:b/>
          <w:noProof/>
          <w:sz w:val="24"/>
          <w:szCs w:val="24"/>
        </w:rPr>
        <w:t>Visión a largo plazo para las zonas rurales</w:t>
      </w:r>
      <w:r>
        <w:rPr>
          <w:rFonts w:ascii="Times New Roman" w:hAnsi="Times New Roman"/>
          <w:noProof/>
          <w:sz w:val="24"/>
          <w:szCs w:val="24"/>
        </w:rPr>
        <w:t>. Asimismo, examinará de cerca otros aspectos que se señalan en el presente informe, como la soledad, e</w:t>
      </w:r>
      <w:r>
        <w:rPr>
          <w:rFonts w:ascii="Times New Roman" w:hAnsi="Times New Roman"/>
          <w:noProof/>
          <w:sz w:val="24"/>
          <w:szCs w:val="24"/>
        </w:rPr>
        <w:t xml:space="preserve">l aislamiento social, la salud mental, la resiliencia económica y la asistencia sanitaria de larga duración, entre otras cosas. </w:t>
      </w:r>
    </w:p>
    <w:p w:rsidR="00C80169" w:rsidRDefault="00941F3E">
      <w:pPr>
        <w:jc w:val="both"/>
        <w:rPr>
          <w:rFonts w:ascii="Times New Roman" w:hAnsi="Times New Roman" w:cs="Times New Roman"/>
          <w:noProof/>
          <w:sz w:val="24"/>
          <w:szCs w:val="24"/>
        </w:rPr>
      </w:pPr>
      <w:r>
        <w:rPr>
          <w:rFonts w:ascii="Times New Roman" w:hAnsi="Times New Roman"/>
          <w:noProof/>
          <w:sz w:val="24"/>
          <w:szCs w:val="24"/>
        </w:rPr>
        <w:t xml:space="preserve">Por otro lado, el presente informe resalta la necesidad de </w:t>
      </w:r>
      <w:r>
        <w:rPr>
          <w:rFonts w:ascii="Times New Roman" w:hAnsi="Times New Roman"/>
          <w:b/>
          <w:noProof/>
          <w:sz w:val="24"/>
          <w:szCs w:val="24"/>
        </w:rPr>
        <w:t>integrar las consideraciones demográficas en las políticas de la UE.</w:t>
      </w:r>
      <w:r>
        <w:rPr>
          <w:rFonts w:ascii="Times New Roman" w:hAnsi="Times New Roman"/>
          <w:noProof/>
          <w:sz w:val="24"/>
          <w:szCs w:val="24"/>
        </w:rPr>
        <w:t xml:space="preserve"> La Comisión está dispuesta a cumplir plenamente la parte que le corresponde utilizando todos los instrumentos a su alcance, particularmente mediante el nuevo presupuesto de la UE a largo plazo y su instrumento de recuperación Next Generation EU. Sus esfue</w:t>
      </w:r>
      <w:r>
        <w:rPr>
          <w:rFonts w:ascii="Times New Roman" w:hAnsi="Times New Roman"/>
          <w:noProof/>
          <w:sz w:val="24"/>
          <w:szCs w:val="24"/>
        </w:rPr>
        <w:t xml:space="preserve">rzos de recuperación apoyarán la cohesión social, la integración y la inclusión, el desarrollo rural, y la educación y formación. Respaldará las reformas estructurales allí donde sean necesarias y trabajará por una sostenibilidad competitiva, aprovechando </w:t>
      </w:r>
      <w:r>
        <w:rPr>
          <w:rFonts w:ascii="Times New Roman" w:hAnsi="Times New Roman"/>
          <w:noProof/>
          <w:sz w:val="24"/>
          <w:szCs w:val="24"/>
        </w:rPr>
        <w:t>al máximo el Semestre Europeo.</w:t>
      </w:r>
      <w:r>
        <w:rPr>
          <w:rFonts w:ascii="Times New Roman" w:hAnsi="Times New Roman"/>
          <w:i/>
          <w:iCs/>
          <w:noProof/>
          <w:sz w:val="24"/>
          <w:szCs w:val="24"/>
        </w:rPr>
        <w:t xml:space="preserve"> </w:t>
      </w:r>
    </w:p>
    <w:p w:rsidR="00C80169" w:rsidRDefault="00941F3E">
      <w:pPr>
        <w:jc w:val="both"/>
        <w:rPr>
          <w:rFonts w:ascii="Times New Roman" w:hAnsi="Times New Roman" w:cs="Times New Roman"/>
          <w:noProof/>
          <w:sz w:val="24"/>
          <w:szCs w:val="24"/>
        </w:rPr>
      </w:pPr>
      <w:r>
        <w:rPr>
          <w:rFonts w:ascii="Times New Roman" w:hAnsi="Times New Roman"/>
          <w:noProof/>
          <w:sz w:val="24"/>
          <w:szCs w:val="24"/>
        </w:rPr>
        <w:t xml:space="preserve">Al mismo tiempo, es evidente que no existe un planteamiento único. </w:t>
      </w:r>
      <w:r>
        <w:rPr>
          <w:rFonts w:ascii="Times New Roman" w:hAnsi="Times New Roman"/>
          <w:b/>
          <w:noProof/>
          <w:sz w:val="24"/>
          <w:szCs w:val="24"/>
        </w:rPr>
        <w:t>La elaboración de las políticas debe centrarse en la realidad sobre el terreno y reducir las disparidades entre regiones</w:t>
      </w:r>
      <w:r>
        <w:rPr>
          <w:rFonts w:ascii="Times New Roman" w:hAnsi="Times New Roman"/>
          <w:noProof/>
          <w:sz w:val="24"/>
          <w:szCs w:val="24"/>
        </w:rPr>
        <w:t>.</w:t>
      </w:r>
      <w:r>
        <w:rPr>
          <w:rFonts w:ascii="Times New Roman" w:hAnsi="Times New Roman"/>
          <w:iCs/>
          <w:noProof/>
          <w:sz w:val="24"/>
          <w:szCs w:val="24"/>
        </w:rPr>
        <w:t xml:space="preserve"> </w:t>
      </w:r>
      <w:r>
        <w:rPr>
          <w:rFonts w:ascii="Times New Roman" w:hAnsi="Times New Roman"/>
          <w:noProof/>
          <w:sz w:val="24"/>
          <w:szCs w:val="24"/>
        </w:rPr>
        <w:t xml:space="preserve">En esta línea, la Comisión seguirá </w:t>
      </w:r>
      <w:r>
        <w:rPr>
          <w:rFonts w:ascii="Times New Roman" w:hAnsi="Times New Roman"/>
          <w:noProof/>
          <w:sz w:val="24"/>
          <w:szCs w:val="24"/>
        </w:rPr>
        <w:t>promoviendo la convergencia al alza para asegurar una transición justa y defender la justicia social, la igualdad de oportunidades y la ausencia de discriminación, especialmente por medio del pilar europeo de derechos sociales y de la estrategia europea de</w:t>
      </w:r>
      <w:r>
        <w:rPr>
          <w:rFonts w:ascii="Times New Roman" w:hAnsi="Times New Roman"/>
          <w:noProof/>
          <w:sz w:val="24"/>
          <w:szCs w:val="24"/>
        </w:rPr>
        <w:t xml:space="preserve"> género.</w:t>
      </w:r>
    </w:p>
    <w:p w:rsidR="00C80169" w:rsidRDefault="00941F3E">
      <w:pPr>
        <w:jc w:val="both"/>
        <w:rPr>
          <w:rFonts w:ascii="Times New Roman" w:hAnsi="Times New Roman" w:cs="Times New Roman"/>
          <w:noProof/>
          <w:sz w:val="24"/>
          <w:szCs w:val="24"/>
        </w:rPr>
      </w:pPr>
      <w:r>
        <w:rPr>
          <w:rFonts w:ascii="Times New Roman" w:hAnsi="Times New Roman"/>
          <w:b/>
          <w:noProof/>
          <w:sz w:val="24"/>
          <w:szCs w:val="24"/>
        </w:rPr>
        <w:t>Debemos abordar sin ambages el doble desafío democrático y demográfico</w:t>
      </w:r>
      <w:r>
        <w:rPr>
          <w:rFonts w:ascii="Times New Roman" w:hAnsi="Times New Roman"/>
          <w:noProof/>
          <w:sz w:val="24"/>
          <w:szCs w:val="24"/>
        </w:rPr>
        <w:t>. La transformación demográfica presenta retos y oportunidades para nuestra democracia, algunos de los cuales se han puesto de manifiesto con la crisis. Si esta transformación s</w:t>
      </w:r>
      <w:r>
        <w:rPr>
          <w:rFonts w:ascii="Times New Roman" w:hAnsi="Times New Roman"/>
          <w:noProof/>
          <w:sz w:val="24"/>
          <w:szCs w:val="24"/>
        </w:rPr>
        <w:t>e gestiona correctamente, contribuirá a garantizar que nuestros sistemas de gobierno y participación sean dinámicos, resilientes e inclusivos y reflejen la diversidad de la sociedad. Tenemos que combatir las causas profundas de los problemas y evitar una «</w:t>
      </w:r>
      <w:r>
        <w:rPr>
          <w:rFonts w:ascii="Times New Roman" w:hAnsi="Times New Roman"/>
          <w:noProof/>
          <w:sz w:val="24"/>
          <w:szCs w:val="24"/>
        </w:rPr>
        <w:t>geografía del descontento»</w:t>
      </w:r>
      <w:r>
        <w:rPr>
          <w:rFonts w:ascii="Times New Roman" w:hAnsi="Times New Roman" w:cs="Times New Roman"/>
          <w:noProof/>
          <w:sz w:val="24"/>
          <w:szCs w:val="24"/>
          <w:vertAlign w:val="superscript"/>
        </w:rPr>
        <w:footnoteReference w:id="65"/>
      </w:r>
      <w:r>
        <w:rPr>
          <w:rFonts w:ascii="Times New Roman" w:hAnsi="Times New Roman"/>
          <w:noProof/>
          <w:sz w:val="24"/>
          <w:szCs w:val="24"/>
        </w:rPr>
        <w:t>. La Conferencia sobre el Futuro de Europa será una plataforma esencial para escuchar, aprender y hallar soluciones.</w:t>
      </w:r>
    </w:p>
    <w:p w:rsidR="00C80169" w:rsidRDefault="00941F3E">
      <w:pPr>
        <w:jc w:val="both"/>
        <w:rPr>
          <w:rFonts w:ascii="Times New Roman" w:hAnsi="Times New Roman" w:cs="Times New Roman"/>
          <w:noProof/>
          <w:sz w:val="24"/>
          <w:szCs w:val="24"/>
        </w:rPr>
      </w:pPr>
      <w:r>
        <w:rPr>
          <w:rFonts w:ascii="Times New Roman" w:hAnsi="Times New Roman"/>
          <w:noProof/>
          <w:sz w:val="24"/>
          <w:szCs w:val="24"/>
        </w:rPr>
        <w:t>Aún es prematuro extraer lecciones demográficas fundamentadas de la crisis de la COVID-19, pero el sitio web esp</w:t>
      </w:r>
      <w:r>
        <w:rPr>
          <w:rFonts w:ascii="Times New Roman" w:hAnsi="Times New Roman"/>
          <w:noProof/>
          <w:sz w:val="24"/>
          <w:szCs w:val="24"/>
        </w:rPr>
        <w:t>ecífico lanzado en paralelo al presente informe contribuirá, una vez que esté disponible, al análisis de datos estadísticos a gran escala comparables de toda la Unión, de tal modo que puedan sentar una base sólida para unas reflexiones y decisiones polític</w:t>
      </w:r>
      <w:r>
        <w:rPr>
          <w:rFonts w:ascii="Times New Roman" w:hAnsi="Times New Roman"/>
          <w:noProof/>
          <w:sz w:val="24"/>
          <w:szCs w:val="24"/>
        </w:rPr>
        <w:t xml:space="preserve">as documentadas. </w:t>
      </w:r>
    </w:p>
    <w:p w:rsidR="00C80169" w:rsidRDefault="00941F3E">
      <w:pPr>
        <w:jc w:val="both"/>
        <w:rPr>
          <w:rFonts w:ascii="Times New Roman" w:hAnsi="Times New Roman" w:cs="Times New Roman"/>
          <w:noProof/>
          <w:sz w:val="24"/>
          <w:szCs w:val="24"/>
        </w:rPr>
      </w:pPr>
      <w:r>
        <w:rPr>
          <w:rFonts w:ascii="Times New Roman" w:hAnsi="Times New Roman"/>
          <w:b/>
          <w:noProof/>
          <w:sz w:val="24"/>
          <w:szCs w:val="24"/>
        </w:rPr>
        <w:t>Sobre la base del presente informe, la Comisión emprenderá un diálogo con las partes interesadas pertinentes</w:t>
      </w:r>
      <w:r>
        <w:rPr>
          <w:rFonts w:ascii="Times New Roman" w:hAnsi="Times New Roman"/>
          <w:noProof/>
          <w:sz w:val="24"/>
          <w:szCs w:val="24"/>
        </w:rPr>
        <w:t>, en particular a nivel regional, y debatirá con los Estados miembros y las instituciones y órganos de la UE, a saber, con el Comi</w:t>
      </w:r>
      <w:r>
        <w:rPr>
          <w:rFonts w:ascii="Times New Roman" w:hAnsi="Times New Roman"/>
          <w:noProof/>
          <w:sz w:val="24"/>
          <w:szCs w:val="24"/>
        </w:rPr>
        <w:t xml:space="preserve">té Económico y Social Europeo y con el Comité de las Regiones. </w:t>
      </w:r>
    </w:p>
    <w:sectPr w:rsidR="00C80169">
      <w:headerReference w:type="even" r:id="rId34"/>
      <w:headerReference w:type="default" r:id="rId35"/>
      <w:footerReference w:type="even" r:id="rId36"/>
      <w:footerReference w:type="default" r:id="rId37"/>
      <w:headerReference w:type="first" r:id="rId38"/>
      <w:footerReference w:type="first" r:id="rId39"/>
      <w:pgSz w:w="11906" w:h="16838"/>
      <w:pgMar w:top="1134" w:right="1077" w:bottom="1134" w:left="1077" w:header="601" w:footer="1077" w:gutter="0"/>
      <w:pgNumType w:start="1"/>
      <w:cols w:space="720"/>
      <w:titlePg/>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8089C2" w16cex:dateUtc="2020-06-02T06: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1A02FE5" w16cid:durableId="227FB791"/>
  <w16cid:commentId w16cid:paraId="411123E0" w16cid:durableId="227FB792"/>
  <w16cid:commentId w16cid:paraId="257A2B2C" w16cid:durableId="227FB793"/>
  <w16cid:commentId w16cid:paraId="57898443" w16cid:durableId="227FB794"/>
  <w16cid:commentId w16cid:paraId="5D2CCED8" w16cid:durableId="227FB795"/>
  <w16cid:commentId w16cid:paraId="620D67EF" w16cid:durableId="227FB796"/>
  <w16cid:commentId w16cid:paraId="42EDF6F3" w16cid:durableId="227FB797"/>
  <w16cid:commentId w16cid:paraId="6874AD6D" w16cid:durableId="227FB798"/>
  <w16cid:commentId w16cid:paraId="4F575F7B" w16cid:durableId="227FB799"/>
  <w16cid:commentId w16cid:paraId="1C90C26D" w16cid:durableId="227FB79A"/>
  <w16cid:commentId w16cid:paraId="5CA543DD" w16cid:durableId="227FB79B"/>
  <w16cid:commentId w16cid:paraId="6BBB7BB4" w16cid:durableId="227FB79C"/>
  <w16cid:commentId w16cid:paraId="0ED66ACB" w16cid:durableId="227FB79D"/>
  <w16cid:commentId w16cid:paraId="484979A1" w16cid:durableId="227FB79E"/>
  <w16cid:commentId w16cid:paraId="7BC42ADD" w16cid:durableId="227FB79F"/>
  <w16cid:commentId w16cid:paraId="65406D54" w16cid:durableId="227FB7A0"/>
  <w16cid:commentId w16cid:paraId="51CC4654" w16cid:durableId="228089C2"/>
  <w16cid:commentId w16cid:paraId="1F732F68" w16cid:durableId="227FB7A1"/>
  <w16cid:commentId w16cid:paraId="01EF31A1" w16cid:durableId="227FB7A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0169" w:rsidRDefault="00941F3E">
      <w:pPr>
        <w:spacing w:after="0" w:line="240" w:lineRule="auto"/>
      </w:pPr>
      <w:r>
        <w:separator/>
      </w:r>
    </w:p>
  </w:endnote>
  <w:endnote w:type="continuationSeparator" w:id="0">
    <w:p w:rsidR="00C80169" w:rsidRDefault="00941F3E">
      <w:pPr>
        <w:spacing w:after="0" w:line="240" w:lineRule="auto"/>
      </w:pPr>
      <w:r>
        <w:continuationSeparator/>
      </w:r>
    </w:p>
  </w:endnote>
  <w:endnote w:type="continuationNotice" w:id="1">
    <w:p w:rsidR="00C80169" w:rsidRDefault="00C8016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Bold">
    <w:panose1 w:val="02020803070505020304"/>
    <w:charset w:val="00"/>
    <w:family w:val="roman"/>
    <w:pitch w:val="variable"/>
    <w:sig w:usb0="00000000"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0169" w:rsidRDefault="00C801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0169" w:rsidRDefault="00941F3E">
    <w:pPr>
      <w:pStyle w:val="FooterCoverPage"/>
      <w:rPr>
        <w:rFonts w:ascii="Arial" w:hAnsi="Arial" w:cs="Arial"/>
        <w:b/>
        <w:sz w:val="48"/>
      </w:rPr>
    </w:pPr>
    <w:r>
      <w:rPr>
        <w:rFonts w:ascii="Arial" w:hAnsi="Arial" w:cs="Arial"/>
        <w:b/>
        <w:sz w:val="48"/>
      </w:rPr>
      <w:t>ES</w:t>
    </w:r>
    <w:r>
      <w:rPr>
        <w:rFonts w:ascii="Arial" w:hAnsi="Arial" w:cs="Arial"/>
        <w:b/>
        <w:sz w:val="48"/>
      </w:rPr>
      <w:tab/>
    </w:r>
    <w:r>
      <w:rPr>
        <w:rFonts w:ascii="Arial" w:hAnsi="Arial" w:cs="Arial"/>
        <w:b/>
        <w:sz w:val="48"/>
      </w:rPr>
      <w:tab/>
    </w:r>
    <w:r>
      <w:tab/>
    </w:r>
    <w:r>
      <w:rPr>
        <w:rFonts w:ascii="Arial" w:hAnsi="Arial" w:cs="Arial"/>
        <w:b/>
        <w:sz w:val="48"/>
      </w:rPr>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0169" w:rsidRDefault="00C8016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0169" w:rsidRDefault="00941F3E">
    <w:pPr>
      <w:pStyle w:val="FooterLine"/>
      <w:jc w:val="center"/>
    </w:pPr>
    <w:r>
      <w:fldChar w:fldCharType="begin"/>
    </w:r>
    <w:r>
      <w:instrText>PAGE   \* MERGEFORMAT</w:instrText>
    </w:r>
    <w:r>
      <w:fldChar w:fldCharType="separate"/>
    </w:r>
    <w: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0169" w:rsidRDefault="00941F3E">
    <w:pPr>
      <w:pStyle w:val="FooterLine"/>
      <w:jc w:val="center"/>
      <w:rPr>
        <w:sz w:val="20"/>
      </w:rPr>
    </w:pPr>
    <w:r>
      <w:rPr>
        <w:sz w:val="20"/>
      </w:rPr>
      <w:fldChar w:fldCharType="begin"/>
    </w:r>
    <w:r>
      <w:rPr>
        <w:sz w:val="20"/>
      </w:rPr>
      <w:instrText xml:space="preserve"> PAGE   \* MERGEFORMAT </w:instrText>
    </w:r>
    <w:r>
      <w:rPr>
        <w:sz w:val="20"/>
      </w:rPr>
      <w:fldChar w:fldCharType="separate"/>
    </w:r>
    <w:r>
      <w:rPr>
        <w:noProof/>
        <w:sz w:val="20"/>
      </w:rPr>
      <w:t>3</w:t>
    </w:r>
    <w:r>
      <w:rPr>
        <w:sz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117491"/>
      <w:docPartObj>
        <w:docPartGallery w:val="Page Numbers (Bottom of Page)"/>
        <w:docPartUnique/>
      </w:docPartObj>
    </w:sdtPr>
    <w:sdtEndPr>
      <w:rPr>
        <w:noProof/>
        <w:sz w:val="20"/>
        <w:szCs w:val="20"/>
      </w:rPr>
    </w:sdtEndPr>
    <w:sdtContent>
      <w:p w:rsidR="00C80169" w:rsidRDefault="00941F3E">
        <w:pPr>
          <w:pStyle w:val="Footer"/>
          <w:jc w:val="center"/>
          <w:rPr>
            <w:sz w:val="20"/>
            <w:szCs w:val="20"/>
          </w:rPr>
        </w:pPr>
        <w:r>
          <w:rPr>
            <w:sz w:val="20"/>
            <w:szCs w:val="20"/>
          </w:rPr>
          <w:fldChar w:fldCharType="begin"/>
        </w:r>
        <w:r>
          <w:rPr>
            <w:sz w:val="20"/>
            <w:szCs w:val="20"/>
          </w:rPr>
          <w:instrText xml:space="preserve"> PAGE   \* MERGEFORMAT </w:instrText>
        </w:r>
        <w:r>
          <w:rPr>
            <w:sz w:val="20"/>
            <w:szCs w:val="20"/>
          </w:rPr>
          <w:fldChar w:fldCharType="separate"/>
        </w:r>
        <w:r>
          <w:rPr>
            <w:noProof/>
            <w:sz w:val="20"/>
            <w:szCs w:val="20"/>
          </w:rPr>
          <w:t>1</w:t>
        </w:r>
        <w:r>
          <w:rPr>
            <w:sz w:val="20"/>
            <w:szCs w:val="20"/>
          </w:rPr>
          <w:fldChar w:fldCharType="end"/>
        </w:r>
      </w:p>
    </w:sdtContent>
  </w:sdt>
  <w:p w:rsidR="00C80169" w:rsidRDefault="00C801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0169" w:rsidRDefault="00941F3E">
      <w:pPr>
        <w:spacing w:after="0" w:line="240" w:lineRule="auto"/>
      </w:pPr>
      <w:r>
        <w:separator/>
      </w:r>
    </w:p>
  </w:footnote>
  <w:footnote w:type="continuationSeparator" w:id="0">
    <w:p w:rsidR="00C80169" w:rsidRDefault="00941F3E">
      <w:pPr>
        <w:spacing w:after="0" w:line="240" w:lineRule="auto"/>
      </w:pPr>
      <w:r>
        <w:continuationSeparator/>
      </w:r>
    </w:p>
  </w:footnote>
  <w:footnote w:type="continuationNotice" w:id="1">
    <w:p w:rsidR="00C80169" w:rsidRDefault="00C80169">
      <w:pPr>
        <w:spacing w:after="0" w:line="240" w:lineRule="auto"/>
      </w:pPr>
    </w:p>
  </w:footnote>
  <w:footnote w:id="2">
    <w:p w:rsidR="00C80169" w:rsidRDefault="00941F3E">
      <w:pPr>
        <w:pStyle w:val="FootnoteText"/>
      </w:pPr>
      <w:r>
        <w:rPr>
          <w:rStyle w:val="FootnoteReference"/>
        </w:rPr>
        <w:footnoteRef/>
      </w:r>
      <w:r>
        <w:t xml:space="preserve"> COM(2020) 456: El momento de Europa: reparar los daños y preparar el futuro para la próxima generación.</w:t>
      </w:r>
    </w:p>
  </w:footnote>
  <w:footnote w:id="3">
    <w:p w:rsidR="00C80169" w:rsidRDefault="00941F3E">
      <w:pPr>
        <w:pStyle w:val="FootnoteText"/>
      </w:pPr>
      <w:r>
        <w:rPr>
          <w:rStyle w:val="FootnoteReference"/>
        </w:rPr>
        <w:footnoteRef/>
      </w:r>
      <w:r>
        <w:t xml:space="preserve"> El documento de trabajo de los servicios de la Comisión SWD(2020) 109 final completa el informe con cifras, mapas y gráficos adicionales.</w:t>
      </w:r>
    </w:p>
  </w:footnote>
  <w:footnote w:id="4">
    <w:p w:rsidR="00C80169" w:rsidRDefault="00941F3E">
      <w:pPr>
        <w:pStyle w:val="FootnoteText"/>
      </w:pPr>
      <w:r>
        <w:rPr>
          <w:rStyle w:val="FootnoteReference"/>
        </w:rPr>
        <w:footnoteRef/>
      </w:r>
      <w:r>
        <w:t xml:space="preserve"> En el pre</w:t>
      </w:r>
      <w:r>
        <w:t>sente informe, los términos Europa y UE se refieren a la EU-27, salvo indicación en contrario.</w:t>
      </w:r>
    </w:p>
  </w:footnote>
  <w:footnote w:id="5">
    <w:p w:rsidR="00C80169" w:rsidRDefault="00941F3E">
      <w:pPr>
        <w:pStyle w:val="FootnoteText"/>
      </w:pPr>
      <w:r>
        <w:rPr>
          <w:rStyle w:val="FootnoteReference"/>
        </w:rPr>
        <w:footnoteRef/>
      </w:r>
      <w:r>
        <w:t xml:space="preserve"> Los datos estadísticos de Eurostat utilizados en el presente informe se basan en cifras obtenidas de la base de datos de Eurostat en mayo de 2020.</w:t>
      </w:r>
    </w:p>
  </w:footnote>
  <w:footnote w:id="6">
    <w:p w:rsidR="00C80169" w:rsidRDefault="00941F3E">
      <w:pPr>
        <w:pStyle w:val="FootnoteText"/>
      </w:pPr>
      <w:r>
        <w:rPr>
          <w:rStyle w:val="FootnoteReference"/>
        </w:rPr>
        <w:footnoteRef/>
      </w:r>
      <w:r>
        <w:t xml:space="preserve"> Para más i</w:t>
      </w:r>
      <w:r>
        <w:t xml:space="preserve">nformación, véase el documento de Eurostat </w:t>
      </w:r>
      <w:r>
        <w:rPr>
          <w:i/>
        </w:rPr>
        <w:t>Statistics Explained</w:t>
      </w:r>
      <w:r>
        <w:t xml:space="preserve">, «Mortality and life expectancy statistics»: </w:t>
      </w:r>
    </w:p>
    <w:p w:rsidR="00C80169" w:rsidRDefault="00941F3E">
      <w:pPr>
        <w:pStyle w:val="FootnoteText"/>
      </w:pPr>
      <w:hyperlink r:id="rId1" w:history="1">
        <w:r>
          <w:rPr>
            <w:rStyle w:val="Hyperlink"/>
          </w:rPr>
          <w:t>https://ec.europa.eu/e</w:t>
        </w:r>
        <w:r>
          <w:rPr>
            <w:rStyle w:val="Hyperlink"/>
          </w:rPr>
          <w:t>urostat/statistics-explained/index.php?title=Mortality_and_life_expectancy_statistics</w:t>
        </w:r>
      </w:hyperlink>
      <w:r>
        <w:t xml:space="preserve"> </w:t>
      </w:r>
    </w:p>
  </w:footnote>
  <w:footnote w:id="7">
    <w:p w:rsidR="00C80169" w:rsidRDefault="00941F3E">
      <w:pPr>
        <w:pStyle w:val="FootnoteText"/>
      </w:pPr>
      <w:r>
        <w:rPr>
          <w:rStyle w:val="FootnoteReference"/>
        </w:rPr>
        <w:footnoteRef/>
      </w:r>
      <w:r>
        <w:t xml:space="preserve"> Las proyecciones demográficas son escenarios hipotéticos basados en datos observados, cuyo objetivo es ayudar a comprender la dinámica poblacional. Es importante señal</w:t>
      </w:r>
      <w:r>
        <w:t xml:space="preserve">ar que las proyecciones no deben considerarse previsiones. Para más información, véanse las proyecciones demográficas de Eurostat: </w:t>
      </w:r>
      <w:hyperlink r:id="rId2" w:history="1">
        <w:r>
          <w:rPr>
            <w:rStyle w:val="Hyperlink"/>
          </w:rPr>
          <w:t>htt</w:t>
        </w:r>
        <w:r>
          <w:rPr>
            <w:rStyle w:val="Hyperlink"/>
          </w:rPr>
          <w:t>ps://ec.europa.eu/eurostat/web/population-demography-migration-projections/population-projections-data</w:t>
        </w:r>
      </w:hyperlink>
      <w:r>
        <w:t xml:space="preserve"> </w:t>
      </w:r>
    </w:p>
  </w:footnote>
  <w:footnote w:id="8">
    <w:p w:rsidR="00C80169" w:rsidRDefault="00941F3E">
      <w:pPr>
        <w:pStyle w:val="FootnoteText"/>
      </w:pPr>
      <w:r>
        <w:rPr>
          <w:rStyle w:val="FootnoteReference"/>
        </w:rPr>
        <w:footnoteRef/>
      </w:r>
      <w:r>
        <w:t xml:space="preserve"> Para más información sobre el concepto y los datos, véase: </w:t>
      </w:r>
      <w:hyperlink r:id="rId3" w:history="1">
        <w:r>
          <w:rPr>
            <w:color w:val="0000FF"/>
            <w:u w:val="single"/>
          </w:rPr>
          <w:t>https</w:t>
        </w:r>
        <w:r>
          <w:rPr>
            <w:color w:val="0000FF"/>
            <w:u w:val="single"/>
          </w:rPr>
          <w:t>://ec.europa.eu/eurostat/statistics-explained/pdfscache/1101.pdf</w:t>
        </w:r>
      </w:hyperlink>
    </w:p>
  </w:footnote>
  <w:footnote w:id="9">
    <w:p w:rsidR="00C80169" w:rsidRDefault="00941F3E">
      <w:pPr>
        <w:pStyle w:val="FootnoteText"/>
        <w:rPr>
          <w:lang w:val="en-US"/>
        </w:rPr>
      </w:pPr>
      <w:r>
        <w:rPr>
          <w:rStyle w:val="FootnoteReference"/>
        </w:rPr>
        <w:footnoteRef/>
      </w:r>
      <w:r>
        <w:rPr>
          <w:lang w:val="en-US"/>
        </w:rPr>
        <w:t xml:space="preserve"> Para más información, véase </w:t>
      </w:r>
      <w:r>
        <w:rPr>
          <w:i/>
          <w:iCs/>
          <w:lang w:val="en-US"/>
        </w:rPr>
        <w:t>State of Health in the EU</w:t>
      </w:r>
      <w:r>
        <w:rPr>
          <w:lang w:val="en-US"/>
        </w:rPr>
        <w:t xml:space="preserve">, «Health at a glance: Europe», 2018, OCDE/UE (2018) – </w:t>
      </w:r>
      <w:hyperlink r:id="rId4" w:history="1">
        <w:r>
          <w:rPr>
            <w:rStyle w:val="Hyperlink"/>
            <w:lang w:val="en-US"/>
          </w:rPr>
          <w:t>https://ec.europa.eu/</w:t>
        </w:r>
        <w:r>
          <w:rPr>
            <w:rStyle w:val="Hyperlink"/>
            <w:lang w:val="en-US"/>
          </w:rPr>
          <w:t>health/state/glance_en</w:t>
        </w:r>
      </w:hyperlink>
      <w:r>
        <w:rPr>
          <w:lang w:val="en-US"/>
        </w:rPr>
        <w:t xml:space="preserve"> </w:t>
      </w:r>
    </w:p>
  </w:footnote>
  <w:footnote w:id="10">
    <w:p w:rsidR="00C80169" w:rsidRDefault="00941F3E">
      <w:pPr>
        <w:pStyle w:val="FootnoteText"/>
      </w:pPr>
      <w:r>
        <w:rPr>
          <w:rStyle w:val="FootnoteReference"/>
        </w:rPr>
        <w:footnoteRef/>
      </w:r>
      <w:r>
        <w:t xml:space="preserve"> En 2018, el 49 % de las personas de 65 años o más consideraba tener una discapacidad o una limitación duradera de la actividad. (Fuente: </w:t>
      </w:r>
      <w:r>
        <w:rPr>
          <w:i/>
        </w:rPr>
        <w:t>Eurostat online table hlth_silc</w:t>
      </w:r>
      <w:r>
        <w:t>_06).</w:t>
      </w:r>
    </w:p>
  </w:footnote>
  <w:footnote w:id="11">
    <w:p w:rsidR="00C80169" w:rsidRDefault="00941F3E">
      <w:pPr>
        <w:pStyle w:val="FootnoteText"/>
      </w:pPr>
      <w:r>
        <w:rPr>
          <w:rStyle w:val="FootnoteReference"/>
        </w:rPr>
        <w:footnoteRef/>
      </w:r>
      <w:r>
        <w:t xml:space="preserve"> En la nomenclatura común de unidades territoriales est</w:t>
      </w:r>
      <w:r>
        <w:t xml:space="preserve">adísticas, conocida como NUTS, se utilizan tres tipos de regiones. Este mapa muestra las regiones NUTS2. La región media NUTS2 de un país tiene una población de entre 800 000 y 3 000 000 habitantes. </w:t>
      </w:r>
    </w:p>
  </w:footnote>
  <w:footnote w:id="12">
    <w:p w:rsidR="00C80169" w:rsidRDefault="00941F3E">
      <w:pPr>
        <w:pStyle w:val="FootnoteText"/>
      </w:pPr>
      <w:r>
        <w:rPr>
          <w:rStyle w:val="FootnoteReference"/>
        </w:rPr>
        <w:footnoteRef/>
      </w:r>
      <w:r>
        <w:t xml:space="preserve"> Para más información, véase el documento de Eurostat </w:t>
      </w:r>
      <w:r>
        <w:rPr>
          <w:i/>
        </w:rPr>
        <w:t>S</w:t>
      </w:r>
      <w:r>
        <w:rPr>
          <w:i/>
        </w:rPr>
        <w:t>tatistics Explained</w:t>
      </w:r>
      <w:r>
        <w:t xml:space="preserve">, «Fertility statistics»: </w:t>
      </w:r>
    </w:p>
    <w:p w:rsidR="00C80169" w:rsidRDefault="00941F3E">
      <w:pPr>
        <w:pStyle w:val="FootnoteText"/>
      </w:pPr>
      <w:hyperlink r:id="rId5" w:history="1">
        <w:r>
          <w:rPr>
            <w:rStyle w:val="Hyperlink"/>
          </w:rPr>
          <w:t>https://ec.europa.eu/eurostat/statistics-explained/index.php?title=Fertility_statistics</w:t>
        </w:r>
      </w:hyperlink>
    </w:p>
  </w:footnote>
  <w:footnote w:id="13">
    <w:p w:rsidR="00C80169" w:rsidRDefault="00941F3E">
      <w:pPr>
        <w:pStyle w:val="FootnoteText"/>
      </w:pPr>
      <w:r>
        <w:rPr>
          <w:rStyle w:val="FootnoteReference"/>
        </w:rPr>
        <w:footnoteRef/>
      </w:r>
      <w:r>
        <w:t xml:space="preserve"> Solo 4 de las 1 169 regiones NUTS-3 tienen una tasa de fecundidad superior a 2,1: Mayotte (4,6), Guyana (3,8), La Reunión (2,4) y Melilla (2,3).</w:t>
      </w:r>
    </w:p>
  </w:footnote>
  <w:footnote w:id="14">
    <w:p w:rsidR="00C80169" w:rsidRDefault="00941F3E">
      <w:pPr>
        <w:pStyle w:val="FootnoteText"/>
      </w:pPr>
      <w:r>
        <w:rPr>
          <w:rStyle w:val="FootnoteReference"/>
        </w:rPr>
        <w:footnoteRef/>
      </w:r>
      <w:r>
        <w:t xml:space="preserve"> Este mapa muestra las regiones NUTS3. La región media NUTS3 de un país tiene una población de entre 150 000 </w:t>
      </w:r>
      <w:r>
        <w:t xml:space="preserve">y 800 000 habitantes. </w:t>
      </w:r>
    </w:p>
  </w:footnote>
  <w:footnote w:id="15">
    <w:p w:rsidR="00C80169" w:rsidRDefault="00941F3E">
      <w:pPr>
        <w:pStyle w:val="FootnoteText"/>
      </w:pPr>
      <w:r>
        <w:rPr>
          <w:rStyle w:val="FootnoteReference"/>
        </w:rPr>
        <w:footnoteRef/>
      </w:r>
      <w:r>
        <w:t xml:space="preserve"> La mediana de edad es una medida general de la edad de una población: la mitad de la población se sitúa por encima de la mediana de edad, y la otra mitad por debajo.</w:t>
      </w:r>
    </w:p>
  </w:footnote>
  <w:footnote w:id="16">
    <w:p w:rsidR="00C80169" w:rsidRDefault="00941F3E">
      <w:pPr>
        <w:pStyle w:val="FootnoteText"/>
      </w:pPr>
      <w:r>
        <w:rPr>
          <w:rStyle w:val="FootnoteReference"/>
        </w:rPr>
        <w:footnoteRef/>
      </w:r>
      <w:r>
        <w:t xml:space="preserve"> Para más información, véase el documento de Eurostat </w:t>
      </w:r>
      <w:r>
        <w:rPr>
          <w:i/>
        </w:rPr>
        <w:t>Statistics</w:t>
      </w:r>
      <w:r>
        <w:rPr>
          <w:i/>
        </w:rPr>
        <w:t xml:space="preserve"> Explained</w:t>
      </w:r>
      <w:r>
        <w:t xml:space="preserve">, «Population structure and ageing»: </w:t>
      </w:r>
    </w:p>
    <w:p w:rsidR="00C80169" w:rsidRDefault="00941F3E">
      <w:pPr>
        <w:pStyle w:val="FootnoteText"/>
        <w:rPr>
          <w:sz w:val="24"/>
          <w:szCs w:val="24"/>
        </w:rPr>
      </w:pPr>
      <w:hyperlink r:id="rId6" w:history="1">
        <w:r>
          <w:rPr>
            <w:rStyle w:val="Hyperlink"/>
          </w:rPr>
          <w:t>https://ec.europa.eu/eurostat/statistics-explained/index.php?title=Population_structure_and_a</w:t>
        </w:r>
        <w:r>
          <w:rPr>
            <w:rStyle w:val="Hyperlink"/>
          </w:rPr>
          <w:t>geing</w:t>
        </w:r>
      </w:hyperlink>
      <w:r>
        <w:t xml:space="preserve"> </w:t>
      </w:r>
    </w:p>
  </w:footnote>
  <w:footnote w:id="17">
    <w:p w:rsidR="00C80169" w:rsidRDefault="00941F3E">
      <w:pPr>
        <w:pStyle w:val="FootnoteText"/>
      </w:pPr>
      <w:r>
        <w:rPr>
          <w:rStyle w:val="FootnoteReference"/>
        </w:rPr>
        <w:footnoteRef/>
      </w:r>
      <w:r>
        <w:t xml:space="preserve"> La población en edad laboral se define convencionalmente como el grupo de edades comprendidas entre los 20 y los 64 años. A medida que la población envejece y el número de personas de 65 años o más que siguen trabajando aumenta, esta definición co</w:t>
      </w:r>
      <w:r>
        <w:t>nvencional podría cambiar.</w:t>
      </w:r>
    </w:p>
  </w:footnote>
  <w:footnote w:id="18">
    <w:p w:rsidR="00C80169" w:rsidRDefault="00941F3E">
      <w:pPr>
        <w:pStyle w:val="FootnoteText"/>
        <w:rPr>
          <w:lang w:val="en-US"/>
        </w:rPr>
      </w:pPr>
      <w:r>
        <w:rPr>
          <w:rStyle w:val="FootnoteReference"/>
        </w:rPr>
        <w:footnoteRef/>
      </w:r>
      <w:r>
        <w:rPr>
          <w:lang w:val="en-US"/>
        </w:rPr>
        <w:t xml:space="preserve"> «Ageing Europe: Looking at the lives of older people in the EU», Comisión Europea (2019).</w:t>
      </w:r>
    </w:p>
  </w:footnote>
  <w:footnote w:id="19">
    <w:p w:rsidR="00C80169" w:rsidRDefault="00941F3E">
      <w:pPr>
        <w:pStyle w:val="FootnoteText"/>
      </w:pPr>
      <w:r>
        <w:rPr>
          <w:rStyle w:val="FootnoteReference"/>
        </w:rPr>
        <w:footnoteRef/>
      </w:r>
      <w:r>
        <w:t xml:space="preserve"> Además de a los nacionales de terceros países, estas cifras incluyen a los ciudadanos de la UE que regresan a la UE o la abandonan. Par</w:t>
      </w:r>
      <w:r>
        <w:t xml:space="preserve">a más información, véase el documento de Eurostat </w:t>
      </w:r>
      <w:r>
        <w:rPr>
          <w:i/>
        </w:rPr>
        <w:t>Statistics Explained</w:t>
      </w:r>
      <w:r>
        <w:t xml:space="preserve">, «Migration statistics»: </w:t>
      </w:r>
      <w:hyperlink r:id="rId7" w:history="1">
        <w:r>
          <w:rPr>
            <w:rStyle w:val="Hyperlink"/>
          </w:rPr>
          <w:t>https://ec.europa.eu/eurostat/sta</w:t>
        </w:r>
        <w:r>
          <w:rPr>
            <w:rStyle w:val="Hyperlink"/>
          </w:rPr>
          <w:t>tistics-explained/index.php?title=Migration_and_migrant_population_statistics</w:t>
        </w:r>
      </w:hyperlink>
      <w:r>
        <w:t xml:space="preserve"> </w:t>
      </w:r>
    </w:p>
    <w:p w:rsidR="00C80169" w:rsidRDefault="00C80169">
      <w:pPr>
        <w:pStyle w:val="FootnoteText"/>
      </w:pPr>
    </w:p>
  </w:footnote>
  <w:footnote w:id="20">
    <w:p w:rsidR="00C80169" w:rsidRDefault="00941F3E">
      <w:pPr>
        <w:pStyle w:val="FootnoteText"/>
      </w:pPr>
      <w:r>
        <w:rPr>
          <w:rStyle w:val="FootnoteReference"/>
        </w:rPr>
        <w:footnoteRef/>
      </w:r>
      <w:r>
        <w:t xml:space="preserve"> Para más información, véase el documento de Eurostat </w:t>
      </w:r>
      <w:r>
        <w:rPr>
          <w:i/>
        </w:rPr>
        <w:t>Statistics Explained</w:t>
      </w:r>
      <w:r>
        <w:t xml:space="preserve">, «Population and population change statistics»: </w:t>
      </w:r>
    </w:p>
    <w:p w:rsidR="00C80169" w:rsidRDefault="00941F3E">
      <w:pPr>
        <w:pStyle w:val="FootnoteText"/>
      </w:pPr>
      <w:hyperlink r:id="rId8" w:history="1">
        <w:r>
          <w:rPr>
            <w:rStyle w:val="Hyperlink"/>
          </w:rPr>
          <w:t>https://ec.europa.eu/eurostat/statistics-explained/index.php?title=Population_and_population_change_statistics</w:t>
        </w:r>
      </w:hyperlink>
      <w:r>
        <w:t xml:space="preserve"> </w:t>
      </w:r>
    </w:p>
  </w:footnote>
  <w:footnote w:id="21">
    <w:p w:rsidR="00C80169" w:rsidRDefault="00941F3E">
      <w:pPr>
        <w:pStyle w:val="FootnoteText"/>
      </w:pPr>
      <w:r>
        <w:rPr>
          <w:rStyle w:val="FootnoteReference"/>
        </w:rPr>
        <w:footnoteRef/>
      </w:r>
      <w:r>
        <w:t xml:space="preserve"> En abril de 2020, Eurostat publicó unas proyecciones demográficas </w:t>
      </w:r>
      <w:r>
        <w:t xml:space="preserve">basadas en datos de 2019. Los efectos de la pandemia de COVID-19 no se conocían en el momento de la elaboración de los datos y no se han tenido en cuenta. Para más información, véase, en </w:t>
      </w:r>
      <w:r>
        <w:rPr>
          <w:i/>
        </w:rPr>
        <w:t>Statistics Explained</w:t>
      </w:r>
      <w:r>
        <w:t xml:space="preserve"> de Eurostat, un artículo sobre proyecciones demo</w:t>
      </w:r>
      <w:r>
        <w:t xml:space="preserve">gráficas: </w:t>
      </w:r>
      <w:hyperlink r:id="rId9" w:history="1">
        <w:r>
          <w:rPr>
            <w:rStyle w:val="Hyperlink"/>
          </w:rPr>
          <w:t>https://ec.europa.eu/eurostat/web/population-demography-migration-projections/population-projections-data</w:t>
        </w:r>
      </w:hyperlink>
      <w:r>
        <w:rPr>
          <w:rStyle w:val="Hyperlink"/>
        </w:rPr>
        <w:t>.</w:t>
      </w:r>
      <w:r>
        <w:rPr>
          <w:strike/>
        </w:rPr>
        <w:t xml:space="preserve"> </w:t>
      </w:r>
    </w:p>
  </w:footnote>
  <w:footnote w:id="22">
    <w:p w:rsidR="00C80169" w:rsidRDefault="00941F3E">
      <w:pPr>
        <w:pStyle w:val="FootnoteText"/>
      </w:pPr>
      <w:r>
        <w:rPr>
          <w:rStyle w:val="FootnoteReference"/>
        </w:rPr>
        <w:footnoteRef/>
      </w:r>
      <w:r>
        <w:t xml:space="preserve"> Este mapa muestra las regiones NUTS3. La región media NUTS3 de un país tiene una población de entre 150 000 y 800 000 habitantes. Los datos corresponden a las proyecciones regionales de Eurostat (EUROPOP2013).</w:t>
      </w:r>
    </w:p>
  </w:footnote>
  <w:footnote w:id="23">
    <w:p w:rsidR="00C80169" w:rsidRDefault="00941F3E">
      <w:pPr>
        <w:pStyle w:val="FootnoteText"/>
        <w:rPr>
          <w:lang w:val="en-US"/>
        </w:rPr>
      </w:pPr>
      <w:r>
        <w:rPr>
          <w:rStyle w:val="FootnoteReference"/>
        </w:rPr>
        <w:footnoteRef/>
      </w:r>
      <w:r>
        <w:rPr>
          <w:lang w:val="en-US"/>
        </w:rPr>
        <w:t xml:space="preserve"> «The 2018 Ageing Report: Economic and Budge</w:t>
      </w:r>
      <w:r>
        <w:rPr>
          <w:lang w:val="en-US"/>
        </w:rPr>
        <w:t xml:space="preserve">tary Projections for the EU Member States (2016-2070)», </w:t>
      </w:r>
      <w:r>
        <w:rPr>
          <w:i/>
          <w:lang w:val="en-US"/>
        </w:rPr>
        <w:t>Institutional Paper</w:t>
      </w:r>
      <w:r>
        <w:rPr>
          <w:lang w:val="en-US"/>
        </w:rPr>
        <w:t xml:space="preserve"> 079, Comisión Europea y Comité de Política Económica (2018).</w:t>
      </w:r>
    </w:p>
  </w:footnote>
  <w:footnote w:id="24">
    <w:p w:rsidR="00C80169" w:rsidRDefault="00941F3E">
      <w:pPr>
        <w:pStyle w:val="FootnoteText"/>
      </w:pPr>
      <w:r>
        <w:rPr>
          <w:rStyle w:val="FootnoteReference"/>
        </w:rPr>
        <w:footnoteRef/>
      </w:r>
      <w:r>
        <w:t xml:space="preserve"> Previsiones económicas de la Comisión de la primavera de 2020, 6 de mayo de 2020.</w:t>
      </w:r>
    </w:p>
  </w:footnote>
  <w:footnote w:id="25">
    <w:p w:rsidR="00C80169" w:rsidRDefault="00941F3E">
      <w:pPr>
        <w:pStyle w:val="FootnoteText"/>
      </w:pPr>
      <w:r>
        <w:rPr>
          <w:rStyle w:val="FootnoteReference"/>
        </w:rPr>
        <w:footnoteRef/>
      </w:r>
      <w:r>
        <w:t xml:space="preserve"> Una Unión de la igualdad: Estrate</w:t>
      </w:r>
      <w:r>
        <w:t>gia para la Igualdad de Género 2020-2025, adoptada el 5 de marzo de 2020 [COM(2020) 152 final].</w:t>
      </w:r>
    </w:p>
  </w:footnote>
  <w:footnote w:id="26">
    <w:p w:rsidR="00C80169" w:rsidRDefault="00941F3E">
      <w:pPr>
        <w:pStyle w:val="FootnoteText"/>
        <w:rPr>
          <w:lang w:val="en-US"/>
        </w:rPr>
      </w:pPr>
      <w:r>
        <w:rPr>
          <w:rStyle w:val="FootnoteReference"/>
        </w:rPr>
        <w:footnoteRef/>
      </w:r>
      <w:r>
        <w:rPr>
          <w:lang w:val="en-US"/>
        </w:rPr>
        <w:t xml:space="preserve"> «The 2018 Ageing Report: Economic and Budgetary Projections for the EU Member States (2016-2070)», </w:t>
      </w:r>
      <w:r>
        <w:rPr>
          <w:i/>
          <w:lang w:val="en-US"/>
        </w:rPr>
        <w:t>Institutional Paper</w:t>
      </w:r>
      <w:r>
        <w:rPr>
          <w:lang w:val="en-US"/>
        </w:rPr>
        <w:t xml:space="preserve"> 079, Comisión Europea y Comité de Polít</w:t>
      </w:r>
      <w:r>
        <w:rPr>
          <w:lang w:val="en-US"/>
        </w:rPr>
        <w:t>ica Económica (2018).</w:t>
      </w:r>
    </w:p>
  </w:footnote>
  <w:footnote w:id="27">
    <w:p w:rsidR="00C80169" w:rsidRDefault="00941F3E">
      <w:pPr>
        <w:pStyle w:val="FootnoteText"/>
      </w:pPr>
      <w:r>
        <w:rPr>
          <w:rStyle w:val="FootnoteReference"/>
        </w:rPr>
        <w:footnoteRef/>
      </w:r>
      <w:r>
        <w:t xml:space="preserve"> Un nuevo modelo de industria para Europa, adoptada el 10 de marzo de 2020 [COM(2020) 102 final].</w:t>
      </w:r>
    </w:p>
  </w:footnote>
  <w:footnote w:id="28">
    <w:p w:rsidR="00C80169" w:rsidRDefault="00941F3E">
      <w:pPr>
        <w:pStyle w:val="FootnoteText"/>
        <w:rPr>
          <w:lang w:val="en-US"/>
        </w:rPr>
      </w:pPr>
      <w:r>
        <w:rPr>
          <w:rStyle w:val="FootnoteReference"/>
        </w:rPr>
        <w:footnoteRef/>
      </w:r>
      <w:r>
        <w:rPr>
          <w:lang w:val="en-US"/>
        </w:rPr>
        <w:t xml:space="preserve"> Véase, por ejemplo, Canton, E., Thum-Thysen, A., Voigt, P. (2018) «Economists’ musings on human capital investment: How efficient is public spending on education in EU Member States?» </w:t>
      </w:r>
      <w:r>
        <w:rPr>
          <w:i/>
          <w:iCs/>
          <w:lang w:val="en-US"/>
        </w:rPr>
        <w:t>European Economy Discussion Paper</w:t>
      </w:r>
      <w:r>
        <w:rPr>
          <w:lang w:val="en-US"/>
        </w:rPr>
        <w:t xml:space="preserve"> 81: </w:t>
      </w:r>
    </w:p>
    <w:p w:rsidR="00C80169" w:rsidRDefault="00941F3E">
      <w:pPr>
        <w:pStyle w:val="FootnoteText"/>
        <w:rPr>
          <w:lang w:val="en-US"/>
        </w:rPr>
      </w:pPr>
      <w:hyperlink r:id="rId10" w:history="1">
        <w:r>
          <w:rPr>
            <w:rStyle w:val="Hyperlink"/>
            <w:lang w:val="en-US"/>
          </w:rPr>
          <w:t>https://ec.europa.eu/info/publications/economy-finance/economists-musings-human-capital-investment-how-efficient-</w:t>
        </w:r>
        <w:r>
          <w:rPr>
            <w:rStyle w:val="Hyperlink"/>
            <w:lang w:val="en-US"/>
          </w:rPr>
          <w:t>public-spending-education-eu-member-states_en</w:t>
        </w:r>
      </w:hyperlink>
      <w:r>
        <w:rPr>
          <w:lang w:val="en-US"/>
        </w:rPr>
        <w:t xml:space="preserve"> </w:t>
      </w:r>
    </w:p>
  </w:footnote>
  <w:footnote w:id="29">
    <w:p w:rsidR="00C80169" w:rsidRDefault="00941F3E">
      <w:pPr>
        <w:pStyle w:val="FootnoteText"/>
        <w:rPr>
          <w:lang w:val="en-US"/>
        </w:rPr>
      </w:pPr>
      <w:r>
        <w:rPr>
          <w:rStyle w:val="FootnoteReference"/>
        </w:rPr>
        <w:footnoteRef/>
      </w:r>
      <w:r>
        <w:rPr>
          <w:lang w:val="en-US"/>
        </w:rPr>
        <w:t xml:space="preserve"> </w:t>
      </w:r>
      <w:hyperlink r:id="rId11" w:history="1">
        <w:r>
          <w:rPr>
            <w:rStyle w:val="Hyperlink"/>
            <w:lang w:val="en-US"/>
          </w:rPr>
          <w:t>https://www.ecdc.europa.eu/en/cases-2019-ncov-eueea</w:t>
        </w:r>
      </w:hyperlink>
      <w:r>
        <w:rPr>
          <w:lang w:val="en-US"/>
        </w:rPr>
        <w:t xml:space="preserve"> </w:t>
      </w:r>
    </w:p>
  </w:footnote>
  <w:footnote w:id="30">
    <w:p w:rsidR="00C80169" w:rsidRDefault="00941F3E">
      <w:pPr>
        <w:pStyle w:val="FootnoteText"/>
      </w:pPr>
      <w:r>
        <w:rPr>
          <w:rStyle w:val="FootnoteReference"/>
        </w:rPr>
        <w:footnoteRef/>
      </w:r>
      <w:r>
        <w:t xml:space="preserve"> Este mapa muestra las regiones NUTS3. La región media NUTS3 de un país tiene una pob</w:t>
      </w:r>
      <w:r>
        <w:t>lación de entre 150 000 y 800 000 habitantes. Los datos corresponden a las proyecciones regionales de Eurostat (EUROPOP2013).</w:t>
      </w:r>
    </w:p>
    <w:p w:rsidR="00C80169" w:rsidRDefault="00C80169">
      <w:pPr>
        <w:pStyle w:val="FootnoteText"/>
      </w:pPr>
    </w:p>
  </w:footnote>
  <w:footnote w:id="31">
    <w:p w:rsidR="00C80169" w:rsidRDefault="00941F3E">
      <w:pPr>
        <w:pStyle w:val="FootnoteText"/>
      </w:pPr>
      <w:r>
        <w:rPr>
          <w:rStyle w:val="FootnoteReference"/>
        </w:rPr>
        <w:footnoteRef/>
      </w:r>
      <w:r>
        <w:t xml:space="preserve"> Para más información sobre EU4Health, véase: </w:t>
      </w:r>
      <w:hyperlink r:id="rId12" w:history="1">
        <w:r>
          <w:rPr>
            <w:rStyle w:val="Hyperlink"/>
          </w:rPr>
          <w:t>https://ec.europa</w:t>
        </w:r>
        <w:r>
          <w:rPr>
            <w:rStyle w:val="Hyperlink"/>
          </w:rPr>
          <w:t>.eu/health/funding/eu4health_es</w:t>
        </w:r>
      </w:hyperlink>
      <w:r>
        <w:t xml:space="preserve"> </w:t>
      </w:r>
    </w:p>
  </w:footnote>
  <w:footnote w:id="32">
    <w:p w:rsidR="00C80169" w:rsidRDefault="00941F3E">
      <w:pPr>
        <w:pStyle w:val="FootnoteText"/>
      </w:pPr>
      <w:r>
        <w:rPr>
          <w:rStyle w:val="FootnoteReference"/>
        </w:rPr>
        <w:footnoteRef/>
      </w:r>
      <w:r>
        <w:t xml:space="preserve"> </w:t>
      </w:r>
      <w:hyperlink r:id="rId13" w:history="1">
        <w:r>
          <w:rPr>
            <w:rStyle w:val="Hyperlink"/>
          </w:rPr>
          <w:t>https://data.consilium.europa.eu/doc/document/ST-12983-2013-INIT/en/pdf</w:t>
        </w:r>
      </w:hyperlink>
      <w:r>
        <w:t xml:space="preserve"> </w:t>
      </w:r>
    </w:p>
  </w:footnote>
  <w:footnote w:id="33">
    <w:p w:rsidR="00C80169" w:rsidRDefault="00941F3E">
      <w:pPr>
        <w:pStyle w:val="FootnoteText"/>
        <w:rPr>
          <w:lang w:val="en-US"/>
        </w:rPr>
      </w:pPr>
      <w:r>
        <w:rPr>
          <w:rStyle w:val="FootnoteReference"/>
        </w:rPr>
        <w:footnoteRef/>
      </w:r>
      <w:r>
        <w:rPr>
          <w:lang w:val="en-US"/>
        </w:rPr>
        <w:t xml:space="preserve"> «State of Health in the EU, Country Health Profiles 2019»,</w:t>
      </w:r>
      <w:r>
        <w:rPr>
          <w:lang w:val="en-US"/>
        </w:rPr>
        <w:t xml:space="preserve"> encuesta SHARE (2017).</w:t>
      </w:r>
    </w:p>
  </w:footnote>
  <w:footnote w:id="34">
    <w:p w:rsidR="00C80169" w:rsidRDefault="00941F3E">
      <w:pPr>
        <w:pStyle w:val="FootnoteText"/>
      </w:pPr>
      <w:r>
        <w:rPr>
          <w:rStyle w:val="FootnoteReference"/>
        </w:rPr>
        <w:footnoteRef/>
      </w:r>
      <w:r>
        <w:t xml:space="preserve"> Para más información, véase: </w:t>
      </w:r>
      <w:hyperlink r:id="rId14" w:history="1">
        <w:r>
          <w:rPr>
            <w:rStyle w:val="Hyperlink"/>
          </w:rPr>
          <w:t>https://ec.europa.eu/food/farm2fork_en</w:t>
        </w:r>
      </w:hyperlink>
      <w:r>
        <w:t xml:space="preserve"> </w:t>
      </w:r>
    </w:p>
  </w:footnote>
  <w:footnote w:id="35">
    <w:p w:rsidR="00C80169" w:rsidRDefault="00941F3E">
      <w:pPr>
        <w:pStyle w:val="FootnoteText"/>
      </w:pPr>
      <w:r>
        <w:rPr>
          <w:rStyle w:val="FootnoteReference"/>
        </w:rPr>
        <w:footnoteRef/>
      </w:r>
      <w:r>
        <w:t xml:space="preserve"> Esas carencias pueden deberse a distintas causas, particularmente al nivel de retribución y las condicio</w:t>
      </w:r>
      <w:r>
        <w:t>nes de trabajo.</w:t>
      </w:r>
    </w:p>
  </w:footnote>
  <w:footnote w:id="36">
    <w:p w:rsidR="00C80169" w:rsidRDefault="00941F3E">
      <w:pPr>
        <w:pStyle w:val="FootnoteText"/>
        <w:rPr>
          <w:lang w:val="en-US"/>
        </w:rPr>
      </w:pPr>
      <w:r>
        <w:rPr>
          <w:rStyle w:val="FootnoteReference"/>
        </w:rPr>
        <w:footnoteRef/>
      </w:r>
      <w:r>
        <w:rPr>
          <w:lang w:val="en-US"/>
        </w:rPr>
        <w:t xml:space="preserve"> «State of Health in the EU, Health at a glance: Europe 2018», OCDE/UE (2018), pp. 178 y 180.</w:t>
      </w:r>
    </w:p>
  </w:footnote>
  <w:footnote w:id="37">
    <w:p w:rsidR="00C80169" w:rsidRDefault="00941F3E">
      <w:pPr>
        <w:pStyle w:val="FootnoteText"/>
      </w:pPr>
      <w:r>
        <w:rPr>
          <w:rStyle w:val="FootnoteReference"/>
        </w:rPr>
        <w:footnoteRef/>
      </w:r>
      <w:r>
        <w:t xml:space="preserve"> Para más información, véase: </w:t>
      </w:r>
      <w:hyperlink r:id="rId15" w:history="1">
        <w:r>
          <w:rPr>
            <w:rStyle w:val="Hyperlink"/>
          </w:rPr>
          <w:t>https://www.oecd.org/els/health-systems/who-cares-attracting-and-retaining-elderly-care-workers-92c0ef68-en.htm</w:t>
        </w:r>
      </w:hyperlink>
      <w:r>
        <w:t xml:space="preserve"> </w:t>
      </w:r>
    </w:p>
  </w:footnote>
  <w:footnote w:id="38">
    <w:p w:rsidR="00C80169" w:rsidRDefault="00941F3E">
      <w:pPr>
        <w:pStyle w:val="FootnoteText"/>
      </w:pPr>
      <w:r>
        <w:rPr>
          <w:rStyle w:val="FootnoteReference"/>
        </w:rPr>
        <w:footnoteRef/>
      </w:r>
      <w:r>
        <w:t xml:space="preserve"> Artículo 35 de la Carta de los Derechos Fundamentales de la Unión Europea.</w:t>
      </w:r>
    </w:p>
  </w:footnote>
  <w:footnote w:id="39">
    <w:p w:rsidR="00C80169" w:rsidRDefault="00941F3E">
      <w:pPr>
        <w:pStyle w:val="FootnoteText"/>
      </w:pPr>
      <w:r>
        <w:rPr>
          <w:rStyle w:val="FootnoteReference"/>
        </w:rPr>
        <w:footnoteRef/>
      </w:r>
      <w:r>
        <w:t xml:space="preserve"> El «triple beneficio» ha recibido el apoyo de la A</w:t>
      </w:r>
      <w:r>
        <w:t xml:space="preserve">sociación Europea para la Innovación sobre un Envejecimiento Activo y Saludable. Para más información, véase: </w:t>
      </w:r>
      <w:hyperlink r:id="rId16" w:history="1">
        <w:r>
          <w:rPr>
            <w:rStyle w:val="Hyperlink"/>
          </w:rPr>
          <w:t>https://ec.europa.eu/eip/ageing/about-the-partnership_en</w:t>
        </w:r>
      </w:hyperlink>
      <w:r>
        <w:t xml:space="preserve"> </w:t>
      </w:r>
    </w:p>
  </w:footnote>
  <w:footnote w:id="40">
    <w:p w:rsidR="00C80169" w:rsidRDefault="00941F3E">
      <w:pPr>
        <w:pStyle w:val="FootnoteText"/>
      </w:pPr>
      <w:r>
        <w:rPr>
          <w:rStyle w:val="FootnoteReference"/>
        </w:rPr>
        <w:footnoteRef/>
      </w:r>
      <w:r>
        <w:t xml:space="preserve"> En el informe</w:t>
      </w:r>
      <w:r>
        <w:t xml:space="preserve"> sobre el envejecimiento (</w:t>
      </w:r>
      <w:r>
        <w:rPr>
          <w:i/>
        </w:rPr>
        <w:t>Ageing Report</w:t>
      </w:r>
      <w:r>
        <w:t xml:space="preserve">) de 2018, el coste total del envejecimiento se definía como el gasto público en pensiones, atención sanitaria, cuidados de larga duración, educación y prestaciones de desempleo. </w:t>
      </w:r>
    </w:p>
  </w:footnote>
  <w:footnote w:id="41">
    <w:p w:rsidR="00C80169" w:rsidRDefault="00941F3E">
      <w:pPr>
        <w:pStyle w:val="FootnoteText"/>
      </w:pPr>
      <w:r>
        <w:rPr>
          <w:rStyle w:val="FootnoteReference"/>
        </w:rPr>
        <w:footnoteRef/>
      </w:r>
      <w:r>
        <w:t xml:space="preserve"> Para un análisis detallado de los f</w:t>
      </w:r>
      <w:r>
        <w:t>actores que impulsan el crecimiento del gasto en atención sanitaria y cuidados de larga duración, véase: «Joint Report on Healthcare and Long-Term Care Systems and Fiscal Sustainability», Comisión Europea y Comité de Política Económica, 2016.</w:t>
      </w:r>
    </w:p>
  </w:footnote>
  <w:footnote w:id="42">
    <w:p w:rsidR="00C80169" w:rsidRDefault="00941F3E">
      <w:pPr>
        <w:pStyle w:val="FootnoteText"/>
      </w:pPr>
      <w:r>
        <w:rPr>
          <w:rStyle w:val="FootnoteReference"/>
        </w:rPr>
        <w:footnoteRef/>
      </w:r>
      <w:r>
        <w:t xml:space="preserve"> La pobreza </w:t>
      </w:r>
      <w:r>
        <w:t xml:space="preserve">en la vejez tiene dos componentes: las personas cuya renta se sitúa por debajo del 60 % de la mediana nacional, y las que no pueden permitirse al menos cuatro de diez conceptos esenciales (véase </w:t>
      </w:r>
      <w:hyperlink r:id="rId17" w:history="1">
        <w:r>
          <w:rPr>
            <w:rStyle w:val="Hyperlink"/>
          </w:rPr>
          <w:t>https://ec.europa.eu/eurostat/statistics-explained/index.php/Glossary:Material_deprivation</w:t>
        </w:r>
      </w:hyperlink>
      <w:r>
        <w:t>).</w:t>
      </w:r>
    </w:p>
  </w:footnote>
  <w:footnote w:id="43">
    <w:p w:rsidR="00C80169" w:rsidRDefault="00941F3E">
      <w:pPr>
        <w:pStyle w:val="FootnoteText"/>
      </w:pPr>
      <w:r>
        <w:rPr>
          <w:rStyle w:val="FootnoteReference"/>
        </w:rPr>
        <w:footnoteRef/>
      </w:r>
      <w:r>
        <w:t xml:space="preserve"> Para un análisis detallado de los efectos del cambio dem</w:t>
      </w:r>
      <w:r>
        <w:t>ográfico en la adecuación de las pensiones: «The 2018 Pension Adequacy Report: current and future income adequacy in old age in the EU», Comisión Europea y Comité de Protección Social, 2018.</w:t>
      </w:r>
    </w:p>
  </w:footnote>
  <w:footnote w:id="44">
    <w:p w:rsidR="00C80169" w:rsidRDefault="00941F3E">
      <w:pPr>
        <w:pStyle w:val="FootnoteText"/>
      </w:pPr>
      <w:r>
        <w:rPr>
          <w:rStyle w:val="FootnoteReference"/>
        </w:rPr>
        <w:footnoteRef/>
      </w:r>
      <w:r>
        <w:t xml:space="preserve"> En 2018, en la EU-27, trabajaban a tiempo parcial el 30,5 % de </w:t>
      </w:r>
      <w:r>
        <w:t>las mujeres y el 9,2 % de los hombres (Eurostat, EPA).</w:t>
      </w:r>
    </w:p>
  </w:footnote>
  <w:footnote w:id="45">
    <w:p w:rsidR="00C80169" w:rsidRDefault="00941F3E">
      <w:pPr>
        <w:pStyle w:val="FootnoteText"/>
      </w:pPr>
      <w:r>
        <w:rPr>
          <w:rStyle w:val="FootnoteReference"/>
        </w:rPr>
        <w:footnoteRef/>
      </w:r>
      <w:r>
        <w:t xml:space="preserve"> La proporción de contratos temporales entre las personas de entre 15 y 64 años se ha mantenido estable en los últimos años. En 2018, representaba el 12,1 % del empleo total. Entre las mujeres, la pro</w:t>
      </w:r>
      <w:r>
        <w:t>porción es ligeramente superior (13,1 %) que entre los hombres (11,2 %) (Eurostat).</w:t>
      </w:r>
    </w:p>
  </w:footnote>
  <w:footnote w:id="46">
    <w:p w:rsidR="00C80169" w:rsidRDefault="00941F3E">
      <w:pPr>
        <w:pStyle w:val="FootnoteText"/>
      </w:pPr>
      <w:r>
        <w:rPr>
          <w:rStyle w:val="FootnoteReference"/>
        </w:rPr>
        <w:footnoteRef/>
      </w:r>
      <w:r>
        <w:t xml:space="preserve"> El término «regional» alude a las unidades administrativas locales (LAU) de NUTS3.</w:t>
      </w:r>
    </w:p>
  </w:footnote>
  <w:footnote w:id="47">
    <w:p w:rsidR="00C80169" w:rsidRDefault="00941F3E">
      <w:pPr>
        <w:pStyle w:val="FootnoteText"/>
      </w:pPr>
      <w:r>
        <w:rPr>
          <w:rStyle w:val="FootnoteReference"/>
        </w:rPr>
        <w:footnoteRef/>
      </w:r>
      <w:r>
        <w:t xml:space="preserve"> COM(2020) 451 final, de 28 de mayo de 2020.</w:t>
      </w:r>
    </w:p>
  </w:footnote>
  <w:footnote w:id="48">
    <w:p w:rsidR="00C80169" w:rsidRDefault="00941F3E">
      <w:pPr>
        <w:pStyle w:val="FootnoteText"/>
      </w:pPr>
      <w:r>
        <w:rPr>
          <w:rStyle w:val="FootnoteReference"/>
        </w:rPr>
        <w:footnoteRef/>
      </w:r>
      <w:r>
        <w:t xml:space="preserve"> Este mapa muestra las regiones NUTS3. L</w:t>
      </w:r>
      <w:r>
        <w:t>a región media NUTS3 de un país tiene una población de entre 150 000 y 800 000 habitantes.</w:t>
      </w:r>
    </w:p>
  </w:footnote>
  <w:footnote w:id="49">
    <w:p w:rsidR="00C80169" w:rsidRDefault="00941F3E">
      <w:pPr>
        <w:spacing w:after="0"/>
      </w:pPr>
      <w:r>
        <w:rPr>
          <w:rStyle w:val="FootnoteReference"/>
        </w:rPr>
        <w:footnoteRef/>
      </w:r>
      <w:r>
        <w:t xml:space="preserve"> </w:t>
      </w:r>
      <w:hyperlink r:id="rId18" w:history="1">
        <w:r>
          <w:rPr>
            <w:rStyle w:val="Hyperlink"/>
            <w:rFonts w:ascii="Times New Roman" w:hAnsi="Times New Roman"/>
            <w:sz w:val="18"/>
            <w:szCs w:val="18"/>
          </w:rPr>
          <w:t>http://publications.jrc.ec.europa.eu/repository/handle/JRC120680</w:t>
        </w:r>
      </w:hyperlink>
      <w:r>
        <w:rPr>
          <w:rStyle w:val="Hyperlink"/>
          <w:rFonts w:ascii="Times New Roman" w:hAnsi="Times New Roman"/>
          <w:sz w:val="18"/>
          <w:szCs w:val="18"/>
        </w:rPr>
        <w:t xml:space="preserve"> </w:t>
      </w:r>
    </w:p>
  </w:footnote>
  <w:footnote w:id="50">
    <w:p w:rsidR="00C80169" w:rsidRDefault="00941F3E">
      <w:pPr>
        <w:pStyle w:val="FootnoteText"/>
      </w:pPr>
      <w:r>
        <w:rPr>
          <w:rStyle w:val="FootnoteReference"/>
        </w:rPr>
        <w:footnoteRef/>
      </w:r>
      <w:r>
        <w:t xml:space="preserve"> Para más información, véase: </w:t>
      </w:r>
      <w:hyperlink r:id="rId19" w:tgtFrame="_blank" w:history="1">
        <w:r>
          <w:rPr>
            <w:rStyle w:val="Hyperlink"/>
          </w:rPr>
          <w:t>https://doi.org/10.1787/b902cc00-en</w:t>
        </w:r>
      </w:hyperlink>
    </w:p>
  </w:footnote>
  <w:footnote w:id="51">
    <w:p w:rsidR="00C80169" w:rsidRDefault="00941F3E">
      <w:pPr>
        <w:pStyle w:val="FootnoteText"/>
      </w:pPr>
      <w:r>
        <w:rPr>
          <w:rStyle w:val="FootnoteReference"/>
        </w:rPr>
        <w:footnoteRef/>
      </w:r>
      <w:r>
        <w:t xml:space="preserve"> Este mapa </w:t>
      </w:r>
      <w:r>
        <w:t xml:space="preserve">muestra las regiones NUTS3. La región media NUTS3 de un país tiene una población de entre 150 000 y 800 000 habitantes. </w:t>
      </w:r>
    </w:p>
  </w:footnote>
  <w:footnote w:id="52">
    <w:p w:rsidR="00C80169" w:rsidRDefault="00941F3E">
      <w:pPr>
        <w:pStyle w:val="FootnoteText"/>
      </w:pPr>
      <w:r>
        <w:rPr>
          <w:rStyle w:val="FootnoteReference"/>
        </w:rPr>
        <w:footnoteRef/>
      </w:r>
      <w:r>
        <w:t xml:space="preserve"> Para más información, véase: </w:t>
      </w:r>
      <w:hyperlink r:id="rId20" w:history="1">
        <w:r>
          <w:rPr>
            <w:rStyle w:val="Hyperlink"/>
          </w:rPr>
          <w:t>https://ec.europa.eu/info/publ</w:t>
        </w:r>
        <w:r>
          <w:rPr>
            <w:rStyle w:val="Hyperlink"/>
          </w:rPr>
          <w:t>ications/mff-legislation_en</w:t>
        </w:r>
      </w:hyperlink>
      <w:r>
        <w:t xml:space="preserve"> </w:t>
      </w:r>
    </w:p>
  </w:footnote>
  <w:footnote w:id="53">
    <w:p w:rsidR="00C80169" w:rsidRDefault="00941F3E">
      <w:pPr>
        <w:pStyle w:val="FootnoteText"/>
      </w:pPr>
      <w:r>
        <w:rPr>
          <w:rStyle w:val="FootnoteReference"/>
        </w:rPr>
        <w:footnoteRef/>
      </w:r>
      <w:r>
        <w:t xml:space="preserve"> Para más información, véase: </w:t>
      </w:r>
      <w:hyperlink r:id="rId21" w:history="1">
        <w:r>
          <w:rPr>
            <w:rStyle w:val="Hyperlink"/>
          </w:rPr>
          <w:t>https://ec.europa.eu/regio</w:t>
        </w:r>
        <w:r>
          <w:rPr>
            <w:rStyle w:val="Hyperlink"/>
          </w:rPr>
          <w:t>nal_policy/en/information/publications/regional-focus/2018/access-to-universities-in-the-eu-a-regional-and-territorial-analysis</w:t>
        </w:r>
      </w:hyperlink>
      <w:r>
        <w:t xml:space="preserve"> </w:t>
      </w:r>
    </w:p>
  </w:footnote>
  <w:footnote w:id="54">
    <w:p w:rsidR="00C80169" w:rsidRDefault="00941F3E">
      <w:pPr>
        <w:pStyle w:val="FootnoteText"/>
      </w:pPr>
      <w:r>
        <w:rPr>
          <w:rStyle w:val="FootnoteReference"/>
        </w:rPr>
        <w:footnoteRef/>
      </w:r>
      <w:r>
        <w:t xml:space="preserve"> Para más información, véase: </w:t>
      </w:r>
      <w:hyperlink r:id="rId22" w:anchor="the-chapter" w:history="1">
        <w:r>
          <w:rPr>
            <w:rStyle w:val="Hyperlink"/>
          </w:rPr>
          <w:t>https:/</w:t>
        </w:r>
        <w:r>
          <w:rPr>
            <w:rStyle w:val="Hyperlink"/>
          </w:rPr>
          <w:t>/urban.jrc.ec.europa.eu/thefutureofcities/ageing#the-chapter</w:t>
        </w:r>
      </w:hyperlink>
    </w:p>
  </w:footnote>
  <w:footnote w:id="55">
    <w:p w:rsidR="00C80169" w:rsidRDefault="00941F3E">
      <w:pPr>
        <w:pStyle w:val="FootnoteText"/>
        <w:rPr>
          <w:lang w:val="en-US"/>
        </w:rPr>
      </w:pPr>
      <w:r>
        <w:rPr>
          <w:rStyle w:val="FootnoteReference"/>
        </w:rPr>
        <w:footnoteRef/>
      </w:r>
      <w:r>
        <w:rPr>
          <w:lang w:val="en-US"/>
        </w:rPr>
        <w:t xml:space="preserve"> «Forest fires — Sparking fire smart policies in the EU», Comisión Europea (2018). </w:t>
      </w:r>
    </w:p>
  </w:footnote>
  <w:footnote w:id="56">
    <w:p w:rsidR="00C80169" w:rsidRDefault="00941F3E">
      <w:pPr>
        <w:pStyle w:val="FootnoteText"/>
        <w:rPr>
          <w:lang w:val="en-US"/>
        </w:rPr>
      </w:pPr>
      <w:r>
        <w:rPr>
          <w:rStyle w:val="FootnoteReference"/>
        </w:rPr>
        <w:footnoteRef/>
      </w:r>
      <w:r>
        <w:rPr>
          <w:lang w:val="en-US"/>
        </w:rPr>
        <w:t xml:space="preserve"> OCDE, 2018. «Policy note Rural 3.0 – a framework for rural development». </w:t>
      </w:r>
    </w:p>
    <w:p w:rsidR="00C80169" w:rsidRDefault="00941F3E">
      <w:pPr>
        <w:pStyle w:val="FootnoteText"/>
        <w:rPr>
          <w:lang w:val="en-US"/>
        </w:rPr>
      </w:pPr>
      <w:hyperlink r:id="rId23" w:history="1">
        <w:r>
          <w:rPr>
            <w:rStyle w:val="Hyperlink"/>
            <w:lang w:val="en-US"/>
          </w:rPr>
          <w:t>https://www.oecd.org/cfe/regional-policy/Rural-3.0-Policy-Note.pdf</w:t>
        </w:r>
      </w:hyperlink>
      <w:r>
        <w:rPr>
          <w:lang w:val="en-US"/>
        </w:rPr>
        <w:t xml:space="preserve"> </w:t>
      </w:r>
    </w:p>
  </w:footnote>
  <w:footnote w:id="57">
    <w:p w:rsidR="00C80169" w:rsidRDefault="00941F3E">
      <w:pPr>
        <w:pStyle w:val="FootnoteText"/>
        <w:rPr>
          <w:lang w:val="en-US"/>
        </w:rPr>
      </w:pPr>
      <w:r>
        <w:rPr>
          <w:rStyle w:val="FootnoteReference"/>
        </w:rPr>
        <w:footnoteRef/>
      </w:r>
      <w:r>
        <w:rPr>
          <w:lang w:val="en-US"/>
        </w:rPr>
        <w:t xml:space="preserve"> </w:t>
      </w:r>
      <w:hyperlink r:id="rId24" w:history="1">
        <w:r>
          <w:rPr>
            <w:rStyle w:val="Hyperlink"/>
            <w:lang w:val="en-US"/>
          </w:rPr>
          <w:t>https://ec.europa.eu/regional_policy/en/information/publications/regional-focus/2008/remote-rural-regions-how-proximity-to-a-city-influences-the-performance-of-rural-regions</w:t>
        </w:r>
      </w:hyperlink>
      <w:r>
        <w:rPr>
          <w:lang w:val="en-US"/>
        </w:rPr>
        <w:t xml:space="preserve"> </w:t>
      </w:r>
    </w:p>
  </w:footnote>
  <w:footnote w:id="58">
    <w:p w:rsidR="00C80169" w:rsidRDefault="00941F3E">
      <w:pPr>
        <w:pStyle w:val="FootnoteText"/>
      </w:pPr>
      <w:r>
        <w:rPr>
          <w:rStyle w:val="FootnoteReference"/>
        </w:rPr>
        <w:footnoteRef/>
      </w:r>
      <w:r>
        <w:t xml:space="preserve"> Para más información, véase: </w:t>
      </w:r>
      <w:hyperlink r:id="rId25" w:history="1">
        <w:r>
          <w:rPr>
            <w:rStyle w:val="Hyperlink"/>
          </w:rPr>
          <w:t>http://www.fao.org/global-perspectives-studies/es</w:t>
        </w:r>
      </w:hyperlink>
      <w:r>
        <w:t xml:space="preserve"> </w:t>
      </w:r>
    </w:p>
  </w:footnote>
  <w:footnote w:id="59">
    <w:p w:rsidR="00C80169" w:rsidRDefault="00941F3E">
      <w:pPr>
        <w:pStyle w:val="FootnoteText"/>
      </w:pPr>
      <w:r>
        <w:rPr>
          <w:rStyle w:val="FootnoteReference"/>
        </w:rPr>
        <w:footnoteRef/>
      </w:r>
      <w:r>
        <w:t xml:space="preserve"> Para más información, véase: </w:t>
      </w:r>
      <w:hyperlink r:id="rId26" w:history="1">
        <w:r>
          <w:rPr>
            <w:rStyle w:val="Hyperlink"/>
          </w:rPr>
          <w:t>https://ec.europa.eu/info/strategy/priorities-2019-2024/european-green-deal_es</w:t>
        </w:r>
      </w:hyperlink>
      <w:r>
        <w:rPr>
          <w:color w:val="1F497D"/>
        </w:rPr>
        <w:t xml:space="preserve"> </w:t>
      </w:r>
    </w:p>
  </w:footnote>
  <w:footnote w:id="60">
    <w:p w:rsidR="00C80169" w:rsidRDefault="00941F3E">
      <w:pPr>
        <w:pStyle w:val="FootnoteText"/>
      </w:pPr>
      <w:r>
        <w:rPr>
          <w:rStyle w:val="FootnoteReference"/>
        </w:rPr>
        <w:footnoteRef/>
      </w:r>
      <w:r>
        <w:t xml:space="preserve"> Para más información, véase: </w:t>
      </w:r>
      <w:hyperlink r:id="rId27" w:history="1">
        <w:r>
          <w:rPr>
            <w:rStyle w:val="Hyperlink"/>
          </w:rPr>
          <w:t>https://news.un.org/en/story/2019/07/1043551</w:t>
        </w:r>
      </w:hyperlink>
      <w:r>
        <w:t xml:space="preserve"> </w:t>
      </w:r>
    </w:p>
  </w:footnote>
  <w:footnote w:id="61">
    <w:p w:rsidR="00C80169" w:rsidRDefault="00941F3E">
      <w:pPr>
        <w:pStyle w:val="FootnoteText"/>
      </w:pPr>
      <w:r>
        <w:rPr>
          <w:rStyle w:val="FootnoteReference"/>
        </w:rPr>
        <w:footnoteRef/>
      </w:r>
      <w:r>
        <w:t xml:space="preserve"> Para más informaci</w:t>
      </w:r>
      <w:r>
        <w:t xml:space="preserve">ón, véase: </w:t>
      </w:r>
      <w:hyperlink r:id="rId28" w:history="1">
        <w:r>
          <w:rPr>
            <w:rStyle w:val="Hyperlink"/>
          </w:rPr>
          <w:t>https://openknowledge.worldbank.org/handle/10986/29461</w:t>
        </w:r>
      </w:hyperlink>
      <w:r>
        <w:t xml:space="preserve"> </w:t>
      </w:r>
    </w:p>
  </w:footnote>
  <w:footnote w:id="62">
    <w:p w:rsidR="00C80169" w:rsidRDefault="00941F3E">
      <w:pPr>
        <w:pStyle w:val="FootnoteText"/>
      </w:pPr>
      <w:r>
        <w:rPr>
          <w:rStyle w:val="FootnoteReference"/>
        </w:rPr>
        <w:footnoteRef/>
      </w:r>
      <w:r>
        <w:t xml:space="preserve"> Para más información sobre la revisión de las Perspectivas de la Población Mundial 2019, véase: </w:t>
      </w:r>
      <w:hyperlink r:id="rId29" w:history="1">
        <w:r>
          <w:rPr>
            <w:rStyle w:val="Hyperlink"/>
          </w:rPr>
          <w:t>https://population.un.org/wpp/</w:t>
        </w:r>
      </w:hyperlink>
    </w:p>
    <w:p w:rsidR="00C80169" w:rsidRDefault="00C80169">
      <w:pPr>
        <w:pStyle w:val="FootnoteText"/>
      </w:pPr>
    </w:p>
  </w:footnote>
  <w:footnote w:id="63">
    <w:p w:rsidR="00C80169" w:rsidRDefault="00941F3E">
      <w:pPr>
        <w:pStyle w:val="FootnoteText"/>
      </w:pPr>
      <w:r>
        <w:rPr>
          <w:rStyle w:val="FootnoteReference"/>
        </w:rPr>
        <w:footnoteRef/>
      </w:r>
      <w:r>
        <w:t xml:space="preserve"> Fuente: Banco Mundial, datos del PIB en PPA (paridad de poder adquisitivo) procedentes de la base de datos Indicadores del Desarrollo Mundial.</w:t>
      </w:r>
    </w:p>
  </w:footnote>
  <w:footnote w:id="64">
    <w:p w:rsidR="00C80169" w:rsidRDefault="00941F3E">
      <w:pPr>
        <w:pStyle w:val="FootnoteText"/>
      </w:pPr>
      <w:r>
        <w:rPr>
          <w:rStyle w:val="FootnoteReference"/>
        </w:rPr>
        <w:footnoteRef/>
      </w:r>
      <w:r>
        <w:t xml:space="preserve"> JOIN(2020) 4 final, de 9 de marzo de 2020.</w:t>
      </w:r>
    </w:p>
  </w:footnote>
  <w:footnote w:id="65">
    <w:p w:rsidR="00C80169" w:rsidRDefault="00941F3E">
      <w:r>
        <w:rPr>
          <w:rStyle w:val="FootnoteReference"/>
        </w:rPr>
        <w:footnoteRef/>
      </w:r>
      <w:r>
        <w:rPr>
          <w:rFonts w:ascii="Times New Roman" w:hAnsi="Times New Roman"/>
          <w:sz w:val="18"/>
          <w:szCs w:val="18"/>
        </w:rPr>
        <w:t xml:space="preserve"> </w:t>
      </w:r>
      <w:hyperlink r:id="rId30" w:history="1">
        <w:r>
          <w:rPr>
            <w:rStyle w:val="Hyperlink"/>
            <w:rFonts w:ascii="Times New Roman" w:hAnsi="Times New Roman"/>
            <w:sz w:val="18"/>
            <w:szCs w:val="18"/>
          </w:rPr>
          <w:t>https://ec.europa.eu/regional_policy/en/information/publications/working-papers/2018/the-geography-of-eu-discontent</w:t>
        </w:r>
      </w:hyperlink>
      <w:r>
        <w:rPr>
          <w:rFonts w:ascii="Times New Roman" w:hAnsi="Times New Roman"/>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0169" w:rsidRDefault="00C801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0169" w:rsidRDefault="00C8016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0169" w:rsidRDefault="00C8016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0169" w:rsidRDefault="00C8016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0169" w:rsidRDefault="00C8016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0169" w:rsidRDefault="00C801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0F7"/>
    <w:multiLevelType w:val="multilevel"/>
    <w:tmpl w:val="D486AEAC"/>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EFB7115"/>
    <w:multiLevelType w:val="multilevel"/>
    <w:tmpl w:val="9AE2513C"/>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111D315F"/>
    <w:multiLevelType w:val="hybridMultilevel"/>
    <w:tmpl w:val="D9D2F188"/>
    <w:lvl w:ilvl="0" w:tplc="0809000F">
      <w:start w:val="4"/>
      <w:numFmt w:val="decimal"/>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20B7201"/>
    <w:multiLevelType w:val="multilevel"/>
    <w:tmpl w:val="76D0A3B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62685D"/>
    <w:multiLevelType w:val="multilevel"/>
    <w:tmpl w:val="C068DFE4"/>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43D0A16"/>
    <w:multiLevelType w:val="multilevel"/>
    <w:tmpl w:val="C346FAF0"/>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72F0AC5"/>
    <w:multiLevelType w:val="multilevel"/>
    <w:tmpl w:val="E94A4A3C"/>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C7B624F"/>
    <w:multiLevelType w:val="multilevel"/>
    <w:tmpl w:val="9D506B74"/>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2C8DFDF8"/>
    <w:multiLevelType w:val="multilevel"/>
    <w:tmpl w:val="886C261E"/>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D293CE3"/>
    <w:multiLevelType w:val="multilevel"/>
    <w:tmpl w:val="256E4D42"/>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36324F1E"/>
    <w:multiLevelType w:val="multilevel"/>
    <w:tmpl w:val="68AE4384"/>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37CB1E1C"/>
    <w:multiLevelType w:val="multilevel"/>
    <w:tmpl w:val="B604571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A7730C4"/>
    <w:multiLevelType w:val="multilevel"/>
    <w:tmpl w:val="D6FC2BB4"/>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429E662A"/>
    <w:multiLevelType w:val="multilevel"/>
    <w:tmpl w:val="2D4C222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4E1A982C"/>
    <w:multiLevelType w:val="multilevel"/>
    <w:tmpl w:val="DC1A72AE"/>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5072619B"/>
    <w:multiLevelType w:val="multilevel"/>
    <w:tmpl w:val="7F3CB8D2"/>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53A234F1"/>
    <w:multiLevelType w:val="hybridMultilevel"/>
    <w:tmpl w:val="718EAD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6977472E"/>
    <w:multiLevelType w:val="multilevel"/>
    <w:tmpl w:val="FCB42ACE"/>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7B0D7648"/>
    <w:multiLevelType w:val="hybridMultilevel"/>
    <w:tmpl w:val="F2624902"/>
    <w:lvl w:ilvl="0" w:tplc="08090019">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9" w15:restartNumberingAfterBreak="0">
    <w:nsid w:val="7C65145E"/>
    <w:multiLevelType w:val="multilevel"/>
    <w:tmpl w:val="2BF24F5C"/>
    <w:name w:val="EurolookHeading"/>
    <w:lvl w:ilvl="0">
      <w:start w:val="1"/>
      <w:numFmt w:val="decimal"/>
      <w:pStyle w:val="Heading1"/>
      <w:lvlText w:val="%1."/>
      <w:lvlJc w:val="left"/>
      <w:pPr>
        <w:tabs>
          <w:tab w:val="num" w:pos="624"/>
        </w:tabs>
        <w:ind w:left="624" w:hanging="482"/>
      </w:pPr>
      <w:rPr>
        <w:color w:val="auto"/>
        <w:sz w:val="28"/>
      </w:rPr>
    </w:lvl>
    <w:lvl w:ilvl="1">
      <w:start w:val="1"/>
      <w:numFmt w:val="decimal"/>
      <w:lvlText w:val="%1.%2."/>
      <w:lvlJc w:val="left"/>
      <w:pPr>
        <w:tabs>
          <w:tab w:val="num" w:pos="1202"/>
        </w:tabs>
        <w:ind w:left="1202" w:hanging="720"/>
      </w:pPr>
    </w:lvl>
    <w:lvl w:ilvl="2">
      <w:start w:val="1"/>
      <w:numFmt w:val="decimal"/>
      <w:lvlText w:val="%1.%2.%3."/>
      <w:lvlJc w:val="left"/>
      <w:pPr>
        <w:tabs>
          <w:tab w:val="num" w:pos="1922"/>
        </w:tabs>
        <w:ind w:left="1922" w:hanging="720"/>
      </w:pPr>
    </w:lvl>
    <w:lvl w:ilvl="3">
      <w:start w:val="1"/>
      <w:numFmt w:val="decimal"/>
      <w:pStyle w:val="Heading4"/>
      <w:lvlText w:val="%1.%2.%3.%4."/>
      <w:lvlJc w:val="left"/>
      <w:pPr>
        <w:tabs>
          <w:tab w:val="num" w:pos="1922"/>
        </w:tabs>
        <w:ind w:left="1922" w:hanging="720"/>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20"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0"/>
  </w:num>
  <w:num w:numId="2">
    <w:abstractNumId w:val="10"/>
  </w:num>
  <w:num w:numId="3">
    <w:abstractNumId w:val="7"/>
  </w:num>
  <w:num w:numId="4">
    <w:abstractNumId w:val="11"/>
  </w:num>
  <w:num w:numId="5">
    <w:abstractNumId w:val="15"/>
  </w:num>
  <w:num w:numId="6">
    <w:abstractNumId w:val="17"/>
  </w:num>
  <w:num w:numId="7">
    <w:abstractNumId w:val="1"/>
  </w:num>
  <w:num w:numId="8">
    <w:abstractNumId w:val="6"/>
  </w:num>
  <w:num w:numId="9">
    <w:abstractNumId w:val="13"/>
  </w:num>
  <w:num w:numId="10">
    <w:abstractNumId w:val="3"/>
  </w:num>
  <w:num w:numId="11">
    <w:abstractNumId w:val="4"/>
  </w:num>
  <w:num w:numId="12">
    <w:abstractNumId w:val="5"/>
  </w:num>
  <w:num w:numId="13">
    <w:abstractNumId w:val="8"/>
  </w:num>
  <w:num w:numId="14">
    <w:abstractNumId w:val="12"/>
  </w:num>
  <w:num w:numId="15">
    <w:abstractNumId w:val="14"/>
  </w:num>
  <w:num w:numId="16">
    <w:abstractNumId w:val="19"/>
  </w:num>
  <w:num w:numId="17">
    <w:abstractNumId w:val="9"/>
  </w:num>
  <w:num w:numId="18">
    <w:abstractNumId w:val="20"/>
  </w:num>
  <w:num w:numId="19">
    <w:abstractNumId w:val="2"/>
  </w:num>
  <w:num w:numId="20">
    <w:abstractNumId w:val="16"/>
  </w:num>
  <w:num w:numId="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0"/>
  <w:removePersonalInformation/>
  <w:removeDateAndTime/>
  <w:hideSpellingErrors/>
  <w:hideGrammaticalErrors/>
  <w:defaultTabStop w:val="720"/>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7E2879FB-CD3B-4564-8434-C5D1C6D67566"/>
    <w:docVar w:name="LW_COVERPAGE_TYPE" w:val="1"/>
    <w:docVar w:name="LW_CROSSREFERENCE" w:val="{SWD(2020) 109 final}"/>
    <w:docVar w:name="LW_DocType" w:val="NORMAL"/>
    <w:docVar w:name="LW_EMISSION" w:val="17.6.2020"/>
    <w:docVar w:name="LW_EMISSION_ISODATE" w:val="2020-06-17"/>
    <w:docVar w:name="LW_EMISSION_LOCATION" w:val="BRX"/>
    <w:docVar w:name="LW_EMISSION_PREFIX" w:val="Bruselas, "/>
    <w:docVar w:name="LW_EMISSION_SUFFIX" w:val=" "/>
    <w:docVar w:name="LW_ID_DOCTYPE_NONLW" w:val="CP-008"/>
    <w:docVar w:name="LW_LANGUE" w:val="ES"/>
    <w:docVar w:name="LW_LEVEL_OF_SENSITIVITY" w:val="Standard treatment"/>
    <w:docVar w:name="LW_NOM.INST" w:val="COMISIÓN EUROPEA"/>
    <w:docVar w:name="LW_NOM.INST_JOINTDOC" w:val="&lt;EMPTY&gt;"/>
    <w:docVar w:name="LW_PART_NBR" w:val="1"/>
    <w:docVar w:name="LW_PART_NBR_TOTAL" w:val="1"/>
    <w:docVar w:name="LW_REF.INST.NEW" w:val="COM"/>
    <w:docVar w:name="LW_REF.INST.NEW_ADOPTED" w:val="final"/>
    <w:docVar w:name="LW_REF.INST.NEW_TEXT" w:val="(2020) 24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obre los efectos del cambio demográfico"/>
    <w:docVar w:name="LW_TYPE.DOC.CP" w:val="INFORME DE LA COMISIÓN AL PARLAMENTO EUROPEO, AL CONSEJO, AL COMITÉ ECONÓMICO Y SOCIAL EUROPEO Y AL COMITÉ DE LAS REGIONES"/>
  </w:docVars>
  <w:rsids>
    <w:rsidRoot w:val="00C80169"/>
    <w:rsid w:val="00941F3E"/>
    <w:rsid w:val="00C801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0" w:qFormat="1"/>
    <w:lsdException w:name="heading 2" w:semiHidden="1" w:uiPriority="90" w:unhideWhenUsed="1" w:qFormat="1"/>
    <w:lsdException w:name="heading 3" w:semiHidden="1" w:uiPriority="90" w:unhideWhenUsed="1" w:qFormat="1"/>
    <w:lsdException w:name="heading 4" w:semiHidden="1" w:uiPriority="9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iPriority="90" w:unhideWhenUsed="1" w:qFormat="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Text1"/>
    <w:link w:val="Heading1Char"/>
    <w:uiPriority w:val="90"/>
    <w:qFormat/>
    <w:pPr>
      <w:keepNext/>
      <w:numPr>
        <w:numId w:val="16"/>
      </w:numPr>
      <w:spacing w:before="240" w:after="240" w:line="240" w:lineRule="auto"/>
      <w:jc w:val="both"/>
      <w:outlineLvl w:val="0"/>
    </w:pPr>
    <w:rPr>
      <w:rFonts w:ascii="Times New Roman" w:eastAsia="Times New Roman" w:hAnsi="Times New Roman" w:cs="Times New Roman"/>
      <w:b/>
      <w:smallCaps/>
      <w:sz w:val="24"/>
      <w:szCs w:val="20"/>
      <w:lang w:eastAsia="en-GB"/>
    </w:rPr>
  </w:style>
  <w:style w:type="paragraph" w:styleId="Heading2">
    <w:name w:val="heading 2"/>
    <w:basedOn w:val="Normal"/>
    <w:next w:val="Text2"/>
    <w:link w:val="Heading2Char"/>
    <w:uiPriority w:val="90"/>
    <w:qFormat/>
    <w:pPr>
      <w:jc w:val="both"/>
      <w:outlineLvl w:val="1"/>
    </w:pPr>
    <w:rPr>
      <w:rFonts w:ascii="Times New Roman" w:hAnsi="Times New Roman" w:cs="Times New Roman"/>
      <w:b/>
      <w:sz w:val="24"/>
      <w:szCs w:val="24"/>
    </w:rPr>
  </w:style>
  <w:style w:type="paragraph" w:styleId="Heading3">
    <w:name w:val="heading 3"/>
    <w:basedOn w:val="Normal"/>
    <w:next w:val="Text3"/>
    <w:link w:val="Heading3Char"/>
    <w:uiPriority w:val="90"/>
    <w:qFormat/>
    <w:pPr>
      <w:jc w:val="both"/>
      <w:outlineLvl w:val="2"/>
    </w:pPr>
    <w:rPr>
      <w:rFonts w:ascii="Times New Roman" w:hAnsi="Times New Roman" w:cs="Times New Roman"/>
      <w:b/>
      <w:sz w:val="24"/>
      <w:szCs w:val="24"/>
    </w:rPr>
  </w:style>
  <w:style w:type="paragraph" w:styleId="Heading4">
    <w:name w:val="heading 4"/>
    <w:basedOn w:val="Normal"/>
    <w:next w:val="Text4"/>
    <w:link w:val="Heading4Char"/>
    <w:uiPriority w:val="90"/>
    <w:qFormat/>
    <w:pPr>
      <w:keepNext/>
      <w:numPr>
        <w:ilvl w:val="3"/>
        <w:numId w:val="16"/>
      </w:numPr>
      <w:spacing w:after="240" w:line="240" w:lineRule="auto"/>
      <w:jc w:val="both"/>
      <w:outlineLvl w:val="3"/>
    </w:pPr>
    <w:rPr>
      <w:rFonts w:ascii="Times New Roman" w:eastAsia="Times New Roman" w:hAnsi="Times New Roman" w:cs="Times New Roman"/>
      <w:sz w:val="24"/>
      <w:szCs w:val="20"/>
      <w:lang w:eastAsia="en-GB"/>
    </w:rPr>
  </w:style>
  <w:style w:type="paragraph" w:styleId="Heading5">
    <w:name w:val="heading 5"/>
    <w:basedOn w:val="Normal"/>
    <w:next w:val="Normal"/>
    <w:link w:val="Heading5Char"/>
    <w:semiHidden/>
    <w:pPr>
      <w:keepNext/>
      <w:numPr>
        <w:ilvl w:val="4"/>
        <w:numId w:val="16"/>
      </w:numPr>
      <w:spacing w:after="240" w:line="240" w:lineRule="auto"/>
      <w:jc w:val="both"/>
      <w:outlineLvl w:val="4"/>
    </w:pPr>
    <w:rPr>
      <w:rFonts w:ascii="Times New Roman" w:eastAsia="Times New Roman" w:hAnsi="Times New Roman" w:cs="Times New Roman"/>
      <w:sz w:val="24"/>
      <w:szCs w:val="20"/>
      <w:lang w:eastAsia="en-GB"/>
    </w:rPr>
  </w:style>
  <w:style w:type="paragraph" w:styleId="Heading6">
    <w:name w:val="heading 6"/>
    <w:basedOn w:val="Normal"/>
    <w:next w:val="Normal"/>
    <w:link w:val="Heading6Char"/>
    <w:semiHidden/>
    <w:pPr>
      <w:keepNext/>
      <w:numPr>
        <w:ilvl w:val="5"/>
        <w:numId w:val="16"/>
      </w:numPr>
      <w:spacing w:after="240" w:line="240" w:lineRule="auto"/>
      <w:jc w:val="both"/>
      <w:outlineLvl w:val="5"/>
    </w:pPr>
    <w:rPr>
      <w:rFonts w:ascii="Times New Roman" w:eastAsia="Times New Roman" w:hAnsi="Times New Roman" w:cs="Times New Roman"/>
      <w:sz w:val="24"/>
      <w:szCs w:val="20"/>
      <w:lang w:eastAsia="en-GB"/>
    </w:rPr>
  </w:style>
  <w:style w:type="paragraph" w:styleId="Heading7">
    <w:name w:val="heading 7"/>
    <w:basedOn w:val="Normal"/>
    <w:next w:val="Normal"/>
    <w:link w:val="Heading7Char"/>
    <w:semiHidden/>
    <w:pPr>
      <w:keepNext/>
      <w:numPr>
        <w:ilvl w:val="6"/>
        <w:numId w:val="16"/>
      </w:numPr>
      <w:spacing w:after="240" w:line="240" w:lineRule="auto"/>
      <w:jc w:val="both"/>
      <w:outlineLvl w:val="6"/>
    </w:pPr>
    <w:rPr>
      <w:rFonts w:ascii="Times New Roman" w:eastAsia="Times New Roman" w:hAnsi="Times New Roman" w:cs="Times New Roman"/>
      <w:sz w:val="24"/>
      <w:szCs w:val="20"/>
      <w:lang w:eastAsia="en-GB"/>
    </w:rPr>
  </w:style>
  <w:style w:type="paragraph" w:styleId="Heading8">
    <w:name w:val="heading 8"/>
    <w:basedOn w:val="Normal"/>
    <w:next w:val="Normal"/>
    <w:link w:val="Heading8Char"/>
    <w:semiHidden/>
    <w:pPr>
      <w:keepNext/>
      <w:numPr>
        <w:ilvl w:val="7"/>
        <w:numId w:val="16"/>
      </w:numPr>
      <w:spacing w:after="240" w:line="240" w:lineRule="auto"/>
      <w:jc w:val="both"/>
      <w:outlineLvl w:val="7"/>
    </w:pPr>
    <w:rPr>
      <w:rFonts w:ascii="Times New Roman" w:eastAsia="Times New Roman" w:hAnsi="Times New Roman" w:cs="Times New Roman"/>
      <w:sz w:val="24"/>
      <w:szCs w:val="20"/>
      <w:lang w:eastAsia="en-GB"/>
    </w:rPr>
  </w:style>
  <w:style w:type="paragraph" w:styleId="Heading9">
    <w:name w:val="heading 9"/>
    <w:basedOn w:val="Normal"/>
    <w:next w:val="Normal"/>
    <w:link w:val="Heading9Char"/>
    <w:semiHidden/>
    <w:pPr>
      <w:keepNext/>
      <w:numPr>
        <w:ilvl w:val="8"/>
        <w:numId w:val="16"/>
      </w:numPr>
      <w:spacing w:after="240" w:line="240" w:lineRule="auto"/>
      <w:jc w:val="both"/>
      <w:outlineLvl w:val="8"/>
    </w:pPr>
    <w:rPr>
      <w:rFonts w:ascii="Times New Roman" w:eastAsia="Times New Roman" w:hAnsi="Times New Roman" w:cs="Times New Roman"/>
      <w:sz w:val="24"/>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customStyle="1" w:styleId="Heading1Char">
    <w:name w:val="Heading 1 Char"/>
    <w:basedOn w:val="DefaultParagraphFont"/>
    <w:link w:val="Heading1"/>
    <w:uiPriority w:val="90"/>
    <w:rPr>
      <w:rFonts w:ascii="Times New Roman" w:eastAsia="Times New Roman" w:hAnsi="Times New Roman" w:cs="Times New Roman"/>
      <w:b/>
      <w:smallCaps/>
      <w:sz w:val="24"/>
      <w:szCs w:val="20"/>
      <w:lang w:eastAsia="en-GB"/>
    </w:rPr>
  </w:style>
  <w:style w:type="character" w:customStyle="1" w:styleId="Heading2Char">
    <w:name w:val="Heading 2 Char"/>
    <w:basedOn w:val="DefaultParagraphFont"/>
    <w:link w:val="Heading2"/>
    <w:uiPriority w:val="90"/>
    <w:rPr>
      <w:rFonts w:ascii="Times New Roman" w:hAnsi="Times New Roman" w:cs="Times New Roman"/>
      <w:b/>
      <w:sz w:val="24"/>
      <w:szCs w:val="24"/>
      <w:lang w:val="es-ES"/>
    </w:rPr>
  </w:style>
  <w:style w:type="character" w:customStyle="1" w:styleId="Heading3Char">
    <w:name w:val="Heading 3 Char"/>
    <w:basedOn w:val="DefaultParagraphFont"/>
    <w:link w:val="Heading3"/>
    <w:uiPriority w:val="90"/>
    <w:rPr>
      <w:rFonts w:ascii="Times New Roman" w:hAnsi="Times New Roman" w:cs="Times New Roman"/>
      <w:b/>
      <w:sz w:val="24"/>
      <w:szCs w:val="24"/>
    </w:rPr>
  </w:style>
  <w:style w:type="character" w:customStyle="1" w:styleId="Heading4Char">
    <w:name w:val="Heading 4 Char"/>
    <w:basedOn w:val="DefaultParagraphFont"/>
    <w:link w:val="Heading4"/>
    <w:uiPriority w:val="90"/>
    <w:rPr>
      <w:rFonts w:ascii="Times New Roman" w:eastAsia="Times New Roman" w:hAnsi="Times New Roman" w:cs="Times New Roman"/>
      <w:sz w:val="24"/>
      <w:szCs w:val="20"/>
      <w:lang w:eastAsia="en-GB"/>
    </w:rPr>
  </w:style>
  <w:style w:type="character" w:customStyle="1" w:styleId="Heading5Char">
    <w:name w:val="Heading 5 Char"/>
    <w:basedOn w:val="DefaultParagraphFont"/>
    <w:link w:val="Heading5"/>
    <w:semiHidden/>
    <w:rPr>
      <w:rFonts w:ascii="Times New Roman" w:eastAsia="Times New Roman" w:hAnsi="Times New Roman" w:cs="Times New Roman"/>
      <w:sz w:val="24"/>
      <w:szCs w:val="20"/>
      <w:lang w:eastAsia="en-GB"/>
    </w:rPr>
  </w:style>
  <w:style w:type="character" w:customStyle="1" w:styleId="Heading6Char">
    <w:name w:val="Heading 6 Char"/>
    <w:basedOn w:val="DefaultParagraphFont"/>
    <w:link w:val="Heading6"/>
    <w:semiHidden/>
    <w:rPr>
      <w:rFonts w:ascii="Times New Roman" w:eastAsia="Times New Roman" w:hAnsi="Times New Roman" w:cs="Times New Roman"/>
      <w:sz w:val="24"/>
      <w:szCs w:val="20"/>
      <w:lang w:eastAsia="en-GB"/>
    </w:rPr>
  </w:style>
  <w:style w:type="character" w:customStyle="1" w:styleId="Heading7Char">
    <w:name w:val="Heading 7 Char"/>
    <w:basedOn w:val="DefaultParagraphFont"/>
    <w:link w:val="Heading7"/>
    <w:semiHidden/>
    <w:rPr>
      <w:rFonts w:ascii="Times New Roman" w:eastAsia="Times New Roman" w:hAnsi="Times New Roman" w:cs="Times New Roman"/>
      <w:sz w:val="24"/>
      <w:szCs w:val="20"/>
      <w:lang w:eastAsia="en-GB"/>
    </w:rPr>
  </w:style>
  <w:style w:type="character" w:customStyle="1" w:styleId="Heading8Char">
    <w:name w:val="Heading 8 Char"/>
    <w:basedOn w:val="DefaultParagraphFont"/>
    <w:link w:val="Heading8"/>
    <w:semiHidden/>
    <w:rPr>
      <w:rFonts w:ascii="Times New Roman" w:eastAsia="Times New Roman" w:hAnsi="Times New Roman" w:cs="Times New Roman"/>
      <w:sz w:val="24"/>
      <w:szCs w:val="20"/>
      <w:lang w:eastAsia="en-GB"/>
    </w:rPr>
  </w:style>
  <w:style w:type="character" w:customStyle="1" w:styleId="Heading9Char">
    <w:name w:val="Heading 9 Char"/>
    <w:basedOn w:val="DefaultParagraphFont"/>
    <w:link w:val="Heading9"/>
    <w:semiHidden/>
    <w:rPr>
      <w:rFonts w:ascii="Times New Roman" w:eastAsia="Times New Roman" w:hAnsi="Times New Roman" w:cs="Times New Roman"/>
      <w:sz w:val="24"/>
      <w:szCs w:val="20"/>
      <w:lang w:eastAsia="en-GB"/>
    </w:rPr>
  </w:style>
  <w:style w:type="character" w:styleId="PlaceholderText">
    <w:name w:val="Placeholder Text"/>
    <w:basedOn w:val="DefaultParagraphFont"/>
    <w:uiPriority w:val="99"/>
    <w:semiHidden/>
    <w:rPr>
      <w:color w:val="288061"/>
    </w:rPr>
  </w:style>
  <w:style w:type="character" w:customStyle="1" w:styleId="BodyPlaceholderText">
    <w:name w:val="BodyPlaceholderText"/>
    <w:basedOn w:val="PlaceholderText"/>
    <w:uiPriority w:val="1"/>
    <w:semiHidden/>
    <w:rPr>
      <w:color w:val="3366CC"/>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customStyle="1" w:styleId="CrossReference">
    <w:name w:val="Cross Reference"/>
    <w:basedOn w:val="DefaultParagraphFont"/>
    <w:uiPriority w:val="99"/>
    <w:rPr>
      <w:i/>
    </w:rPr>
  </w:style>
  <w:style w:type="paragraph" w:customStyle="1" w:styleId="FigureSource">
    <w:name w:val="Figure Source"/>
    <w:basedOn w:val="Normal"/>
    <w:next w:val="Normal"/>
    <w:uiPriority w:val="7"/>
    <w:pPr>
      <w:spacing w:after="240" w:line="240" w:lineRule="auto"/>
      <w:jc w:val="both"/>
    </w:pPr>
    <w:rPr>
      <w:rFonts w:ascii="Times New Roman" w:eastAsia="Times New Roman" w:hAnsi="Times New Roman" w:cs="Times New Roman"/>
      <w:sz w:val="20"/>
      <w:szCs w:val="20"/>
      <w:lang w:eastAsia="en-GB"/>
    </w:rPr>
  </w:style>
  <w:style w:type="paragraph" w:customStyle="1" w:styleId="FigureNote">
    <w:name w:val="Figure Note"/>
    <w:basedOn w:val="FigureSource"/>
    <w:next w:val="FigureSource"/>
    <w:uiPriority w:val="7"/>
    <w:rPr>
      <w:b/>
    </w:rPr>
  </w:style>
  <w:style w:type="paragraph" w:customStyle="1" w:styleId="FigureBody">
    <w:name w:val="Figure Body"/>
    <w:basedOn w:val="Normal"/>
    <w:next w:val="FigureNote"/>
    <w:uiPriority w:val="7"/>
    <w:pPr>
      <w:keepNext/>
      <w:spacing w:after="40" w:line="240" w:lineRule="auto"/>
      <w:jc w:val="both"/>
    </w:pPr>
    <w:rPr>
      <w:rFonts w:ascii="Times New Roman" w:eastAsia="Times New Roman" w:hAnsi="Times New Roman" w:cs="Times New Roman"/>
      <w:sz w:val="24"/>
      <w:szCs w:val="20"/>
      <w:lang w:eastAsia="en-GB"/>
    </w:rPr>
  </w:style>
  <w:style w:type="paragraph" w:customStyle="1" w:styleId="FigureTitle">
    <w:name w:val="Figure Title"/>
    <w:basedOn w:val="Normal"/>
    <w:next w:val="FigureBody"/>
    <w:uiPriority w:val="6"/>
    <w:pPr>
      <w:keepNext/>
      <w:spacing w:after="180" w:line="240" w:lineRule="auto"/>
      <w:jc w:val="both"/>
    </w:pPr>
    <w:rPr>
      <w:rFonts w:ascii="Times New Roman" w:eastAsia="Times New Roman" w:hAnsi="Times New Roman" w:cs="Times New Roman"/>
      <w:b/>
      <w:sz w:val="24"/>
      <w:szCs w:val="20"/>
      <w:lang w:eastAsia="en-GB"/>
    </w:rPr>
  </w:style>
  <w:style w:type="paragraph" w:customStyle="1" w:styleId="HistTableHeading">
    <w:name w:val="HistTableHeading"/>
    <w:basedOn w:val="Normal"/>
    <w:next w:val="HistoryTable"/>
    <w:pPr>
      <w:spacing w:before="240" w:after="240" w:line="240" w:lineRule="auto"/>
      <w:jc w:val="center"/>
    </w:pPr>
    <w:rPr>
      <w:rFonts w:ascii="Times New Roman Bold" w:eastAsia="Times New Roman" w:hAnsi="Times New Roman Bold" w:cs="Times New Roman"/>
      <w:b/>
      <w:caps/>
      <w:sz w:val="24"/>
      <w:szCs w:val="20"/>
      <w:lang w:eastAsia="en-GB"/>
    </w:rPr>
  </w:style>
  <w:style w:type="paragraph" w:customStyle="1" w:styleId="HistoryTable">
    <w:name w:val="HistoryTable"/>
    <w:basedOn w:val="Normal"/>
    <w:pPr>
      <w:spacing w:before="60" w:after="60" w:line="240" w:lineRule="auto"/>
    </w:pPr>
    <w:rPr>
      <w:rFonts w:ascii="Times New Roman" w:eastAsia="Times New Roman" w:hAnsi="Times New Roman" w:cs="Times New Roman"/>
      <w:sz w:val="20"/>
      <w:szCs w:val="20"/>
      <w:lang w:eastAsia="en-GB"/>
    </w:rPr>
  </w:style>
  <w:style w:type="paragraph" w:customStyle="1" w:styleId="FooterLine">
    <w:name w:val="Footer Line"/>
    <w:basedOn w:val="Footer"/>
    <w:next w:val="Footer"/>
    <w:uiPriority w:val="99"/>
    <w:pPr>
      <w:tabs>
        <w:tab w:val="clear" w:pos="4513"/>
        <w:tab w:val="clear" w:pos="9026"/>
        <w:tab w:val="right" w:pos="8646"/>
      </w:tabs>
      <w:spacing w:before="120" w:line="264" w:lineRule="auto"/>
      <w:jc w:val="both"/>
    </w:pPr>
    <w:rPr>
      <w:rFonts w:ascii="Times New Roman" w:eastAsia="Times New Roman" w:hAnsi="Times New Roman" w:cs="Times New Roman"/>
      <w:sz w:val="16"/>
      <w:szCs w:val="20"/>
      <w:lang w:eastAsia="en-GB"/>
    </w:rPr>
  </w:style>
  <w:style w:type="paragraph" w:customStyle="1" w:styleId="YReferences">
    <w:name w:val="YReferences"/>
    <w:basedOn w:val="Normal"/>
    <w:pPr>
      <w:spacing w:after="480" w:line="240" w:lineRule="auto"/>
      <w:ind w:left="3062" w:hanging="1531"/>
      <w:contextualSpacing/>
      <w:jc w:val="both"/>
    </w:pPr>
    <w:rPr>
      <w:rFonts w:ascii="Times New Roman" w:eastAsia="Times New Roman" w:hAnsi="Times New Roman" w:cs="Times New Roman"/>
      <w:sz w:val="24"/>
      <w:szCs w:val="20"/>
      <w:lang w:eastAsia="en-GB"/>
    </w:rPr>
  </w:style>
  <w:style w:type="paragraph" w:customStyle="1" w:styleId="SubTitle2">
    <w:name w:val="SubTitle 2"/>
    <w:basedOn w:val="Normal"/>
    <w:pPr>
      <w:spacing w:after="240" w:line="240" w:lineRule="auto"/>
      <w:jc w:val="center"/>
    </w:pPr>
    <w:rPr>
      <w:rFonts w:ascii="Times New Roman" w:eastAsia="Times New Roman" w:hAnsi="Times New Roman" w:cs="Times New Roman"/>
      <w:b/>
      <w:sz w:val="32"/>
      <w:szCs w:val="20"/>
      <w:lang w:eastAsia="en-GB"/>
    </w:rPr>
  </w:style>
  <w:style w:type="paragraph" w:customStyle="1" w:styleId="SubTitle1">
    <w:name w:val="SubTitle 1"/>
    <w:basedOn w:val="Normal"/>
    <w:next w:val="SubTitle2"/>
    <w:pPr>
      <w:spacing w:after="240" w:line="240" w:lineRule="auto"/>
      <w:jc w:val="center"/>
    </w:pPr>
    <w:rPr>
      <w:rFonts w:ascii="Times New Roman" w:eastAsia="Times New Roman" w:hAnsi="Times New Roman" w:cs="Times New Roman"/>
      <w:b/>
      <w:sz w:val="40"/>
      <w:szCs w:val="20"/>
      <w:lang w:eastAsia="en-GB"/>
    </w:rPr>
  </w:style>
  <w:style w:type="paragraph" w:styleId="Title">
    <w:name w:val="Title"/>
    <w:basedOn w:val="Normal"/>
    <w:next w:val="SubTitle1"/>
    <w:link w:val="TitleChar"/>
    <w:pPr>
      <w:spacing w:after="480" w:line="240" w:lineRule="auto"/>
      <w:jc w:val="center"/>
    </w:pPr>
    <w:rPr>
      <w:rFonts w:ascii="Times New Roman" w:eastAsia="Times New Roman" w:hAnsi="Times New Roman" w:cs="Times New Roman"/>
      <w:b/>
      <w:kern w:val="28"/>
      <w:sz w:val="48"/>
      <w:szCs w:val="20"/>
      <w:lang w:eastAsia="en-GB"/>
    </w:rPr>
  </w:style>
  <w:style w:type="character" w:customStyle="1" w:styleId="TitleChar">
    <w:name w:val="Title Char"/>
    <w:basedOn w:val="DefaultParagraphFont"/>
    <w:link w:val="Title"/>
    <w:rPr>
      <w:rFonts w:ascii="Times New Roman" w:eastAsia="Times New Roman" w:hAnsi="Times New Roman" w:cs="Times New Roman"/>
      <w:b/>
      <w:kern w:val="28"/>
      <w:sz w:val="48"/>
      <w:szCs w:val="20"/>
      <w:lang w:eastAsia="en-GB"/>
    </w:rPr>
  </w:style>
  <w:style w:type="paragraph" w:customStyle="1" w:styleId="Enclosures">
    <w:name w:val="Enclosures"/>
    <w:basedOn w:val="Normal"/>
    <w:pPr>
      <w:keepNext/>
      <w:keepLines/>
      <w:tabs>
        <w:tab w:val="left" w:pos="5641"/>
      </w:tabs>
      <w:spacing w:before="480" w:after="0" w:line="240" w:lineRule="auto"/>
      <w:ind w:left="2382" w:hanging="1191"/>
      <w:contextualSpacing/>
    </w:pPr>
    <w:rPr>
      <w:rFonts w:ascii="Times New Roman" w:eastAsia="Times New Roman" w:hAnsi="Times New Roman" w:cs="Times New Roman"/>
      <w:sz w:val="24"/>
      <w:szCs w:val="20"/>
      <w:lang w:eastAsia="en-GB"/>
    </w:rPr>
  </w:style>
  <w:style w:type="paragraph" w:customStyle="1" w:styleId="DoubSign">
    <w:name w:val="DoubSign"/>
    <w:basedOn w:val="Normal"/>
    <w:next w:val="Enclosures"/>
    <w:pPr>
      <w:tabs>
        <w:tab w:val="left" w:pos="5102"/>
      </w:tabs>
      <w:spacing w:before="1200" w:after="0" w:line="240" w:lineRule="auto"/>
    </w:pPr>
    <w:rPr>
      <w:rFonts w:ascii="Times New Roman" w:eastAsia="Times New Roman" w:hAnsi="Times New Roman" w:cs="Times New Roman"/>
      <w:sz w:val="24"/>
      <w:szCs w:val="20"/>
      <w:lang w:eastAsia="en-GB"/>
    </w:rPr>
  </w:style>
  <w:style w:type="paragraph" w:customStyle="1" w:styleId="SignatureL">
    <w:name w:val="SignatureL"/>
    <w:basedOn w:val="Normal"/>
    <w:next w:val="Enclosures"/>
    <w:pPr>
      <w:tabs>
        <w:tab w:val="left" w:pos="5102"/>
      </w:tabs>
      <w:spacing w:before="1200" w:after="0" w:line="240" w:lineRule="auto"/>
    </w:pPr>
    <w:rPr>
      <w:rFonts w:ascii="Times New Roman" w:eastAsia="Times New Roman" w:hAnsi="Times New Roman" w:cs="Times New Roman"/>
      <w:sz w:val="24"/>
      <w:szCs w:val="20"/>
      <w:lang w:eastAsia="en-GB"/>
    </w:rPr>
  </w:style>
  <w:style w:type="paragraph" w:styleId="Signature">
    <w:name w:val="Signature"/>
    <w:basedOn w:val="Normal"/>
    <w:next w:val="Enclosures"/>
    <w:link w:val="SignatureChar"/>
    <w:pPr>
      <w:tabs>
        <w:tab w:val="left" w:pos="5102"/>
      </w:tabs>
      <w:spacing w:before="1200" w:after="0" w:line="240" w:lineRule="auto"/>
      <w:ind w:left="5102"/>
      <w:jc w:val="center"/>
    </w:pPr>
    <w:rPr>
      <w:rFonts w:ascii="Times New Roman" w:eastAsia="Times New Roman" w:hAnsi="Times New Roman" w:cs="Times New Roman"/>
      <w:sz w:val="24"/>
      <w:szCs w:val="20"/>
      <w:lang w:eastAsia="en-GB"/>
    </w:rPr>
  </w:style>
  <w:style w:type="character" w:customStyle="1" w:styleId="SignatureChar">
    <w:name w:val="Signature Char"/>
    <w:basedOn w:val="DefaultParagraphFont"/>
    <w:link w:val="Signature"/>
    <w:rPr>
      <w:rFonts w:ascii="Times New Roman" w:eastAsia="Times New Roman" w:hAnsi="Times New Roman" w:cs="Times New Roman"/>
      <w:sz w:val="24"/>
      <w:szCs w:val="20"/>
      <w:lang w:eastAsia="en-GB"/>
    </w:rPr>
  </w:style>
  <w:style w:type="paragraph" w:customStyle="1" w:styleId="SectionTitle">
    <w:name w:val="SectionTitle"/>
    <w:basedOn w:val="Normal"/>
    <w:next w:val="Heading1"/>
    <w:uiPriority w:val="90"/>
    <w:qFormat/>
    <w:pPr>
      <w:keepNext/>
      <w:spacing w:after="480" w:line="240" w:lineRule="auto"/>
      <w:jc w:val="center"/>
      <w:outlineLvl w:val="0"/>
    </w:pPr>
    <w:rPr>
      <w:rFonts w:ascii="Times New Roman" w:eastAsia="Times New Roman" w:hAnsi="Times New Roman" w:cs="Times New Roman"/>
      <w:b/>
      <w:smallCaps/>
      <w:sz w:val="28"/>
      <w:szCs w:val="20"/>
      <w:lang w:eastAsia="en-GB"/>
    </w:rPr>
  </w:style>
  <w:style w:type="paragraph" w:customStyle="1" w:styleId="ChapterTitle">
    <w:name w:val="ChapterTitle"/>
    <w:basedOn w:val="Normal"/>
    <w:next w:val="SectionTitle"/>
    <w:uiPriority w:val="90"/>
    <w:qFormat/>
    <w:pPr>
      <w:keepNext/>
      <w:spacing w:after="480" w:line="240" w:lineRule="auto"/>
      <w:jc w:val="center"/>
      <w:outlineLvl w:val="0"/>
    </w:pPr>
    <w:rPr>
      <w:rFonts w:ascii="Times New Roman" w:eastAsia="Times New Roman" w:hAnsi="Times New Roman" w:cs="Times New Roman"/>
      <w:b/>
      <w:sz w:val="32"/>
      <w:szCs w:val="20"/>
      <w:lang w:eastAsia="en-GB"/>
    </w:rPr>
  </w:style>
  <w:style w:type="paragraph" w:customStyle="1" w:styleId="PartTitle">
    <w:name w:val="PartTitle"/>
    <w:basedOn w:val="Normal"/>
    <w:next w:val="ChapterTitle"/>
    <w:uiPriority w:val="90"/>
    <w:qFormat/>
    <w:pPr>
      <w:keepNext/>
      <w:pageBreakBefore/>
      <w:spacing w:after="480" w:line="240" w:lineRule="auto"/>
      <w:jc w:val="center"/>
      <w:outlineLvl w:val="0"/>
    </w:pPr>
    <w:rPr>
      <w:rFonts w:ascii="Times New Roman" w:eastAsia="Times New Roman" w:hAnsi="Times New Roman" w:cs="Times New Roman"/>
      <w:b/>
      <w:sz w:val="36"/>
      <w:szCs w:val="20"/>
      <w:lang w:eastAsia="en-GB"/>
    </w:rPr>
  </w:style>
  <w:style w:type="paragraph" w:customStyle="1" w:styleId="AddressTR">
    <w:name w:val="AddressTR"/>
    <w:basedOn w:val="Normal"/>
    <w:next w:val="Normal"/>
    <w:pPr>
      <w:spacing w:after="720" w:line="240" w:lineRule="auto"/>
      <w:ind w:left="5102"/>
    </w:pPr>
    <w:rPr>
      <w:rFonts w:ascii="Times New Roman" w:eastAsia="Times New Roman" w:hAnsi="Times New Roman" w:cs="Times New Roman"/>
      <w:sz w:val="24"/>
      <w:szCs w:val="20"/>
      <w:lang w:eastAsia="en-GB"/>
    </w:rPr>
  </w:style>
  <w:style w:type="paragraph" w:customStyle="1" w:styleId="AddressTL">
    <w:name w:val="AddressTL"/>
    <w:basedOn w:val="Normal"/>
    <w:next w:val="Normal"/>
    <w:pPr>
      <w:spacing w:after="720" w:line="240" w:lineRule="auto"/>
    </w:pPr>
    <w:rPr>
      <w:rFonts w:ascii="Times New Roman" w:eastAsia="Times New Roman" w:hAnsi="Times New Roman" w:cs="Times New Roman"/>
      <w:sz w:val="24"/>
      <w:szCs w:val="20"/>
      <w:lang w:eastAsia="en-GB"/>
    </w:rPr>
  </w:style>
  <w:style w:type="paragraph" w:customStyle="1" w:styleId="Address">
    <w:name w:val="Address"/>
    <w:basedOn w:val="Normal"/>
    <w:pPr>
      <w:spacing w:after="0" w:line="240" w:lineRule="auto"/>
    </w:pPr>
    <w:rPr>
      <w:rFonts w:ascii="Times New Roman" w:eastAsia="Times New Roman" w:hAnsi="Times New Roman" w:cs="Times New Roman"/>
      <w:sz w:val="24"/>
      <w:szCs w:val="20"/>
      <w:lang w:eastAsia="en-GB"/>
    </w:rPr>
  </w:style>
  <w:style w:type="paragraph" w:customStyle="1" w:styleId="Text4">
    <w:name w:val="Text 4"/>
    <w:basedOn w:val="Normal"/>
    <w:uiPriority w:val="90"/>
    <w:qFormat/>
    <w:pPr>
      <w:spacing w:after="240" w:line="240" w:lineRule="auto"/>
      <w:ind w:left="1202"/>
      <w:jc w:val="both"/>
    </w:pPr>
    <w:rPr>
      <w:rFonts w:ascii="Times New Roman" w:eastAsia="Times New Roman" w:hAnsi="Times New Roman" w:cs="Times New Roman"/>
      <w:sz w:val="24"/>
      <w:szCs w:val="20"/>
      <w:lang w:eastAsia="en-GB"/>
    </w:rPr>
  </w:style>
  <w:style w:type="paragraph" w:customStyle="1" w:styleId="Text3">
    <w:name w:val="Text 3"/>
    <w:basedOn w:val="Normal"/>
    <w:uiPriority w:val="90"/>
    <w:qFormat/>
    <w:pPr>
      <w:spacing w:after="240" w:line="240" w:lineRule="auto"/>
      <w:ind w:left="1202"/>
      <w:jc w:val="both"/>
    </w:pPr>
    <w:rPr>
      <w:rFonts w:ascii="Times New Roman" w:eastAsia="Times New Roman" w:hAnsi="Times New Roman" w:cs="Times New Roman"/>
      <w:sz w:val="24"/>
      <w:szCs w:val="20"/>
      <w:lang w:eastAsia="en-GB"/>
    </w:rPr>
  </w:style>
  <w:style w:type="paragraph" w:customStyle="1" w:styleId="Text2">
    <w:name w:val="Text 2"/>
    <w:basedOn w:val="Normal"/>
    <w:uiPriority w:val="90"/>
    <w:qFormat/>
    <w:pPr>
      <w:spacing w:after="240" w:line="240" w:lineRule="auto"/>
      <w:ind w:left="1202"/>
      <w:jc w:val="both"/>
    </w:pPr>
    <w:rPr>
      <w:rFonts w:ascii="Times New Roman" w:eastAsia="Times New Roman" w:hAnsi="Times New Roman" w:cs="Times New Roman"/>
      <w:sz w:val="24"/>
      <w:szCs w:val="20"/>
      <w:lang w:eastAsia="en-GB"/>
    </w:rPr>
  </w:style>
  <w:style w:type="paragraph" w:customStyle="1" w:styleId="Text1">
    <w:name w:val="Text 1"/>
    <w:basedOn w:val="Normal"/>
    <w:uiPriority w:val="90"/>
    <w:qFormat/>
    <w:pPr>
      <w:spacing w:after="240" w:line="240" w:lineRule="auto"/>
      <w:ind w:left="482"/>
      <w:jc w:val="both"/>
    </w:pPr>
    <w:rPr>
      <w:rFonts w:ascii="Times New Roman" w:eastAsia="Times New Roman" w:hAnsi="Times New Roman" w:cs="Times New Roman"/>
      <w:sz w:val="24"/>
      <w:szCs w:val="20"/>
      <w:lang w:eastAsia="en-GB"/>
    </w:rPr>
  </w:style>
  <w:style w:type="paragraph" w:customStyle="1" w:styleId="ZFlag">
    <w:name w:val="Z_Flag"/>
    <w:basedOn w:val="Normal"/>
    <w:next w:val="Normal"/>
    <w:uiPriority w:val="99"/>
    <w:semiHidden/>
    <w:pPr>
      <w:widowControl w:val="0"/>
      <w:spacing w:after="0" w:line="240" w:lineRule="auto"/>
      <w:ind w:right="85"/>
      <w:jc w:val="both"/>
    </w:pPr>
    <w:rPr>
      <w:rFonts w:ascii="Times New Roman" w:eastAsia="Times New Roman" w:hAnsi="Times New Roman" w:cs="Times New Roman"/>
      <w:sz w:val="24"/>
      <w:szCs w:val="20"/>
      <w:lang w:eastAsia="en-GB"/>
    </w:rPr>
  </w:style>
  <w:style w:type="paragraph" w:customStyle="1" w:styleId="ZCom">
    <w:name w:val="Z_Com"/>
    <w:basedOn w:val="Normal"/>
    <w:next w:val="Normal"/>
    <w:uiPriority w:val="99"/>
    <w:semiHidden/>
    <w:pPr>
      <w:widowControl w:val="0"/>
      <w:spacing w:before="90" w:after="0" w:line="240" w:lineRule="auto"/>
      <w:ind w:right="85"/>
      <w:jc w:val="both"/>
    </w:pPr>
    <w:rPr>
      <w:rFonts w:ascii="Times New Roman" w:eastAsia="Times New Roman" w:hAnsi="Times New Roman" w:cs="Times New Roman"/>
      <w:sz w:val="24"/>
      <w:szCs w:val="20"/>
      <w:lang w:eastAsia="en-GB"/>
    </w:rPr>
  </w:style>
  <w:style w:type="paragraph" w:customStyle="1" w:styleId="ZDGName">
    <w:name w:val="Z_DGName"/>
    <w:basedOn w:val="Normal"/>
    <w:uiPriority w:val="99"/>
    <w:semiHidden/>
    <w:pPr>
      <w:widowControl w:val="0"/>
      <w:spacing w:after="0" w:line="240" w:lineRule="auto"/>
      <w:ind w:right="85"/>
    </w:pPr>
    <w:rPr>
      <w:rFonts w:ascii="Times New Roman" w:eastAsia="Times New Roman" w:hAnsi="Times New Roman" w:cs="Times New Roman"/>
      <w:sz w:val="16"/>
      <w:szCs w:val="20"/>
      <w:lang w:eastAsia="en-GB"/>
    </w:rPr>
  </w:style>
  <w:style w:type="paragraph" w:styleId="Caption">
    <w:name w:val="caption"/>
    <w:basedOn w:val="Normal"/>
    <w:next w:val="Normal"/>
    <w:qFormat/>
    <w:pPr>
      <w:spacing w:before="160" w:after="240" w:line="240" w:lineRule="auto"/>
      <w:jc w:val="both"/>
    </w:pPr>
    <w:rPr>
      <w:rFonts w:ascii="Times New Roman" w:eastAsia="Times New Roman" w:hAnsi="Times New Roman" w:cs="Times New Roman"/>
      <w:i/>
      <w:szCs w:val="20"/>
      <w:lang w:eastAsia="en-GB"/>
    </w:rPr>
  </w:style>
  <w:style w:type="paragraph" w:customStyle="1" w:styleId="Contact">
    <w:name w:val="Contact"/>
    <w:basedOn w:val="Normal"/>
    <w:uiPriority w:val="99"/>
    <w:pPr>
      <w:spacing w:before="480" w:after="0" w:line="240" w:lineRule="auto"/>
      <w:ind w:left="567" w:hanging="567"/>
      <w:contextualSpacing/>
    </w:pPr>
    <w:rPr>
      <w:rFonts w:ascii="Times New Roman" w:eastAsia="Times New Roman" w:hAnsi="Times New Roman" w:cs="Times New Roman"/>
      <w:sz w:val="24"/>
      <w:szCs w:val="20"/>
      <w:lang w:eastAsia="en-GB"/>
    </w:rPr>
  </w:style>
  <w:style w:type="paragraph" w:styleId="Date">
    <w:name w:val="Date"/>
    <w:basedOn w:val="Normal"/>
    <w:next w:val="References"/>
    <w:link w:val="DateChar"/>
    <w:pPr>
      <w:spacing w:after="0" w:line="240" w:lineRule="auto"/>
      <w:ind w:left="5102" w:right="-567"/>
    </w:pPr>
    <w:rPr>
      <w:rFonts w:ascii="Times New Roman" w:eastAsia="Times New Roman" w:hAnsi="Times New Roman" w:cs="Times New Roman"/>
      <w:sz w:val="24"/>
      <w:szCs w:val="20"/>
      <w:lang w:eastAsia="en-GB"/>
    </w:rPr>
  </w:style>
  <w:style w:type="character" w:customStyle="1" w:styleId="DateChar">
    <w:name w:val="Date Char"/>
    <w:basedOn w:val="DefaultParagraphFont"/>
    <w:link w:val="Date"/>
    <w:rPr>
      <w:rFonts w:ascii="Times New Roman" w:eastAsia="Times New Roman" w:hAnsi="Times New Roman" w:cs="Times New Roman"/>
      <w:sz w:val="24"/>
      <w:szCs w:val="20"/>
      <w:lang w:eastAsia="en-GB"/>
    </w:rPr>
  </w:style>
  <w:style w:type="paragraph" w:customStyle="1" w:styleId="References">
    <w:name w:val="References"/>
    <w:basedOn w:val="Normal"/>
    <w:pPr>
      <w:spacing w:after="240" w:line="240" w:lineRule="auto"/>
      <w:ind w:left="5102" w:right="-567"/>
      <w:contextualSpacing/>
    </w:pPr>
    <w:rPr>
      <w:rFonts w:ascii="Times New Roman" w:eastAsia="Times New Roman" w:hAnsi="Times New Roman" w:cs="Times New Roman"/>
      <w:sz w:val="20"/>
      <w:szCs w:val="20"/>
      <w:lang w:eastAsia="en-GB"/>
    </w:rPr>
  </w:style>
  <w:style w:type="paragraph" w:customStyle="1" w:styleId="Designator">
    <w:name w:val="Designator"/>
    <w:basedOn w:val="Normal"/>
    <w:pPr>
      <w:spacing w:after="0" w:line="240" w:lineRule="auto"/>
      <w:jc w:val="center"/>
    </w:pPr>
    <w:rPr>
      <w:rFonts w:ascii="Times New Roman" w:eastAsia="Times New Roman" w:hAnsi="Times New Roman" w:cs="Times New Roman"/>
      <w:b/>
      <w:caps/>
      <w:sz w:val="32"/>
      <w:szCs w:val="20"/>
      <w:lang w:eastAsia="en-GB"/>
    </w:rPr>
  </w:style>
  <w:style w:type="paragraph" w:customStyle="1" w:styleId="Releasable">
    <w:name w:val="Releasable"/>
    <w:basedOn w:val="Normal"/>
    <w:pPr>
      <w:spacing w:after="0" w:line="240" w:lineRule="auto"/>
      <w:jc w:val="center"/>
    </w:pPr>
    <w:rPr>
      <w:rFonts w:ascii="Times New Roman" w:eastAsia="Times New Roman" w:hAnsi="Times New Roman" w:cs="Times New Roman"/>
      <w:b/>
      <w:caps/>
      <w:sz w:val="32"/>
      <w:szCs w:val="20"/>
      <w:lang w:eastAsia="en-GB"/>
    </w:rPr>
  </w:style>
  <w:style w:type="paragraph" w:customStyle="1" w:styleId="RUE">
    <w:name w:val="RUE"/>
    <w:basedOn w:val="Normal"/>
    <w:pPr>
      <w:spacing w:after="0" w:line="240" w:lineRule="auto"/>
      <w:jc w:val="center"/>
    </w:pPr>
    <w:rPr>
      <w:rFonts w:ascii="Times New Roman" w:eastAsia="Times New Roman" w:hAnsi="Times New Roman" w:cs="Times New Roman"/>
      <w:b/>
      <w:caps/>
      <w:sz w:val="32"/>
      <w:szCs w:val="20"/>
      <w:bdr w:val="single" w:sz="18" w:space="0" w:color="auto"/>
      <w:lang w:eastAsia="en-GB"/>
    </w:rPr>
  </w:style>
  <w:style w:type="paragraph" w:customStyle="1" w:styleId="ConfidentialUE">
    <w:name w:val="Confidential UE"/>
    <w:basedOn w:val="Normal"/>
    <w:pPr>
      <w:spacing w:after="0" w:line="240" w:lineRule="auto"/>
      <w:jc w:val="center"/>
    </w:pPr>
    <w:rPr>
      <w:rFonts w:ascii="Times New Roman" w:eastAsia="Times New Roman" w:hAnsi="Times New Roman" w:cs="Times New Roman"/>
      <w:b/>
      <w:caps/>
      <w:sz w:val="32"/>
      <w:szCs w:val="20"/>
      <w:bdr w:val="single" w:sz="18" w:space="0" w:color="auto"/>
      <w:lang w:eastAsia="en-GB"/>
    </w:rPr>
  </w:style>
  <w:style w:type="paragraph" w:customStyle="1" w:styleId="SecretUE">
    <w:name w:val="Secret UE"/>
    <w:basedOn w:val="Normal"/>
    <w:pPr>
      <w:spacing w:after="0" w:line="240" w:lineRule="auto"/>
      <w:jc w:val="center"/>
    </w:pPr>
    <w:rPr>
      <w:rFonts w:ascii="Times New Roman" w:eastAsia="Times New Roman" w:hAnsi="Times New Roman" w:cs="Times New Roman"/>
      <w:b/>
      <w:caps/>
      <w:color w:val="FF0000"/>
      <w:sz w:val="32"/>
      <w:szCs w:val="20"/>
      <w:bdr w:val="single" w:sz="18" w:space="0" w:color="FF0000"/>
      <w:lang w:eastAsia="en-GB"/>
    </w:rPr>
  </w:style>
  <w:style w:type="paragraph" w:customStyle="1" w:styleId="TrsSecretUE">
    <w:name w:val="Très Secret UE"/>
    <w:basedOn w:val="Normal"/>
    <w:pPr>
      <w:spacing w:after="0" w:line="240" w:lineRule="auto"/>
      <w:jc w:val="center"/>
    </w:pPr>
    <w:rPr>
      <w:rFonts w:ascii="Times New Roman" w:eastAsia="Times New Roman" w:hAnsi="Times New Roman" w:cs="Times New Roman"/>
      <w:b/>
      <w:caps/>
      <w:color w:val="FF0000"/>
      <w:sz w:val="32"/>
      <w:szCs w:val="20"/>
      <w:bdr w:val="single" w:sz="18" w:space="0" w:color="FF0000"/>
      <w:lang w:eastAsia="en-GB"/>
    </w:rPr>
  </w:style>
  <w:style w:type="paragraph" w:styleId="EndnoteText">
    <w:name w:val="endnote text"/>
    <w:basedOn w:val="Normal"/>
    <w:link w:val="EndnoteTextChar"/>
    <w:semiHidden/>
    <w:pPr>
      <w:spacing w:after="240" w:line="240" w:lineRule="auto"/>
      <w:jc w:val="both"/>
    </w:pPr>
    <w:rPr>
      <w:rFonts w:ascii="Times New Roman" w:eastAsia="Times New Roman" w:hAnsi="Times New Roman" w:cs="Times New Roman"/>
      <w:sz w:val="20"/>
      <w:szCs w:val="20"/>
      <w:lang w:eastAsia="en-GB"/>
    </w:rPr>
  </w:style>
  <w:style w:type="character" w:customStyle="1" w:styleId="EndnoteTextChar">
    <w:name w:val="Endnote Text Char"/>
    <w:basedOn w:val="DefaultParagraphFont"/>
    <w:link w:val="EndnoteText"/>
    <w:semiHidden/>
    <w:rPr>
      <w:rFonts w:ascii="Times New Roman" w:eastAsia="Times New Roman" w:hAnsi="Times New Roman" w:cs="Times New Roman"/>
      <w:sz w:val="20"/>
      <w:szCs w:val="20"/>
      <w:lang w:eastAsia="en-GB"/>
    </w:rPr>
  </w:style>
  <w:style w:type="paragraph" w:styleId="FootnoteText">
    <w:name w:val="footnote text"/>
    <w:aliases w:val="Footnote,Schriftart: 9 pt,Schriftart: 10 pt,Schriftart: 8 pt,WB-Fußnotentext,Footnote Text Char2,Footnote Text Char1 Char,Footnote Text Char2 Char Char,Footnote Text Char1 Char Char Char,Footnote Text Char2 Char Char Char Char,o,fn,f,Plonk"/>
    <w:basedOn w:val="Normal"/>
    <w:link w:val="FootnoteTextChar"/>
    <w:autoRedefine/>
    <w:uiPriority w:val="99"/>
    <w:qFormat/>
    <w:pPr>
      <w:spacing w:after="0" w:line="240" w:lineRule="auto"/>
    </w:pPr>
    <w:rPr>
      <w:rFonts w:ascii="Times New Roman" w:eastAsia="Times New Roman" w:hAnsi="Times New Roman" w:cs="Times New Roman"/>
      <w:sz w:val="18"/>
      <w:szCs w:val="16"/>
      <w:lang w:eastAsia="en-GB"/>
    </w:rPr>
  </w:style>
  <w:style w:type="character" w:customStyle="1" w:styleId="FootnoteTextChar">
    <w:name w:val="Footnote Text Char"/>
    <w:aliases w:val="Footnote Char,Schriftart: 9 pt Char,Schriftart: 10 pt Char,Schriftart: 8 pt Char,WB-Fußnotentext Char,Footnote Text Char2 Char,Footnote Text Char1 Char Char,Footnote Text Char2 Char Char Char,Footnote Text Char1 Char Char Char Char"/>
    <w:basedOn w:val="DefaultParagraphFont"/>
    <w:link w:val="FootnoteText"/>
    <w:uiPriority w:val="99"/>
    <w:rPr>
      <w:rFonts w:ascii="Times New Roman" w:eastAsia="Times New Roman" w:hAnsi="Times New Roman" w:cs="Times New Roman"/>
      <w:sz w:val="18"/>
      <w:szCs w:val="16"/>
      <w:lang w:eastAsia="en-GB"/>
    </w:rPr>
  </w:style>
  <w:style w:type="paragraph" w:styleId="MacroText">
    <w:name w:val="macro"/>
    <w:basedOn w:val="Normal"/>
    <w:link w:val="MacroTextChar"/>
    <w:uiPriority w:val="90"/>
    <w:qFormat/>
    <w:pPr>
      <w:tabs>
        <w:tab w:val="left" w:pos="482"/>
        <w:tab w:val="left" w:pos="958"/>
        <w:tab w:val="left" w:pos="1440"/>
        <w:tab w:val="left" w:pos="1922"/>
        <w:tab w:val="left" w:pos="2398"/>
        <w:tab w:val="left" w:pos="2880"/>
        <w:tab w:val="left" w:pos="3362"/>
        <w:tab w:val="left" w:pos="3838"/>
        <w:tab w:val="left" w:pos="4320"/>
      </w:tabs>
      <w:spacing w:after="240" w:line="240" w:lineRule="auto"/>
      <w:jc w:val="both"/>
    </w:pPr>
    <w:rPr>
      <w:rFonts w:ascii="Courier New" w:eastAsia="Times New Roman" w:hAnsi="Courier New" w:cs="Times New Roman"/>
      <w:szCs w:val="20"/>
      <w:lang w:eastAsia="en-GB"/>
    </w:rPr>
  </w:style>
  <w:style w:type="character" w:customStyle="1" w:styleId="MacroTextChar">
    <w:name w:val="Macro Text Char"/>
    <w:basedOn w:val="DefaultParagraphFont"/>
    <w:link w:val="MacroText"/>
    <w:uiPriority w:val="90"/>
    <w:qFormat/>
    <w:rPr>
      <w:rFonts w:ascii="Courier New" w:eastAsia="Times New Roman" w:hAnsi="Courier New" w:cs="Times New Roman"/>
      <w:szCs w:val="20"/>
      <w:lang w:eastAsia="en-GB"/>
    </w:rPr>
  </w:style>
  <w:style w:type="paragraph" w:customStyle="1" w:styleId="NumPar1">
    <w:name w:val="NumPar 1"/>
    <w:basedOn w:val="Heading1"/>
    <w:uiPriority w:val="90"/>
    <w:qFormat/>
    <w:pPr>
      <w:keepNext w:val="0"/>
      <w:spacing w:before="0"/>
      <w:outlineLvl w:val="9"/>
    </w:pPr>
    <w:rPr>
      <w:b w:val="0"/>
      <w:smallCaps w:val="0"/>
    </w:rPr>
  </w:style>
  <w:style w:type="paragraph" w:customStyle="1" w:styleId="NumPar2">
    <w:name w:val="NumPar 2"/>
    <w:basedOn w:val="Heading2"/>
    <w:uiPriority w:val="90"/>
    <w:qFormat/>
    <w:pPr>
      <w:outlineLvl w:val="9"/>
    </w:pPr>
    <w:rPr>
      <w:b w:val="0"/>
    </w:rPr>
  </w:style>
  <w:style w:type="paragraph" w:customStyle="1" w:styleId="NumPar3">
    <w:name w:val="NumPar 3"/>
    <w:basedOn w:val="Heading3"/>
    <w:uiPriority w:val="90"/>
    <w:qFormat/>
    <w:pPr>
      <w:outlineLvl w:val="9"/>
    </w:pPr>
    <w:rPr>
      <w:i/>
    </w:rPr>
  </w:style>
  <w:style w:type="paragraph" w:customStyle="1" w:styleId="NumPar4">
    <w:name w:val="NumPar 4"/>
    <w:basedOn w:val="Heading4"/>
    <w:uiPriority w:val="90"/>
    <w:qFormat/>
    <w:pPr>
      <w:keepNext w:val="0"/>
      <w:outlineLvl w:val="9"/>
    </w:pPr>
  </w:style>
  <w:style w:type="paragraph" w:customStyle="1" w:styleId="AnnexTitle">
    <w:name w:val="AnnexTitle"/>
    <w:basedOn w:val="Normal"/>
    <w:next w:val="Normal"/>
    <w:uiPriority w:val="90"/>
    <w:qFormat/>
    <w:pPr>
      <w:pageBreakBefore/>
      <w:numPr>
        <w:numId w:val="18"/>
      </w:numPr>
      <w:spacing w:after="480" w:line="240" w:lineRule="auto"/>
      <w:jc w:val="both"/>
      <w:outlineLvl w:val="0"/>
    </w:pPr>
    <w:rPr>
      <w:rFonts w:ascii="Times New Roman" w:eastAsia="Times New Roman" w:hAnsi="Times New Roman" w:cs="Times New Roman"/>
      <w:b/>
      <w:sz w:val="32"/>
      <w:szCs w:val="20"/>
      <w:lang w:eastAsia="en-GB"/>
    </w:rPr>
  </w:style>
  <w:style w:type="paragraph" w:styleId="TOCHeading">
    <w:name w:val="TOC Heading"/>
    <w:basedOn w:val="Normal"/>
    <w:next w:val="Normal"/>
    <w:uiPriority w:val="39"/>
    <w:qFormat/>
    <w:pPr>
      <w:spacing w:before="240" w:after="240" w:line="240" w:lineRule="auto"/>
      <w:jc w:val="center"/>
    </w:pPr>
    <w:rPr>
      <w:rFonts w:ascii="Times New Roman Bold" w:eastAsia="Times New Roman" w:hAnsi="Times New Roman Bold" w:cs="Times New Roman"/>
      <w:b/>
      <w:caps/>
      <w:sz w:val="24"/>
      <w:szCs w:val="20"/>
      <w:lang w:eastAsia="en-GB"/>
    </w:rPr>
  </w:style>
  <w:style w:type="paragraph" w:styleId="TOC1">
    <w:name w:val="toc 1"/>
    <w:basedOn w:val="Normal"/>
    <w:next w:val="Normal"/>
    <w:uiPriority w:val="39"/>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eastAsia="en-GB"/>
    </w:rPr>
  </w:style>
  <w:style w:type="paragraph" w:styleId="TOC2">
    <w:name w:val="toc 2"/>
    <w:basedOn w:val="Normal"/>
    <w:next w:val="Normal"/>
    <w:uiPriority w:val="39"/>
    <w:pPr>
      <w:tabs>
        <w:tab w:val="right" w:leader="dot" w:pos="8640"/>
      </w:tabs>
      <w:spacing w:before="60" w:after="60" w:line="240" w:lineRule="auto"/>
      <w:ind w:left="1077" w:right="720" w:hanging="595"/>
      <w:jc w:val="both"/>
    </w:pPr>
    <w:rPr>
      <w:rFonts w:ascii="Times New Roman" w:eastAsia="Times New Roman" w:hAnsi="Times New Roman" w:cs="Times New Roman"/>
      <w:noProof/>
      <w:sz w:val="24"/>
      <w:szCs w:val="20"/>
      <w:lang w:eastAsia="en-GB"/>
    </w:rPr>
  </w:style>
  <w:style w:type="paragraph" w:styleId="TOC3">
    <w:name w:val="toc 3"/>
    <w:basedOn w:val="Normal"/>
    <w:next w:val="Normal"/>
    <w:uiPriority w:val="39"/>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eastAsia="en-GB"/>
    </w:rPr>
  </w:style>
  <w:style w:type="paragraph" w:styleId="TOC4">
    <w:name w:val="toc 4"/>
    <w:basedOn w:val="Normal"/>
    <w:next w:val="Normal"/>
    <w:uiPriority w:val="39"/>
    <w:pPr>
      <w:tabs>
        <w:tab w:val="right" w:leader="dot" w:pos="8640"/>
      </w:tabs>
      <w:spacing w:before="60" w:after="60" w:line="240" w:lineRule="auto"/>
      <w:ind w:left="2880" w:right="720" w:hanging="964"/>
      <w:jc w:val="both"/>
    </w:pPr>
    <w:rPr>
      <w:rFonts w:ascii="Times New Roman" w:eastAsia="Times New Roman" w:hAnsi="Times New Roman" w:cs="Times New Roman"/>
      <w:noProof/>
      <w:sz w:val="24"/>
      <w:szCs w:val="20"/>
      <w:lang w:eastAsia="en-GB"/>
    </w:rPr>
  </w:style>
  <w:style w:type="paragraph" w:styleId="TOC5">
    <w:name w:val="toc 5"/>
    <w:basedOn w:val="Normal"/>
    <w:next w:val="Normal"/>
    <w:uiPriority w:val="39"/>
    <w:pPr>
      <w:tabs>
        <w:tab w:val="right" w:leader="dot" w:pos="8640"/>
      </w:tabs>
      <w:spacing w:before="240" w:after="120" w:line="240" w:lineRule="auto"/>
      <w:ind w:right="720"/>
      <w:jc w:val="both"/>
    </w:pPr>
    <w:rPr>
      <w:rFonts w:ascii="Times New Roman" w:eastAsia="Times New Roman" w:hAnsi="Times New Roman" w:cs="Times New Roman"/>
      <w:caps/>
      <w:sz w:val="24"/>
      <w:szCs w:val="20"/>
      <w:lang w:eastAsia="en-GB"/>
    </w:rPr>
  </w:style>
  <w:style w:type="paragraph" w:styleId="TOC6">
    <w:name w:val="toc 6"/>
    <w:basedOn w:val="Normal"/>
    <w:next w:val="Normal"/>
    <w:uiPriority w:val="39"/>
    <w:pPr>
      <w:tabs>
        <w:tab w:val="right" w:leader="dot" w:pos="8640"/>
        <w:tab w:val="left" w:pos="2880"/>
      </w:tabs>
      <w:spacing w:before="120" w:after="120" w:line="240" w:lineRule="auto"/>
      <w:ind w:left="1916" w:right="720" w:hanging="1916"/>
      <w:jc w:val="both"/>
    </w:pPr>
    <w:rPr>
      <w:rFonts w:ascii="Times New Roman" w:eastAsia="Times New Roman" w:hAnsi="Times New Roman" w:cs="Times New Roman"/>
      <w:caps/>
      <w:sz w:val="24"/>
      <w:szCs w:val="20"/>
      <w:lang w:eastAsia="en-GB"/>
    </w:rPr>
  </w:style>
  <w:style w:type="paragraph" w:styleId="TOC7">
    <w:name w:val="toc 7"/>
    <w:basedOn w:val="Normal"/>
    <w:next w:val="Normal"/>
    <w:uiPriority w:val="39"/>
    <w:pPr>
      <w:tabs>
        <w:tab w:val="right" w:leader="dot" w:pos="8640"/>
      </w:tabs>
      <w:spacing w:after="240" w:line="240" w:lineRule="auto"/>
      <w:jc w:val="both"/>
    </w:pPr>
    <w:rPr>
      <w:rFonts w:ascii="Times New Roman" w:eastAsia="Times New Roman" w:hAnsi="Times New Roman" w:cs="Times New Roman"/>
      <w:sz w:val="24"/>
      <w:szCs w:val="20"/>
      <w:lang w:eastAsia="en-GB"/>
    </w:rPr>
  </w:style>
  <w:style w:type="paragraph" w:styleId="TOC8">
    <w:name w:val="toc 8"/>
    <w:basedOn w:val="Normal"/>
    <w:next w:val="Normal"/>
    <w:uiPriority w:val="39"/>
    <w:pPr>
      <w:tabs>
        <w:tab w:val="right" w:leader="dot" w:pos="8640"/>
      </w:tabs>
      <w:spacing w:after="240" w:line="240" w:lineRule="auto"/>
      <w:jc w:val="both"/>
    </w:pPr>
    <w:rPr>
      <w:rFonts w:ascii="Times New Roman" w:eastAsia="Times New Roman" w:hAnsi="Times New Roman" w:cs="Times New Roman"/>
      <w:sz w:val="24"/>
      <w:szCs w:val="20"/>
      <w:lang w:eastAsia="en-GB"/>
    </w:rPr>
  </w:style>
  <w:style w:type="paragraph" w:styleId="TOC9">
    <w:name w:val="toc 9"/>
    <w:basedOn w:val="Normal"/>
    <w:next w:val="Normal"/>
    <w:uiPriority w:val="39"/>
    <w:pPr>
      <w:tabs>
        <w:tab w:val="right" w:leader="dot" w:pos="8640"/>
      </w:tabs>
      <w:spacing w:after="240" w:line="240" w:lineRule="auto"/>
      <w:jc w:val="both"/>
    </w:pPr>
    <w:rPr>
      <w:rFonts w:ascii="Times New Roman" w:eastAsia="Times New Roman" w:hAnsi="Times New Roman" w:cs="Times New Roman"/>
      <w:sz w:val="24"/>
      <w:szCs w:val="20"/>
      <w:lang w:eastAsia="en-GB"/>
    </w:rPr>
  </w:style>
  <w:style w:type="paragraph" w:styleId="ListBullet">
    <w:name w:val="List Bullet"/>
    <w:basedOn w:val="Normal"/>
    <w:pPr>
      <w:numPr>
        <w:numId w:val="15"/>
      </w:numPr>
      <w:spacing w:after="240" w:line="240" w:lineRule="auto"/>
      <w:jc w:val="both"/>
    </w:pPr>
    <w:rPr>
      <w:rFonts w:ascii="Times New Roman" w:eastAsia="Times New Roman" w:hAnsi="Times New Roman" w:cs="Times New Roman"/>
      <w:sz w:val="24"/>
      <w:szCs w:val="20"/>
      <w:lang w:eastAsia="en-GB"/>
    </w:rPr>
  </w:style>
  <w:style w:type="paragraph" w:customStyle="1" w:styleId="ListBulletLevel2">
    <w:name w:val="List Bullet (Level 2)"/>
    <w:basedOn w:val="Text1"/>
    <w:pPr>
      <w:numPr>
        <w:ilvl w:val="1"/>
        <w:numId w:val="15"/>
      </w:numPr>
    </w:pPr>
  </w:style>
  <w:style w:type="paragraph" w:customStyle="1" w:styleId="ListBulletLevel3">
    <w:name w:val="List Bullet (Level 3)"/>
    <w:basedOn w:val="Text1"/>
    <w:unhideWhenUsed/>
    <w:pPr>
      <w:numPr>
        <w:ilvl w:val="2"/>
        <w:numId w:val="15"/>
      </w:numPr>
    </w:pPr>
  </w:style>
  <w:style w:type="paragraph" w:customStyle="1" w:styleId="ListBulletLevel4">
    <w:name w:val="List Bullet (Level 4)"/>
    <w:basedOn w:val="Text1"/>
    <w:unhideWhenUsed/>
    <w:pPr>
      <w:numPr>
        <w:ilvl w:val="3"/>
        <w:numId w:val="15"/>
      </w:numPr>
    </w:pPr>
  </w:style>
  <w:style w:type="paragraph" w:customStyle="1" w:styleId="ListBullet1">
    <w:name w:val="List Bullet 1"/>
    <w:basedOn w:val="Text1"/>
    <w:pPr>
      <w:numPr>
        <w:numId w:val="14"/>
      </w:numPr>
    </w:pPr>
  </w:style>
  <w:style w:type="paragraph" w:customStyle="1" w:styleId="ListBullet1Level2">
    <w:name w:val="List Bullet 1 (Level 2)"/>
    <w:basedOn w:val="Text1"/>
    <w:pPr>
      <w:numPr>
        <w:ilvl w:val="1"/>
        <w:numId w:val="14"/>
      </w:numPr>
    </w:pPr>
  </w:style>
  <w:style w:type="paragraph" w:customStyle="1" w:styleId="ListBullet1Level3">
    <w:name w:val="List Bullet 1 (Level 3)"/>
    <w:basedOn w:val="Text1"/>
    <w:semiHidden/>
    <w:unhideWhenUsed/>
    <w:pPr>
      <w:numPr>
        <w:ilvl w:val="2"/>
        <w:numId w:val="14"/>
      </w:numPr>
    </w:pPr>
  </w:style>
  <w:style w:type="paragraph" w:customStyle="1" w:styleId="ListBullet1Level4">
    <w:name w:val="List Bullet 1 (Level 4)"/>
    <w:basedOn w:val="Text1"/>
    <w:semiHidden/>
    <w:unhideWhenUsed/>
    <w:pPr>
      <w:numPr>
        <w:ilvl w:val="3"/>
        <w:numId w:val="14"/>
      </w:numPr>
    </w:pPr>
  </w:style>
  <w:style w:type="paragraph" w:styleId="ListBullet2">
    <w:name w:val="List Bullet 2"/>
    <w:basedOn w:val="Text2"/>
    <w:pPr>
      <w:numPr>
        <w:numId w:val="13"/>
      </w:numPr>
    </w:pPr>
  </w:style>
  <w:style w:type="paragraph" w:customStyle="1" w:styleId="ListBullet2Level2">
    <w:name w:val="List Bullet 2 (Level 2)"/>
    <w:basedOn w:val="Text2"/>
    <w:pPr>
      <w:numPr>
        <w:ilvl w:val="1"/>
        <w:numId w:val="13"/>
      </w:numPr>
    </w:pPr>
  </w:style>
  <w:style w:type="paragraph" w:customStyle="1" w:styleId="ListBullet2Level3">
    <w:name w:val="List Bullet 2 (Level 3)"/>
    <w:basedOn w:val="Text2"/>
    <w:semiHidden/>
    <w:unhideWhenUsed/>
    <w:pPr>
      <w:numPr>
        <w:ilvl w:val="2"/>
        <w:numId w:val="13"/>
      </w:numPr>
    </w:pPr>
  </w:style>
  <w:style w:type="paragraph" w:customStyle="1" w:styleId="ListBullet2Level4">
    <w:name w:val="List Bullet 2 (Level 4)"/>
    <w:basedOn w:val="Text2"/>
    <w:semiHidden/>
    <w:unhideWhenUsed/>
    <w:pPr>
      <w:numPr>
        <w:ilvl w:val="3"/>
        <w:numId w:val="13"/>
      </w:numPr>
    </w:pPr>
  </w:style>
  <w:style w:type="paragraph" w:styleId="ListBullet3">
    <w:name w:val="List Bullet 3"/>
    <w:basedOn w:val="Text3"/>
    <w:pPr>
      <w:numPr>
        <w:numId w:val="12"/>
      </w:numPr>
    </w:pPr>
  </w:style>
  <w:style w:type="paragraph" w:customStyle="1" w:styleId="ListBullet3Level2">
    <w:name w:val="List Bullet 3 (Level 2)"/>
    <w:basedOn w:val="Text3"/>
    <w:pPr>
      <w:numPr>
        <w:ilvl w:val="1"/>
        <w:numId w:val="12"/>
      </w:numPr>
    </w:pPr>
  </w:style>
  <w:style w:type="paragraph" w:customStyle="1" w:styleId="ListBullet3Level3">
    <w:name w:val="List Bullet 3 (Level 3)"/>
    <w:basedOn w:val="Text3"/>
    <w:semiHidden/>
    <w:unhideWhenUsed/>
    <w:pPr>
      <w:numPr>
        <w:ilvl w:val="2"/>
        <w:numId w:val="12"/>
      </w:numPr>
    </w:pPr>
  </w:style>
  <w:style w:type="paragraph" w:customStyle="1" w:styleId="ListBullet3Level4">
    <w:name w:val="List Bullet 3 (Level 4)"/>
    <w:basedOn w:val="Text3"/>
    <w:semiHidden/>
    <w:unhideWhenUsed/>
    <w:pPr>
      <w:numPr>
        <w:ilvl w:val="3"/>
        <w:numId w:val="12"/>
      </w:numPr>
    </w:pPr>
  </w:style>
  <w:style w:type="paragraph" w:styleId="ListBullet4">
    <w:name w:val="List Bullet 4"/>
    <w:basedOn w:val="Text4"/>
    <w:pPr>
      <w:numPr>
        <w:numId w:val="11"/>
      </w:numPr>
    </w:pPr>
  </w:style>
  <w:style w:type="paragraph" w:customStyle="1" w:styleId="ListBullet4Level2">
    <w:name w:val="List Bullet 4 (Level 2)"/>
    <w:basedOn w:val="Text4"/>
    <w:pPr>
      <w:numPr>
        <w:ilvl w:val="1"/>
        <w:numId w:val="11"/>
      </w:numPr>
    </w:pPr>
  </w:style>
  <w:style w:type="paragraph" w:customStyle="1" w:styleId="ListBullet4Level3">
    <w:name w:val="List Bullet 4 (Level 3)"/>
    <w:basedOn w:val="Text4"/>
    <w:semiHidden/>
    <w:unhideWhenUsed/>
    <w:pPr>
      <w:numPr>
        <w:ilvl w:val="2"/>
        <w:numId w:val="11"/>
      </w:numPr>
    </w:pPr>
  </w:style>
  <w:style w:type="paragraph" w:customStyle="1" w:styleId="ListBullet4Level4">
    <w:name w:val="List Bullet 4 (Level 4)"/>
    <w:basedOn w:val="Text4"/>
    <w:semiHidden/>
    <w:unhideWhenUsed/>
    <w:pPr>
      <w:numPr>
        <w:ilvl w:val="3"/>
        <w:numId w:val="11"/>
      </w:numPr>
    </w:pPr>
  </w:style>
  <w:style w:type="paragraph" w:customStyle="1" w:styleId="ListDash">
    <w:name w:val="List Dash"/>
    <w:basedOn w:val="Normal"/>
    <w:pPr>
      <w:numPr>
        <w:numId w:val="5"/>
      </w:numPr>
      <w:spacing w:after="240" w:line="240" w:lineRule="auto"/>
      <w:jc w:val="both"/>
    </w:pPr>
    <w:rPr>
      <w:rFonts w:ascii="Times New Roman" w:eastAsia="Times New Roman" w:hAnsi="Times New Roman" w:cs="Times New Roman"/>
      <w:sz w:val="24"/>
      <w:szCs w:val="20"/>
      <w:lang w:eastAsia="en-GB"/>
    </w:rPr>
  </w:style>
  <w:style w:type="paragraph" w:customStyle="1" w:styleId="ListDashLevel2">
    <w:name w:val="List Dash (Level 2)"/>
    <w:basedOn w:val="Normal"/>
    <w:pPr>
      <w:numPr>
        <w:ilvl w:val="1"/>
        <w:numId w:val="5"/>
      </w:numPr>
      <w:spacing w:after="240" w:line="240" w:lineRule="auto"/>
      <w:jc w:val="both"/>
    </w:pPr>
    <w:rPr>
      <w:rFonts w:ascii="Times New Roman" w:eastAsia="Times New Roman" w:hAnsi="Times New Roman" w:cs="Times New Roman"/>
      <w:sz w:val="24"/>
      <w:szCs w:val="20"/>
      <w:lang w:eastAsia="en-GB"/>
    </w:rPr>
  </w:style>
  <w:style w:type="paragraph" w:customStyle="1" w:styleId="ListDashLevel3">
    <w:name w:val="List Dash (Level 3)"/>
    <w:basedOn w:val="Normal"/>
    <w:unhideWhenUsed/>
    <w:pPr>
      <w:numPr>
        <w:ilvl w:val="2"/>
        <w:numId w:val="5"/>
      </w:numPr>
      <w:spacing w:after="240" w:line="240" w:lineRule="auto"/>
      <w:jc w:val="both"/>
    </w:pPr>
    <w:rPr>
      <w:rFonts w:ascii="Times New Roman" w:eastAsia="Times New Roman" w:hAnsi="Times New Roman" w:cs="Times New Roman"/>
      <w:sz w:val="24"/>
      <w:szCs w:val="20"/>
      <w:lang w:eastAsia="en-GB"/>
    </w:rPr>
  </w:style>
  <w:style w:type="paragraph" w:customStyle="1" w:styleId="ListDashLevel4">
    <w:name w:val="List Dash (Level 4)"/>
    <w:basedOn w:val="Normal"/>
    <w:unhideWhenUsed/>
    <w:pPr>
      <w:numPr>
        <w:ilvl w:val="3"/>
        <w:numId w:val="5"/>
      </w:numPr>
      <w:spacing w:after="240" w:line="240" w:lineRule="auto"/>
      <w:jc w:val="both"/>
    </w:pPr>
    <w:rPr>
      <w:rFonts w:ascii="Times New Roman" w:eastAsia="Times New Roman" w:hAnsi="Times New Roman" w:cs="Times New Roman"/>
      <w:sz w:val="24"/>
      <w:szCs w:val="20"/>
      <w:lang w:eastAsia="en-GB"/>
    </w:rPr>
  </w:style>
  <w:style w:type="paragraph" w:customStyle="1" w:styleId="ListDash1">
    <w:name w:val="List Dash 1"/>
    <w:basedOn w:val="Text1"/>
    <w:pPr>
      <w:numPr>
        <w:numId w:val="4"/>
      </w:numPr>
    </w:pPr>
  </w:style>
  <w:style w:type="paragraph" w:customStyle="1" w:styleId="ListDash1Level2">
    <w:name w:val="List Dash 1 (Level 2)"/>
    <w:basedOn w:val="Text1"/>
    <w:pPr>
      <w:numPr>
        <w:ilvl w:val="1"/>
        <w:numId w:val="4"/>
      </w:numPr>
    </w:pPr>
  </w:style>
  <w:style w:type="paragraph" w:customStyle="1" w:styleId="ListDash1Level3">
    <w:name w:val="List Dash 1 (Level 3)"/>
    <w:basedOn w:val="Text1"/>
    <w:semiHidden/>
    <w:unhideWhenUsed/>
    <w:pPr>
      <w:numPr>
        <w:ilvl w:val="2"/>
        <w:numId w:val="4"/>
      </w:numPr>
    </w:pPr>
  </w:style>
  <w:style w:type="paragraph" w:customStyle="1" w:styleId="ListDash1Level4">
    <w:name w:val="List Dash 1 (Level 4)"/>
    <w:basedOn w:val="Text1"/>
    <w:semiHidden/>
    <w:unhideWhenUsed/>
    <w:pPr>
      <w:numPr>
        <w:ilvl w:val="3"/>
        <w:numId w:val="4"/>
      </w:numPr>
    </w:pPr>
  </w:style>
  <w:style w:type="paragraph" w:customStyle="1" w:styleId="ListDash2">
    <w:name w:val="List Dash 2"/>
    <w:basedOn w:val="Text2"/>
    <w:pPr>
      <w:numPr>
        <w:numId w:val="3"/>
      </w:numPr>
    </w:pPr>
  </w:style>
  <w:style w:type="paragraph" w:customStyle="1" w:styleId="ListDash2Level2">
    <w:name w:val="List Dash 2 (Level 2)"/>
    <w:basedOn w:val="Text2"/>
    <w:pPr>
      <w:numPr>
        <w:ilvl w:val="1"/>
        <w:numId w:val="3"/>
      </w:numPr>
    </w:pPr>
  </w:style>
  <w:style w:type="paragraph" w:customStyle="1" w:styleId="ListDash2Level3">
    <w:name w:val="List Dash 2 (Level 3)"/>
    <w:basedOn w:val="Text2"/>
    <w:semiHidden/>
    <w:unhideWhenUsed/>
    <w:pPr>
      <w:numPr>
        <w:ilvl w:val="2"/>
        <w:numId w:val="3"/>
      </w:numPr>
    </w:pPr>
  </w:style>
  <w:style w:type="paragraph" w:customStyle="1" w:styleId="ListDash2Level4">
    <w:name w:val="List Dash 2 (Level 4)"/>
    <w:basedOn w:val="Text2"/>
    <w:semiHidden/>
    <w:unhideWhenUsed/>
    <w:pPr>
      <w:numPr>
        <w:ilvl w:val="3"/>
        <w:numId w:val="3"/>
      </w:numPr>
    </w:pPr>
  </w:style>
  <w:style w:type="paragraph" w:customStyle="1" w:styleId="ListDash3">
    <w:name w:val="List Dash 3"/>
    <w:basedOn w:val="Text3"/>
    <w:pPr>
      <w:numPr>
        <w:numId w:val="2"/>
      </w:numPr>
    </w:pPr>
  </w:style>
  <w:style w:type="paragraph" w:customStyle="1" w:styleId="ListDash3Level2">
    <w:name w:val="List Dash 3 (Level 2)"/>
    <w:basedOn w:val="Text3"/>
    <w:pPr>
      <w:numPr>
        <w:ilvl w:val="1"/>
        <w:numId w:val="2"/>
      </w:numPr>
    </w:pPr>
  </w:style>
  <w:style w:type="paragraph" w:customStyle="1" w:styleId="ListDash3Level3">
    <w:name w:val="List Dash 3 (Level 3)"/>
    <w:basedOn w:val="Text3"/>
    <w:semiHidden/>
    <w:unhideWhenUsed/>
    <w:pPr>
      <w:numPr>
        <w:ilvl w:val="2"/>
        <w:numId w:val="2"/>
      </w:numPr>
    </w:pPr>
  </w:style>
  <w:style w:type="paragraph" w:customStyle="1" w:styleId="ListDash3Level4">
    <w:name w:val="List Dash 3 (Level 4)"/>
    <w:basedOn w:val="Text3"/>
    <w:semiHidden/>
    <w:unhideWhenUsed/>
    <w:pPr>
      <w:numPr>
        <w:ilvl w:val="3"/>
        <w:numId w:val="2"/>
      </w:numPr>
    </w:pPr>
  </w:style>
  <w:style w:type="paragraph" w:customStyle="1" w:styleId="ListDash4">
    <w:name w:val="List Dash 4"/>
    <w:basedOn w:val="Text4"/>
    <w:pPr>
      <w:numPr>
        <w:numId w:val="1"/>
      </w:numPr>
    </w:pPr>
  </w:style>
  <w:style w:type="paragraph" w:customStyle="1" w:styleId="ListDash4Level2">
    <w:name w:val="List Dash 4 (Level 2)"/>
    <w:basedOn w:val="Text4"/>
    <w:pPr>
      <w:numPr>
        <w:ilvl w:val="1"/>
        <w:numId w:val="1"/>
      </w:numPr>
    </w:pPr>
  </w:style>
  <w:style w:type="paragraph" w:customStyle="1" w:styleId="ListDash4Level3">
    <w:name w:val="List Dash 4 (Level 3)"/>
    <w:basedOn w:val="Text4"/>
    <w:semiHidden/>
    <w:unhideWhenUsed/>
    <w:pPr>
      <w:numPr>
        <w:ilvl w:val="2"/>
        <w:numId w:val="1"/>
      </w:numPr>
    </w:pPr>
  </w:style>
  <w:style w:type="paragraph" w:customStyle="1" w:styleId="ListDash4Level4">
    <w:name w:val="List Dash 4 (Level 4)"/>
    <w:basedOn w:val="Text4"/>
    <w:semiHidden/>
    <w:unhideWhenUsed/>
    <w:pPr>
      <w:numPr>
        <w:ilvl w:val="3"/>
        <w:numId w:val="1"/>
      </w:numPr>
    </w:pPr>
  </w:style>
  <w:style w:type="paragraph" w:styleId="ListNumber">
    <w:name w:val="List Number"/>
    <w:basedOn w:val="Normal"/>
    <w:pPr>
      <w:numPr>
        <w:numId w:val="10"/>
      </w:numPr>
      <w:spacing w:after="240" w:line="240" w:lineRule="auto"/>
      <w:jc w:val="both"/>
    </w:pPr>
    <w:rPr>
      <w:rFonts w:ascii="Times New Roman" w:eastAsia="Times New Roman" w:hAnsi="Times New Roman" w:cs="Times New Roman"/>
      <w:sz w:val="24"/>
      <w:szCs w:val="20"/>
      <w:lang w:eastAsia="en-GB"/>
    </w:rPr>
  </w:style>
  <w:style w:type="paragraph" w:customStyle="1" w:styleId="ListNumberLevel2">
    <w:name w:val="List Number (Level 2)"/>
    <w:basedOn w:val="Normal"/>
    <w:pPr>
      <w:numPr>
        <w:ilvl w:val="1"/>
        <w:numId w:val="10"/>
      </w:numPr>
      <w:spacing w:after="240" w:line="240" w:lineRule="auto"/>
      <w:jc w:val="both"/>
    </w:pPr>
    <w:rPr>
      <w:rFonts w:ascii="Times New Roman" w:eastAsia="Times New Roman" w:hAnsi="Times New Roman" w:cs="Times New Roman"/>
      <w:sz w:val="24"/>
      <w:szCs w:val="20"/>
      <w:lang w:eastAsia="en-GB"/>
    </w:rPr>
  </w:style>
  <w:style w:type="paragraph" w:customStyle="1" w:styleId="ListNumberLevel3">
    <w:name w:val="List Number (Level 3)"/>
    <w:basedOn w:val="Normal"/>
    <w:unhideWhenUsed/>
    <w:pPr>
      <w:numPr>
        <w:ilvl w:val="2"/>
        <w:numId w:val="10"/>
      </w:numPr>
      <w:spacing w:after="240" w:line="240" w:lineRule="auto"/>
      <w:jc w:val="both"/>
    </w:pPr>
    <w:rPr>
      <w:rFonts w:ascii="Times New Roman" w:eastAsia="Times New Roman" w:hAnsi="Times New Roman" w:cs="Times New Roman"/>
      <w:sz w:val="24"/>
      <w:szCs w:val="20"/>
      <w:lang w:eastAsia="en-GB"/>
    </w:rPr>
  </w:style>
  <w:style w:type="paragraph" w:customStyle="1" w:styleId="ListNumberLevel4">
    <w:name w:val="List Number (Level 4)"/>
    <w:basedOn w:val="Normal"/>
    <w:unhideWhenUsed/>
    <w:pPr>
      <w:numPr>
        <w:ilvl w:val="3"/>
        <w:numId w:val="10"/>
      </w:numPr>
      <w:spacing w:after="240" w:line="240" w:lineRule="auto"/>
      <w:jc w:val="both"/>
    </w:pPr>
    <w:rPr>
      <w:rFonts w:ascii="Times New Roman" w:eastAsia="Times New Roman" w:hAnsi="Times New Roman" w:cs="Times New Roman"/>
      <w:sz w:val="24"/>
      <w:szCs w:val="20"/>
      <w:lang w:eastAsia="en-GB"/>
    </w:rPr>
  </w:style>
  <w:style w:type="paragraph" w:customStyle="1" w:styleId="ListNumber1">
    <w:name w:val="List Number 1"/>
    <w:basedOn w:val="Text1"/>
    <w:pPr>
      <w:numPr>
        <w:numId w:val="9"/>
      </w:numPr>
    </w:pPr>
  </w:style>
  <w:style w:type="paragraph" w:customStyle="1" w:styleId="ListNumber1Level2">
    <w:name w:val="List Number 1 (Level 2)"/>
    <w:basedOn w:val="Text1"/>
    <w:pPr>
      <w:numPr>
        <w:ilvl w:val="1"/>
        <w:numId w:val="9"/>
      </w:numPr>
    </w:pPr>
  </w:style>
  <w:style w:type="paragraph" w:customStyle="1" w:styleId="ListNumber1Level3">
    <w:name w:val="List Number 1 (Level 3)"/>
    <w:basedOn w:val="Text1"/>
    <w:semiHidden/>
    <w:unhideWhenUsed/>
    <w:pPr>
      <w:numPr>
        <w:ilvl w:val="2"/>
        <w:numId w:val="9"/>
      </w:numPr>
    </w:pPr>
  </w:style>
  <w:style w:type="paragraph" w:customStyle="1" w:styleId="ListNumber1Level4">
    <w:name w:val="List Number 1 (Level 4)"/>
    <w:basedOn w:val="Text1"/>
    <w:semiHidden/>
    <w:unhideWhenUsed/>
    <w:pPr>
      <w:numPr>
        <w:ilvl w:val="3"/>
        <w:numId w:val="9"/>
      </w:numPr>
    </w:pPr>
  </w:style>
  <w:style w:type="paragraph" w:styleId="ListNumber2">
    <w:name w:val="List Number 2"/>
    <w:basedOn w:val="Text2"/>
    <w:pPr>
      <w:numPr>
        <w:numId w:val="8"/>
      </w:numPr>
    </w:pPr>
  </w:style>
  <w:style w:type="paragraph" w:customStyle="1" w:styleId="ListNumber2Level2">
    <w:name w:val="List Number 2 (Level 2)"/>
    <w:basedOn w:val="Text2"/>
    <w:pPr>
      <w:numPr>
        <w:ilvl w:val="1"/>
        <w:numId w:val="8"/>
      </w:numPr>
    </w:pPr>
  </w:style>
  <w:style w:type="paragraph" w:customStyle="1" w:styleId="ListNumber2Level3">
    <w:name w:val="List Number 2 (Level 3)"/>
    <w:basedOn w:val="Text2"/>
    <w:semiHidden/>
    <w:unhideWhenUsed/>
    <w:pPr>
      <w:numPr>
        <w:ilvl w:val="2"/>
        <w:numId w:val="8"/>
      </w:numPr>
    </w:pPr>
  </w:style>
  <w:style w:type="paragraph" w:customStyle="1" w:styleId="ListNumber2Level4">
    <w:name w:val="List Number 2 (Level 4)"/>
    <w:basedOn w:val="Text2"/>
    <w:semiHidden/>
    <w:unhideWhenUsed/>
    <w:pPr>
      <w:numPr>
        <w:ilvl w:val="3"/>
        <w:numId w:val="8"/>
      </w:numPr>
    </w:pPr>
  </w:style>
  <w:style w:type="paragraph" w:styleId="ListNumber3">
    <w:name w:val="List Number 3"/>
    <w:basedOn w:val="Text3"/>
    <w:pPr>
      <w:numPr>
        <w:numId w:val="7"/>
      </w:numPr>
    </w:pPr>
  </w:style>
  <w:style w:type="paragraph" w:customStyle="1" w:styleId="ListNumber3Level2">
    <w:name w:val="List Number 3 (Level 2)"/>
    <w:basedOn w:val="Text3"/>
    <w:pPr>
      <w:numPr>
        <w:ilvl w:val="1"/>
        <w:numId w:val="7"/>
      </w:numPr>
    </w:pPr>
  </w:style>
  <w:style w:type="paragraph" w:customStyle="1" w:styleId="ListNumber3Level3">
    <w:name w:val="List Number 3 (Level 3)"/>
    <w:basedOn w:val="Text3"/>
    <w:semiHidden/>
    <w:unhideWhenUsed/>
    <w:pPr>
      <w:numPr>
        <w:ilvl w:val="2"/>
        <w:numId w:val="7"/>
      </w:numPr>
    </w:pPr>
  </w:style>
  <w:style w:type="paragraph" w:customStyle="1" w:styleId="ListNumber3Level4">
    <w:name w:val="List Number 3 (Level 4)"/>
    <w:basedOn w:val="Text3"/>
    <w:semiHidden/>
    <w:unhideWhenUsed/>
    <w:pPr>
      <w:numPr>
        <w:ilvl w:val="3"/>
        <w:numId w:val="7"/>
      </w:numPr>
    </w:pPr>
  </w:style>
  <w:style w:type="paragraph" w:styleId="ListNumber4">
    <w:name w:val="List Number 4"/>
    <w:basedOn w:val="Text4"/>
    <w:pPr>
      <w:numPr>
        <w:numId w:val="6"/>
      </w:numPr>
    </w:pPr>
  </w:style>
  <w:style w:type="paragraph" w:customStyle="1" w:styleId="ListNumber4Level2">
    <w:name w:val="List Number 4 (Level 2)"/>
    <w:basedOn w:val="Text4"/>
    <w:pPr>
      <w:numPr>
        <w:ilvl w:val="1"/>
        <w:numId w:val="6"/>
      </w:numPr>
    </w:pPr>
  </w:style>
  <w:style w:type="paragraph" w:customStyle="1" w:styleId="ListNumber4Level3">
    <w:name w:val="List Number 4 (Level 3)"/>
    <w:basedOn w:val="Text4"/>
    <w:semiHidden/>
    <w:unhideWhenUsed/>
    <w:pPr>
      <w:numPr>
        <w:ilvl w:val="2"/>
        <w:numId w:val="6"/>
      </w:numPr>
    </w:pPr>
  </w:style>
  <w:style w:type="paragraph" w:customStyle="1" w:styleId="ListNumber4Level4">
    <w:name w:val="List Number 4 (Level 4)"/>
    <w:basedOn w:val="Text4"/>
    <w:semiHidden/>
    <w:unhideWhenUsed/>
    <w:pPr>
      <w:numPr>
        <w:ilvl w:val="3"/>
        <w:numId w:val="6"/>
      </w:numPr>
    </w:pPr>
  </w:style>
  <w:style w:type="paragraph" w:customStyle="1" w:styleId="Marking">
    <w:name w:val="Marking"/>
    <w:basedOn w:val="Normal"/>
    <w:pPr>
      <w:spacing w:after="240"/>
      <w:ind w:left="5102" w:right="-567"/>
      <w:contextualSpacing/>
    </w:pPr>
    <w:rPr>
      <w:rFonts w:ascii="Times New Roman" w:eastAsia="Times New Roman" w:hAnsi="Times New Roman" w:cs="Times New Roman"/>
      <w:sz w:val="28"/>
      <w:szCs w:val="20"/>
      <w:lang w:eastAsia="en-GB"/>
    </w:rPr>
  </w:style>
  <w:style w:type="paragraph" w:customStyle="1" w:styleId="LegalNumPar">
    <w:name w:val="LegalNumPar"/>
    <w:basedOn w:val="Normal"/>
    <w:uiPriority w:val="90"/>
    <w:qFormat/>
    <w:pPr>
      <w:numPr>
        <w:numId w:val="17"/>
      </w:numPr>
      <w:spacing w:after="240" w:line="360" w:lineRule="auto"/>
      <w:jc w:val="both"/>
    </w:pPr>
    <w:rPr>
      <w:rFonts w:ascii="Times New Roman" w:eastAsia="Times New Roman" w:hAnsi="Times New Roman" w:cs="Times New Roman"/>
      <w:sz w:val="24"/>
      <w:szCs w:val="20"/>
      <w:lang w:eastAsia="en-GB"/>
    </w:rPr>
  </w:style>
  <w:style w:type="paragraph" w:customStyle="1" w:styleId="LegalNumPar2">
    <w:name w:val="LegalNumPar2"/>
    <w:basedOn w:val="Normal"/>
    <w:pPr>
      <w:numPr>
        <w:ilvl w:val="1"/>
        <w:numId w:val="17"/>
      </w:numPr>
      <w:spacing w:after="240" w:line="360" w:lineRule="auto"/>
      <w:jc w:val="both"/>
    </w:pPr>
    <w:rPr>
      <w:rFonts w:ascii="Times New Roman" w:eastAsia="Times New Roman" w:hAnsi="Times New Roman" w:cs="Times New Roman"/>
      <w:sz w:val="24"/>
      <w:szCs w:val="20"/>
      <w:lang w:eastAsia="en-GB"/>
    </w:rPr>
  </w:style>
  <w:style w:type="paragraph" w:customStyle="1" w:styleId="LegalNumPar3">
    <w:name w:val="LegalNumPar3"/>
    <w:basedOn w:val="Normal"/>
    <w:pPr>
      <w:numPr>
        <w:ilvl w:val="2"/>
        <w:numId w:val="17"/>
      </w:numPr>
      <w:spacing w:after="240" w:line="360" w:lineRule="auto"/>
      <w:jc w:val="both"/>
    </w:pPr>
    <w:rPr>
      <w:rFonts w:ascii="Times New Roman" w:eastAsia="Times New Roman" w:hAnsi="Times New Roman" w:cs="Times New Roman"/>
      <w:sz w:val="24"/>
      <w:szCs w:val="20"/>
      <w:lang w:eastAsia="en-GB"/>
    </w:rPr>
  </w:style>
  <w:style w:type="table" w:customStyle="1" w:styleId="TableHistory">
    <w:name w:val="Table History"/>
    <w:basedOn w:val="TableNormal"/>
    <w:uiPriority w:val="99"/>
    <w:pPr>
      <w:spacing w:before="60" w:after="60" w:line="264" w:lineRule="auto"/>
    </w:pPr>
    <w:rPr>
      <w:rFonts w:ascii="Times New Roman" w:eastAsia="Times New Roman" w:hAnsi="Times New Roman" w:cs="Times New Roman"/>
      <w:szCs w:val="20"/>
      <w:lang w:eastAsia="en-GB"/>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uiPriority w:val="99"/>
    <w:pPr>
      <w:spacing w:after="0" w:line="240" w:lineRule="auto"/>
    </w:pPr>
    <w:rPr>
      <w:rFonts w:ascii="Times New Roman" w:eastAsia="Times New Roman" w:hAnsi="Times New Roman" w:cs="Times New Roman"/>
      <w:sz w:val="24"/>
      <w:szCs w:val="20"/>
      <w:lang w:eastAsia="en-GB"/>
    </w:rPr>
    <w:tblPr>
      <w:tblCellMar>
        <w:left w:w="0" w:type="dxa"/>
        <w:bottom w:w="340" w:type="dxa"/>
        <w:right w:w="0" w:type="dxa"/>
      </w:tblCellMar>
    </w:tblPr>
  </w:style>
  <w:style w:type="character" w:styleId="FootnoteReference">
    <w:name w:val="footnote reference"/>
    <w:aliases w:val="Footnote symbol,Footnote Reference Superscript,BVI fnr,SUPERS,Footnote reference number,Footnote number,note TESI,EN Footnote Reference,Times 10 Point,Exposant 3 Point,-E Fußnotenzeichen,Fußnotenzeichen2,fr, BVI fnr,E FNZ,Footnote#"/>
    <w:basedOn w:val="DefaultParagraphFont"/>
    <w:link w:val="AppelnotedebasdepageCharCharCharCharCharCharChar"/>
    <w:uiPriority w:val="99"/>
    <w:unhideWhenUsed/>
    <w:qFormat/>
    <w:rPr>
      <w:vertAlign w:val="superscript"/>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Pr>
      <w:rFonts w:ascii="Segoe UI" w:hAnsi="Segoe UI" w:cs="Segoe UI"/>
      <w:sz w:val="18"/>
      <w:szCs w:val="18"/>
    </w:rPr>
  </w:style>
  <w:style w:type="paragraph" w:styleId="ListParagraph">
    <w:name w:val="List Paragraph"/>
    <w:basedOn w:val="Normal"/>
    <w:uiPriority w:val="34"/>
    <w:qFormat/>
    <w:pPr>
      <w:ind w:left="720"/>
      <w:contextualSpacing/>
    </w:pPr>
  </w:style>
  <w:style w:type="character" w:styleId="FollowedHyperlink">
    <w:name w:val="FollowedHyperlink"/>
    <w:basedOn w:val="DefaultParagraphFont"/>
    <w:uiPriority w:val="99"/>
    <w:semiHidden/>
    <w:unhideWhenUsed/>
    <w:rPr>
      <w:color w:val="800080" w:themeColor="followedHyperlink"/>
      <w:u w:val="single"/>
    </w:rPr>
  </w:style>
  <w:style w:type="table" w:styleId="TableGrid">
    <w:name w:val="Table Grid"/>
    <w:basedOn w:val="TableNormal"/>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Strong">
    <w:name w:val="Strong"/>
    <w:basedOn w:val="DefaultParagraphFont"/>
    <w:uiPriority w:val="22"/>
    <w:qFormat/>
    <w:rPr>
      <w:b/>
      <w:bCs/>
    </w:rPr>
  </w:style>
  <w:style w:type="paragraph" w:styleId="CommentSubject">
    <w:name w:val="annotation subject"/>
    <w:basedOn w:val="CommentText"/>
    <w:next w:val="CommentText"/>
    <w:link w:val="CommentSubjectChar"/>
    <w:semiHidden/>
    <w:unhideWhenUsed/>
    <w:rPr>
      <w:b/>
      <w:bCs/>
    </w:rPr>
  </w:style>
  <w:style w:type="character" w:customStyle="1" w:styleId="CommentSubjectChar">
    <w:name w:val="Comment Subject Char"/>
    <w:basedOn w:val="CommentTextChar"/>
    <w:link w:val="CommentSubject"/>
    <w:semiHidden/>
    <w:rPr>
      <w:b/>
      <w:bCs/>
      <w:sz w:val="20"/>
      <w:szCs w:val="20"/>
    </w:rPr>
  </w:style>
  <w:style w:type="paragraph" w:styleId="Revision">
    <w:name w:val="Revision"/>
    <w:hidden/>
    <w:uiPriority w:val="99"/>
    <w:semiHidden/>
    <w:pPr>
      <w:spacing w:after="0" w:line="240" w:lineRule="auto"/>
    </w:p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normal">
    <w:name w:val="x_msonormal"/>
    <w:basedOn w:val="Normal"/>
    <w:pPr>
      <w:spacing w:before="100" w:beforeAutospacing="1" w:after="100" w:afterAutospacing="1" w:line="240" w:lineRule="auto"/>
    </w:pPr>
    <w:rPr>
      <w:rFonts w:ascii="Times" w:hAnsi="Times"/>
      <w:sz w:val="20"/>
      <w:szCs w:val="20"/>
    </w:rPr>
  </w:style>
  <w:style w:type="paragraph" w:customStyle="1" w:styleId="s77">
    <w:name w:val="s77"/>
    <w:basedOn w:val="Normal"/>
    <w:pPr>
      <w:spacing w:before="100" w:beforeAutospacing="1" w:after="100" w:afterAutospacing="1" w:line="240" w:lineRule="auto"/>
    </w:pPr>
    <w:rPr>
      <w:rFonts w:ascii="Times New Roman" w:hAnsi="Times New Roman" w:cs="Times New Roman"/>
      <w:sz w:val="24"/>
      <w:szCs w:val="24"/>
      <w:lang w:eastAsia="en-GB"/>
    </w:rPr>
  </w:style>
  <w:style w:type="character" w:customStyle="1" w:styleId="s76">
    <w:name w:val="s76"/>
    <w:basedOn w:val="DefaultParagraphFont"/>
  </w:style>
  <w:style w:type="character" w:customStyle="1" w:styleId="s91">
    <w:name w:val="s91"/>
    <w:basedOn w:val="DefaultParagraphFont"/>
  </w:style>
  <w:style w:type="paragraph" w:customStyle="1" w:styleId="TableText">
    <w:name w:val="Table Text"/>
    <w:basedOn w:val="Normal"/>
    <w:uiPriority w:val="90"/>
    <w:qFormat/>
    <w:pPr>
      <w:spacing w:before="60" w:after="60" w:line="264" w:lineRule="auto"/>
      <w:jc w:val="both"/>
    </w:pPr>
    <w:rPr>
      <w:rFonts w:ascii="Times New Roman" w:eastAsia="Times New Roman" w:hAnsi="Times New Roman" w:cs="Times New Roman"/>
      <w:szCs w:val="20"/>
    </w:rPr>
  </w:style>
  <w:style w:type="paragraph" w:customStyle="1" w:styleId="FITTable">
    <w:name w:val="FIT Table"/>
    <w:basedOn w:val="Normal"/>
    <w:pPr>
      <w:spacing w:before="60" w:after="60" w:line="264" w:lineRule="auto"/>
      <w:jc w:val="both"/>
    </w:pPr>
    <w:rPr>
      <w:rFonts w:ascii="Times New Roman" w:eastAsia="Times New Roman" w:hAnsi="Times New Roman" w:cs="Times New Roman"/>
      <w:szCs w:val="20"/>
    </w:rPr>
  </w:style>
  <w:style w:type="paragraph" w:customStyle="1" w:styleId="GlossaryHeading">
    <w:name w:val="GlossaryHeading"/>
    <w:basedOn w:val="Normal"/>
    <w:pPr>
      <w:spacing w:after="480" w:line="264" w:lineRule="auto"/>
      <w:jc w:val="center"/>
      <w:outlineLvl w:val="0"/>
    </w:pPr>
    <w:rPr>
      <w:rFonts w:ascii="Times New Roman Bold" w:eastAsia="Times New Roman" w:hAnsi="Times New Roman Bold" w:cs="Times New Roman"/>
      <w:b/>
      <w:sz w:val="32"/>
      <w:szCs w:val="20"/>
    </w:rPr>
  </w:style>
  <w:style w:type="paragraph" w:customStyle="1" w:styleId="Glossary">
    <w:name w:val="Glossary"/>
    <w:basedOn w:val="Normal"/>
    <w:uiPriority w:val="90"/>
    <w:qFormat/>
    <w:pPr>
      <w:tabs>
        <w:tab w:val="left" w:pos="2835"/>
      </w:tabs>
      <w:spacing w:after="120" w:line="264" w:lineRule="auto"/>
      <w:ind w:left="2835" w:hanging="2835"/>
    </w:pPr>
    <w:rPr>
      <w:rFonts w:ascii="Times New Roman" w:eastAsia="Times New Roman" w:hAnsi="Times New Roman" w:cs="Times New Roman"/>
      <w:szCs w:val="20"/>
    </w:rPr>
  </w:style>
  <w:style w:type="paragraph" w:customStyle="1" w:styleId="Citation">
    <w:name w:val="Citation"/>
    <w:basedOn w:val="Normal"/>
    <w:link w:val="CitationChar"/>
    <w:uiPriority w:val="90"/>
    <w:qFormat/>
    <w:pPr>
      <w:spacing w:after="120" w:line="264" w:lineRule="auto"/>
      <w:ind w:left="454" w:right="454"/>
      <w:jc w:val="both"/>
    </w:pPr>
    <w:rPr>
      <w:rFonts w:ascii="Times New Roman" w:eastAsia="Times New Roman" w:hAnsi="Times New Roman" w:cs="Times New Roman"/>
      <w:i/>
      <w:szCs w:val="20"/>
    </w:rPr>
  </w:style>
  <w:style w:type="character" w:customStyle="1" w:styleId="CitationChar">
    <w:name w:val="Citation Char"/>
    <w:link w:val="Citation"/>
    <w:uiPriority w:val="90"/>
    <w:qFormat/>
    <w:rPr>
      <w:rFonts w:ascii="Times New Roman" w:eastAsia="Times New Roman" w:hAnsi="Times New Roman" w:cs="Times New Roman"/>
      <w:i/>
      <w:szCs w:val="20"/>
    </w:rPr>
  </w:style>
  <w:style w:type="table" w:customStyle="1" w:styleId="PropertiesTable">
    <w:name w:val="Properties Table"/>
    <w:basedOn w:val="TableNormal"/>
    <w:uiPriority w:val="99"/>
    <w:pPr>
      <w:spacing w:after="120" w:line="264" w:lineRule="auto"/>
    </w:pPr>
    <w:rPr>
      <w:rFonts w:ascii="Times New Roman" w:eastAsia="Times New Roman" w:hAnsi="Times New Roman" w:cs="Times New Roman"/>
      <w:sz w:val="24"/>
      <w:szCs w:val="20"/>
    </w:rPr>
    <w:tblPr>
      <w:tblInd w:w="1984" w:type="dxa"/>
    </w:tblPr>
  </w:style>
  <w:style w:type="paragraph" w:styleId="TableofFigures">
    <w:name w:val="table of figures"/>
    <w:basedOn w:val="Normal"/>
    <w:next w:val="Normal"/>
    <w:uiPriority w:val="99"/>
    <w:unhideWhenUsed/>
    <w:pPr>
      <w:spacing w:after="0"/>
    </w:pPr>
  </w:style>
  <w:style w:type="paragraph" w:styleId="NoSpacing">
    <w:name w:val="No Spacing"/>
    <w:link w:val="NoSpacingChar"/>
    <w:uiPriority w:val="1"/>
    <w:qFormat/>
    <w:pPr>
      <w:spacing w:after="0" w:line="240" w:lineRule="auto"/>
    </w:pPr>
    <w:rPr>
      <w:rFonts w:eastAsiaTheme="minorEastAsia"/>
    </w:rPr>
  </w:style>
  <w:style w:type="character" w:customStyle="1" w:styleId="NoSpacingChar">
    <w:name w:val="No Spacing Char"/>
    <w:basedOn w:val="DefaultParagraphFont"/>
    <w:link w:val="NoSpacing"/>
    <w:uiPriority w:val="1"/>
    <w:rPr>
      <w:rFonts w:eastAsiaTheme="minorEastAsia"/>
      <w:lang w:val="es-ES"/>
    </w:rPr>
  </w:style>
  <w:style w:type="paragraph" w:customStyle="1" w:styleId="AppelnotedebasdepageCharCharCharCharCharCharChar">
    <w:name w:val="Appel note de bas de page Char Char Char Char Char Char Char"/>
    <w:basedOn w:val="Normal"/>
    <w:link w:val="FootnoteReference"/>
    <w:uiPriority w:val="99"/>
    <w:pPr>
      <w:spacing w:after="0" w:line="240" w:lineRule="auto"/>
      <w:jc w:val="both"/>
    </w:pPr>
    <w:rPr>
      <w:vertAlign w:val="superscript"/>
    </w:rPr>
  </w:style>
  <w:style w:type="numbering" w:customStyle="1" w:styleId="NoList1">
    <w:name w:val="No List1"/>
    <w:next w:val="NoList"/>
    <w:uiPriority w:val="99"/>
    <w:semiHidden/>
    <w:unhideWhenUsed/>
  </w:style>
  <w:style w:type="paragraph" w:customStyle="1" w:styleId="BVIfnrCharCharCharChar">
    <w:name w:val="BVI fnr Char Char Char Char"/>
    <w:aliases w:val="BVI fnr Car Car Char Char Char Char,BVI fnr Car Char Char Char Char,BVI fnr Car Car Car Car Char Char Char Char"/>
    <w:basedOn w:val="Normal"/>
    <w:uiPriority w:val="99"/>
    <w:pPr>
      <w:spacing w:after="160" w:line="240" w:lineRule="exact"/>
    </w:pPr>
    <w:rPr>
      <w:rFonts w:ascii="Times New Roman" w:eastAsia="Times New Roman" w:hAnsi="Times New Roman" w:cs="Times New Roman"/>
      <w:sz w:val="24"/>
      <w:szCs w:val="20"/>
      <w:vertAlign w:val="superscript"/>
      <w:lang w:eastAsia="en-GB"/>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 w:type="character" w:styleId="EndnoteReference">
    <w:name w:val="endnote reference"/>
    <w:basedOn w:val="DefaultParagraphFont"/>
    <w:uiPriority w:val="99"/>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459614">
      <w:bodyDiv w:val="1"/>
      <w:marLeft w:val="0"/>
      <w:marRight w:val="0"/>
      <w:marTop w:val="0"/>
      <w:marBottom w:val="0"/>
      <w:divBdr>
        <w:top w:val="none" w:sz="0" w:space="0" w:color="auto"/>
        <w:left w:val="none" w:sz="0" w:space="0" w:color="auto"/>
        <w:bottom w:val="none" w:sz="0" w:space="0" w:color="auto"/>
        <w:right w:val="none" w:sz="0" w:space="0" w:color="auto"/>
      </w:divBdr>
    </w:div>
    <w:div w:id="258292327">
      <w:bodyDiv w:val="1"/>
      <w:marLeft w:val="0"/>
      <w:marRight w:val="0"/>
      <w:marTop w:val="0"/>
      <w:marBottom w:val="0"/>
      <w:divBdr>
        <w:top w:val="none" w:sz="0" w:space="0" w:color="auto"/>
        <w:left w:val="none" w:sz="0" w:space="0" w:color="auto"/>
        <w:bottom w:val="none" w:sz="0" w:space="0" w:color="auto"/>
        <w:right w:val="none" w:sz="0" w:space="0" w:color="auto"/>
      </w:divBdr>
    </w:div>
    <w:div w:id="396440200">
      <w:bodyDiv w:val="1"/>
      <w:marLeft w:val="0"/>
      <w:marRight w:val="0"/>
      <w:marTop w:val="0"/>
      <w:marBottom w:val="0"/>
      <w:divBdr>
        <w:top w:val="none" w:sz="0" w:space="0" w:color="auto"/>
        <w:left w:val="none" w:sz="0" w:space="0" w:color="auto"/>
        <w:bottom w:val="none" w:sz="0" w:space="0" w:color="auto"/>
        <w:right w:val="none" w:sz="0" w:space="0" w:color="auto"/>
      </w:divBdr>
    </w:div>
    <w:div w:id="514150291">
      <w:bodyDiv w:val="1"/>
      <w:marLeft w:val="0"/>
      <w:marRight w:val="0"/>
      <w:marTop w:val="0"/>
      <w:marBottom w:val="0"/>
      <w:divBdr>
        <w:top w:val="none" w:sz="0" w:space="0" w:color="auto"/>
        <w:left w:val="none" w:sz="0" w:space="0" w:color="auto"/>
        <w:bottom w:val="none" w:sz="0" w:space="0" w:color="auto"/>
        <w:right w:val="none" w:sz="0" w:space="0" w:color="auto"/>
      </w:divBdr>
    </w:div>
    <w:div w:id="526867492">
      <w:bodyDiv w:val="1"/>
      <w:marLeft w:val="0"/>
      <w:marRight w:val="0"/>
      <w:marTop w:val="0"/>
      <w:marBottom w:val="0"/>
      <w:divBdr>
        <w:top w:val="none" w:sz="0" w:space="0" w:color="auto"/>
        <w:left w:val="none" w:sz="0" w:space="0" w:color="auto"/>
        <w:bottom w:val="none" w:sz="0" w:space="0" w:color="auto"/>
        <w:right w:val="none" w:sz="0" w:space="0" w:color="auto"/>
      </w:divBdr>
    </w:div>
    <w:div w:id="1204517692">
      <w:bodyDiv w:val="1"/>
      <w:marLeft w:val="0"/>
      <w:marRight w:val="0"/>
      <w:marTop w:val="0"/>
      <w:marBottom w:val="0"/>
      <w:divBdr>
        <w:top w:val="none" w:sz="0" w:space="0" w:color="auto"/>
        <w:left w:val="none" w:sz="0" w:space="0" w:color="auto"/>
        <w:bottom w:val="none" w:sz="0" w:space="0" w:color="auto"/>
        <w:right w:val="none" w:sz="0" w:space="0" w:color="auto"/>
      </w:divBdr>
    </w:div>
    <w:div w:id="1284843426">
      <w:bodyDiv w:val="1"/>
      <w:marLeft w:val="0"/>
      <w:marRight w:val="0"/>
      <w:marTop w:val="0"/>
      <w:marBottom w:val="0"/>
      <w:divBdr>
        <w:top w:val="none" w:sz="0" w:space="0" w:color="auto"/>
        <w:left w:val="none" w:sz="0" w:space="0" w:color="auto"/>
        <w:bottom w:val="none" w:sz="0" w:space="0" w:color="auto"/>
        <w:right w:val="none" w:sz="0" w:space="0" w:color="auto"/>
      </w:divBdr>
    </w:div>
    <w:div w:id="1311859669">
      <w:bodyDiv w:val="1"/>
      <w:marLeft w:val="0"/>
      <w:marRight w:val="0"/>
      <w:marTop w:val="0"/>
      <w:marBottom w:val="0"/>
      <w:divBdr>
        <w:top w:val="none" w:sz="0" w:space="0" w:color="auto"/>
        <w:left w:val="none" w:sz="0" w:space="0" w:color="auto"/>
        <w:bottom w:val="none" w:sz="0" w:space="0" w:color="auto"/>
        <w:right w:val="none" w:sz="0" w:space="0" w:color="auto"/>
      </w:divBdr>
    </w:div>
    <w:div w:id="1360005866">
      <w:bodyDiv w:val="1"/>
      <w:marLeft w:val="0"/>
      <w:marRight w:val="0"/>
      <w:marTop w:val="0"/>
      <w:marBottom w:val="0"/>
      <w:divBdr>
        <w:top w:val="none" w:sz="0" w:space="0" w:color="auto"/>
        <w:left w:val="none" w:sz="0" w:space="0" w:color="auto"/>
        <w:bottom w:val="none" w:sz="0" w:space="0" w:color="auto"/>
        <w:right w:val="none" w:sz="0" w:space="0" w:color="auto"/>
      </w:divBdr>
    </w:div>
    <w:div w:id="1433012372">
      <w:bodyDiv w:val="1"/>
      <w:marLeft w:val="0"/>
      <w:marRight w:val="0"/>
      <w:marTop w:val="0"/>
      <w:marBottom w:val="0"/>
      <w:divBdr>
        <w:top w:val="none" w:sz="0" w:space="0" w:color="auto"/>
        <w:left w:val="none" w:sz="0" w:space="0" w:color="auto"/>
        <w:bottom w:val="none" w:sz="0" w:space="0" w:color="auto"/>
        <w:right w:val="none" w:sz="0" w:space="0" w:color="auto"/>
      </w:divBdr>
    </w:div>
    <w:div w:id="1450397417">
      <w:bodyDiv w:val="1"/>
      <w:marLeft w:val="0"/>
      <w:marRight w:val="0"/>
      <w:marTop w:val="0"/>
      <w:marBottom w:val="0"/>
      <w:divBdr>
        <w:top w:val="none" w:sz="0" w:space="0" w:color="auto"/>
        <w:left w:val="none" w:sz="0" w:space="0" w:color="auto"/>
        <w:bottom w:val="none" w:sz="0" w:space="0" w:color="auto"/>
        <w:right w:val="none" w:sz="0" w:space="0" w:color="auto"/>
      </w:divBdr>
    </w:div>
    <w:div w:id="1876768501">
      <w:bodyDiv w:val="1"/>
      <w:marLeft w:val="0"/>
      <w:marRight w:val="0"/>
      <w:marTop w:val="0"/>
      <w:marBottom w:val="0"/>
      <w:divBdr>
        <w:top w:val="none" w:sz="0" w:space="0" w:color="auto"/>
        <w:left w:val="none" w:sz="0" w:space="0" w:color="auto"/>
        <w:bottom w:val="none" w:sz="0" w:space="0" w:color="auto"/>
        <w:right w:val="none" w:sz="0" w:space="0" w:color="auto"/>
      </w:divBdr>
    </w:div>
    <w:div w:id="1926303820">
      <w:bodyDiv w:val="1"/>
      <w:marLeft w:val="0"/>
      <w:marRight w:val="0"/>
      <w:marTop w:val="0"/>
      <w:marBottom w:val="0"/>
      <w:divBdr>
        <w:top w:val="none" w:sz="0" w:space="0" w:color="auto"/>
        <w:left w:val="none" w:sz="0" w:space="0" w:color="auto"/>
        <w:bottom w:val="none" w:sz="0" w:space="0" w:color="auto"/>
        <w:right w:val="none" w:sz="0" w:space="0" w:color="auto"/>
      </w:divBdr>
    </w:div>
    <w:div w:id="2070305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image" Target="media/image5.emf"/><Relationship Id="rId26" Type="http://schemas.openxmlformats.org/officeDocument/2006/relationships/image" Target="media/image13.emf"/><Relationship Id="rId39" Type="http://schemas.openxmlformats.org/officeDocument/2006/relationships/footer" Target="footer6.xml"/><Relationship Id="rId3" Type="http://schemas.openxmlformats.org/officeDocument/2006/relationships/styles" Target="styles.xml"/><Relationship Id="rId21" Type="http://schemas.openxmlformats.org/officeDocument/2006/relationships/image" Target="media/image8.emf"/><Relationship Id="rId34" Type="http://schemas.openxmlformats.org/officeDocument/2006/relationships/header" Target="header4.xml"/><Relationship Id="rId47" Type="http://schemas.microsoft.com/office/2016/09/relationships/commentsIds" Target="commentsId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20.emf"/><Relationship Id="rId38" Type="http://schemas.openxmlformats.org/officeDocument/2006/relationships/header" Target="header6.xml"/><Relationship Id="rId46" Type="http://schemas.microsoft.com/office/2018/08/relationships/commentsExtensible" Target="commentsExtensible.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emf"/><Relationship Id="rId29" Type="http://schemas.openxmlformats.org/officeDocument/2006/relationships/image" Target="media/image16.emf"/><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emf"/><Relationship Id="rId32" Type="http://schemas.openxmlformats.org/officeDocument/2006/relationships/image" Target="media/image19.emf"/><Relationship Id="rId37" Type="http://schemas.openxmlformats.org/officeDocument/2006/relationships/footer" Target="footer5.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image" Target="media/image10.emf"/><Relationship Id="rId28" Type="http://schemas.openxmlformats.org/officeDocument/2006/relationships/image" Target="media/image15.png"/><Relationship Id="rId36" Type="http://schemas.openxmlformats.org/officeDocument/2006/relationships/footer" Target="footer4.xml"/><Relationship Id="rId10" Type="http://schemas.openxmlformats.org/officeDocument/2006/relationships/header" Target="header2.xml"/><Relationship Id="rId19" Type="http://schemas.openxmlformats.org/officeDocument/2006/relationships/image" Target="media/image6.png"/><Relationship Id="rId31" Type="http://schemas.openxmlformats.org/officeDocument/2006/relationships/image" Target="media/image18.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emf"/><Relationship Id="rId27" Type="http://schemas.openxmlformats.org/officeDocument/2006/relationships/image" Target="media/image14.png"/><Relationship Id="rId30" Type="http://schemas.openxmlformats.org/officeDocument/2006/relationships/image" Target="media/image17.emf"/><Relationship Id="rId35" Type="http://schemas.openxmlformats.org/officeDocument/2006/relationships/header" Target="header5.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urostat/statistics-explained/index.php?title=Population_and_population_change_statistics" TargetMode="External"/><Relationship Id="rId13" Type="http://schemas.openxmlformats.org/officeDocument/2006/relationships/hyperlink" Target="https://data.consilium.europa.eu/doc/document/ST-12983-2013-INIT/en/pdf" TargetMode="External"/><Relationship Id="rId18" Type="http://schemas.openxmlformats.org/officeDocument/2006/relationships/hyperlink" Target="http://publications.jrc.ec.europa.eu/repository/handle/JRC120680" TargetMode="External"/><Relationship Id="rId26" Type="http://schemas.openxmlformats.org/officeDocument/2006/relationships/hyperlink" Target="https://ec.europa.eu/info/strategy/priorities-2019-2024/european-green-deal_es" TargetMode="External"/><Relationship Id="rId3" Type="http://schemas.openxmlformats.org/officeDocument/2006/relationships/hyperlink" Target="https://ec.europa.eu/eurostat/statistics-explained/pdfscache/1101.pdf" TargetMode="External"/><Relationship Id="rId21" Type="http://schemas.openxmlformats.org/officeDocument/2006/relationships/hyperlink" Target="https://ec.europa.eu/regional_policy/en/information/publications/regional-focus/2018/access-to-universities-in-the-eu-a-regional-and-territorial-analysis" TargetMode="External"/><Relationship Id="rId7" Type="http://schemas.openxmlformats.org/officeDocument/2006/relationships/hyperlink" Target="https://ec.europa.eu/eurostat/statistics-explained/index.php?title=Migration_and_migrant_population_statistics" TargetMode="External"/><Relationship Id="rId12" Type="http://schemas.openxmlformats.org/officeDocument/2006/relationships/hyperlink" Target="https://ec.europa.eu/health/funding/eu4health_es" TargetMode="External"/><Relationship Id="rId17" Type="http://schemas.openxmlformats.org/officeDocument/2006/relationships/hyperlink" Target="https://ec.europa.eu/eurostat/statistics-explained/index.php/Glossary:Material_deprivation" TargetMode="External"/><Relationship Id="rId25" Type="http://schemas.openxmlformats.org/officeDocument/2006/relationships/hyperlink" Target="http://www.fao.org/global-perspectives-studies/es/" TargetMode="External"/><Relationship Id="rId2" Type="http://schemas.openxmlformats.org/officeDocument/2006/relationships/hyperlink" Target="https://ec.europa.eu/eurostat/web/population-demography-migration-projections/population-projections-data" TargetMode="External"/><Relationship Id="rId16" Type="http://schemas.openxmlformats.org/officeDocument/2006/relationships/hyperlink" Target="https://ec.europa.eu/eip/ageing/about-the-partnership_en" TargetMode="External"/><Relationship Id="rId20" Type="http://schemas.openxmlformats.org/officeDocument/2006/relationships/hyperlink" Target="https://ec.europa.eu/info/publications/mff-legislation_en" TargetMode="External"/><Relationship Id="rId29" Type="http://schemas.openxmlformats.org/officeDocument/2006/relationships/hyperlink" Target="https://population.un.org/wpp/" TargetMode="External"/><Relationship Id="rId1" Type="http://schemas.openxmlformats.org/officeDocument/2006/relationships/hyperlink" Target="https://ec.europa.eu/eurostat/statistics-explained/index.php?title=Mortality_and_life_expectancy_statistics" TargetMode="External"/><Relationship Id="rId6" Type="http://schemas.openxmlformats.org/officeDocument/2006/relationships/hyperlink" Target="https://ec.europa.eu/eurostat/statistics-explained/index.php?title=Population_structure_and_ageing" TargetMode="External"/><Relationship Id="rId11" Type="http://schemas.openxmlformats.org/officeDocument/2006/relationships/hyperlink" Target="https://www.ecdc.europa.eu/en/cases-2019-ncov-eueea" TargetMode="External"/><Relationship Id="rId24" Type="http://schemas.openxmlformats.org/officeDocument/2006/relationships/hyperlink" Target="https://ec.europa.eu/regional_policy/en/information/publications/regional-focus/2008/remote-rural-regions-how-proximity-to-a-city-influences-the-performance-of-rural-regions" TargetMode="External"/><Relationship Id="rId5" Type="http://schemas.openxmlformats.org/officeDocument/2006/relationships/hyperlink" Target="https://ec.europa.eu/eurostat/statistics-explained/index.php?title=Fertility_statistics" TargetMode="External"/><Relationship Id="rId15" Type="http://schemas.openxmlformats.org/officeDocument/2006/relationships/hyperlink" Target="https://www.oecd.org/els/health-systems/who-cares-attracting-and-retaining-elderly-care-workers-92c0ef68-en.htm" TargetMode="External"/><Relationship Id="rId23" Type="http://schemas.openxmlformats.org/officeDocument/2006/relationships/hyperlink" Target="https://www.oecd.org/cfe/regional-policy/Rural-3.0-Policy-Note.pdf" TargetMode="External"/><Relationship Id="rId28" Type="http://schemas.openxmlformats.org/officeDocument/2006/relationships/hyperlink" Target="https://openknowledge.worldbank.org/handle/10986/29461" TargetMode="External"/><Relationship Id="rId10" Type="http://schemas.openxmlformats.org/officeDocument/2006/relationships/hyperlink" Target="https://ec.europa.eu/info/publications/economy-finance/economists-musings-human-capital-investment-how-efficient-public-spending-education-eu-member-states_en" TargetMode="External"/><Relationship Id="rId19" Type="http://schemas.openxmlformats.org/officeDocument/2006/relationships/hyperlink" Target="https://urldefense.com/v3/__https:/doi.org/10.1787/b902cc00-en__;!!DOxrgLBm!XIOlO0824qKuoP5_CkmxzkAXuVqDihmiPLY6WWZqia09gnpYwaWx4PkOST04llZWbklw13At$" TargetMode="External"/><Relationship Id="rId4" Type="http://schemas.openxmlformats.org/officeDocument/2006/relationships/hyperlink" Target="https://ec.europa.eu/health/state/glance_en" TargetMode="External"/><Relationship Id="rId9" Type="http://schemas.openxmlformats.org/officeDocument/2006/relationships/hyperlink" Target="https://ec.europa.eu/eurostat/web/population-demography-migration-projections/population-projections-data" TargetMode="External"/><Relationship Id="rId14" Type="http://schemas.openxmlformats.org/officeDocument/2006/relationships/hyperlink" Target="https://ec.europa.eu/food/farm2fork_en" TargetMode="External"/><Relationship Id="rId22" Type="http://schemas.openxmlformats.org/officeDocument/2006/relationships/hyperlink" Target="https://urban.jrc.ec.europa.eu/thefutureofcities/ageing" TargetMode="External"/><Relationship Id="rId27" Type="http://schemas.openxmlformats.org/officeDocument/2006/relationships/hyperlink" Target="https://news.un.org/en/story/2019/07/1043551" TargetMode="External"/><Relationship Id="rId30" Type="http://schemas.openxmlformats.org/officeDocument/2006/relationships/hyperlink" Target="https://ec.europa.eu/regional_policy/en/information/publications/working-papers/2018/the-geography-of-eu-discont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C1D9DF-062C-448B-AC98-8B848B7C32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9582</Words>
  <Characters>53854</Characters>
  <Application>Microsoft Office Word</Application>
  <DocSecurity>0</DocSecurity>
  <Lines>897</Lines>
  <Paragraphs>221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2020-06-24T08:42:00Z</dcterms:created>
  <dcterms:modified xsi:type="dcterms:W3CDTF">2020-06-25T10:09:00Z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7.0.1, Build 20190916</vt:lpwstr>
  </property>
  <property fmtid="{D5CDD505-2E9C-101B-9397-08002B2CF9AE}" pid="4" name="DocStatus">
    <vt:lpwstr>Green</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CP-008</vt:lpwstr>
  </property>
</Properties>
</file>