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alt="5CA6DC90-F28A-41C9-9CC8-898F9C0BCD41" style="width:450.75pt;height:333.7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jc w:val="both"/>
        <w:rPr>
          <w:rFonts w:ascii="Times New Roman" w:hAnsi="Times New Roman" w:cs="Times New Roman"/>
          <w:noProof/>
          <w:sz w:val="24"/>
          <w:szCs w:val="24"/>
        </w:rPr>
      </w:pPr>
      <w:bookmarkStart w:id="1" w:name="_GoBack"/>
      <w:bookmarkEnd w:id="1"/>
      <w:r>
        <w:rPr>
          <w:rFonts w:ascii="Times New Roman" w:hAnsi="Times New Roman"/>
          <w:noProof/>
          <w:sz w:val="24"/>
        </w:rPr>
        <w:lastRenderedPageBreak/>
        <w:t>1. INTRODUCCIÓN</w:t>
      </w:r>
    </w:p>
    <w:p>
      <w:pPr>
        <w:jc w:val="both"/>
        <w:rPr>
          <w:rFonts w:ascii="Times New Roman" w:hAnsi="Times New Roman" w:cs="Times New Roman"/>
          <w:noProof/>
          <w:sz w:val="24"/>
          <w:szCs w:val="24"/>
        </w:rPr>
      </w:pPr>
      <w:r>
        <w:rPr>
          <w:rFonts w:ascii="Times New Roman" w:hAnsi="Times New Roman"/>
          <w:noProof/>
          <w:sz w:val="24"/>
        </w:rPr>
        <w:t>La Directiva 2013/30/UE</w:t>
      </w:r>
      <w:r>
        <w:rPr>
          <w:rStyle w:val="FootnoteReference"/>
          <w:rFonts w:ascii="Times New Roman" w:hAnsi="Times New Roman"/>
          <w:noProof/>
          <w:sz w:val="24"/>
        </w:rPr>
        <w:footnoteReference w:id="1"/>
      </w:r>
      <w:r>
        <w:rPr>
          <w:rFonts w:ascii="Times New Roman" w:hAnsi="Times New Roman"/>
          <w:noProof/>
          <w:sz w:val="24"/>
        </w:rPr>
        <w:t xml:space="preserve"> del Parlamento Europeo y del Consejo, de 12 de junio de 2013,</w:t>
      </w:r>
      <w:r>
        <w:rPr>
          <w:noProof/>
        </w:rPr>
        <w:t xml:space="preserve"> </w:t>
      </w:r>
      <w:r>
        <w:rPr>
          <w:rFonts w:ascii="Times New Roman" w:hAnsi="Times New Roman"/>
          <w:noProof/>
          <w:sz w:val="24"/>
        </w:rPr>
        <w:t xml:space="preserve">sobre la seguridad de las operaciones relativas al petróleo y al gas mar adentro, y que modifica la Directiva 2004/35/CE (en lo sucesivo, «Directiva sobre seguridad mar adentro»), trata de conseguir un nivel de seguridad elevado para llevar a cabo estas operaciones. La salud de los trabajadores, el medio ambiente y los activos implicados en actividades mar adentro y en otras actividades económicas como la pesca y el turismo se beneficiarán de la seguridad de las operaciones mar adentro. Las disposiciones de la Directiva, tal y como se aplican en los Estados miembros, ayudarán a evitar accidentes graves, a reducir el número de incidentes y a conseguir un seguimiento eficaz de accidentes e incidentes para mitigar sus consecuencias. </w:t>
      </w:r>
    </w:p>
    <w:p>
      <w:pPr>
        <w:jc w:val="both"/>
        <w:rPr>
          <w:rFonts w:ascii="Times New Roman" w:hAnsi="Times New Roman" w:cs="Times New Roman"/>
          <w:noProof/>
          <w:sz w:val="24"/>
          <w:szCs w:val="24"/>
        </w:rPr>
      </w:pPr>
      <w:r>
        <w:rPr>
          <w:rFonts w:ascii="Times New Roman" w:hAnsi="Times New Roman"/>
          <w:noProof/>
          <w:sz w:val="24"/>
        </w:rPr>
        <w:t>La Directiva otorga a la Comisión los poderes para adoptar actos delegados (véanse los artículos 35 y 36) a fin de adaptar los anexos I, II, VI y VII para incluir información adicional que pueda resultar necesaria a la luz del progreso técnico. Estos anexos determinan los siguientes puntos:</w:t>
      </w:r>
    </w:p>
    <w:p>
      <w:pPr>
        <w:pStyle w:val="ListParagraph"/>
        <w:numPr>
          <w:ilvl w:val="0"/>
          <w:numId w:val="1"/>
        </w:numPr>
        <w:jc w:val="both"/>
        <w:rPr>
          <w:rFonts w:ascii="Times New Roman" w:hAnsi="Times New Roman" w:cs="Times New Roman"/>
          <w:noProof/>
          <w:sz w:val="24"/>
          <w:szCs w:val="24"/>
        </w:rPr>
      </w:pPr>
      <w:r>
        <w:rPr>
          <w:rFonts w:ascii="Times New Roman" w:hAnsi="Times New Roman"/>
          <w:noProof/>
          <w:sz w:val="24"/>
        </w:rPr>
        <w:t>información que deberá incluirse en los documentos presentados a las autoridades competentes, como, por ejemplo, la solicitud de aprobación de las operaciones relativas al petróleo y al gas mar adentro (anexo I),</w:t>
      </w:r>
    </w:p>
    <w:p>
      <w:pPr>
        <w:pStyle w:val="ListParagraph"/>
        <w:numPr>
          <w:ilvl w:val="0"/>
          <w:numId w:val="1"/>
        </w:numPr>
        <w:jc w:val="both"/>
        <w:rPr>
          <w:rFonts w:ascii="Times New Roman" w:hAnsi="Times New Roman" w:cs="Times New Roman"/>
          <w:noProof/>
          <w:sz w:val="24"/>
          <w:szCs w:val="24"/>
        </w:rPr>
      </w:pPr>
      <w:r>
        <w:rPr>
          <w:rFonts w:ascii="Times New Roman" w:hAnsi="Times New Roman"/>
          <w:noProof/>
          <w:spacing w:val="4"/>
          <w:sz w:val="24"/>
        </w:rPr>
        <w:t xml:space="preserve">información que deberá incluirse en los informes de las operaciones de pozos </w:t>
      </w:r>
      <w:r>
        <w:rPr>
          <w:rFonts w:ascii="Times New Roman" w:hAnsi="Times New Roman"/>
          <w:noProof/>
          <w:sz w:val="24"/>
        </w:rPr>
        <w:t>(anexo II),</w:t>
      </w:r>
    </w:p>
    <w:p>
      <w:pPr>
        <w:pStyle w:val="ListParagraph"/>
        <w:numPr>
          <w:ilvl w:val="0"/>
          <w:numId w:val="1"/>
        </w:numPr>
        <w:jc w:val="both"/>
        <w:rPr>
          <w:rFonts w:ascii="Times New Roman" w:hAnsi="Times New Roman" w:cs="Times New Roman"/>
          <w:noProof/>
          <w:sz w:val="24"/>
          <w:szCs w:val="24"/>
        </w:rPr>
      </w:pPr>
      <w:r>
        <w:rPr>
          <w:rFonts w:ascii="Times New Roman" w:hAnsi="Times New Roman"/>
          <w:noProof/>
          <w:sz w:val="24"/>
        </w:rPr>
        <w:t>información relativa a las prioridades en la cooperación entre operadores y propietarios y las autoridades competentes, como, por ejemplo, las normas y recomendaciones relativas a las mejores prácticas (anexo VI),</w:t>
      </w:r>
    </w:p>
    <w:p>
      <w:pPr>
        <w:pStyle w:val="ListParagraph"/>
        <w:numPr>
          <w:ilvl w:val="0"/>
          <w:numId w:val="1"/>
        </w:numPr>
        <w:jc w:val="both"/>
        <w:rPr>
          <w:rFonts w:ascii="Times New Roman" w:hAnsi="Times New Roman" w:cs="Times New Roman"/>
          <w:noProof/>
          <w:sz w:val="24"/>
          <w:szCs w:val="24"/>
        </w:rPr>
      </w:pPr>
      <w:r>
        <w:rPr>
          <w:rFonts w:ascii="Times New Roman" w:hAnsi="Times New Roman"/>
          <w:noProof/>
          <w:sz w:val="24"/>
        </w:rPr>
        <w:t>información que deberá facilitarse en los planes externos de respuesta de emergencia (anexo VII).</w:t>
      </w:r>
    </w:p>
    <w:p>
      <w:pPr>
        <w:jc w:val="both"/>
        <w:rPr>
          <w:rFonts w:ascii="Times New Roman" w:hAnsi="Times New Roman" w:cs="Times New Roman"/>
          <w:noProof/>
          <w:sz w:val="24"/>
          <w:szCs w:val="24"/>
        </w:rPr>
      </w:pPr>
      <w:r>
        <w:rPr>
          <w:rFonts w:ascii="Times New Roman" w:hAnsi="Times New Roman"/>
          <w:noProof/>
          <w:sz w:val="24"/>
        </w:rPr>
        <w:t>2. BASE JURÍDICA</w:t>
      </w:r>
    </w:p>
    <w:p>
      <w:pPr>
        <w:jc w:val="both"/>
        <w:rPr>
          <w:rFonts w:ascii="Times New Roman" w:hAnsi="Times New Roman" w:cs="Times New Roman"/>
          <w:noProof/>
          <w:sz w:val="24"/>
          <w:szCs w:val="24"/>
        </w:rPr>
      </w:pPr>
      <w:r>
        <w:rPr>
          <w:rFonts w:ascii="Times New Roman" w:hAnsi="Times New Roman"/>
          <w:noProof/>
          <w:sz w:val="24"/>
        </w:rPr>
        <w:t>El artículo 36, apartado 2, de la Directiva 2013/30/UE prescribe la redacción del presente informe. De conformidad con esta disposición, los poderes para adoptar los actos delegados se otorgan a la Comisión por un período de cinco años a partir del 18 de julio de 2013. La Comisión elaborará un informe sobre la delegación de poderes a más tardar nueve meses antes de que finalice el período de cinco años. La delegación de poderes se prorrogará automáticamente por períodos de idéntica duración, excepto si el Parlamento Europeo o el Consejo se oponen a dicha prórroga.</w:t>
      </w:r>
    </w:p>
    <w:p>
      <w:pPr>
        <w:jc w:val="both"/>
        <w:rPr>
          <w:rFonts w:ascii="Times New Roman" w:hAnsi="Times New Roman" w:cs="Times New Roman"/>
          <w:noProof/>
          <w:sz w:val="24"/>
          <w:szCs w:val="24"/>
        </w:rPr>
      </w:pPr>
      <w:r>
        <w:rPr>
          <w:rFonts w:ascii="Times New Roman" w:hAnsi="Times New Roman"/>
          <w:noProof/>
          <w:sz w:val="24"/>
        </w:rPr>
        <w:t>3. EJERCICIO DE LA DELEGACIÓN</w:t>
      </w:r>
    </w:p>
    <w:p>
      <w:pPr>
        <w:jc w:val="both"/>
        <w:rPr>
          <w:rFonts w:ascii="Times New Roman" w:hAnsi="Times New Roman" w:cs="Times New Roman"/>
          <w:noProof/>
          <w:sz w:val="24"/>
          <w:szCs w:val="24"/>
        </w:rPr>
      </w:pPr>
      <w:r>
        <w:rPr>
          <w:rFonts w:ascii="Times New Roman" w:hAnsi="Times New Roman"/>
          <w:noProof/>
          <w:sz w:val="24"/>
        </w:rPr>
        <w:t xml:space="preserve">Conforme a la Directiva sobre seguridad mar adentro, esta delegación de poderes se consideró necesaria para incluir información adicional en los anexos I, II, VI y VII habida cuenta del progreso técnico. </w:t>
      </w:r>
    </w:p>
    <w:p>
      <w:pPr>
        <w:jc w:val="both"/>
        <w:rPr>
          <w:rFonts w:ascii="Times New Roman" w:hAnsi="Times New Roman" w:cs="Times New Roman"/>
          <w:noProof/>
          <w:sz w:val="24"/>
          <w:szCs w:val="24"/>
        </w:rPr>
      </w:pPr>
      <w:r>
        <w:rPr>
          <w:rFonts w:ascii="Times New Roman" w:hAnsi="Times New Roman"/>
          <w:noProof/>
          <w:sz w:val="24"/>
        </w:rPr>
        <w:t>Teniendo en cuenta que la Directiva sobre seguridad mar adentro entró en vigor el 19 de julio de 2013, que los Estados miembros debían aplicar la Directiva el 19 de julio de 2018 y que existen plazos transitorios que aplazan la aplicación de la Directiva para determinadas instalaciones hasta el 19 de julio de 2018 (artículo 42, apartado 2), la Comisión no ha considerado necesario ni apropiado, hasta ahora, adaptar los anexos I, II, VI o VII al progreso técnico.</w:t>
      </w:r>
    </w:p>
    <w:p>
      <w:pPr>
        <w:jc w:val="both"/>
        <w:rPr>
          <w:rFonts w:ascii="Times New Roman" w:hAnsi="Times New Roman" w:cs="Times New Roman"/>
          <w:noProof/>
          <w:sz w:val="24"/>
          <w:szCs w:val="24"/>
        </w:rPr>
      </w:pPr>
      <w:r>
        <w:rPr>
          <w:rFonts w:ascii="Times New Roman" w:hAnsi="Times New Roman"/>
          <w:noProof/>
          <w:sz w:val="24"/>
        </w:rPr>
        <w:t>4. PRÓRROGA DEL PLAZO DE LA DELEGACIÓN DE PODERES</w:t>
      </w:r>
    </w:p>
    <w:p>
      <w:pPr>
        <w:jc w:val="both"/>
        <w:rPr>
          <w:rFonts w:ascii="Times New Roman" w:hAnsi="Times New Roman" w:cs="Times New Roman"/>
          <w:noProof/>
          <w:sz w:val="24"/>
          <w:szCs w:val="24"/>
        </w:rPr>
      </w:pPr>
      <w:r>
        <w:rPr>
          <w:rFonts w:ascii="Times New Roman" w:hAnsi="Times New Roman"/>
          <w:noProof/>
          <w:sz w:val="24"/>
        </w:rPr>
        <w:t>Vistos los progresos técnicos constantes del sector de las operaciones mar adentro, así como el poco tiempo transcurrido para adquirir experiencia práctica relacionada con la aplicación de los anexos mencionados anteriormente, debido en parte a la aplicación de períodos transitorios, la Comisión considera necesario prorrogar la delegación de poderes cinco años.</w:t>
      </w:r>
    </w:p>
    <w:p>
      <w:pPr>
        <w:jc w:val="both"/>
        <w:rPr>
          <w:rFonts w:ascii="Times New Roman" w:hAnsi="Times New Roman" w:cs="Times New Roman"/>
          <w:noProof/>
          <w:sz w:val="24"/>
          <w:szCs w:val="24"/>
        </w:rPr>
      </w:pPr>
      <w:r>
        <w:rPr>
          <w:rFonts w:ascii="Times New Roman" w:hAnsi="Times New Roman"/>
          <w:noProof/>
          <w:sz w:val="24"/>
        </w:rPr>
        <w:t>5. CONCLUSIÓN</w:t>
      </w:r>
    </w:p>
    <w:p>
      <w:pPr>
        <w:jc w:val="both"/>
        <w:rPr>
          <w:rFonts w:ascii="Times New Roman" w:hAnsi="Times New Roman" w:cs="Times New Roman"/>
          <w:noProof/>
          <w:sz w:val="24"/>
          <w:szCs w:val="24"/>
        </w:rPr>
      </w:pPr>
      <w:r>
        <w:rPr>
          <w:rFonts w:ascii="Times New Roman" w:hAnsi="Times New Roman"/>
          <w:noProof/>
          <w:sz w:val="24"/>
        </w:rPr>
        <w:t>Durante los últimos cinco años, la Comisión no ha ejercido los poderes delegados que le otorgó la Directiva 2013/30/UE, pero considera necesario prorrogar la delegación por las razones indicadas anteriormente. Con este informe, la Comisión cumple con la obligación de elaborar un informe relativo a la Directiva sobre seguridad mar adentro (artículo 36, apartado 2) e invita al Parlamento Europeo y al Consejo a que lo tengan en cuenta.</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62571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DO L 178, de 28 de junio de 2013, p. 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1449B"/>
    <w:multiLevelType w:val="hybridMultilevel"/>
    <w:tmpl w:val="77F09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CA6DC90-F28A-41C9-9CC8-898F9C0BCD41"/>
    <w:docVar w:name="LW_COVERPAGE_TYPE" w:val="1"/>
    <w:docVar w:name="LW_CROSSREFERENCE" w:val="&lt;UNUSED&gt;"/>
    <w:docVar w:name="LW_DocType" w:val="NORMAL"/>
    <w:docVar w:name="LW_EMISSION" w:val="8.11.2017"/>
    <w:docVar w:name="LW_EMISSION_ISODATE" w:val="2017-11-08"/>
    <w:docVar w:name="LW_EMISSION_LOCATION" w:val="BRX"/>
    <w:docVar w:name="LW_EMISSION_PREFIX" w:val="Bruselas, "/>
    <w:docVar w:name="LW_EMISSION_SUFFIX" w:val=" "/>
    <w:docVar w:name="LW_ID_DOCTYPE_NONLW" w:val="CP-006"/>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17) 6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sobre el ejercicio de los poderes para adoptar actos delegados otorgados a la Comisión con arreglo a la Directiva 2013/30/UE sobre la seguridad de las operaciones relativas al petróleo y al gas mar adentro_x000b_Directiva 2013/30/UE"/>
    <w:docVar w:name="LW_TYPE.DOC.CP" w:val="INFORME DE LA COMISIÓN AL PARLAMENTO EUROPEO Y AL CONSEJO"/>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lang w:eastAsia="en-US" w:bidi="ar-SA"/>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lang w:eastAsia="en-US" w:bidi="ar-SA"/>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88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0D72A-C781-4A57-8B1C-38FCE054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620</Words>
  <Characters>3287</Characters>
  <Application>Microsoft Office Word</Application>
  <DocSecurity>0</DocSecurity>
  <Lines>55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2017-09-27T12:43:00Z</cp:lastPrinted>
  <dcterms:created xsi:type="dcterms:W3CDTF">2017-09-19T13:32:00Z</dcterms:created>
  <dcterms:modified xsi:type="dcterms:W3CDTF">2017-10-30T10:41:00Z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name="OP_sanitized" fmtid="{D5CDD505-2E9C-101B-9397-08002B2CF9AE}" pid="6">
    <vt:lpwstr>True</vt:lpwstr>
  </property>
</Properties>
</file>