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B9D9CF60750443782F20CC7D2C86943" style="width:450.75pt;height:321pt">
            <v:imagedata r:id="rId9" o:title=""/>
          </v:shape>
        </w:pict>
      </w:r>
    </w:p>
    <w:bookmarkEnd w:id="0"/>
    <w:p>
      <w:pPr>
        <w:spacing w:before="120" w:after="120"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spacing w:before="120" w:after="120" w:line="240" w:lineRule="auto"/>
        <w:rPr>
          <w:noProof/>
        </w:rPr>
      </w:pPr>
      <w:bookmarkStart w:id="1" w:name="_Toc443551500"/>
      <w:bookmarkStart w:id="2" w:name="_GoBack"/>
      <w:bookmarkEnd w:id="2"/>
      <w:r>
        <w:rPr>
          <w:noProof/>
        </w:rPr>
        <w:lastRenderedPageBreak/>
        <w:t>Introducción</w:t>
      </w:r>
      <w:bookmarkEnd w:id="1"/>
      <w:r>
        <w:rPr>
          <w:noProof/>
        </w:rPr>
        <w:t xml:space="preserve"> y contexto</w:t>
      </w:r>
    </w:p>
    <w:p>
      <w:pPr>
        <w:spacing w:before="120" w:after="120" w:line="240" w:lineRule="auto"/>
        <w:rPr>
          <w:noProof/>
          <w:lang w:val="es-ES_tradnl"/>
        </w:rPr>
      </w:pPr>
      <w:r>
        <w:rPr>
          <w:noProof/>
          <w:lang w:val="es-ES_tradnl"/>
        </w:rPr>
        <w:t>Todos queremos saber si el aire que respiramos y el agua que bebemos son saludables o si nuestras playas y lagos están limpios. Los ciudadanos europeos tienen derecho a conocer la calidad de su entorno natural y a saber si las acciones de la UE aportan mejoras.</w:t>
      </w:r>
    </w:p>
    <w:p>
      <w:pPr>
        <w:spacing w:before="120" w:after="120" w:line="240" w:lineRule="auto"/>
        <w:rPr>
          <w:noProof/>
          <w:lang w:val="es-ES_tradnl"/>
        </w:rPr>
      </w:pPr>
      <w:r>
        <w:rPr>
          <w:noProof/>
          <w:lang w:val="es-ES_tradnl"/>
        </w:rPr>
        <w:t xml:space="preserve">Entender la situación implica gestionar los flujos de información. La información a nivel europeo suele empezar a generarse a nivel local: el </w:t>
      </w:r>
      <w:r>
        <w:rPr>
          <w:b/>
          <w:noProof/>
          <w:lang w:val="es-ES_tradnl"/>
        </w:rPr>
        <w:t>seguimiento medioambiental</w:t>
      </w:r>
      <w:r>
        <w:rPr>
          <w:noProof/>
          <w:lang w:val="es-ES_tradnl"/>
        </w:rPr>
        <w:t xml:space="preserve">, tanto de la contaminación del aire como del estado de la naturaleza o la calidad del agua, etc., consiste en registrar lo que ocurre en el medio ambiente «sobre el terreno». Parte de esa información se </w:t>
      </w:r>
      <w:r>
        <w:rPr>
          <w:b/>
          <w:noProof/>
          <w:lang w:val="es-ES_tradnl"/>
        </w:rPr>
        <w:t>notifica</w:t>
      </w:r>
      <w:r>
        <w:rPr>
          <w:noProof/>
          <w:lang w:val="es-ES_tradnl"/>
        </w:rPr>
        <w:t xml:space="preserve"> posteriormente a nivel de la UE y a los ciudadanos. A nivel europeo se utiliza como </w:t>
      </w:r>
      <w:r>
        <w:rPr>
          <w:b/>
          <w:noProof/>
          <w:lang w:val="es-ES_tradnl"/>
        </w:rPr>
        <w:t xml:space="preserve">control reglamentario </w:t>
      </w:r>
      <w:r>
        <w:rPr>
          <w:noProof/>
          <w:lang w:val="es-ES_tradnl"/>
        </w:rPr>
        <w:t>para comprobar si la normativa cumple eficazmente sus objetivos.</w:t>
      </w:r>
    </w:p>
    <w:p>
      <w:pPr>
        <w:spacing w:before="120" w:after="120" w:line="240" w:lineRule="auto"/>
        <w:rPr>
          <w:noProof/>
          <w:lang w:val="es-ES_tradnl"/>
        </w:rPr>
      </w:pPr>
      <w:r>
        <w:rPr>
          <w:noProof/>
          <w:lang w:val="es-ES_tradnl"/>
        </w:rPr>
        <w:t>Algunos informes medioambientales han tenido gran trascendencia. El informe anual de la UE sobre las aguas de baño suscita el interés de toda Europa; la información en línea ofrecida por la Agencia Europea de Medio Ambiente (AEMA) registró más de 73 000 visitas en 2016. Otros informes publicados por la Comisión continúan pasando prácticamente desapercibidos para el público en general, aunque cumplen un importante objetivo en el control reglamentario de la aplicación de la legislación de la UE.</w:t>
      </w:r>
    </w:p>
    <w:p>
      <w:pPr>
        <w:spacing w:before="120" w:after="120" w:line="240" w:lineRule="auto"/>
        <w:rPr>
          <w:rFonts w:eastAsia="Times New Roman"/>
          <w:noProof/>
          <w:lang w:val="es-ES_tradnl"/>
        </w:rPr>
      </w:pPr>
      <w:r>
        <w:rPr>
          <w:noProof/>
          <w:lang w:val="es-ES_tradnl"/>
        </w:rPr>
        <w:t>La notificación sobre la aplicación de las políticas y el medio ambiente proporciona datos e información esenciales para una toma de decisiones fundamentada. De hecho, la notificación es la clave del ciclo de análisis, diálogo y colaboración que se lleva a cabo para la revisión de la aplicación de la normativa medioambiental</w:t>
      </w:r>
      <w:r>
        <w:rPr>
          <w:rStyle w:val="FootnoteReference"/>
          <w:noProof/>
        </w:rPr>
        <w:footnoteReference w:id="2"/>
      </w:r>
      <w:r>
        <w:rPr>
          <w:noProof/>
          <w:lang w:val="es-ES_tradnl"/>
        </w:rPr>
        <w:t>.</w:t>
      </w:r>
    </w:p>
    <w:p>
      <w:pPr>
        <w:spacing w:before="120" w:after="120" w:line="240" w:lineRule="auto"/>
        <w:rPr>
          <w:rFonts w:eastAsia="Times New Roman"/>
          <w:noProof/>
          <w:lang w:val="es-ES_tradnl"/>
        </w:rPr>
      </w:pPr>
      <w:r>
        <w:rPr>
          <w:noProof/>
          <w:lang w:val="es-ES_tradnl"/>
        </w:rPr>
        <w:t>Sin embargo, la notificación conlleva costes para los Estados miembros y las empresas, de ahí la necesidad de encontrar un equilibrio entre la demanda de mejor información y los costes que ello supone. Por eso, el paquete de medidas «Legislar mejor» de mayo de 2015</w:t>
      </w:r>
      <w:r>
        <w:rPr>
          <w:rStyle w:val="FootnoteReference"/>
          <w:noProof/>
        </w:rPr>
        <w:footnoteReference w:id="3"/>
      </w:r>
      <w:r>
        <w:rPr>
          <w:noProof/>
          <w:lang w:val="es-ES_tradnl"/>
        </w:rPr>
        <w:t xml:space="preserve"> puso en marcha un amplio examen de los requisitos de notificación, incluidos los relativos al medio ambiente, en forma de un control de adecuación centrado en la notificación y el control reglamentario</w:t>
      </w:r>
      <w:r>
        <w:rPr>
          <w:rStyle w:val="FootnoteReference"/>
          <w:noProof/>
        </w:rPr>
        <w:footnoteReference w:id="4"/>
      </w:r>
      <w:r>
        <w:rPr>
          <w:noProof/>
          <w:lang w:val="es-ES_tradnl"/>
        </w:rPr>
        <w:t>.</w:t>
      </w:r>
    </w:p>
    <w:p>
      <w:pPr>
        <w:spacing w:before="120" w:after="120" w:line="240" w:lineRule="auto"/>
        <w:rPr>
          <w:rFonts w:eastAsia="Times New Roman"/>
          <w:noProof/>
          <w:lang w:val="es-ES_tradnl"/>
        </w:rPr>
      </w:pPr>
      <w:r>
        <w:rPr>
          <w:noProof/>
          <w:lang w:val="es-ES_tradnl"/>
        </w:rPr>
        <w:t>El presente informe expone el plan de acción resultante para garantizar que la legislación medioambiental de la UE esté logrando los efectos previstos sobre el terreno. El objetivo es informar mejor a los ciudadanos europeos sobre esos logros y, por otra parte, simplificar la carga que representa la notificación para las administraciones y empresas nacionales.</w:t>
      </w:r>
    </w:p>
    <w:p>
      <w:pPr>
        <w:pStyle w:val="Heading1"/>
        <w:suppressAutoHyphens w:val="0"/>
        <w:autoSpaceDE w:val="0"/>
        <w:adjustRightInd w:val="0"/>
        <w:spacing w:before="120" w:after="120" w:line="240" w:lineRule="auto"/>
        <w:textAlignment w:val="auto"/>
        <w:rPr>
          <w:bCs/>
          <w:noProof/>
        </w:rPr>
      </w:pPr>
      <w:r>
        <w:rPr>
          <w:noProof/>
        </w:rPr>
        <w:lastRenderedPageBreak/>
        <w:t>Resultados del control de adecuación</w:t>
      </w:r>
    </w:p>
    <w:p>
      <w:pPr>
        <w:spacing w:before="120" w:after="120" w:line="240" w:lineRule="auto"/>
        <w:rPr>
          <w:noProof/>
          <w:lang w:val="es-ES_tradnl"/>
        </w:rPr>
      </w:pPr>
      <w:r>
        <w:rPr>
          <w:noProof/>
          <w:lang w:val="es-ES_tradnl"/>
        </w:rPr>
        <w:t xml:space="preserve">La principal dificultad de este control de adecuación </w:t>
      </w:r>
      <w:r>
        <w:rPr>
          <w:noProof/>
          <w:color w:val="000000"/>
          <w:lang w:val="es-ES_tradnl"/>
        </w:rPr>
        <w:t>fue armonizar dos aspectos. Por una parte, supuso alejarse para tener una mejor perspectiva y sacar conclusiones a partir de los flujos de notificación en conjunto. Por otra, se trató de un ejercicio consistente en examinar los detalles de los diferentes flujos de notificación así como los desafíos operacionales que estos plantean, y en sacar las lecciones correspondientes.</w:t>
      </w:r>
      <w:r>
        <w:rPr>
          <w:noProof/>
          <w:lang w:val="es-ES_tradnl"/>
        </w:rPr>
        <w:t xml:space="preserve"> Si bien su objetivo era ser lo más ambicioso posible, también era fundamental que fuera gestionable. Los puntos clave sobre su ámbito de aplicación fueron los siguientes:</w:t>
      </w:r>
    </w:p>
    <w:p>
      <w:pPr>
        <w:pStyle w:val="ListBullet"/>
        <w:spacing w:before="120" w:after="120" w:line="240" w:lineRule="auto"/>
        <w:rPr>
          <w:noProof/>
          <w:lang w:val="es-ES_tradnl"/>
        </w:rPr>
      </w:pPr>
      <w:r>
        <w:rPr>
          <w:noProof/>
          <w:lang w:val="es-ES_tradnl"/>
        </w:rPr>
        <w:t>Las «obligaciones de notificación» son las disposiciones legales que exigen la presentación de datos, información o informes a la Comisión o a la AEMA. Esa notificación tenía como razón principal permitir a la Comisión supervisar la aplicación de la legislación de la UE en los Estados miembros. Así pues, el control de adecuación cubre lo que se denomina «control reglamentario», aunque no el seguimiento medioambiental «sobre el terreno» en el sentido más amplio.</w:t>
      </w:r>
    </w:p>
    <w:p>
      <w:pPr>
        <w:pStyle w:val="ListBullet"/>
        <w:spacing w:before="120" w:after="120" w:line="240" w:lineRule="auto"/>
        <w:rPr>
          <w:noProof/>
          <w:color w:val="000000"/>
          <w:szCs w:val="20"/>
          <w:lang w:val="es-ES_tradnl"/>
        </w:rPr>
      </w:pPr>
      <w:r>
        <w:rPr>
          <w:noProof/>
          <w:color w:val="000000"/>
          <w:lang w:val="es-ES_tradnl"/>
        </w:rPr>
        <w:t>Además de examinar la notificación a nivel de la UE, el control de adecuación contempla cómo se difunde posteriormente esa información.</w:t>
      </w:r>
    </w:p>
    <w:p>
      <w:pPr>
        <w:pStyle w:val="ListBullet"/>
        <w:spacing w:before="120" w:after="120" w:line="240" w:lineRule="auto"/>
        <w:rPr>
          <w:noProof/>
          <w:color w:val="000000"/>
          <w:szCs w:val="20"/>
          <w:lang w:val="es-ES_tradnl"/>
        </w:rPr>
      </w:pPr>
      <w:r>
        <w:rPr>
          <w:noProof/>
          <w:color w:val="000000"/>
          <w:lang w:val="es-ES_tradnl"/>
        </w:rPr>
        <w:t>No todas las obligaciones de notificación examinadas en el control de adecuación están impuestas directamente por directivas o reglamentos. Muchas se especifican mediante actos delegados o de ejecución o mediante directrices o acuerdos informales.</w:t>
      </w:r>
    </w:p>
    <w:p>
      <w:pPr>
        <w:spacing w:before="120" w:after="120" w:line="240" w:lineRule="auto"/>
        <w:rPr>
          <w:noProof/>
        </w:rPr>
      </w:pPr>
      <w:r>
        <w:rPr>
          <w:noProof/>
          <w:lang w:val="es-ES_tradnl"/>
        </w:rPr>
        <w:t xml:space="preserve">Se plantearon veinte preguntas de evaluación para determinar esencialmente si se proporciona la información correcta, en el momento adecuado, de un modo apropiado y al menor coste posible. Los grupos interesados fueron consultados en línea y a través de talleres periódicos. La política medioambiental impone 181 obligaciones de notificación que se encuentran en 58 actos de la legislación medioambiental de la UE. Esas obligaciones requieren datos numéricos y geoespaciales, pero la mayoría se encuentran en formato de texto, el más difícil de notificar, estructurar y analizar. La frecuencia varía. Alrededor de la mitad de los informes se presentan cada dos años o más, y alrededor de la mitad conduce a un informe que la Comisión presenta a las demás instituciones de la UE. Los procesos también varían, pero parecen funcionar mejor cuando la AEMA procesa los datos. </w:t>
      </w:r>
      <w:r>
        <w:rPr>
          <w:noProof/>
        </w:rPr>
        <w:t>En resumen, la evaluación llegó a las siguientes conclusiones:</w:t>
      </w:r>
    </w:p>
    <w:p>
      <w:pPr>
        <w:pStyle w:val="ListBullet"/>
        <w:spacing w:before="120" w:after="120" w:line="240" w:lineRule="auto"/>
        <w:rPr>
          <w:noProof/>
          <w:lang w:val="es-ES_tradnl"/>
        </w:rPr>
      </w:pPr>
      <w:r>
        <w:rPr>
          <w:noProof/>
          <w:lang w:val="es-ES_tradnl"/>
        </w:rPr>
        <w:t xml:space="preserve">La </w:t>
      </w:r>
      <w:r>
        <w:rPr>
          <w:b/>
          <w:noProof/>
          <w:lang w:val="es-ES_tradnl"/>
        </w:rPr>
        <w:t>efectividad</w:t>
      </w:r>
      <w:r>
        <w:rPr>
          <w:noProof/>
          <w:lang w:val="es-ES_tradnl"/>
        </w:rPr>
        <w:t xml:space="preserve"> ha mejorado significativamente a lo largo de los años y se considera satisfactoria en general. Sin embargo, hay margen de mejora por lo que se refiere a algunas cuestiones transversales (como la racionalización para desarrollar un proceso más común) y a algunos actos legislativos específicos.</w:t>
      </w:r>
    </w:p>
    <w:p>
      <w:pPr>
        <w:pStyle w:val="ListBullet"/>
        <w:spacing w:before="120" w:after="120" w:line="240" w:lineRule="auto"/>
        <w:rPr>
          <w:noProof/>
          <w:lang w:val="es-ES_tradnl"/>
        </w:rPr>
      </w:pPr>
      <w:r>
        <w:rPr>
          <w:noProof/>
          <w:lang w:val="es-ES_tradnl"/>
        </w:rPr>
        <w:t xml:space="preserve">La notificación es en gran medida </w:t>
      </w:r>
      <w:r>
        <w:rPr>
          <w:b/>
          <w:noProof/>
          <w:lang w:val="es-ES_tradnl"/>
        </w:rPr>
        <w:t>eficiente</w:t>
      </w:r>
      <w:r>
        <w:rPr>
          <w:noProof/>
          <w:lang w:val="es-ES_tradnl"/>
        </w:rPr>
        <w:t>, y la carga administrativa (con un coste estimado de 22 millones EUR anuales) es moderada, justificada y proporcionada. Los beneficios, como una implementación mejorada y más específica y una mejor información pública, compensan en gran medida los costes. Podrían obtenerse algunas mejoras en la eficiencia si se racionalizara el proceso de una manera más horizontal y estratégica. Algunos ajustes en el contenido, el calendario, la frecuencia y el proceso en sí también podrían contribuir a ganar en eficiencia, pero algunos de esos cambios requerirían una modificación de la legislación considerada.</w:t>
      </w:r>
    </w:p>
    <w:p>
      <w:pPr>
        <w:pStyle w:val="ListBullet"/>
        <w:spacing w:before="120" w:after="120" w:line="240" w:lineRule="auto"/>
        <w:rPr>
          <w:b/>
          <w:noProof/>
          <w:lang w:val="es-ES_tradnl"/>
        </w:rPr>
      </w:pPr>
      <w:r>
        <w:rPr>
          <w:noProof/>
          <w:lang w:val="es-ES_tradnl"/>
        </w:rPr>
        <w:t xml:space="preserve">Se logra en gran medida una </w:t>
      </w:r>
      <w:r>
        <w:rPr>
          <w:b/>
          <w:noProof/>
          <w:lang w:val="es-ES_tradnl"/>
        </w:rPr>
        <w:t xml:space="preserve">coherencia </w:t>
      </w:r>
      <w:r>
        <w:rPr>
          <w:noProof/>
          <w:lang w:val="es-ES_tradnl"/>
        </w:rPr>
        <w:t xml:space="preserve">entre las obligaciones de notificación en los ámbitos de las políticas europeas como la agricultura, el clima, la energía, el medio marino, etc. No obstante, vale la pena considerar si podría mejorarse la coherencia </w:t>
      </w:r>
      <w:r>
        <w:rPr>
          <w:noProof/>
          <w:lang w:val="es-ES_tradnl"/>
        </w:rPr>
        <w:lastRenderedPageBreak/>
        <w:t>entre algunas de esas diferentes áreas, así como con las obligaciones derivadas de los compromisos internacionales.</w:t>
      </w:r>
    </w:p>
    <w:p>
      <w:pPr>
        <w:pStyle w:val="ListBullet"/>
        <w:spacing w:before="120" w:after="120" w:line="240" w:lineRule="auto"/>
        <w:rPr>
          <w:noProof/>
          <w:lang w:val="es-ES_tradnl"/>
        </w:rPr>
      </w:pPr>
      <w:r>
        <w:rPr>
          <w:noProof/>
          <w:lang w:val="es-ES_tradnl"/>
        </w:rPr>
        <w:t xml:space="preserve">La mayoría de las obligaciones de notificación son </w:t>
      </w:r>
      <w:r>
        <w:rPr>
          <w:b/>
          <w:noProof/>
          <w:lang w:val="es-ES_tradnl"/>
        </w:rPr>
        <w:t>pertinentes</w:t>
      </w:r>
      <w:r>
        <w:rPr>
          <w:noProof/>
          <w:lang w:val="es-ES_tradnl"/>
        </w:rPr>
        <w:t>, no obstante, hay margen de mejora (por ejemplo, soluciones técnicas avanzadas) y enfoques alternativos (por ejemplo, la recolección de datos nacionales). En particular, el contenido de la notificación en materia de medio ambiente podría centrarse más en información que sea estratégica, cuantitativa y enfocada a legislar mejor (por ejemplo, utilizando indicadores clave). Esto reduciría la cantidad de información textual que se solicita en la actualidad.</w:t>
      </w:r>
    </w:p>
    <w:p>
      <w:pPr>
        <w:pStyle w:val="ListBullet"/>
        <w:spacing w:before="120" w:after="120" w:line="240" w:lineRule="auto"/>
        <w:rPr>
          <w:b/>
          <w:noProof/>
          <w:lang w:val="es-ES_tradnl"/>
        </w:rPr>
      </w:pPr>
      <w:r>
        <w:rPr>
          <w:noProof/>
          <w:lang w:val="es-ES_tradnl"/>
        </w:rPr>
        <w:t xml:space="preserve">Existe </w:t>
      </w:r>
      <w:r>
        <w:rPr>
          <w:b/>
          <w:noProof/>
          <w:lang w:val="es-ES_tradnl"/>
        </w:rPr>
        <w:t>valor añadido de la UE</w:t>
      </w:r>
      <w:r>
        <w:rPr>
          <w:noProof/>
          <w:lang w:val="es-ES_tradnl"/>
        </w:rPr>
        <w:t>,</w:t>
      </w:r>
      <w:r>
        <w:rPr>
          <w:b/>
          <w:noProof/>
          <w:lang w:val="es-ES_tradnl"/>
        </w:rPr>
        <w:t xml:space="preserve"> </w:t>
      </w:r>
      <w:r>
        <w:rPr>
          <w:noProof/>
          <w:lang w:val="es-ES_tradnl"/>
        </w:rPr>
        <w:t>ya que los informes actuales ofrecen claros beneficios en forma de información comparable y coherente que no está disponible a nivel nacional. Sin embargo, enfoques alternativos como la difusión activa de información medioambiental pertinente a nivel nacional pueden, a largo plazo, hacer menos necesaria la notificación a nivel de la UE.</w:t>
      </w:r>
    </w:p>
    <w:p>
      <w:pPr>
        <w:suppressAutoHyphens w:val="0"/>
        <w:autoSpaceDN/>
        <w:spacing w:before="120" w:after="120" w:line="240" w:lineRule="auto"/>
        <w:ind w:left="720" w:right="-29"/>
        <w:contextualSpacing/>
        <w:textAlignment w:val="auto"/>
        <w:rPr>
          <w:b/>
          <w:bCs/>
          <w:noProof/>
          <w:szCs w:val="20"/>
          <w:lang w:val="es-ES_tradnl"/>
        </w:rPr>
      </w:pPr>
    </w:p>
    <w:p>
      <w:pPr>
        <w:spacing w:before="120" w:after="120" w:line="240" w:lineRule="auto"/>
        <w:rPr>
          <w:i/>
          <w:noProof/>
          <w:lang w:val="es-ES_tradnl"/>
        </w:rPr>
      </w:pPr>
      <w:r>
        <w:rPr>
          <w:i/>
          <w:noProof/>
          <w:lang w:val="es-ES_tradnl"/>
        </w:rPr>
        <w:t>Cuadro 1: Descripción general de los resultados [para más detalles, véase el documento SWD(2017) 230]. El porcentaje se refiere a los 58 actos legislativos o a las 181 obligaciones de notificación analizadas, según los datos disponibles.</w:t>
      </w:r>
    </w:p>
    <w:tbl>
      <w:tblPr>
        <w:tblStyle w:val="LightList-Accent1"/>
        <w:tblW w:w="8863" w:type="dxa"/>
        <w:tblLook w:val="04A0" w:firstRow="1" w:lastRow="0" w:firstColumn="1" w:lastColumn="0" w:noHBand="0" w:noVBand="1"/>
      </w:tblPr>
      <w:tblGrid>
        <w:gridCol w:w="6912"/>
        <w:gridCol w:w="1951"/>
      </w:tblGrid>
      <w:tr>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6912" w:type="dxa"/>
          </w:tcPr>
          <w:p>
            <w:pPr>
              <w:spacing w:before="120" w:after="120" w:line="240" w:lineRule="auto"/>
              <w:jc w:val="center"/>
              <w:rPr>
                <w:noProof/>
              </w:rPr>
            </w:pPr>
            <w:r>
              <w:rPr>
                <w:noProof/>
                <w:color w:val="FFFFFF"/>
                <w:sz w:val="22"/>
              </w:rPr>
              <w:t xml:space="preserve">Cuestión </w:t>
            </w:r>
          </w:p>
        </w:tc>
        <w:tc>
          <w:tcPr>
            <w:tcW w:w="1951" w:type="dxa"/>
          </w:tcPr>
          <w:p>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noProof/>
              </w:rPr>
            </w:pPr>
            <w:r>
              <w:rPr>
                <w:noProof/>
                <w:color w:val="FFFFFF"/>
                <w:sz w:val="22"/>
              </w:rPr>
              <w:t xml:space="preserve">Porcentaje </w:t>
            </w:r>
          </w:p>
        </w:tc>
      </w:tr>
      <w:tr>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lang w:val="es-ES_tradnl"/>
              </w:rPr>
            </w:pPr>
            <w:r>
              <w:rPr>
                <w:b w:val="0"/>
                <w:noProof/>
                <w:sz w:val="22"/>
                <w:lang w:val="es-ES_tradnl"/>
              </w:rPr>
              <w:t>Modificación de la legislación ya propuesta por la Comisión que racionaliza la notificación (vinculada a la legislación)</w:t>
            </w:r>
          </w:p>
        </w:tc>
        <w:tc>
          <w:tcPr>
            <w:tcW w:w="1951" w:type="dxa"/>
          </w:tcPr>
          <w:p>
            <w:pPr>
              <w:spacing w:after="0" w:line="240" w:lineRule="auto"/>
              <w:jc w:val="center"/>
              <w:cnfStyle w:val="000000100000" w:firstRow="0" w:lastRow="0" w:firstColumn="0" w:lastColumn="0" w:oddVBand="0" w:evenVBand="0" w:oddHBand="1" w:evenHBand="0" w:firstRowFirstColumn="0" w:firstRowLastColumn="0" w:lastRowFirstColumn="0" w:lastRowLastColumn="0"/>
              <w:rPr>
                <w:noProof/>
              </w:rPr>
            </w:pPr>
            <w:r>
              <w:rPr>
                <w:noProof/>
              </w:rPr>
              <w:t>16 %</w:t>
            </w:r>
          </w:p>
        </w:tc>
      </w:tr>
      <w:tr>
        <w:trPr>
          <w:trHeight w:val="632"/>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lang w:val="es-ES_tradnl"/>
              </w:rPr>
            </w:pPr>
            <w:r>
              <w:rPr>
                <w:b w:val="0"/>
                <w:noProof/>
                <w:sz w:val="22"/>
                <w:lang w:val="es-ES_tradnl"/>
              </w:rPr>
              <w:t>Se identificaron problemas de notificación que pueden requerir modificaciones legislativas (vinculada a la legislación)</w:t>
            </w:r>
          </w:p>
        </w:tc>
        <w:tc>
          <w:tcPr>
            <w:tcW w:w="1951" w:type="dxa"/>
          </w:tcPr>
          <w:p>
            <w:pPr>
              <w:spacing w:after="0" w:line="240" w:lineRule="auto"/>
              <w:jc w:val="center"/>
              <w:cnfStyle w:val="000000000000" w:firstRow="0" w:lastRow="0" w:firstColumn="0" w:lastColumn="0" w:oddVBand="0" w:evenVBand="0" w:oddHBand="0" w:evenHBand="0" w:firstRowFirstColumn="0" w:firstRowLastColumn="0" w:lastRowFirstColumn="0" w:lastRowLastColumn="0"/>
              <w:rPr>
                <w:noProof/>
              </w:rPr>
            </w:pPr>
            <w:r>
              <w:rPr>
                <w:noProof/>
              </w:rPr>
              <w:t>12 %</w:t>
            </w:r>
          </w:p>
        </w:tc>
      </w:tr>
      <w:tr>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sz w:val="22"/>
                <w:lang w:val="es-ES_tradnl"/>
              </w:rPr>
            </w:pPr>
            <w:r>
              <w:rPr>
                <w:b w:val="0"/>
                <w:noProof/>
                <w:sz w:val="22"/>
                <w:lang w:val="es-ES_tradnl"/>
              </w:rPr>
              <w:t>Notificación que incluye ejemplos de mejores prácticas</w:t>
            </w:r>
          </w:p>
          <w:p>
            <w:pPr>
              <w:spacing w:after="0" w:line="240" w:lineRule="auto"/>
              <w:rPr>
                <w:b w:val="0"/>
                <w:noProof/>
                <w:sz w:val="22"/>
              </w:rPr>
            </w:pPr>
            <w:r>
              <w:rPr>
                <w:b w:val="0"/>
                <w:noProof/>
                <w:sz w:val="22"/>
              </w:rPr>
              <w:t>(vinculada a la legislación)</w:t>
            </w:r>
          </w:p>
        </w:tc>
        <w:tc>
          <w:tcPr>
            <w:tcW w:w="1951" w:type="dxa"/>
          </w:tcPr>
          <w:p>
            <w:pPr>
              <w:spacing w:after="0" w:line="240" w:lineRule="auto"/>
              <w:jc w:val="center"/>
              <w:cnfStyle w:val="000000100000" w:firstRow="0" w:lastRow="0" w:firstColumn="0" w:lastColumn="0" w:oddVBand="0" w:evenVBand="0" w:oddHBand="1" w:evenHBand="0" w:firstRowFirstColumn="0" w:firstRowLastColumn="0" w:lastRowFirstColumn="0" w:lastRowLastColumn="0"/>
              <w:rPr>
                <w:noProof/>
                <w:sz w:val="22"/>
              </w:rPr>
            </w:pPr>
            <w:r>
              <w:rPr>
                <w:noProof/>
                <w:sz w:val="22"/>
              </w:rPr>
              <w:t>19 %</w:t>
            </w:r>
          </w:p>
        </w:tc>
      </w:tr>
      <w:tr>
        <w:trPr>
          <w:trHeight w:val="632"/>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jc w:val="left"/>
              <w:rPr>
                <w:noProof/>
                <w:sz w:val="22"/>
                <w:lang w:val="es-ES_tradnl"/>
              </w:rPr>
            </w:pPr>
            <w:r>
              <w:rPr>
                <w:b w:val="0"/>
                <w:noProof/>
                <w:sz w:val="22"/>
                <w:lang w:val="es-ES_tradnl"/>
              </w:rPr>
              <w:t>Notificación que se considera de gran utilidad</w:t>
            </w:r>
            <w:r>
              <w:rPr>
                <w:b w:val="0"/>
                <w:noProof/>
                <w:sz w:val="22"/>
                <w:lang w:val="es-ES_tradnl"/>
              </w:rPr>
              <w:br/>
              <w:t>(vinculada a las obligaciones de notificación)</w:t>
            </w:r>
          </w:p>
        </w:tc>
        <w:tc>
          <w:tcPr>
            <w:tcW w:w="1951" w:type="dxa"/>
          </w:tcPr>
          <w:p>
            <w:pPr>
              <w:spacing w:after="0" w:line="240" w:lineRule="auto"/>
              <w:jc w:val="center"/>
              <w:cnfStyle w:val="000000000000" w:firstRow="0" w:lastRow="0" w:firstColumn="0" w:lastColumn="0" w:oddVBand="0" w:evenVBand="0" w:oddHBand="0" w:evenHBand="0" w:firstRowFirstColumn="0" w:firstRowLastColumn="0" w:lastRowFirstColumn="0" w:lastRowLastColumn="0"/>
              <w:rPr>
                <w:noProof/>
              </w:rPr>
            </w:pPr>
            <w:r>
              <w:rPr>
                <w:noProof/>
              </w:rPr>
              <w:t>39 %</w:t>
            </w:r>
          </w:p>
        </w:tc>
      </w:tr>
      <w:tr>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jc w:val="left"/>
              <w:rPr>
                <w:b w:val="0"/>
                <w:noProof/>
                <w:lang w:val="es-ES_tradnl"/>
              </w:rPr>
            </w:pPr>
            <w:r>
              <w:rPr>
                <w:b w:val="0"/>
                <w:noProof/>
                <w:sz w:val="22"/>
                <w:lang w:val="es-ES_tradnl"/>
              </w:rPr>
              <w:t>Notificación que se considera de poca utilidad</w:t>
            </w:r>
            <w:r>
              <w:rPr>
                <w:b w:val="0"/>
                <w:noProof/>
                <w:sz w:val="22"/>
                <w:lang w:val="es-ES_tradnl"/>
              </w:rPr>
              <w:br/>
              <w:t>(vinculada a las obligaciones de notificación)</w:t>
            </w:r>
          </w:p>
        </w:tc>
        <w:tc>
          <w:tcPr>
            <w:tcW w:w="1951" w:type="dxa"/>
          </w:tcPr>
          <w:p>
            <w:pPr>
              <w:spacing w:after="0" w:line="240" w:lineRule="auto"/>
              <w:jc w:val="center"/>
              <w:cnfStyle w:val="000000100000" w:firstRow="0" w:lastRow="0" w:firstColumn="0" w:lastColumn="0" w:oddVBand="0" w:evenVBand="0" w:oddHBand="1" w:evenHBand="0" w:firstRowFirstColumn="0" w:firstRowLastColumn="0" w:lastRowFirstColumn="0" w:lastRowLastColumn="0"/>
              <w:rPr>
                <w:noProof/>
              </w:rPr>
            </w:pPr>
            <w:r>
              <w:rPr>
                <w:noProof/>
              </w:rPr>
              <w:t>9 %</w:t>
            </w:r>
          </w:p>
        </w:tc>
      </w:tr>
      <w:tr>
        <w:trPr>
          <w:trHeight w:val="399"/>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sz w:val="22"/>
                <w:lang w:val="es-ES_tradnl"/>
              </w:rPr>
            </w:pPr>
            <w:r>
              <w:rPr>
                <w:b w:val="0"/>
                <w:noProof/>
                <w:sz w:val="22"/>
                <w:lang w:val="es-ES_tradnl"/>
              </w:rPr>
              <w:t>Notificación en la que el uso de indicadores puede mejorarse</w:t>
            </w:r>
          </w:p>
          <w:p>
            <w:pPr>
              <w:spacing w:after="0" w:line="240" w:lineRule="auto"/>
              <w:rPr>
                <w:b w:val="0"/>
                <w:noProof/>
                <w:lang w:val="es-ES_tradnl"/>
              </w:rPr>
            </w:pPr>
            <w:r>
              <w:rPr>
                <w:b w:val="0"/>
                <w:noProof/>
                <w:sz w:val="22"/>
                <w:lang w:val="es-ES_tradnl"/>
              </w:rPr>
              <w:t>(vinculada a la legislación, basada en análisis de cribado)</w:t>
            </w:r>
          </w:p>
        </w:tc>
        <w:tc>
          <w:tcPr>
            <w:tcW w:w="1951" w:type="dxa"/>
          </w:tcPr>
          <w:p>
            <w:pPr>
              <w:spacing w:after="0" w:line="240" w:lineRule="auto"/>
              <w:jc w:val="center"/>
              <w:cnfStyle w:val="000000000000" w:firstRow="0" w:lastRow="0" w:firstColumn="0" w:lastColumn="0" w:oddVBand="0" w:evenVBand="0" w:oddHBand="0" w:evenHBand="0" w:firstRowFirstColumn="0" w:firstRowLastColumn="0" w:lastRowFirstColumn="0" w:lastRowLastColumn="0"/>
              <w:rPr>
                <w:noProof/>
              </w:rPr>
            </w:pPr>
            <w:r>
              <w:rPr>
                <w:noProof/>
              </w:rPr>
              <w:t>86 %</w:t>
            </w:r>
          </w:p>
        </w:tc>
      </w:tr>
      <w:tr>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sz w:val="22"/>
                <w:lang w:val="es-ES_tradnl"/>
              </w:rPr>
            </w:pPr>
            <w:r>
              <w:rPr>
                <w:b w:val="0"/>
                <w:noProof/>
                <w:sz w:val="22"/>
                <w:lang w:val="es-ES_tradnl"/>
              </w:rPr>
              <w:t>Notificación basada fundamentalmente en información textual</w:t>
            </w:r>
          </w:p>
          <w:p>
            <w:pPr>
              <w:spacing w:after="0" w:line="240" w:lineRule="auto"/>
              <w:rPr>
                <w:b w:val="0"/>
                <w:noProof/>
                <w:lang w:val="es-ES_tradnl"/>
              </w:rPr>
            </w:pPr>
            <w:r>
              <w:rPr>
                <w:b w:val="0"/>
                <w:noProof/>
                <w:sz w:val="22"/>
                <w:lang w:val="es-ES_tradnl"/>
              </w:rPr>
              <w:t>(vinculada a las obligaciones de notificación)</w:t>
            </w:r>
          </w:p>
        </w:tc>
        <w:tc>
          <w:tcPr>
            <w:tcW w:w="1951" w:type="dxa"/>
          </w:tcPr>
          <w:p>
            <w:pPr>
              <w:spacing w:after="0" w:line="240" w:lineRule="auto"/>
              <w:jc w:val="center"/>
              <w:cnfStyle w:val="000000100000" w:firstRow="0" w:lastRow="0" w:firstColumn="0" w:lastColumn="0" w:oddVBand="0" w:evenVBand="0" w:oddHBand="1" w:evenHBand="0" w:firstRowFirstColumn="0" w:firstRowLastColumn="0" w:lastRowFirstColumn="0" w:lastRowLastColumn="0"/>
              <w:rPr>
                <w:noProof/>
              </w:rPr>
            </w:pPr>
            <w:r>
              <w:rPr>
                <w:noProof/>
              </w:rPr>
              <w:t>76 %</w:t>
            </w:r>
          </w:p>
        </w:tc>
      </w:tr>
      <w:tr>
        <w:trPr>
          <w:trHeight w:val="399"/>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sz w:val="22"/>
                <w:lang w:val="es-ES_tradnl"/>
              </w:rPr>
            </w:pPr>
            <w:r>
              <w:rPr>
                <w:b w:val="0"/>
                <w:noProof/>
                <w:sz w:val="22"/>
                <w:lang w:val="es-ES_tradnl"/>
              </w:rPr>
              <w:t>Notificación en la que la coherencia externa podría mejorarse</w:t>
            </w:r>
          </w:p>
          <w:p>
            <w:pPr>
              <w:spacing w:after="0" w:line="240" w:lineRule="auto"/>
              <w:rPr>
                <w:b w:val="0"/>
                <w:noProof/>
                <w:lang w:val="es-ES_tradnl"/>
              </w:rPr>
            </w:pPr>
            <w:r>
              <w:rPr>
                <w:b w:val="0"/>
                <w:noProof/>
                <w:sz w:val="22"/>
                <w:lang w:val="es-ES_tradnl"/>
              </w:rPr>
              <w:t>(vinculada a la legislación, basada en las observaciones de las partes interesadas)</w:t>
            </w:r>
          </w:p>
        </w:tc>
        <w:tc>
          <w:tcPr>
            <w:tcW w:w="1951" w:type="dxa"/>
          </w:tcPr>
          <w:p>
            <w:pPr>
              <w:spacing w:after="0" w:line="240" w:lineRule="auto"/>
              <w:jc w:val="center"/>
              <w:cnfStyle w:val="000000000000" w:firstRow="0" w:lastRow="0" w:firstColumn="0" w:lastColumn="0" w:oddVBand="0" w:evenVBand="0" w:oddHBand="0" w:evenHBand="0" w:firstRowFirstColumn="0" w:firstRowLastColumn="0" w:lastRowFirstColumn="0" w:lastRowLastColumn="0"/>
              <w:rPr>
                <w:noProof/>
              </w:rPr>
            </w:pPr>
            <w:r>
              <w:rPr>
                <w:noProof/>
              </w:rPr>
              <w:t>29 %</w:t>
            </w:r>
          </w:p>
        </w:tc>
      </w:tr>
      <w:tr>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912" w:type="dxa"/>
          </w:tcPr>
          <w:p>
            <w:pPr>
              <w:spacing w:after="0" w:line="240" w:lineRule="auto"/>
              <w:rPr>
                <w:b w:val="0"/>
                <w:noProof/>
                <w:sz w:val="22"/>
                <w:lang w:val="es-ES_tradnl"/>
              </w:rPr>
            </w:pPr>
            <w:r>
              <w:rPr>
                <w:b w:val="0"/>
                <w:noProof/>
                <w:sz w:val="22"/>
                <w:lang w:val="es-ES_tradnl"/>
              </w:rPr>
              <w:t>Notificación cuyo retraso es significativo</w:t>
            </w:r>
          </w:p>
          <w:p>
            <w:pPr>
              <w:spacing w:after="0" w:line="240" w:lineRule="auto"/>
              <w:rPr>
                <w:b w:val="0"/>
                <w:noProof/>
                <w:lang w:val="es-ES_tradnl"/>
              </w:rPr>
            </w:pPr>
            <w:r>
              <w:rPr>
                <w:b w:val="0"/>
                <w:noProof/>
                <w:sz w:val="22"/>
                <w:lang w:val="es-ES_tradnl"/>
              </w:rPr>
              <w:t>(vinculada a 78 obligaciones de notificación que están relacionadas con informes de la Comisión)</w:t>
            </w:r>
          </w:p>
        </w:tc>
        <w:tc>
          <w:tcPr>
            <w:tcW w:w="1951" w:type="dxa"/>
          </w:tcPr>
          <w:p>
            <w:pPr>
              <w:spacing w:after="0" w:line="240" w:lineRule="auto"/>
              <w:jc w:val="center"/>
              <w:cnfStyle w:val="000000100000" w:firstRow="0" w:lastRow="0" w:firstColumn="0" w:lastColumn="0" w:oddVBand="0" w:evenVBand="0" w:oddHBand="1" w:evenHBand="0" w:firstRowFirstColumn="0" w:firstRowLastColumn="0" w:lastRowFirstColumn="0" w:lastRowLastColumn="0"/>
              <w:rPr>
                <w:noProof/>
              </w:rPr>
            </w:pPr>
            <w:r>
              <w:rPr>
                <w:noProof/>
              </w:rPr>
              <w:t>27 %</w:t>
            </w:r>
          </w:p>
        </w:tc>
      </w:tr>
    </w:tbl>
    <w:p>
      <w:pPr>
        <w:spacing w:before="120" w:after="120" w:line="240" w:lineRule="auto"/>
        <w:rPr>
          <w:noProof/>
          <w:lang w:val="es-ES_tradnl"/>
        </w:rPr>
      </w:pPr>
      <w:r>
        <w:rPr>
          <w:noProof/>
          <w:lang w:val="es-ES_tradnl"/>
        </w:rPr>
        <w:t>Los resultados demuestran que la mayoría de las obligaciones de notificación son en gran medida adecuadas a su propósito. Además, en un pasado reciente se han logrado firmes progresos en muchos ámbitos (véase la sección 3).</w:t>
      </w:r>
    </w:p>
    <w:p>
      <w:pPr>
        <w:spacing w:before="120" w:after="120" w:line="240" w:lineRule="auto"/>
        <w:rPr>
          <w:noProof/>
          <w:lang w:val="es-ES_tradnl"/>
        </w:rPr>
      </w:pPr>
      <w:r>
        <w:rPr>
          <w:noProof/>
          <w:lang w:val="es-ES_tradnl"/>
        </w:rPr>
        <w:t>Entre las cuestiones que deben desarrollarse aún más se pueden citar las siguientes:</w:t>
      </w:r>
    </w:p>
    <w:p>
      <w:pPr>
        <w:pStyle w:val="ListBullet1"/>
        <w:numPr>
          <w:ilvl w:val="0"/>
          <w:numId w:val="30"/>
        </w:numPr>
        <w:spacing w:before="120" w:after="120" w:line="240" w:lineRule="auto"/>
        <w:rPr>
          <w:noProof/>
          <w:lang w:val="es-ES_tradnl"/>
        </w:rPr>
      </w:pPr>
      <w:r>
        <w:rPr>
          <w:noProof/>
          <w:lang w:val="es-ES_tradnl"/>
        </w:rPr>
        <w:lastRenderedPageBreak/>
        <w:t>garantizar que todas las obligaciones de notificación incluyan los indicadores clave necesarios para evaluar el cumplimiento y comprender el desempeño en el logro de los objetivos;</w:t>
      </w:r>
    </w:p>
    <w:p>
      <w:pPr>
        <w:pStyle w:val="ListBullet1"/>
        <w:numPr>
          <w:ilvl w:val="0"/>
          <w:numId w:val="30"/>
        </w:numPr>
        <w:spacing w:before="120" w:after="120" w:line="240" w:lineRule="auto"/>
        <w:rPr>
          <w:noProof/>
          <w:lang w:val="es-ES_tradnl"/>
        </w:rPr>
      </w:pPr>
      <w:r>
        <w:rPr>
          <w:noProof/>
          <w:lang w:val="es-ES_tradnl"/>
        </w:rPr>
        <w:t>reducir los requisitos de notificación textual y promover buenas prácticas de TI, como soluciones comunes de fuente abierta;</w:t>
      </w:r>
    </w:p>
    <w:p>
      <w:pPr>
        <w:pStyle w:val="ListBullet1"/>
        <w:numPr>
          <w:ilvl w:val="0"/>
          <w:numId w:val="30"/>
        </w:numPr>
        <w:spacing w:before="120" w:after="120" w:line="240" w:lineRule="auto"/>
        <w:rPr>
          <w:noProof/>
          <w:lang w:val="es-ES_tradnl"/>
        </w:rPr>
      </w:pPr>
      <w:r>
        <w:rPr>
          <w:noProof/>
          <w:lang w:val="es-ES_tradnl"/>
        </w:rPr>
        <w:t>fomentar las buenas prácticas de difusión activa;</w:t>
      </w:r>
    </w:p>
    <w:p>
      <w:pPr>
        <w:pStyle w:val="ListBullet1"/>
        <w:numPr>
          <w:ilvl w:val="0"/>
          <w:numId w:val="30"/>
        </w:numPr>
        <w:spacing w:before="120" w:after="120" w:line="240" w:lineRule="auto"/>
        <w:rPr>
          <w:noProof/>
          <w:lang w:val="es-ES_tradnl"/>
        </w:rPr>
      </w:pPr>
      <w:r>
        <w:rPr>
          <w:noProof/>
          <w:lang w:val="es-ES_tradnl"/>
        </w:rPr>
        <w:t>acompasar más estrechamente el calendario y la frecuencia de las obligaciones de notificación para que satisfagan las necesidades principales del ciclo estratégico;</w:t>
      </w:r>
    </w:p>
    <w:p>
      <w:pPr>
        <w:pStyle w:val="ListBullet1"/>
        <w:numPr>
          <w:ilvl w:val="0"/>
          <w:numId w:val="30"/>
        </w:numPr>
        <w:spacing w:before="120" w:after="120" w:line="240" w:lineRule="auto"/>
        <w:rPr>
          <w:noProof/>
          <w:lang w:val="es-ES_tradnl"/>
        </w:rPr>
      </w:pPr>
      <w:r>
        <w:rPr>
          <w:noProof/>
          <w:lang w:val="es-ES_tradnl"/>
        </w:rPr>
        <w:t>armonizar y centralizar (algunos) aspectos de los procesos para hacerlos más eficaces y eficientes; y</w:t>
      </w:r>
    </w:p>
    <w:p>
      <w:pPr>
        <w:pStyle w:val="ListBullet1"/>
        <w:numPr>
          <w:ilvl w:val="0"/>
          <w:numId w:val="30"/>
        </w:numPr>
        <w:spacing w:before="120" w:after="120" w:line="240" w:lineRule="auto"/>
        <w:rPr>
          <w:noProof/>
          <w:lang w:val="es-ES_tradnl"/>
        </w:rPr>
      </w:pPr>
      <w:r>
        <w:rPr>
          <w:noProof/>
          <w:lang w:val="es-ES_tradnl"/>
        </w:rPr>
        <w:t>hacer un mejor uso de los datos de fuentes de la UE (como Copernicus</w:t>
      </w:r>
      <w:r>
        <w:rPr>
          <w:rStyle w:val="FootnoteReference"/>
          <w:noProof/>
        </w:rPr>
        <w:footnoteReference w:id="5"/>
      </w:r>
      <w:r>
        <w:rPr>
          <w:noProof/>
          <w:lang w:val="es-ES_tradnl"/>
        </w:rPr>
        <w:t>) o directamente de los ciudadanos (por ejemplo, en el contexto de la ciencia ciudadana</w:t>
      </w:r>
      <w:r>
        <w:rPr>
          <w:rStyle w:val="FootnoteReference"/>
          <w:noProof/>
        </w:rPr>
        <w:footnoteReference w:id="6"/>
      </w:r>
      <w:r>
        <w:rPr>
          <w:noProof/>
          <w:lang w:val="es-ES_tradnl"/>
        </w:rPr>
        <w:t>).</w:t>
      </w:r>
    </w:p>
    <w:p>
      <w:pPr>
        <w:spacing w:before="120" w:after="120" w:line="240" w:lineRule="auto"/>
        <w:rPr>
          <w:noProof/>
          <w:lang w:val="es-ES_tradnl"/>
        </w:rPr>
      </w:pPr>
      <w:r>
        <w:rPr>
          <w:noProof/>
          <w:lang w:val="es-ES_tradnl"/>
        </w:rPr>
        <w:t>Por lo general, la modernización y la racionalización son posibles si se aplican las mejores prácticas de manera más coherente como parte de un enfoque más común. Al hacerlo, se reforzaría la base factual para la política medioambiental y también se haría el proceso más sencillo y fiable.</w:t>
      </w:r>
    </w:p>
    <w:p>
      <w:pPr>
        <w:pStyle w:val="Heading1"/>
        <w:suppressAutoHyphens w:val="0"/>
        <w:autoSpaceDE w:val="0"/>
        <w:adjustRightInd w:val="0"/>
        <w:spacing w:before="120" w:after="120" w:line="240" w:lineRule="auto"/>
        <w:textAlignment w:val="auto"/>
        <w:rPr>
          <w:bCs/>
          <w:noProof/>
        </w:rPr>
      </w:pPr>
      <w:r>
        <w:rPr>
          <w:noProof/>
        </w:rPr>
        <w:t xml:space="preserve">Haciendo progresos </w:t>
      </w:r>
    </w:p>
    <w:p>
      <w:pPr>
        <w:spacing w:before="120" w:after="120" w:line="240" w:lineRule="auto"/>
        <w:rPr>
          <w:noProof/>
          <w:lang w:val="es-ES_tradnl"/>
        </w:rPr>
      </w:pPr>
      <w:r>
        <w:rPr>
          <w:noProof/>
          <w:lang w:val="es-ES_tradnl"/>
        </w:rPr>
        <w:t>La Comisión colabora desde hace tiempo con los Estados miembros para racionalizar la notificación en materia de medio ambiente</w:t>
      </w:r>
      <w:r>
        <w:rPr>
          <w:rStyle w:val="FootnoteReference"/>
          <w:smallCaps/>
          <w:noProof/>
        </w:rPr>
        <w:footnoteReference w:id="7"/>
      </w:r>
      <w:r>
        <w:rPr>
          <w:noProof/>
          <w:lang w:val="es-ES_tradnl"/>
        </w:rPr>
        <w:t>. En fecha reciente, la Comisión ya puso en marcha una serie de cambios, parcialmente inspirados en este control de adecuación. Estos incluyen los cambios en las propuestas de la Comisión sobre la legislación de residuos</w:t>
      </w:r>
      <w:r>
        <w:rPr>
          <w:rStyle w:val="FootnoteReference"/>
          <w:noProof/>
        </w:rPr>
        <w:footnoteReference w:id="8"/>
      </w:r>
      <w:r>
        <w:rPr>
          <w:noProof/>
          <w:lang w:val="es-ES_tradnl"/>
        </w:rPr>
        <w:t xml:space="preserve"> o la derogación de la Directiva sobre la normalización y la racionalización de los informes</w:t>
      </w:r>
      <w:r>
        <w:rPr>
          <w:rStyle w:val="FootnoteReference"/>
          <w:noProof/>
        </w:rPr>
        <w:footnoteReference w:id="9"/>
      </w:r>
      <w:r>
        <w:rPr>
          <w:noProof/>
          <w:lang w:val="es-ES_tradnl"/>
        </w:rPr>
        <w:t>, cuyos beneficios reales podrán apreciarse en los próximos años. De hecho, se han producido, o se están produciendo, cambios en todos los ámbitos principales de la política medioambiental, como el aire, el agua y la naturaleza [véase el cuadro 1 del SWD(2017) 230]. Esos cambios muestran el potencial de reducción de costes y de mejora de la calidad de la información al mismo tiempo.</w:t>
      </w:r>
    </w:p>
    <w:p>
      <w:pPr>
        <w:spacing w:before="120" w:after="120" w:line="240" w:lineRule="auto"/>
        <w:rPr>
          <w:noProof/>
          <w:lang w:val="es-ES_tradnl"/>
        </w:rPr>
      </w:pPr>
      <w:r>
        <w:rPr>
          <w:noProof/>
          <w:lang w:val="es-ES_tradnl"/>
        </w:rPr>
        <w:t xml:space="preserve">Las evaluaciones de la legislación medioambiental en el marco del programa de adecuación y eficacia de la reglamentación (REFIT) examinan sistemáticamente cuestiones relativas a la notificación y el seguimiento medioambientales. Esas </w:t>
      </w:r>
      <w:r>
        <w:rPr>
          <w:noProof/>
          <w:lang w:val="es-ES_tradnl"/>
        </w:rPr>
        <w:lastRenderedPageBreak/>
        <w:t>evaluaciones son un motor principal para el cambio, allí donde sea necesario. Este es el caso, por ejemplo, de la evaluación de la Directiva INSPIRE</w:t>
      </w:r>
      <w:r>
        <w:rPr>
          <w:rStyle w:val="FootnoteReference"/>
          <w:b/>
          <w:smallCaps/>
          <w:noProof/>
        </w:rPr>
        <w:footnoteReference w:id="10"/>
      </w:r>
      <w:r>
        <w:rPr>
          <w:noProof/>
          <w:lang w:val="es-ES_tradnl"/>
        </w:rPr>
        <w:t>.</w:t>
      </w:r>
    </w:p>
    <w:p>
      <w:pPr>
        <w:spacing w:before="120" w:after="120" w:line="240" w:lineRule="auto"/>
        <w:rPr>
          <w:noProof/>
          <w:lang w:val="es-ES_tradnl"/>
        </w:rPr>
      </w:pPr>
      <w:r>
        <w:rPr>
          <w:noProof/>
          <w:lang w:val="es-ES_tradnl"/>
        </w:rPr>
        <w:t>Se ha progresado no solo en relación con lo que se notifica, sino también en cómo se notifica. Se ha generalizado el uso de herramientas y tecnologías de la información que han facilitado y agilizado el proceso de notificación. Por último, la Comisión también ha estado explorando diferentes ideas y enfoques, como la mejora de la difusión activa.</w:t>
      </w:r>
    </w:p>
    <w:p>
      <w:pPr>
        <w:pStyle w:val="Heading1"/>
        <w:suppressAutoHyphens w:val="0"/>
        <w:autoSpaceDE w:val="0"/>
        <w:adjustRightInd w:val="0"/>
        <w:spacing w:before="120" w:after="120" w:line="240" w:lineRule="auto"/>
        <w:textAlignment w:val="auto"/>
        <w:rPr>
          <w:bCs/>
          <w:noProof/>
          <w:lang w:val="es-ES_tradnl"/>
        </w:rPr>
      </w:pPr>
      <w:r>
        <w:rPr>
          <w:noProof/>
          <w:lang w:val="es-ES_tradnl"/>
        </w:rPr>
        <w:t>Una hoja de ruta para la acción</w:t>
      </w:r>
    </w:p>
    <w:p>
      <w:pPr>
        <w:spacing w:before="120" w:after="120" w:line="240" w:lineRule="auto"/>
        <w:rPr>
          <w:noProof/>
        </w:rPr>
      </w:pPr>
      <w:r>
        <w:rPr>
          <w:noProof/>
          <w:lang w:val="es-ES_tradnl"/>
        </w:rPr>
        <w:t xml:space="preserve">Si bien el control de adecuación demostró que la notificación en materia de medio ambiente era en gran medida adecuada a su propósito, también se identificaron problemas que deben solucionarse (véase la sección 2). </w:t>
      </w:r>
      <w:r>
        <w:rPr>
          <w:noProof/>
        </w:rPr>
        <w:t>Estos se resolverán actuando en cinco áreas. Esto supone:</w:t>
      </w:r>
    </w:p>
    <w:p>
      <w:pPr>
        <w:pStyle w:val="ListNumber5"/>
        <w:spacing w:before="120" w:after="120" w:line="240" w:lineRule="auto"/>
        <w:rPr>
          <w:noProof/>
          <w:lang w:val="es-ES_tradnl"/>
        </w:rPr>
      </w:pPr>
      <w:r>
        <w:rPr>
          <w:noProof/>
          <w:lang w:val="es-ES_tradnl"/>
        </w:rPr>
        <w:t>obtener la información correcta, en la forma apropiada y en el momento adecuado;</w:t>
      </w:r>
    </w:p>
    <w:p>
      <w:pPr>
        <w:pStyle w:val="ListNumber5"/>
        <w:spacing w:before="120" w:after="120" w:line="240" w:lineRule="auto"/>
        <w:rPr>
          <w:noProof/>
          <w:lang w:val="es-ES_tradnl"/>
        </w:rPr>
      </w:pPr>
      <w:r>
        <w:rPr>
          <w:noProof/>
          <w:lang w:val="es-ES_tradnl"/>
        </w:rPr>
        <w:t>racionalizar el proceso de notificación;</w:t>
      </w:r>
    </w:p>
    <w:p>
      <w:pPr>
        <w:pStyle w:val="ListNumber5"/>
        <w:spacing w:before="120" w:after="120" w:line="240" w:lineRule="auto"/>
        <w:rPr>
          <w:noProof/>
          <w:lang w:val="es-ES_tradnl"/>
        </w:rPr>
      </w:pPr>
      <w:r>
        <w:rPr>
          <w:noProof/>
          <w:lang w:val="es-ES_tradnl"/>
        </w:rPr>
        <w:t>promover la difusión activa de la información medioambiental a nivel europeo y nacional;</w:t>
      </w:r>
    </w:p>
    <w:p>
      <w:pPr>
        <w:pStyle w:val="ListNumber5"/>
        <w:spacing w:before="120" w:after="120" w:line="240" w:lineRule="auto"/>
        <w:rPr>
          <w:noProof/>
          <w:lang w:val="es-ES_tradnl"/>
        </w:rPr>
      </w:pPr>
      <w:r>
        <w:rPr>
          <w:noProof/>
          <w:lang w:val="es-ES_tradnl"/>
        </w:rPr>
        <w:t>explotar otras fuentes de datos y enfoques alternativos que complementen la notificación en materia de medio ambiente; y</w:t>
      </w:r>
    </w:p>
    <w:p>
      <w:pPr>
        <w:pStyle w:val="ListNumber5"/>
        <w:spacing w:before="120" w:after="120" w:line="240" w:lineRule="auto"/>
        <w:rPr>
          <w:noProof/>
          <w:lang w:val="es-ES_tradnl"/>
        </w:rPr>
      </w:pPr>
      <w:r>
        <w:rPr>
          <w:noProof/>
          <w:lang w:val="es-ES_tradnl"/>
        </w:rPr>
        <w:t>mejorar la coherencia y la cooperación.</w:t>
      </w:r>
    </w:p>
    <w:p>
      <w:pPr>
        <w:spacing w:before="120" w:after="120" w:line="240" w:lineRule="auto"/>
        <w:rPr>
          <w:noProof/>
          <w:lang w:val="es-ES_tradnl"/>
        </w:rPr>
      </w:pPr>
      <w:r>
        <w:rPr>
          <w:noProof/>
          <w:lang w:val="es-ES_tradnl"/>
        </w:rPr>
        <w:t>Estas acciones reflejan la necesidad de aplicar un enfoque común a la notificación. Esto significa pasar de un sistema en el que la notificación se desarrolla de forma paralela en varios campos de la política medioambiental, a un enfoque más estandarizado en el que se adopten las mejores prácticas en todos los ámbitos políticos.</w:t>
      </w:r>
    </w:p>
    <w:p>
      <w:pPr>
        <w:spacing w:before="120" w:after="120" w:line="240" w:lineRule="auto"/>
        <w:rPr>
          <w:noProof/>
          <w:lang w:val="es-ES_tradnl"/>
        </w:rPr>
      </w:pPr>
      <w:r>
        <w:rPr>
          <w:noProof/>
          <w:lang w:val="es-ES_tradnl"/>
        </w:rPr>
        <w:t>Con este fin, la Comisión reforzará la capacidad de la Agencia Europea de Medio Ambiente (AEMA) para contribuir a la aplicación de este enfoque, sobre la base de las experiencias, las herramientas y los procedimientos ya establecidos en dicha Agencia. La Comisión transferirá presupuesto del programa LIFE (aproximadamente 3,1 millones EUR durante una fase experimental de tres años) y permitirá así a la AEMA liderar la implementación de la acción para la modernización de la notificación electrónica (véase la acción 3) y ayudar a la consecución de muchas otras, como se indica a continuación</w:t>
      </w:r>
      <w:r>
        <w:rPr>
          <w:rStyle w:val="FootnoteReference"/>
          <w:noProof/>
        </w:rPr>
        <w:footnoteReference w:id="11"/>
      </w:r>
      <w:r>
        <w:rPr>
          <w:noProof/>
          <w:lang w:val="es-ES_tradnl"/>
        </w:rPr>
        <w:t>. Esto complementará el apoyo actual a la notificación y las tareas futuras acordadas (por ejemplo, en relación con las políticas de energía y clima) y las mejoras (por ejemplo, en relación con Reportnet 2.0) establecidas en el programa de trabajo plurianual y anual de la AEMA. Los resultados de esta fase piloto se tendrán en cuenta en el seguimiento de la evaluación de la red EIONET de la AEMA, dirigido por la Comisión, y en consideraciones relativas al Reglamento de la AEMA</w:t>
      </w:r>
      <w:r>
        <w:rPr>
          <w:rStyle w:val="FootnoteReference"/>
          <w:noProof/>
        </w:rPr>
        <w:footnoteReference w:id="12"/>
      </w:r>
      <w:r>
        <w:rPr>
          <w:noProof/>
          <w:lang w:val="es-ES_tradnl"/>
        </w:rPr>
        <w:t>.</w:t>
      </w:r>
    </w:p>
    <w:p>
      <w:pPr>
        <w:spacing w:before="120" w:after="120" w:line="240" w:lineRule="auto"/>
        <w:rPr>
          <w:noProof/>
          <w:lang w:val="es-ES_tradnl"/>
        </w:rPr>
      </w:pPr>
      <w:r>
        <w:rPr>
          <w:noProof/>
          <w:lang w:val="es-ES_tradnl"/>
        </w:rPr>
        <w:lastRenderedPageBreak/>
        <w:t>El resultado debe ser una información de mejor calidad que se proporcione con mayor facilidad y sea más ampliamente utilizada. Esto beneficiará a todos los involucrados o interesados en la notificación en materia de medio ambiente. Las administraciones se beneficiarán mediante la reducción de la carga administrativa. La carga para las empresas se reducirá si las administraciones de los Estados miembros repercuten las mejoras de eficiencia en los mecanismos de notificación y control reglamentario que conciernen a las empresas. Los responsables políticos tendrán información de más calidad para el desarrollo de sus iniciativas. Por último, el público, las empresas y las administraciones europeas tendrán un mejor acceso a una información medioambiental de más calidad.</w:t>
      </w:r>
    </w:p>
    <w:p>
      <w:pPr>
        <w:pStyle w:val="Heading2"/>
        <w:spacing w:before="120" w:after="120" w:line="240" w:lineRule="auto"/>
        <w:rPr>
          <w:noProof/>
          <w:lang w:val="es-ES_tradnl"/>
        </w:rPr>
      </w:pPr>
      <w:r>
        <w:rPr>
          <w:noProof/>
          <w:lang w:val="es-ES_tradnl"/>
        </w:rPr>
        <w:t>Obtener la información correcta, de la forma apropiada y en el momento adecuado</w:t>
      </w:r>
    </w:p>
    <w:p>
      <w:pPr>
        <w:spacing w:before="120" w:after="120" w:line="240" w:lineRule="auto"/>
        <w:rPr>
          <w:noProof/>
          <w:lang w:val="es-ES_tradnl"/>
        </w:rPr>
      </w:pPr>
      <w:r>
        <w:rPr>
          <w:noProof/>
          <w:lang w:val="es-ES_tradnl"/>
        </w:rPr>
        <w:t>El control de adecuación llegó a la conclusión de que el proceso de notificación existente en materia de medio ambiente es en gran medida adecuado, pero que podrían hacerse algunas mejoras específicas. Algunas de esas mejoras, como la adaptación del calendario, solo pueden hacerse modificando la legislación. Otros cambios no requieren ninguna modificación legislativa, pero pueden ser de carácter detallado.</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1: Modificaciones legislativas de las obligaciones de notificación definidas en determinados actos legislativos</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calendario fijado para diferentes actos legislativos en consonancia con la necesidad de presentar una o varias propuestas de la Comisión.</w:t>
      </w:r>
    </w:p>
    <w:p>
      <w:pPr>
        <w:spacing w:before="120" w:after="120" w:line="240" w:lineRule="auto"/>
        <w:rPr>
          <w:noProof/>
          <w:lang w:val="es-ES_tradnl"/>
        </w:rPr>
      </w:pPr>
      <w:r>
        <w:rPr>
          <w:noProof/>
          <w:lang w:val="es-ES_tradnl"/>
        </w:rPr>
        <w:t>Además de las acciones ya esbozadas en la sección 3, esta acción examinará las conclusiones sobre la necesidad de modificar actos legislativos específicos</w:t>
      </w:r>
      <w:r>
        <w:rPr>
          <w:rStyle w:val="FootnoteReference"/>
          <w:noProof/>
        </w:rPr>
        <w:footnoteReference w:id="13"/>
      </w:r>
      <w:r>
        <w:rPr>
          <w:noProof/>
          <w:lang w:val="es-ES_tradnl"/>
        </w:rPr>
        <w:t>. Basándose en un análisis más detallado de esas cuestiones, la Comisión propondrá modificaciones legislativas, que podrían abordar, por ejemplo:</w:t>
      </w:r>
    </w:p>
    <w:p>
      <w:pPr>
        <w:pStyle w:val="ListDash1"/>
        <w:spacing w:before="120" w:after="120" w:line="240" w:lineRule="auto"/>
        <w:rPr>
          <w:noProof/>
          <w:lang w:val="es-ES_tradnl"/>
        </w:rPr>
      </w:pPr>
      <w:r>
        <w:rPr>
          <w:noProof/>
          <w:lang w:val="es-ES_tradnl"/>
        </w:rPr>
        <w:t>el ajuste de la periodicidad y la frecuencia de notificación, cuando proceda; y</w:t>
      </w:r>
    </w:p>
    <w:p>
      <w:pPr>
        <w:pStyle w:val="ListDash1"/>
        <w:spacing w:before="120" w:after="120" w:line="240" w:lineRule="auto"/>
        <w:rPr>
          <w:noProof/>
          <w:lang w:val="es-ES_tradnl"/>
        </w:rPr>
      </w:pPr>
      <w:r>
        <w:rPr>
          <w:noProof/>
          <w:lang w:val="es-ES_tradnl"/>
        </w:rPr>
        <w:t>la eliminación de obligaciones de notificación redundantes u otras que hayan dejado de ser útiles.</w:t>
      </w:r>
    </w:p>
    <w:p>
      <w:pPr>
        <w:spacing w:before="120" w:after="120" w:line="240" w:lineRule="auto"/>
        <w:rPr>
          <w:noProof/>
          <w:lang w:val="es-ES_tradnl"/>
        </w:rPr>
      </w:pPr>
      <w:r>
        <w:rPr>
          <w:noProof/>
          <w:lang w:val="es-ES_tradnl"/>
        </w:rPr>
        <w:t>Para garantizar un enfoque sistemático y comparable, la Comisión complementará el enfoque propuesto en las directrices sobre la mejora de la legislación e introducirá, en la medida de lo posible, disposiciones normalizadas para las obligaciones de notificación en materia de medio ambiente.</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2: Evaluar y modificar las obligaciones de notificación con más detalle como parte de un programa evolutivo</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programa de trabajo evolutivo.</w:t>
      </w:r>
    </w:p>
    <w:p>
      <w:pPr>
        <w:spacing w:before="120" w:after="120" w:line="240" w:lineRule="auto"/>
        <w:rPr>
          <w:noProof/>
          <w:lang w:val="es-ES_tradnl"/>
        </w:rPr>
      </w:pPr>
      <w:r>
        <w:rPr>
          <w:noProof/>
          <w:lang w:val="es-ES_tradnl"/>
        </w:rPr>
        <w:t xml:space="preserve">Para garantizar un enfoque sistemático y comparable, la Comisión también aplicará el enfoque de la notificación en materia de medio ambiente descrito en el presente informe al evaluar la legislación medioambiental vigente en la UE y diseñar nuevas propuestas </w:t>
      </w:r>
      <w:r>
        <w:rPr>
          <w:noProof/>
          <w:lang w:val="es-ES_tradnl"/>
        </w:rPr>
        <w:lastRenderedPageBreak/>
        <w:t>legislativas (por ejemplo, racionalizando el proceso de notificación o mejorando las disposiciones sobre información pública).</w:t>
      </w:r>
    </w:p>
    <w:p>
      <w:pPr>
        <w:spacing w:before="120" w:after="120" w:line="240" w:lineRule="auto"/>
        <w:rPr>
          <w:noProof/>
          <w:lang w:val="es-ES_tradnl"/>
        </w:rPr>
      </w:pPr>
      <w:r>
        <w:rPr>
          <w:noProof/>
          <w:lang w:val="es-ES_tradnl"/>
        </w:rPr>
        <w:t>Este enfoque científico más común se introducirá a través de un compromiso de examinar la notificación con más detalle en todas las evaluaciones y propuestas futuras</w:t>
      </w:r>
      <w:r>
        <w:rPr>
          <w:rStyle w:val="FootnoteReference"/>
          <w:noProof/>
        </w:rPr>
        <w:footnoteReference w:id="14"/>
      </w:r>
      <w:r>
        <w:rPr>
          <w:noProof/>
          <w:lang w:val="es-ES_tradnl"/>
        </w:rPr>
        <w:t>. Esto aprovecha las revisiones y evaluaciones periódicas que permiten a la Comisión, en cooperación con la AEMA y los Estados miembros de la UE</w:t>
      </w:r>
      <w:r>
        <w:rPr>
          <w:rStyle w:val="FootnoteReference"/>
          <w:noProof/>
        </w:rPr>
        <w:footnoteReference w:id="15"/>
      </w:r>
      <w:r>
        <w:rPr>
          <w:noProof/>
          <w:lang w:val="es-ES_tradnl"/>
        </w:rPr>
        <w:t>, revisar cada pocos años la información que se requiere notificar. Al mismo tiempo, la Comisión puede considerar la eficacia de la legislación en general. En este contexto, la revisión examinará sistemáticamente las siguientes posibilidades:</w:t>
      </w:r>
    </w:p>
    <w:p>
      <w:pPr>
        <w:pStyle w:val="ListDash1"/>
        <w:spacing w:before="120" w:after="120" w:line="240" w:lineRule="auto"/>
        <w:rPr>
          <w:noProof/>
          <w:lang w:val="es-ES_tradnl"/>
        </w:rPr>
      </w:pPr>
      <w:r>
        <w:rPr>
          <w:noProof/>
          <w:lang w:val="es-ES_tradnl"/>
        </w:rPr>
        <w:t>utilizar indicadores clave de forma más amplia y estructurar la información sobre las cuestiones más importantes en materia de aplicación haciendo referencia al marco FPEIR</w:t>
      </w:r>
      <w:r>
        <w:rPr>
          <w:rStyle w:val="FootnoteReference"/>
          <w:noProof/>
        </w:rPr>
        <w:footnoteReference w:id="16"/>
      </w:r>
      <w:r>
        <w:rPr>
          <w:noProof/>
          <w:lang w:val="es-ES_tradnl"/>
        </w:rPr>
        <w:t xml:space="preserve"> y a las directrices sobre la mejora de la legislación en materia de control reglamentario;</w:t>
      </w:r>
    </w:p>
    <w:p>
      <w:pPr>
        <w:pStyle w:val="ListDash1"/>
        <w:spacing w:before="120" w:after="120" w:line="240" w:lineRule="auto"/>
        <w:rPr>
          <w:noProof/>
          <w:lang w:val="es-ES_tradnl"/>
        </w:rPr>
      </w:pPr>
      <w:r>
        <w:rPr>
          <w:noProof/>
          <w:lang w:val="es-ES_tradnl"/>
        </w:rPr>
        <w:t>alinear dichos indicadores clave, en la medida de lo posible, con las necesidades políticas más amplias de los objetivos de desarrollo sostenible (ODS), el Séptimo Programa de Acción en materia de Medio Ambiente (VII PMA) y la revisión de la aplicación de la normativa en materia de medio ambiente (EIR), para garantizar un enfoque conjunto;</w:t>
      </w:r>
    </w:p>
    <w:p>
      <w:pPr>
        <w:pStyle w:val="ListDash1"/>
        <w:spacing w:before="120" w:after="120" w:line="240" w:lineRule="auto"/>
        <w:rPr>
          <w:noProof/>
          <w:lang w:val="es-ES_tradnl"/>
        </w:rPr>
      </w:pPr>
      <w:r>
        <w:rPr>
          <w:noProof/>
          <w:lang w:val="es-ES_tradnl"/>
        </w:rPr>
        <w:t>reducir la necesidad de proporcionar información textual y contextual o usar preguntas cerradas más a menudo, con respuestas predefinidas y sugeridas, cuando sea pertinente;</w:t>
      </w:r>
    </w:p>
    <w:p>
      <w:pPr>
        <w:pStyle w:val="ListDash1"/>
        <w:spacing w:before="120" w:after="120" w:line="240" w:lineRule="auto"/>
        <w:rPr>
          <w:noProof/>
          <w:lang w:val="es-ES_tradnl"/>
        </w:rPr>
      </w:pPr>
      <w:r>
        <w:rPr>
          <w:noProof/>
          <w:lang w:val="es-ES_tradnl"/>
        </w:rPr>
        <w:t>utilizar la información públicamente disponible a nivel nacional en lugar de solicitar nuevamente la información a los Estados miembros o las empresas.</w:t>
      </w:r>
    </w:p>
    <w:p>
      <w:pPr>
        <w:spacing w:before="120" w:after="120" w:line="240" w:lineRule="auto"/>
        <w:rPr>
          <w:noProof/>
          <w:lang w:val="es-ES_tradnl"/>
        </w:rPr>
      </w:pPr>
      <w:r>
        <w:rPr>
          <w:noProof/>
          <w:lang w:val="es-ES_tradnl"/>
        </w:rPr>
        <w:t>El programa evolutivo también examinará el propósito y las necesidades de notificación, así como el uso de la información notificada. Además, se revisarán las obligaciones de notificación pertinentes para que se ajusten a las especificaciones de datos de INSPIRE o, cuando sea más eficaz, para que las especificaciones de datos se adapten con vistas a garantizar la coherencia con las obligaciones de notificación. El objetivo es maximizar los beneficios de pasar a la interoperabilidad de los datos sin generar costes innecesarios.</w:t>
      </w:r>
    </w:p>
    <w:p>
      <w:pPr>
        <w:spacing w:before="120" w:after="120" w:line="240" w:lineRule="auto"/>
        <w:rPr>
          <w:noProof/>
          <w:lang w:val="es-ES_tradnl"/>
        </w:rPr>
      </w:pPr>
      <w:r>
        <w:rPr>
          <w:noProof/>
          <w:lang w:val="es-ES_tradnl"/>
        </w:rPr>
        <w:t>En este proceso de revisión se tendrán en cuenta los principios de redacción para una notificación en materia de medio ambiente más inteligente elaborados por la iniciativa «Make it Work»</w:t>
      </w:r>
      <w:r>
        <w:rPr>
          <w:rStyle w:val="FootnoteReference"/>
          <w:noProof/>
        </w:rPr>
        <w:footnoteReference w:id="17"/>
      </w:r>
      <w:r>
        <w:rPr>
          <w:noProof/>
          <w:lang w:val="es-ES_tradnl"/>
        </w:rPr>
        <w:t>.</w:t>
      </w:r>
    </w:p>
    <w:p>
      <w:pPr>
        <w:pStyle w:val="Heading2"/>
        <w:spacing w:before="120" w:after="120" w:line="240" w:lineRule="auto"/>
        <w:rPr>
          <w:noProof/>
        </w:rPr>
      </w:pPr>
      <w:r>
        <w:rPr>
          <w:noProof/>
        </w:rPr>
        <w:lastRenderedPageBreak/>
        <w:t>Racionalizar el proceso de notificación</w:t>
      </w:r>
    </w:p>
    <w:p>
      <w:pPr>
        <w:spacing w:before="120" w:after="120" w:line="240" w:lineRule="auto"/>
        <w:rPr>
          <w:noProof/>
          <w:lang w:val="es-ES_tradnl"/>
        </w:rPr>
      </w:pPr>
      <w:r>
        <w:rPr>
          <w:noProof/>
          <w:lang w:val="es-ES_tradnl"/>
        </w:rPr>
        <w:t>Sobre la base de la inversión ya realizada en el proceso de notificación, todavía es posible un mayor aprovechamiento de los avances en las herramientas TI, incluida la normalización de prácticas y procedimientos.</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3: Modernizar la notificación electrónica a través de un Reportnet más avanzado y un mayor aprovechamiento de la infraestructura existente</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Reportnet 2.0 se lanzará en 2019 y, a continuación, se irán ampliando gradualmente sus capacidades y rendimiento.</w:t>
      </w:r>
    </w:p>
    <w:p>
      <w:pPr>
        <w:spacing w:before="120" w:after="120" w:line="240" w:lineRule="auto"/>
        <w:rPr>
          <w:noProof/>
          <w:lang w:val="es-ES_tradnl"/>
        </w:rPr>
      </w:pPr>
      <w:r>
        <w:rPr>
          <w:noProof/>
          <w:lang w:val="es-ES_tradnl"/>
        </w:rPr>
        <w:t>Para promover y modernizar la notificación electrónica con las últimas soluciones TI, la AEMA ha iniciado un proyecto denominado Reportnet 2.0. Reportnet es la infraestructura de la AEMA para apoyar y mejorar los flujos de datos e información y también es utilizada por algunos servicios de la Comisión para sus procesos de notificación. Se diseñó para una generación de política medioambiental de la UE anterior y actualmente es una herramienta que está sometida a gran tensión debido al volumen de datos que se notifican.</w:t>
      </w:r>
    </w:p>
    <w:p>
      <w:pPr>
        <w:spacing w:before="120" w:after="120" w:line="240" w:lineRule="auto"/>
        <w:rPr>
          <w:noProof/>
          <w:lang w:val="es-ES_tradnl"/>
        </w:rPr>
      </w:pPr>
      <w:r>
        <w:rPr>
          <w:noProof/>
          <w:lang w:val="es-ES_tradnl"/>
        </w:rPr>
        <w:t>La Comisión apoyará la transformación de esta infraestructura de notificación para que se convierta en el instrumento central y racionalizado de la UE para la notificación en materia de medio ambiente (y posiblemente en otros ámbitos) más allá de las expectativas actuales de Reportnet 2.0 (destinado principalmente a mejorar la capacidad y la seguridad). Reportnet también tendrá que responder a los niveles de ambición establecidos en la agenda del mercado único digital de la UE, en particular los previstos en el Plan de Acción sobre Administración Electrónica</w:t>
      </w:r>
      <w:r>
        <w:rPr>
          <w:rStyle w:val="FootnoteReference"/>
          <w:noProof/>
        </w:rPr>
        <w:footnoteReference w:id="18"/>
      </w:r>
      <w:r>
        <w:rPr>
          <w:noProof/>
          <w:lang w:val="es-ES_tradnl"/>
        </w:rPr>
        <w:t xml:space="preserve"> y en el Marco Europeo de Interoperabilidad</w:t>
      </w:r>
      <w:r>
        <w:rPr>
          <w:rStyle w:val="FootnoteReference"/>
          <w:noProof/>
        </w:rPr>
        <w:footnoteReference w:id="19"/>
      </w:r>
      <w:r>
        <w:rPr>
          <w:noProof/>
          <w:lang w:val="es-ES_tradnl"/>
        </w:rPr>
        <w:t>. La Comisión también explorará el potencial de Reportnet utilizando los servicios en la nube y analizará las posibles sinergias con la aplicación de la propuesta de Reglamento relativo a la gobernanza de la Unión de la Energía</w:t>
      </w:r>
      <w:r>
        <w:rPr>
          <w:rStyle w:val="FootnoteReference"/>
          <w:noProof/>
        </w:rPr>
        <w:footnoteReference w:id="20"/>
      </w:r>
      <w:r>
        <w:rPr>
          <w:noProof/>
          <w:lang w:val="es-ES_tradnl"/>
        </w:rPr>
        <w:t>. La Comisión estudiará las enseñanzas extraídas de la iniciativa relativa al Sistema Compartido de Información Medioambiental (SEIS)</w:t>
      </w:r>
      <w:r>
        <w:rPr>
          <w:rStyle w:val="FootnoteReference"/>
          <w:noProof/>
        </w:rPr>
        <w:footnoteReference w:id="21"/>
      </w:r>
      <w:r>
        <w:rPr>
          <w:noProof/>
          <w:lang w:val="es-ES_tradnl"/>
        </w:rPr>
        <w:t xml:space="preserve"> y aprovechará los logros y experiencias de los sistemas de información sectoriales, como los sistemas de información sobre el agua o la biodiversidad en Europa.</w:t>
      </w:r>
    </w:p>
    <w:p>
      <w:pPr>
        <w:spacing w:before="120" w:after="120" w:line="240" w:lineRule="auto"/>
        <w:rPr>
          <w:noProof/>
          <w:lang w:val="es-ES_tradnl"/>
        </w:rPr>
      </w:pPr>
      <w:r>
        <w:rPr>
          <w:noProof/>
          <w:lang w:val="es-ES_tradnl"/>
        </w:rPr>
        <w:t>En este contexto, la Comisión fomentará la aplicación coherente y realista de las normas INSPIRE. La evaluación REFIT de INSPIRE</w:t>
      </w:r>
      <w:r>
        <w:rPr>
          <w:rStyle w:val="FootnoteReference"/>
          <w:noProof/>
        </w:rPr>
        <w:footnoteReference w:id="22"/>
      </w:r>
      <w:r>
        <w:rPr>
          <w:noProof/>
          <w:lang w:val="es-ES_tradnl"/>
        </w:rPr>
        <w:t xml:space="preserve"> demostró que la actual aplicación de la Directiva no está totalmente adaptada a las necesidades de notificación en el marco de la legislación medioambiental de la UE. La Comisión ya está adoptando medidas para garantizar que la aplicación de INSPIRE conceda «</w:t>
      </w:r>
      <w:r>
        <w:rPr>
          <w:i/>
          <w:noProof/>
          <w:lang w:val="es-ES_tradnl"/>
        </w:rPr>
        <w:t>prioridad a los conjuntos de datos espaciales de medio ambiente, en particular los relacionados con el seguimiento y la notificación</w:t>
      </w:r>
      <w:r>
        <w:rPr>
          <w:noProof/>
          <w:lang w:val="es-ES_tradnl"/>
        </w:rPr>
        <w:t>»</w:t>
      </w:r>
      <w:r>
        <w:rPr>
          <w:rStyle w:val="FootnoteReference"/>
          <w:noProof/>
        </w:rPr>
        <w:footnoteReference w:id="23"/>
      </w:r>
      <w:r>
        <w:rPr>
          <w:noProof/>
          <w:lang w:val="es-ES_tradnl"/>
        </w:rPr>
        <w:t>.</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lastRenderedPageBreak/>
        <w:t>Acción 4: Desarrollar y probar herramientas para la recolección de datos a nivel de la UE</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presentación de los resultados de las pruebas en 2018.</w:t>
      </w:r>
    </w:p>
    <w:p>
      <w:pPr>
        <w:spacing w:before="120" w:after="120" w:line="240" w:lineRule="auto"/>
        <w:rPr>
          <w:noProof/>
          <w:lang w:val="es-ES_tradnl"/>
        </w:rPr>
      </w:pPr>
      <w:r>
        <w:rPr>
          <w:noProof/>
          <w:lang w:val="es-ES_tradnl"/>
        </w:rPr>
        <w:t>La recolección de datos es una forma en que las instituciones de la UE pueden acceder a los datos a nivel nacional o local sin que haya que notificarlos físicamente. En principio, esto permite un acceso mejor y más flexible a los datos a nivel de la UE, minimizando al mismo tiempo los inconvenientes para otros.</w:t>
      </w:r>
    </w:p>
    <w:p>
      <w:pPr>
        <w:spacing w:before="120" w:after="120" w:line="240" w:lineRule="auto"/>
        <w:rPr>
          <w:noProof/>
          <w:lang w:val="es-ES_tradnl"/>
        </w:rPr>
      </w:pPr>
      <w:r>
        <w:rPr>
          <w:noProof/>
          <w:lang w:val="es-ES_tradnl"/>
        </w:rPr>
        <w:t>Hasta ahora, no ha sido posible desarrollar una aplicación a nivel de la UE para recolectar y utilizar con eficacia los datos disponibles públicamente. Existe cierta experiencia, pero es necesario seguir desarrollando y probando esas herramientas antes de que puedan ser operativas. La Comisión, junto con la AEMA, invertirá en el desarrollo de ese tipo de herramientas y probará algunas ideas iniciales antes de finales de 2018. Esto incluirá una mejora adicional del geoportal de la UE y su enlace con el proyecto Reportnet. La Comisión elaborará también orientaciones prácticas sobre cómo utilizar con más eficacia en el futuro la recolección de datos en la política medioambiental para abordar las cuestiones identificadas en el control de adecuación (por ejemplo, sobre la seguridad jurídica).</w:t>
      </w:r>
    </w:p>
    <w:p>
      <w:pPr>
        <w:pStyle w:val="Heading2"/>
        <w:spacing w:before="120" w:after="120" w:line="240" w:lineRule="auto"/>
        <w:rPr>
          <w:noProof/>
          <w:lang w:val="es-ES_tradnl"/>
        </w:rPr>
      </w:pPr>
      <w:r>
        <w:rPr>
          <w:noProof/>
          <w:lang w:val="es-ES_tradnl"/>
        </w:rPr>
        <w:t>Promover la difusión activa de información medioambiental a nivel europeo y nacional</w:t>
      </w:r>
    </w:p>
    <w:p>
      <w:pPr>
        <w:spacing w:before="120" w:after="120" w:line="240" w:lineRule="auto"/>
        <w:rPr>
          <w:noProof/>
          <w:lang w:val="es-ES_tradnl"/>
        </w:rPr>
      </w:pPr>
      <w:r>
        <w:rPr>
          <w:noProof/>
          <w:lang w:val="es-ES_tradnl"/>
        </w:rPr>
        <w:t>La notificación no debería dirigirse únicamente a las instituciones de la UE. Por ejemplo, también debería servir para que el público comprendiera mejor el estado del medio ambiente en el que viven.</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5: Elaborar orientaciones y promover las mejores prácticas para los sistemas de información medioambiental europeos y nacionales, incluido un mejor acceso a los datos de maneras fáciles de entender</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orientaciones y ejemplos de buenas prácticas que se publicarán en 2018.</w:t>
      </w:r>
    </w:p>
    <w:p>
      <w:pPr>
        <w:spacing w:before="120" w:after="120" w:line="240" w:lineRule="auto"/>
        <w:rPr>
          <w:noProof/>
          <w:lang w:val="es-ES_tradnl"/>
        </w:rPr>
      </w:pPr>
      <w:r>
        <w:rPr>
          <w:noProof/>
          <w:lang w:val="es-ES_tradnl"/>
        </w:rPr>
        <w:t>La Comisión promoverá una difusión activa mediante orientaciones e intercambio de las mejores prácticas a nivel europeo y nacional, en plena aplicación de la Directiva INSPIRE (véase también la acción 6). Esas orientaciones se desarrollarán en estrecha consulta con los Estados miembros y otros grupos interesados. Se basarán en las experiencias de la labor sectorial y de proyectos piloto, en particular los realizados en el contexto de un marco estructurado de aplicación e información (SIIF)</w:t>
      </w:r>
      <w:r>
        <w:rPr>
          <w:rStyle w:val="FootnoteReference"/>
          <w:noProof/>
        </w:rPr>
        <w:footnoteReference w:id="24"/>
      </w:r>
      <w:r>
        <w:rPr>
          <w:noProof/>
          <w:lang w:val="es-ES_tradnl"/>
        </w:rPr>
        <w:t>. Ese ejercicio también se vinculará a los procesos internacionales del Convenio de Aarhus fomentando un uso más generalizado de las herramientas electrónicas para difundir información activamente al público de una manera fácil de utilizar y accesible.</w:t>
      </w:r>
    </w:p>
    <w:p>
      <w:pPr>
        <w:spacing w:before="120" w:after="120" w:line="240" w:lineRule="auto"/>
        <w:rPr>
          <w:noProof/>
          <w:lang w:val="es-ES_tradnl"/>
        </w:rPr>
      </w:pPr>
      <w:r>
        <w:rPr>
          <w:noProof/>
          <w:lang w:val="es-ES_tradnl"/>
        </w:rPr>
        <w:t>Es fundamental garantizar que los límites administrativos de los Estados miembros no constituyan un obstáculo para el flujo y la gestión de los datos. Debe haber un flujo continuo de información entre las autoridades públicas, así como hacia los ciudadanos. En la aplicación de esa acción, es importante que esto también suceda en un contexto transfronterizo e independientemente del Estado miembro de origen de la información.</w:t>
      </w:r>
    </w:p>
    <w:p>
      <w:pPr>
        <w:suppressAutoHyphens w:val="0"/>
        <w:autoSpaceDN/>
        <w:spacing w:after="0" w:line="240" w:lineRule="auto"/>
        <w:rPr>
          <w:rFonts w:eastAsia="Times New Roman"/>
          <w:noProof/>
          <w:szCs w:val="24"/>
          <w:lang w:val="es-ES_tradnl"/>
        </w:rPr>
      </w:pPr>
      <w:r>
        <w:rPr>
          <w:noProof/>
          <w:lang w:val="es-ES_tradnl"/>
        </w:rPr>
        <w:lastRenderedPageBreak/>
        <w:t>Finalmente, es importante que todos los datos medioambientales estén disponibles a través de un acceso abierto y que sean fáciles de extraer y reutilizar, especialmente por científicos e investigadores.</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6: Promover la plena aplicación de la Directiva INSPIRE, dando prioridad a los conjuntos de datos más pertinentes para la ejecución y la notificación relativa a la legislación medioambiental de la UE</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los Estados miembros publicarán una lista de conjuntos de datos prioritarios en consonancia con INSPIRE antes de 2018 y en 2019 examinarán los progresos realizados sobre la base de sus informes.</w:t>
      </w:r>
    </w:p>
    <w:p>
      <w:pPr>
        <w:spacing w:before="120" w:after="120" w:line="240" w:lineRule="auto"/>
        <w:rPr>
          <w:noProof/>
          <w:lang w:val="es-ES_tradnl"/>
        </w:rPr>
      </w:pPr>
      <w:r>
        <w:rPr>
          <w:noProof/>
          <w:lang w:val="es-ES_tradnl"/>
        </w:rPr>
        <w:t>Como seguimiento de la evaluación INSPIRE, la Comisión está en proceso de identificar conjuntos de datos espaciales (incluidos en el marco de la Directiva INSPIRE) relacionados con las obligaciones de notificación en materia de medio ambiente</w:t>
      </w:r>
      <w:r>
        <w:rPr>
          <w:rStyle w:val="FootnoteReference"/>
          <w:noProof/>
        </w:rPr>
        <w:footnoteReference w:id="25"/>
      </w:r>
      <w:r>
        <w:rPr>
          <w:noProof/>
          <w:lang w:val="es-ES_tradnl"/>
        </w:rPr>
        <w:t>. En virtud de la Directiva INSPIRE, los Estados miembros deben crear metadatos pertinentes para esos conjuntos de datos y ponerlos a disposición (a través de servicios de visualización, descarga y localización) a nivel nacional. De hecho, solo unos pocos Estados miembros lo han hecho. Una vez que la Comisión haya elaborado dicha lista en cooperación con los Estados miembros</w:t>
      </w:r>
      <w:r>
        <w:rPr>
          <w:rStyle w:val="FootnoteReference"/>
          <w:noProof/>
        </w:rPr>
        <w:footnoteReference w:id="26"/>
      </w:r>
      <w:r>
        <w:rPr>
          <w:noProof/>
          <w:lang w:val="es-ES_tradnl"/>
        </w:rPr>
        <w:t>, supervisará la aplicación de las obligaciones de la Directiva INSPIRE mediante el mecanismo establecido en ella.</w:t>
      </w:r>
    </w:p>
    <w:p>
      <w:pPr>
        <w:pStyle w:val="Heading2"/>
        <w:spacing w:before="120" w:after="120" w:line="240" w:lineRule="auto"/>
        <w:rPr>
          <w:noProof/>
          <w:lang w:val="es-ES_tradnl"/>
        </w:rPr>
      </w:pPr>
      <w:r>
        <w:rPr>
          <w:noProof/>
          <w:lang w:val="es-ES_tradnl"/>
        </w:rPr>
        <w:t>Explorar el potencial de otras fuentes de datos y enfoques para complementar la notificación en materia de medio ambiente</w:t>
      </w:r>
    </w:p>
    <w:p>
      <w:pPr>
        <w:spacing w:before="120" w:after="120" w:line="240" w:lineRule="auto"/>
        <w:rPr>
          <w:noProof/>
          <w:lang w:val="es-ES_tradnl"/>
        </w:rPr>
      </w:pPr>
      <w:r>
        <w:rPr>
          <w:noProof/>
          <w:lang w:val="es-ES_tradnl"/>
        </w:rPr>
        <w:t>La posibilidad de utilizar otras fuentes de datos como Copernicus o la ciencia ciudadana como herramientas para complementar la notificación o, en algunos casos, como alternativa a ella, es prometedora. Sin embargo, la experiencia demuestra que esto podría no ser fácil y que hay que resolver una serie de problemas.</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7: Hacer un mejor uso de los datos generados a través del programa Copernicus</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en 2017, establecer acciones en áreas seleccionadas.</w:t>
      </w:r>
    </w:p>
    <w:p>
      <w:pPr>
        <w:spacing w:before="120" w:after="120" w:line="240" w:lineRule="auto"/>
        <w:rPr>
          <w:noProof/>
          <w:lang w:val="es-ES_tradnl"/>
        </w:rPr>
      </w:pPr>
      <w:r>
        <w:rPr>
          <w:noProof/>
          <w:lang w:val="es-ES_tradnl"/>
        </w:rPr>
        <w:t xml:space="preserve">El programa de observación de la Tierra de la UE, Copernicus, consiste en una constelación de satélites propiedad de la Unión Europea cuya labor ha sido recoger un volumen sin precedentes de datos de observación de la Tierra. La información temática obtenida a través de Copernicus puede desempeñar un papel importante en el proceso de garantía del cumplimiento de la legislación medioambiental, por ejemplo, mediante la sensibilización, el suministro de indicaciones de incumplimiento y la dirección de las inspecciones. Sin embargo, esa información también puede ser importante para el seguimiento y la notificación en materia de medio ambiente. Ya existen ejemplos, como el uso de imágenes por satélite, para rastrear los cambios en la superficie de prados en un espacio protegido de la red Natura 2000. Para fomentar esa evolución, las acciones de seguimiento explorarán cómo pueden utilizarse los datos de Copernicus para complementar o mejorar en general la calidad de la información utilizada para los procedimientos de notificación y, más ampliamente, para la elaboración de políticas medioambientales de la UE. Estas acciones se basarán en las experiencias de la AEMA y </w:t>
      </w:r>
      <w:r>
        <w:rPr>
          <w:noProof/>
          <w:lang w:val="es-ES_tradnl"/>
        </w:rPr>
        <w:lastRenderedPageBreak/>
        <w:t>tendrán por objeto desarrollar en mayor medida los requisitos de los usuarios en relación con las políticas sobre la naturaleza, el agua y el medio marino en particular. Además, también podrían explorarse las sinergias con la Red mundial de sistemas de observación de la Tierra (GEOSS), del que forman parte Copernicus y otras redes internacionales y paneuropeas de observación de la Tierra.</w:t>
      </w:r>
    </w:p>
    <w:p>
      <w:pPr>
        <w:suppressAutoHyphens w:val="0"/>
        <w:autoSpaceDN/>
        <w:spacing w:after="0" w:line="240" w:lineRule="auto"/>
        <w:jc w:val="left"/>
        <w:textAlignment w:val="auto"/>
        <w:rPr>
          <w:b/>
          <w:noProof/>
          <w:lang w:val="es-ES_tradnl"/>
        </w:rPr>
      </w:pPr>
      <w:r>
        <w:rPr>
          <w:noProof/>
          <w:lang w:val="es-ES_tradnl"/>
        </w:rPr>
        <w:br w:type="page"/>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lastRenderedPageBreak/>
        <w:t>Acción 8: Promover el uso más amplio de la ciencia ciudadana para complementar la notificación en materia de medio ambiente.</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acciones progresivas hacia el desarrollo de orientaciones en 2019.</w:t>
      </w:r>
    </w:p>
    <w:p>
      <w:pPr>
        <w:spacing w:before="120" w:after="120" w:line="240" w:lineRule="auto"/>
        <w:rPr>
          <w:noProof/>
          <w:lang w:val="es-ES_tradnl"/>
        </w:rPr>
      </w:pPr>
      <w:r>
        <w:rPr>
          <w:noProof/>
          <w:lang w:val="es-ES_tradnl"/>
        </w:rPr>
        <w:t>Otra fuente prometedora de información y datos complementarios sobre cuestiones medioambientales la constituye la ciencia ciudadana</w:t>
      </w:r>
      <w:r>
        <w:rPr>
          <w:rStyle w:val="FootnoteReference"/>
          <w:noProof/>
        </w:rPr>
        <w:footnoteReference w:id="27"/>
      </w:r>
      <w:r>
        <w:rPr>
          <w:noProof/>
          <w:lang w:val="es-ES_tradnl"/>
        </w:rPr>
        <w:t>. Ofrece otra forma de recoger datos medioambientales de forma rentable y útil para proporcionar alertas tempranas sobre tendencias medioambientales y problemas específicos. Al mismo tiempo, aumenta la sensibilización y empodera a las personas. Sin embargo, a pesar de la creciente cantidad de actividades y datos de ciencia ciudadana, en la práctica esos datos no se usan (todavía) de forma generalizada para el seguimiento y notificación medioambiental oficiales (especialmente porque en algunas áreas los datos no están a la par con equipos de seguimiento más elaborados)</w:t>
      </w:r>
      <w:r>
        <w:rPr>
          <w:rStyle w:val="FootnoteReference"/>
          <w:noProof/>
        </w:rPr>
        <w:footnoteReference w:id="28"/>
      </w:r>
      <w:r>
        <w:rPr>
          <w:noProof/>
          <w:lang w:val="es-ES_tradnl"/>
        </w:rPr>
        <w:t>. No obstante, puede provocar un incremento de información y acciones de las autoridades, por ejemplo si los ciudadanos denuncian problemas con un vertedero local, y complementarlo.</w:t>
      </w:r>
    </w:p>
    <w:p>
      <w:pPr>
        <w:spacing w:before="120" w:after="120" w:line="240" w:lineRule="auto"/>
        <w:rPr>
          <w:noProof/>
          <w:lang w:val="es-ES_tradnl"/>
        </w:rPr>
      </w:pPr>
      <w:r>
        <w:rPr>
          <w:noProof/>
          <w:lang w:val="es-ES_tradnl"/>
        </w:rPr>
        <w:t>La Comisión continuará promoviendo actividades de ciencia ciudadana a través de programas de investigación e innovación de la UE. Esto incluye desarrollar tecnologías que posibiliten la participación de los ciudadanos (por ejemplo, para controlar la calidad del aire), promover la coordinación entre las acciones existentes a nivel regional, europeo e internacional y alentar y difundir las mejores prácticas.</w:t>
      </w:r>
    </w:p>
    <w:p>
      <w:pPr>
        <w:pStyle w:val="Heading2"/>
        <w:spacing w:before="120" w:after="120" w:line="240" w:lineRule="auto"/>
        <w:rPr>
          <w:noProof/>
          <w:lang w:val="es-ES_tradnl"/>
        </w:rPr>
      </w:pPr>
      <w:r>
        <w:rPr>
          <w:noProof/>
          <w:lang w:val="es-ES_tradnl"/>
        </w:rPr>
        <w:t>Mejorar la coherencia y la cooperación</w:t>
      </w: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9: Mejorar la cooperación en el intercambio y uso de datos recopilados en otras áreas en beneficio del medio ambiente</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en 2017, identificar las acciones de cooperación que deben mejorarse.</w:t>
      </w:r>
    </w:p>
    <w:p>
      <w:pPr>
        <w:spacing w:before="120" w:after="120" w:line="240" w:lineRule="auto"/>
        <w:rPr>
          <w:noProof/>
          <w:lang w:val="es-ES_tradnl"/>
        </w:rPr>
      </w:pPr>
      <w:r>
        <w:rPr>
          <w:noProof/>
          <w:lang w:val="es-ES_tradnl"/>
        </w:rPr>
        <w:t>Existen vínculos entre la notificación en materia de medio ambiente y la notificación en otros ámbitos políticos de la UE, en particular las políticas de agricultura, clima, consumidores y salud, energía, la política marítima y pesquera, así como la de estadísticas. Se considerarán algunos aspectos donde debe mejorar la cooperación en el uso de datos existentes a nivel de la UE. La información presentada a otros servicios de la Comisión puede utilizarse mejor en algunas áreas para fundamentar la política medioambiental. Hay buenos ejemplos a este respecto, por ejemplo en las áreas agroambiental y climática. También deberán adoptarse otras acciones, incluida una evaluación de la medida en que el Reglamento relativo a las estadísticas sobre residuos es compatible con las obligaciones de notificación con arreglo a la legislación revisada sobre residuos de la UE, una vez adoptada.</w:t>
      </w:r>
    </w:p>
    <w:p>
      <w:pPr>
        <w:spacing w:before="120" w:after="120" w:line="240" w:lineRule="auto"/>
        <w:rPr>
          <w:noProof/>
          <w:szCs w:val="24"/>
          <w:lang w:val="es-ES_tradnl"/>
        </w:rPr>
      </w:pPr>
      <w:r>
        <w:rPr>
          <w:noProof/>
          <w:lang w:val="es-ES_tradnl"/>
        </w:rPr>
        <w:t>En el control de adecuación de la Comisión en lo que se refiere a las obligaciones de planificación, notificación y seguimiento en virtud de la legislación de la UE en materia de energía</w:t>
      </w:r>
      <w:r>
        <w:rPr>
          <w:rStyle w:val="FootnoteReference"/>
          <w:rFonts w:ascii="fasdf" w:hAnsi="fasdf"/>
          <w:noProof/>
        </w:rPr>
        <w:footnoteReference w:id="29"/>
      </w:r>
      <w:r>
        <w:rPr>
          <w:noProof/>
          <w:lang w:val="es-ES_tradnl"/>
        </w:rPr>
        <w:t xml:space="preserve"> también se han examinado cuestiones conexas. Existe la posibilidad de reunir recursos y crear vínculos (por ejemplo, para los indicadores o para la notificación electrónica) en el proceso de aplicación de ambos ejercicios de racionalización.</w:t>
      </w:r>
    </w:p>
    <w:p>
      <w:pPr>
        <w:spacing w:before="120" w:after="120" w:line="240" w:lineRule="auto"/>
        <w:rPr>
          <w:noProof/>
          <w:lang w:val="es-ES_tradnl"/>
        </w:rPr>
      </w:pPr>
      <w:r>
        <w:rPr>
          <w:noProof/>
          <w:lang w:val="es-ES_tradnl"/>
        </w:rPr>
        <w:lastRenderedPageBreak/>
        <w:t>El seguimiento se llevará a cabo de manera que se creen sinergias positivas entre esos ámbitos políticos.</w:t>
      </w:r>
    </w:p>
    <w:p>
      <w:pPr>
        <w:spacing w:before="120" w:after="120" w:line="240" w:lineRule="auto"/>
        <w:rPr>
          <w:noProof/>
          <w:lang w:val="es-ES_tradnl"/>
        </w:rPr>
      </w:pPr>
    </w:p>
    <w:p>
      <w:pPr>
        <w:pBdr>
          <w:top w:val="single" w:sz="4" w:space="1" w:color="auto"/>
          <w:left w:val="single" w:sz="4" w:space="4" w:color="auto"/>
          <w:bottom w:val="single" w:sz="4" w:space="1" w:color="auto"/>
          <w:right w:val="single" w:sz="4" w:space="4" w:color="auto"/>
        </w:pBdr>
        <w:spacing w:before="120" w:after="120" w:line="240" w:lineRule="auto"/>
        <w:rPr>
          <w:b/>
          <w:noProof/>
          <w:lang w:val="es-ES_tradnl"/>
        </w:rPr>
      </w:pPr>
      <w:r>
        <w:rPr>
          <w:b/>
          <w:noProof/>
          <w:lang w:val="es-ES_tradnl"/>
        </w:rPr>
        <w:t>Acción 10: Fortalecer la cooperación con las organizaciones internacionales pertinentes con el fin de racionalizar la notificación y la gestión de la información entre los niveles europeo e internacional.</w:t>
      </w:r>
    </w:p>
    <w:p>
      <w:pPr>
        <w:pBdr>
          <w:top w:val="single" w:sz="4" w:space="1" w:color="auto"/>
          <w:left w:val="single" w:sz="4" w:space="4" w:color="auto"/>
          <w:bottom w:val="single" w:sz="4" w:space="1" w:color="auto"/>
          <w:right w:val="single" w:sz="4" w:space="4" w:color="auto"/>
        </w:pBdr>
        <w:spacing w:before="120" w:after="120" w:line="240" w:lineRule="auto"/>
        <w:rPr>
          <w:noProof/>
          <w:lang w:val="es-ES_tradnl"/>
        </w:rPr>
      </w:pPr>
      <w:r>
        <w:rPr>
          <w:noProof/>
          <w:lang w:val="es-ES_tradnl"/>
        </w:rPr>
        <w:t>Calendario: en 2017, identificar las acciones de cooperación que deben mejorarse.</w:t>
      </w:r>
    </w:p>
    <w:p>
      <w:pPr>
        <w:spacing w:before="120" w:after="120" w:line="240" w:lineRule="auto"/>
        <w:rPr>
          <w:noProof/>
          <w:lang w:val="es-ES_tradnl"/>
        </w:rPr>
      </w:pPr>
      <w:r>
        <w:rPr>
          <w:noProof/>
          <w:lang w:val="es-ES_tradnl"/>
        </w:rPr>
        <w:t>Ya existen varias iniciativas y mecanismos de cooperación entre la UE y organizaciones internacionales para racionalizar la notificación en materia de medio ambiente. Sobre la base de esa cooperación, la Comisión, junto con los Estados miembros, realizará esfuerzos adicionales para incorporar sistemáticamente la cuestión en el orden del día de los acuerdos internacionales en materia de medio ambiente, en los casos en que aún no se haya hecho.</w:t>
      </w:r>
    </w:p>
    <w:p>
      <w:pPr>
        <w:pStyle w:val="Heading1"/>
        <w:suppressAutoHyphens w:val="0"/>
        <w:autoSpaceDE w:val="0"/>
        <w:adjustRightInd w:val="0"/>
        <w:spacing w:before="120" w:after="120" w:line="240" w:lineRule="auto"/>
        <w:textAlignment w:val="auto"/>
        <w:rPr>
          <w:bCs/>
          <w:noProof/>
        </w:rPr>
      </w:pPr>
      <w:r>
        <w:rPr>
          <w:noProof/>
        </w:rPr>
        <w:t>Conclusión y perspectivas</w:t>
      </w:r>
    </w:p>
    <w:p>
      <w:pPr>
        <w:spacing w:before="120" w:after="120" w:line="240" w:lineRule="auto"/>
        <w:rPr>
          <w:noProof/>
          <w:lang w:val="es-ES_tradnl"/>
        </w:rPr>
      </w:pPr>
      <w:r>
        <w:rPr>
          <w:noProof/>
          <w:lang w:val="es-ES_tradnl"/>
        </w:rPr>
        <w:t>El control de adecuación de la notificación y el control reglamentario en materia de medio ambiente ha proporcionado una visión global sobre los puntos fuertes y débiles de la situación actual. En general, el enfoque relativo a la política medioambiental es maduro y proporcionado. La inversión actual de los Estados miembros y organismos de la UE genera importantes beneficios. Demuestra que la legislación medioambiental de la UE ofrece beneficios tangibles y que los ciudadanos europeos está siendo informados de ello. A pesar de esta situación general positiva, se han llevado a cabo o están a punto de finalizarse muchas actividades de racionalización. El control de adecuación también identificó una serie de áreas específicas y transversales donde se pueden hacer mejoras o explorar nuevas vías, por ejemplo, habida cuenta de las posibilidades que ofrecen las nuevas tecnologías para proporcionar pruebas rápidas y geográficamente específicas.</w:t>
      </w:r>
    </w:p>
    <w:p>
      <w:pPr>
        <w:spacing w:before="120" w:after="120" w:line="240" w:lineRule="auto"/>
        <w:rPr>
          <w:noProof/>
          <w:lang w:val="es-ES_tradnl"/>
        </w:rPr>
      </w:pPr>
      <w:r>
        <w:rPr>
          <w:noProof/>
          <w:lang w:val="es-ES_tradnl"/>
        </w:rPr>
        <w:t>Estas acciones adicionales impulsaran la notificación en materia de medio ambiente hacia una mayor transparencia, una mayor especificidad y un control reglamentario más efectivo. Racionalizarán aún más las obligaciones, reduciendo así la carga administrativa y reforzando nuestra base factual. Esto beneficiará a las administraciones, las empresas y los ciudadanos europeos. Se logrará reducir la carga administrativa y, al mismo tiempo, mantener o aumentar los beneficios, principalmente mediante el aumento de la eficiencia y una mayor transparencia (por ejemplo, a través de una mayor difusión pública de la información).</w:t>
      </w:r>
    </w:p>
    <w:p>
      <w:pPr>
        <w:spacing w:before="120" w:after="120" w:line="240" w:lineRule="auto"/>
        <w:rPr>
          <w:noProof/>
          <w:lang w:val="es-ES_tradnl"/>
        </w:rPr>
      </w:pPr>
      <w:r>
        <w:rPr>
          <w:noProof/>
          <w:lang w:val="es-ES_tradnl"/>
        </w:rPr>
        <w:t>La Comisión supervisará los progresos realizados en la aplicación de estas acciones y hará un balance de la situación en 2019.</w:t>
      </w:r>
    </w:p>
    <w:p>
      <w:pPr>
        <w:suppressAutoHyphens w:val="0"/>
        <w:autoSpaceDN/>
        <w:spacing w:after="0" w:line="240" w:lineRule="auto"/>
        <w:jc w:val="left"/>
        <w:textAlignment w:val="auto"/>
        <w:rPr>
          <w:noProof/>
          <w:lang w:val="es-ES_tradnl"/>
        </w:rPr>
      </w:pPr>
      <w:r>
        <w:rPr>
          <w:noProof/>
          <w:lang w:val="es-ES_tradnl"/>
        </w:rPr>
        <w:br w:type="page"/>
      </w:r>
    </w:p>
    <w:p>
      <w:pPr>
        <w:spacing w:before="120" w:after="120" w:line="240" w:lineRule="auto"/>
        <w:rPr>
          <w:b/>
          <w:noProof/>
          <w:szCs w:val="24"/>
          <w:lang w:val="es-ES_tradnl"/>
        </w:rPr>
      </w:pPr>
      <w:r>
        <w:rPr>
          <w:b/>
          <w:noProof/>
          <w:lang w:val="es-ES_tradnl"/>
        </w:rPr>
        <w:lastRenderedPageBreak/>
        <w:t>Anexo: Resumen de las acciones propuestas</w:t>
      </w:r>
    </w:p>
    <w:tbl>
      <w:tblPr>
        <w:tblStyle w:val="LightList-Accent1"/>
        <w:tblW w:w="0" w:type="auto"/>
        <w:tblBorders>
          <w:insideH w:val="single" w:sz="4" w:space="0" w:color="auto"/>
          <w:insideV w:val="single" w:sz="4" w:space="0" w:color="auto"/>
        </w:tblBorders>
        <w:tblLook w:val="04A0" w:firstRow="1" w:lastRow="0" w:firstColumn="1" w:lastColumn="0" w:noHBand="0" w:noVBand="1"/>
      </w:tblPr>
      <w:tblGrid>
        <w:gridCol w:w="662"/>
        <w:gridCol w:w="4306"/>
        <w:gridCol w:w="3866"/>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 w:type="dxa"/>
          </w:tcPr>
          <w:p>
            <w:pPr>
              <w:spacing w:before="120" w:after="240"/>
              <w:rPr>
                <w:noProof/>
                <w:szCs w:val="24"/>
              </w:rPr>
            </w:pPr>
            <w:r>
              <w:rPr>
                <w:noProof/>
              </w:rPr>
              <w:t>N.º</w:t>
            </w:r>
          </w:p>
        </w:tc>
        <w:tc>
          <w:tcPr>
            <w:tcW w:w="4306" w:type="dxa"/>
          </w:tcPr>
          <w:p>
            <w:pPr>
              <w:spacing w:before="120" w:after="240"/>
              <w:cnfStyle w:val="100000000000" w:firstRow="1" w:lastRow="0" w:firstColumn="0" w:lastColumn="0" w:oddVBand="0" w:evenVBand="0" w:oddHBand="0" w:evenHBand="0" w:firstRowFirstColumn="0" w:firstRowLastColumn="0" w:lastRowFirstColumn="0" w:lastRowLastColumn="0"/>
              <w:rPr>
                <w:noProof/>
                <w:szCs w:val="24"/>
              </w:rPr>
            </w:pPr>
            <w:r>
              <w:rPr>
                <w:noProof/>
              </w:rPr>
              <w:t>Acción</w:t>
            </w:r>
          </w:p>
        </w:tc>
        <w:tc>
          <w:tcPr>
            <w:tcW w:w="3866" w:type="dxa"/>
          </w:tcPr>
          <w:p>
            <w:pPr>
              <w:spacing w:before="120" w:after="240"/>
              <w:cnfStyle w:val="100000000000" w:firstRow="1" w:lastRow="0" w:firstColumn="0" w:lastColumn="0" w:oddVBand="0" w:evenVBand="0" w:oddHBand="0" w:evenHBand="0" w:firstRowFirstColumn="0" w:firstRowLastColumn="0" w:lastRowFirstColumn="0" w:lastRowLastColumn="0"/>
              <w:rPr>
                <w:noProof/>
                <w:szCs w:val="24"/>
              </w:rPr>
            </w:pPr>
            <w:r>
              <w:rPr>
                <w:noProof/>
              </w:rPr>
              <w:t>Calendario</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Borders>
              <w:top w:val="none" w:sz="0" w:space="0" w:color="auto"/>
              <w:left w:val="none" w:sz="0" w:space="0" w:color="auto"/>
              <w:bottom w:val="none" w:sz="0" w:space="0" w:color="auto"/>
            </w:tcBorders>
          </w:tcPr>
          <w:p>
            <w:pPr>
              <w:spacing w:before="120" w:after="120"/>
              <w:rPr>
                <w:b w:val="0"/>
                <w:noProof/>
                <w:sz w:val="20"/>
                <w:szCs w:val="24"/>
              </w:rPr>
            </w:pPr>
            <w:r>
              <w:rPr>
                <w:b w:val="0"/>
                <w:noProof/>
                <w:sz w:val="20"/>
              </w:rPr>
              <w:t>1</w:t>
            </w:r>
          </w:p>
        </w:tc>
        <w:tc>
          <w:tcPr>
            <w:tcW w:w="4306" w:type="dxa"/>
            <w:tcBorders>
              <w:top w:val="none" w:sz="0" w:space="0" w:color="auto"/>
              <w:bottom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Modificaciones legislativas de las obligaciones de notificación definidas en determinados actos legislativos.</w:t>
            </w:r>
          </w:p>
        </w:tc>
        <w:tc>
          <w:tcPr>
            <w:tcW w:w="3866" w:type="dxa"/>
            <w:tcBorders>
              <w:top w:val="none" w:sz="0" w:space="0" w:color="auto"/>
              <w:bottom w:val="none" w:sz="0" w:space="0" w:color="auto"/>
              <w:right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Calendario fijado para diferentes actos legislativos en consonancia con la necesidad de presentar una o varias propuestas de la Comisión.</w:t>
            </w:r>
          </w:p>
        </w:tc>
      </w:tr>
      <w:t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2</w:t>
            </w:r>
          </w:p>
        </w:tc>
        <w:tc>
          <w:tcPr>
            <w:tcW w:w="430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Evaluar y modificar las obligaciones de notificación con más detalle como parte de un programa evolutivo.</w:t>
            </w:r>
          </w:p>
        </w:tc>
        <w:tc>
          <w:tcPr>
            <w:tcW w:w="386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rPr>
            </w:pPr>
            <w:r>
              <w:rPr>
                <w:noProof/>
                <w:sz w:val="20"/>
              </w:rPr>
              <w:t>Programa de trabajo evolutivo.</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Borders>
              <w:top w:val="none" w:sz="0" w:space="0" w:color="auto"/>
              <w:left w:val="none" w:sz="0" w:space="0" w:color="auto"/>
              <w:bottom w:val="none" w:sz="0" w:space="0" w:color="auto"/>
            </w:tcBorders>
          </w:tcPr>
          <w:p>
            <w:pPr>
              <w:spacing w:before="120" w:after="120"/>
              <w:rPr>
                <w:b w:val="0"/>
                <w:noProof/>
                <w:sz w:val="20"/>
                <w:szCs w:val="24"/>
              </w:rPr>
            </w:pPr>
            <w:r>
              <w:rPr>
                <w:b w:val="0"/>
                <w:noProof/>
                <w:sz w:val="20"/>
              </w:rPr>
              <w:t>3</w:t>
            </w:r>
          </w:p>
        </w:tc>
        <w:tc>
          <w:tcPr>
            <w:tcW w:w="4306" w:type="dxa"/>
            <w:tcBorders>
              <w:top w:val="none" w:sz="0" w:space="0" w:color="auto"/>
              <w:bottom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Modernizar la notificación electrónica a través de un Reportnet más avanzado y un mayor aprovechamiento de la infraestructura existente.</w:t>
            </w:r>
          </w:p>
        </w:tc>
        <w:tc>
          <w:tcPr>
            <w:tcW w:w="3866" w:type="dxa"/>
            <w:tcBorders>
              <w:top w:val="none" w:sz="0" w:space="0" w:color="auto"/>
              <w:bottom w:val="none" w:sz="0" w:space="0" w:color="auto"/>
              <w:right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Reportnet 2.0 se lanzará en 2019 y, a continuación, se irán ampliando gradualmente sus capacidades y rendimiento.</w:t>
            </w:r>
          </w:p>
        </w:tc>
      </w:tr>
      <w:t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4</w:t>
            </w:r>
          </w:p>
        </w:tc>
        <w:tc>
          <w:tcPr>
            <w:tcW w:w="430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Desarrollar y probar herramientas para la recolección de datos a nivel de la UE.</w:t>
            </w:r>
          </w:p>
        </w:tc>
        <w:tc>
          <w:tcPr>
            <w:tcW w:w="386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Presentación de los resultados de las pruebas en 2018.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Borders>
              <w:top w:val="none" w:sz="0" w:space="0" w:color="auto"/>
              <w:left w:val="none" w:sz="0" w:space="0" w:color="auto"/>
              <w:bottom w:val="none" w:sz="0" w:space="0" w:color="auto"/>
            </w:tcBorders>
          </w:tcPr>
          <w:p>
            <w:pPr>
              <w:spacing w:before="120" w:after="120"/>
              <w:rPr>
                <w:b w:val="0"/>
                <w:noProof/>
                <w:sz w:val="20"/>
                <w:szCs w:val="24"/>
              </w:rPr>
            </w:pPr>
            <w:r>
              <w:rPr>
                <w:b w:val="0"/>
                <w:noProof/>
                <w:sz w:val="20"/>
              </w:rPr>
              <w:t>5</w:t>
            </w:r>
          </w:p>
        </w:tc>
        <w:tc>
          <w:tcPr>
            <w:tcW w:w="4306" w:type="dxa"/>
            <w:tcBorders>
              <w:top w:val="none" w:sz="0" w:space="0" w:color="auto"/>
              <w:bottom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Elaborar orientaciones y promover las mejores prácticas para los sistemas de información medioambiental europeos y nacionales, incluido un mejor acceso a los datos de maneras fáciles de entender.</w:t>
            </w:r>
          </w:p>
        </w:tc>
        <w:tc>
          <w:tcPr>
            <w:tcW w:w="3866" w:type="dxa"/>
            <w:tcBorders>
              <w:top w:val="none" w:sz="0" w:space="0" w:color="auto"/>
              <w:bottom w:val="none" w:sz="0" w:space="0" w:color="auto"/>
              <w:right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Orientaciones y ejemplos de buenas prácticas que se publicarán en 2018.</w:t>
            </w:r>
          </w:p>
        </w:tc>
      </w:tr>
      <w:t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6</w:t>
            </w:r>
          </w:p>
        </w:tc>
        <w:tc>
          <w:tcPr>
            <w:tcW w:w="430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Promover la plena aplicación de la Directiva INSPIRE, dando prioridad a los conjuntos de datos más pertinentes para la ejecución y la notificación relativa a la legislación medioambiental de la UE.</w:t>
            </w:r>
          </w:p>
        </w:tc>
        <w:tc>
          <w:tcPr>
            <w:tcW w:w="386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Los Estados miembros publicarán una lista de conjuntos de datos prioritarios en consonancia con INSPIRE antes de 2018 y en 2019 examinarán los progresos realizados sobre la base de sus informes.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Borders>
              <w:top w:val="none" w:sz="0" w:space="0" w:color="auto"/>
              <w:left w:val="none" w:sz="0" w:space="0" w:color="auto"/>
              <w:bottom w:val="none" w:sz="0" w:space="0" w:color="auto"/>
            </w:tcBorders>
          </w:tcPr>
          <w:p>
            <w:pPr>
              <w:spacing w:before="120" w:after="120"/>
              <w:rPr>
                <w:b w:val="0"/>
                <w:noProof/>
                <w:sz w:val="20"/>
                <w:szCs w:val="24"/>
              </w:rPr>
            </w:pPr>
            <w:r>
              <w:rPr>
                <w:b w:val="0"/>
                <w:noProof/>
                <w:sz w:val="20"/>
              </w:rPr>
              <w:t>7</w:t>
            </w:r>
          </w:p>
        </w:tc>
        <w:tc>
          <w:tcPr>
            <w:tcW w:w="4306" w:type="dxa"/>
            <w:tcBorders>
              <w:top w:val="none" w:sz="0" w:space="0" w:color="auto"/>
              <w:bottom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Hacer un mejor uso de los datos generados a través del programa Copernicus.</w:t>
            </w:r>
          </w:p>
        </w:tc>
        <w:tc>
          <w:tcPr>
            <w:tcW w:w="3866" w:type="dxa"/>
            <w:tcBorders>
              <w:top w:val="none" w:sz="0" w:space="0" w:color="auto"/>
              <w:bottom w:val="none" w:sz="0" w:space="0" w:color="auto"/>
              <w:right w:val="none" w:sz="0" w:space="0" w:color="auto"/>
            </w:tcBorders>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En 2017, establecer acciones en áreas seleccionadas.</w:t>
            </w:r>
          </w:p>
        </w:tc>
      </w:tr>
      <w:t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8</w:t>
            </w:r>
          </w:p>
        </w:tc>
        <w:tc>
          <w:tcPr>
            <w:tcW w:w="430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Promover el uso más amplio de la ciencia ciudadana para complementar la notificación en materia de medio ambiente.</w:t>
            </w:r>
          </w:p>
        </w:tc>
        <w:tc>
          <w:tcPr>
            <w:tcW w:w="386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Acciones progresivas hacia el desarrollo de orientaciones en 2019.</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9</w:t>
            </w:r>
          </w:p>
        </w:tc>
        <w:tc>
          <w:tcPr>
            <w:tcW w:w="4306" w:type="dxa"/>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Mejorar la cooperación en el intercambio y uso de datos recopilados en otras áreas en beneficio del medio ambiente.</w:t>
            </w:r>
          </w:p>
        </w:tc>
        <w:tc>
          <w:tcPr>
            <w:tcW w:w="3866" w:type="dxa"/>
          </w:tcPr>
          <w:p>
            <w:pPr>
              <w:spacing w:before="120" w:after="120"/>
              <w:cnfStyle w:val="000000100000" w:firstRow="0" w:lastRow="0" w:firstColumn="0" w:lastColumn="0" w:oddVBand="0" w:evenVBand="0" w:oddHBand="1" w:evenHBand="0" w:firstRowFirstColumn="0" w:firstRowLastColumn="0" w:lastRowFirstColumn="0" w:lastRowLastColumn="0"/>
              <w:rPr>
                <w:noProof/>
                <w:sz w:val="20"/>
                <w:szCs w:val="24"/>
                <w:lang w:val="es-ES_tradnl"/>
              </w:rPr>
            </w:pPr>
            <w:r>
              <w:rPr>
                <w:noProof/>
                <w:sz w:val="20"/>
                <w:lang w:val="es-ES_tradnl"/>
              </w:rPr>
              <w:t>En 2017, identificar las acciones de cooperación que deben mejorarse.</w:t>
            </w:r>
          </w:p>
        </w:tc>
      </w:tr>
      <w:tr>
        <w:tc>
          <w:tcPr>
            <w:cnfStyle w:val="001000000000" w:firstRow="0" w:lastRow="0" w:firstColumn="1" w:lastColumn="0" w:oddVBand="0" w:evenVBand="0" w:oddHBand="0" w:evenHBand="0" w:firstRowFirstColumn="0" w:firstRowLastColumn="0" w:lastRowFirstColumn="0" w:lastRowLastColumn="0"/>
            <w:tcW w:w="662" w:type="dxa"/>
          </w:tcPr>
          <w:p>
            <w:pPr>
              <w:spacing w:before="120" w:after="120"/>
              <w:rPr>
                <w:b w:val="0"/>
                <w:noProof/>
                <w:sz w:val="20"/>
                <w:szCs w:val="24"/>
              </w:rPr>
            </w:pPr>
            <w:r>
              <w:rPr>
                <w:b w:val="0"/>
                <w:noProof/>
                <w:sz w:val="20"/>
              </w:rPr>
              <w:t>10</w:t>
            </w:r>
          </w:p>
        </w:tc>
        <w:tc>
          <w:tcPr>
            <w:tcW w:w="430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Fortalecer la cooperación con las organizaciones internacionales pertinentes con el fin de racionalizar la notificación y la gestión de la información entre los niveles europeo e internacional.</w:t>
            </w:r>
          </w:p>
        </w:tc>
        <w:tc>
          <w:tcPr>
            <w:tcW w:w="3866" w:type="dxa"/>
          </w:tcPr>
          <w:p>
            <w:pPr>
              <w:spacing w:before="120" w:after="120"/>
              <w:cnfStyle w:val="000000000000" w:firstRow="0" w:lastRow="0" w:firstColumn="0" w:lastColumn="0" w:oddVBand="0" w:evenVBand="0" w:oddHBand="0" w:evenHBand="0" w:firstRowFirstColumn="0" w:firstRowLastColumn="0" w:lastRowFirstColumn="0" w:lastRowLastColumn="0"/>
              <w:rPr>
                <w:noProof/>
                <w:sz w:val="20"/>
                <w:szCs w:val="24"/>
                <w:lang w:val="es-ES_tradnl"/>
              </w:rPr>
            </w:pPr>
            <w:r>
              <w:rPr>
                <w:noProof/>
                <w:sz w:val="20"/>
                <w:lang w:val="es-ES_tradnl"/>
              </w:rPr>
              <w:t>En 2017, identificar las acciones de cooperación que deben mejorarse.</w:t>
            </w:r>
          </w:p>
        </w:tc>
      </w:tr>
    </w:tbl>
    <w:p>
      <w:pPr>
        <w:rPr>
          <w:noProof/>
          <w:lang w:val="es-ES_tradnl"/>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CDDC9B" w15:done="0"/>
  <w15:commentEx w15:paraId="7294F129" w15:done="0"/>
  <w15:commentEx w15:paraId="5A263235" w15:done="0"/>
  <w15:commentEx w15:paraId="56F49D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sd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9573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344"/>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es-ES_tradnl"/>
        </w:rPr>
      </w:pPr>
      <w:r>
        <w:rPr>
          <w:rStyle w:val="FootnoteReference"/>
        </w:rPr>
        <w:footnoteRef/>
      </w:r>
      <w:r>
        <w:rPr>
          <w:lang w:val="es-ES_tradnl"/>
        </w:rPr>
        <w:t xml:space="preserve"> </w:t>
      </w:r>
      <w:r>
        <w:rPr>
          <w:lang w:val="es-ES_tradnl"/>
        </w:rPr>
        <w:tab/>
        <w:t>COM(2017) 63.</w:t>
      </w:r>
    </w:p>
  </w:footnote>
  <w:footnote w:id="3">
    <w:p>
      <w:pPr>
        <w:pStyle w:val="FootnoteText"/>
        <w:rPr>
          <w:lang w:val="es-ES_tradnl"/>
        </w:rPr>
      </w:pPr>
      <w:r>
        <w:rPr>
          <w:rStyle w:val="FootnoteReference"/>
        </w:rPr>
        <w:footnoteRef/>
      </w:r>
      <w:r>
        <w:rPr>
          <w:lang w:val="es-ES_tradnl"/>
        </w:rPr>
        <w:t xml:space="preserve"> </w:t>
      </w:r>
      <w:r>
        <w:rPr>
          <w:lang w:val="es-ES_tradnl"/>
        </w:rPr>
        <w:tab/>
        <w:t>«Legislar mejor para obtener mejores resultados. Un programa de la UE», COM(2015) 215.</w:t>
      </w:r>
    </w:p>
  </w:footnote>
  <w:footnote w:id="4">
    <w:p>
      <w:pPr>
        <w:pStyle w:val="FootnoteText"/>
        <w:spacing w:line="240" w:lineRule="auto"/>
        <w:rPr>
          <w:lang w:val="es-ES_tradnl"/>
        </w:rPr>
      </w:pPr>
      <w:r>
        <w:rPr>
          <w:rStyle w:val="FootnoteReference"/>
        </w:rPr>
        <w:footnoteRef/>
      </w:r>
      <w:r>
        <w:rPr>
          <w:lang w:val="es-ES_tradnl"/>
        </w:rPr>
        <w:t xml:space="preserve"> </w:t>
      </w:r>
      <w:r>
        <w:rPr>
          <w:lang w:val="es-ES_tradnl"/>
        </w:rPr>
        <w:tab/>
        <w:t>En la presente revisión no se incluye la notificación en el ámbito del cambio climático. De hecho, en lo que se refiere a la política climática y energética, la Comisión ya ha propuesto una simplificación de las obligaciones de planificación, notificación y seguimiento: véase la «Propuesta de reglamento del Parlamento Europeo y del Consejo relativo a la gobernanza de la Unión de la Energía» (COM(2016) 759). En términos más generales, se hace referencia a los vínculos entre la notificación en materia de medio ambiente y la notificación en otras áreas (energía, clima, agricultura, transporte marítimo, etc.) en el punto sobre coherencia que figura más abajo.</w:t>
      </w:r>
    </w:p>
  </w:footnote>
  <w:footnote w:id="5">
    <w:p>
      <w:pPr>
        <w:pStyle w:val="FootnoteText"/>
        <w:rPr>
          <w:lang w:val="es-ES_tradnl"/>
        </w:rPr>
      </w:pPr>
      <w:r>
        <w:rPr>
          <w:rStyle w:val="FootnoteReference"/>
        </w:rPr>
        <w:footnoteRef/>
      </w:r>
      <w:r>
        <w:rPr>
          <w:lang w:val="es-ES_tradnl"/>
        </w:rPr>
        <w:t xml:space="preserve"> </w:t>
      </w:r>
      <w:r>
        <w:rPr>
          <w:lang w:val="es-ES_tradnl"/>
        </w:rPr>
        <w:tab/>
      </w:r>
      <w:hyperlink r:id="rId1">
        <w:r>
          <w:rPr>
            <w:rStyle w:val="Hyperlink"/>
            <w:lang w:val="es-ES_tradnl"/>
          </w:rPr>
          <w:t>www.copernicus.eu</w:t>
        </w:r>
      </w:hyperlink>
      <w:r>
        <w:rPr>
          <w:lang w:val="es-ES_tradnl"/>
        </w:rPr>
        <w:t xml:space="preserve"> </w:t>
      </w:r>
    </w:p>
  </w:footnote>
  <w:footnote w:id="6">
    <w:p>
      <w:pPr>
        <w:pStyle w:val="FootnoteText"/>
        <w:rPr>
          <w:lang w:val="es-ES_tradnl"/>
        </w:rPr>
      </w:pPr>
      <w:r>
        <w:rPr>
          <w:rStyle w:val="FootnoteReference"/>
        </w:rPr>
        <w:footnoteRef/>
      </w:r>
      <w:r>
        <w:rPr>
          <w:lang w:val="es-ES_tradnl"/>
        </w:rPr>
        <w:t xml:space="preserve"> </w:t>
      </w:r>
      <w:r>
        <w:rPr>
          <w:lang w:val="es-ES_tradnl"/>
        </w:rPr>
        <w:tab/>
        <w:t>La ciencia ciudadana es un fenómeno mundial en crecimiento que describe la contribución de los ciudadanos a la generación de información y conocimiento científicos (véase «</w:t>
      </w:r>
      <w:hyperlink r:id="rId2">
        <w:r>
          <w:rPr>
            <w:rStyle w:val="Hyperlink"/>
            <w:i/>
            <w:lang w:val="es-ES_tradnl"/>
          </w:rPr>
          <w:t>Environmental Citizen Science</w:t>
        </w:r>
      </w:hyperlink>
      <w:r>
        <w:rPr>
          <w:i/>
          <w:lang w:val="es-ES_tradnl"/>
        </w:rPr>
        <w:t>»</w:t>
      </w:r>
      <w:r>
        <w:rPr>
          <w:lang w:val="es-ES_tradnl"/>
        </w:rPr>
        <w:t>, 2013).</w:t>
      </w:r>
    </w:p>
  </w:footnote>
  <w:footnote w:id="7">
    <w:p>
      <w:pPr>
        <w:pStyle w:val="FootnoteText"/>
        <w:rPr>
          <w:lang w:val="pt-PT"/>
        </w:rPr>
      </w:pPr>
      <w:r>
        <w:rPr>
          <w:rStyle w:val="FootnoteReference"/>
        </w:rPr>
        <w:footnoteRef/>
      </w:r>
      <w:r>
        <w:rPr>
          <w:lang w:val="pt-PT"/>
        </w:rPr>
        <w:t xml:space="preserve"> </w:t>
      </w:r>
      <w:r>
        <w:rPr>
          <w:lang w:val="pt-PT"/>
        </w:rPr>
        <w:tab/>
        <w:t>SWD(2016) 188.</w:t>
      </w:r>
    </w:p>
  </w:footnote>
  <w:footnote w:id="8">
    <w:p>
      <w:pPr>
        <w:pStyle w:val="FootnoteText"/>
        <w:rPr>
          <w:lang w:val="pt-PT"/>
        </w:rPr>
      </w:pPr>
      <w:r>
        <w:rPr>
          <w:rStyle w:val="FootnoteReference"/>
        </w:rPr>
        <w:footnoteRef/>
      </w:r>
      <w:r>
        <w:rPr>
          <w:lang w:val="pt-PT"/>
        </w:rPr>
        <w:t xml:space="preserve"> </w:t>
      </w:r>
      <w:r>
        <w:rPr>
          <w:lang w:val="pt-PT"/>
        </w:rPr>
        <w:tab/>
        <w:t>COM(2016) 789 y COM(2016) 793.</w:t>
      </w:r>
    </w:p>
  </w:footnote>
  <w:footnote w:id="9">
    <w:p>
      <w:pPr>
        <w:pStyle w:val="FootnoteText"/>
        <w:rPr>
          <w:lang w:val="pt-PT"/>
        </w:rPr>
      </w:pPr>
      <w:r>
        <w:rPr>
          <w:rStyle w:val="FootnoteReference"/>
        </w:rPr>
        <w:footnoteRef/>
      </w:r>
      <w:r>
        <w:rPr>
          <w:lang w:val="pt-PT"/>
        </w:rPr>
        <w:t xml:space="preserve"> </w:t>
      </w:r>
      <w:r>
        <w:rPr>
          <w:lang w:val="pt-PT"/>
        </w:rPr>
        <w:tab/>
        <w:t>COM(2015) 593 - 596.</w:t>
      </w:r>
    </w:p>
  </w:footnote>
  <w:footnote w:id="10">
    <w:p>
      <w:pPr>
        <w:pStyle w:val="FootnoteText"/>
        <w:rPr>
          <w:lang w:val="es-ES_tradnl"/>
        </w:rPr>
      </w:pPr>
      <w:r>
        <w:rPr>
          <w:rStyle w:val="FootnoteReference"/>
        </w:rPr>
        <w:footnoteRef/>
      </w:r>
      <w:r>
        <w:rPr>
          <w:lang w:val="es-ES_tradnl"/>
        </w:rPr>
        <w:t xml:space="preserve"> </w:t>
      </w:r>
      <w:r>
        <w:rPr>
          <w:lang w:val="es-ES_tradnl"/>
        </w:rPr>
        <w:tab/>
        <w:t>La Directiva INSPIRE establece una infraestructura de datos espaciales de la UE a efectos de las políticas medioambientales y políticas conexas que tengan repercusiones en el medio ambiente [COM(2016) 478 y SWD(2016) 273].</w:t>
      </w:r>
    </w:p>
  </w:footnote>
  <w:footnote w:id="11">
    <w:p>
      <w:pPr>
        <w:pStyle w:val="FootnoteText"/>
        <w:rPr>
          <w:lang w:val="es-ES_tradnl"/>
        </w:rPr>
      </w:pPr>
      <w:r>
        <w:rPr>
          <w:rStyle w:val="FootnoteReference"/>
        </w:rPr>
        <w:footnoteRef/>
      </w:r>
      <w:r>
        <w:rPr>
          <w:lang w:val="es-ES_tradnl"/>
        </w:rPr>
        <w:t xml:space="preserve"> </w:t>
      </w:r>
      <w:r>
        <w:rPr>
          <w:lang w:val="es-ES_tradnl"/>
        </w:rPr>
        <w:tab/>
        <w:t>Véanse las acciones 2, 5, 7, 8, 9 y 10.</w:t>
      </w:r>
    </w:p>
  </w:footnote>
  <w:footnote w:id="12">
    <w:p>
      <w:pPr>
        <w:pStyle w:val="FootnoteText"/>
        <w:rPr>
          <w:lang w:val="es-ES_tradnl"/>
        </w:rPr>
      </w:pPr>
      <w:r>
        <w:rPr>
          <w:rStyle w:val="FootnoteReference"/>
        </w:rPr>
        <w:footnoteRef/>
      </w:r>
      <w:r>
        <w:rPr>
          <w:lang w:val="es-ES_tradnl"/>
        </w:rPr>
        <w:t xml:space="preserve"> </w:t>
      </w:r>
      <w:r>
        <w:rPr>
          <w:lang w:val="es-ES_tradnl"/>
        </w:rPr>
        <w:tab/>
        <w:t>Reglamento (CE) n.º 401/2009, relativo a la AEMA.</w:t>
      </w:r>
    </w:p>
  </w:footnote>
  <w:footnote w:id="13">
    <w:p>
      <w:pPr>
        <w:pStyle w:val="FootnoteText"/>
        <w:rPr>
          <w:lang w:val="es-ES_tradnl"/>
        </w:rPr>
      </w:pPr>
      <w:r>
        <w:rPr>
          <w:rStyle w:val="FootnoteReference"/>
        </w:rPr>
        <w:footnoteRef/>
      </w:r>
      <w:r>
        <w:rPr>
          <w:lang w:val="es-ES_tradnl"/>
        </w:rPr>
        <w:t xml:space="preserve"> </w:t>
      </w:r>
      <w:r>
        <w:rPr>
          <w:lang w:val="es-ES_tradnl"/>
        </w:rPr>
        <w:tab/>
        <w:t>En el anexo 8 de la evaluación del control de adecuación [SWD(2017) 230] se indican los aspectos que deben abordarse en relación con cada acto legislativo en cuanto al uso de la información textual, los indicadores, la utilidad, los retrasos, la coherencia y el formato.</w:t>
      </w:r>
    </w:p>
  </w:footnote>
  <w:footnote w:id="14">
    <w:p>
      <w:pPr>
        <w:pStyle w:val="FootnoteText"/>
        <w:rPr>
          <w:lang w:val="es-ES_tradnl"/>
        </w:rPr>
      </w:pPr>
      <w:r>
        <w:rPr>
          <w:rStyle w:val="FootnoteReference"/>
        </w:rPr>
        <w:footnoteRef/>
      </w:r>
      <w:r>
        <w:rPr>
          <w:lang w:val="es-ES_tradnl"/>
        </w:rPr>
        <w:t xml:space="preserve"> </w:t>
      </w:r>
      <w:r>
        <w:rPr>
          <w:lang w:val="es-ES_tradnl"/>
        </w:rPr>
        <w:tab/>
      </w:r>
      <w:r>
        <w:rPr>
          <w:i/>
          <w:lang w:val="es-ES_tradnl"/>
        </w:rPr>
        <w:t>Idem.</w:t>
      </w:r>
    </w:p>
  </w:footnote>
  <w:footnote w:id="15">
    <w:p>
      <w:pPr>
        <w:pStyle w:val="FootnoteText"/>
        <w:rPr>
          <w:lang w:val="es-ES_tradnl"/>
        </w:rPr>
      </w:pPr>
      <w:r>
        <w:rPr>
          <w:rStyle w:val="FootnoteReference"/>
        </w:rPr>
        <w:footnoteRef/>
      </w:r>
      <w:r>
        <w:rPr>
          <w:lang w:val="es-ES_tradnl"/>
        </w:rPr>
        <w:t xml:space="preserve"> </w:t>
      </w:r>
      <w:r>
        <w:rPr>
          <w:lang w:val="es-ES_tradnl"/>
        </w:rPr>
        <w:tab/>
        <w:t>Existen grupos de expertos sobre notificación en la mayoría de los ámbitos legislativos identificados y/o en el marco de la red EIONET de la AEMA, a los que se acudirá para aplicar este programa de trabajo evolutivo.</w:t>
      </w:r>
    </w:p>
  </w:footnote>
  <w:footnote w:id="16">
    <w:p>
      <w:pPr>
        <w:pStyle w:val="FootnoteText"/>
        <w:rPr>
          <w:lang w:val="es-ES_tradnl"/>
        </w:rPr>
      </w:pPr>
      <w:r>
        <w:rPr>
          <w:rStyle w:val="FootnoteReference"/>
        </w:rPr>
        <w:footnoteRef/>
      </w:r>
      <w:r>
        <w:rPr>
          <w:lang w:val="es-ES_tradnl"/>
        </w:rPr>
        <w:t xml:space="preserve"> </w:t>
      </w:r>
      <w:r>
        <w:rPr>
          <w:lang w:val="es-ES_tradnl"/>
        </w:rPr>
        <w:tab/>
        <w:t>F: fuerzas motrices, P: presión, E: estado, I: impacto, R: respuesta.</w:t>
      </w:r>
    </w:p>
  </w:footnote>
  <w:footnote w:id="17">
    <w:p>
      <w:pPr>
        <w:pStyle w:val="FootnoteText"/>
        <w:jc w:val="left"/>
        <w:rPr>
          <w:lang w:val="es-ES_tradnl"/>
        </w:rPr>
      </w:pPr>
      <w:r>
        <w:rPr>
          <w:rStyle w:val="FootnoteReference"/>
        </w:rPr>
        <w:footnoteRef/>
      </w:r>
      <w:r>
        <w:rPr>
          <w:lang w:val="es-ES_tradnl"/>
        </w:rPr>
        <w:t xml:space="preserve"> </w:t>
      </w:r>
      <w:r>
        <w:rPr>
          <w:lang w:val="es-ES_tradnl"/>
        </w:rPr>
        <w:tab/>
      </w:r>
      <w:hyperlink r:id="rId3">
        <w:r>
          <w:rPr>
            <w:rStyle w:val="Hyperlink"/>
            <w:lang w:val="es-ES_tradnl"/>
          </w:rPr>
          <w:t>http://www.ieep.eu/work-areas/environmental-governance/better-regulation/make-it-work/subjects/2015/08/monitoring-and-reporting</w:t>
        </w:r>
      </w:hyperlink>
    </w:p>
  </w:footnote>
  <w:footnote w:id="18">
    <w:p>
      <w:pPr>
        <w:pStyle w:val="FootnoteText"/>
        <w:rPr>
          <w:lang w:val="pt-PT"/>
        </w:rPr>
      </w:pPr>
      <w:r>
        <w:rPr>
          <w:rStyle w:val="FootnoteReference"/>
        </w:rPr>
        <w:footnoteRef/>
      </w:r>
      <w:r>
        <w:rPr>
          <w:lang w:val="pt-PT"/>
        </w:rPr>
        <w:t xml:space="preserve"> </w:t>
      </w:r>
      <w:r>
        <w:rPr>
          <w:lang w:val="pt-PT"/>
        </w:rPr>
        <w:tab/>
        <w:t>COM(2016) 179.</w:t>
      </w:r>
    </w:p>
  </w:footnote>
  <w:footnote w:id="19">
    <w:p>
      <w:pPr>
        <w:pStyle w:val="FootnoteText"/>
        <w:rPr>
          <w:lang w:val="pt-PT"/>
        </w:rPr>
      </w:pPr>
      <w:r>
        <w:rPr>
          <w:rStyle w:val="FootnoteReference"/>
        </w:rPr>
        <w:footnoteRef/>
      </w:r>
      <w:r>
        <w:rPr>
          <w:lang w:val="pt-PT"/>
        </w:rPr>
        <w:t xml:space="preserve"> </w:t>
      </w:r>
      <w:r>
        <w:rPr>
          <w:lang w:val="pt-PT"/>
        </w:rPr>
        <w:tab/>
        <w:t>COM(2017) 134.</w:t>
      </w:r>
    </w:p>
  </w:footnote>
  <w:footnote w:id="20">
    <w:p>
      <w:pPr>
        <w:pStyle w:val="FootnoteText"/>
        <w:rPr>
          <w:lang w:val="pt-PT"/>
        </w:rPr>
      </w:pPr>
      <w:r>
        <w:rPr>
          <w:rStyle w:val="FootnoteReference"/>
        </w:rPr>
        <w:footnoteRef/>
      </w:r>
      <w:r>
        <w:rPr>
          <w:lang w:val="pt-PT"/>
        </w:rPr>
        <w:t xml:space="preserve"> </w:t>
      </w:r>
      <w:r>
        <w:rPr>
          <w:lang w:val="pt-PT"/>
        </w:rPr>
        <w:tab/>
      </w:r>
      <w:hyperlink r:id="rId4">
        <w:r>
          <w:rPr>
            <w:rStyle w:val="Hyperlink"/>
            <w:lang w:val="pt-PT"/>
          </w:rPr>
          <w:t>Véase</w:t>
        </w:r>
      </w:hyperlink>
      <w:r>
        <w:rPr>
          <w:rStyle w:val="Hyperlink"/>
          <w:lang w:val="pt-PT"/>
        </w:rPr>
        <w:t xml:space="preserve"> la nota 3</w:t>
      </w:r>
      <w:r>
        <w:rPr>
          <w:lang w:val="pt-PT"/>
        </w:rPr>
        <w:t>.</w:t>
      </w:r>
    </w:p>
  </w:footnote>
  <w:footnote w:id="21">
    <w:p>
      <w:pPr>
        <w:pStyle w:val="FootnoteText"/>
        <w:rPr>
          <w:lang w:val="es-ES_tradnl"/>
        </w:rPr>
      </w:pPr>
      <w:r>
        <w:rPr>
          <w:rStyle w:val="FootnoteReference"/>
        </w:rPr>
        <w:footnoteRef/>
      </w:r>
      <w:r>
        <w:rPr>
          <w:lang w:val="es-ES_tradnl"/>
        </w:rPr>
        <w:t xml:space="preserve"> </w:t>
      </w:r>
      <w:r>
        <w:rPr>
          <w:lang w:val="es-ES_tradnl"/>
        </w:rPr>
        <w:tab/>
        <w:t>COM(2008) 46 y SWD(2013) 18.</w:t>
      </w:r>
    </w:p>
  </w:footnote>
  <w:footnote w:id="22">
    <w:p>
      <w:pPr>
        <w:pStyle w:val="FootnoteText"/>
        <w:rPr>
          <w:lang w:val="es-ES_tradnl"/>
        </w:rPr>
      </w:pPr>
      <w:r>
        <w:rPr>
          <w:rStyle w:val="FootnoteReference"/>
        </w:rPr>
        <w:footnoteRef/>
      </w:r>
      <w:r>
        <w:rPr>
          <w:lang w:val="es-ES_tradnl"/>
        </w:rPr>
        <w:t xml:space="preserve"> </w:t>
      </w:r>
      <w:r>
        <w:rPr>
          <w:lang w:val="es-ES_tradnl"/>
        </w:rPr>
        <w:tab/>
        <w:t>COM(2016) 478 y SWD(2016) 273.</w:t>
      </w:r>
    </w:p>
  </w:footnote>
  <w:footnote w:id="23">
    <w:p>
      <w:pPr>
        <w:pStyle w:val="FootnoteText"/>
        <w:rPr>
          <w:lang w:val="es-ES_tradnl"/>
        </w:rPr>
      </w:pPr>
      <w:r>
        <w:rPr>
          <w:rStyle w:val="FootnoteReference"/>
        </w:rPr>
        <w:footnoteRef/>
      </w:r>
      <w:r>
        <w:rPr>
          <w:lang w:val="es-ES_tradnl"/>
        </w:rPr>
        <w:t xml:space="preserve"> </w:t>
      </w:r>
      <w:r>
        <w:rPr>
          <w:lang w:val="es-ES_tradnl"/>
        </w:rPr>
        <w:tab/>
      </w:r>
      <w:hyperlink r:id="rId5">
        <w:r>
          <w:rPr>
            <w:rStyle w:val="Hyperlink"/>
            <w:lang w:val="es-ES_tradnl"/>
          </w:rPr>
          <w:t>http://inspire.ec.europa.eu/document-tags/mig-workprogramme</w:t>
        </w:r>
      </w:hyperlink>
      <w:r>
        <w:rPr>
          <w:lang w:val="es-ES_tradnl"/>
        </w:rPr>
        <w:t>.</w:t>
      </w:r>
    </w:p>
  </w:footnote>
  <w:footnote w:id="24">
    <w:p>
      <w:pPr>
        <w:pStyle w:val="FootnoteText"/>
        <w:rPr>
          <w:lang w:val="es-ES_tradnl"/>
        </w:rPr>
      </w:pPr>
      <w:r>
        <w:rPr>
          <w:rStyle w:val="FootnoteReference"/>
        </w:rPr>
        <w:footnoteRef/>
      </w:r>
      <w:r>
        <w:rPr>
          <w:lang w:val="es-ES_tradnl"/>
        </w:rPr>
        <w:t xml:space="preserve"> </w:t>
      </w:r>
      <w:r>
        <w:rPr>
          <w:lang w:val="es-ES_tradnl"/>
        </w:rPr>
        <w:tab/>
        <w:t xml:space="preserve">Para un ejemplo de un proyecto piloto de este tipo, véase </w:t>
      </w:r>
      <w:hyperlink r:id="rId6">
        <w:r>
          <w:rPr>
            <w:rStyle w:val="Hyperlink"/>
            <w:lang w:val="es-ES_tradnl"/>
          </w:rPr>
          <w:t>http://uwwtd.oieau.fr/</w:t>
        </w:r>
      </w:hyperlink>
      <w:r>
        <w:rPr>
          <w:lang w:val="es-ES_tradnl"/>
        </w:rPr>
        <w:t>.</w:t>
      </w:r>
    </w:p>
  </w:footnote>
  <w:footnote w:id="25">
    <w:p>
      <w:pPr>
        <w:pStyle w:val="FootnoteText"/>
        <w:rPr>
          <w:lang w:val="es-ES_tradnl"/>
        </w:rPr>
      </w:pPr>
      <w:r>
        <w:rPr>
          <w:rStyle w:val="FootnoteReference"/>
        </w:rPr>
        <w:footnoteRef/>
      </w:r>
      <w:r>
        <w:rPr>
          <w:lang w:val="es-ES_tradnl"/>
        </w:rPr>
        <w:t xml:space="preserve"> </w:t>
      </w:r>
      <w:r>
        <w:rPr>
          <w:lang w:val="es-ES_tradnl"/>
        </w:rPr>
        <w:tab/>
        <w:t>COM(2016) 478 y SWD(2016) 273.</w:t>
      </w:r>
    </w:p>
  </w:footnote>
  <w:footnote w:id="26">
    <w:p>
      <w:pPr>
        <w:pStyle w:val="FootnoteText"/>
        <w:rPr>
          <w:lang w:val="es-ES_tradnl"/>
        </w:rPr>
      </w:pPr>
      <w:r>
        <w:rPr>
          <w:rStyle w:val="FootnoteReference"/>
        </w:rPr>
        <w:footnoteRef/>
      </w:r>
      <w:r>
        <w:rPr>
          <w:lang w:val="es-ES_tradnl"/>
        </w:rPr>
        <w:t xml:space="preserve"> </w:t>
      </w:r>
      <w:r>
        <w:rPr>
          <w:lang w:val="es-ES_tradnl"/>
        </w:rPr>
        <w:tab/>
      </w:r>
      <w:hyperlink r:id="rId7">
        <w:r>
          <w:rPr>
            <w:rStyle w:val="Hyperlink"/>
            <w:lang w:val="es-ES_tradnl"/>
          </w:rPr>
          <w:t>Una lista preliminar ya está disponible en línea</w:t>
        </w:r>
      </w:hyperlink>
      <w:r>
        <w:rPr>
          <w:lang w:val="es-ES_tradnl"/>
        </w:rPr>
        <w:t>.</w:t>
      </w:r>
    </w:p>
  </w:footnote>
  <w:footnote w:id="27">
    <w:p>
      <w:pPr>
        <w:pStyle w:val="FootnoteText"/>
        <w:jc w:val="left"/>
        <w:rPr>
          <w:lang w:val="es-ES_tradnl"/>
        </w:rPr>
      </w:pPr>
      <w:r>
        <w:rPr>
          <w:rStyle w:val="FootnoteReference"/>
        </w:rPr>
        <w:footnoteRef/>
      </w:r>
      <w:r>
        <w:rPr>
          <w:lang w:val="es-ES_tradnl"/>
        </w:rPr>
        <w:t xml:space="preserve"> </w:t>
      </w:r>
      <w:r>
        <w:rPr>
          <w:lang w:val="es-ES_tradnl"/>
        </w:rPr>
        <w:tab/>
        <w:t>SWD(2016) 188.</w:t>
      </w:r>
    </w:p>
  </w:footnote>
  <w:footnote w:id="28">
    <w:p>
      <w:pPr>
        <w:pStyle w:val="FootnoteText"/>
        <w:rPr>
          <w:lang w:val="es-ES_tradnl"/>
        </w:rPr>
      </w:pPr>
      <w:r>
        <w:rPr>
          <w:rStyle w:val="FootnoteReference"/>
        </w:rPr>
        <w:footnoteRef/>
      </w:r>
      <w:r>
        <w:rPr>
          <w:lang w:val="es-ES_tradnl"/>
        </w:rPr>
        <w:t xml:space="preserve"> </w:t>
      </w:r>
      <w:r>
        <w:rPr>
          <w:lang w:val="es-ES_tradnl"/>
        </w:rPr>
        <w:tab/>
      </w:r>
      <w:r>
        <w:rPr>
          <w:rStyle w:val="Hyperlink"/>
          <w:lang w:val="es-ES_tradnl"/>
        </w:rPr>
        <w:t>http://eurobirdportal.org/</w:t>
      </w:r>
      <w:r>
        <w:rPr>
          <w:lang w:val="es-ES_tradnl"/>
        </w:rPr>
        <w:t>.</w:t>
      </w:r>
    </w:p>
  </w:footnote>
  <w:footnote w:id="29">
    <w:p>
      <w:pPr>
        <w:pStyle w:val="FootnoteText"/>
        <w:rPr>
          <w:lang w:val="es-ES_tradnl"/>
        </w:rPr>
      </w:pPr>
      <w:r>
        <w:rPr>
          <w:rStyle w:val="FootnoteReference"/>
        </w:rPr>
        <w:footnoteRef/>
      </w:r>
      <w:r>
        <w:rPr>
          <w:lang w:val="es-ES_tradnl"/>
        </w:rPr>
        <w:t xml:space="preserve"> </w:t>
      </w:r>
      <w:r>
        <w:rPr>
          <w:lang w:val="es-ES_tradnl"/>
        </w:rPr>
        <w:tab/>
        <w:t>SWD(2016) 396 y 397.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jc w:val="right"/>
      <w:rPr>
        <w:b/>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jc w:val="right"/>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5F748A"/>
    <w:multiLevelType w:val="hybridMultilevel"/>
    <w:tmpl w:val="44E6B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546E9"/>
    <w:multiLevelType w:val="hybridMultilevel"/>
    <w:tmpl w:val="549E99B0"/>
    <w:lvl w:ilvl="0" w:tplc="56A8C47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1F497D" w:themeColor="text2"/>
      </w:rPr>
    </w:lvl>
    <w:lvl w:ilvl="5">
      <w:start w:val="1"/>
      <w:numFmt w:val="decimal"/>
      <w:lvlRestart w:val="3"/>
      <w:lvlText w:val="Table %1.%6"/>
      <w:lvlJc w:val="left"/>
      <w:pPr>
        <w:tabs>
          <w:tab w:val="num" w:pos="851"/>
        </w:tabs>
        <w:ind w:left="1928" w:hanging="1077"/>
      </w:pPr>
      <w:rPr>
        <w:rFonts w:ascii="Georgia" w:hAnsi="Georgia" w:hint="default"/>
        <w:color w:val="1F497D"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1F497D" w:themeColor="text2"/>
      </w:r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34306"/>
    <w:multiLevelType w:val="multilevel"/>
    <w:tmpl w:val="AFF28C94"/>
    <w:lvl w:ilvl="0">
      <w:start w:val="1"/>
      <w:numFmt w:val="decimal"/>
      <w:pStyle w:val="Heading1"/>
      <w:lvlText w:val="%1."/>
      <w:lvlJc w:val="left"/>
      <w:pPr>
        <w:tabs>
          <w:tab w:val="num" w:pos="480"/>
        </w:tabs>
        <w:ind w:left="480" w:hanging="480"/>
      </w:pPr>
      <w:rPr>
        <w:lang w:val="it-IT"/>
      </w:r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3E6262"/>
    <w:multiLevelType w:val="hybridMultilevel"/>
    <w:tmpl w:val="2D3A87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541BB4"/>
    <w:multiLevelType w:val="hybridMultilevel"/>
    <w:tmpl w:val="0E16C0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50C7F1A"/>
    <w:multiLevelType w:val="hybridMultilevel"/>
    <w:tmpl w:val="B9EC2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B1B5335"/>
    <w:multiLevelType w:val="hybridMultilevel"/>
    <w:tmpl w:val="70887258"/>
    <w:lvl w:ilvl="0" w:tplc="56A8C47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F10972"/>
    <w:multiLevelType w:val="hybridMultilevel"/>
    <w:tmpl w:val="1754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E63876"/>
    <w:multiLevelType w:val="hybridMultilevel"/>
    <w:tmpl w:val="8886F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0881113"/>
    <w:multiLevelType w:val="hybridMultilevel"/>
    <w:tmpl w:val="6522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nsid w:val="65B77A86"/>
    <w:multiLevelType w:val="hybridMultilevel"/>
    <w:tmpl w:val="7F1CE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7"/>
  </w:num>
  <w:num w:numId="5">
    <w:abstractNumId w:val="10"/>
  </w:num>
  <w:num w:numId="6">
    <w:abstractNumId w:val="16"/>
  </w:num>
  <w:num w:numId="7">
    <w:abstractNumId w:val="27"/>
  </w:num>
  <w:num w:numId="8">
    <w:abstractNumId w:val="29"/>
  </w:num>
  <w:num w:numId="9">
    <w:abstractNumId w:val="14"/>
  </w:num>
  <w:num w:numId="10">
    <w:abstractNumId w:val="25"/>
  </w:num>
  <w:num w:numId="11">
    <w:abstractNumId w:val="24"/>
  </w:num>
  <w:num w:numId="12">
    <w:abstractNumId w:val="18"/>
  </w:num>
  <w:num w:numId="13">
    <w:abstractNumId w:val="19"/>
  </w:num>
  <w:num w:numId="14">
    <w:abstractNumId w:val="8"/>
  </w:num>
  <w:num w:numId="15">
    <w:abstractNumId w:val="15"/>
  </w:num>
  <w:num w:numId="16">
    <w:abstractNumId w:val="6"/>
  </w:num>
  <w:num w:numId="17">
    <w:abstractNumId w:val="11"/>
  </w:num>
  <w:num w:numId="18">
    <w:abstractNumId w:val="30"/>
  </w:num>
  <w:num w:numId="19">
    <w:abstractNumId w:val="2"/>
  </w:num>
  <w:num w:numId="20">
    <w:abstractNumId w:val="3"/>
  </w:num>
  <w:num w:numId="21">
    <w:abstractNumId w:val="23"/>
  </w:num>
  <w:num w:numId="22">
    <w:abstractNumId w:val="20"/>
  </w:num>
  <w:num w:numId="23">
    <w:abstractNumId w:val="26"/>
  </w:num>
  <w:num w:numId="24">
    <w:abstractNumId w:val="21"/>
  </w:num>
  <w:num w:numId="25">
    <w:abstractNumId w:val="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2"/>
  </w:num>
  <w:num w:numId="29">
    <w:abstractNumId w:val="9"/>
  </w:num>
  <w:num w:numId="30">
    <w:abstractNumId w:val="13"/>
  </w:num>
  <w:num w:numId="31">
    <w:abstractNumId w:val="5"/>
  </w:num>
  <w:numIdMacAtCleanup w:val="2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 Ciobanu Dordea">
    <w15:presenceInfo w15:providerId="Windows Live" w15:userId="5b75f256b3bff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B9D9CF60750443782F20CC7D2C86943"/>
    <w:docVar w:name="LW_CROSSREFERENCE" w:val="{SWD(2017) 230 final}"/>
    <w:docVar w:name="LW_DocType" w:val="REP"/>
    <w:docVar w:name="LW_EMISSION" w:val="9.6.2017"/>
    <w:docVar w:name="LW_EMISSION_ISODATE" w:val="2017-06-09"/>
    <w:docVar w:name="LW_EMISSION_LOCATION" w:val="BRX"/>
    <w:docVar w:name="LW_EMISSION_PREFIX" w:val="Bruselas, "/>
    <w:docVar w:name="LW_EMISSION_SUFFIX" w:val=" "/>
    <w:docVar w:name="LW_ID_DOCTYPE_NONLW" w:val="CP-008"/>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312"/>
    <w:docVar w:name="LW_REF.INTERNE" w:val="&lt;UNUSED&gt;"/>
    <w:docVar w:name="LW_SOUS.TITRE.OBJ.CP" w:val="&lt;UNUSED&gt;"/>
    <w:docVar w:name="LW_SUPERTITRE" w:val="&lt;UNUSED&gt;"/>
    <w:docVar w:name="LW_TITRE.OBJ.CP" w:val="Acciones para racionalizar la notificación en materia de medio ambiente"/>
    <w:docVar w:name="LW_TYPE.DOC.CP" w:val="INFORME DE LA COMISIÓN AL PARLAMENTO EUROPEO, AL CONSEJO, AL COMITÉ ECONÓMICO Y SOCIAL EUROPEO Y AL COMITÉ DE LAS REGIONES"/>
    <w:docVar w:name="Stamp" w:val="\\dossiers.dgt.cec.eu.int\dossiers\ENV\ENV-2017-00307\ENV-2017-00307-00-00-EN-REV-00.201703271344516703488.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pPr>
      <w:suppressAutoHyphens/>
      <w:autoSpaceDN w:val="0"/>
      <w:spacing w:after="80" w:line="276" w:lineRule="auto"/>
      <w:jc w:val="both"/>
      <w:textAlignment w:val="baseline"/>
    </w:pPr>
    <w:rPr>
      <w:rFonts w:eastAsia="Calibri"/>
      <w:sz w:val="24"/>
      <w:szCs w:val="22"/>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Fußnote,Footnote Text Char2,Footnote Text Char Char,Footnote Text Char1 Char,Footnote Text Char Char3 Char Char,Footnote Text Char2 Char1 Char Char Char,Footnote Text Char Char Char1 Char Char Char,Char,fn,o,Fußnotentext Char1"/>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Heading1Char">
    <w:name w:val="Heading 1 Char"/>
    <w:basedOn w:val="DefaultParagraphFont"/>
    <w:link w:val="Heading1"/>
    <w:rPr>
      <w:rFonts w:eastAsia="Calibri"/>
      <w:b/>
      <w:smallCaps/>
      <w:sz w:val="24"/>
      <w:szCs w:val="22"/>
      <w:lang w:eastAsia="en-US"/>
    </w:rPr>
  </w:style>
  <w:style w:type="character" w:customStyle="1" w:styleId="FootnoteTextChar">
    <w:name w:val="Footnote Text Char"/>
    <w:aliases w:val="fußn Char,Fußnote Char,Footnote Text Char2 Char,Footnote Text Char Char Char,Footnote Text Char1 Char Char,Footnote Text Char Char3 Char Char Char,Footnote Text Char2 Char1 Char Char Char Char,Char Char,fn Char,o Char"/>
    <w:basedOn w:val="DefaultParagraphFont"/>
    <w:uiPriority w:val="99"/>
    <w:rPr>
      <w:lang w:eastAsia="en-US"/>
    </w:rPr>
  </w:style>
  <w:style w:type="character" w:customStyle="1" w:styleId="TitleChar">
    <w:name w:val="Title Char"/>
    <w:basedOn w:val="DefaultParagraphFont"/>
    <w:link w:val="Title"/>
    <w:rPr>
      <w:b/>
      <w:kern w:val="28"/>
      <w:sz w:val="48"/>
      <w:lang w:eastAsia="en-US"/>
    </w:rPr>
  </w:style>
  <w:style w:type="paragraph" w:styleId="ListParagraph">
    <w:name w:val="List Paragraph"/>
    <w:aliases w:val="F5 List Paragraph,List Paragraph1,List Paragraph11,FooterText,Paragraphe de liste1,Task Body,Viñetas (Inicio Parrafo),3 Txt tabla,Zerrenda-paragrafoa,Lista multicolor - Énfasis 11"/>
    <w:basedOn w:val="Normal"/>
    <w:link w:val="ListParagraphChar"/>
    <w:uiPriority w:val="34"/>
    <w:qFormat/>
    <w:pPr>
      <w:ind w:left="720"/>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number,SUPERS,Footnote Reference Superscript,-E Fuﬂnotenzeichen,-E Fuûnotenzeichen,-E Fußnotenzeichen,EN Footnote Reference,Footnote text,Odwołanie przypisu,Times 10 Point,Exposant 3 Point,Footnote symbol,Ref,Footnote reference number"/>
    <w:basedOn w:val="DefaultParagraphFont"/>
    <w:link w:val="SUPERSCharCharCharCharCharCharCharChar"/>
    <w:uiPriority w:val="99"/>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rPr>
      <w:rFonts w:ascii="Calibri" w:eastAsia="Calibri" w:hAnsi="Calibri"/>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SubjectChar">
    <w:name w:val="Comment Subject Char"/>
    <w:basedOn w:val="CommentTextChar"/>
    <w:link w:val="CommentSubject"/>
    <w:uiPriority w:val="99"/>
    <w:semiHidden/>
    <w:rPr>
      <w:rFonts w:ascii="Calibri" w:eastAsia="Calibri" w:hAnsi="Calibri"/>
      <w:b/>
      <w:bCs/>
      <w:szCs w:val="22"/>
      <w:lang w:eastAsia="en-US"/>
    </w:rPr>
  </w:style>
  <w:style w:type="paragraph" w:styleId="Revision">
    <w:name w:val="Revision"/>
    <w:hidden/>
    <w:uiPriority w:val="99"/>
    <w:semiHidden/>
    <w:rPr>
      <w:rFonts w:ascii="Calibri" w:eastAsia="Calibri" w:hAnsi="Calibri"/>
      <w:sz w:val="22"/>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autoSpaceDN/>
      <w:spacing w:after="0" w:line="240" w:lineRule="auto"/>
      <w:textAlignment w:val="auto"/>
    </w:pPr>
    <w:rPr>
      <w:rFonts w:eastAsiaTheme="minorHAnsi"/>
    </w:rPr>
  </w:style>
  <w:style w:type="paragraph" w:customStyle="1" w:styleId="Typedudocument">
    <w:name w:val="Type du document"/>
    <w:basedOn w:val="Normal"/>
    <w:next w:val="Normal"/>
    <w:link w:val="TypedudocumentChar"/>
    <w:pPr>
      <w:suppressAutoHyphens w:val="0"/>
      <w:autoSpaceDN/>
      <w:spacing w:before="360" w:after="0" w:line="240" w:lineRule="auto"/>
      <w:jc w:val="center"/>
      <w:textAlignment w:val="auto"/>
    </w:pPr>
    <w:rPr>
      <w:rFonts w:eastAsiaTheme="minorHAnsi"/>
      <w:b/>
    </w:rPr>
  </w:style>
  <w:style w:type="paragraph" w:customStyle="1" w:styleId="Titreobjet">
    <w:name w:val="Titre objet"/>
    <w:basedOn w:val="Normal"/>
    <w:next w:val="Normal"/>
    <w:pPr>
      <w:suppressAutoHyphens w:val="0"/>
      <w:autoSpaceDN/>
      <w:spacing w:before="360" w:after="360" w:line="240" w:lineRule="auto"/>
      <w:jc w:val="center"/>
      <w:textAlignment w:val="auto"/>
    </w:pPr>
    <w:rPr>
      <w:rFonts w:eastAsiaTheme="minorHAnsi"/>
      <w: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TypedudocumentChar">
    <w:name w:val="Type du document Char"/>
    <w:basedOn w:val="DefaultParagraphFont"/>
    <w:link w:val="Typedudocument"/>
    <w:rPr>
      <w:rFonts w:eastAsiaTheme="minorHAnsi"/>
      <w:b/>
      <w:sz w:val="24"/>
      <w:szCs w:val="22"/>
      <w:lang w:eastAsia="en-US"/>
    </w:rPr>
  </w:style>
  <w:style w:type="character" w:customStyle="1" w:styleId="FooterCoverPageChar">
    <w:name w:val="Footer Cover Page Char"/>
    <w:basedOn w:val="TypedudocumentChar"/>
    <w:link w:val="FooterCoverPage"/>
    <w:rPr>
      <w:rFonts w:eastAsia="Calibri"/>
      <w:b w:val="0"/>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TypedudocumentChar"/>
    <w:link w:val="HeaderCoverPage"/>
    <w:rPr>
      <w:rFonts w:eastAsia="Calibri"/>
      <w:b w:val="0"/>
      <w:sz w:val="24"/>
      <w:szCs w:val="22"/>
      <w:lang w:eastAsia="en-US"/>
    </w:rPr>
  </w:style>
  <w:style w:type="character" w:customStyle="1" w:styleId="ListParagraphChar">
    <w:name w:val="List Paragraph Char"/>
    <w:aliases w:val="F5 List Paragraph Char,List Paragraph1 Char,List Paragraph11 Char,FooterText Char,Paragraphe de liste1 Char,Task Body Char,Viñetas (Inicio Parrafo) Char,3 Txt tabla Char,Zerrenda-paragrafoa Char,Lista multicolor - Énfasis 11 Char"/>
    <w:link w:val="ListParagraph"/>
    <w:uiPriority w:val="34"/>
    <w:locked/>
    <w:rPr>
      <w:rFonts w:ascii="Calibri" w:eastAsia="Calibri" w:hAnsi="Calibri"/>
      <w:sz w:val="22"/>
      <w:szCs w:val="22"/>
      <w:lang w:eastAsia="en-US"/>
    </w:rPr>
  </w:style>
  <w:style w:type="paragraph" w:customStyle="1" w:styleId="Default">
    <w:name w:val="Default"/>
    <w:pPr>
      <w:autoSpaceDE w:val="0"/>
      <w:autoSpaceDN w:val="0"/>
      <w:adjustRightInd w:val="0"/>
    </w:pPr>
    <w:rPr>
      <w:color w:val="000000"/>
      <w:sz w:val="24"/>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uppressAutoHyphens w:val="0"/>
      <w:autoSpaceDN/>
      <w:spacing w:after="160" w:line="240" w:lineRule="exact"/>
      <w:textAlignment w:val="auto"/>
    </w:pPr>
    <w:rPr>
      <w:rFonts w:eastAsia="Times New Roman"/>
      <w:sz w:val="20"/>
      <w:szCs w:val="20"/>
      <w:vertAlign w:val="superscript"/>
      <w:lang w:eastAsia="en-GB"/>
    </w:rPr>
  </w:style>
  <w:style w:type="table" w:styleId="TableGrid">
    <w:name w:val="Table Grid"/>
    <w:basedOn w:val="TableNormal"/>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1">
    <w:name w:val="Style1"/>
    <w:uiPriority w:val="99"/>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pPr>
      <w:suppressAutoHyphens/>
      <w:autoSpaceDN w:val="0"/>
      <w:spacing w:after="80" w:line="276" w:lineRule="auto"/>
      <w:jc w:val="both"/>
      <w:textAlignment w:val="baseline"/>
    </w:pPr>
    <w:rPr>
      <w:rFonts w:eastAsia="Calibri"/>
      <w:sz w:val="24"/>
      <w:szCs w:val="22"/>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Fußnote,Footnote Text Char2,Footnote Text Char Char,Footnote Text Char1 Char,Footnote Text Char Char3 Char Char,Footnote Text Char2 Char1 Char Char Char,Footnote Text Char Char Char1 Char Char Char,Char,fn,o,Fußnotentext Char1"/>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Heading1Char">
    <w:name w:val="Heading 1 Char"/>
    <w:basedOn w:val="DefaultParagraphFont"/>
    <w:link w:val="Heading1"/>
    <w:rPr>
      <w:rFonts w:eastAsia="Calibri"/>
      <w:b/>
      <w:smallCaps/>
      <w:sz w:val="24"/>
      <w:szCs w:val="22"/>
      <w:lang w:eastAsia="en-US"/>
    </w:rPr>
  </w:style>
  <w:style w:type="character" w:customStyle="1" w:styleId="FootnoteTextChar">
    <w:name w:val="Footnote Text Char"/>
    <w:aliases w:val="fußn Char,Fußnote Char,Footnote Text Char2 Char,Footnote Text Char Char Char,Footnote Text Char1 Char Char,Footnote Text Char Char3 Char Char Char,Footnote Text Char2 Char1 Char Char Char Char,Char Char,fn Char,o Char"/>
    <w:basedOn w:val="DefaultParagraphFont"/>
    <w:uiPriority w:val="99"/>
    <w:rPr>
      <w:lang w:eastAsia="en-US"/>
    </w:rPr>
  </w:style>
  <w:style w:type="character" w:customStyle="1" w:styleId="TitleChar">
    <w:name w:val="Title Char"/>
    <w:basedOn w:val="DefaultParagraphFont"/>
    <w:link w:val="Title"/>
    <w:rPr>
      <w:b/>
      <w:kern w:val="28"/>
      <w:sz w:val="48"/>
      <w:lang w:eastAsia="en-US"/>
    </w:rPr>
  </w:style>
  <w:style w:type="paragraph" w:styleId="ListParagraph">
    <w:name w:val="List Paragraph"/>
    <w:aliases w:val="F5 List Paragraph,List Paragraph1,List Paragraph11,FooterText,Paragraphe de liste1,Task Body,Viñetas (Inicio Parrafo),3 Txt tabla,Zerrenda-paragrafoa,Lista multicolor - Énfasis 11"/>
    <w:basedOn w:val="Normal"/>
    <w:link w:val="ListParagraphChar"/>
    <w:uiPriority w:val="34"/>
    <w:qFormat/>
    <w:pPr>
      <w:ind w:left="720"/>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number,SUPERS,Footnote Reference Superscript,-E Fuﬂnotenzeichen,-E Fuûnotenzeichen,-E Fußnotenzeichen,EN Footnote Reference,Footnote text,Odwołanie przypisu,Times 10 Point,Exposant 3 Point,Footnote symbol,Ref,Footnote reference number"/>
    <w:basedOn w:val="DefaultParagraphFont"/>
    <w:link w:val="SUPERSCharCharCharCharCharCharCharChar"/>
    <w:uiPriority w:val="99"/>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rPr>
      <w:rFonts w:ascii="Calibri" w:eastAsia="Calibri" w:hAnsi="Calibri"/>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SubjectChar">
    <w:name w:val="Comment Subject Char"/>
    <w:basedOn w:val="CommentTextChar"/>
    <w:link w:val="CommentSubject"/>
    <w:uiPriority w:val="99"/>
    <w:semiHidden/>
    <w:rPr>
      <w:rFonts w:ascii="Calibri" w:eastAsia="Calibri" w:hAnsi="Calibri"/>
      <w:b/>
      <w:bCs/>
      <w:szCs w:val="22"/>
      <w:lang w:eastAsia="en-US"/>
    </w:rPr>
  </w:style>
  <w:style w:type="paragraph" w:styleId="Revision">
    <w:name w:val="Revision"/>
    <w:hidden/>
    <w:uiPriority w:val="99"/>
    <w:semiHidden/>
    <w:rPr>
      <w:rFonts w:ascii="Calibri" w:eastAsia="Calibri" w:hAnsi="Calibri"/>
      <w:sz w:val="22"/>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autoSpaceDN/>
      <w:spacing w:after="0" w:line="240" w:lineRule="auto"/>
      <w:textAlignment w:val="auto"/>
    </w:pPr>
    <w:rPr>
      <w:rFonts w:eastAsiaTheme="minorHAnsi"/>
    </w:rPr>
  </w:style>
  <w:style w:type="paragraph" w:customStyle="1" w:styleId="Typedudocument">
    <w:name w:val="Type du document"/>
    <w:basedOn w:val="Normal"/>
    <w:next w:val="Normal"/>
    <w:link w:val="TypedudocumentChar"/>
    <w:pPr>
      <w:suppressAutoHyphens w:val="0"/>
      <w:autoSpaceDN/>
      <w:spacing w:before="360" w:after="0" w:line="240" w:lineRule="auto"/>
      <w:jc w:val="center"/>
      <w:textAlignment w:val="auto"/>
    </w:pPr>
    <w:rPr>
      <w:rFonts w:eastAsiaTheme="minorHAnsi"/>
      <w:b/>
    </w:rPr>
  </w:style>
  <w:style w:type="paragraph" w:customStyle="1" w:styleId="Titreobjet">
    <w:name w:val="Titre objet"/>
    <w:basedOn w:val="Normal"/>
    <w:next w:val="Normal"/>
    <w:pPr>
      <w:suppressAutoHyphens w:val="0"/>
      <w:autoSpaceDN/>
      <w:spacing w:before="360" w:after="360" w:line="240" w:lineRule="auto"/>
      <w:jc w:val="center"/>
      <w:textAlignment w:val="auto"/>
    </w:pPr>
    <w:rPr>
      <w:rFonts w:eastAsiaTheme="minorHAnsi"/>
      <w: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TypedudocumentChar">
    <w:name w:val="Type du document Char"/>
    <w:basedOn w:val="DefaultParagraphFont"/>
    <w:link w:val="Typedudocument"/>
    <w:rPr>
      <w:rFonts w:eastAsiaTheme="minorHAnsi"/>
      <w:b/>
      <w:sz w:val="24"/>
      <w:szCs w:val="22"/>
      <w:lang w:eastAsia="en-US"/>
    </w:rPr>
  </w:style>
  <w:style w:type="character" w:customStyle="1" w:styleId="FooterCoverPageChar">
    <w:name w:val="Footer Cover Page Char"/>
    <w:basedOn w:val="TypedudocumentChar"/>
    <w:link w:val="FooterCoverPage"/>
    <w:rPr>
      <w:rFonts w:eastAsia="Calibri"/>
      <w:b w:val="0"/>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TypedudocumentChar"/>
    <w:link w:val="HeaderCoverPage"/>
    <w:rPr>
      <w:rFonts w:eastAsia="Calibri"/>
      <w:b w:val="0"/>
      <w:sz w:val="24"/>
      <w:szCs w:val="22"/>
      <w:lang w:eastAsia="en-US"/>
    </w:rPr>
  </w:style>
  <w:style w:type="character" w:customStyle="1" w:styleId="ListParagraphChar">
    <w:name w:val="List Paragraph Char"/>
    <w:aliases w:val="F5 List Paragraph Char,List Paragraph1 Char,List Paragraph11 Char,FooterText Char,Paragraphe de liste1 Char,Task Body Char,Viñetas (Inicio Parrafo) Char,3 Txt tabla Char,Zerrenda-paragrafoa Char,Lista multicolor - Énfasis 11 Char"/>
    <w:link w:val="ListParagraph"/>
    <w:uiPriority w:val="34"/>
    <w:locked/>
    <w:rPr>
      <w:rFonts w:ascii="Calibri" w:eastAsia="Calibri" w:hAnsi="Calibri"/>
      <w:sz w:val="22"/>
      <w:szCs w:val="22"/>
      <w:lang w:eastAsia="en-US"/>
    </w:rPr>
  </w:style>
  <w:style w:type="paragraph" w:customStyle="1" w:styleId="Default">
    <w:name w:val="Default"/>
    <w:pPr>
      <w:autoSpaceDE w:val="0"/>
      <w:autoSpaceDN w:val="0"/>
      <w:adjustRightInd w:val="0"/>
    </w:pPr>
    <w:rPr>
      <w:color w:val="000000"/>
      <w:sz w:val="24"/>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uppressAutoHyphens w:val="0"/>
      <w:autoSpaceDN/>
      <w:spacing w:after="160" w:line="240" w:lineRule="exact"/>
      <w:textAlignment w:val="auto"/>
    </w:pPr>
    <w:rPr>
      <w:rFonts w:eastAsia="Times New Roman"/>
      <w:sz w:val="20"/>
      <w:szCs w:val="20"/>
      <w:vertAlign w:val="superscript"/>
      <w:lang w:eastAsia="en-GB"/>
    </w:rPr>
  </w:style>
  <w:style w:type="table" w:styleId="TableGrid">
    <w:name w:val="Table Grid"/>
    <w:basedOn w:val="TableNormal"/>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1">
    <w:name w:val="Style1"/>
    <w:uiPriority w:val="9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136">
      <w:bodyDiv w:val="1"/>
      <w:marLeft w:val="0"/>
      <w:marRight w:val="0"/>
      <w:marTop w:val="0"/>
      <w:marBottom w:val="0"/>
      <w:divBdr>
        <w:top w:val="none" w:sz="0" w:space="0" w:color="auto"/>
        <w:left w:val="none" w:sz="0" w:space="0" w:color="auto"/>
        <w:bottom w:val="none" w:sz="0" w:space="0" w:color="auto"/>
        <w:right w:val="none" w:sz="0" w:space="0" w:color="auto"/>
      </w:divBdr>
    </w:div>
    <w:div w:id="94597143">
      <w:bodyDiv w:val="1"/>
      <w:marLeft w:val="0"/>
      <w:marRight w:val="0"/>
      <w:marTop w:val="0"/>
      <w:marBottom w:val="0"/>
      <w:divBdr>
        <w:top w:val="none" w:sz="0" w:space="0" w:color="auto"/>
        <w:left w:val="none" w:sz="0" w:space="0" w:color="auto"/>
        <w:bottom w:val="none" w:sz="0" w:space="0" w:color="auto"/>
        <w:right w:val="none" w:sz="0" w:space="0" w:color="auto"/>
      </w:divBdr>
    </w:div>
    <w:div w:id="108814772">
      <w:bodyDiv w:val="1"/>
      <w:marLeft w:val="0"/>
      <w:marRight w:val="0"/>
      <w:marTop w:val="0"/>
      <w:marBottom w:val="0"/>
      <w:divBdr>
        <w:top w:val="none" w:sz="0" w:space="0" w:color="auto"/>
        <w:left w:val="none" w:sz="0" w:space="0" w:color="auto"/>
        <w:bottom w:val="none" w:sz="0" w:space="0" w:color="auto"/>
        <w:right w:val="none" w:sz="0" w:space="0" w:color="auto"/>
      </w:divBdr>
    </w:div>
    <w:div w:id="266080782">
      <w:bodyDiv w:val="1"/>
      <w:marLeft w:val="0"/>
      <w:marRight w:val="0"/>
      <w:marTop w:val="0"/>
      <w:marBottom w:val="0"/>
      <w:divBdr>
        <w:top w:val="none" w:sz="0" w:space="0" w:color="auto"/>
        <w:left w:val="none" w:sz="0" w:space="0" w:color="auto"/>
        <w:bottom w:val="none" w:sz="0" w:space="0" w:color="auto"/>
        <w:right w:val="none" w:sz="0" w:space="0" w:color="auto"/>
      </w:divBdr>
    </w:div>
    <w:div w:id="406147639">
      <w:bodyDiv w:val="1"/>
      <w:marLeft w:val="0"/>
      <w:marRight w:val="0"/>
      <w:marTop w:val="0"/>
      <w:marBottom w:val="0"/>
      <w:divBdr>
        <w:top w:val="none" w:sz="0" w:space="0" w:color="auto"/>
        <w:left w:val="none" w:sz="0" w:space="0" w:color="auto"/>
        <w:bottom w:val="none" w:sz="0" w:space="0" w:color="auto"/>
        <w:right w:val="none" w:sz="0" w:space="0" w:color="auto"/>
      </w:divBdr>
    </w:div>
    <w:div w:id="417404795">
      <w:bodyDiv w:val="1"/>
      <w:marLeft w:val="0"/>
      <w:marRight w:val="0"/>
      <w:marTop w:val="0"/>
      <w:marBottom w:val="0"/>
      <w:divBdr>
        <w:top w:val="none" w:sz="0" w:space="0" w:color="auto"/>
        <w:left w:val="none" w:sz="0" w:space="0" w:color="auto"/>
        <w:bottom w:val="none" w:sz="0" w:space="0" w:color="auto"/>
        <w:right w:val="none" w:sz="0" w:space="0" w:color="auto"/>
      </w:divBdr>
    </w:div>
    <w:div w:id="502161873">
      <w:bodyDiv w:val="1"/>
      <w:marLeft w:val="0"/>
      <w:marRight w:val="0"/>
      <w:marTop w:val="0"/>
      <w:marBottom w:val="0"/>
      <w:divBdr>
        <w:top w:val="none" w:sz="0" w:space="0" w:color="auto"/>
        <w:left w:val="none" w:sz="0" w:space="0" w:color="auto"/>
        <w:bottom w:val="none" w:sz="0" w:space="0" w:color="auto"/>
        <w:right w:val="none" w:sz="0" w:space="0" w:color="auto"/>
      </w:divBdr>
    </w:div>
    <w:div w:id="680280636">
      <w:bodyDiv w:val="1"/>
      <w:marLeft w:val="0"/>
      <w:marRight w:val="0"/>
      <w:marTop w:val="0"/>
      <w:marBottom w:val="0"/>
      <w:divBdr>
        <w:top w:val="none" w:sz="0" w:space="0" w:color="auto"/>
        <w:left w:val="none" w:sz="0" w:space="0" w:color="auto"/>
        <w:bottom w:val="none" w:sz="0" w:space="0" w:color="auto"/>
        <w:right w:val="none" w:sz="0" w:space="0" w:color="auto"/>
      </w:divBdr>
    </w:div>
    <w:div w:id="963728214">
      <w:bodyDiv w:val="1"/>
      <w:marLeft w:val="0"/>
      <w:marRight w:val="0"/>
      <w:marTop w:val="0"/>
      <w:marBottom w:val="0"/>
      <w:divBdr>
        <w:top w:val="none" w:sz="0" w:space="0" w:color="auto"/>
        <w:left w:val="none" w:sz="0" w:space="0" w:color="auto"/>
        <w:bottom w:val="none" w:sz="0" w:space="0" w:color="auto"/>
        <w:right w:val="none" w:sz="0" w:space="0" w:color="auto"/>
      </w:divBdr>
    </w:div>
    <w:div w:id="1022315079">
      <w:bodyDiv w:val="1"/>
      <w:marLeft w:val="0"/>
      <w:marRight w:val="0"/>
      <w:marTop w:val="0"/>
      <w:marBottom w:val="0"/>
      <w:divBdr>
        <w:top w:val="none" w:sz="0" w:space="0" w:color="auto"/>
        <w:left w:val="none" w:sz="0" w:space="0" w:color="auto"/>
        <w:bottom w:val="none" w:sz="0" w:space="0" w:color="auto"/>
        <w:right w:val="none" w:sz="0" w:space="0" w:color="auto"/>
      </w:divBdr>
    </w:div>
    <w:div w:id="1180269981">
      <w:bodyDiv w:val="1"/>
      <w:marLeft w:val="0"/>
      <w:marRight w:val="0"/>
      <w:marTop w:val="0"/>
      <w:marBottom w:val="0"/>
      <w:divBdr>
        <w:top w:val="none" w:sz="0" w:space="0" w:color="auto"/>
        <w:left w:val="none" w:sz="0" w:space="0" w:color="auto"/>
        <w:bottom w:val="none" w:sz="0" w:space="0" w:color="auto"/>
        <w:right w:val="none" w:sz="0" w:space="0" w:color="auto"/>
      </w:divBdr>
    </w:div>
    <w:div w:id="1519542183">
      <w:bodyDiv w:val="1"/>
      <w:marLeft w:val="0"/>
      <w:marRight w:val="0"/>
      <w:marTop w:val="0"/>
      <w:marBottom w:val="0"/>
      <w:divBdr>
        <w:top w:val="none" w:sz="0" w:space="0" w:color="auto"/>
        <w:left w:val="none" w:sz="0" w:space="0" w:color="auto"/>
        <w:bottom w:val="none" w:sz="0" w:space="0" w:color="auto"/>
        <w:right w:val="none" w:sz="0" w:space="0" w:color="auto"/>
      </w:divBdr>
    </w:div>
    <w:div w:id="1521964779">
      <w:bodyDiv w:val="1"/>
      <w:marLeft w:val="0"/>
      <w:marRight w:val="0"/>
      <w:marTop w:val="0"/>
      <w:marBottom w:val="0"/>
      <w:divBdr>
        <w:top w:val="none" w:sz="0" w:space="0" w:color="auto"/>
        <w:left w:val="none" w:sz="0" w:space="0" w:color="auto"/>
        <w:bottom w:val="none" w:sz="0" w:space="0" w:color="auto"/>
        <w:right w:val="none" w:sz="0" w:space="0" w:color="auto"/>
      </w:divBdr>
    </w:div>
    <w:div w:id="1535389357">
      <w:bodyDiv w:val="1"/>
      <w:marLeft w:val="0"/>
      <w:marRight w:val="0"/>
      <w:marTop w:val="0"/>
      <w:marBottom w:val="0"/>
      <w:divBdr>
        <w:top w:val="none" w:sz="0" w:space="0" w:color="auto"/>
        <w:left w:val="none" w:sz="0" w:space="0" w:color="auto"/>
        <w:bottom w:val="none" w:sz="0" w:space="0" w:color="auto"/>
        <w:right w:val="none" w:sz="0" w:space="0" w:color="auto"/>
      </w:divBdr>
    </w:div>
    <w:div w:id="1639527172">
      <w:bodyDiv w:val="1"/>
      <w:marLeft w:val="0"/>
      <w:marRight w:val="0"/>
      <w:marTop w:val="0"/>
      <w:marBottom w:val="0"/>
      <w:divBdr>
        <w:top w:val="none" w:sz="0" w:space="0" w:color="auto"/>
        <w:left w:val="none" w:sz="0" w:space="0" w:color="auto"/>
        <w:bottom w:val="none" w:sz="0" w:space="0" w:color="auto"/>
        <w:right w:val="none" w:sz="0" w:space="0" w:color="auto"/>
      </w:divBdr>
      <w:divsChild>
        <w:div w:id="675612909">
          <w:marLeft w:val="547"/>
          <w:marRight w:val="0"/>
          <w:marTop w:val="106"/>
          <w:marBottom w:val="0"/>
          <w:divBdr>
            <w:top w:val="none" w:sz="0" w:space="0" w:color="auto"/>
            <w:left w:val="none" w:sz="0" w:space="0" w:color="auto"/>
            <w:bottom w:val="none" w:sz="0" w:space="0" w:color="auto"/>
            <w:right w:val="none" w:sz="0" w:space="0" w:color="auto"/>
          </w:divBdr>
        </w:div>
        <w:div w:id="1516845076">
          <w:marLeft w:val="1166"/>
          <w:marRight w:val="0"/>
          <w:marTop w:val="86"/>
          <w:marBottom w:val="0"/>
          <w:divBdr>
            <w:top w:val="none" w:sz="0" w:space="0" w:color="auto"/>
            <w:left w:val="none" w:sz="0" w:space="0" w:color="auto"/>
            <w:bottom w:val="none" w:sz="0" w:space="0" w:color="auto"/>
            <w:right w:val="none" w:sz="0" w:space="0" w:color="auto"/>
          </w:divBdr>
        </w:div>
        <w:div w:id="253785688">
          <w:marLeft w:val="547"/>
          <w:marRight w:val="0"/>
          <w:marTop w:val="106"/>
          <w:marBottom w:val="0"/>
          <w:divBdr>
            <w:top w:val="none" w:sz="0" w:space="0" w:color="auto"/>
            <w:left w:val="none" w:sz="0" w:space="0" w:color="auto"/>
            <w:bottom w:val="none" w:sz="0" w:space="0" w:color="auto"/>
            <w:right w:val="none" w:sz="0" w:space="0" w:color="auto"/>
          </w:divBdr>
        </w:div>
        <w:div w:id="1647510865">
          <w:marLeft w:val="1166"/>
          <w:marRight w:val="0"/>
          <w:marTop w:val="86"/>
          <w:marBottom w:val="0"/>
          <w:divBdr>
            <w:top w:val="none" w:sz="0" w:space="0" w:color="auto"/>
            <w:left w:val="none" w:sz="0" w:space="0" w:color="auto"/>
            <w:bottom w:val="none" w:sz="0" w:space="0" w:color="auto"/>
            <w:right w:val="none" w:sz="0" w:space="0" w:color="auto"/>
          </w:divBdr>
        </w:div>
        <w:div w:id="1910190326">
          <w:marLeft w:val="547"/>
          <w:marRight w:val="0"/>
          <w:marTop w:val="106"/>
          <w:marBottom w:val="0"/>
          <w:divBdr>
            <w:top w:val="none" w:sz="0" w:space="0" w:color="auto"/>
            <w:left w:val="none" w:sz="0" w:space="0" w:color="auto"/>
            <w:bottom w:val="none" w:sz="0" w:space="0" w:color="auto"/>
            <w:right w:val="none" w:sz="0" w:space="0" w:color="auto"/>
          </w:divBdr>
        </w:div>
        <w:div w:id="1118374611">
          <w:marLeft w:val="1166"/>
          <w:marRight w:val="0"/>
          <w:marTop w:val="86"/>
          <w:marBottom w:val="0"/>
          <w:divBdr>
            <w:top w:val="none" w:sz="0" w:space="0" w:color="auto"/>
            <w:left w:val="none" w:sz="0" w:space="0" w:color="auto"/>
            <w:bottom w:val="none" w:sz="0" w:space="0" w:color="auto"/>
            <w:right w:val="none" w:sz="0" w:space="0" w:color="auto"/>
          </w:divBdr>
        </w:div>
        <w:div w:id="1109395509">
          <w:marLeft w:val="547"/>
          <w:marRight w:val="0"/>
          <w:marTop w:val="106"/>
          <w:marBottom w:val="0"/>
          <w:divBdr>
            <w:top w:val="none" w:sz="0" w:space="0" w:color="auto"/>
            <w:left w:val="none" w:sz="0" w:space="0" w:color="auto"/>
            <w:bottom w:val="none" w:sz="0" w:space="0" w:color="auto"/>
            <w:right w:val="none" w:sz="0" w:space="0" w:color="auto"/>
          </w:divBdr>
        </w:div>
        <w:div w:id="305359176">
          <w:marLeft w:val="1166"/>
          <w:marRight w:val="0"/>
          <w:marTop w:val="86"/>
          <w:marBottom w:val="0"/>
          <w:divBdr>
            <w:top w:val="none" w:sz="0" w:space="0" w:color="auto"/>
            <w:left w:val="none" w:sz="0" w:space="0" w:color="auto"/>
            <w:bottom w:val="none" w:sz="0" w:space="0" w:color="auto"/>
            <w:right w:val="none" w:sz="0" w:space="0" w:color="auto"/>
          </w:divBdr>
        </w:div>
        <w:div w:id="1163009782">
          <w:marLeft w:val="547"/>
          <w:marRight w:val="0"/>
          <w:marTop w:val="106"/>
          <w:marBottom w:val="0"/>
          <w:divBdr>
            <w:top w:val="none" w:sz="0" w:space="0" w:color="auto"/>
            <w:left w:val="none" w:sz="0" w:space="0" w:color="auto"/>
            <w:bottom w:val="none" w:sz="0" w:space="0" w:color="auto"/>
            <w:right w:val="none" w:sz="0" w:space="0" w:color="auto"/>
          </w:divBdr>
        </w:div>
        <w:div w:id="914440559">
          <w:marLeft w:val="1166"/>
          <w:marRight w:val="0"/>
          <w:marTop w:val="86"/>
          <w:marBottom w:val="0"/>
          <w:divBdr>
            <w:top w:val="none" w:sz="0" w:space="0" w:color="auto"/>
            <w:left w:val="none" w:sz="0" w:space="0" w:color="auto"/>
            <w:bottom w:val="none" w:sz="0" w:space="0" w:color="auto"/>
            <w:right w:val="none" w:sz="0" w:space="0" w:color="auto"/>
          </w:divBdr>
        </w:div>
      </w:divsChild>
    </w:div>
    <w:div w:id="1663969720">
      <w:bodyDiv w:val="1"/>
      <w:marLeft w:val="0"/>
      <w:marRight w:val="0"/>
      <w:marTop w:val="0"/>
      <w:marBottom w:val="0"/>
      <w:divBdr>
        <w:top w:val="none" w:sz="0" w:space="0" w:color="auto"/>
        <w:left w:val="none" w:sz="0" w:space="0" w:color="auto"/>
        <w:bottom w:val="none" w:sz="0" w:space="0" w:color="auto"/>
        <w:right w:val="none" w:sz="0" w:space="0" w:color="auto"/>
      </w:divBdr>
    </w:div>
    <w:div w:id="1724982637">
      <w:bodyDiv w:val="1"/>
      <w:marLeft w:val="0"/>
      <w:marRight w:val="0"/>
      <w:marTop w:val="0"/>
      <w:marBottom w:val="0"/>
      <w:divBdr>
        <w:top w:val="none" w:sz="0" w:space="0" w:color="auto"/>
        <w:left w:val="none" w:sz="0" w:space="0" w:color="auto"/>
        <w:bottom w:val="none" w:sz="0" w:space="0" w:color="auto"/>
        <w:right w:val="none" w:sz="0" w:space="0" w:color="auto"/>
      </w:divBdr>
    </w:div>
    <w:div w:id="1834762138">
      <w:bodyDiv w:val="1"/>
      <w:marLeft w:val="0"/>
      <w:marRight w:val="0"/>
      <w:marTop w:val="0"/>
      <w:marBottom w:val="0"/>
      <w:divBdr>
        <w:top w:val="none" w:sz="0" w:space="0" w:color="auto"/>
        <w:left w:val="none" w:sz="0" w:space="0" w:color="auto"/>
        <w:bottom w:val="none" w:sz="0" w:space="0" w:color="auto"/>
        <w:right w:val="none" w:sz="0" w:space="0" w:color="auto"/>
      </w:divBdr>
    </w:div>
    <w:div w:id="1895848849">
      <w:bodyDiv w:val="1"/>
      <w:marLeft w:val="0"/>
      <w:marRight w:val="0"/>
      <w:marTop w:val="0"/>
      <w:marBottom w:val="0"/>
      <w:divBdr>
        <w:top w:val="none" w:sz="0" w:space="0" w:color="auto"/>
        <w:left w:val="none" w:sz="0" w:space="0" w:color="auto"/>
        <w:bottom w:val="none" w:sz="0" w:space="0" w:color="auto"/>
        <w:right w:val="none" w:sz="0" w:space="0" w:color="auto"/>
      </w:divBdr>
    </w:div>
    <w:div w:id="1988899000">
      <w:bodyDiv w:val="1"/>
      <w:marLeft w:val="390"/>
      <w:marRight w:val="390"/>
      <w:marTop w:val="0"/>
      <w:marBottom w:val="0"/>
      <w:divBdr>
        <w:top w:val="none" w:sz="0" w:space="0" w:color="auto"/>
        <w:left w:val="none" w:sz="0" w:space="0" w:color="auto"/>
        <w:bottom w:val="none" w:sz="0" w:space="0" w:color="auto"/>
        <w:right w:val="none" w:sz="0" w:space="0" w:color="auto"/>
      </w:divBdr>
      <w:divsChild>
        <w:div w:id="1356420585">
          <w:marLeft w:val="0"/>
          <w:marRight w:val="0"/>
          <w:marTop w:val="0"/>
          <w:marBottom w:val="0"/>
          <w:divBdr>
            <w:top w:val="none" w:sz="0" w:space="0" w:color="auto"/>
            <w:left w:val="none" w:sz="0" w:space="0" w:color="auto"/>
            <w:bottom w:val="none" w:sz="0" w:space="0" w:color="auto"/>
            <w:right w:val="none" w:sz="0" w:space="0" w:color="auto"/>
          </w:divBdr>
          <w:divsChild>
            <w:div w:id="17047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ieep.eu/work-areas/environmental-governance/better-regulation/make-it-work/subjects/2015/08/monitoring-and-reporting" TargetMode="External"/><Relationship Id="rId7" Type="http://schemas.openxmlformats.org/officeDocument/2006/relationships/hyperlink" Target="https://ies-svn.jrc.ec.europa.eu/projects/2016-5/wiki/PriorityList" TargetMode="External"/><Relationship Id="rId2" Type="http://schemas.openxmlformats.org/officeDocument/2006/relationships/hyperlink" Target="http://ec.europa.eu/environment/integration/research/newsalert/pdf/IR9_en.pdf" TargetMode="External"/><Relationship Id="rId1" Type="http://schemas.openxmlformats.org/officeDocument/2006/relationships/hyperlink" Target="http://www.copernicus.eu/" TargetMode="External"/><Relationship Id="rId6" Type="http://schemas.openxmlformats.org/officeDocument/2006/relationships/hyperlink" Target="http://uwwtd.oieau.fr/" TargetMode="External"/><Relationship Id="rId5" Type="http://schemas.openxmlformats.org/officeDocument/2006/relationships/hyperlink" Target="http://inspire.ec.europa.eu/document-tags/mig-workprogramme" TargetMode="External"/><Relationship Id="rId4" Type="http://schemas.openxmlformats.org/officeDocument/2006/relationships/hyperlink" Target="https://ec.europa.eu/energy/en/news/commission-proposes-new-rules-consumer-centred-clean-energy-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7925-8A6C-4C5C-A002-4AA8B3D5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15</Pages>
  <Words>5477</Words>
  <Characters>30288</Characters>
  <Application>Microsoft Office Word</Application>
  <DocSecurity>0</DocSecurity>
  <PresentationFormat>Microsoft Word 14.0</PresentationFormat>
  <Lines>540</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17</cp:revision>
  <cp:lastPrinted>2017-03-08T08:40:00Z</cp:lastPrinted>
  <dcterms:created xsi:type="dcterms:W3CDTF">2017-05-31T13:06:00Z</dcterms:created>
  <dcterms:modified xsi:type="dcterms:W3CDTF">2017-06-09T08:03:00Z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Robert Konrad</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