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4204AA644CE4DBCBBE30269C5EA4893" style="width:450.75pt;height:379.5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EXPOSICIÓN DE MOTIVOS</w:t>
      </w:r>
    </w:p>
    <w:p>
      <w:pPr>
        <w:pStyle w:val="ManualHeading1"/>
        <w:tabs>
          <w:tab w:val="clear" w:pos="850"/>
          <w:tab w:val="left" w:pos="426"/>
        </w:tabs>
        <w:ind w:left="567" w:hanging="567"/>
        <w:rPr>
          <w:noProof/>
        </w:rPr>
      </w:pPr>
      <w:r>
        <w:rPr>
          <w:noProof/>
        </w:rPr>
        <w:t>1.</w:t>
      </w:r>
      <w:r>
        <w:rPr>
          <w:noProof/>
        </w:rPr>
        <w:tab/>
        <w:t>CONTEXTO DE LA PROPUESTA</w:t>
      </w:r>
    </w:p>
    <w:p>
      <w:pPr>
        <w:pStyle w:val="ManualHeading2"/>
        <w:ind w:hanging="283"/>
        <w:rPr>
          <w:rFonts w:eastAsia="Arial Unicode MS"/>
          <w:noProof/>
        </w:rPr>
      </w:pPr>
      <w:r>
        <w:rPr>
          <w:noProof/>
          <w:color w:val="000000"/>
          <w:u w:color="000000"/>
          <w:bdr w:val="nil"/>
        </w:rPr>
        <w:t>•</w:t>
      </w:r>
      <w:r>
        <w:rPr>
          <w:noProof/>
        </w:rPr>
        <w:tab/>
        <w:t>Motivación y objetivos de la propuesta</w:t>
      </w:r>
    </w:p>
    <w:p>
      <w:pPr>
        <w:rPr>
          <w:noProof/>
          <w:color w:val="000000"/>
        </w:rPr>
      </w:pPr>
      <w:r>
        <w:rPr>
          <w:noProof/>
          <w:color w:val="000000"/>
        </w:rPr>
        <w:t>En la 21.ª Conferencia de las Partes en la Convención de las Naciones Unidas sobre el Cambio Climático se consiguió adoptar el Acuerdo de París, cuyo objetivo es limitar el aumento de la temperatura mundial muy por debajo de los 2 °C en comparación con los niveles preindustriales y proseguir los esfuerzos para limitar este aumento a 1,5 ºC. De aquí a 2050, las emisiones mundiales de gases de efecto invernadero deberían reducirse en al menos un 50 % respecto a los niveles de 1990. Todos los sectores de la economía deberían contribuir a lograr esas reducciones, incluida la aviación internacional.</w:t>
      </w:r>
    </w:p>
    <w:p>
      <w:pPr>
        <w:rPr>
          <w:noProof/>
        </w:rPr>
      </w:pPr>
      <w:r>
        <w:rPr>
          <w:noProof/>
        </w:rPr>
        <w:t>Las emisiones de gases de efecto invernadero de la aviación internacional, que representan más del 2 % de las emisiones mundiales, están creciendo de forma exponencial, y las proyecciones para 2050 indican que, en el supuesto de que se mantenga la situación actual, esas emisiones procedentes de las actividades de la aviación podrían crecer por encima del 200 % en comparación con los niveles actuales. La Comunicación de la Comisión al Parlamento Europeo y al Consejo «El Protocolo de París, un plan rector para combatir el cambio climático más allá de 2020»</w:t>
      </w:r>
      <w:r>
        <w:rPr>
          <w:rStyle w:val="FootnoteReference"/>
          <w:noProof/>
        </w:rPr>
        <w:footnoteReference w:id="2"/>
      </w:r>
      <w:r>
        <w:rPr>
          <w:noProof/>
        </w:rPr>
        <w:t xml:space="preserve"> subraya que la OACI debería actuar para regular de forma efectiva las emisiones de la aviación internacional antes de finales de 2016. A pesar de las mejoras tecnológicas, el potencial de reducción de las emisiones globales en el sector de la aviación es limitado; por tanto, las medidas de mercado se consideran adecuadas para que el sector pueda contribuir a la reducción de las emisiones totales. En el 38.º periodo de sesiones de la Asamblea de la OACI (2013), se decidió elaborar una única medida de mercado mundial para hacer frente a las emisiones de la aviación internacional, con vistas a adoptar, de aquí al 39.º periodo de sesiones de la Asamblea de la OACI en 2016 (del 27 de septiembre al 7 de octubre), una decisión relativa a la aplicación del régimen a partir de 2020</w:t>
      </w:r>
      <w:r>
        <w:rPr>
          <w:rStyle w:val="FootnoteReference"/>
          <w:noProof/>
        </w:rPr>
        <w:footnoteReference w:id="3"/>
      </w:r>
      <w:r>
        <w:rPr>
          <w:noProof/>
          <w:color w:val="000000"/>
        </w:rPr>
        <w:t>.</w:t>
      </w:r>
      <w:r>
        <w:rPr>
          <w:noProof/>
        </w:rPr>
        <w:t xml:space="preserve"> </w:t>
      </w:r>
    </w:p>
    <w:p>
      <w:pPr>
        <w:rPr>
          <w:noProof/>
        </w:rPr>
      </w:pPr>
      <w:r>
        <w:rPr>
          <w:noProof/>
        </w:rPr>
        <w:t xml:space="preserve">Por tanto, procede adoptar, cuanto antes y con antelación suficiente a la próxima Asamblea de la OACI, la posición a la que los Estados miembros, actuando conjuntamente en interés de la UE, deberían atenerse respecto a la decisión que ha de tomar la OACI. </w:t>
      </w:r>
    </w:p>
    <w:p>
      <w:pPr>
        <w:rPr>
          <w:noProof/>
        </w:rPr>
      </w:pPr>
      <w:r>
        <w:rPr>
          <w:noProof/>
        </w:rPr>
        <w:t>La posición de la Unión será expresada por la Comisión y los Estados miembros en los órganos de la OACI. La elaboración de una propuesta sobre dicho instrumento afecta a varios órganos de la OACI, incluido su Consejo. También es necesario adoptar una posición de la UE para garantizar la coherencia con la legislación vigente de la UE.</w:t>
      </w:r>
    </w:p>
    <w:p>
      <w:pPr>
        <w:pStyle w:val="ManualHeading2"/>
        <w:ind w:hanging="283"/>
        <w:rPr>
          <w:rFonts w:eastAsia="Arial Unicode MS"/>
          <w:noProof/>
          <w:color w:val="000000"/>
          <w:u w:color="000000"/>
          <w:bdr w:val="nil"/>
        </w:rPr>
      </w:pPr>
      <w:r>
        <w:rPr>
          <w:noProof/>
          <w:color w:val="000000"/>
          <w:u w:color="000000"/>
          <w:bdr w:val="nil"/>
        </w:rPr>
        <w:t>•</w:t>
      </w:r>
      <w:r>
        <w:rPr>
          <w:noProof/>
        </w:rPr>
        <w:tab/>
        <w:t>Coherencia con las disposiciones vigentes en el ámbito político en cuestión</w:t>
      </w:r>
    </w:p>
    <w:p>
      <w:pPr>
        <w:rPr>
          <w:noProof/>
        </w:rPr>
      </w:pPr>
      <w:r>
        <w:rPr>
          <w:noProof/>
        </w:rPr>
        <w:t>La Decisión n.º 1600/2002/CE del Parlamento Europeo y del Consejo invitaba a la Unión a determinar y emprender actuaciones concretas para reducir las emisiones de gases de efecto invernadero generadas por la aviación en caso de que dichas actuaciones no pudieran acordarse en el seno de la OACI para el año 2002. Tras la decisión del 33.º periodo de sesiones de la Asamblea de la OACI (2001) de respaldar un régimen de comercio abierto de derechos de emisión para la aviación internacional</w:t>
      </w:r>
      <w:r>
        <w:rPr>
          <w:rStyle w:val="FootnoteReference"/>
          <w:noProof/>
        </w:rPr>
        <w:footnoteReference w:id="4"/>
      </w:r>
      <w:r>
        <w:rPr>
          <w:noProof/>
        </w:rPr>
        <w:t xml:space="preserve"> y la decisión del 35.º periodo de sesiones de la Asamblea de la OACI (2004) de elaborar orientaciones sobre la incorporación de las emisiones de la aviación internacional a los regímenes de comercio de derechos de emisión de las Partes Contratantes de la OACI</w:t>
      </w:r>
      <w:r>
        <w:rPr>
          <w:rStyle w:val="FootnoteReference"/>
          <w:noProof/>
        </w:rPr>
        <w:footnoteReference w:id="5"/>
      </w:r>
      <w:r>
        <w:rPr>
          <w:noProof/>
        </w:rPr>
        <w:t>, el Parlamento Europeo y el Consejo adoptaron la Directiva 2008/101/CE, por la que se modifica la Directiva 2003/87/CE, con el fin de incluir las actividades de aviación en el régimen comunitario de comercio de derechos de emisión de gases de efecto invernadero</w:t>
      </w:r>
      <w:r>
        <w:rPr>
          <w:rStyle w:val="FootnoteReference"/>
          <w:noProof/>
        </w:rPr>
        <w:footnoteReference w:id="6"/>
      </w:r>
      <w:r>
        <w:rPr>
          <w:noProof/>
        </w:rPr>
        <w:t xml:space="preserve">. </w:t>
      </w:r>
    </w:p>
    <w:p>
      <w:pPr>
        <w:autoSpaceDE w:val="0"/>
        <w:autoSpaceDN w:val="0"/>
        <w:adjustRightInd w:val="0"/>
        <w:spacing w:before="0" w:after="0"/>
        <w:rPr>
          <w:noProof/>
        </w:rPr>
      </w:pPr>
      <w:r>
        <w:rPr>
          <w:noProof/>
        </w:rPr>
        <w:t>Además de decidir elaborar una medida de mercado mundial, el 38.º periodo de sesiones de la Asamblea de la OACI (2013) decidió también que la OACI y sus Estados miembros y las organizaciones pertinentes trabajarían juntos para tratar de lograr, como meta colectiva a la que se aspira a nivel mundial en el mediano plazo, que las emisiones mundiales netas de carbono de la aviación internacional desde 2020 se mantuvieran al mismo nivel. Se prevé que las emisiones de la aviación internacional van a ser en 2020 alrededor de un 70 % más elevadas que en 2005</w:t>
      </w:r>
      <w:r>
        <w:rPr>
          <w:rStyle w:val="FootnoteReference"/>
          <w:noProof/>
        </w:rPr>
        <w:footnoteReference w:id="7"/>
      </w:r>
      <w:r>
        <w:rPr>
          <w:noProof/>
        </w:rPr>
        <w:t>, mientras que la Unión y sus Estados miembros han defendido siempre un objetivo mundial de reducción de las emisiones de gases de efecto invernadero de la aviación internacional del 10 % de aquí a 2020 en comparación con los niveles de 2005. No obstante, parece conveniente que la Unión aproveche la oportunidad de promover la elaboración, en un plazo bastante corto, de una medida de mercado mundial para limitar las emisiones de gases de efecto invernadero de la aviación internacional a sus niveles de 2020, teniendo en cuenta la posibilidad de revisar los objetivos a lo largo del tiempo, según proceda.</w:t>
      </w:r>
    </w:p>
    <w:p>
      <w:pPr>
        <w:rPr>
          <w:noProof/>
        </w:rPr>
      </w:pPr>
      <w:r>
        <w:rPr>
          <w:noProof/>
        </w:rPr>
        <w:t>Para facilitar la elaboración de un instrumento adecuado en el 39.º periodo de sesiones de la Asamblea de la OACI (2016), los legisladores de la Unión han decidido considerar temporalmente satisfechos los requisitos de la Directiva 2003/87/CE respecto de vuelos con destino y origen en aeródromos de países no pertenecientes al Espacio Económico Europeo (EEE)</w:t>
      </w:r>
      <w:r>
        <w:rPr>
          <w:rStyle w:val="FootnoteReference"/>
          <w:noProof/>
        </w:rPr>
        <w:footnoteReference w:id="8"/>
      </w:r>
      <w:r>
        <w:rPr>
          <w:noProof/>
        </w:rPr>
        <w:t xml:space="preserve">. Tras el 39.º periodo de sesiones de la Asamblea de la OACI (2016), la Comisión presentará un informe al Parlamento Europeo y al Consejo sobre las medidas necesarias para aplicar, a partir de 2020, un instrumento internacional sobre una medida de mercado mundial que reducirá las emisiones de gases de efecto invernadero de la aviación internacional de forma no discriminatoria. En ese informe, la Comisión considerará dicha evolución, incluyendo si procede propuestas en reacción a la misma, en lo que respecta al ámbito de aplicación adecuado para las emisiones resultantes de actividades con destino y origen en aeródromos situados en países no pertenecientes al EEE a partir de 2017. </w:t>
      </w:r>
    </w:p>
    <w:p>
      <w:pPr>
        <w:pStyle w:val="ManualHeading2"/>
        <w:ind w:hanging="283"/>
        <w:rPr>
          <w:rFonts w:eastAsia="Arial Unicode MS"/>
          <w:noProof/>
        </w:rPr>
      </w:pPr>
      <w:r>
        <w:rPr>
          <w:noProof/>
          <w:color w:val="000000"/>
          <w:u w:color="000000"/>
          <w:bdr w:val="nil"/>
        </w:rPr>
        <w:t>•</w:t>
      </w:r>
      <w:r>
        <w:rPr>
          <w:noProof/>
        </w:rPr>
        <w:tab/>
        <w:t>Coherencia con otras políticas de la Unión</w:t>
      </w:r>
    </w:p>
    <w:p>
      <w:pPr>
        <w:pBdr>
          <w:top w:val="nil"/>
          <w:left w:val="nil"/>
          <w:bottom w:val="nil"/>
          <w:right w:val="nil"/>
          <w:between w:val="nil"/>
          <w:bar w:val="nil"/>
        </w:pBdr>
        <w:spacing w:before="0" w:after="240"/>
        <w:rPr>
          <w:noProof/>
          <w:sz w:val="23"/>
          <w:szCs w:val="23"/>
        </w:rPr>
      </w:pPr>
      <w:r>
        <w:rPr>
          <w:noProof/>
        </w:rPr>
        <w:t>La Decisión propuesta es coherente con otras políticas de la Unión, en particular en materia de energía, medio ambiente y transporte, y las completa</w:t>
      </w:r>
      <w:r>
        <w:rPr>
          <w:rStyle w:val="FootnoteReference"/>
          <w:noProof/>
        </w:rPr>
        <w:footnoteReference w:id="9"/>
      </w:r>
      <w:r>
        <w:rPr>
          <w:noProof/>
          <w:color w:val="000000"/>
        </w:rPr>
        <w:t>.</w:t>
      </w:r>
    </w:p>
    <w:p>
      <w:pPr>
        <w:pBdr>
          <w:top w:val="nil"/>
          <w:left w:val="nil"/>
          <w:bottom w:val="nil"/>
          <w:right w:val="nil"/>
          <w:between w:val="nil"/>
          <w:bar w:val="nil"/>
        </w:pBdr>
        <w:spacing w:before="0" w:after="240"/>
        <w:rPr>
          <w:noProof/>
          <w:sz w:val="23"/>
          <w:szCs w:val="23"/>
        </w:rPr>
      </w:pPr>
      <w:r>
        <w:rPr>
          <w:noProof/>
        </w:rPr>
        <w:t>La transición mundial hacia una energía limpia exigirá cambios en el comportamiento empresarial y de inversión, así como incentivos en todo el espectro político.</w:t>
      </w:r>
    </w:p>
    <w:p>
      <w:pPr>
        <w:pStyle w:val="ManualHeading1"/>
        <w:tabs>
          <w:tab w:val="clear" w:pos="850"/>
          <w:tab w:val="left" w:pos="426"/>
        </w:tabs>
        <w:ind w:left="426" w:hanging="426"/>
        <w:rPr>
          <w:noProof/>
        </w:rPr>
      </w:pPr>
      <w:r>
        <w:rPr>
          <w:noProof/>
        </w:rPr>
        <w:t>2.</w:t>
      </w:r>
      <w:r>
        <w:rPr>
          <w:noProof/>
        </w:rPr>
        <w:tab/>
        <w:t>BASE JURÍDICA, SUBSIDIARIEDAD Y PROPORCIONALIDAD</w:t>
      </w:r>
    </w:p>
    <w:p>
      <w:pPr>
        <w:pStyle w:val="ManualHeading2"/>
        <w:ind w:hanging="283"/>
        <w:rPr>
          <w:rFonts w:eastAsia="Arial Unicode MS"/>
          <w:noProof/>
          <w:u w:color="000000"/>
          <w:bdr w:val="nil"/>
        </w:rPr>
      </w:pPr>
      <w:r>
        <w:rPr>
          <w:noProof/>
        </w:rPr>
        <w:t>•</w:t>
      </w:r>
      <w:r>
        <w:rPr>
          <w:noProof/>
        </w:rPr>
        <w:tab/>
        <w:t>Base jurídica</w:t>
      </w:r>
    </w:p>
    <w:p>
      <w:pPr>
        <w:pBdr>
          <w:top w:val="nil"/>
          <w:left w:val="nil"/>
          <w:bottom w:val="nil"/>
          <w:right w:val="nil"/>
          <w:between w:val="nil"/>
          <w:bar w:val="nil"/>
        </w:pBdr>
        <w:spacing w:before="0" w:after="240"/>
        <w:rPr>
          <w:noProof/>
        </w:rPr>
      </w:pPr>
      <w:r>
        <w:rPr>
          <w:noProof/>
        </w:rPr>
        <w:t xml:space="preserve">La propuesta se basa en el artículo 192, apartado 1, junto con el artículo 218, apartado 9, del TFUE. </w:t>
      </w:r>
    </w:p>
    <w:p>
      <w:pPr>
        <w:pBdr>
          <w:top w:val="nil"/>
          <w:left w:val="nil"/>
          <w:bottom w:val="nil"/>
          <w:right w:val="nil"/>
          <w:between w:val="nil"/>
          <w:bar w:val="nil"/>
        </w:pBdr>
        <w:spacing w:before="0" w:after="240"/>
        <w:rPr>
          <w:noProof/>
        </w:rPr>
      </w:pPr>
      <w:r>
        <w:rPr>
          <w:noProof/>
        </w:rPr>
        <w:t>El artículo 218, apartado 9, del TFUE determina el procedimiento para el establecimiento de las posiciones que deban adoptarse en nombre de la Unión en un organismo creado por un acuerdo, cuando dicho organismo deba adoptar actos que surtan efectos jurídicos.</w:t>
      </w:r>
    </w:p>
    <w:p>
      <w:pPr>
        <w:pBdr>
          <w:top w:val="nil"/>
          <w:left w:val="nil"/>
          <w:bottom w:val="nil"/>
          <w:right w:val="nil"/>
          <w:between w:val="nil"/>
          <w:bar w:val="nil"/>
        </w:pBdr>
        <w:spacing w:before="0" w:after="240"/>
        <w:rPr>
          <w:noProof/>
        </w:rPr>
      </w:pPr>
      <w:r>
        <w:rPr>
          <w:noProof/>
        </w:rPr>
        <w:t>En el caso que nos ocupa, el acto que ha de adoptar la Asamblea de la OACI tendrá los efectos jurídicos indicados en el artículo 28 </w:t>
      </w:r>
      <w:r>
        <w:rPr>
          <w:i/>
          <w:noProof/>
        </w:rPr>
        <w:t>bis</w:t>
      </w:r>
      <w:r>
        <w:rPr>
          <w:noProof/>
        </w:rPr>
        <w:t xml:space="preserve"> de la Directiva 2003/87/CE.</w:t>
      </w:r>
    </w:p>
    <w:p>
      <w:pPr>
        <w:pBdr>
          <w:top w:val="nil"/>
          <w:left w:val="nil"/>
          <w:bottom w:val="nil"/>
          <w:right w:val="nil"/>
          <w:between w:val="nil"/>
          <w:bar w:val="nil"/>
        </w:pBdr>
        <w:spacing w:before="0" w:after="240"/>
        <w:rPr>
          <w:noProof/>
        </w:rPr>
      </w:pPr>
      <w:r>
        <w:rPr>
          <w:noProof/>
        </w:rPr>
        <w:t>De conformidad con el artículo 192, apartado 1, y con el artículo 191 del TFUE, la Unión Europea contribuirá a alcanzar, entre otros, los siguientes objetivos: la conservación, la protección y la mejora de la calidad del medio ambiente; el fomento de medidas a escala internacional destinadas a hacer frente a los problemas regionales o mundiales del medio ambiente, y en particular a luchar contra el cambio climático.</w:t>
      </w:r>
    </w:p>
    <w:p>
      <w:pPr>
        <w:pStyle w:val="ManualHeading2"/>
        <w:ind w:hanging="283"/>
        <w:rPr>
          <w:rFonts w:eastAsia="Arial Unicode MS"/>
          <w:noProof/>
          <w:u w:color="000000"/>
          <w:bdr w:val="nil"/>
        </w:rPr>
      </w:pPr>
    </w:p>
    <w:p>
      <w:pPr>
        <w:pStyle w:val="ManualHeading2"/>
        <w:ind w:hanging="283"/>
        <w:rPr>
          <w:rFonts w:eastAsia="Arial Unicode MS"/>
          <w:noProof/>
          <w:u w:color="000000"/>
          <w:bdr w:val="nil"/>
        </w:rPr>
      </w:pPr>
      <w:r>
        <w:rPr>
          <w:noProof/>
        </w:rPr>
        <w:t>•</w:t>
      </w:r>
      <w:r>
        <w:rPr>
          <w:noProof/>
        </w:rPr>
        <w:tab/>
        <w:t>Elección del instrumento</w:t>
      </w:r>
    </w:p>
    <w:p>
      <w:pPr>
        <w:pBdr>
          <w:top w:val="nil"/>
          <w:left w:val="nil"/>
          <w:bottom w:val="nil"/>
          <w:right w:val="nil"/>
          <w:between w:val="nil"/>
          <w:bar w:val="nil"/>
        </w:pBdr>
        <w:spacing w:before="0" w:after="240"/>
        <w:rPr>
          <w:noProof/>
          <w:sz w:val="23"/>
          <w:szCs w:val="23"/>
        </w:rPr>
      </w:pPr>
      <w:r>
        <w:rPr>
          <w:noProof/>
          <w:sz w:val="23"/>
        </w:rPr>
        <w:t>El instrumento aplicable que establece el artículo 218, apartado 9, del TFUE es una decisión del Consejo.</w:t>
      </w:r>
    </w:p>
    <w:p>
      <w:pPr>
        <w:pStyle w:val="ManualHeading1"/>
        <w:tabs>
          <w:tab w:val="clear" w:pos="850"/>
          <w:tab w:val="left" w:pos="426"/>
        </w:tabs>
        <w:ind w:left="426" w:hanging="426"/>
        <w:rPr>
          <w:noProof/>
        </w:rPr>
      </w:pPr>
      <w:r>
        <w:rPr>
          <w:noProof/>
        </w:rPr>
        <w:t>3.</w:t>
      </w:r>
      <w:r>
        <w:rPr>
          <w:noProof/>
        </w:rPr>
        <w:tab/>
        <w:t xml:space="preserve">RESULTADOS DE LAS EVALUACIONES </w:t>
      </w:r>
      <w:r>
        <w:rPr>
          <w:i/>
          <w:noProof/>
        </w:rPr>
        <w:t>EX POST</w:t>
      </w:r>
      <w:r>
        <w:rPr>
          <w:noProof/>
        </w:rPr>
        <w:t>, LAS CONSULTAS A LAS PARTES INTERESADAS Y LAS EVALUACIONES DE IMPACTO</w:t>
      </w:r>
    </w:p>
    <w:p>
      <w:pPr>
        <w:pBdr>
          <w:top w:val="nil"/>
          <w:left w:val="nil"/>
          <w:bottom w:val="nil"/>
          <w:right w:val="nil"/>
          <w:between w:val="nil"/>
          <w:bar w:val="nil"/>
        </w:pBdr>
        <w:spacing w:before="0" w:after="240"/>
        <w:rPr>
          <w:rFonts w:eastAsia="Arial Unicode MS"/>
          <w:noProof/>
        </w:rPr>
      </w:pPr>
      <w:r>
        <w:rPr>
          <w:noProof/>
        </w:rPr>
        <w:t>No procede.</w:t>
      </w:r>
    </w:p>
    <w:p>
      <w:pPr>
        <w:pStyle w:val="ManualHeading1"/>
        <w:tabs>
          <w:tab w:val="clear" w:pos="850"/>
          <w:tab w:val="left" w:pos="426"/>
        </w:tabs>
        <w:ind w:left="426" w:hanging="426"/>
        <w:rPr>
          <w:noProof/>
        </w:rPr>
      </w:pPr>
      <w:r>
        <w:rPr>
          <w:noProof/>
        </w:rPr>
        <w:t>4.</w:t>
      </w:r>
      <w:r>
        <w:rPr>
          <w:noProof/>
        </w:rPr>
        <w:tab/>
        <w:t>REPERCUSIONES PRESUPUESTARIAS</w:t>
      </w:r>
    </w:p>
    <w:p>
      <w:pPr>
        <w:pBdr>
          <w:top w:val="nil"/>
          <w:left w:val="nil"/>
          <w:bottom w:val="nil"/>
          <w:right w:val="nil"/>
          <w:between w:val="nil"/>
          <w:bar w:val="nil"/>
        </w:pBdr>
        <w:spacing w:before="0" w:after="240"/>
        <w:rPr>
          <w:rFonts w:eastAsia="Arial Unicode MS"/>
          <w:noProof/>
        </w:rPr>
      </w:pPr>
      <w:r>
        <w:rPr>
          <w:noProof/>
          <w:sz w:val="23"/>
        </w:rPr>
        <w:t>La propuesta no tiene incidencia alguna en el presupuesto de la Unión Europea.</w:t>
      </w:r>
    </w:p>
    <w:p>
      <w:pPr>
        <w:pStyle w:val="ManualHeading1"/>
        <w:tabs>
          <w:tab w:val="clear" w:pos="850"/>
          <w:tab w:val="left" w:pos="426"/>
        </w:tabs>
        <w:ind w:left="426" w:hanging="426"/>
        <w:rPr>
          <w:noProof/>
        </w:rPr>
      </w:pPr>
      <w:r>
        <w:rPr>
          <w:noProof/>
        </w:rPr>
        <w:t>5.</w:t>
      </w:r>
      <w:r>
        <w:rPr>
          <w:noProof/>
        </w:rPr>
        <w:tab/>
        <w:t>OTROS ELEMENTOS</w:t>
      </w:r>
    </w:p>
    <w:p>
      <w:pPr>
        <w:pBdr>
          <w:top w:val="nil"/>
          <w:left w:val="nil"/>
          <w:bottom w:val="nil"/>
          <w:right w:val="nil"/>
          <w:between w:val="nil"/>
          <w:bar w:val="nil"/>
        </w:pBdr>
        <w:spacing w:before="0" w:after="240"/>
        <w:rPr>
          <w:rFonts w:eastAsia="Arial Unicode MS"/>
          <w:noProof/>
        </w:rPr>
      </w:pPr>
      <w:r>
        <w:rPr>
          <w:noProof/>
        </w:rPr>
        <w:t>No procede.</w:t>
      </w:r>
    </w:p>
    <w:p>
      <w:pPr>
        <w:pStyle w:val="Rfrenceinterinstitutionnelle"/>
        <w:rPr>
          <w:noProof/>
        </w:rPr>
      </w:pPr>
      <w:r>
        <w:rPr>
          <w:noProof/>
        </w:rPr>
        <w:t>2016/0094 (NLE)</w:t>
      </w:r>
    </w:p>
    <w:p>
      <w:pPr>
        <w:pStyle w:val="Statut"/>
        <w:rPr>
          <w:noProof/>
        </w:rPr>
      </w:pPr>
      <w:r>
        <w:rPr>
          <w:noProof/>
        </w:rPr>
        <w:t>Propuesta de</w:t>
      </w:r>
    </w:p>
    <w:p>
      <w:pPr>
        <w:pStyle w:val="Typedudocument"/>
        <w:rPr>
          <w:noProof/>
        </w:rPr>
      </w:pPr>
      <w:r>
        <w:rPr>
          <w:noProof/>
        </w:rPr>
        <w:t>DECISIÓN DEL CONSEJO</w:t>
      </w:r>
    </w:p>
    <w:p>
      <w:pPr>
        <w:pStyle w:val="Titreobjet"/>
        <w:rPr>
          <w:noProof/>
        </w:rPr>
      </w:pPr>
      <w:r>
        <w:rPr>
          <w:noProof/>
        </w:rPr>
        <w:t>sobre la posición que debe adoptarse, en nombre de la Unión Europea, respecto a un instrumento internacional que han de elaborar los órganos de la OACI y que pretende propiciar la aplicación, a partir de 2020, de una única medida de mercado mundial para hacer frente a las emisiones de la aviación internacional</w:t>
      </w:r>
    </w:p>
    <w:p>
      <w:pPr>
        <w:rPr>
          <w:noProof/>
        </w:rPr>
      </w:pPr>
      <w:r>
        <w:rPr>
          <w:noProof/>
        </w:rPr>
        <w:t>EL CONSEJO DE LA UNIÓN EUROPEA,</w:t>
      </w:r>
    </w:p>
    <w:p>
      <w:pPr>
        <w:rPr>
          <w:noProof/>
        </w:rPr>
      </w:pPr>
      <w:r>
        <w:rPr>
          <w:noProof/>
        </w:rPr>
        <w:t>Visto el Tratado de Funcionamiento de la Unión Europea, y en particular su artículo 192, apartado 1, leído en relación con su artículo 218, apartado 9,</w:t>
      </w:r>
    </w:p>
    <w:p>
      <w:pPr>
        <w:rPr>
          <w:noProof/>
        </w:rPr>
      </w:pPr>
      <w:r>
        <w:rPr>
          <w:noProof/>
        </w:rPr>
        <w:t>Vista la propuesta de la Comisión Europea,</w:t>
      </w:r>
    </w:p>
    <w:p>
      <w:pPr>
        <w:rPr>
          <w:noProof/>
        </w:rPr>
      </w:pPr>
      <w:r>
        <w:rPr>
          <w:noProof/>
        </w:rPr>
        <w:t>Considerando lo siguiente:</w:t>
      </w:r>
    </w:p>
    <w:p>
      <w:pPr>
        <w:ind w:left="709" w:hanging="709"/>
        <w:rPr>
          <w:noProof/>
          <w:color w:val="000000"/>
        </w:rPr>
      </w:pPr>
      <w:bookmarkStart w:id="1" w:name="DQPStarAt1DQPStarAt29A08E2759CC4ACDBEC81"/>
      <w:bookmarkEnd w:id="1"/>
      <w:r>
        <w:rPr>
          <w:noProof/>
        </w:rPr>
        <w:t>(1)</w:t>
      </w:r>
      <w:r>
        <w:rPr>
          <w:noProof/>
        </w:rPr>
        <w:tab/>
        <w:t xml:space="preserve">Las emisiones de gases de efecto invernadero de la aviación internacional, que representan más del 2 % de las emisiones mundiales, están creciendo de forma exponencial, y las proyecciones para 2050 indican que, en el supuesto de que se mantenga la situación actual, esas emisiones procedentes de las actividades de la aviación podrían crecer por encima del 200 % en comparación con los niveles actuales. </w:t>
      </w:r>
      <w:r>
        <w:rPr>
          <w:noProof/>
          <w:color w:val="000000"/>
        </w:rPr>
        <w:t>De aquí a 2050, las emisiones globales de gases de efecto invernadero deben reducirse en al menos un 50 % respecto a los niveles de 1990. Todos los sectores de la economía deben contribuir a realizar esas reducciones, incluida la aviación internacional.</w:t>
      </w:r>
    </w:p>
    <w:p>
      <w:pPr>
        <w:ind w:left="720"/>
        <w:rPr>
          <w:noProof/>
          <w:color w:val="000000"/>
        </w:rPr>
      </w:pPr>
      <w:r>
        <w:rPr>
          <w:noProof/>
          <w:color w:val="000000"/>
        </w:rPr>
        <w:t>La 21.ª Conferencia de las Partes en la Convención de las Naciones Unidas sobre el Cambio Climático concluyó satisfactoriamente en diciembre de 2015 con la adopción del Acuerdo de París, cuyo objetivo es limitar el aumento de la temperatura mundial muy por debajo de los 2 ºC en comparación con los niveles preindustriales y proseguir los esfuerzos para limitar este aumento a 1,5 ºC.</w:t>
      </w:r>
    </w:p>
    <w:p>
      <w:pPr>
        <w:ind w:left="709" w:hanging="709"/>
        <w:rPr>
          <w:noProof/>
        </w:rPr>
      </w:pPr>
      <w:r>
        <w:rPr>
          <w:noProof/>
        </w:rPr>
        <w:t>(2)</w:t>
      </w:r>
      <w:r>
        <w:rPr>
          <w:noProof/>
        </w:rPr>
        <w:tab/>
        <w:t>La Organización de Aviación Civil Internacional (OACI) fue establecida por el Convenio de Chicago de 1944 sobre Aviación Civil Internacional. Todos los Estados miembros son Partes Contratantes en el citado Convenio y miembros de la OACI, mientras que la Unión tiene estatuto de observadora en algunas reuniones de la Organización, incluida su Asamblea trienal. La Unión y todos sus Estados miembros son Partes en el Protocolo de Kioto de 1997, que les exige tratar de limitar las emisiones de gases de efecto invernadero de la aviación internacional a través de la OACI. La Decisión n.º 1600/2002/CE del Parlamento Europeo y del Consejo invitaba a la Unión a determinar y emprender actuaciones concretas para reducir las emisiones de gases de efecto invernadero generadas por la aviación en caso de que dichas actuaciones no pudieran acordarse en el seno de la OACI para el año 2002.</w:t>
      </w:r>
    </w:p>
    <w:p>
      <w:pPr>
        <w:ind w:left="709" w:hanging="709"/>
        <w:rPr>
          <w:noProof/>
        </w:rPr>
      </w:pPr>
      <w:r>
        <w:rPr>
          <w:noProof/>
        </w:rPr>
        <w:t>(3)</w:t>
      </w:r>
      <w:r>
        <w:rPr>
          <w:noProof/>
        </w:rPr>
        <w:tab/>
        <w:t>En el 33.º periodo de sesiones de la Asamblea de la OACI (2001) se aprobó un régimen de comercio abierto de derechos de emisión para la aviación internacional</w:t>
      </w:r>
      <w:r>
        <w:rPr>
          <w:rStyle w:val="FootnoteReference"/>
          <w:noProof/>
        </w:rPr>
        <w:footnoteReference w:id="10"/>
      </w:r>
      <w:r>
        <w:rPr>
          <w:noProof/>
        </w:rPr>
        <w:t>. El Comité de la OACI sobre la Protección del Medio Ambiente y la Aviación recomendó en 2004 que se abandonara la idea de un régimen de comercio de emisiones específico para la aviación basado en un nuevo instrumento jurídico bajo los auspicios de la OACI. El 35.º periodo de sesiones de la Asamblea de la OACI (2004) apoyó el comercio abierto de derechos de emisión y la posibilidad de que los Estados incorporaran las emisiones de la aviación internacional a sus regímenes de comercio de derechos de emisión</w:t>
      </w:r>
      <w:r>
        <w:rPr>
          <w:rStyle w:val="FootnoteReference"/>
          <w:noProof/>
        </w:rPr>
        <w:footnoteReference w:id="11"/>
      </w:r>
      <w:r>
        <w:rPr>
          <w:noProof/>
        </w:rPr>
        <w:t>, pero el 36.º periodo de sesiones de la Asamblea de la OACI (2007) pidió eximir a los operadores de aeronaves de otros Estados, excepto mediante el mutuo consentimiento entre esos Estados</w:t>
      </w:r>
      <w:r>
        <w:rPr>
          <w:rStyle w:val="FootnoteReference"/>
          <w:noProof/>
        </w:rPr>
        <w:footnoteReference w:id="12"/>
      </w:r>
      <w:r>
        <w:rPr>
          <w:noProof/>
        </w:rPr>
        <w:t>. La Unión, sus Estados miembros y otros Estados europeos siempre se han reservado el derecho a aplicar de forma no discriminatoria medidas de mercado a todos los operadores de aeronaves que prestan servicios con destino u origen en su territorio o dentro de este, recordando que el Convenio de Chicago reconoce los derechos de las Partes de aplicar de forma no discriminatoria</w:t>
      </w:r>
      <w:r>
        <w:rPr>
          <w:rStyle w:val="FootnoteReference"/>
          <w:noProof/>
        </w:rPr>
        <w:footnoteReference w:id="13"/>
      </w:r>
      <w:r>
        <w:rPr>
          <w:noProof/>
        </w:rPr>
        <w:t xml:space="preserve"> sus propias leyes y reglamentos a las aeronaves de todos los Estados que prestan servicios con destino u origen en su territorio o dentro de este.</w:t>
      </w:r>
    </w:p>
    <w:p>
      <w:pPr>
        <w:ind w:left="709" w:hanging="709"/>
        <w:rPr>
          <w:noProof/>
        </w:rPr>
      </w:pPr>
      <w:r>
        <w:rPr>
          <w:noProof/>
        </w:rPr>
        <w:t>(4)</w:t>
      </w:r>
      <w:r>
        <w:rPr>
          <w:noProof/>
        </w:rPr>
        <w:tab/>
        <w:t>Teniendo en cuenta que la limitación de las emisiones de gases de efecto invernadero de la aviación constituye una contribución esencial en consonancia con los compromisos globales de reducción de emisiones, el Parlamento Europeo y el Consejo adoptaron la Directiva 2008/101/CE</w:t>
      </w:r>
      <w:r>
        <w:rPr>
          <w:rStyle w:val="FootnoteReference"/>
          <w:noProof/>
        </w:rPr>
        <w:footnoteReference w:id="14"/>
      </w:r>
      <w:r>
        <w:rPr>
          <w:noProof/>
        </w:rPr>
        <w:t>, que modifica la Directiva 2003/87/CE del Parlamento Europeo y del Consejo, de 13 de octubre de 2003, por la que se establece un régimen para el comercio de derechos de emisión de gases de efecto invernadero, con el fin de incluir las actividades de aviación, y por la que se modifica la Directiva 96/61/CE del Consejo</w:t>
      </w:r>
      <w:r>
        <w:rPr>
          <w:rStyle w:val="FootnoteReference"/>
          <w:noProof/>
        </w:rPr>
        <w:footnoteReference w:id="15"/>
      </w:r>
      <w:r>
        <w:rPr>
          <w:noProof/>
        </w:rPr>
        <w:t>. El quinto considerando de la Directiva 2008/101/CE estipula que la UE debe intentar asegurarse de que este acuerdo global destinado a limitar el aumento de la temperatura mundial incluya medidas para reducir las emisiones de gases de efecto invernadero procedentes de la aviación internacional y, en tal caso, la Comisión debe evaluar qué modificaciones es necesario introducir en la Directiva 2003/87/CE, en la medida en que se aplica a los operadores de aeronaves.</w:t>
      </w:r>
    </w:p>
    <w:p>
      <w:pPr>
        <w:ind w:left="709" w:hanging="709"/>
        <w:rPr>
          <w:noProof/>
          <w:color w:val="000000"/>
        </w:rPr>
      </w:pPr>
      <w:r>
        <w:rPr>
          <w:noProof/>
        </w:rPr>
        <w:t>(5)</w:t>
      </w:r>
      <w:r>
        <w:rPr>
          <w:noProof/>
        </w:rPr>
        <w:tab/>
        <w:t>La Comunicación de la Comisión al Parlamento Europeo y al Consejo «El Protocolo de París, un plan rector para combatir el cambio climático más allá de 2020</w:t>
      </w:r>
      <w:r>
        <w:rPr>
          <w:rStyle w:val="FootnoteReference"/>
          <w:noProof/>
        </w:rPr>
        <w:footnoteReference w:id="16"/>
      </w:r>
      <w:r>
        <w:rPr>
          <w:i/>
          <w:noProof/>
        </w:rPr>
        <w:t xml:space="preserve"> </w:t>
      </w:r>
      <w:r>
        <w:rPr>
          <w:noProof/>
        </w:rPr>
        <w:t>subraya que la Organización de Aviación Civil Internacional (OACI) debe actuar para regular de forma efectiva las emisiones de la aviación internacional antes de finales de 2016. La próxima reunión de la Asamblea de la OACI se celebrará en 2016 y debe alcanzar un acuerdo sobre un instrumento internacional que conduzca a la aplicación en 2020 de una única medida de mercado mundial a las emisiones de la aviación internacional.</w:t>
      </w:r>
    </w:p>
    <w:p>
      <w:pPr>
        <w:autoSpaceDE w:val="0"/>
        <w:autoSpaceDN w:val="0"/>
        <w:adjustRightInd w:val="0"/>
        <w:spacing w:before="0" w:after="0"/>
        <w:ind w:left="709" w:hanging="709"/>
        <w:rPr>
          <w:noProof/>
        </w:rPr>
      </w:pPr>
      <w:r>
        <w:rPr>
          <w:noProof/>
          <w:color w:val="000000"/>
        </w:rPr>
        <w:t>(6)</w:t>
      </w:r>
      <w:r>
        <w:rPr>
          <w:noProof/>
        </w:rPr>
        <w:tab/>
        <w:t>El 38.º periodo de sesiones de la Asamblea de la OACI (2013) decidió que la OACI y sus Estados miembros y las organizaciones pertinentes trabajarían juntos para tratar de lograr, como meta colectiva a la que se aspira a nivel mundial en el mediano plazo, que las emisiones mundiales netas de carbono de la aviación internacional desde 2020 se mantuvieran al mismo nivel («el objetivo de la OACI»); asimismo decidió elaborar una medida de mercado mundial para la aviación internacional e informar de los resultados de sus trabajos con vistas a tomar una decisión en el 39.º periodo de sesiones de la Asamblea de la OACI (2016). Se prevé que las emisiones de la aviación internacional van a ser en 2020 alrededor de un 70 % más elevadas que en 2005</w:t>
      </w:r>
      <w:r>
        <w:rPr>
          <w:rStyle w:val="FootnoteReference"/>
          <w:noProof/>
        </w:rPr>
        <w:footnoteReference w:id="17"/>
      </w:r>
      <w:r>
        <w:rPr>
          <w:noProof/>
        </w:rPr>
        <w:t>, mientras que la Unión y sus Estados miembros han defendido siempre un objetivo mundial de reducción de las emisiones de gases de efecto invernadero de la aviación internacional del 10 % de aquí a 2020 en comparación con los niveles de 2005. No obstante, parece conveniente que la Unión aproveche la oportunidad de promover la elaboración, en un plazo bastante corto, de una medida de mercado mundial para limitar las emisiones de gases de efecto invernadero de la aviación internacional a sus niveles de 2020, teniendo en cuenta la posibilidad de revisar los objetivos a lo largo del tiempo, cuando proceda.</w:t>
      </w:r>
    </w:p>
    <w:p>
      <w:pPr>
        <w:ind w:left="709" w:hanging="709"/>
        <w:rPr>
          <w:noProof/>
        </w:rPr>
      </w:pPr>
      <w:r>
        <w:rPr>
          <w:noProof/>
        </w:rPr>
        <w:t>(7)</w:t>
      </w:r>
      <w:r>
        <w:rPr>
          <w:noProof/>
        </w:rPr>
        <w:tab/>
        <w:t>Para facilitar la elaboración de un instrumento adecuado en el periodo de sesiones de la Asamblea de la OACI de 2016, el legislador de la Unión ha decidido considerar temporalmente satisfechos los requisitos de la Directiva 2003/87/CE respecto de vuelos con destino y origen en aeródromos de países no pertenecientes al Espacio Económico Europeo (EEE). De esa manera, la Unión hace hincapié en que pueden aplicarse requisitos legales con respecto a vuelos con destino y origen en aeródromos de Estados del EEE, del mismo modo que pueden aplicarse requisitos legales a las emisiones de vuelos entre tales aeródromos</w:t>
      </w:r>
      <w:r>
        <w:rPr>
          <w:rStyle w:val="FootnoteReference"/>
          <w:noProof/>
        </w:rPr>
        <w:footnoteReference w:id="18"/>
      </w:r>
      <w:r>
        <w:rPr>
          <w:noProof/>
        </w:rPr>
        <w:t>.</w:t>
      </w:r>
    </w:p>
    <w:p>
      <w:pPr>
        <w:pStyle w:val="Normal1"/>
        <w:ind w:left="709" w:hanging="709"/>
        <w:rPr>
          <w:noProof/>
          <w:color w:val="000000"/>
        </w:rPr>
      </w:pPr>
      <w:r>
        <w:rPr>
          <w:noProof/>
          <w:color w:val="000000"/>
        </w:rPr>
        <w:t>(8)</w:t>
      </w:r>
      <w:r>
        <w:rPr>
          <w:noProof/>
        </w:rPr>
        <w:tab/>
      </w:r>
      <w:r>
        <w:rPr>
          <w:noProof/>
          <w:color w:val="000000"/>
        </w:rPr>
        <w:t xml:space="preserve">La Directiva 2003/87/CE, en su versión modificada, establece determinadas obligaciones que incumben a la Comisión tras el 39.º periodo de sesiones de la Asamblea de la OACI (2016). </w:t>
      </w:r>
      <w:r>
        <w:rPr>
          <w:noProof/>
        </w:rPr>
        <w:t>La Comisión debe presentar un informe al Parlamento Europeo y al Consejo sobre las medidas necesarias para aplicar a partir de 2020 un instrumento internacional sobre una medida de mercado mundial que reducirá las emisiones de gases de efecto invernadero de la aviación internacional de forma no discriminatoria.</w:t>
      </w:r>
      <w:r>
        <w:rPr>
          <w:noProof/>
          <w:color w:val="000000"/>
        </w:rPr>
        <w:t xml:space="preserve"> En ese informe, la Comisión debe considerar dicha evolución, incluyendo si procede propuestas en reacción a la misma, en lo que respecta al ámbito de aplicación adecuado para las emisiones resultantes de actividades con destino y origen en aeródromos situados en países no pertenecientes al EEE a partir de 2017.</w:t>
      </w:r>
    </w:p>
    <w:p>
      <w:pPr>
        <w:pStyle w:val="Normal1"/>
        <w:ind w:left="709" w:hanging="709"/>
        <w:rPr>
          <w:noProof/>
          <w:color w:val="000000"/>
          <w:highlight w:val="yellow"/>
        </w:rPr>
      </w:pPr>
      <w:r>
        <w:rPr>
          <w:noProof/>
          <w:color w:val="000000"/>
        </w:rPr>
        <w:t>(9)</w:t>
      </w:r>
      <w:r>
        <w:rPr>
          <w:noProof/>
        </w:rPr>
        <w:tab/>
        <w:t>Conviene establecer la posición que debe adoptar la Unión por lo que respecta al instrumento internacional que ha de elaborar la OACI y que propiciará la aplicación, a partir de 2020, de una única medida de mercado mundial para hacer frente a las emisiones de la aviación internacional.</w:t>
      </w:r>
    </w:p>
    <w:p>
      <w:pPr>
        <w:pStyle w:val="Normal1"/>
        <w:ind w:left="709" w:hanging="709"/>
        <w:rPr>
          <w:noProof/>
        </w:rPr>
      </w:pPr>
      <w:r>
        <w:rPr>
          <w:noProof/>
        </w:rPr>
        <w:t>(10)</w:t>
      </w:r>
      <w:r>
        <w:rPr>
          <w:noProof/>
        </w:rPr>
        <w:tab/>
        <w:t>Es necesario adoptar una posición de la Unión mucho antes de la próxima Asamblea de la OACI.</w:t>
      </w:r>
    </w:p>
    <w:p>
      <w:pPr>
        <w:rPr>
          <w:noProof/>
        </w:rPr>
      </w:pPr>
    </w:p>
    <w:p>
      <w:pPr>
        <w:rPr>
          <w:noProof/>
        </w:rPr>
      </w:pPr>
      <w:r>
        <w:rPr>
          <w:noProof/>
        </w:rPr>
        <w:t xml:space="preserve">HA ADOPTADO LA PRESENTE DECISIÓN: </w:t>
      </w:r>
    </w:p>
    <w:p>
      <w:pPr>
        <w:pStyle w:val="Titrearticle"/>
        <w:rPr>
          <w:noProof/>
        </w:rPr>
      </w:pPr>
      <w:r>
        <w:rPr>
          <w:noProof/>
        </w:rPr>
        <w:t>Artículo 1</w:t>
      </w:r>
    </w:p>
    <w:p>
      <w:pPr>
        <w:rPr>
          <w:noProof/>
        </w:rPr>
      </w:pPr>
      <w:r>
        <w:rPr>
          <w:noProof/>
        </w:rPr>
        <w:t>La posición que ha de adoptarse, en nombre de la Unión Europea, a fin de elaborar un instrumento sobre una medida de mercado mundial en la OACI, se ajustará a lo dispuesto en el anexo de la presente Decisión y la expresarán la Comisión y los Estados miembros, actuando conjuntamente en interés de la Unión, en los órganos de la OACI.</w:t>
      </w:r>
    </w:p>
    <w:p>
      <w:pPr>
        <w:pStyle w:val="Titrearticle"/>
        <w:rPr>
          <w:noProof/>
        </w:rPr>
      </w:pPr>
      <w:r>
        <w:rPr>
          <w:noProof/>
        </w:rPr>
        <w:t>Artículo 2</w:t>
      </w:r>
    </w:p>
    <w:p>
      <w:pPr>
        <w:autoSpaceDE w:val="0"/>
        <w:autoSpaceDN w:val="0"/>
        <w:adjustRightInd w:val="0"/>
        <w:spacing w:before="0" w:after="0"/>
        <w:rPr>
          <w:noProof/>
        </w:rPr>
      </w:pPr>
      <w:r>
        <w:rPr>
          <w:noProof/>
        </w:rPr>
        <w:t>La Comisión mantendrá a los órganos pertinentes del Consejo plenamente informados sobre los debates en curso. Para que la Comisión esté plenamente al corriente de la opinión del Consejo sobre la aplicación correcta de los términos del anexo, la Comisión consultará a esos órganos a lo largo de todo el proceso, siempre que sea necesario, habida cuenta de la evolución observada en los órganos de la OACI.</w:t>
      </w:r>
    </w:p>
    <w:p>
      <w:pPr>
        <w:pStyle w:val="Fait"/>
        <w:rPr>
          <w:noProof/>
        </w:rPr>
      </w:pPr>
      <w:r>
        <w:rPr>
          <w:noProof/>
        </w:rPr>
        <w:t>Hecho en Bruselas, el</w:t>
      </w:r>
    </w:p>
    <w:p>
      <w:pPr>
        <w:pStyle w:val="Institutionquisigne"/>
        <w:rPr>
          <w:noProof/>
        </w:rPr>
      </w:pPr>
      <w:r>
        <w:rPr>
          <w:noProof/>
        </w:rPr>
        <w:tab/>
        <w:t>Por el Consejo</w:t>
      </w:r>
    </w:p>
    <w:p>
      <w:pPr>
        <w:pStyle w:val="Personnequisigne"/>
        <w:rPr>
          <w:noProof/>
        </w:rPr>
      </w:pPr>
      <w:r>
        <w:rPr>
          <w:noProof/>
        </w:rPr>
        <w:tab/>
        <w:t>El Presidente</w:t>
      </w:r>
    </w:p>
    <w:sectPr>
      <w:footerReference w:type="default" r:id="rId11"/>
      <w:footerReference w:type="first" r:id="rId12"/>
      <w:pgSz w:w="11907" w:h="16839"/>
      <w:pgMar w:top="1134" w:right="1417"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pStyle w:val="Fichefinanciretitre"/>
      </w:pPr>
      <w:r>
        <w:separator/>
      </w:r>
    </w:p>
  </w:endnote>
  <w:endnote w:type="continuationSeparator" w:id="0">
    <w:p>
      <w:pPr>
        <w:pStyle w:val="Fichefinanciretitr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ichefinanciretitre"/>
      </w:pPr>
      <w:r>
        <w:separator/>
      </w:r>
    </w:p>
  </w:footnote>
  <w:footnote w:type="continuationSeparator" w:id="0">
    <w:p>
      <w:pPr>
        <w:pStyle w:val="Fichefinanciretitre"/>
      </w:pPr>
      <w:r>
        <w:continuationSeparator/>
      </w:r>
    </w:p>
  </w:footnote>
  <w:footnote w:type="continuationNotice" w:id="1">
    <w:p>
      <w:pPr>
        <w:spacing w:before="0" w:after="0"/>
      </w:pPr>
    </w:p>
  </w:footnote>
  <w:footnote w:id="2">
    <w:p>
      <w:pPr>
        <w:pStyle w:val="FootnoteText"/>
      </w:pPr>
      <w:r>
        <w:rPr>
          <w:rStyle w:val="FootnoteReference"/>
        </w:rPr>
        <w:footnoteRef/>
      </w:r>
      <w:r>
        <w:tab/>
      </w:r>
      <w:r>
        <w:rPr>
          <w:color w:val="000000"/>
        </w:rPr>
        <w:t>COM(2015) 81, de 4 de marzo de 2015.</w:t>
      </w:r>
    </w:p>
  </w:footnote>
  <w:footnote w:id="3">
    <w:p>
      <w:pPr>
        <w:pStyle w:val="FootnoteText"/>
      </w:pPr>
      <w:r>
        <w:rPr>
          <w:rStyle w:val="FootnoteReference"/>
        </w:rPr>
        <w:footnoteRef/>
      </w:r>
      <w:r>
        <w:tab/>
        <w:t>Resolución A38-18 de la OACI (2013).</w:t>
      </w:r>
    </w:p>
  </w:footnote>
  <w:footnote w:id="4">
    <w:p>
      <w:pPr>
        <w:pStyle w:val="FootnoteText"/>
      </w:pPr>
      <w:r>
        <w:rPr>
          <w:rStyle w:val="FootnoteReference"/>
        </w:rPr>
        <w:footnoteRef/>
      </w:r>
      <w:r>
        <w:tab/>
        <w:t>Resolución A33-7 de la OACI (2001).</w:t>
      </w:r>
    </w:p>
  </w:footnote>
  <w:footnote w:id="5">
    <w:p>
      <w:pPr>
        <w:pStyle w:val="FootnoteText"/>
      </w:pPr>
      <w:r>
        <w:rPr>
          <w:rStyle w:val="FootnoteReference"/>
        </w:rPr>
        <w:footnoteRef/>
      </w:r>
      <w:r>
        <w:tab/>
        <w:t>Resolución A35-5 de la OACI (2004).</w:t>
      </w:r>
    </w:p>
  </w:footnote>
  <w:footnote w:id="6">
    <w:p>
      <w:pPr>
        <w:pStyle w:val="FootnoteText"/>
      </w:pPr>
      <w:r>
        <w:rPr>
          <w:rStyle w:val="FootnoteReference"/>
        </w:rPr>
        <w:footnoteRef/>
      </w:r>
      <w:r>
        <w:tab/>
        <w:t>DO L 275 de 25.10.2003, p. 32.</w:t>
      </w:r>
    </w:p>
  </w:footnote>
  <w:footnote w:id="7">
    <w:p>
      <w:pPr>
        <w:pStyle w:val="FootnoteText"/>
      </w:pPr>
      <w:r>
        <w:rPr>
          <w:rStyle w:val="FootnoteReference"/>
        </w:rPr>
        <w:footnoteRef/>
      </w:r>
      <w:r>
        <w:tab/>
        <w:t>Véanse las reservas a la Resolución de la OACI de 2013, contempladas en la nota a pie de página 4.</w:t>
      </w:r>
    </w:p>
  </w:footnote>
  <w:footnote w:id="8">
    <w:p>
      <w:pPr>
        <w:pStyle w:val="FootnoteText"/>
      </w:pPr>
      <w:r>
        <w:rPr>
          <w:rStyle w:val="FootnoteReference"/>
        </w:rPr>
        <w:footnoteRef/>
      </w:r>
      <w:r>
        <w:tab/>
        <w:t>Reglamento (UE) n.º 421/2014 del Parlamento Europeo y del Consejo.</w:t>
      </w:r>
    </w:p>
  </w:footnote>
  <w:footnote w:id="9">
    <w:p>
      <w:pPr>
        <w:pStyle w:val="FootnoteText"/>
      </w:pPr>
      <w:r>
        <w:rPr>
          <w:rStyle w:val="FootnoteReference"/>
        </w:rPr>
        <w:footnoteRef/>
      </w:r>
      <w:r>
        <w:tab/>
        <w:t>COM(2016) 110 final.</w:t>
      </w:r>
    </w:p>
  </w:footnote>
  <w:footnote w:id="10">
    <w:p>
      <w:pPr>
        <w:pStyle w:val="FootnoteText"/>
      </w:pPr>
      <w:r>
        <w:rPr>
          <w:rStyle w:val="FootnoteReference"/>
        </w:rPr>
        <w:footnoteRef/>
      </w:r>
      <w:r>
        <w:tab/>
        <w:t>Resolución A33-7 de la OACI.</w:t>
      </w:r>
    </w:p>
  </w:footnote>
  <w:footnote w:id="11">
    <w:p>
      <w:pPr>
        <w:pStyle w:val="FootnoteText"/>
      </w:pPr>
      <w:r>
        <w:rPr>
          <w:rStyle w:val="FootnoteReference"/>
        </w:rPr>
        <w:footnoteRef/>
      </w:r>
      <w:r>
        <w:tab/>
        <w:t>Resolución A35-5 de la OACI.</w:t>
      </w:r>
    </w:p>
  </w:footnote>
  <w:footnote w:id="12">
    <w:p>
      <w:pPr>
        <w:pStyle w:val="FootnoteText"/>
      </w:pPr>
      <w:r>
        <w:rPr>
          <w:rStyle w:val="FootnoteReference"/>
        </w:rPr>
        <w:footnoteRef/>
      </w:r>
      <w:r>
        <w:tab/>
        <w:t>Apéndice L de la Resolución A36-22.</w:t>
      </w:r>
    </w:p>
  </w:footnote>
  <w:footnote w:id="13">
    <w:p>
      <w:pPr>
        <w:pStyle w:val="FootnoteText"/>
        <w:jc w:val="left"/>
      </w:pPr>
      <w:r>
        <w:rPr>
          <w:rStyle w:val="FootnoteReference"/>
        </w:rPr>
        <w:footnoteRef/>
      </w:r>
      <w:r>
        <w:tab/>
        <w:t xml:space="preserve">Reservas a la Resolución de la OACI de 2007, a la Resolución de la OACI de 2010, a la Decisión del Consejo de la OACI de 2012, por la que se aprueba la «Declaración de Delhi», y a la Resolución de la OACI de 2013, véase </w:t>
      </w:r>
      <w:hyperlink r:id="rId1">
        <w:r>
          <w:rPr>
            <w:rStyle w:val="Hyperlink"/>
            <w:noProof/>
          </w:rPr>
          <w:t>http://ec.europa.eu/clima/policies/transport/aviation/documentation_en.htm</w:t>
        </w:r>
      </w:hyperlink>
      <w:r>
        <w:t xml:space="preserve"> </w:t>
      </w:r>
    </w:p>
  </w:footnote>
  <w:footnote w:id="14">
    <w:p>
      <w:pPr>
        <w:pStyle w:val="FootnoteText"/>
        <w:rPr>
          <w:lang w:val="pt-PT"/>
        </w:rPr>
      </w:pPr>
      <w:r>
        <w:rPr>
          <w:rStyle w:val="FootnoteReference"/>
        </w:rPr>
        <w:footnoteRef/>
      </w:r>
      <w:r>
        <w:rPr>
          <w:lang w:val="pt-PT"/>
        </w:rPr>
        <w:tab/>
        <w:t>DO L 8 de 13.1.2009, p. 3.</w:t>
      </w:r>
    </w:p>
  </w:footnote>
  <w:footnote w:id="15">
    <w:p>
      <w:pPr>
        <w:pStyle w:val="FootnoteText"/>
        <w:rPr>
          <w:lang w:val="pt-PT"/>
        </w:rPr>
      </w:pPr>
      <w:r>
        <w:rPr>
          <w:rStyle w:val="FootnoteReference"/>
        </w:rPr>
        <w:footnoteRef/>
      </w:r>
      <w:r>
        <w:rPr>
          <w:lang w:val="pt-PT"/>
        </w:rPr>
        <w:tab/>
        <w:t>DO L 275 de 25.10.2003, p. 32.</w:t>
      </w:r>
    </w:p>
  </w:footnote>
  <w:footnote w:id="16">
    <w:p>
      <w:pPr>
        <w:pStyle w:val="FootnoteText"/>
      </w:pPr>
      <w:r>
        <w:rPr>
          <w:rStyle w:val="FootnoteReference"/>
        </w:rPr>
        <w:footnoteRef/>
      </w:r>
      <w:r>
        <w:tab/>
      </w:r>
      <w:r>
        <w:rPr>
          <w:color w:val="000000"/>
        </w:rPr>
        <w:t>COM(2015) 81, de 4 de marzo de 2015.</w:t>
      </w:r>
    </w:p>
  </w:footnote>
  <w:footnote w:id="17">
    <w:p>
      <w:pPr>
        <w:pStyle w:val="FootnoteText"/>
      </w:pPr>
      <w:r>
        <w:rPr>
          <w:rStyle w:val="FootnoteReference"/>
        </w:rPr>
        <w:footnoteRef/>
      </w:r>
      <w:r>
        <w:tab/>
        <w:t>Véanse las reservas a la Resolución de la OACI de 2013, contempladas en la nota a pie de página 4.</w:t>
      </w:r>
    </w:p>
  </w:footnote>
  <w:footnote w:id="18">
    <w:p>
      <w:pPr>
        <w:pStyle w:val="FootnoteText"/>
      </w:pPr>
      <w:r>
        <w:rPr>
          <w:rStyle w:val="FootnoteReference"/>
        </w:rPr>
        <w:footnoteRef/>
      </w:r>
      <w:r>
        <w:tab/>
        <w:t>Reglamento (UE) n.º 421/2014 del Parlamento Europeo y del Consejo, de 16 de abril de 2014, que modifica la Directiva 2003/87/CE, por la que se establece un régimen para el comercio de derechos de emisión de gases de efecto invernadero en la Comunidad, con vistas a la ejecución, de aquí a 2020, de un acuerdo internacional que aplique una única medida de mercado mundial a las emisiones de la aviación internacional, DO L 129 de 30.4.2014,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FB1"/>
    <w:multiLevelType w:val="multilevel"/>
    <w:tmpl w:val="30847FD6"/>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E43525"/>
    <w:multiLevelType w:val="multilevel"/>
    <w:tmpl w:val="76202BFE"/>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4E930D7"/>
    <w:multiLevelType w:val="multilevel"/>
    <w:tmpl w:val="EFD2E05E"/>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9">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5F8C3B69"/>
    <w:multiLevelType w:val="multilevel"/>
    <w:tmpl w:val="9B14DAA8"/>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6A6901C1"/>
    <w:multiLevelType w:val="singleLevel"/>
    <w:tmpl w:val="208841AE"/>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3">
    <w:nsid w:val="6D2B5511"/>
    <w:multiLevelType w:val="singleLevel"/>
    <w:tmpl w:val="74A09970"/>
    <w:name w:val="List 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4">
    <w:nsid w:val="78A241BD"/>
    <w:multiLevelType w:val="singleLevel"/>
    <w:tmpl w:val="53C4DF32"/>
    <w:name w:val="List Dash 3"/>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25">
    <w:nsid w:val="79C96D36"/>
    <w:multiLevelType w:val="multilevel"/>
    <w:tmpl w:val="BE983CE4"/>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7">
    <w:nsid w:val="7D8820A0"/>
    <w:multiLevelType w:val="singleLevel"/>
    <w:tmpl w:val="54F6C7B4"/>
    <w:name w:val="List Dash 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28">
    <w:nsid w:val="7F7154E1"/>
    <w:multiLevelType w:val="singleLevel"/>
    <w:tmpl w:val="E3F6D2C6"/>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18"/>
  </w:num>
  <w:num w:numId="2">
    <w:abstractNumId w:val="25"/>
  </w:num>
  <w:num w:numId="3">
    <w:abstractNumId w:val="5"/>
  </w:num>
  <w:num w:numId="4">
    <w:abstractNumId w:val="1"/>
  </w:num>
  <w:num w:numId="5">
    <w:abstractNumId w:val="0"/>
  </w:num>
  <w:num w:numId="6">
    <w:abstractNumId w:val="23"/>
  </w:num>
  <w:num w:numId="7">
    <w:abstractNumId w:val="22"/>
  </w:num>
  <w:num w:numId="8">
    <w:abstractNumId w:val="2"/>
  </w:num>
  <w:num w:numId="9">
    <w:abstractNumId w:val="8"/>
  </w:num>
  <w:num w:numId="10">
    <w:abstractNumId w:val="28"/>
  </w:num>
  <w:num w:numId="11">
    <w:abstractNumId w:val="9"/>
  </w:num>
  <w:num w:numId="12">
    <w:abstractNumId w:val="19"/>
  </w:num>
  <w:num w:numId="13">
    <w:abstractNumId w:val="14"/>
  </w:num>
  <w:num w:numId="14">
    <w:abstractNumId w:val="24"/>
  </w:num>
  <w:num w:numId="15">
    <w:abstractNumId w:val="27"/>
  </w:num>
  <w:num w:numId="16">
    <w:abstractNumId w:val="17"/>
  </w:num>
  <w:num w:numId="17">
    <w:abstractNumId w:val="10"/>
  </w:num>
  <w:num w:numId="18">
    <w:abstractNumId w:val="21"/>
  </w:num>
  <w:num w:numId="19">
    <w:abstractNumId w:val="7"/>
  </w:num>
  <w:num w:numId="20">
    <w:abstractNumId w:val="11"/>
  </w:num>
  <w:num w:numId="21">
    <w:abstractNumId w:val="4"/>
  </w:num>
  <w:num w:numId="22">
    <w:abstractNumId w:val="20"/>
  </w:num>
  <w:num w:numId="23">
    <w:abstractNumId w:val="3"/>
  </w:num>
  <w:num w:numId="24">
    <w:abstractNumId w:val="12"/>
  </w:num>
  <w:num w:numId="25">
    <w:abstractNumId w:val="15"/>
  </w:num>
  <w:num w:numId="26">
    <w:abstractNumId w:val="16"/>
  </w:num>
  <w:num w:numId="27">
    <w:abstractNumId w:val="6"/>
  </w:num>
  <w:num w:numId="28">
    <w:abstractNumId w:val="13"/>
  </w:num>
  <w:num w:numId="2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57"/>
  <w:characterSpacingControl w:val="doNotCompress"/>
  <w:hdrShapeDefaults>
    <o:shapedefaults v:ext="edit" spidmax="41985"/>
  </w:hdrShapeDefaults>
  <w:footnotePr>
    <w:footnote w:id="-1"/>
    <w:footnote w:id="0"/>
    <w:footnote w:id="1"/>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6-04-07 14:56:4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2"/>
    <w:docVar w:name="DQCResult_ModifiedMarkers" w:val="0;0"/>
    <w:docVar w:name="DQCResult_ModifiedNumbering" w:val="0;0"/>
    <w:docVar w:name="DQCResult_Objects" w:val="0;0"/>
    <w:docVar w:name="DQCResult_Sections" w:val="0;1"/>
    <w:docVar w:name="DQCResult_StructureCheck" w:val="0;0"/>
    <w:docVar w:name="DQCResult_SuperfluousWhitespace" w:val="0;2"/>
    <w:docVar w:name="DQCResult_UnknownFonts" w:val="0;0"/>
    <w:docVar w:name="DQCResult_UnknownStyles" w:val="0;3"/>
    <w:docVar w:name="DQCStatus" w:val="Green"/>
    <w:docVar w:name="DQCVersion" w:val="3"/>
    <w:docVar w:name="DQCWithWarnings" w:val="0"/>
    <w:docVar w:name="LW_CONFIDENCE" w:val=" "/>
    <w:docVar w:name="LW_CONST_RESTREINT_UE" w:val="RESTREINT UE"/>
    <w:docVar w:name="LW_CORRIGENDUM" w:val="&lt;UNUSED&gt;"/>
    <w:docVar w:name="LW_COVERPAGE_GUID" w:val="E4204AA644CE4DBCBBE30269C5EA4893"/>
    <w:docVar w:name="LW_CROSSREFERENCE" w:val="&lt;UNUSED&gt;"/>
    <w:docVar w:name="LW_DocType" w:val="COM"/>
    <w:docVar w:name="LW_EMISSION" w:val="8.4.2016"/>
    <w:docVar w:name="LW_EMISSION_ISODATE" w:val="2016-04-08"/>
    <w:docVar w:name="LW_EMISSION_LOCATION" w:val="BRX"/>
    <w:docVar w:name="LW_EMISSION_PREFIX" w:val="Bruselas, "/>
    <w:docVar w:name="LW_EMISSION_SUFFIX" w:val=" "/>
    <w:docVar w:name="LW_FAITA" w:val="Done at Brussels,"/>
    <w:docVar w:name="LW_ID_DOCMODEL" w:val="SJ-019"/>
    <w:docVar w:name="LW_ID_DOCSIGNATURE" w:val="SJ-019"/>
    <w:docVar w:name="LW_ID_DOCSTRUCTURE" w:val="COM/PL/ORG"/>
    <w:docVar w:name="LW_ID_DOCTYPE" w:val="SJ-019"/>
    <w:docVar w:name="LW_ID_STATUT" w:val="SJ-019"/>
    <w:docVar w:name="LW_INST.SIGNE" w:val="_x0009_For the Council"/>
    <w:docVar w:name="LW_INTERETEEE.CP" w:val="&lt;UNUSED&gt;"/>
    <w:docVar w:name="LW_LANGUE" w:val="ES"/>
    <w:docVar w:name="LW_MARKING" w:val="&lt;UNUSED&gt;"/>
    <w:docVar w:name="LW_NOM.INST" w:val="COMISIÓN EUROPEA"/>
    <w:docVar w:name="LW_NOM.INST_JOINTDOC" w:val="&lt;EMPTY&gt;"/>
    <w:docVar w:name="LW_PART_NBR" w:val="1"/>
    <w:docVar w:name="LW_PART_NBR_TOTAL" w:val="1"/>
    <w:docVar w:name="LW_PERS.SIGNE" w:val="_x0009_The President"/>
    <w:docVar w:name="LW_REF.II.NEW.CP" w:val="NLE"/>
    <w:docVar w:name="LW_REF.II.NEW.CP_NUMBER" w:val="0094"/>
    <w:docVar w:name="LW_REF.II.NEW.CP_YEAR" w:val="2016"/>
    <w:docVar w:name="LW_REF.INST.NEW" w:val="COM"/>
    <w:docVar w:name="LW_REF.INST.NEW_ADOPTED" w:val="final"/>
    <w:docVar w:name="LW_REF.INST.NEW_TEXT" w:val="(2016) 183"/>
    <w:docVar w:name="LW_REF.INTERNE" w:val="&lt;UNUSED&gt;"/>
    <w:docVar w:name="LW_SOUS.TITRE.OBJ.CP" w:val="&lt;UNUSED&gt;"/>
    <w:docVar w:name="LW_STATUT.CP" w:val="Propuesta de"/>
    <w:docVar w:name="LW_SUPERTITRE" w:val="&lt;UNUSED&gt;"/>
    <w:docVar w:name="LW_TITRE.OBJ.CP" w:val="sobre la posición que debe adoptarse, en nombre de la Unión Europea, respecto a un instrumento internacional que han de elaborar los órganos de la OACI y que pretende propiciar la aplicación, a partir de 2020, de una única medida de mercado mundial para hacer frente a las emisiones de la aviación internacional"/>
    <w:docVar w:name="LW_TYPE.DOC.CP" w:val="DECISIÓN DEL CONSEJ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es-E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line="240" w:lineRule="auto"/>
      <w:jc w:val="both"/>
    </w:pPr>
    <w:rPr>
      <w:sz w:val="24"/>
      <w:lang w:val="es-ES_tradnl"/>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style>
  <w:style w:type="paragraph" w:customStyle="1" w:styleId="ListNumberLevel2">
    <w:name w:val="List Number (Level 2)"/>
    <w:basedOn w:val="Normal"/>
    <w:pPr>
      <w:numPr>
        <w:ilvl w:val="1"/>
        <w:numId w:val="1"/>
      </w:numPr>
    </w:pPr>
  </w:style>
  <w:style w:type="paragraph" w:customStyle="1" w:styleId="ListNumberLevel3">
    <w:name w:val="List Number (Level 3)"/>
    <w:basedOn w:val="Normal"/>
    <w:pPr>
      <w:numPr>
        <w:ilvl w:val="2"/>
        <w:numId w:val="1"/>
      </w:numPr>
    </w:pPr>
  </w:style>
  <w:style w:type="paragraph" w:customStyle="1" w:styleId="ListNumberLevel4">
    <w:name w:val="List Number (Level 4)"/>
    <w:basedOn w:val="Normal"/>
    <w:pPr>
      <w:numPr>
        <w:ilvl w:val="3"/>
        <w:numId w:val="1"/>
      </w:numPr>
    </w:p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b/>
      <w:bCs/>
      <w:sz w:val="20"/>
      <w:szCs w:val="20"/>
    </w:rPr>
  </w:style>
  <w:style w:type="paragraph" w:customStyle="1" w:styleId="ListNumber1">
    <w:name w:val="List Number 1"/>
    <w:basedOn w:val="Text1"/>
    <w:pPr>
      <w:numPr>
        <w:numId w:val="2"/>
      </w:numPr>
    </w:pPr>
  </w:style>
  <w:style w:type="paragraph" w:styleId="ListNumber2">
    <w:name w:val="List Number 2"/>
    <w:basedOn w:val="Normal"/>
    <w:pPr>
      <w:numPr>
        <w:numId w:val="3"/>
      </w:numPr>
    </w:pPr>
  </w:style>
  <w:style w:type="paragraph" w:styleId="ListNumber3">
    <w:name w:val="List Number 3"/>
    <w:basedOn w:val="Normal"/>
    <w:pPr>
      <w:numPr>
        <w:numId w:val="4"/>
      </w:numPr>
    </w:pPr>
  </w:style>
  <w:style w:type="paragraph" w:styleId="ListNumber4">
    <w:name w:val="List Number 4"/>
    <w:basedOn w:val="Normal"/>
    <w:pPr>
      <w:numPr>
        <w:numId w:val="5"/>
      </w:numPr>
    </w:pPr>
  </w:style>
  <w:style w:type="paragraph" w:customStyle="1" w:styleId="ListNumber1Level2">
    <w:name w:val="List Number 1 (Level 2)"/>
    <w:basedOn w:val="Text1"/>
    <w:pPr>
      <w:numPr>
        <w:ilvl w:val="1"/>
        <w:numId w:val="2"/>
      </w:numPr>
    </w:pPr>
  </w:style>
  <w:style w:type="paragraph" w:customStyle="1" w:styleId="ListNumber2Level2">
    <w:name w:val="List Number 2 (Level 2)"/>
    <w:basedOn w:val="Text2"/>
    <w:pPr>
      <w:numPr>
        <w:ilvl w:val="1"/>
        <w:numId w:val="3"/>
      </w:numPr>
    </w:pPr>
  </w:style>
  <w:style w:type="paragraph" w:customStyle="1" w:styleId="ListNumber3Level2">
    <w:name w:val="List Number 3 (Level 2)"/>
    <w:basedOn w:val="Text3"/>
    <w:pPr>
      <w:numPr>
        <w:ilvl w:val="1"/>
        <w:numId w:val="4"/>
      </w:numPr>
    </w:pPr>
  </w:style>
  <w:style w:type="paragraph" w:customStyle="1" w:styleId="ListNumber4Level2">
    <w:name w:val="List Number 4 (Level 2)"/>
    <w:basedOn w:val="Text4"/>
    <w:pPr>
      <w:numPr>
        <w:ilvl w:val="1"/>
        <w:numId w:val="5"/>
      </w:numPr>
    </w:pPr>
  </w:style>
  <w:style w:type="paragraph" w:customStyle="1" w:styleId="ListNumber1Level3">
    <w:name w:val="List Number 1 (Level 3)"/>
    <w:basedOn w:val="Text1"/>
    <w:pPr>
      <w:numPr>
        <w:ilvl w:val="2"/>
        <w:numId w:val="2"/>
      </w:numPr>
    </w:pPr>
  </w:style>
  <w:style w:type="paragraph" w:customStyle="1" w:styleId="ListNumber2Level3">
    <w:name w:val="List Number 2 (Level 3)"/>
    <w:basedOn w:val="Text2"/>
    <w:pPr>
      <w:numPr>
        <w:ilvl w:val="2"/>
        <w:numId w:val="3"/>
      </w:numPr>
    </w:pPr>
  </w:style>
  <w:style w:type="paragraph" w:customStyle="1" w:styleId="ListNumber3Level3">
    <w:name w:val="List Number 3 (Level 3)"/>
    <w:basedOn w:val="Text3"/>
    <w:pPr>
      <w:numPr>
        <w:ilvl w:val="2"/>
        <w:numId w:val="4"/>
      </w:numPr>
    </w:pPr>
  </w:style>
  <w:style w:type="paragraph" w:customStyle="1" w:styleId="ListNumber4Level3">
    <w:name w:val="List Number 4 (Level 3)"/>
    <w:basedOn w:val="Text4"/>
    <w:pPr>
      <w:numPr>
        <w:ilvl w:val="2"/>
        <w:numId w:val="5"/>
      </w:numPr>
    </w:pPr>
  </w:style>
  <w:style w:type="paragraph" w:customStyle="1" w:styleId="ListNumber1Level4">
    <w:name w:val="List Number 1 (Level 4)"/>
    <w:basedOn w:val="Text1"/>
    <w:pPr>
      <w:numPr>
        <w:ilvl w:val="3"/>
        <w:numId w:val="2"/>
      </w:numPr>
    </w:pPr>
  </w:style>
  <w:style w:type="paragraph" w:customStyle="1" w:styleId="ListNumber2Level4">
    <w:name w:val="List Number 2 (Level 4)"/>
    <w:basedOn w:val="Text2"/>
    <w:pPr>
      <w:numPr>
        <w:ilvl w:val="3"/>
        <w:numId w:val="3"/>
      </w:numPr>
    </w:pPr>
  </w:style>
  <w:style w:type="paragraph" w:customStyle="1" w:styleId="ListNumber3Level4">
    <w:name w:val="List Number 3 (Level 4)"/>
    <w:basedOn w:val="Text3"/>
    <w:pPr>
      <w:numPr>
        <w:ilvl w:val="3"/>
        <w:numId w:val="4"/>
      </w:numPr>
    </w:pPr>
  </w:style>
  <w:style w:type="paragraph" w:customStyle="1" w:styleId="ListNumber4Level4">
    <w:name w:val="List Number 4 (Level 4)"/>
    <w:basedOn w:val="Text4"/>
    <w:pPr>
      <w:numPr>
        <w:ilvl w:val="3"/>
        <w:numId w:val="5"/>
      </w:numPr>
    </w:pPr>
  </w:style>
  <w:style w:type="paragraph" w:styleId="ListBullet">
    <w:name w:val="List Bullet"/>
    <w:basedOn w:val="Normal"/>
    <w:pPr>
      <w:numPr>
        <w:numId w:val="6"/>
      </w:numPr>
    </w:pPr>
  </w:style>
  <w:style w:type="paragraph" w:customStyle="1" w:styleId="ListBullet1">
    <w:name w:val="List Bullet 1"/>
    <w:basedOn w:val="Normal"/>
    <w:pPr>
      <w:numPr>
        <w:numId w:val="7"/>
      </w:numPr>
    </w:pPr>
  </w:style>
  <w:style w:type="paragraph" w:styleId="ListBullet2">
    <w:name w:val="List Bullet 2"/>
    <w:basedOn w:val="Normal"/>
    <w:pPr>
      <w:numPr>
        <w:numId w:val="8"/>
      </w:numPr>
    </w:pPr>
  </w:style>
  <w:style w:type="paragraph" w:styleId="ListBullet3">
    <w:name w:val="List Bullet 3"/>
    <w:basedOn w:val="Normal"/>
    <w:pPr>
      <w:numPr>
        <w:numId w:val="9"/>
      </w:numPr>
    </w:pPr>
  </w:style>
  <w:style w:type="paragraph" w:styleId="ListBullet4">
    <w:name w:val="List Bullet 4"/>
    <w:basedOn w:val="Normal"/>
    <w:pPr>
      <w:numPr>
        <w:numId w:val="10"/>
      </w:numPr>
    </w:pPr>
  </w:style>
  <w:style w:type="paragraph" w:customStyle="1" w:styleId="ListDash">
    <w:name w:val="List Dash"/>
    <w:basedOn w:val="Normal"/>
    <w:pPr>
      <w:numPr>
        <w:numId w:val="11"/>
      </w:numPr>
    </w:pPr>
  </w:style>
  <w:style w:type="paragraph" w:customStyle="1" w:styleId="ListDash1">
    <w:name w:val="List Dash 1"/>
    <w:basedOn w:val="Normal"/>
    <w:pPr>
      <w:numPr>
        <w:numId w:val="12"/>
      </w:numPr>
    </w:pPr>
  </w:style>
  <w:style w:type="paragraph" w:customStyle="1" w:styleId="ListDash2">
    <w:name w:val="List Dash 2"/>
    <w:basedOn w:val="Normal"/>
    <w:pPr>
      <w:numPr>
        <w:numId w:val="13"/>
      </w:numPr>
    </w:pPr>
  </w:style>
  <w:style w:type="paragraph" w:customStyle="1" w:styleId="ListDash3">
    <w:name w:val="List Dash 3"/>
    <w:basedOn w:val="Normal"/>
    <w:pPr>
      <w:numPr>
        <w:numId w:val="14"/>
      </w:numPr>
    </w:pPr>
  </w:style>
  <w:style w:type="paragraph" w:customStyle="1" w:styleId="ListDash4">
    <w:name w:val="List Dash 4"/>
    <w:basedOn w:val="Normal"/>
    <w:pPr>
      <w:numPr>
        <w:numId w:val="15"/>
      </w:numPr>
    </w:pPr>
  </w:style>
  <w:style w:type="paragraph" w:styleId="TableofFigures">
    <w:name w:val="table of figures"/>
    <w:basedOn w:val="Normal"/>
    <w:next w:val="Normal"/>
    <w:semiHidden/>
  </w:style>
  <w:style w:type="character" w:styleId="CommentReference">
    <w:name w:val="annotation reference"/>
    <w:semiHidden/>
    <w:rPr>
      <w:sz w:val="16"/>
      <w:szCs w:val="16"/>
      <w:shd w:val="clear" w:color="auto" w:fill="auto"/>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customStyle="1" w:styleId="Normal1">
    <w:name w:val="Normal1"/>
    <w:basedOn w:val="Normal"/>
    <w:pPr>
      <w:spacing w:after="0"/>
    </w:pPr>
  </w:style>
  <w:style w:type="paragraph" w:customStyle="1" w:styleId="Default">
    <w:name w:val="Default"/>
    <w:pPr>
      <w:autoSpaceDE w:val="0"/>
      <w:autoSpaceDN w:val="0"/>
      <w:adjustRightInd w:val="0"/>
    </w:pPr>
    <w:rPr>
      <w:rFonts w:ascii="Symbol" w:hAnsi="Symbol" w:cs="Symbol"/>
      <w:color w:val="000000"/>
      <w:sz w:val="24"/>
      <w:szCs w:val="24"/>
    </w:rPr>
  </w:style>
  <w:style w:type="character" w:customStyle="1" w:styleId="super">
    <w:name w:val="super"/>
    <w:rPr>
      <w:sz w:val="17"/>
      <w:szCs w:val="17"/>
      <w:shd w:val="clear" w:color="auto" w:fill="auto"/>
      <w:vertAlign w:val="superscript"/>
    </w:rPr>
  </w:style>
  <w:style w:type="paragraph" w:styleId="Revision">
    <w:name w:val="Revision"/>
    <w:hidden/>
    <w:uiPriority w:val="99"/>
    <w:semiHidden/>
    <w:rPr>
      <w:sz w:val="24"/>
      <w:szCs w:val="24"/>
    </w:rPr>
  </w:style>
  <w:style w:type="paragraph" w:styleId="Header">
    <w:name w:val="header"/>
    <w:basedOn w:val="Normal"/>
    <w:link w:val="HeaderChar"/>
    <w:uiPriority w:val="99"/>
    <w:unhideWhenUsed/>
    <w:pPr>
      <w:tabs>
        <w:tab w:val="center" w:pos="4535"/>
        <w:tab w:val="right" w:pos="9071"/>
      </w:tabs>
      <w:spacing w:before="0"/>
    </w:pPr>
    <w:rPr>
      <w:rFonts w:eastAsia="Calibri"/>
      <w:lang w:eastAsia="en-US" w:bidi="ar-SA"/>
    </w:rPr>
  </w:style>
  <w:style w:type="character" w:customStyle="1" w:styleId="HeaderChar">
    <w:name w:val="Header Char"/>
    <w:link w:val="Header"/>
    <w:uiPriority w:val="99"/>
    <w:rPr>
      <w:rFonts w:eastAsia="Calibri"/>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eastAsiaTheme="majorEastAsia"/>
      <w:b/>
      <w:bCs/>
      <w:smallCaps/>
      <w:sz w:val="24"/>
      <w:szCs w:val="28"/>
      <w:lang w:val="en-GB"/>
    </w:rPr>
  </w:style>
  <w:style w:type="character" w:customStyle="1" w:styleId="Heading2Char">
    <w:name w:val="Heading 2 Char"/>
    <w:basedOn w:val="DefaultParagraphFont"/>
    <w:link w:val="Heading2"/>
    <w:uiPriority w:val="9"/>
    <w:semiHidden/>
    <w:rPr>
      <w:rFonts w:eastAsiaTheme="majorEastAsia"/>
      <w:b/>
      <w:bCs/>
      <w:sz w:val="24"/>
      <w:szCs w:val="26"/>
      <w:lang w:val="en-GB"/>
    </w:rPr>
  </w:style>
  <w:style w:type="character" w:customStyle="1" w:styleId="Heading3Char">
    <w:name w:val="Heading 3 Char"/>
    <w:basedOn w:val="DefaultParagraphFont"/>
    <w:link w:val="Heading3"/>
    <w:uiPriority w:val="9"/>
    <w:semiHidden/>
    <w:rPr>
      <w:rFonts w:eastAsiaTheme="majorEastAsia"/>
      <w:bCs/>
      <w:i/>
      <w:sz w:val="24"/>
      <w:lang w:val="en-GB"/>
    </w:rPr>
  </w:style>
  <w:style w:type="character" w:customStyle="1" w:styleId="Heading4Char">
    <w:name w:val="Heading 4 Char"/>
    <w:basedOn w:val="DefaultParagraphFont"/>
    <w:link w:val="Heading4"/>
    <w:uiPriority w:val="9"/>
    <w:semiHidden/>
    <w:rPr>
      <w:rFonts w:eastAsiaTheme="majorEastAsia"/>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Calibr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3217">
      <w:bodyDiv w:val="1"/>
      <w:marLeft w:val="0"/>
      <w:marRight w:val="0"/>
      <w:marTop w:val="0"/>
      <w:marBottom w:val="0"/>
      <w:divBdr>
        <w:top w:val="none" w:sz="0" w:space="0" w:color="auto"/>
        <w:left w:val="none" w:sz="0" w:space="0" w:color="auto"/>
        <w:bottom w:val="none" w:sz="0" w:space="0" w:color="auto"/>
        <w:right w:val="none" w:sz="0" w:space="0" w:color="auto"/>
      </w:divBdr>
    </w:div>
    <w:div w:id="330454563">
      <w:bodyDiv w:val="1"/>
      <w:marLeft w:val="390"/>
      <w:marRight w:val="390"/>
      <w:marTop w:val="0"/>
      <w:marBottom w:val="0"/>
      <w:divBdr>
        <w:top w:val="none" w:sz="0" w:space="0" w:color="auto"/>
        <w:left w:val="none" w:sz="0" w:space="0" w:color="auto"/>
        <w:bottom w:val="none" w:sz="0" w:space="0" w:color="auto"/>
        <w:right w:val="none" w:sz="0" w:space="0" w:color="auto"/>
      </w:divBdr>
      <w:divsChild>
        <w:div w:id="1222524699">
          <w:marLeft w:val="0"/>
          <w:marRight w:val="0"/>
          <w:marTop w:val="0"/>
          <w:marBottom w:val="0"/>
          <w:divBdr>
            <w:top w:val="none" w:sz="0" w:space="0" w:color="auto"/>
            <w:left w:val="none" w:sz="0" w:space="0" w:color="auto"/>
            <w:bottom w:val="none" w:sz="0" w:space="0" w:color="auto"/>
            <w:right w:val="none" w:sz="0" w:space="0" w:color="auto"/>
          </w:divBdr>
        </w:div>
      </w:divsChild>
    </w:div>
    <w:div w:id="377048839">
      <w:bodyDiv w:val="1"/>
      <w:marLeft w:val="0"/>
      <w:marRight w:val="0"/>
      <w:marTop w:val="0"/>
      <w:marBottom w:val="0"/>
      <w:divBdr>
        <w:top w:val="none" w:sz="0" w:space="0" w:color="auto"/>
        <w:left w:val="none" w:sz="0" w:space="0" w:color="auto"/>
        <w:bottom w:val="none" w:sz="0" w:space="0" w:color="auto"/>
        <w:right w:val="none" w:sz="0" w:space="0" w:color="auto"/>
      </w:divBdr>
    </w:div>
    <w:div w:id="478887612">
      <w:bodyDiv w:val="1"/>
      <w:marLeft w:val="0"/>
      <w:marRight w:val="0"/>
      <w:marTop w:val="0"/>
      <w:marBottom w:val="0"/>
      <w:divBdr>
        <w:top w:val="none" w:sz="0" w:space="0" w:color="auto"/>
        <w:left w:val="none" w:sz="0" w:space="0" w:color="auto"/>
        <w:bottom w:val="none" w:sz="0" w:space="0" w:color="auto"/>
        <w:right w:val="none" w:sz="0" w:space="0" w:color="auto"/>
      </w:divBdr>
    </w:div>
    <w:div w:id="609623370">
      <w:bodyDiv w:val="1"/>
      <w:marLeft w:val="0"/>
      <w:marRight w:val="0"/>
      <w:marTop w:val="0"/>
      <w:marBottom w:val="0"/>
      <w:divBdr>
        <w:top w:val="none" w:sz="0" w:space="0" w:color="auto"/>
        <w:left w:val="none" w:sz="0" w:space="0" w:color="auto"/>
        <w:bottom w:val="none" w:sz="0" w:space="0" w:color="auto"/>
        <w:right w:val="none" w:sz="0" w:space="0" w:color="auto"/>
      </w:divBdr>
    </w:div>
    <w:div w:id="712998600">
      <w:bodyDiv w:val="1"/>
      <w:marLeft w:val="0"/>
      <w:marRight w:val="0"/>
      <w:marTop w:val="0"/>
      <w:marBottom w:val="0"/>
      <w:divBdr>
        <w:top w:val="none" w:sz="0" w:space="0" w:color="auto"/>
        <w:left w:val="none" w:sz="0" w:space="0" w:color="auto"/>
        <w:bottom w:val="none" w:sz="0" w:space="0" w:color="auto"/>
        <w:right w:val="none" w:sz="0" w:space="0" w:color="auto"/>
      </w:divBdr>
    </w:div>
    <w:div w:id="1234924060">
      <w:bodyDiv w:val="1"/>
      <w:marLeft w:val="0"/>
      <w:marRight w:val="0"/>
      <w:marTop w:val="0"/>
      <w:marBottom w:val="0"/>
      <w:divBdr>
        <w:top w:val="none" w:sz="0" w:space="0" w:color="auto"/>
        <w:left w:val="none" w:sz="0" w:space="0" w:color="auto"/>
        <w:bottom w:val="none" w:sz="0" w:space="0" w:color="auto"/>
        <w:right w:val="none" w:sz="0" w:space="0" w:color="auto"/>
      </w:divBdr>
    </w:div>
    <w:div w:id="1239709638">
      <w:bodyDiv w:val="1"/>
      <w:marLeft w:val="0"/>
      <w:marRight w:val="0"/>
      <w:marTop w:val="0"/>
      <w:marBottom w:val="0"/>
      <w:divBdr>
        <w:top w:val="none" w:sz="0" w:space="0" w:color="auto"/>
        <w:left w:val="none" w:sz="0" w:space="0" w:color="auto"/>
        <w:bottom w:val="none" w:sz="0" w:space="0" w:color="auto"/>
        <w:right w:val="none" w:sz="0" w:space="0" w:color="auto"/>
      </w:divBdr>
    </w:div>
    <w:div w:id="1356882727">
      <w:bodyDiv w:val="1"/>
      <w:marLeft w:val="0"/>
      <w:marRight w:val="0"/>
      <w:marTop w:val="0"/>
      <w:marBottom w:val="0"/>
      <w:divBdr>
        <w:top w:val="none" w:sz="0" w:space="0" w:color="auto"/>
        <w:left w:val="none" w:sz="0" w:space="0" w:color="auto"/>
        <w:bottom w:val="none" w:sz="0" w:space="0" w:color="auto"/>
        <w:right w:val="none" w:sz="0" w:space="0" w:color="auto"/>
      </w:divBdr>
    </w:div>
    <w:div w:id="1404451259">
      <w:bodyDiv w:val="1"/>
      <w:marLeft w:val="0"/>
      <w:marRight w:val="0"/>
      <w:marTop w:val="0"/>
      <w:marBottom w:val="0"/>
      <w:divBdr>
        <w:top w:val="none" w:sz="0" w:space="0" w:color="auto"/>
        <w:left w:val="none" w:sz="0" w:space="0" w:color="auto"/>
        <w:bottom w:val="none" w:sz="0" w:space="0" w:color="auto"/>
        <w:right w:val="none" w:sz="0" w:space="0" w:color="auto"/>
      </w:divBdr>
    </w:div>
    <w:div w:id="1513107436">
      <w:bodyDiv w:val="1"/>
      <w:marLeft w:val="0"/>
      <w:marRight w:val="0"/>
      <w:marTop w:val="0"/>
      <w:marBottom w:val="0"/>
      <w:divBdr>
        <w:top w:val="none" w:sz="0" w:space="0" w:color="auto"/>
        <w:left w:val="none" w:sz="0" w:space="0" w:color="auto"/>
        <w:bottom w:val="none" w:sz="0" w:space="0" w:color="auto"/>
        <w:right w:val="none" w:sz="0" w:space="0" w:color="auto"/>
      </w:divBdr>
      <w:divsChild>
        <w:div w:id="1789886462">
          <w:marLeft w:val="0"/>
          <w:marRight w:val="0"/>
          <w:marTop w:val="0"/>
          <w:marBottom w:val="0"/>
          <w:divBdr>
            <w:top w:val="none" w:sz="0" w:space="0" w:color="auto"/>
            <w:left w:val="none" w:sz="0" w:space="0" w:color="auto"/>
            <w:bottom w:val="none" w:sz="0" w:space="0" w:color="auto"/>
            <w:right w:val="none" w:sz="0" w:space="0" w:color="auto"/>
          </w:divBdr>
          <w:divsChild>
            <w:div w:id="1532107200">
              <w:marLeft w:val="0"/>
              <w:marRight w:val="0"/>
              <w:marTop w:val="0"/>
              <w:marBottom w:val="0"/>
              <w:divBdr>
                <w:top w:val="none" w:sz="0" w:space="0" w:color="auto"/>
                <w:left w:val="none" w:sz="0" w:space="0" w:color="auto"/>
                <w:bottom w:val="none" w:sz="0" w:space="0" w:color="auto"/>
                <w:right w:val="none" w:sz="0" w:space="0" w:color="auto"/>
              </w:divBdr>
              <w:divsChild>
                <w:div w:id="1879472396">
                  <w:marLeft w:val="0"/>
                  <w:marRight w:val="0"/>
                  <w:marTop w:val="0"/>
                  <w:marBottom w:val="0"/>
                  <w:divBdr>
                    <w:top w:val="none" w:sz="0" w:space="0" w:color="auto"/>
                    <w:left w:val="none" w:sz="0" w:space="0" w:color="auto"/>
                    <w:bottom w:val="none" w:sz="0" w:space="0" w:color="auto"/>
                    <w:right w:val="none" w:sz="0" w:space="0" w:color="auto"/>
                  </w:divBdr>
                  <w:divsChild>
                    <w:div w:id="606156129">
                      <w:marLeft w:val="1"/>
                      <w:marRight w:val="1"/>
                      <w:marTop w:val="0"/>
                      <w:marBottom w:val="0"/>
                      <w:divBdr>
                        <w:top w:val="none" w:sz="0" w:space="0" w:color="auto"/>
                        <w:left w:val="none" w:sz="0" w:space="0" w:color="auto"/>
                        <w:bottom w:val="none" w:sz="0" w:space="0" w:color="auto"/>
                        <w:right w:val="none" w:sz="0" w:space="0" w:color="auto"/>
                      </w:divBdr>
                      <w:divsChild>
                        <w:div w:id="2130277668">
                          <w:marLeft w:val="0"/>
                          <w:marRight w:val="0"/>
                          <w:marTop w:val="0"/>
                          <w:marBottom w:val="0"/>
                          <w:divBdr>
                            <w:top w:val="none" w:sz="0" w:space="0" w:color="auto"/>
                            <w:left w:val="none" w:sz="0" w:space="0" w:color="auto"/>
                            <w:bottom w:val="none" w:sz="0" w:space="0" w:color="auto"/>
                            <w:right w:val="none" w:sz="0" w:space="0" w:color="auto"/>
                          </w:divBdr>
                          <w:divsChild>
                            <w:div w:id="1731927469">
                              <w:marLeft w:val="0"/>
                              <w:marRight w:val="0"/>
                              <w:marTop w:val="0"/>
                              <w:marBottom w:val="360"/>
                              <w:divBdr>
                                <w:top w:val="none" w:sz="0" w:space="0" w:color="auto"/>
                                <w:left w:val="none" w:sz="0" w:space="0" w:color="auto"/>
                                <w:bottom w:val="none" w:sz="0" w:space="0" w:color="auto"/>
                                <w:right w:val="none" w:sz="0" w:space="0" w:color="auto"/>
                              </w:divBdr>
                              <w:divsChild>
                                <w:div w:id="1263226998">
                                  <w:marLeft w:val="0"/>
                                  <w:marRight w:val="0"/>
                                  <w:marTop w:val="0"/>
                                  <w:marBottom w:val="0"/>
                                  <w:divBdr>
                                    <w:top w:val="none" w:sz="0" w:space="0" w:color="auto"/>
                                    <w:left w:val="none" w:sz="0" w:space="0" w:color="auto"/>
                                    <w:bottom w:val="none" w:sz="0" w:space="0" w:color="auto"/>
                                    <w:right w:val="none" w:sz="0" w:space="0" w:color="auto"/>
                                  </w:divBdr>
                                  <w:divsChild>
                                    <w:div w:id="3434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633943">
      <w:bodyDiv w:val="1"/>
      <w:marLeft w:val="0"/>
      <w:marRight w:val="0"/>
      <w:marTop w:val="0"/>
      <w:marBottom w:val="0"/>
      <w:divBdr>
        <w:top w:val="none" w:sz="0" w:space="0" w:color="auto"/>
        <w:left w:val="none" w:sz="0" w:space="0" w:color="auto"/>
        <w:bottom w:val="none" w:sz="0" w:space="0" w:color="auto"/>
        <w:right w:val="none" w:sz="0" w:space="0" w:color="auto"/>
      </w:divBdr>
      <w:divsChild>
        <w:div w:id="1799520001">
          <w:marLeft w:val="0"/>
          <w:marRight w:val="0"/>
          <w:marTop w:val="0"/>
          <w:marBottom w:val="0"/>
          <w:divBdr>
            <w:top w:val="none" w:sz="0" w:space="0" w:color="auto"/>
            <w:left w:val="none" w:sz="0" w:space="0" w:color="auto"/>
            <w:bottom w:val="none" w:sz="0" w:space="0" w:color="auto"/>
            <w:right w:val="none" w:sz="0" w:space="0" w:color="auto"/>
          </w:divBdr>
          <w:divsChild>
            <w:div w:id="1672295741">
              <w:marLeft w:val="0"/>
              <w:marRight w:val="0"/>
              <w:marTop w:val="0"/>
              <w:marBottom w:val="0"/>
              <w:divBdr>
                <w:top w:val="none" w:sz="0" w:space="0" w:color="auto"/>
                <w:left w:val="none" w:sz="0" w:space="0" w:color="auto"/>
                <w:bottom w:val="none" w:sz="0" w:space="0" w:color="auto"/>
                <w:right w:val="none" w:sz="0" w:space="0" w:color="auto"/>
              </w:divBdr>
              <w:divsChild>
                <w:div w:id="1652294785">
                  <w:marLeft w:val="0"/>
                  <w:marRight w:val="0"/>
                  <w:marTop w:val="0"/>
                  <w:marBottom w:val="0"/>
                  <w:divBdr>
                    <w:top w:val="none" w:sz="0" w:space="0" w:color="auto"/>
                    <w:left w:val="none" w:sz="0" w:space="0" w:color="auto"/>
                    <w:bottom w:val="none" w:sz="0" w:space="0" w:color="auto"/>
                    <w:right w:val="none" w:sz="0" w:space="0" w:color="auto"/>
                  </w:divBdr>
                  <w:divsChild>
                    <w:div w:id="205727793">
                      <w:marLeft w:val="1"/>
                      <w:marRight w:val="1"/>
                      <w:marTop w:val="0"/>
                      <w:marBottom w:val="0"/>
                      <w:divBdr>
                        <w:top w:val="none" w:sz="0" w:space="0" w:color="auto"/>
                        <w:left w:val="none" w:sz="0" w:space="0" w:color="auto"/>
                        <w:bottom w:val="none" w:sz="0" w:space="0" w:color="auto"/>
                        <w:right w:val="none" w:sz="0" w:space="0" w:color="auto"/>
                      </w:divBdr>
                      <w:divsChild>
                        <w:div w:id="1910262956">
                          <w:marLeft w:val="0"/>
                          <w:marRight w:val="0"/>
                          <w:marTop w:val="0"/>
                          <w:marBottom w:val="0"/>
                          <w:divBdr>
                            <w:top w:val="none" w:sz="0" w:space="0" w:color="auto"/>
                            <w:left w:val="none" w:sz="0" w:space="0" w:color="auto"/>
                            <w:bottom w:val="none" w:sz="0" w:space="0" w:color="auto"/>
                            <w:right w:val="none" w:sz="0" w:space="0" w:color="auto"/>
                          </w:divBdr>
                          <w:divsChild>
                            <w:div w:id="1462311624">
                              <w:marLeft w:val="0"/>
                              <w:marRight w:val="0"/>
                              <w:marTop w:val="0"/>
                              <w:marBottom w:val="360"/>
                              <w:divBdr>
                                <w:top w:val="none" w:sz="0" w:space="0" w:color="auto"/>
                                <w:left w:val="none" w:sz="0" w:space="0" w:color="auto"/>
                                <w:bottom w:val="none" w:sz="0" w:space="0" w:color="auto"/>
                                <w:right w:val="none" w:sz="0" w:space="0" w:color="auto"/>
                              </w:divBdr>
                              <w:divsChild>
                                <w:div w:id="504369629">
                                  <w:marLeft w:val="0"/>
                                  <w:marRight w:val="0"/>
                                  <w:marTop w:val="0"/>
                                  <w:marBottom w:val="0"/>
                                  <w:divBdr>
                                    <w:top w:val="none" w:sz="0" w:space="0" w:color="auto"/>
                                    <w:left w:val="none" w:sz="0" w:space="0" w:color="auto"/>
                                    <w:bottom w:val="none" w:sz="0" w:space="0" w:color="auto"/>
                                    <w:right w:val="none" w:sz="0" w:space="0" w:color="auto"/>
                                  </w:divBdr>
                                  <w:divsChild>
                                    <w:div w:id="200331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clima/policies/transport/aviation/documentation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24005-1256-499B-80FC-899E64F3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8</Pages>
  <Words>2883</Words>
  <Characters>14473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17291</CharactersWithSpaces>
  <SharedDoc>false</SharedDoc>
  <HLinks>
    <vt:vector size="6" baseType="variant">
      <vt:variant>
        <vt:i4>393332</vt:i4>
      </vt:variant>
      <vt:variant>
        <vt:i4>0</vt:i4>
      </vt:variant>
      <vt:variant>
        <vt:i4>0</vt:i4>
      </vt:variant>
      <vt:variant>
        <vt:i4>5</vt:i4>
      </vt:variant>
      <vt:variant>
        <vt:lpwstr>http://ec.europa.eu/clima/policies/transport/aviation/documentation_en.htm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18</cp:revision>
  <cp:lastPrinted>2016-04-06T13:43:00Z</cp:lastPrinted>
  <dcterms:created xsi:type="dcterms:W3CDTF">2016-04-06T15:14:00Z</dcterms:created>
  <dcterms:modified xsi:type="dcterms:W3CDTF">2016-04-07T12:56:00Z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5.8.40.0</vt:lpwstr>
  </property>
  <property fmtid="{D5CDD505-2E9C-101B-9397-08002B2CF9AE}" pid="5" name="Last edited using">
    <vt:lpwstr>LW 5.8.4, Build 20150407</vt:lpwstr>
  </property>
  <property fmtid="{D5CDD505-2E9C-101B-9397-08002B2CF9AE}" pid="6" name="Created using">
    <vt:lpwstr>LW 5.8, Build 20111205</vt:lpwstr>
  </property>
  <property fmtid="{D5CDD505-2E9C-101B-9397-08002B2CF9AE}" pid="7" name="_NewReviewCycle">
    <vt:lpwstr/>
  </property>
  <property fmtid="{D5CDD505-2E9C-101B-9397-08002B2CF9AE}" pid="8" name="LWTemplateID">
    <vt:lpwstr>SJ-019</vt:lpwstr>
  </property>
  <property fmtid="{D5CDD505-2E9C-101B-9397-08002B2CF9AE}" pid="9" name="Part">
    <vt:lpwstr>1</vt:lpwstr>
  </property>
  <property fmtid="{D5CDD505-2E9C-101B-9397-08002B2CF9AE}" pid="10" name="Total parts">
    <vt:lpwstr>1</vt:lpwstr>
  </property>
  <property fmtid="{D5CDD505-2E9C-101B-9397-08002B2CF9AE}" pid="11" name="DQCStatus">
    <vt:lpwstr>Green (DQC version 03)</vt:lpwstr>
  </property>
  <property name="OP_sanitized" fmtid="{D5CDD505-2E9C-101B-9397-08002B2CF9AE}" pid="12">
    <vt:lpwstr>True</vt:lpwstr>
  </property>
</Properties>
</file>