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5CD1545819248D6963F0F7E4CA549A2" style="width:450.7pt;height:320.9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spacing w:before="360" w:after="0" w:line="240" w:lineRule="auto"/>
        <w:jc w:val="center"/>
        <w:rPr>
          <w:rFonts w:ascii="Times New Roman" w:hAnsi="Times New Roman"/>
          <w:b/>
          <w:noProof/>
          <w:sz w:val="24"/>
        </w:rPr>
      </w:pPr>
      <w:bookmarkStart w:id="1" w:name="_GoBack"/>
      <w:bookmarkEnd w:id="1"/>
      <w:r>
        <w:rPr>
          <w:rFonts w:ascii="Times New Roman" w:hAnsi="Times New Roman"/>
          <w:b/>
          <w:noProof/>
          <w:sz w:val="24"/>
        </w:rPr>
        <w:lastRenderedPageBreak/>
        <w:t>INFORME DE LA COMISIÓN AL PARLAMENTO EUROPEO Y AL CONSEJO</w:t>
      </w:r>
    </w:p>
    <w:p>
      <w:pPr>
        <w:spacing w:before="360" w:after="360" w:line="240" w:lineRule="auto"/>
        <w:jc w:val="center"/>
        <w:rPr>
          <w:rFonts w:ascii="Times New Roman" w:hAnsi="Times New Roman"/>
          <w:b/>
          <w:noProof/>
          <w:sz w:val="24"/>
        </w:rPr>
      </w:pPr>
      <w:r>
        <w:rPr>
          <w:rFonts w:ascii="Times New Roman" w:hAnsi="Times New Roman"/>
          <w:b/>
          <w:noProof/>
          <w:sz w:val="24"/>
        </w:rPr>
        <w:t>sobre el ejercicio de los poderes para adoptar actos delegados que otorga a la Comisión el Reglamento (UE) n.º 70/2012, de 18 de enero de 2012, sobre la relación estadística de los transportes de mercancías por carretera</w:t>
      </w:r>
    </w:p>
    <w:p>
      <w:pPr>
        <w:keepNext/>
        <w:numPr>
          <w:ilvl w:val="0"/>
          <w:numId w:val="1"/>
        </w:numPr>
        <w:shd w:val="clear" w:color="auto" w:fill="FFFFFF"/>
        <w:spacing w:before="360" w:after="120" w:line="240" w:lineRule="auto"/>
        <w:jc w:val="both"/>
        <w:outlineLvl w:val="0"/>
        <w:rPr>
          <w:rFonts w:ascii="Times New Roman" w:hAnsi="Times New Roman"/>
          <w:b/>
          <w:bCs/>
          <w:smallCaps/>
          <w:noProof/>
          <w:sz w:val="24"/>
          <w:szCs w:val="28"/>
        </w:rPr>
      </w:pPr>
      <w:r>
        <w:rPr>
          <w:rFonts w:ascii="Times New Roman" w:hAnsi="Times New Roman"/>
          <w:b/>
          <w:smallCaps/>
          <w:noProof/>
          <w:sz w:val="24"/>
        </w:rPr>
        <w:t>Contexto</w:t>
      </w:r>
    </w:p>
    <w:p>
      <w:pPr>
        <w:spacing w:before="120" w:after="120" w:line="240" w:lineRule="auto"/>
        <w:ind w:left="850"/>
        <w:jc w:val="both"/>
        <w:rPr>
          <w:rFonts w:ascii="Times New Roman" w:hAnsi="Times New Roman"/>
          <w:noProof/>
          <w:sz w:val="24"/>
        </w:rPr>
      </w:pPr>
      <w:r>
        <w:rPr>
          <w:rFonts w:ascii="Times New Roman" w:hAnsi="Times New Roman"/>
          <w:noProof/>
          <w:sz w:val="24"/>
        </w:rPr>
        <w:t>El artículo 3, apartado 4, del Reglamento (UE) n.º 70/2012 del Parlamento Europeo y del Consejo, de 18 de enero de 2012, sobre la relación estadística de los transportes de mercancías por carretera, otorga a la Comisión los poderes para adoptar actos delegados con arreglo al artículo 8 en lo referente a la actualización de la parte 1 del anexo I, únicamente con el fin de tener en cuenta los avances en los campos económico y técnico, a excepción de cualquier modificación del carácter facultativo de la información requerida. Además, el mismo artículo faculta a la Comisión para adoptar, si procede, actos delegados con arreglo al artículo 8 en lo referente a la adaptación de los anexos II a VII. De conformidad con el artículo 8, apartado 2, de dicho Reglamento, los poderes para adoptar los actos delegados se otorgan por un período de cinco años a partir del 23 de febrero de 2012. Dichos poderes se prorrogan tácitamente por períodos de cinco años, excepto si el Parlamento Europeo o el Consejo se oponen.</w:t>
      </w:r>
    </w:p>
    <w:p>
      <w:pPr>
        <w:spacing w:before="120" w:after="120" w:line="240" w:lineRule="auto"/>
        <w:ind w:left="850"/>
        <w:jc w:val="both"/>
        <w:rPr>
          <w:rFonts w:ascii="Times New Roman" w:hAnsi="Times New Roman"/>
          <w:noProof/>
          <w:sz w:val="24"/>
        </w:rPr>
      </w:pPr>
      <w:r>
        <w:rPr>
          <w:rFonts w:ascii="Times New Roman" w:hAnsi="Times New Roman"/>
          <w:noProof/>
          <w:sz w:val="24"/>
        </w:rPr>
        <w:t>En el ejercicio de estos poderes, la Comisión se asegurará de que sus actos delegados no supongan una carga administrativa adicional significativa para los Estados miembros ni para los encuestados.</w:t>
      </w:r>
    </w:p>
    <w:p>
      <w:pPr>
        <w:spacing w:before="120" w:after="120" w:line="240" w:lineRule="auto"/>
        <w:ind w:left="850"/>
        <w:jc w:val="both"/>
        <w:rPr>
          <w:rFonts w:ascii="Times New Roman" w:hAnsi="Times New Roman"/>
          <w:noProof/>
          <w:sz w:val="24"/>
        </w:rPr>
      </w:pPr>
      <w:r>
        <w:rPr>
          <w:rFonts w:ascii="Times New Roman" w:hAnsi="Times New Roman"/>
          <w:noProof/>
          <w:sz w:val="24"/>
        </w:rPr>
        <w:t>La Comisión debe elaborar un informe sobre la delegación de poderes a más tardar nueve meses antes de que finalice el período de cinco años.</w:t>
      </w:r>
    </w:p>
    <w:p>
      <w:pPr>
        <w:spacing w:before="120" w:after="120" w:line="240" w:lineRule="auto"/>
        <w:ind w:left="850"/>
        <w:jc w:val="both"/>
        <w:rPr>
          <w:rFonts w:ascii="Times New Roman" w:hAnsi="Times New Roman"/>
          <w:noProof/>
          <w:sz w:val="24"/>
        </w:rPr>
      </w:pPr>
      <w:r>
        <w:rPr>
          <w:rFonts w:ascii="Times New Roman" w:hAnsi="Times New Roman"/>
          <w:noProof/>
          <w:sz w:val="24"/>
        </w:rPr>
        <w:t>El presente informe responde a esa obligación.</w:t>
      </w:r>
    </w:p>
    <w:p>
      <w:pPr>
        <w:keepNext/>
        <w:numPr>
          <w:ilvl w:val="0"/>
          <w:numId w:val="1"/>
        </w:numPr>
        <w:shd w:val="clear" w:color="auto" w:fill="FFFFFF"/>
        <w:spacing w:before="360" w:after="120" w:line="240" w:lineRule="auto"/>
        <w:jc w:val="both"/>
        <w:outlineLvl w:val="0"/>
        <w:rPr>
          <w:rFonts w:ascii="Times New Roman" w:eastAsia="Times New Roman" w:hAnsi="Times New Roman"/>
          <w:b/>
          <w:bCs/>
          <w:smallCaps/>
          <w:noProof/>
          <w:sz w:val="24"/>
          <w:szCs w:val="28"/>
        </w:rPr>
      </w:pPr>
      <w:r>
        <w:rPr>
          <w:rFonts w:ascii="Times New Roman" w:hAnsi="Times New Roman"/>
          <w:b/>
          <w:smallCaps/>
          <w:noProof/>
          <w:sz w:val="24"/>
        </w:rPr>
        <w:t>Ejercicio por parte de la Comisión de los poderes delegados que le otorga el Reglamento (UE) n.º 70/2012</w:t>
      </w:r>
    </w:p>
    <w:p>
      <w:pPr>
        <w:spacing w:before="120" w:after="120" w:line="240" w:lineRule="auto"/>
        <w:ind w:left="850"/>
        <w:jc w:val="both"/>
        <w:rPr>
          <w:rFonts w:ascii="Times New Roman" w:hAnsi="Times New Roman"/>
          <w:noProof/>
          <w:sz w:val="24"/>
        </w:rPr>
      </w:pPr>
      <w:r>
        <w:rPr>
          <w:rFonts w:ascii="Times New Roman" w:hAnsi="Times New Roman"/>
          <w:noProof/>
          <w:sz w:val="24"/>
        </w:rPr>
        <w:t>La Comisión aún no ha hecho uso de los poderes para adoptar actos delegados que le otorga el Reglamento (UE) n.º 70/2012, ya que ni los avances económicos y técnicos en el ámbito del transporte de mercancías por carretera ni las conclusiones de los grupos de trabajo de la Comisión con los Estados miembros sobre las estadísticas del transporte de mercancías por carretera han planteado la necesidad de utilizar dichos poderes delegados.</w:t>
      </w:r>
    </w:p>
    <w:p>
      <w:pPr>
        <w:keepNext/>
        <w:numPr>
          <w:ilvl w:val="0"/>
          <w:numId w:val="1"/>
        </w:numPr>
        <w:shd w:val="clear" w:color="auto" w:fill="FFFFFF"/>
        <w:spacing w:before="360" w:after="120" w:line="240" w:lineRule="auto"/>
        <w:jc w:val="both"/>
        <w:outlineLvl w:val="0"/>
        <w:rPr>
          <w:rFonts w:ascii="Times New Roman" w:hAnsi="Times New Roman"/>
          <w:b/>
          <w:bCs/>
          <w:smallCaps/>
          <w:noProof/>
          <w:sz w:val="24"/>
          <w:szCs w:val="28"/>
        </w:rPr>
      </w:pPr>
      <w:r>
        <w:rPr>
          <w:rFonts w:ascii="Times New Roman" w:hAnsi="Times New Roman"/>
          <w:b/>
          <w:smallCaps/>
          <w:noProof/>
          <w:sz w:val="24"/>
        </w:rPr>
        <w:t>Conclusiones</w:t>
      </w:r>
    </w:p>
    <w:p>
      <w:pPr>
        <w:spacing w:before="120" w:after="120" w:line="240" w:lineRule="auto"/>
        <w:ind w:left="850"/>
        <w:jc w:val="both"/>
        <w:rPr>
          <w:rFonts w:ascii="Times New Roman" w:hAnsi="Times New Roman"/>
          <w:noProof/>
          <w:sz w:val="24"/>
        </w:rPr>
      </w:pPr>
      <w:r>
        <w:rPr>
          <w:rFonts w:ascii="Times New Roman" w:hAnsi="Times New Roman"/>
          <w:noProof/>
          <w:sz w:val="24"/>
        </w:rPr>
        <w:t>La Comisión aún no ha hecho uso de los poderes para adoptar actos delegados que le otorga el Reglamento (UE) n.º 70/2012.</w:t>
      </w:r>
    </w:p>
    <w:p>
      <w:pPr>
        <w:spacing w:before="120" w:after="120" w:line="240" w:lineRule="auto"/>
        <w:ind w:left="850"/>
        <w:jc w:val="both"/>
        <w:rPr>
          <w:rFonts w:ascii="Times New Roman" w:hAnsi="Times New Roman"/>
          <w:noProof/>
          <w:sz w:val="24"/>
        </w:rPr>
      </w:pPr>
      <w:r>
        <w:rPr>
          <w:rFonts w:ascii="Times New Roman" w:hAnsi="Times New Roman"/>
          <w:noProof/>
          <w:sz w:val="24"/>
        </w:rPr>
        <w:t>La Comisión trabaja continuamente para mejorar la calidad y puntualidad de la recopilación de datos, así como para adaptar la información recopilada y difundida a las nuevas necesidades de los usuarios y para tener en cuenta los cambios económicos o técnicos del campo.</w:t>
      </w:r>
    </w:p>
    <w:p>
      <w:pPr>
        <w:spacing w:before="120" w:after="120" w:line="240" w:lineRule="auto"/>
        <w:ind w:left="850"/>
        <w:jc w:val="both"/>
        <w:rPr>
          <w:rFonts w:ascii="Times New Roman" w:hAnsi="Times New Roman"/>
          <w:noProof/>
          <w:sz w:val="24"/>
          <w:szCs w:val="24"/>
        </w:rPr>
      </w:pPr>
      <w:r>
        <w:rPr>
          <w:rFonts w:ascii="Times New Roman" w:hAnsi="Times New Roman"/>
          <w:noProof/>
          <w:sz w:val="24"/>
        </w:rPr>
        <w:t>Todos estos aspectos se debaten en los grupos de expertos nacionales cada dos años y se someten a la aprobación del Grupo de Coordinación de Estadísticas de Transporte (GCET).</w:t>
      </w:r>
    </w:p>
    <w:p>
      <w:pPr>
        <w:spacing w:before="120" w:after="120" w:line="240" w:lineRule="auto"/>
        <w:ind w:left="850"/>
        <w:jc w:val="both"/>
        <w:rPr>
          <w:rFonts w:ascii="Times New Roman" w:hAnsi="Times New Roman"/>
          <w:noProof/>
          <w:sz w:val="24"/>
          <w:szCs w:val="24"/>
        </w:rPr>
      </w:pPr>
      <w:r>
        <w:rPr>
          <w:rFonts w:ascii="Times New Roman" w:hAnsi="Times New Roman"/>
          <w:noProof/>
          <w:sz w:val="24"/>
        </w:rPr>
        <w:t>Además, el Sistema Estadístico Europeo continuará desarrollando y produciendo las estadísticas necesarias: i) para la evaluación de los avances realizados en la consecución de los objetivos cuantitativos fijados en el Libro Blanco del Transporte sobre el volumen y el rendimiento de todos los modos de transporte; y ii) para las actividades de la Comisión Europea de modelización del transporte y la puesta en marcha de nuevas iniciativas, como la descarbonización del transporte.</w:t>
      </w:r>
    </w:p>
    <w:p>
      <w:pPr>
        <w:spacing w:before="120" w:after="120" w:line="240" w:lineRule="auto"/>
        <w:ind w:left="850"/>
        <w:jc w:val="both"/>
        <w:rPr>
          <w:rFonts w:ascii="Times New Roman" w:hAnsi="Times New Roman"/>
          <w:noProof/>
          <w:sz w:val="24"/>
          <w:szCs w:val="24"/>
        </w:rPr>
      </w:pPr>
      <w:r>
        <w:rPr>
          <w:rFonts w:ascii="Times New Roman" w:hAnsi="Times New Roman"/>
          <w:noProof/>
          <w:sz w:val="24"/>
        </w:rPr>
        <w:t>Cada vez que se decidan modificaciones técnicas de los anexos y se acuerden con el grupo de expertos, se utilizarán los poderes delegados otorgados a la Comisión por el Reglamento n.º 70/2012 para gestionarlas de forma eficiente y en el plazo oportuno.</w:t>
      </w:r>
    </w:p>
    <w:p>
      <w:pPr>
        <w:spacing w:before="120" w:after="120" w:line="240" w:lineRule="auto"/>
        <w:ind w:left="850"/>
        <w:jc w:val="both"/>
        <w:rPr>
          <w:noProof/>
        </w:rPr>
      </w:pPr>
      <w:r>
        <w:rPr>
          <w:rFonts w:ascii="Times New Roman" w:hAnsi="Times New Roman"/>
          <w:noProof/>
          <w:sz w:val="24"/>
        </w:rPr>
        <w:t>Por consiguiente, la Comisión considera que debe conservar los poderes delegados que le otorga el artículo 3, apartado 4, del Reglamento (UE) n.º 70/2012, ya que en el futuro podría ser preciso ejercerlos.</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908675B"/>
    <w:multiLevelType w:val="hybridMultilevel"/>
    <w:tmpl w:val="B844B15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revisionView w:markup="0"/>
  <w:doNotTrackMoves/>
  <w:defaultTabStop w:val="720"/>
  <w:hyphenationZone w:val="425"/>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FigNum" w:val="1"/>
    <w:docVar w:name="LW_ACCOMPAGNANT.CP" w:val="&lt;UNUSED&gt;"/>
    <w:docVar w:name="LW_CONFIDENCE" w:val=" "/>
    <w:docVar w:name="LW_CONST_RESTREINT_UE" w:val="RESTREINT UE"/>
    <w:docVar w:name="LW_CORRIGENDUM" w:val="&lt;UNUSED&gt;"/>
    <w:docVar w:name="LW_COVERPAGE_GUID" w:val="E5CD1545819248D6963F0F7E4CA549A2"/>
    <w:docVar w:name="LW_CROSSREFERENCE" w:val="&lt;UNUSED&gt;"/>
    <w:docVar w:name="LW_DATE.ADOPT.CP_ISODATE" w:val="&lt;EMPTY&gt;"/>
    <w:docVar w:name="LW_DocType" w:val="NORMAL"/>
    <w:docVar w:name="LW_EMISSION" w:val="12.9.2016"/>
    <w:docVar w:name="LW_EMISSION_ISODATE" w:val="2016-09-12"/>
    <w:docVar w:name="LW_EMISSION_LOCATION" w:val="BRX"/>
    <w:docVar w:name="LW_EMISSION_PREFIX" w:val="Bruselas, "/>
    <w:docVar w:name="LW_EMISSION_SUFFIX" w:val=" "/>
    <w:docVar w:name="LW_ID_DOCTYPE_NONLW" w:val="CP-006"/>
    <w:docVar w:name="LW_INTERETEEE.CP" w:val="&lt;UNUSED&gt;"/>
    <w:docVar w:name="LW_LANGUE" w:val="ES"/>
    <w:docVar w:name="LW_LANGUESFAISANTFOI.CP" w:val="&lt;UNUSED&gt;"/>
    <w:docVar w:name="LW_MARKING" w:val="&lt;UNUSED&gt;"/>
    <w:docVar w:name="LW_NOM.INST" w:val="COMISIÓN EUROPEA"/>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562"/>
    <w:docVar w:name="LW_REF.INTERNE" w:val="&lt;UNUSED&gt;"/>
    <w:docVar w:name="LW_SOUS.TITRE.OBJ.CP" w:val="&lt;UNUSED&gt;"/>
    <w:docVar w:name="LW_SUPERTITRE" w:val="&lt;UNUSED&gt;"/>
    <w:docVar w:name="LW_TITRE.OBJ.CP" w:val="sobre el ejercicio de los poderes para adoptar actos delegados que otorga a la Comisión el Reglamento (UE) n.º 70/2012, de 18 de enero de 2012, sobre la relación estadística de los transportes de mercancías por carretera"/>
    <w:docVar w:name="LW_TYPE.DOC.CP" w:val="INFORME DE LA COMISIÓN AL PARLAMENTO EUROPEO Y AL CONSEJO"/>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pPr>
      <w:keepNext/>
      <w:tabs>
        <w:tab w:val="num" w:pos="850"/>
      </w:tabs>
      <w:spacing w:before="120" w:after="120" w:line="240" w:lineRule="auto"/>
      <w:ind w:left="850" w:hanging="850"/>
      <w:jc w:val="both"/>
      <w:outlineLvl w:val="3"/>
    </w:pPr>
    <w:rPr>
      <w:rFonts w:ascii="Times New Roman" w:eastAsia="Times New Roman"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rPr>
      <w:rFonts w:ascii="Cambria" w:eastAsia="Times New Roman" w:hAnsi="Cambria" w:cs="Times New Roman"/>
      <w:b/>
      <w:bCs/>
      <w:color w:val="4F81BD"/>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rPr>
      <w:rFonts w:ascii="Calibri" w:hAnsi="Calibri"/>
      <w:sz w:val="20"/>
      <w:szCs w:val="20"/>
    </w:rPr>
  </w:style>
  <w:style w:type="character" w:customStyle="1" w:styleId="Heading4Char">
    <w:name w:val="Heading 4 Char"/>
    <w:link w:val="Heading4"/>
    <w:uiPriority w:val="9"/>
    <w:semiHidden/>
    <w:rPr>
      <w:rFonts w:ascii="Times New Roman" w:eastAsia="Times New Roman" w:hAnsi="Times New Roman" w:cs="Times New Roman"/>
      <w:bCs/>
      <w:iCs/>
      <w:sz w:val="24"/>
      <w:lang w:eastAsia="es-ES"/>
    </w:rPr>
  </w:style>
  <w:style w:type="character" w:styleId="FootnoteReference">
    <w:name w:val="footnote reference"/>
    <w:uiPriority w:val="99"/>
    <w:unhideWhenUsed/>
    <w:rPr>
      <w:shd w:val="clear" w:color="auto" w:fill="auto"/>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hAnsi="Calibri"/>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hAnsi="Calibri"/>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rPr>
  </w:style>
  <w:style w:type="character" w:customStyle="1" w:styleId="FooterCoverPageChar">
    <w:name w:val="Footer Cover Page Char"/>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rPr>
  </w:style>
  <w:style w:type="character" w:customStyle="1" w:styleId="HeaderCoverPageChar">
    <w:name w:val="Header Cover Page Char"/>
    <w:link w:val="HeaderCoverPage"/>
    <w:rPr>
      <w:rFonts w:ascii="Times New Roman" w:hAnsi="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rFonts w:ascii="Calibri" w:hAnsi="Calibri"/>
      <w:sz w:val="20"/>
      <w:szCs w:val="20"/>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line="276" w:lineRule="auto"/>
    </w:pPr>
    <w:rPr>
      <w:b/>
      <w:bCs/>
    </w:rPr>
  </w:style>
  <w:style w:type="character" w:customStyle="1" w:styleId="CommentSubjectChar">
    <w:name w:val="Comment Subject Char"/>
    <w:link w:val="CommentSubject"/>
    <w:uiPriority w:val="99"/>
    <w:semiHidden/>
    <w:rPr>
      <w:rFonts w:ascii="Calibri" w:hAnsi="Calibri"/>
      <w:b/>
      <w:bCs/>
      <w:sz w:val="20"/>
      <w:szCs w:val="20"/>
      <w:lang w:eastAsia="es-ES"/>
    </w:rPr>
  </w:style>
  <w:style w:type="paragraph" w:styleId="Revision">
    <w:name w:val="Revision"/>
    <w:hidden/>
    <w:uiPriority w:val="99"/>
    <w:semiHidden/>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929">
      <w:bodyDiv w:val="1"/>
      <w:marLeft w:val="0"/>
      <w:marRight w:val="0"/>
      <w:marTop w:val="0"/>
      <w:marBottom w:val="0"/>
      <w:divBdr>
        <w:top w:val="none" w:sz="0" w:space="0" w:color="auto"/>
        <w:left w:val="none" w:sz="0" w:space="0" w:color="auto"/>
        <w:bottom w:val="none" w:sz="0" w:space="0" w:color="auto"/>
        <w:right w:val="none" w:sz="0" w:space="0" w:color="auto"/>
      </w:divBdr>
    </w:div>
    <w:div w:id="381027463">
      <w:bodyDiv w:val="1"/>
      <w:marLeft w:val="0"/>
      <w:marRight w:val="0"/>
      <w:marTop w:val="0"/>
      <w:marBottom w:val="0"/>
      <w:divBdr>
        <w:top w:val="none" w:sz="0" w:space="0" w:color="auto"/>
        <w:left w:val="none" w:sz="0" w:space="0" w:color="auto"/>
        <w:bottom w:val="none" w:sz="0" w:space="0" w:color="auto"/>
        <w:right w:val="none" w:sz="0" w:space="0" w:color="auto"/>
      </w:divBdr>
    </w:div>
    <w:div w:id="824393390">
      <w:bodyDiv w:val="1"/>
      <w:marLeft w:val="0"/>
      <w:marRight w:val="0"/>
      <w:marTop w:val="0"/>
      <w:marBottom w:val="0"/>
      <w:divBdr>
        <w:top w:val="none" w:sz="0" w:space="0" w:color="auto"/>
        <w:left w:val="none" w:sz="0" w:space="0" w:color="auto"/>
        <w:bottom w:val="none" w:sz="0" w:space="0" w:color="auto"/>
        <w:right w:val="none" w:sz="0" w:space="0" w:color="auto"/>
      </w:divBdr>
    </w:div>
    <w:div w:id="187973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C016A-E685-4617-8839-2D9A8271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618</Words>
  <Characters>3137</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17</cp:revision>
  <dcterms:created xsi:type="dcterms:W3CDTF">2016-08-05T10:20:00Z</dcterms:created>
  <dcterms:modified xsi:type="dcterms:W3CDTF">2016-09-05T14:37:00Z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