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C9" w:rsidRDefault="001C42C9" w:rsidP="001C42C9">
      <w:pPr>
        <w:pStyle w:val="Pagedecouverture"/>
      </w:pPr>
      <w:bookmarkStart w:id="0" w:name="L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F3072501050449D94F65CF1FD24056D" style="width:450.75pt;height:321pt">
            <v:imagedata r:id="rId9" o:title=""/>
          </v:shape>
        </w:pict>
      </w:r>
      <w:bookmarkEnd w:id="0"/>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Pr>
        <w:pStyle w:val="Pagedecouverture"/>
      </w:pPr>
    </w:p>
    <w:p w:rsidR="001C42C9" w:rsidRDefault="001C42C9" w:rsidP="001C42C9"/>
    <w:p w:rsidR="001C42C9" w:rsidRPr="001C42C9" w:rsidRDefault="001C42C9" w:rsidP="001C42C9"/>
    <w:p w:rsidR="001C42C9" w:rsidRDefault="001C42C9" w:rsidP="001C42C9">
      <w:pPr>
        <w:pStyle w:val="Pagedecouverture"/>
      </w:pPr>
    </w:p>
    <w:p w:rsidR="001C42C9" w:rsidRDefault="001C42C9" w:rsidP="001C42C9">
      <w:pPr>
        <w:pStyle w:val="Pagedecouverture"/>
      </w:pPr>
    </w:p>
    <w:p w:rsidR="004E189F" w:rsidRDefault="004E189F" w:rsidP="001C42C9">
      <w:pPr>
        <w:pStyle w:val="Pagedecouverture"/>
      </w:pPr>
      <w:r>
        <w:t>* Esta denominación se entiende sin perjuicio de las posiciones sobre su estatuto, y está en consonancia con la Resolución 1244 (1999) del Consejo de Seguridad de las Naciones Unidas y con la Opinión de la Corte Internacional de Justicia sobre la declaración de independencia de Kosovo.</w:t>
      </w:r>
    </w:p>
    <w:p w:rsidR="004E189F" w:rsidRDefault="004E189F" w:rsidP="004E189F"/>
    <w:p w:rsidR="004E189F" w:rsidRDefault="004E189F" w:rsidP="004E189F">
      <w:pPr>
        <w:sectPr w:rsidR="004E189F" w:rsidSect="00882C5F">
          <w:footerReference w:type="default" r:id="rId10"/>
          <w:footnotePr>
            <w:numFmt w:val="chicago"/>
          </w:footnotePr>
          <w:pgSz w:w="11906" w:h="16838"/>
          <w:pgMar w:top="1134" w:right="1417" w:bottom="1134" w:left="1417" w:header="709" w:footer="709" w:gutter="0"/>
          <w:pgNumType w:start="1"/>
          <w:cols w:space="720"/>
          <w:docGrid w:linePitch="360"/>
        </w:sectPr>
      </w:pPr>
    </w:p>
    <w:p w:rsidR="00726623" w:rsidRPr="00726623" w:rsidRDefault="00726623" w:rsidP="00726623"/>
    <w:p w:rsidR="00DB07D8" w:rsidRPr="00641057" w:rsidRDefault="00DB07D8" w:rsidP="00F26F09">
      <w:pPr>
        <w:spacing w:after="0" w:line="240" w:lineRule="auto"/>
        <w:rPr>
          <w:rFonts w:ascii="Times New Roman" w:hAnsi="Times New Roman"/>
          <w:b/>
          <w:bCs/>
          <w:sz w:val="24"/>
          <w:szCs w:val="24"/>
        </w:rPr>
      </w:pPr>
      <w:r>
        <w:rPr>
          <w:rFonts w:ascii="Times New Roman" w:hAnsi="Times New Roman"/>
          <w:b/>
          <w:sz w:val="24"/>
        </w:rPr>
        <w:t>1. INTRODUCCIÓN</w:t>
      </w:r>
    </w:p>
    <w:p w:rsidR="00DB07D8" w:rsidRDefault="006C1C44" w:rsidP="00D964E0">
      <w:pPr>
        <w:spacing w:after="240" w:line="240" w:lineRule="auto"/>
        <w:jc w:val="both"/>
        <w:rPr>
          <w:rFonts w:ascii="Times New Roman" w:hAnsi="Times New Roman"/>
          <w:sz w:val="24"/>
          <w:szCs w:val="24"/>
        </w:rPr>
      </w:pPr>
      <w:r>
        <w:rPr>
          <w:rFonts w:ascii="Times New Roman" w:hAnsi="Times New Roman"/>
          <w:sz w:val="24"/>
          <w:szCs w:val="24"/>
        </w:rPr>
        <w:br/>
      </w:r>
      <w:r>
        <w:rPr>
          <w:rFonts w:ascii="Times New Roman" w:hAnsi="Times New Roman"/>
          <w:sz w:val="24"/>
        </w:rPr>
        <w:t>El 19 de enero de 2012, la Comisión Europea puso en marcha un diálogo</w:t>
      </w:r>
      <w:r w:rsidR="00E77CCC">
        <w:rPr>
          <w:rFonts w:ascii="Times New Roman" w:hAnsi="Times New Roman"/>
          <w:sz w:val="24"/>
        </w:rPr>
        <w:t xml:space="preserve"> con Kosovo</w:t>
      </w:r>
      <w:r>
        <w:rPr>
          <w:rFonts w:ascii="Times New Roman" w:hAnsi="Times New Roman"/>
          <w:sz w:val="24"/>
        </w:rPr>
        <w:t xml:space="preserve"> sobre la liberalización del régimen de visados. Asimismo, el 14 de junio de 2012 entregó a Kosovo una hoja de ruta en la que se señalaba toda la legislación y las demás medidas que Kosovo necesitaba adoptar y aplicar para avanzar hacia la liberalización del régimen de visados. </w:t>
      </w:r>
    </w:p>
    <w:p w:rsidR="00DB07D8" w:rsidRDefault="00380EB0" w:rsidP="002D58DB">
      <w:pPr>
        <w:spacing w:after="240" w:line="240" w:lineRule="auto"/>
        <w:jc w:val="both"/>
        <w:rPr>
          <w:rFonts w:ascii="Times New Roman" w:hAnsi="Times New Roman"/>
          <w:sz w:val="24"/>
          <w:szCs w:val="24"/>
        </w:rPr>
      </w:pPr>
      <w:r>
        <w:rPr>
          <w:rFonts w:ascii="Times New Roman" w:hAnsi="Times New Roman"/>
          <w:sz w:val="24"/>
        </w:rPr>
        <w:t>La Comisión adoptó tres informes previos sobre el progreso de Kosovo en el diálogo en materia de visados: el primero, el 8 de febrero de 2013</w:t>
      </w:r>
      <w:r>
        <w:rPr>
          <w:rFonts w:ascii="Times New Roman" w:hAnsi="Times New Roman"/>
          <w:sz w:val="24"/>
          <w:vertAlign w:val="superscript"/>
        </w:rPr>
        <w:footnoteReference w:id="2"/>
      </w:r>
      <w:r>
        <w:rPr>
          <w:rFonts w:ascii="Times New Roman" w:hAnsi="Times New Roman"/>
          <w:sz w:val="24"/>
        </w:rPr>
        <w:t>; el segundo, el 24 de julio de 2014</w:t>
      </w:r>
      <w:r>
        <w:rPr>
          <w:rStyle w:val="FootnoteReference"/>
          <w:rFonts w:ascii="Times New Roman" w:hAnsi="Times New Roman"/>
          <w:sz w:val="24"/>
        </w:rPr>
        <w:footnoteReference w:id="3"/>
      </w:r>
      <w:r>
        <w:t>;</w:t>
      </w:r>
      <w:r>
        <w:rPr>
          <w:rFonts w:ascii="Times New Roman" w:hAnsi="Times New Roman"/>
          <w:sz w:val="24"/>
        </w:rPr>
        <w:t xml:space="preserve"> el tercero, el 18 de diciembre de 2015</w:t>
      </w:r>
      <w:r>
        <w:rPr>
          <w:rStyle w:val="FootnoteReference"/>
          <w:rFonts w:ascii="Times New Roman" w:hAnsi="Times New Roman"/>
          <w:sz w:val="24"/>
        </w:rPr>
        <w:footnoteReference w:id="4"/>
      </w:r>
      <w:r w:rsidR="00E77CCC">
        <w:t>.</w:t>
      </w:r>
      <w:r>
        <w:rPr>
          <w:rFonts w:ascii="Times New Roman" w:hAnsi="Times New Roman"/>
          <w:sz w:val="24"/>
        </w:rPr>
        <w:t xml:space="preserve"> Estos informes contenían una evaluación de los progresos realizados por Kosovo, recomendaciones dirigidas a sus autoridades, y datos estadísticos sobre las repercusiones potenciales de la liberalización del régimen de visados sobre la seguridad y la migración.</w:t>
      </w:r>
    </w:p>
    <w:p w:rsidR="002D58DB" w:rsidRPr="002D58DB" w:rsidRDefault="002D58DB" w:rsidP="002D58DB">
      <w:pPr>
        <w:spacing w:line="240" w:lineRule="auto"/>
        <w:jc w:val="both"/>
        <w:rPr>
          <w:rFonts w:ascii="Times New Roman" w:hAnsi="Times New Roman"/>
          <w:sz w:val="24"/>
          <w:szCs w:val="24"/>
        </w:rPr>
      </w:pPr>
      <w:r>
        <w:rPr>
          <w:rFonts w:ascii="Times New Roman" w:hAnsi="Times New Roman"/>
          <w:sz w:val="24"/>
        </w:rPr>
        <w:t xml:space="preserve">En su tercer informe, la Comisión formuló ocho recomendaciones correspondientes a ocho requisitos pendientes de cumplimiento de la hoja de ruta en materia de visados, incluidas cuatro prioridades clave. Asimismo, señaló que uno de los requisitos, la ratificación del Acuerdo de delimitación de fronteras/líneas divisorias con Montenegro, deberá cumplirse antes de que Kosovo sea transferido a la lista de países a los que se aplica la exención de visado. </w:t>
      </w:r>
    </w:p>
    <w:p w:rsidR="00DB07D8" w:rsidRPr="00641057" w:rsidRDefault="002D58DB" w:rsidP="00D964E0">
      <w:pPr>
        <w:spacing w:after="240" w:line="240" w:lineRule="auto"/>
        <w:jc w:val="both"/>
        <w:rPr>
          <w:rFonts w:ascii="Times New Roman" w:hAnsi="Times New Roman"/>
          <w:sz w:val="24"/>
          <w:szCs w:val="24"/>
        </w:rPr>
      </w:pPr>
      <w:r>
        <w:rPr>
          <w:rFonts w:ascii="Times New Roman" w:hAnsi="Times New Roman"/>
          <w:sz w:val="24"/>
        </w:rPr>
        <w:t>Sobre la base de los resultados de la misión de evaluación técnica llevada a cabo en Kosovo del 17 y 18 de marzo de 2016, el presente informe presenta la valoración por parte de la Comisión de los progresos realizados por Kosovo en el cumplimiento de los ocho requisitos pendientes de la hoja de ruta en materia de visados.</w:t>
      </w:r>
    </w:p>
    <w:p w:rsidR="00DB07D8" w:rsidRPr="00641057" w:rsidRDefault="00F90CA2" w:rsidP="00D964E0">
      <w:pPr>
        <w:spacing w:after="240" w:line="240" w:lineRule="auto"/>
        <w:jc w:val="both"/>
        <w:rPr>
          <w:rFonts w:ascii="Times New Roman" w:hAnsi="Times New Roman"/>
          <w:sz w:val="24"/>
          <w:szCs w:val="24"/>
        </w:rPr>
      </w:pPr>
      <w:r>
        <w:rPr>
          <w:rFonts w:ascii="Times New Roman" w:hAnsi="Times New Roman"/>
          <w:sz w:val="24"/>
        </w:rPr>
        <w:t xml:space="preserve">Ha sido elaborado a partir de documentos presentados por Kosovo, informes redactados por los expertos de los Estados miembros que participaron en la misión de evaluación de los días 17 y 18 de marzo de 2016, información facilitada por </w:t>
      </w:r>
      <w:proofErr w:type="spellStart"/>
      <w:r>
        <w:rPr>
          <w:rFonts w:ascii="Times New Roman" w:hAnsi="Times New Roman"/>
          <w:sz w:val="24"/>
        </w:rPr>
        <w:t>Europol</w:t>
      </w:r>
      <w:proofErr w:type="spellEnd"/>
      <w:r>
        <w:rPr>
          <w:rFonts w:ascii="Times New Roman" w:hAnsi="Times New Roman"/>
          <w:sz w:val="24"/>
        </w:rPr>
        <w:t xml:space="preserve">, </w:t>
      </w:r>
      <w:proofErr w:type="spellStart"/>
      <w:r>
        <w:rPr>
          <w:rFonts w:ascii="Times New Roman" w:hAnsi="Times New Roman"/>
          <w:sz w:val="24"/>
        </w:rPr>
        <w:t>Frontex</w:t>
      </w:r>
      <w:proofErr w:type="spellEnd"/>
      <w:r>
        <w:rPr>
          <w:rFonts w:ascii="Times New Roman" w:hAnsi="Times New Roman"/>
          <w:sz w:val="24"/>
        </w:rPr>
        <w:t xml:space="preserve">, la OEAA y la EULEX, y datos estadísticos recogidos por </w:t>
      </w:r>
      <w:proofErr w:type="spellStart"/>
      <w:r>
        <w:rPr>
          <w:rFonts w:ascii="Times New Roman" w:hAnsi="Times New Roman"/>
          <w:sz w:val="24"/>
        </w:rPr>
        <w:t>Eurostat</w:t>
      </w:r>
      <w:proofErr w:type="spellEnd"/>
      <w:r>
        <w:rPr>
          <w:rFonts w:ascii="Times New Roman" w:hAnsi="Times New Roman"/>
          <w:sz w:val="24"/>
        </w:rPr>
        <w:t xml:space="preserve"> y facilitados por los Estados miembros. </w:t>
      </w:r>
    </w:p>
    <w:p w:rsidR="00C35B0F" w:rsidRDefault="00C35B0F" w:rsidP="00D964E0">
      <w:pPr>
        <w:spacing w:after="240" w:line="240" w:lineRule="auto"/>
        <w:jc w:val="both"/>
        <w:rPr>
          <w:rFonts w:ascii="Times New Roman" w:hAnsi="Times New Roman"/>
          <w:sz w:val="24"/>
          <w:szCs w:val="24"/>
        </w:rPr>
      </w:pPr>
      <w:r>
        <w:rPr>
          <w:rFonts w:ascii="Times New Roman" w:hAnsi="Times New Roman"/>
          <w:sz w:val="24"/>
        </w:rPr>
        <w:t>La evaluación de las repercusiones en materia de migración y seguridad de la liberalización del régimen de visados aplicable a Kosovo, así como el conjunto de medidas que Kosovo ha puesto en práctica desde diciembre de 2015 para evitar una crisis de migración irregular, se exponen en el documento de trabajo adjunto</w:t>
      </w:r>
      <w:r>
        <w:rPr>
          <w:rStyle w:val="FootnoteReference"/>
          <w:rFonts w:ascii="Times New Roman" w:hAnsi="Times New Roman"/>
          <w:sz w:val="24"/>
        </w:rPr>
        <w:footnoteReference w:id="5"/>
      </w:r>
      <w:r>
        <w:rPr>
          <w:rFonts w:ascii="Times New Roman" w:hAnsi="Times New Roman"/>
          <w:sz w:val="24"/>
        </w:rPr>
        <w:t>.</w:t>
      </w:r>
    </w:p>
    <w:p w:rsidR="00DB07D8" w:rsidRPr="00641057" w:rsidRDefault="00DB07D8" w:rsidP="00D964E0">
      <w:pPr>
        <w:spacing w:after="240" w:line="240" w:lineRule="auto"/>
        <w:jc w:val="both"/>
        <w:rPr>
          <w:rFonts w:ascii="Times New Roman" w:hAnsi="Times New Roman"/>
          <w:sz w:val="24"/>
          <w:szCs w:val="24"/>
        </w:rPr>
      </w:pPr>
      <w:r>
        <w:rPr>
          <w:rFonts w:ascii="Times New Roman" w:hAnsi="Times New Roman"/>
          <w:sz w:val="24"/>
        </w:rPr>
        <w:t>El diálogo sobre visados se desarrolla sin perjuicio de la posición de los Estados miembros de la UE con respecto al estatuto de Kosovo.</w:t>
      </w:r>
    </w:p>
    <w:p w:rsidR="00DB07D8" w:rsidRPr="00641057" w:rsidRDefault="00737E4B" w:rsidP="00726623">
      <w:pPr>
        <w:keepNext/>
        <w:spacing w:after="240" w:line="240" w:lineRule="auto"/>
        <w:jc w:val="both"/>
        <w:rPr>
          <w:rFonts w:ascii="Times New Roman" w:hAnsi="Times New Roman"/>
          <w:b/>
          <w:sz w:val="24"/>
          <w:szCs w:val="24"/>
        </w:rPr>
      </w:pPr>
      <w:r>
        <w:br w:type="page"/>
      </w:r>
      <w:r>
        <w:rPr>
          <w:rFonts w:ascii="Times New Roman" w:hAnsi="Times New Roman"/>
          <w:b/>
          <w:sz w:val="24"/>
        </w:rPr>
        <w:lastRenderedPageBreak/>
        <w:t>2. REQUISITOS RELATIVOS A LA READMISIÓN Y REINTEGRACIÓN</w:t>
      </w:r>
    </w:p>
    <w:p w:rsidR="00DB07D8" w:rsidRPr="005A421C" w:rsidRDefault="00DB07D8"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2.1. Readmisión</w:t>
      </w:r>
    </w:p>
    <w:p w:rsidR="00CB7923" w:rsidRPr="00641057" w:rsidRDefault="00CB7923" w:rsidP="00D964E0">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siete requisitos</w:t>
      </w:r>
      <w:r>
        <w:rPr>
          <w:rFonts w:ascii="Times New Roman" w:hAnsi="Times New Roman"/>
          <w:sz w:val="24"/>
        </w:rPr>
        <w:t xml:space="preserve"> en materia de readmisión. El tercer informe de la Comisión no mencionó ningún requisito pendiente de cumplimiento en este ámbito.</w:t>
      </w:r>
    </w:p>
    <w:p w:rsidR="00DB07D8" w:rsidRPr="005A421C" w:rsidRDefault="00DB07D8"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2.2. Reintegración</w:t>
      </w:r>
    </w:p>
    <w:p w:rsidR="0070264B" w:rsidRPr="00641057" w:rsidRDefault="0070264B" w:rsidP="00D964E0">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tres requisitos</w:t>
      </w:r>
      <w:r>
        <w:rPr>
          <w:rFonts w:ascii="Times New Roman" w:hAnsi="Times New Roman"/>
          <w:sz w:val="24"/>
        </w:rPr>
        <w:t xml:space="preserve"> en materia de reintegración.</w:t>
      </w:r>
    </w:p>
    <w:p w:rsidR="001731D1" w:rsidRPr="00641057" w:rsidRDefault="001731D1" w:rsidP="00D964E0">
      <w:pPr>
        <w:pStyle w:val="Default"/>
        <w:spacing w:after="240"/>
        <w:jc w:val="both"/>
      </w:pPr>
      <w:r>
        <w:t xml:space="preserve">En el tercer informe de la Comisión se observó que el fondo de reintegración debe ser enteramente desembolsado, poniéndose énfasis en la ayuda en materia de empleo, la creación de pequeñas empresas, la formación profesional y las clases de lengua para los niños. </w:t>
      </w:r>
    </w:p>
    <w:p w:rsidR="00B22696" w:rsidRPr="00641057" w:rsidRDefault="00B22696" w:rsidP="00D964E0">
      <w:pPr>
        <w:pStyle w:val="Default"/>
        <w:spacing w:after="240"/>
        <w:jc w:val="both"/>
      </w:pPr>
      <w:r>
        <w:t>El 9 de marzo de 2016, Kosovo adoptó una normativa de reintegración que permitía obtener apoyo para establecerse como autónomo y crear empresas para todos los repatriados independientemente de la fecha en que hubiesen partido de Kosovo</w:t>
      </w:r>
      <w:r>
        <w:rPr>
          <w:rStyle w:val="FootnoteReference"/>
        </w:rPr>
        <w:footnoteReference w:id="6"/>
      </w:r>
      <w:r>
        <w:t>. Los repatriados vulnerables tendrán acceso a toda la gama de servicios de reintegración independientemente de la fecha en que hubiesen partido de Kosovo.</w:t>
      </w:r>
    </w:p>
    <w:p w:rsidR="00955724" w:rsidRPr="00641057" w:rsidRDefault="001D3B6B" w:rsidP="00D964E0">
      <w:pPr>
        <w:pStyle w:val="Default"/>
        <w:spacing w:after="240"/>
        <w:jc w:val="both"/>
      </w:pPr>
      <w:r>
        <w:t xml:space="preserve">En el primer trimestre de 2016, 704 repatriados se beneficiaron de los servicios de reintegración duradera. Las cantidades correspondientes a 2015 y 2014 son, respectivamente, de 336 y 628 repatriados durante todo el año (véase el Gráfico 1). </w:t>
      </w:r>
    </w:p>
    <w:p w:rsidR="00C0602B" w:rsidRPr="00641057" w:rsidRDefault="00C0602B" w:rsidP="00726623">
      <w:pPr>
        <w:keepNext/>
        <w:spacing w:after="240" w:line="240" w:lineRule="auto"/>
        <w:jc w:val="center"/>
        <w:rPr>
          <w:rFonts w:ascii="Times New Roman" w:hAnsi="Times New Roman"/>
          <w:b/>
          <w:sz w:val="24"/>
          <w:szCs w:val="24"/>
        </w:rPr>
      </w:pPr>
      <w:r>
        <w:rPr>
          <w:rFonts w:ascii="Times New Roman" w:hAnsi="Times New Roman"/>
          <w:b/>
          <w:sz w:val="24"/>
        </w:rPr>
        <w:t>Gráfico 1: Beneficiarios de los servicios de reintegración duradera</w:t>
      </w:r>
    </w:p>
    <w:tbl>
      <w:tblPr>
        <w:tblW w:w="9108" w:type="dxa"/>
        <w:tblBorders>
          <w:top w:val="single" w:sz="4" w:space="0" w:color="auto"/>
          <w:bottom w:val="single" w:sz="4" w:space="0" w:color="auto"/>
          <w:insideH w:val="single" w:sz="4" w:space="0" w:color="auto"/>
        </w:tblBorders>
        <w:tblLook w:val="04A0" w:firstRow="1" w:lastRow="0" w:firstColumn="1" w:lastColumn="0" w:noHBand="0" w:noVBand="1"/>
      </w:tblPr>
      <w:tblGrid>
        <w:gridCol w:w="4786"/>
        <w:gridCol w:w="1418"/>
        <w:gridCol w:w="1224"/>
        <w:gridCol w:w="1680"/>
      </w:tblGrid>
      <w:tr w:rsidR="000855A8" w:rsidRPr="00641057" w:rsidTr="00EF36A6">
        <w:tc>
          <w:tcPr>
            <w:tcW w:w="4786" w:type="dxa"/>
            <w:tcBorders>
              <w:top w:val="double" w:sz="4" w:space="0" w:color="auto"/>
              <w:bottom w:val="double" w:sz="4" w:space="0" w:color="auto"/>
            </w:tcBorders>
          </w:tcPr>
          <w:p w:rsidR="000855A8" w:rsidRPr="00641057" w:rsidRDefault="000855A8" w:rsidP="00D964E0">
            <w:pPr>
              <w:spacing w:before="120" w:after="120" w:line="240" w:lineRule="auto"/>
              <w:jc w:val="both"/>
              <w:rPr>
                <w:rFonts w:ascii="Times New Roman" w:hAnsi="Times New Roman"/>
                <w:b/>
                <w:sz w:val="24"/>
                <w:szCs w:val="24"/>
              </w:rPr>
            </w:pPr>
            <w:r>
              <w:rPr>
                <w:rFonts w:ascii="Times New Roman" w:hAnsi="Times New Roman"/>
                <w:b/>
                <w:sz w:val="24"/>
              </w:rPr>
              <w:t>Tipo de servicio de reintegración duradera</w:t>
            </w:r>
          </w:p>
        </w:tc>
        <w:tc>
          <w:tcPr>
            <w:tcW w:w="1418" w:type="dxa"/>
            <w:tcBorders>
              <w:top w:val="double" w:sz="4" w:space="0" w:color="auto"/>
              <w:bottom w:val="double" w:sz="4" w:space="0" w:color="auto"/>
            </w:tcBorders>
            <w:vAlign w:val="center"/>
          </w:tcPr>
          <w:p w:rsidR="000855A8" w:rsidRPr="00641057" w:rsidRDefault="000855A8" w:rsidP="00EF36A6">
            <w:pPr>
              <w:spacing w:before="120" w:after="120" w:line="240" w:lineRule="auto"/>
              <w:ind w:left="-43" w:firstLine="43"/>
              <w:jc w:val="center"/>
              <w:rPr>
                <w:rFonts w:ascii="Times New Roman" w:hAnsi="Times New Roman"/>
                <w:b/>
                <w:sz w:val="24"/>
                <w:szCs w:val="24"/>
              </w:rPr>
            </w:pPr>
            <w:r>
              <w:rPr>
                <w:rFonts w:ascii="Times New Roman" w:hAnsi="Times New Roman"/>
                <w:b/>
                <w:sz w:val="24"/>
              </w:rPr>
              <w:t>2014</w:t>
            </w:r>
          </w:p>
        </w:tc>
        <w:tc>
          <w:tcPr>
            <w:tcW w:w="1224" w:type="dxa"/>
            <w:tcBorders>
              <w:top w:val="double" w:sz="4" w:space="0" w:color="auto"/>
              <w:bottom w:val="double" w:sz="4" w:space="0" w:color="auto"/>
            </w:tcBorders>
            <w:vAlign w:val="center"/>
          </w:tcPr>
          <w:p w:rsidR="000855A8" w:rsidRPr="00641057" w:rsidRDefault="000855A8" w:rsidP="00EF36A6">
            <w:pPr>
              <w:spacing w:before="120" w:after="120" w:line="240" w:lineRule="auto"/>
              <w:ind w:left="-84" w:right="132" w:hanging="41"/>
              <w:jc w:val="center"/>
              <w:rPr>
                <w:rFonts w:ascii="Times New Roman" w:hAnsi="Times New Roman"/>
                <w:b/>
                <w:sz w:val="24"/>
                <w:szCs w:val="24"/>
              </w:rPr>
            </w:pPr>
            <w:r>
              <w:rPr>
                <w:rFonts w:ascii="Times New Roman" w:hAnsi="Times New Roman"/>
                <w:b/>
                <w:sz w:val="24"/>
              </w:rPr>
              <w:t>2015</w:t>
            </w:r>
          </w:p>
        </w:tc>
        <w:tc>
          <w:tcPr>
            <w:tcW w:w="1680" w:type="dxa"/>
            <w:tcBorders>
              <w:top w:val="double" w:sz="4" w:space="0" w:color="auto"/>
              <w:bottom w:val="double" w:sz="4" w:space="0" w:color="auto"/>
            </w:tcBorders>
            <w:vAlign w:val="center"/>
          </w:tcPr>
          <w:p w:rsidR="000855A8" w:rsidRPr="00641057" w:rsidDel="00657336" w:rsidRDefault="000855A8" w:rsidP="00EF36A6">
            <w:pPr>
              <w:spacing w:before="120" w:after="120" w:line="240" w:lineRule="auto"/>
              <w:ind w:left="-43" w:firstLine="43"/>
              <w:jc w:val="center"/>
              <w:rPr>
                <w:rFonts w:ascii="Times New Roman" w:hAnsi="Times New Roman"/>
                <w:b/>
                <w:sz w:val="24"/>
                <w:szCs w:val="24"/>
              </w:rPr>
            </w:pPr>
            <w:r>
              <w:rPr>
                <w:rFonts w:ascii="Times New Roman" w:hAnsi="Times New Roman"/>
                <w:b/>
                <w:sz w:val="24"/>
              </w:rPr>
              <w:t>Primer trimestre 2016</w:t>
            </w:r>
          </w:p>
        </w:tc>
      </w:tr>
      <w:tr w:rsidR="000855A8" w:rsidRPr="00641057" w:rsidTr="00EF36A6">
        <w:tc>
          <w:tcPr>
            <w:tcW w:w="4786" w:type="dxa"/>
            <w:tcBorders>
              <w:top w:val="double" w:sz="4" w:space="0" w:color="auto"/>
            </w:tcBorders>
          </w:tcPr>
          <w:p w:rsidR="000855A8" w:rsidRPr="00641057" w:rsidRDefault="000855A8" w:rsidP="00D964E0">
            <w:pPr>
              <w:spacing w:after="0" w:line="240" w:lineRule="auto"/>
              <w:jc w:val="both"/>
              <w:rPr>
                <w:rFonts w:ascii="Times New Roman" w:hAnsi="Times New Roman"/>
                <w:sz w:val="24"/>
                <w:szCs w:val="24"/>
              </w:rPr>
            </w:pPr>
            <w:r>
              <w:rPr>
                <w:rFonts w:ascii="Times New Roman" w:hAnsi="Times New Roman"/>
                <w:sz w:val="24"/>
              </w:rPr>
              <w:t>Apoyo al trabajo como autónomo</w:t>
            </w:r>
          </w:p>
        </w:tc>
        <w:tc>
          <w:tcPr>
            <w:tcW w:w="1418" w:type="dxa"/>
            <w:tcBorders>
              <w:top w:val="double" w:sz="4" w:space="0" w:color="auto"/>
            </w:tcBorders>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4</w:t>
            </w:r>
          </w:p>
        </w:tc>
        <w:tc>
          <w:tcPr>
            <w:tcW w:w="1224" w:type="dxa"/>
            <w:tcBorders>
              <w:top w:val="double" w:sz="4" w:space="0" w:color="auto"/>
            </w:tcBorders>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89</w:t>
            </w:r>
          </w:p>
        </w:tc>
        <w:tc>
          <w:tcPr>
            <w:tcW w:w="1680" w:type="dxa"/>
            <w:tcBorders>
              <w:top w:val="double" w:sz="4" w:space="0" w:color="auto"/>
            </w:tcBorders>
          </w:tcPr>
          <w:p w:rsidR="000855A8" w:rsidRPr="00641057" w:rsidDel="00657336"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180</w:t>
            </w:r>
          </w:p>
        </w:tc>
      </w:tr>
      <w:tr w:rsidR="000855A8" w:rsidRPr="00641057" w:rsidTr="00EF36A6">
        <w:tc>
          <w:tcPr>
            <w:tcW w:w="4786" w:type="dxa"/>
          </w:tcPr>
          <w:p w:rsidR="000855A8" w:rsidRPr="00641057" w:rsidRDefault="000855A8" w:rsidP="00D964E0">
            <w:pPr>
              <w:spacing w:after="0" w:line="240" w:lineRule="auto"/>
              <w:jc w:val="both"/>
              <w:rPr>
                <w:rFonts w:ascii="Times New Roman" w:hAnsi="Times New Roman"/>
                <w:sz w:val="24"/>
                <w:szCs w:val="24"/>
              </w:rPr>
            </w:pPr>
            <w:r>
              <w:rPr>
                <w:rFonts w:ascii="Times New Roman" w:hAnsi="Times New Roman"/>
                <w:sz w:val="24"/>
              </w:rPr>
              <w:t>Creación de empresas</w:t>
            </w:r>
          </w:p>
        </w:tc>
        <w:tc>
          <w:tcPr>
            <w:tcW w:w="1418" w:type="dxa"/>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191</w:t>
            </w:r>
          </w:p>
        </w:tc>
        <w:tc>
          <w:tcPr>
            <w:tcW w:w="1224" w:type="dxa"/>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64</w:t>
            </w:r>
          </w:p>
        </w:tc>
        <w:tc>
          <w:tcPr>
            <w:tcW w:w="1680" w:type="dxa"/>
          </w:tcPr>
          <w:p w:rsidR="000855A8" w:rsidRPr="00641057" w:rsidDel="00657336"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13</w:t>
            </w:r>
          </w:p>
        </w:tc>
      </w:tr>
      <w:tr w:rsidR="000855A8" w:rsidRPr="00641057" w:rsidTr="00EF36A6">
        <w:tc>
          <w:tcPr>
            <w:tcW w:w="4786" w:type="dxa"/>
          </w:tcPr>
          <w:p w:rsidR="000855A8" w:rsidRPr="00641057" w:rsidRDefault="000855A8" w:rsidP="00D964E0">
            <w:pPr>
              <w:spacing w:after="0" w:line="240" w:lineRule="auto"/>
              <w:jc w:val="both"/>
              <w:rPr>
                <w:rFonts w:ascii="Times New Roman" w:hAnsi="Times New Roman"/>
                <w:sz w:val="24"/>
                <w:szCs w:val="24"/>
              </w:rPr>
            </w:pPr>
            <w:r>
              <w:rPr>
                <w:rFonts w:ascii="Times New Roman" w:hAnsi="Times New Roman"/>
                <w:sz w:val="24"/>
              </w:rPr>
              <w:t>Formación profesional</w:t>
            </w:r>
          </w:p>
        </w:tc>
        <w:tc>
          <w:tcPr>
            <w:tcW w:w="1418" w:type="dxa"/>
            <w:vAlign w:val="center"/>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122</w:t>
            </w:r>
          </w:p>
        </w:tc>
        <w:tc>
          <w:tcPr>
            <w:tcW w:w="1224" w:type="dxa"/>
            <w:vAlign w:val="center"/>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63</w:t>
            </w:r>
          </w:p>
        </w:tc>
        <w:tc>
          <w:tcPr>
            <w:tcW w:w="1680" w:type="dxa"/>
            <w:vAlign w:val="center"/>
          </w:tcPr>
          <w:p w:rsidR="000855A8" w:rsidRPr="00641057" w:rsidDel="00657336"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183</w:t>
            </w:r>
          </w:p>
        </w:tc>
      </w:tr>
      <w:tr w:rsidR="000855A8" w:rsidRPr="00641057" w:rsidTr="00EF36A6">
        <w:tc>
          <w:tcPr>
            <w:tcW w:w="4786" w:type="dxa"/>
            <w:tcBorders>
              <w:bottom w:val="double" w:sz="4" w:space="0" w:color="auto"/>
            </w:tcBorders>
          </w:tcPr>
          <w:p w:rsidR="000855A8" w:rsidRPr="00641057" w:rsidRDefault="000855A8" w:rsidP="00D964E0">
            <w:pPr>
              <w:spacing w:after="0" w:line="240" w:lineRule="auto"/>
              <w:jc w:val="both"/>
              <w:rPr>
                <w:rFonts w:ascii="Times New Roman" w:hAnsi="Times New Roman"/>
                <w:sz w:val="24"/>
                <w:szCs w:val="24"/>
              </w:rPr>
            </w:pPr>
            <w:r>
              <w:rPr>
                <w:rFonts w:ascii="Times New Roman" w:hAnsi="Times New Roman"/>
                <w:sz w:val="24"/>
              </w:rPr>
              <w:t>Clases de lengua para niños</w:t>
            </w:r>
          </w:p>
        </w:tc>
        <w:tc>
          <w:tcPr>
            <w:tcW w:w="1418" w:type="dxa"/>
            <w:tcBorders>
              <w:bottom w:val="double" w:sz="4" w:space="0" w:color="auto"/>
            </w:tcBorders>
            <w:vAlign w:val="center"/>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311</w:t>
            </w:r>
          </w:p>
        </w:tc>
        <w:tc>
          <w:tcPr>
            <w:tcW w:w="1224" w:type="dxa"/>
            <w:tcBorders>
              <w:bottom w:val="double" w:sz="4" w:space="0" w:color="auto"/>
            </w:tcBorders>
            <w:vAlign w:val="center"/>
          </w:tcPr>
          <w:p w:rsidR="000855A8" w:rsidRPr="00641057"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120</w:t>
            </w:r>
          </w:p>
        </w:tc>
        <w:tc>
          <w:tcPr>
            <w:tcW w:w="1680" w:type="dxa"/>
            <w:tcBorders>
              <w:bottom w:val="double" w:sz="4" w:space="0" w:color="auto"/>
            </w:tcBorders>
            <w:vAlign w:val="center"/>
          </w:tcPr>
          <w:p w:rsidR="000855A8" w:rsidRPr="00641057" w:rsidDel="00657336" w:rsidRDefault="000855A8" w:rsidP="00EF36A6">
            <w:pPr>
              <w:spacing w:after="0" w:line="240" w:lineRule="auto"/>
              <w:ind w:right="511"/>
              <w:jc w:val="right"/>
              <w:rPr>
                <w:rFonts w:ascii="Times New Roman" w:hAnsi="Times New Roman"/>
                <w:sz w:val="24"/>
                <w:szCs w:val="24"/>
              </w:rPr>
            </w:pPr>
            <w:r>
              <w:rPr>
                <w:rFonts w:ascii="Times New Roman" w:hAnsi="Times New Roman"/>
                <w:sz w:val="24"/>
              </w:rPr>
              <w:t>328</w:t>
            </w:r>
          </w:p>
        </w:tc>
      </w:tr>
      <w:tr w:rsidR="000855A8" w:rsidRPr="00641057" w:rsidTr="00EF36A6">
        <w:tc>
          <w:tcPr>
            <w:tcW w:w="4786" w:type="dxa"/>
            <w:tcBorders>
              <w:top w:val="double" w:sz="4" w:space="0" w:color="auto"/>
              <w:bottom w:val="double" w:sz="4" w:space="0" w:color="auto"/>
            </w:tcBorders>
          </w:tcPr>
          <w:p w:rsidR="000855A8" w:rsidRPr="00641057" w:rsidRDefault="000855A8" w:rsidP="00D964E0">
            <w:pPr>
              <w:spacing w:after="0" w:line="240" w:lineRule="auto"/>
              <w:jc w:val="both"/>
              <w:rPr>
                <w:rFonts w:ascii="Times New Roman" w:hAnsi="Times New Roman"/>
                <w:b/>
                <w:sz w:val="24"/>
                <w:szCs w:val="24"/>
              </w:rPr>
            </w:pPr>
            <w:r>
              <w:rPr>
                <w:rFonts w:ascii="Times New Roman" w:hAnsi="Times New Roman"/>
                <w:b/>
                <w:sz w:val="24"/>
              </w:rPr>
              <w:t>Total</w:t>
            </w:r>
          </w:p>
        </w:tc>
        <w:tc>
          <w:tcPr>
            <w:tcW w:w="1418" w:type="dxa"/>
            <w:tcBorders>
              <w:top w:val="double" w:sz="4" w:space="0" w:color="auto"/>
              <w:bottom w:val="double" w:sz="4" w:space="0" w:color="auto"/>
            </w:tcBorders>
            <w:vAlign w:val="bottom"/>
          </w:tcPr>
          <w:p w:rsidR="000855A8" w:rsidRPr="00641057" w:rsidRDefault="000855A8" w:rsidP="00EF36A6">
            <w:pPr>
              <w:spacing w:after="0" w:line="240" w:lineRule="auto"/>
              <w:ind w:right="511"/>
              <w:jc w:val="right"/>
              <w:rPr>
                <w:rFonts w:ascii="Times New Roman" w:hAnsi="Times New Roman"/>
                <w:b/>
                <w:sz w:val="24"/>
                <w:szCs w:val="24"/>
              </w:rPr>
            </w:pPr>
            <w:r>
              <w:rPr>
                <w:rFonts w:ascii="Times New Roman" w:hAnsi="Times New Roman"/>
                <w:b/>
                <w:sz w:val="24"/>
              </w:rPr>
              <w:t>628</w:t>
            </w:r>
          </w:p>
        </w:tc>
        <w:tc>
          <w:tcPr>
            <w:tcW w:w="1224" w:type="dxa"/>
            <w:tcBorders>
              <w:top w:val="double" w:sz="4" w:space="0" w:color="auto"/>
              <w:bottom w:val="double" w:sz="4" w:space="0" w:color="auto"/>
            </w:tcBorders>
            <w:vAlign w:val="bottom"/>
          </w:tcPr>
          <w:p w:rsidR="000855A8" w:rsidRPr="00641057" w:rsidRDefault="000855A8" w:rsidP="00EF36A6">
            <w:pPr>
              <w:spacing w:after="0" w:line="240" w:lineRule="auto"/>
              <w:ind w:right="511"/>
              <w:jc w:val="right"/>
              <w:rPr>
                <w:rFonts w:ascii="Times New Roman" w:hAnsi="Times New Roman"/>
                <w:b/>
                <w:sz w:val="24"/>
                <w:szCs w:val="24"/>
              </w:rPr>
            </w:pPr>
            <w:r>
              <w:rPr>
                <w:rFonts w:ascii="Times New Roman" w:hAnsi="Times New Roman"/>
                <w:b/>
                <w:sz w:val="24"/>
              </w:rPr>
              <w:t>336</w:t>
            </w:r>
          </w:p>
        </w:tc>
        <w:tc>
          <w:tcPr>
            <w:tcW w:w="1680" w:type="dxa"/>
            <w:tcBorders>
              <w:top w:val="double" w:sz="4" w:space="0" w:color="auto"/>
              <w:bottom w:val="double" w:sz="4" w:space="0" w:color="auto"/>
            </w:tcBorders>
            <w:vAlign w:val="bottom"/>
          </w:tcPr>
          <w:p w:rsidR="000855A8" w:rsidRPr="00641057" w:rsidDel="00657336" w:rsidRDefault="000855A8" w:rsidP="00EF36A6">
            <w:pPr>
              <w:spacing w:after="0" w:line="240" w:lineRule="auto"/>
              <w:ind w:right="511"/>
              <w:jc w:val="right"/>
              <w:rPr>
                <w:rFonts w:ascii="Times New Roman" w:hAnsi="Times New Roman"/>
                <w:b/>
                <w:sz w:val="24"/>
                <w:szCs w:val="24"/>
              </w:rPr>
            </w:pPr>
            <w:r>
              <w:rPr>
                <w:rFonts w:ascii="Times New Roman" w:hAnsi="Times New Roman"/>
                <w:b/>
                <w:sz w:val="24"/>
              </w:rPr>
              <w:t>704</w:t>
            </w:r>
          </w:p>
        </w:tc>
      </w:tr>
    </w:tbl>
    <w:p w:rsidR="00C20DF6" w:rsidRPr="00641057" w:rsidRDefault="00EA0067" w:rsidP="00D964E0">
      <w:pPr>
        <w:spacing w:after="240" w:line="240" w:lineRule="auto"/>
        <w:jc w:val="both"/>
        <w:rPr>
          <w:rFonts w:ascii="Times New Roman" w:hAnsi="Times New Roman"/>
          <w:i/>
          <w:sz w:val="20"/>
          <w:szCs w:val="20"/>
        </w:rPr>
      </w:pPr>
      <w:r>
        <w:rPr>
          <w:rFonts w:ascii="Times New Roman" w:hAnsi="Times New Roman"/>
          <w:i/>
          <w:sz w:val="20"/>
        </w:rPr>
        <w:t>Fuente: Kosovo, 2016</w:t>
      </w:r>
    </w:p>
    <w:p w:rsidR="00F35772" w:rsidRPr="00641057" w:rsidRDefault="00EB7FEB" w:rsidP="00D964E0">
      <w:pPr>
        <w:spacing w:after="240" w:line="240" w:lineRule="auto"/>
        <w:jc w:val="both"/>
        <w:rPr>
          <w:rFonts w:ascii="Times New Roman" w:hAnsi="Times New Roman"/>
          <w:sz w:val="24"/>
          <w:szCs w:val="24"/>
        </w:rPr>
      </w:pPr>
      <w:r>
        <w:rPr>
          <w:rFonts w:ascii="Times New Roman" w:hAnsi="Times New Roman"/>
          <w:sz w:val="24"/>
        </w:rPr>
        <w:t xml:space="preserve">Desde diciembre de 2015, una consultoría especializada ha venido ofreciendo asistencia a los repatriados para la creación de empresas. Los municipios también han aumentado considerablemente sus esfuerzos de acercamiento a nivel municipal. </w:t>
      </w:r>
    </w:p>
    <w:p w:rsidR="00B61B7A" w:rsidRDefault="002E150E" w:rsidP="00D964E0">
      <w:pPr>
        <w:spacing w:after="240" w:line="240" w:lineRule="auto"/>
        <w:jc w:val="both"/>
        <w:rPr>
          <w:rFonts w:ascii="Times New Roman" w:hAnsi="Times New Roman"/>
          <w:sz w:val="24"/>
          <w:szCs w:val="24"/>
        </w:rPr>
      </w:pPr>
      <w:r>
        <w:rPr>
          <w:rFonts w:ascii="Times New Roman" w:hAnsi="Times New Roman"/>
          <w:sz w:val="24"/>
        </w:rPr>
        <w:t xml:space="preserve">Kosovo ha mejorado el índice de desembolso de su fondo de reintegración en 2016. En el primer trimestre de 2016, gastó 500 000 </w:t>
      </w:r>
      <w:r>
        <w:rPr>
          <w:rStyle w:val="st"/>
          <w:rFonts w:ascii="Times New Roman" w:hAnsi="Times New Roman"/>
          <w:sz w:val="24"/>
        </w:rPr>
        <w:t>EUR</w:t>
      </w:r>
      <w:r>
        <w:rPr>
          <w:rFonts w:ascii="Times New Roman" w:hAnsi="Times New Roman"/>
          <w:sz w:val="24"/>
        </w:rPr>
        <w:t xml:space="preserve"> (25%) en servicios de reintegración duradera </w:t>
      </w:r>
      <w:r>
        <w:rPr>
          <w:rStyle w:val="st"/>
          <w:rFonts w:ascii="Times New Roman" w:hAnsi="Times New Roman"/>
          <w:sz w:val="24"/>
        </w:rPr>
        <w:t xml:space="preserve">y afectó 1,1 millones EUR (57%) </w:t>
      </w:r>
      <w:r>
        <w:rPr>
          <w:rFonts w:ascii="Times New Roman" w:hAnsi="Times New Roman"/>
          <w:sz w:val="24"/>
        </w:rPr>
        <w:t xml:space="preserve">de este </w:t>
      </w:r>
      <w:r>
        <w:rPr>
          <w:rStyle w:val="st"/>
          <w:rFonts w:ascii="Times New Roman" w:hAnsi="Times New Roman"/>
          <w:sz w:val="24"/>
        </w:rPr>
        <w:t xml:space="preserve">fondo de 2 millones EUR a la creación de empleos para los repatriados a través de dos programas: un programa del PNUD que ofrece formación </w:t>
      </w:r>
      <w:r>
        <w:rPr>
          <w:rStyle w:val="st"/>
          <w:rFonts w:ascii="Times New Roman" w:hAnsi="Times New Roman"/>
          <w:sz w:val="24"/>
        </w:rPr>
        <w:lastRenderedPageBreak/>
        <w:t>en el puesto de trabajo y subvenciones salariales, y el proyecto de la antedicha consultoría que proporciona asistencia para la creación de empresas.</w:t>
      </w:r>
    </w:p>
    <w:p w:rsidR="002E150E" w:rsidRPr="00641057" w:rsidRDefault="00B61B7A" w:rsidP="00D964E0">
      <w:pPr>
        <w:spacing w:after="240" w:line="240" w:lineRule="auto"/>
        <w:jc w:val="both"/>
        <w:rPr>
          <w:rFonts w:ascii="Times New Roman" w:hAnsi="Times New Roman"/>
          <w:sz w:val="24"/>
          <w:szCs w:val="24"/>
        </w:rPr>
      </w:pPr>
      <w:r>
        <w:rPr>
          <w:rFonts w:ascii="Times New Roman" w:hAnsi="Times New Roman"/>
          <w:sz w:val="24"/>
        </w:rPr>
        <w:t xml:space="preserve">En cambio, el presupuesto del fondo, que se preveía que ascendiese a 2,1 millones </w:t>
      </w:r>
      <w:r>
        <w:rPr>
          <w:rStyle w:val="st"/>
          <w:rFonts w:ascii="Times New Roman" w:hAnsi="Times New Roman"/>
          <w:sz w:val="24"/>
        </w:rPr>
        <w:t>EUR</w:t>
      </w:r>
      <w:r>
        <w:rPr>
          <w:rFonts w:ascii="Times New Roman" w:hAnsi="Times New Roman"/>
          <w:sz w:val="24"/>
        </w:rPr>
        <w:t xml:space="preserve">, se redujo a mediados de 2015 a </w:t>
      </w:r>
      <w:r>
        <w:rPr>
          <w:rStyle w:val="st"/>
          <w:rFonts w:ascii="Times New Roman" w:hAnsi="Times New Roman"/>
          <w:sz w:val="24"/>
        </w:rPr>
        <w:t>1,2 millones EUR en razón del escaso gasto en la primera mitad</w:t>
      </w:r>
      <w:r>
        <w:rPr>
          <w:rFonts w:ascii="Times New Roman" w:hAnsi="Times New Roman"/>
          <w:sz w:val="24"/>
        </w:rPr>
        <w:t>.</w:t>
      </w:r>
      <w:r>
        <w:rPr>
          <w:rStyle w:val="st"/>
          <w:rFonts w:ascii="Times New Roman" w:hAnsi="Times New Roman"/>
          <w:sz w:val="24"/>
        </w:rPr>
        <w:t xml:space="preserve"> A finales de 2015, tan solo 930 000 EUR habían sido desembolsados (un 44 % del presupuesto previsto). En 2014, se desembolsaron 1,5 millones EUR</w:t>
      </w:r>
      <w:r>
        <w:rPr>
          <w:rFonts w:ascii="Times New Roman" w:hAnsi="Times New Roman"/>
          <w:sz w:val="24"/>
        </w:rPr>
        <w:t xml:space="preserve"> (72%) del fondo, y el resto fue </w:t>
      </w:r>
      <w:r w:rsidR="00E77CCC">
        <w:rPr>
          <w:rFonts w:ascii="Times New Roman" w:hAnsi="Times New Roman"/>
          <w:sz w:val="24"/>
        </w:rPr>
        <w:t>consignado de nuevo en el</w:t>
      </w:r>
      <w:r>
        <w:rPr>
          <w:rFonts w:ascii="Times New Roman" w:hAnsi="Times New Roman"/>
          <w:sz w:val="24"/>
        </w:rPr>
        <w:t xml:space="preserve"> presupuesto. </w:t>
      </w:r>
    </w:p>
    <w:p w:rsidR="002E150E" w:rsidRPr="00D915C6" w:rsidRDefault="0082296B" w:rsidP="00D964E0">
      <w:pPr>
        <w:spacing w:after="240" w:line="240" w:lineRule="auto"/>
        <w:jc w:val="both"/>
        <w:rPr>
          <w:rFonts w:ascii="Times New Roman" w:hAnsi="Times New Roman"/>
          <w:sz w:val="24"/>
          <w:szCs w:val="24"/>
        </w:rPr>
      </w:pPr>
      <w:r>
        <w:rPr>
          <w:rStyle w:val="st"/>
          <w:rFonts w:ascii="Times New Roman" w:hAnsi="Times New Roman"/>
          <w:sz w:val="24"/>
        </w:rPr>
        <w:t xml:space="preserve">En líneas generales, Kosovo ha </w:t>
      </w:r>
      <w:r>
        <w:rPr>
          <w:rStyle w:val="st"/>
          <w:rFonts w:ascii="Times New Roman" w:hAnsi="Times New Roman"/>
          <w:b/>
          <w:sz w:val="24"/>
        </w:rPr>
        <w:t>cumplido</w:t>
      </w:r>
      <w:r>
        <w:rPr>
          <w:rStyle w:val="st"/>
          <w:rFonts w:ascii="Times New Roman" w:hAnsi="Times New Roman"/>
          <w:sz w:val="24"/>
        </w:rPr>
        <w:t xml:space="preserve"> la obligación pendiente de </w:t>
      </w:r>
      <w:r>
        <w:rPr>
          <w:rFonts w:ascii="Times New Roman" w:hAnsi="Times New Roman"/>
          <w:sz w:val="24"/>
        </w:rPr>
        <w:t>gastar el dinero del fondo de reintegración, prestando una atención especial al apoyo en materia de empleo, la creación de pequeños negocios, la formación profesional y las clases de lengua para los niños</w:t>
      </w:r>
      <w:r>
        <w:rPr>
          <w:rStyle w:val="st"/>
          <w:rFonts w:ascii="Times New Roman" w:hAnsi="Times New Roman"/>
          <w:sz w:val="24"/>
        </w:rPr>
        <w:t>.</w:t>
      </w:r>
    </w:p>
    <w:p w:rsidR="00DB07D8" w:rsidRPr="00641057" w:rsidRDefault="00DB07D8" w:rsidP="00726623">
      <w:pPr>
        <w:keepNext/>
        <w:autoSpaceDE w:val="0"/>
        <w:autoSpaceDN w:val="0"/>
        <w:adjustRightInd w:val="0"/>
        <w:spacing w:after="240" w:line="240" w:lineRule="auto"/>
        <w:jc w:val="both"/>
        <w:rPr>
          <w:rFonts w:ascii="Times New Roman" w:hAnsi="Times New Roman"/>
          <w:b/>
          <w:sz w:val="24"/>
          <w:szCs w:val="24"/>
        </w:rPr>
      </w:pPr>
      <w:r>
        <w:rPr>
          <w:rFonts w:ascii="Times New Roman" w:hAnsi="Times New Roman"/>
          <w:b/>
          <w:sz w:val="24"/>
        </w:rPr>
        <w:t>3. BLOQUE 1: SEGURIDAD DE LOS DOCUMENTOS</w:t>
      </w:r>
    </w:p>
    <w:p w:rsidR="00CE2168" w:rsidRDefault="008860F8" w:rsidP="00D964E0">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nueve requisitos</w:t>
      </w:r>
      <w:r>
        <w:rPr>
          <w:rFonts w:ascii="Times New Roman" w:hAnsi="Times New Roman"/>
          <w:sz w:val="24"/>
        </w:rPr>
        <w:t xml:space="preserve"> en materia de seguridad de los documentos. </w:t>
      </w:r>
    </w:p>
    <w:p w:rsidR="00F73C78" w:rsidRPr="00641057" w:rsidRDefault="008A1A4B" w:rsidP="00D964E0">
      <w:pPr>
        <w:spacing w:after="240" w:line="240" w:lineRule="auto"/>
        <w:jc w:val="both"/>
        <w:rPr>
          <w:rFonts w:ascii="Times New Roman" w:hAnsi="Times New Roman"/>
          <w:sz w:val="24"/>
          <w:szCs w:val="24"/>
        </w:rPr>
      </w:pPr>
      <w:r>
        <w:rPr>
          <w:rFonts w:ascii="Times New Roman" w:hAnsi="Times New Roman"/>
          <w:sz w:val="24"/>
        </w:rPr>
        <w:t>El tercer informe de la Comisión señalaba que Kosovo debe demostrar que ha adoptado su legislación derivada modificada sobre los cambios de nombre.</w:t>
      </w:r>
    </w:p>
    <w:p w:rsidR="00241E3C" w:rsidRPr="00641057" w:rsidRDefault="00BE62F5" w:rsidP="00241E3C">
      <w:pPr>
        <w:spacing w:after="240" w:line="240" w:lineRule="auto"/>
        <w:jc w:val="both"/>
        <w:rPr>
          <w:rFonts w:ascii="Times New Roman" w:hAnsi="Times New Roman"/>
          <w:sz w:val="24"/>
          <w:szCs w:val="24"/>
        </w:rPr>
      </w:pPr>
      <w:r>
        <w:rPr>
          <w:rFonts w:ascii="Times New Roman" w:hAnsi="Times New Roman"/>
          <w:sz w:val="24"/>
        </w:rPr>
        <w:t>Desde julio de 2015, Kosovo ha aplicado la nueva legislación derivada sobre el cambio de nombre</w:t>
      </w:r>
      <w:r>
        <w:rPr>
          <w:rStyle w:val="FootnoteReference"/>
          <w:rFonts w:ascii="Times New Roman" w:hAnsi="Times New Roman"/>
          <w:sz w:val="24"/>
        </w:rPr>
        <w:footnoteReference w:id="7"/>
      </w:r>
      <w:r>
        <w:rPr>
          <w:rFonts w:ascii="Times New Roman" w:hAnsi="Times New Roman"/>
          <w:sz w:val="24"/>
        </w:rPr>
        <w:t xml:space="preserve">. Este corpus legislativo </w:t>
      </w:r>
      <w:r w:rsidR="00E77CCC">
        <w:rPr>
          <w:rFonts w:ascii="Times New Roman" w:hAnsi="Times New Roman"/>
          <w:sz w:val="24"/>
        </w:rPr>
        <w:t>introdujo</w:t>
      </w:r>
      <w:r>
        <w:rPr>
          <w:rFonts w:ascii="Times New Roman" w:hAnsi="Times New Roman"/>
          <w:sz w:val="24"/>
        </w:rPr>
        <w:t xml:space="preserve"> salvaguardias adicionales contra los cambios de nombre fraudulentos, incluida la disposición en virtud de la cual aquellos que se encuentren enjuiciados en el marco de un procedimiento penal no podrán presentar tales solicitudes. Con arreglo a la legislación vigente en materia de nombres propios</w:t>
      </w:r>
      <w:r>
        <w:rPr>
          <w:rStyle w:val="FootnoteReference"/>
          <w:rFonts w:ascii="Times New Roman" w:hAnsi="Times New Roman"/>
          <w:sz w:val="24"/>
        </w:rPr>
        <w:footnoteReference w:id="8"/>
      </w:r>
      <w:r>
        <w:rPr>
          <w:rFonts w:ascii="Times New Roman" w:hAnsi="Times New Roman"/>
          <w:sz w:val="24"/>
        </w:rPr>
        <w:t>, las personas pueden solicitar el cambio de nombre una vez cada cinco años.</w:t>
      </w:r>
    </w:p>
    <w:p w:rsidR="00292378" w:rsidRPr="00641057" w:rsidRDefault="007F139F" w:rsidP="007F139F">
      <w:pPr>
        <w:spacing w:after="240" w:line="240" w:lineRule="auto"/>
        <w:jc w:val="both"/>
        <w:rPr>
          <w:rFonts w:ascii="Times New Roman" w:hAnsi="Times New Roman"/>
          <w:sz w:val="24"/>
          <w:szCs w:val="24"/>
        </w:rPr>
      </w:pPr>
      <w:r>
        <w:rPr>
          <w:rFonts w:ascii="Times New Roman" w:hAnsi="Times New Roman"/>
          <w:sz w:val="24"/>
        </w:rPr>
        <w:t xml:space="preserve">Los solicitantes pueden solicitar el cambio de nombre en virtud de once motivos, y deben aportar una serie de documentos justificativos que demuestren la plausibilidad de sus solicitudes. Estos documentos justificativos deben incluir un certificado de antecedentes penales del solicitante expedido por los tribunales de su anterior lugar de residencia y del actual. También debe adjuntarse un certificado policial que atestigüe la ausencia de antecedentes penales. </w:t>
      </w:r>
    </w:p>
    <w:p w:rsidR="00EE1D0E" w:rsidRPr="00641057" w:rsidRDefault="00EE1D0E" w:rsidP="00D964E0">
      <w:pPr>
        <w:spacing w:after="240" w:line="240" w:lineRule="auto"/>
        <w:jc w:val="both"/>
        <w:rPr>
          <w:rFonts w:ascii="Times New Roman" w:hAnsi="Times New Roman"/>
          <w:sz w:val="24"/>
          <w:szCs w:val="24"/>
        </w:rPr>
      </w:pPr>
      <w:r>
        <w:rPr>
          <w:rFonts w:ascii="Times New Roman" w:hAnsi="Times New Roman"/>
          <w:sz w:val="24"/>
        </w:rPr>
        <w:t xml:space="preserve">La agencia del Registro civil ha creado un nuevo comité para examinar cada solicitud y que emite recomendaciones a las oficinas municipales del Registro civil sobre la conveniencia de aprobar las solicitudes de cambio de nombre.  Estas recomendaciones no son vinculantes, pero su no seguimiento por parte de las oficinas municipales puede dar lugar a nuevas investigaciones. Hasta la fecha, se han seguido todas las recomendaciones. </w:t>
      </w:r>
    </w:p>
    <w:p w:rsidR="00E87CAB" w:rsidRPr="00641057" w:rsidRDefault="00D964E0" w:rsidP="00D964E0">
      <w:pPr>
        <w:spacing w:after="240" w:line="240" w:lineRule="auto"/>
        <w:jc w:val="both"/>
        <w:rPr>
          <w:rFonts w:ascii="Times New Roman" w:hAnsi="Times New Roman"/>
          <w:sz w:val="24"/>
          <w:szCs w:val="24"/>
        </w:rPr>
      </w:pPr>
      <w:r>
        <w:rPr>
          <w:rFonts w:ascii="Times New Roman" w:hAnsi="Times New Roman"/>
          <w:sz w:val="24"/>
        </w:rPr>
        <w:t>Desde su creación, el nuevo comité de examen ha emitido 180 recomendaciones: 106 positivas y 74 negativas. Si se comparan los primeros trimestres de 2015 y 2016, respectivamente, se aprecia una reducción del 72 % en las solicitudes de cambio de apellidos y</w:t>
      </w:r>
      <w:r w:rsidR="00E77CCC">
        <w:rPr>
          <w:rFonts w:ascii="Times New Roman" w:hAnsi="Times New Roman"/>
          <w:sz w:val="24"/>
        </w:rPr>
        <w:t xml:space="preserve"> una</w:t>
      </w:r>
      <w:r>
        <w:rPr>
          <w:rFonts w:ascii="Times New Roman" w:hAnsi="Times New Roman"/>
          <w:sz w:val="24"/>
        </w:rPr>
        <w:t xml:space="preserve"> caída del 69 % en las solicitudes de modificación de nombres de pila.</w:t>
      </w:r>
    </w:p>
    <w:p w:rsidR="006E0AA4" w:rsidRPr="00641057" w:rsidRDefault="000C6E61" w:rsidP="00C26182">
      <w:pPr>
        <w:spacing w:after="240" w:line="240" w:lineRule="auto"/>
        <w:jc w:val="both"/>
        <w:rPr>
          <w:rFonts w:ascii="Times New Roman" w:hAnsi="Times New Roman"/>
          <w:sz w:val="24"/>
          <w:szCs w:val="24"/>
        </w:rPr>
      </w:pPr>
      <w:r>
        <w:rPr>
          <w:rFonts w:ascii="Times New Roman" w:hAnsi="Times New Roman"/>
          <w:sz w:val="24"/>
        </w:rPr>
        <w:lastRenderedPageBreak/>
        <w:t xml:space="preserve">En líneas generales, Kosovo ha </w:t>
      </w:r>
      <w:r>
        <w:rPr>
          <w:rFonts w:ascii="Times New Roman" w:hAnsi="Times New Roman"/>
          <w:b/>
          <w:sz w:val="24"/>
        </w:rPr>
        <w:t>cumplido</w:t>
      </w:r>
      <w:r>
        <w:rPr>
          <w:rFonts w:ascii="Times New Roman" w:hAnsi="Times New Roman"/>
          <w:sz w:val="24"/>
        </w:rPr>
        <w:t xml:space="preserve"> las prioridades clave pendientes para demostrar la puesta en práctica de la legislación derivada modificada en materia de cambio de nombre.</w:t>
      </w:r>
    </w:p>
    <w:p w:rsidR="00DB07D8" w:rsidRPr="00641057" w:rsidRDefault="00AF3B76" w:rsidP="00726623">
      <w:pPr>
        <w:keepNext/>
        <w:spacing w:after="240" w:line="240" w:lineRule="auto"/>
        <w:jc w:val="both"/>
        <w:rPr>
          <w:rFonts w:ascii="Times New Roman" w:hAnsi="Times New Roman"/>
          <w:b/>
          <w:sz w:val="24"/>
          <w:szCs w:val="24"/>
        </w:rPr>
      </w:pPr>
      <w:r>
        <w:rPr>
          <w:rFonts w:ascii="Times New Roman" w:hAnsi="Times New Roman"/>
          <w:b/>
          <w:sz w:val="24"/>
        </w:rPr>
        <w:t xml:space="preserve">4. BLOQUE 2: GESTIÓN DE LAS FRONTERAS / LÍNEA DIVISORIA Y GESTIÓN DE LA MIGRACIÓN </w:t>
      </w:r>
    </w:p>
    <w:p w:rsidR="00DB07D8" w:rsidRPr="005A421C" w:rsidRDefault="00DB07D8"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4.1. Gestión de las fronteras / línea divisoria</w:t>
      </w:r>
    </w:p>
    <w:p w:rsidR="002F71AF" w:rsidRPr="00641057" w:rsidRDefault="002F71AF" w:rsidP="00F41537">
      <w:pPr>
        <w:spacing w:after="240" w:line="240" w:lineRule="auto"/>
        <w:jc w:val="both"/>
        <w:rPr>
          <w:rFonts w:ascii="Times New Roman" w:hAnsi="Times New Roman"/>
          <w:sz w:val="24"/>
          <w:szCs w:val="24"/>
        </w:rPr>
      </w:pPr>
      <w:r>
        <w:rPr>
          <w:rFonts w:ascii="Times New Roman" w:hAnsi="Times New Roman"/>
          <w:sz w:val="24"/>
        </w:rPr>
        <w:t xml:space="preserve">Kosovo cumple </w:t>
      </w:r>
      <w:r>
        <w:rPr>
          <w:rFonts w:ascii="Times New Roman" w:hAnsi="Times New Roman"/>
          <w:b/>
          <w:sz w:val="24"/>
        </w:rPr>
        <w:t>catorce de los quince requisitos</w:t>
      </w:r>
      <w:r>
        <w:rPr>
          <w:rFonts w:ascii="Times New Roman" w:hAnsi="Times New Roman"/>
          <w:sz w:val="24"/>
        </w:rPr>
        <w:t xml:space="preserve"> en el ámbito de la gestión de fronteras / líneas divisorias.</w:t>
      </w:r>
    </w:p>
    <w:p w:rsidR="000B0D47" w:rsidRPr="00641057" w:rsidRDefault="00D0204F" w:rsidP="00F41537">
      <w:pPr>
        <w:spacing w:after="240" w:line="240" w:lineRule="auto"/>
        <w:jc w:val="both"/>
        <w:rPr>
          <w:rFonts w:ascii="Times New Roman" w:hAnsi="Times New Roman"/>
          <w:sz w:val="24"/>
          <w:szCs w:val="24"/>
        </w:rPr>
      </w:pPr>
      <w:r>
        <w:rPr>
          <w:rFonts w:ascii="Times New Roman" w:hAnsi="Times New Roman"/>
          <w:sz w:val="24"/>
        </w:rPr>
        <w:t>El tercer informe de la Comisión señaló que el acuerdo de delimitación de fronteras / líneas con Montenegro, que ha sido firmado por ambas partes, debe ser ratificado antes de que se transfiera a Kosovo a la lista de países sin requisito de visado.</w:t>
      </w:r>
    </w:p>
    <w:p w:rsidR="004E0E60" w:rsidRPr="00641057" w:rsidRDefault="00CA1F86" w:rsidP="00F41537">
      <w:pPr>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rPr>
        <w:t xml:space="preserve">El 15 de marzo de 2016, Kosovo estableció una comisión internacional </w:t>
      </w:r>
      <w:r>
        <w:rPr>
          <w:rFonts w:ascii="Times New Roman" w:hAnsi="Times New Roman"/>
          <w:i/>
          <w:sz w:val="24"/>
        </w:rPr>
        <w:t>ad hoc</w:t>
      </w:r>
      <w:r>
        <w:rPr>
          <w:rFonts w:ascii="Times New Roman" w:hAnsi="Times New Roman"/>
          <w:sz w:val="24"/>
        </w:rPr>
        <w:t xml:space="preserve"> para revisar la delimitación de fronteras / líneas divisorias con Montenegro, la cual concluyó, en función de criterios jurídicos y técnicos, que el proceso de delimitación de la frontera / línea divisoria con Montenegro «cumple claramente las normas internacionales», aunque sin el necesario grado de transparencia</w:t>
      </w:r>
      <w:r>
        <w:rPr>
          <w:rStyle w:val="FootnoteReference"/>
          <w:rFonts w:ascii="Times New Roman" w:hAnsi="Times New Roman"/>
          <w:sz w:val="24"/>
        </w:rPr>
        <w:footnoteReference w:id="9"/>
      </w:r>
      <w:r>
        <w:rPr>
          <w:rFonts w:ascii="Times New Roman" w:hAnsi="Times New Roman"/>
          <w:sz w:val="24"/>
        </w:rPr>
        <w:t xml:space="preserve">. </w:t>
      </w:r>
    </w:p>
    <w:p w:rsidR="00CA1F86" w:rsidRDefault="00B93B09" w:rsidP="00E0690B">
      <w:pPr>
        <w:spacing w:after="240" w:line="240" w:lineRule="auto"/>
        <w:jc w:val="both"/>
        <w:rPr>
          <w:rFonts w:ascii="Times New Roman" w:hAnsi="Times New Roman"/>
          <w:sz w:val="24"/>
          <w:szCs w:val="24"/>
        </w:rPr>
      </w:pPr>
      <w:r>
        <w:rPr>
          <w:rFonts w:ascii="Times New Roman" w:hAnsi="Times New Roman"/>
          <w:sz w:val="24"/>
        </w:rPr>
        <w:t xml:space="preserve">En líneas generales, Kosovo </w:t>
      </w:r>
      <w:r>
        <w:rPr>
          <w:rFonts w:ascii="Times New Roman" w:hAnsi="Times New Roman"/>
          <w:b/>
          <w:sz w:val="24"/>
        </w:rPr>
        <w:t>ha dado importantes pasos hacia el cumplimiento</w:t>
      </w:r>
      <w:r>
        <w:rPr>
          <w:rFonts w:ascii="Times New Roman" w:hAnsi="Times New Roman"/>
          <w:sz w:val="24"/>
        </w:rPr>
        <w:t xml:space="preserve"> de la obligación pendiente consistente en la ratificación del acuerdo de delimitación de fronteras / líneas divisorias con Montenegro. Kosovo está trabajando en aras de la ratificación de este acuerdo antes del día de adopción de la propuesta legislativa para transferir a Kosovo a la lista de países sin requisito de visado por el Parlamento Europeo y el Consejo.</w:t>
      </w:r>
    </w:p>
    <w:p w:rsidR="00DB07D8" w:rsidRPr="005A421C" w:rsidRDefault="00DB07D8"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4.2. Gestión de la migración</w:t>
      </w:r>
    </w:p>
    <w:p w:rsidR="00E93453" w:rsidRPr="00641057" w:rsidRDefault="00E93453" w:rsidP="00F41537">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diez requisitos</w:t>
      </w:r>
      <w:r>
        <w:rPr>
          <w:rFonts w:ascii="Times New Roman" w:hAnsi="Times New Roman"/>
          <w:sz w:val="24"/>
        </w:rPr>
        <w:t xml:space="preserve"> en materia de gestión de la migración. El tercer informe de la Comisión no mencionó ningún requisito pendiente de cumplimiento en este ámbito.</w:t>
      </w:r>
    </w:p>
    <w:p w:rsidR="00DB07D8" w:rsidRPr="005A421C" w:rsidRDefault="00DB07D8"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4.3. Asilo</w:t>
      </w:r>
    </w:p>
    <w:p w:rsidR="00AE50C1" w:rsidRPr="00641057" w:rsidRDefault="00AE50C1" w:rsidP="00F41537">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siete requisitos</w:t>
      </w:r>
      <w:r>
        <w:rPr>
          <w:rFonts w:ascii="Times New Roman" w:hAnsi="Times New Roman"/>
          <w:sz w:val="24"/>
        </w:rPr>
        <w:t xml:space="preserve"> en materia de asilo.</w:t>
      </w:r>
    </w:p>
    <w:p w:rsidR="00F41537" w:rsidRPr="00641057" w:rsidRDefault="00F41537" w:rsidP="00F41537">
      <w:pPr>
        <w:spacing w:after="240" w:line="240" w:lineRule="auto"/>
        <w:jc w:val="both"/>
        <w:rPr>
          <w:rFonts w:ascii="Times New Roman" w:hAnsi="Times New Roman"/>
          <w:sz w:val="24"/>
          <w:szCs w:val="24"/>
        </w:rPr>
      </w:pPr>
      <w:r>
        <w:rPr>
          <w:rFonts w:ascii="Times New Roman" w:hAnsi="Times New Roman"/>
          <w:sz w:val="24"/>
        </w:rPr>
        <w:t>El tercer informe de la Comisión señalaba que Kosovo debe examinar las razones de su baja tasa de reconocimiento de los solicitantes de asilo.</w:t>
      </w:r>
    </w:p>
    <w:p w:rsidR="007C5AE7" w:rsidRPr="00641057" w:rsidRDefault="007D252F" w:rsidP="007D252F">
      <w:pPr>
        <w:pStyle w:val="ecxmsolistparagraph"/>
        <w:spacing w:after="240"/>
        <w:jc w:val="both"/>
        <w:rPr>
          <w:bCs/>
          <w:iCs/>
        </w:rPr>
      </w:pPr>
      <w:r>
        <w:t>El número de solicitantes de asilo en Kosovo sigue siendo muy bajo, ya que la gran mayoría de los nacionales de terceros países consideran Kosovo un lugar de tránsito. En 2015, 2014 y 2013, el número de personas que solicitaron asilo en Kosovo ascendió, respectivamente, a 70, 98 y 62. Hasta la fecha, no existe ningún indicio de fragmentación de la ruta migratoria de los Balcanes Occidentales hacia Kosovo.</w:t>
      </w:r>
    </w:p>
    <w:p w:rsidR="009B2431" w:rsidRDefault="009B2431" w:rsidP="00C11302">
      <w:pPr>
        <w:pStyle w:val="ecxmsolistparagraph"/>
        <w:spacing w:after="240"/>
        <w:jc w:val="both"/>
        <w:rPr>
          <w:bCs/>
          <w:iCs/>
        </w:rPr>
      </w:pPr>
      <w:r>
        <w:t xml:space="preserve">El sistema de asilo de Kosovo </w:t>
      </w:r>
      <w:r w:rsidR="00E77CCC">
        <w:t>está en funcionamiento</w:t>
      </w:r>
      <w:r>
        <w:t xml:space="preserve">, y su legislación incorpora elementos esenciales del acervo de la UE en materia de asilo. En los casos en que los solicitantes </w:t>
      </w:r>
      <w:r>
        <w:lastRenderedPageBreak/>
        <w:t>permanecieron en Kosovo tras la presentación de una solicitud de asilo, Kosovo ha seguido sistemáticamente los procedimientos de asilo establecidos en su legislación.</w:t>
      </w:r>
    </w:p>
    <w:p w:rsidR="00C11302" w:rsidRPr="00641057" w:rsidRDefault="001C083A" w:rsidP="00C11302">
      <w:pPr>
        <w:pStyle w:val="ecxmsolistparagraph"/>
        <w:spacing w:after="240"/>
        <w:jc w:val="both"/>
        <w:rPr>
          <w:bCs/>
          <w:iCs/>
        </w:rPr>
      </w:pPr>
      <w:r>
        <w:t>La tasa de reconocimiento también sigue siendo baja: en 2015, dos de los 70 solicitantes de asilo recibieron protección subsidiaria; en 2014, uno de 98; en 2013, cuatro de 62; Ello representó una tasa de reconocimiento del 3 %, el 1 % y el 6 % en 2015, 2014 y 2013, respectivamente.</w:t>
      </w:r>
    </w:p>
    <w:p w:rsidR="00620C35" w:rsidRPr="000C54EC" w:rsidRDefault="00620C35" w:rsidP="007D252F">
      <w:pPr>
        <w:pStyle w:val="ecxmsolistparagraph"/>
        <w:spacing w:after="240"/>
        <w:jc w:val="both"/>
      </w:pPr>
      <w:r>
        <w:t>La mayoría de los solicitantes permanecieron en Kosovo durante una semana antes de fugarse. En 2015, las autoridades solo pudieron realizar seis entrevistas de entre las 59 solicitudes, ya que los 53 solicitantes restantes se fugaron. De esos seis solicitantes, se concedió protección subsidiaria a dos de ellos, lo que representa una mayo</w:t>
      </w:r>
      <w:r w:rsidR="000C54EC">
        <w:t>r tasa de reconocimiento para lo</w:t>
      </w:r>
      <w:r>
        <w:t xml:space="preserve">s solicitantes de asilo a los que pudo entrevistarse. </w:t>
      </w:r>
    </w:p>
    <w:p w:rsidR="007D252F" w:rsidRDefault="00E05458" w:rsidP="007D252F">
      <w:pPr>
        <w:pStyle w:val="NormalWeb"/>
        <w:spacing w:before="0" w:beforeAutospacing="0" w:after="240" w:afterAutospacing="0"/>
        <w:jc w:val="both"/>
      </w:pPr>
      <w:r>
        <w:t xml:space="preserve">Globalmente, Kosovo ha </w:t>
      </w:r>
      <w:r>
        <w:rPr>
          <w:b/>
        </w:rPr>
        <w:t>cumplido</w:t>
      </w:r>
      <w:r>
        <w:t xml:space="preserve"> el requisito pendiente relativo al seguimiento de la baja tasa de reconocimiento de</w:t>
      </w:r>
      <w:r w:rsidR="000C54EC">
        <w:t>l</w:t>
      </w:r>
      <w:r>
        <w:t xml:space="preserve"> asilo.</w:t>
      </w:r>
    </w:p>
    <w:p w:rsidR="00DB07D8" w:rsidRPr="00641057" w:rsidRDefault="00737E4B" w:rsidP="00726623">
      <w:pPr>
        <w:keepNext/>
        <w:spacing w:after="240" w:line="240" w:lineRule="auto"/>
        <w:jc w:val="both"/>
        <w:rPr>
          <w:rFonts w:ascii="Times New Roman" w:hAnsi="Times New Roman"/>
          <w:b/>
          <w:sz w:val="24"/>
          <w:szCs w:val="24"/>
        </w:rPr>
      </w:pPr>
      <w:r>
        <w:rPr>
          <w:rFonts w:ascii="Times New Roman" w:hAnsi="Times New Roman"/>
          <w:b/>
          <w:sz w:val="24"/>
        </w:rPr>
        <w:t xml:space="preserve">5. BLOQUE 3: ORDEN PÚBLICO Y SEGURIDAD </w:t>
      </w:r>
    </w:p>
    <w:p w:rsidR="00AF3B76" w:rsidRPr="00642D02" w:rsidRDefault="00AF3B76"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5.1. Prevención y lucha contra la delincuencia organizada, la corrupción y el terrorismo</w:t>
      </w:r>
    </w:p>
    <w:p w:rsidR="00EF67DD" w:rsidRPr="00641057" w:rsidRDefault="00EF67DD" w:rsidP="009E3F02">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 catorce de los quince requisitos</w:t>
      </w:r>
      <w:r>
        <w:rPr>
          <w:rFonts w:ascii="Times New Roman" w:hAnsi="Times New Roman"/>
          <w:sz w:val="24"/>
        </w:rPr>
        <w:t xml:space="preserve"> en el ámbito de la lucha contra la delincuencia organizada, la corrupción y el terrorismo, así como </w:t>
      </w:r>
      <w:r>
        <w:rPr>
          <w:rFonts w:ascii="Times New Roman" w:hAnsi="Times New Roman"/>
          <w:b/>
          <w:sz w:val="24"/>
        </w:rPr>
        <w:t>suficientes elementos de la decimoquinta prioridad clave</w:t>
      </w:r>
      <w:r>
        <w:rPr>
          <w:rFonts w:ascii="Times New Roman" w:hAnsi="Times New Roman"/>
          <w:sz w:val="24"/>
        </w:rPr>
        <w:t xml:space="preserve">. </w:t>
      </w:r>
    </w:p>
    <w:p w:rsidR="000B3768" w:rsidRPr="00641057" w:rsidRDefault="000B3768" w:rsidP="009E3F02">
      <w:pPr>
        <w:spacing w:after="240" w:line="240" w:lineRule="auto"/>
        <w:jc w:val="both"/>
        <w:rPr>
          <w:rFonts w:ascii="Times New Roman" w:hAnsi="Times New Roman"/>
          <w:sz w:val="24"/>
          <w:szCs w:val="24"/>
        </w:rPr>
      </w:pPr>
      <w:r>
        <w:rPr>
          <w:rFonts w:ascii="Times New Roman" w:hAnsi="Times New Roman"/>
          <w:sz w:val="24"/>
        </w:rPr>
        <w:t>El tercer informe de la Comisión señaló tres prioridades clave pendientes en el ámbito de la lucha contra la delincuencia organizada, la corrupción y el terrorismo:</w:t>
      </w:r>
    </w:p>
    <w:p w:rsidR="009E3F02" w:rsidRPr="00641057" w:rsidRDefault="009E3F02" w:rsidP="009E3F02">
      <w:pPr>
        <w:numPr>
          <w:ilvl w:val="0"/>
          <w:numId w:val="35"/>
        </w:numPr>
        <w:autoSpaceDE w:val="0"/>
        <w:autoSpaceDN w:val="0"/>
        <w:adjustRightInd w:val="0"/>
        <w:spacing w:after="240" w:line="240" w:lineRule="auto"/>
        <w:jc w:val="both"/>
        <w:rPr>
          <w:rFonts w:ascii="Times New Roman" w:hAnsi="Times New Roman"/>
          <w:color w:val="000000"/>
          <w:sz w:val="24"/>
          <w:szCs w:val="24"/>
        </w:rPr>
      </w:pPr>
      <w:r>
        <w:rPr>
          <w:rFonts w:ascii="Times New Roman" w:hAnsi="Times New Roman"/>
          <w:color w:val="000000"/>
          <w:sz w:val="24"/>
        </w:rPr>
        <w:t xml:space="preserve">transferencia de un número suficiente de jueces, con el adecuado </w:t>
      </w:r>
      <w:r w:rsidR="00E77CCC">
        <w:rPr>
          <w:rFonts w:ascii="Times New Roman" w:hAnsi="Times New Roman"/>
          <w:color w:val="000000"/>
          <w:sz w:val="24"/>
        </w:rPr>
        <w:t>personal de apoyo</w:t>
      </w:r>
      <w:r>
        <w:rPr>
          <w:rFonts w:ascii="Times New Roman" w:hAnsi="Times New Roman"/>
          <w:color w:val="000000"/>
          <w:sz w:val="24"/>
        </w:rPr>
        <w:t xml:space="preserve">, a </w:t>
      </w:r>
      <w:r w:rsidR="00E77CCC">
        <w:rPr>
          <w:rFonts w:ascii="Times New Roman" w:hAnsi="Times New Roman"/>
          <w:color w:val="000000"/>
          <w:sz w:val="24"/>
        </w:rPr>
        <w:t>las secciones</w:t>
      </w:r>
      <w:r>
        <w:rPr>
          <w:rFonts w:ascii="Times New Roman" w:hAnsi="Times New Roman"/>
          <w:color w:val="000000"/>
          <w:sz w:val="24"/>
        </w:rPr>
        <w:t xml:space="preserve"> de delitos graves en los tribunales de Kosovo; </w:t>
      </w:r>
    </w:p>
    <w:p w:rsidR="009E3F02" w:rsidRPr="00641057" w:rsidRDefault="009E3F02" w:rsidP="009E3F02">
      <w:pPr>
        <w:numPr>
          <w:ilvl w:val="0"/>
          <w:numId w:val="35"/>
        </w:numPr>
        <w:autoSpaceDE w:val="0"/>
        <w:autoSpaceDN w:val="0"/>
        <w:adjustRightInd w:val="0"/>
        <w:spacing w:after="240" w:line="240" w:lineRule="auto"/>
        <w:jc w:val="both"/>
        <w:rPr>
          <w:rFonts w:ascii="Times New Roman" w:hAnsi="Times New Roman"/>
          <w:color w:val="000000"/>
          <w:sz w:val="24"/>
          <w:szCs w:val="24"/>
        </w:rPr>
      </w:pPr>
      <w:r>
        <w:rPr>
          <w:rFonts w:ascii="Times New Roman" w:hAnsi="Times New Roman"/>
          <w:color w:val="000000"/>
          <w:sz w:val="24"/>
        </w:rPr>
        <w:t xml:space="preserve">creación de un registro de investigaciones, sentencias judiciales firmes y decomisos en casos de delincuencia organizada y corrupción graves, en particular dando al coordinador central de los casos graves de delincuencia organizada y corrupción el mandato y los recursos para dirigir equipos multidisciplinares de investigación financiera y para supervisar el seguimiento judicial de dichos casos; </w:t>
      </w:r>
    </w:p>
    <w:p w:rsidR="009E3F02" w:rsidRPr="00641057" w:rsidRDefault="000C54EC" w:rsidP="009E3F02">
      <w:pPr>
        <w:numPr>
          <w:ilvl w:val="0"/>
          <w:numId w:val="35"/>
        </w:numPr>
        <w:autoSpaceDE w:val="0"/>
        <w:autoSpaceDN w:val="0"/>
        <w:adjustRightInd w:val="0"/>
        <w:spacing w:after="240" w:line="240" w:lineRule="auto"/>
        <w:jc w:val="both"/>
        <w:rPr>
          <w:rFonts w:ascii="Times New Roman" w:hAnsi="Times New Roman"/>
          <w:color w:val="000000"/>
          <w:sz w:val="24"/>
          <w:szCs w:val="24"/>
        </w:rPr>
      </w:pPr>
      <w:r>
        <w:rPr>
          <w:rFonts w:ascii="Times New Roman" w:hAnsi="Times New Roman"/>
          <w:color w:val="000000"/>
          <w:sz w:val="24"/>
        </w:rPr>
        <w:t>garantía de</w:t>
      </w:r>
      <w:r w:rsidR="009E3F02">
        <w:rPr>
          <w:rFonts w:ascii="Times New Roman" w:hAnsi="Times New Roman"/>
          <w:color w:val="000000"/>
          <w:sz w:val="24"/>
        </w:rPr>
        <w:t xml:space="preserve"> la independencia operativa del Organismo de Revisión de la Contratación Pública y </w:t>
      </w:r>
      <w:r>
        <w:rPr>
          <w:rFonts w:ascii="Times New Roman" w:hAnsi="Times New Roman"/>
          <w:color w:val="000000"/>
          <w:sz w:val="24"/>
        </w:rPr>
        <w:t>aplicación de</w:t>
      </w:r>
      <w:r w:rsidR="009E3F02">
        <w:rPr>
          <w:rFonts w:ascii="Times New Roman" w:hAnsi="Times New Roman"/>
          <w:color w:val="000000"/>
          <w:sz w:val="24"/>
        </w:rPr>
        <w:t xml:space="preserve"> planes estrictos de integridad para proteger su independencia y la de la Comisión Reguladora de la Contratación Pública. </w:t>
      </w:r>
    </w:p>
    <w:p w:rsidR="0022592C" w:rsidRPr="00642D02" w:rsidRDefault="0022592C" w:rsidP="00726623">
      <w:pPr>
        <w:keepNext/>
        <w:spacing w:after="240" w:line="240" w:lineRule="auto"/>
        <w:jc w:val="both"/>
        <w:rPr>
          <w:rFonts w:ascii="Times New Roman" w:hAnsi="Times New Roman"/>
          <w:b/>
          <w:i/>
          <w:sz w:val="24"/>
          <w:szCs w:val="24"/>
        </w:rPr>
      </w:pPr>
      <w:r>
        <w:rPr>
          <w:rFonts w:ascii="Times New Roman" w:hAnsi="Times New Roman"/>
          <w:b/>
          <w:i/>
          <w:sz w:val="24"/>
        </w:rPr>
        <w:t>Transferencia de jueces y de personal auxiliar a unidades de delitos graves en los tribunales de primera instancia</w:t>
      </w:r>
    </w:p>
    <w:p w:rsidR="009408C3" w:rsidRDefault="005A2E4C" w:rsidP="009E3F02">
      <w:pPr>
        <w:spacing w:after="240" w:line="240" w:lineRule="auto"/>
        <w:jc w:val="both"/>
        <w:rPr>
          <w:rFonts w:ascii="Times New Roman" w:hAnsi="Times New Roman"/>
          <w:sz w:val="24"/>
          <w:szCs w:val="24"/>
        </w:rPr>
      </w:pPr>
      <w:r>
        <w:rPr>
          <w:rFonts w:ascii="Times New Roman" w:hAnsi="Times New Roman"/>
          <w:sz w:val="24"/>
        </w:rPr>
        <w:t xml:space="preserve">Desde julio de 2015, el Consejo Judicial de Kosovo (KJC) ha transferido 6 jueces al Tribunal de Primera Instancia de </w:t>
      </w:r>
      <w:proofErr w:type="spellStart"/>
      <w:r>
        <w:rPr>
          <w:rFonts w:ascii="Times New Roman" w:hAnsi="Times New Roman"/>
          <w:sz w:val="24"/>
        </w:rPr>
        <w:t>Prishtinë</w:t>
      </w:r>
      <w:proofErr w:type="spellEnd"/>
      <w:r>
        <w:rPr>
          <w:rFonts w:ascii="Times New Roman" w:hAnsi="Times New Roman"/>
          <w:sz w:val="24"/>
        </w:rPr>
        <w:t>/Priština, con lo que el número total ha aumentado hasta 18. El KJC</w:t>
      </w:r>
      <w:r w:rsidR="000C54EC">
        <w:rPr>
          <w:rFonts w:ascii="Times New Roman" w:hAnsi="Times New Roman"/>
          <w:sz w:val="24"/>
        </w:rPr>
        <w:t xml:space="preserve"> también ha transferido jueces u</w:t>
      </w:r>
      <w:r>
        <w:rPr>
          <w:rFonts w:ascii="Times New Roman" w:hAnsi="Times New Roman"/>
          <w:sz w:val="24"/>
        </w:rPr>
        <w:t xml:space="preserve"> otros tribunales de primera instancia: uno a </w:t>
      </w:r>
      <w:proofErr w:type="spellStart"/>
      <w:r>
        <w:rPr>
          <w:rFonts w:ascii="Times New Roman" w:hAnsi="Times New Roman"/>
          <w:sz w:val="24"/>
        </w:rPr>
        <w:t>Ferizaj</w:t>
      </w:r>
      <w:proofErr w:type="spellEnd"/>
      <w:r>
        <w:rPr>
          <w:rFonts w:ascii="Times New Roman" w:hAnsi="Times New Roman"/>
          <w:sz w:val="24"/>
        </w:rPr>
        <w:t>/</w:t>
      </w:r>
      <w:proofErr w:type="spellStart"/>
      <w:r>
        <w:rPr>
          <w:rFonts w:ascii="Times New Roman" w:hAnsi="Times New Roman"/>
          <w:sz w:val="24"/>
        </w:rPr>
        <w:t>Uroševac</w:t>
      </w:r>
      <w:proofErr w:type="spellEnd"/>
      <w:r>
        <w:rPr>
          <w:rFonts w:ascii="Times New Roman" w:hAnsi="Times New Roman"/>
          <w:sz w:val="24"/>
        </w:rPr>
        <w:t xml:space="preserve">, dos a </w:t>
      </w:r>
      <w:proofErr w:type="spellStart"/>
      <w:r>
        <w:rPr>
          <w:rFonts w:ascii="Times New Roman" w:hAnsi="Times New Roman"/>
          <w:sz w:val="24"/>
        </w:rPr>
        <w:t>Gjakova</w:t>
      </w:r>
      <w:proofErr w:type="spellEnd"/>
      <w:r>
        <w:rPr>
          <w:rFonts w:ascii="Times New Roman" w:hAnsi="Times New Roman"/>
          <w:sz w:val="24"/>
        </w:rPr>
        <w:t>/</w:t>
      </w:r>
      <w:proofErr w:type="spellStart"/>
      <w:r>
        <w:rPr>
          <w:rFonts w:ascii="Times New Roman" w:hAnsi="Times New Roman"/>
          <w:sz w:val="24"/>
        </w:rPr>
        <w:t>Đakovica</w:t>
      </w:r>
      <w:proofErr w:type="spellEnd"/>
      <w:r>
        <w:rPr>
          <w:rFonts w:ascii="Times New Roman" w:hAnsi="Times New Roman"/>
          <w:sz w:val="24"/>
        </w:rPr>
        <w:t xml:space="preserve"> y uno a </w:t>
      </w:r>
      <w:proofErr w:type="spellStart"/>
      <w:r>
        <w:rPr>
          <w:rFonts w:ascii="Times New Roman" w:hAnsi="Times New Roman"/>
          <w:sz w:val="24"/>
        </w:rPr>
        <w:t>Pejë</w:t>
      </w:r>
      <w:proofErr w:type="spellEnd"/>
      <w:r>
        <w:rPr>
          <w:rFonts w:ascii="Times New Roman" w:hAnsi="Times New Roman"/>
          <w:sz w:val="24"/>
        </w:rPr>
        <w:t>/</w:t>
      </w:r>
      <w:proofErr w:type="spellStart"/>
      <w:r>
        <w:rPr>
          <w:rFonts w:ascii="Times New Roman" w:hAnsi="Times New Roman"/>
          <w:sz w:val="24"/>
        </w:rPr>
        <w:t>Peć</w:t>
      </w:r>
      <w:proofErr w:type="spellEnd"/>
      <w:r>
        <w:rPr>
          <w:rFonts w:ascii="Times New Roman" w:hAnsi="Times New Roman"/>
          <w:sz w:val="24"/>
        </w:rPr>
        <w:t xml:space="preserve">, con lo que el número total de jueces en cada tribunal de primera instancia </w:t>
      </w:r>
      <w:r w:rsidR="000C54EC">
        <w:rPr>
          <w:rFonts w:ascii="Times New Roman" w:hAnsi="Times New Roman"/>
          <w:sz w:val="24"/>
        </w:rPr>
        <w:t xml:space="preserve">asciende </w:t>
      </w:r>
      <w:r>
        <w:rPr>
          <w:rFonts w:ascii="Times New Roman" w:hAnsi="Times New Roman"/>
          <w:sz w:val="24"/>
        </w:rPr>
        <w:t xml:space="preserve">a un mínimo de seis. El KJC ha aumentado los sueldos de los jueces y </w:t>
      </w:r>
      <w:r w:rsidR="000C54EC">
        <w:rPr>
          <w:rFonts w:ascii="Times New Roman" w:hAnsi="Times New Roman"/>
          <w:sz w:val="24"/>
        </w:rPr>
        <w:t>puesto</w:t>
      </w:r>
      <w:r>
        <w:rPr>
          <w:rFonts w:ascii="Times New Roman" w:hAnsi="Times New Roman"/>
          <w:sz w:val="24"/>
        </w:rPr>
        <w:t xml:space="preserve"> en marcha la selección de seis asociados profesionales y</w:t>
      </w:r>
      <w:r w:rsidR="000C54EC">
        <w:rPr>
          <w:rFonts w:ascii="Times New Roman" w:hAnsi="Times New Roman"/>
          <w:sz w:val="24"/>
        </w:rPr>
        <w:t>, en febrero de 2016,</w:t>
      </w:r>
      <w:r>
        <w:rPr>
          <w:rFonts w:ascii="Times New Roman" w:hAnsi="Times New Roman"/>
          <w:sz w:val="24"/>
        </w:rPr>
        <w:t xml:space="preserve"> publicó puestos vacantes para otros 25. </w:t>
      </w:r>
    </w:p>
    <w:p w:rsidR="00641057" w:rsidRDefault="00641057" w:rsidP="009E3F02">
      <w:pPr>
        <w:spacing w:after="240" w:line="240" w:lineRule="auto"/>
        <w:jc w:val="both"/>
        <w:rPr>
          <w:rFonts w:ascii="Times New Roman" w:hAnsi="Times New Roman"/>
          <w:sz w:val="24"/>
          <w:szCs w:val="24"/>
        </w:rPr>
      </w:pPr>
      <w:r>
        <w:rPr>
          <w:rFonts w:ascii="Times New Roman" w:hAnsi="Times New Roman"/>
          <w:sz w:val="24"/>
        </w:rPr>
        <w:lastRenderedPageBreak/>
        <w:t xml:space="preserve">El 24 de marzo, el Parlamento modificó la Ley del </w:t>
      </w:r>
      <w:r w:rsidR="000C54EC">
        <w:rPr>
          <w:rFonts w:ascii="Times New Roman" w:hAnsi="Times New Roman"/>
          <w:sz w:val="24"/>
        </w:rPr>
        <w:t>KJC</w:t>
      </w:r>
      <w:r>
        <w:rPr>
          <w:rStyle w:val="FootnoteReference"/>
          <w:rFonts w:ascii="Times New Roman" w:hAnsi="Times New Roman"/>
          <w:sz w:val="24"/>
        </w:rPr>
        <w:footnoteReference w:id="10"/>
      </w:r>
      <w:r w:rsidR="000C54EC">
        <w:rPr>
          <w:rFonts w:ascii="Times New Roman" w:hAnsi="Times New Roman"/>
          <w:sz w:val="24"/>
        </w:rPr>
        <w:t xml:space="preserve"> </w:t>
      </w:r>
      <w:r>
        <w:rPr>
          <w:rFonts w:ascii="Times New Roman" w:hAnsi="Times New Roman"/>
          <w:sz w:val="24"/>
        </w:rPr>
        <w:t xml:space="preserve">para eliminar el límite máximo anterior de seis meses aplicable a las transferencias, con lo que estas eran </w:t>
      </w:r>
      <w:proofErr w:type="gramStart"/>
      <w:r>
        <w:rPr>
          <w:rFonts w:ascii="Times New Roman" w:hAnsi="Times New Roman"/>
          <w:sz w:val="24"/>
        </w:rPr>
        <w:t>posible</w:t>
      </w:r>
      <w:proofErr w:type="gramEnd"/>
      <w:r>
        <w:rPr>
          <w:rFonts w:ascii="Times New Roman" w:hAnsi="Times New Roman"/>
          <w:sz w:val="24"/>
        </w:rPr>
        <w:t xml:space="preserve"> «durante un período razonable.» </w:t>
      </w:r>
      <w:r w:rsidRPr="000C54EC">
        <w:rPr>
          <w:rFonts w:ascii="Times New Roman" w:hAnsi="Times New Roman"/>
          <w:sz w:val="24"/>
        </w:rPr>
        <w:t>Dado que la duración media de cada asunto es de unos ocho meses, esta enmienda fue un componente crucial del fortalecimiento del seguimiento judicial de los casos de delincuencia organizada y de corrupción en Kosovo</w:t>
      </w:r>
      <w:r>
        <w:rPr>
          <w:rStyle w:val="FootnoteReference"/>
          <w:rFonts w:ascii="Times New Roman" w:hAnsi="Times New Roman"/>
          <w:sz w:val="24"/>
        </w:rPr>
        <w:footnoteReference w:id="11"/>
      </w:r>
      <w:r>
        <w:t>.</w:t>
      </w:r>
    </w:p>
    <w:p w:rsidR="000B3768" w:rsidRPr="00641057" w:rsidRDefault="00D13C0C" w:rsidP="009E3F02">
      <w:pPr>
        <w:spacing w:after="240" w:line="240" w:lineRule="auto"/>
        <w:jc w:val="both"/>
        <w:rPr>
          <w:rFonts w:ascii="Times New Roman" w:hAnsi="Times New Roman"/>
          <w:sz w:val="24"/>
          <w:szCs w:val="24"/>
        </w:rPr>
      </w:pPr>
      <w:r>
        <w:rPr>
          <w:rFonts w:ascii="Times New Roman" w:hAnsi="Times New Roman"/>
          <w:sz w:val="24"/>
        </w:rPr>
        <w:t xml:space="preserve">Globalmente, Kosovo ha </w:t>
      </w:r>
      <w:r>
        <w:rPr>
          <w:rFonts w:ascii="Times New Roman" w:hAnsi="Times New Roman"/>
          <w:b/>
          <w:sz w:val="24"/>
        </w:rPr>
        <w:t>cumplido</w:t>
      </w:r>
      <w:r>
        <w:rPr>
          <w:rFonts w:ascii="Times New Roman" w:hAnsi="Times New Roman"/>
          <w:sz w:val="24"/>
        </w:rPr>
        <w:t xml:space="preserve"> la prioridad clave pendiente de transferir un número suficiente de jueces y de personal auxiliar a </w:t>
      </w:r>
      <w:r w:rsidR="00E77CCC">
        <w:rPr>
          <w:rFonts w:ascii="Times New Roman" w:hAnsi="Times New Roman"/>
          <w:sz w:val="24"/>
        </w:rPr>
        <w:t>las secciones</w:t>
      </w:r>
      <w:r>
        <w:rPr>
          <w:rFonts w:ascii="Times New Roman" w:hAnsi="Times New Roman"/>
          <w:sz w:val="24"/>
        </w:rPr>
        <w:t xml:space="preserve"> de delitos graves en los tribunales de primera instancia.</w:t>
      </w:r>
    </w:p>
    <w:p w:rsidR="0022592C" w:rsidRPr="00642D02" w:rsidRDefault="000B64AC" w:rsidP="00726623">
      <w:pPr>
        <w:keepNext/>
        <w:spacing w:line="240" w:lineRule="auto"/>
        <w:jc w:val="both"/>
        <w:rPr>
          <w:rFonts w:ascii="Times New Roman" w:hAnsi="Times New Roman"/>
          <w:b/>
          <w:i/>
          <w:sz w:val="24"/>
          <w:szCs w:val="24"/>
        </w:rPr>
      </w:pPr>
      <w:r>
        <w:rPr>
          <w:rFonts w:ascii="Times New Roman" w:hAnsi="Times New Roman"/>
          <w:b/>
          <w:i/>
          <w:color w:val="000000"/>
          <w:sz w:val="24"/>
        </w:rPr>
        <w:t xml:space="preserve">Creación de un registro de investigaciones, sentencias judiciales firmes </w:t>
      </w:r>
      <w:r w:rsidR="000C54EC">
        <w:rPr>
          <w:rFonts w:ascii="Times New Roman" w:hAnsi="Times New Roman"/>
          <w:b/>
          <w:i/>
          <w:color w:val="000000"/>
          <w:sz w:val="24"/>
        </w:rPr>
        <w:t>e incautaciones</w:t>
      </w:r>
      <w:r>
        <w:rPr>
          <w:rFonts w:ascii="Times New Roman" w:hAnsi="Times New Roman"/>
          <w:b/>
          <w:i/>
          <w:color w:val="000000"/>
          <w:sz w:val="24"/>
        </w:rPr>
        <w:t xml:space="preserve"> en casos de corrupción y de delincuencia organizada grave</w:t>
      </w:r>
    </w:p>
    <w:p w:rsidR="00884E5C" w:rsidRDefault="00F41DF3" w:rsidP="00BA0720">
      <w:pPr>
        <w:spacing w:line="240" w:lineRule="auto"/>
        <w:jc w:val="both"/>
        <w:rPr>
          <w:rFonts w:ascii="Times New Roman" w:hAnsi="Times New Roman"/>
          <w:sz w:val="24"/>
          <w:szCs w:val="24"/>
        </w:rPr>
      </w:pPr>
      <w:r>
        <w:rPr>
          <w:rFonts w:ascii="Times New Roman" w:hAnsi="Times New Roman"/>
          <w:sz w:val="24"/>
        </w:rPr>
        <w:t xml:space="preserve">Entre septiembre y diciembre de 2015, el Consejo Fiscal de Kosovo (KPC) estableció un sistema integrado de gestión de asuntos que permite el seguimiento de un número restringido de casos destacados de delincuencia organizada y corrupción, desde la investigación hasta la condena firme, pasando por el enjuiciamiento. Dicho sistema consta de una base sofisticada de datos que funciona como herramienta de TI y de gestión. </w:t>
      </w:r>
    </w:p>
    <w:p w:rsidR="008258EB" w:rsidRPr="00641057" w:rsidRDefault="00884E5C" w:rsidP="00BA0720">
      <w:pPr>
        <w:spacing w:line="240" w:lineRule="auto"/>
        <w:jc w:val="both"/>
        <w:rPr>
          <w:rFonts w:ascii="Times New Roman" w:hAnsi="Times New Roman"/>
          <w:sz w:val="24"/>
          <w:szCs w:val="24"/>
        </w:rPr>
      </w:pPr>
      <w:r>
        <w:rPr>
          <w:rFonts w:ascii="Times New Roman" w:hAnsi="Times New Roman"/>
          <w:sz w:val="24"/>
        </w:rPr>
        <w:t xml:space="preserve">Los asuntos son seleccionados por el coordinador central en la fiscalía especial y dentro de una estructura multidisciplinar que se extiende a la policía, la unidad de inteligencia financiera, la administración tributaria, el organismo para la administración de los activos incautados y embargados (AMSCA), el sistema penitenciario y </w:t>
      </w:r>
      <w:r w:rsidR="00E77CCC">
        <w:rPr>
          <w:rFonts w:ascii="Times New Roman" w:hAnsi="Times New Roman"/>
          <w:sz w:val="24"/>
        </w:rPr>
        <w:t xml:space="preserve">las secciones </w:t>
      </w:r>
      <w:r>
        <w:rPr>
          <w:rFonts w:ascii="Times New Roman" w:hAnsi="Times New Roman"/>
          <w:sz w:val="24"/>
        </w:rPr>
        <w:t xml:space="preserve">de delitos graves en los tribunales de primera instancia. Cada organismo ha </w:t>
      </w:r>
      <w:r w:rsidR="000C54EC">
        <w:rPr>
          <w:rFonts w:ascii="Times New Roman" w:hAnsi="Times New Roman"/>
          <w:sz w:val="24"/>
        </w:rPr>
        <w:t>enviado en comisión de servicios</w:t>
      </w:r>
      <w:r>
        <w:rPr>
          <w:rFonts w:ascii="Times New Roman" w:hAnsi="Times New Roman"/>
          <w:sz w:val="24"/>
        </w:rPr>
        <w:t xml:space="preserve"> a miembros permanentes </w:t>
      </w:r>
      <w:r w:rsidR="000C54EC">
        <w:rPr>
          <w:rFonts w:ascii="Times New Roman" w:hAnsi="Times New Roman"/>
          <w:sz w:val="24"/>
        </w:rPr>
        <w:t>a</w:t>
      </w:r>
      <w:r>
        <w:rPr>
          <w:rFonts w:ascii="Times New Roman" w:hAnsi="Times New Roman"/>
          <w:sz w:val="24"/>
        </w:rPr>
        <w:t xml:space="preserve"> esta estructura multidisciplinar, que alimenta</w:t>
      </w:r>
      <w:r w:rsidR="000D0071">
        <w:rPr>
          <w:rFonts w:ascii="Times New Roman" w:hAnsi="Times New Roman"/>
          <w:sz w:val="24"/>
        </w:rPr>
        <w:t>n</w:t>
      </w:r>
      <w:r>
        <w:rPr>
          <w:rFonts w:ascii="Times New Roman" w:hAnsi="Times New Roman"/>
          <w:sz w:val="24"/>
        </w:rPr>
        <w:t xml:space="preserve"> la base de datos e intercambian informació</w:t>
      </w:r>
      <w:r w:rsidR="000D0071">
        <w:rPr>
          <w:rFonts w:ascii="Times New Roman" w:hAnsi="Times New Roman"/>
          <w:sz w:val="24"/>
        </w:rPr>
        <w:t>n</w:t>
      </w:r>
      <w:r>
        <w:rPr>
          <w:rFonts w:ascii="Times New Roman" w:hAnsi="Times New Roman"/>
          <w:sz w:val="24"/>
        </w:rPr>
        <w:t xml:space="preserve"> sobre los asuntos. Cada asunto seleccionado se trata como prioridad máxima. Los presidentes de los tribunales deben asignar inmediatamente dichos asuntos a los jueces e informar mensualmente al KJC sobre las acciones emprendidas y la evolución </w:t>
      </w:r>
      <w:r w:rsidR="000D0071">
        <w:rPr>
          <w:rFonts w:ascii="Times New Roman" w:hAnsi="Times New Roman"/>
          <w:sz w:val="24"/>
        </w:rPr>
        <w:t>de la situación en el ámbito judicial.</w:t>
      </w:r>
    </w:p>
    <w:p w:rsidR="008258EB" w:rsidRDefault="006974AD" w:rsidP="006723FF">
      <w:pPr>
        <w:spacing w:after="240" w:line="240" w:lineRule="auto"/>
        <w:jc w:val="both"/>
      </w:pPr>
      <w:r>
        <w:rPr>
          <w:rFonts w:ascii="Times New Roman" w:hAnsi="Times New Roman"/>
          <w:sz w:val="24"/>
        </w:rPr>
        <w:t xml:space="preserve">De esa base de datos, Kosovo ha seleccionado 31 asuntos de delincuencia organizada y corrupción. Hasta la fecha, los fiscales han presentado 15 escritos de acusación contra 54 personas. Las investigaciones se anularon en dos casos. 14 asuntos siguen siendo objeto de investigación. Uno de esos asuntos dio lugar a condenas en primera instancia el 6 de abril de 2016: un grupo de jueces declaró culpables de delitos de corrupción a tres </w:t>
      </w:r>
      <w:r w:rsidR="008C219C">
        <w:rPr>
          <w:rFonts w:ascii="Times New Roman" w:hAnsi="Times New Roman"/>
          <w:sz w:val="24"/>
        </w:rPr>
        <w:t>acusados</w:t>
      </w:r>
      <w:r>
        <w:rPr>
          <w:rFonts w:ascii="Times New Roman" w:hAnsi="Times New Roman"/>
          <w:sz w:val="24"/>
        </w:rPr>
        <w:t xml:space="preserve">; el principal </w:t>
      </w:r>
      <w:r w:rsidR="008C219C">
        <w:rPr>
          <w:rFonts w:ascii="Times New Roman" w:hAnsi="Times New Roman"/>
          <w:sz w:val="24"/>
        </w:rPr>
        <w:t>acusado</w:t>
      </w:r>
      <w:r>
        <w:rPr>
          <w:rFonts w:ascii="Times New Roman" w:hAnsi="Times New Roman"/>
          <w:sz w:val="24"/>
        </w:rPr>
        <w:t xml:space="preserve"> fue condenado a una pena de prisión de tres años y otras sanciones; el segundo </w:t>
      </w:r>
      <w:r w:rsidR="008C219C">
        <w:rPr>
          <w:rFonts w:ascii="Times New Roman" w:hAnsi="Times New Roman"/>
          <w:sz w:val="24"/>
        </w:rPr>
        <w:t>acusado</w:t>
      </w:r>
      <w:r>
        <w:rPr>
          <w:rFonts w:ascii="Times New Roman" w:hAnsi="Times New Roman"/>
          <w:sz w:val="24"/>
        </w:rPr>
        <w:t xml:space="preserve"> a 18 meses de cárcel; y el tercero a una multa. El principal demandado había </w:t>
      </w:r>
      <w:r w:rsidR="008C219C">
        <w:rPr>
          <w:rFonts w:ascii="Times New Roman" w:hAnsi="Times New Roman"/>
          <w:sz w:val="24"/>
        </w:rPr>
        <w:t>ejercido</w:t>
      </w:r>
      <w:r>
        <w:rPr>
          <w:rFonts w:ascii="Times New Roman" w:hAnsi="Times New Roman"/>
          <w:sz w:val="24"/>
        </w:rPr>
        <w:t xml:space="preserve"> como fiscal en un caso de presunto asesinato y fue condenado por haber aceptado un soborno.</w:t>
      </w:r>
      <w:r>
        <w:t xml:space="preserve"> </w:t>
      </w:r>
    </w:p>
    <w:p w:rsidR="00D031BB" w:rsidRPr="00D031BB" w:rsidRDefault="0068110C" w:rsidP="006C1C44">
      <w:pPr>
        <w:spacing w:after="240" w:line="240" w:lineRule="auto"/>
        <w:jc w:val="both"/>
        <w:rPr>
          <w:rFonts w:ascii="Times New Roman" w:eastAsia="Times New Roman" w:hAnsi="Times New Roman"/>
          <w:sz w:val="24"/>
          <w:szCs w:val="24"/>
        </w:rPr>
      </w:pPr>
      <w:r>
        <w:rPr>
          <w:rFonts w:ascii="Times New Roman" w:hAnsi="Times New Roman"/>
          <w:sz w:val="24"/>
        </w:rPr>
        <w:t xml:space="preserve">El 27 de abril de 2016, Kosovo detuvo a seis personas en una investigación sobre una presunta estafa en la compra y venta de terrenos de dominio público, por un importe de 30 millones </w:t>
      </w:r>
      <w:r>
        <w:rPr>
          <w:rStyle w:val="st"/>
          <w:rFonts w:ascii="Times New Roman" w:hAnsi="Times New Roman"/>
          <w:sz w:val="24"/>
        </w:rPr>
        <w:t>EUR</w:t>
      </w:r>
      <w:r>
        <w:rPr>
          <w:rFonts w:ascii="Times New Roman" w:hAnsi="Times New Roman"/>
          <w:sz w:val="24"/>
        </w:rPr>
        <w:t xml:space="preserve">. Un destacado legislador era el presunto dirigente del fraude, en el que podrían haber participado 40 personas. Esta persona se entregó a las autoridades el 29 de abril de 2016. La investigación se dirigió a un grupo delictivo organizado a gran escala, activo desde </w:t>
      </w:r>
      <w:r>
        <w:rPr>
          <w:rFonts w:ascii="Times New Roman" w:hAnsi="Times New Roman"/>
          <w:sz w:val="24"/>
        </w:rPr>
        <w:lastRenderedPageBreak/>
        <w:t>2006 hasta la fecha, con actividades de delincuencia organizada, blanqueo de dinero, abuso de posición oficial, falsificación de documentos y donación y recepción de sobornos.</w:t>
      </w:r>
    </w:p>
    <w:p w:rsidR="008258EB" w:rsidRPr="004A5B01" w:rsidRDefault="008258EB" w:rsidP="008258EB">
      <w:pPr>
        <w:spacing w:line="240" w:lineRule="auto"/>
        <w:jc w:val="both"/>
        <w:rPr>
          <w:rFonts w:ascii="Times New Roman" w:hAnsi="Times New Roman"/>
          <w:sz w:val="24"/>
          <w:szCs w:val="24"/>
        </w:rPr>
      </w:pPr>
      <w:r>
        <w:rPr>
          <w:rFonts w:ascii="Times New Roman" w:hAnsi="Times New Roman"/>
          <w:sz w:val="24"/>
        </w:rPr>
        <w:t xml:space="preserve">Kosovo ha avanzado también en la congelación y el decomiso de activos obtenidos ilícitamente, pero, a falta de sentencias firmes, solo se ha incautado una pequeña parte de los mismos. </w:t>
      </w:r>
      <w:r w:rsidRPr="00C63D2E">
        <w:rPr>
          <w:rFonts w:ascii="Times New Roman" w:hAnsi="Times New Roman"/>
          <w:sz w:val="24"/>
        </w:rPr>
        <w:t xml:space="preserve">El valor estimado de los activos congelados, embargados e incautados asciende a 20,6 millones </w:t>
      </w:r>
      <w:r w:rsidRPr="00C63D2E">
        <w:t>EUR</w:t>
      </w:r>
      <w:r w:rsidRPr="00C63D2E">
        <w:rPr>
          <w:rFonts w:ascii="Times New Roman" w:hAnsi="Times New Roman"/>
          <w:sz w:val="24"/>
        </w:rPr>
        <w:footnoteReference w:id="12"/>
      </w:r>
      <w:r w:rsidRPr="00C63D2E">
        <w:rPr>
          <w:rFonts w:ascii="Times New Roman" w:hAnsi="Times New Roman"/>
          <w:sz w:val="24"/>
        </w:rPr>
        <w:t>.</w:t>
      </w:r>
      <w:r>
        <w:rPr>
          <w:rFonts w:ascii="Times New Roman" w:hAnsi="Times New Roman"/>
          <w:sz w:val="24"/>
        </w:rPr>
        <w:t xml:space="preserve"> Entre 2014 y 2015, el valor de los activos incautados aumentó de 130 000 EUR a 450 000 EUR. El número de resoluciones judiciales de congelación, embargo o incautación ha aumentado de 204 a 242. </w:t>
      </w:r>
    </w:p>
    <w:p w:rsidR="008258EB" w:rsidRPr="004A5B01" w:rsidRDefault="008258EB" w:rsidP="0022592C">
      <w:pPr>
        <w:spacing w:after="240" w:line="240" w:lineRule="auto"/>
        <w:jc w:val="both"/>
        <w:rPr>
          <w:rFonts w:ascii="Times New Roman" w:hAnsi="Times New Roman"/>
          <w:sz w:val="24"/>
          <w:szCs w:val="24"/>
        </w:rPr>
      </w:pPr>
      <w:r>
        <w:rPr>
          <w:rFonts w:ascii="Times New Roman" w:hAnsi="Times New Roman"/>
          <w:sz w:val="24"/>
        </w:rPr>
        <w:t xml:space="preserve">Sigue habiendo una falta de activos transferidos al AMSCA. En 2015, solo se transfirieron al AMSCA el 18 % de los nuevos bienes decomisados; en 2014, esa cifra fue del 37 %. </w:t>
      </w:r>
    </w:p>
    <w:p w:rsidR="008258EB" w:rsidRPr="00641057" w:rsidRDefault="000F397B" w:rsidP="00A77C54">
      <w:pPr>
        <w:spacing w:after="240" w:line="240" w:lineRule="auto"/>
        <w:jc w:val="both"/>
        <w:rPr>
          <w:rFonts w:ascii="Times New Roman" w:hAnsi="Times New Roman"/>
          <w:sz w:val="24"/>
          <w:szCs w:val="24"/>
        </w:rPr>
      </w:pPr>
      <w:r>
        <w:rPr>
          <w:rFonts w:ascii="Times New Roman" w:hAnsi="Times New Roman"/>
          <w:sz w:val="24"/>
        </w:rPr>
        <w:t xml:space="preserve">Globalmente, Kosovo ha </w:t>
      </w:r>
      <w:r>
        <w:rPr>
          <w:rFonts w:ascii="Times New Roman" w:hAnsi="Times New Roman"/>
          <w:b/>
          <w:sz w:val="24"/>
        </w:rPr>
        <w:t>cumplido suficientes elementos de la prioridad fundamental</w:t>
      </w:r>
      <w:r>
        <w:rPr>
          <w:rFonts w:ascii="Times New Roman" w:hAnsi="Times New Roman"/>
          <w:sz w:val="24"/>
        </w:rPr>
        <w:t xml:space="preserve"> de elaborar un historial de investigaciones, sentencias judiciales firmes e incautaciones en asuntos de delincuencia organizada y corrupción de alto nivel. Ha establecido un equipo pluridisciplinar de fiscales especiales, jueces e investigadores para que se ocupen de un número limitado de asuntos de alto nivel, con la ayuda de una base de datos. Han aumentado la congelación y los decomisos de activos, si bien, a falta de sentencias </w:t>
      </w:r>
      <w:r w:rsidR="00C63D2E">
        <w:rPr>
          <w:rFonts w:ascii="Times New Roman" w:hAnsi="Times New Roman"/>
          <w:sz w:val="24"/>
        </w:rPr>
        <w:t>firmes</w:t>
      </w:r>
      <w:r>
        <w:rPr>
          <w:rFonts w:ascii="Times New Roman" w:hAnsi="Times New Roman"/>
          <w:sz w:val="24"/>
        </w:rPr>
        <w:t>, las incautaciones siguen siendo pocas. Este sistema ya ha dado resultados en un asunto, pero el seguimiento judicial de los asuntos restantes, la transferencia de los activos decomisados y la incautación final requieren una atención constante por parte de las autoridades. Kosovo está trabajando activamente para mejorar su historial en la lucha contra la delincuencia organizada, la corrupción y el terrorismo.</w:t>
      </w:r>
    </w:p>
    <w:p w:rsidR="000B64AC" w:rsidRPr="00642D02" w:rsidRDefault="00C63D2E" w:rsidP="0022592C">
      <w:pPr>
        <w:spacing w:after="240" w:line="240" w:lineRule="auto"/>
        <w:jc w:val="both"/>
        <w:rPr>
          <w:rFonts w:ascii="Times New Roman" w:hAnsi="Times New Roman"/>
          <w:b/>
          <w:i/>
          <w:color w:val="000000"/>
          <w:sz w:val="24"/>
          <w:szCs w:val="24"/>
        </w:rPr>
      </w:pPr>
      <w:r>
        <w:rPr>
          <w:rFonts w:ascii="Times New Roman" w:hAnsi="Times New Roman"/>
          <w:b/>
          <w:i/>
          <w:color w:val="000000"/>
          <w:sz w:val="24"/>
        </w:rPr>
        <w:t>Garantía de</w:t>
      </w:r>
      <w:r w:rsidR="000B64AC">
        <w:rPr>
          <w:rFonts w:ascii="Times New Roman" w:hAnsi="Times New Roman"/>
          <w:b/>
          <w:i/>
          <w:color w:val="000000"/>
          <w:sz w:val="24"/>
        </w:rPr>
        <w:t xml:space="preserve"> la independencia operativa del Organismo de Revisión de la Contratación Pública y </w:t>
      </w:r>
      <w:r>
        <w:rPr>
          <w:rFonts w:ascii="Times New Roman" w:hAnsi="Times New Roman"/>
          <w:b/>
          <w:i/>
          <w:color w:val="000000"/>
          <w:sz w:val="24"/>
        </w:rPr>
        <w:t>aplicación de</w:t>
      </w:r>
      <w:r w:rsidR="000B64AC">
        <w:rPr>
          <w:rFonts w:ascii="Times New Roman" w:hAnsi="Times New Roman"/>
          <w:b/>
          <w:i/>
          <w:color w:val="000000"/>
          <w:sz w:val="24"/>
        </w:rPr>
        <w:t xml:space="preserve"> planes estrictos de integridad para proteger su independencia y la de la Comisión Reguladora de la Contratación Pública</w:t>
      </w:r>
    </w:p>
    <w:p w:rsidR="0022592C" w:rsidRDefault="00820021" w:rsidP="00BE329F">
      <w:pPr>
        <w:spacing w:after="240" w:line="240" w:lineRule="auto"/>
        <w:jc w:val="both"/>
        <w:rPr>
          <w:rFonts w:ascii="Times New Roman" w:hAnsi="Times New Roman"/>
          <w:sz w:val="24"/>
          <w:szCs w:val="24"/>
        </w:rPr>
      </w:pPr>
      <w:r>
        <w:rPr>
          <w:rFonts w:ascii="Times New Roman" w:hAnsi="Times New Roman"/>
          <w:sz w:val="24"/>
        </w:rPr>
        <w:t>Desde julio de 2015, Kosovo ha dado pasos importantes para reforzar la integridad de la contratación pública. El antiguo Director del Organismo de Revisión de la Contratación Pública (PPRB), acusado de delitos de corrupción, ha sido cesado, y las enmiendas de la Ley de Contratación Pública aprobadas por la Asamblea el 19 de febrero de 2016</w:t>
      </w:r>
      <w:r>
        <w:rPr>
          <w:rStyle w:val="FootnoteReference"/>
          <w:rFonts w:ascii="Times New Roman" w:hAnsi="Times New Roman"/>
          <w:sz w:val="24"/>
        </w:rPr>
        <w:footnoteReference w:id="13"/>
      </w:r>
      <w:r>
        <w:rPr>
          <w:rFonts w:ascii="Times New Roman" w:hAnsi="Times New Roman"/>
          <w:sz w:val="24"/>
        </w:rPr>
        <w:t xml:space="preserve"> han permitido la suspensión y retirada del cargo, en espera de una condena firme, de miembros de este Organismo que han sido acusados. Previa recomendación de un órgano de selección compuesto por jueces del Tribunal Supremo, la Asamblea nombró el 30 de marzo al nuevo presidente y a otros dos miembros del PPRB, con lo que este pasa a ser plenamente operativo. </w:t>
      </w:r>
    </w:p>
    <w:p w:rsidR="0022592C" w:rsidRPr="00641057" w:rsidRDefault="00A91AC7" w:rsidP="00BE329F">
      <w:pPr>
        <w:spacing w:after="240" w:line="240" w:lineRule="auto"/>
        <w:jc w:val="both"/>
        <w:rPr>
          <w:rFonts w:ascii="Times New Roman" w:hAnsi="Times New Roman"/>
          <w:sz w:val="24"/>
          <w:szCs w:val="24"/>
        </w:rPr>
      </w:pPr>
      <w:r>
        <w:rPr>
          <w:rFonts w:ascii="Times New Roman" w:hAnsi="Times New Roman"/>
          <w:sz w:val="24"/>
        </w:rPr>
        <w:t xml:space="preserve">Asimismo se ha avanzado en la revisión de los asuntos recientes de recursos en casos de contratación. De los 592 recursos presentados en 2015, el PPRB tomó decisiones favorables a los operadores económicos en 129 asuntos. En total, el PPRB reevaluó 196 asuntos y volvió a licitar 129 de ellos en 2015. Ello supone una mejora considerable en comparación con julio de 2015, cuando el índice de éxito del PPRB en revisiones contra los operadores económicos fue del 100 %. En los casos en que los operadores económicos interpusieron un recurso ante el Tribunal de Primera Instancia de </w:t>
      </w:r>
      <w:proofErr w:type="spellStart"/>
      <w:r>
        <w:rPr>
          <w:rFonts w:ascii="Times New Roman" w:hAnsi="Times New Roman"/>
          <w:sz w:val="24"/>
        </w:rPr>
        <w:t>Prishtinë</w:t>
      </w:r>
      <w:proofErr w:type="spellEnd"/>
      <w:r>
        <w:rPr>
          <w:rFonts w:ascii="Times New Roman" w:hAnsi="Times New Roman"/>
          <w:sz w:val="24"/>
        </w:rPr>
        <w:t>/Priština, la mayoría de las decisiones del PPRB fueron confirmadas</w:t>
      </w:r>
      <w:r w:rsidR="00C63D2E">
        <w:rPr>
          <w:rFonts w:ascii="Times New Roman" w:hAnsi="Times New Roman"/>
          <w:sz w:val="24"/>
        </w:rPr>
        <w:t>.</w:t>
      </w:r>
    </w:p>
    <w:p w:rsidR="00147C24" w:rsidRPr="00641057" w:rsidRDefault="00147C24" w:rsidP="00147C24">
      <w:pPr>
        <w:spacing w:after="240" w:line="240" w:lineRule="auto"/>
        <w:jc w:val="both"/>
        <w:rPr>
          <w:rFonts w:ascii="Times New Roman" w:hAnsi="Times New Roman"/>
          <w:sz w:val="24"/>
          <w:szCs w:val="24"/>
        </w:rPr>
      </w:pPr>
      <w:r>
        <w:rPr>
          <w:rFonts w:ascii="Times New Roman" w:hAnsi="Times New Roman"/>
          <w:sz w:val="24"/>
        </w:rPr>
        <w:lastRenderedPageBreak/>
        <w:t>Por otro lado, en mayo de 2016 se adoptará una estrategia de contratación pública, cuya finalidad es mejorar la integridad, la rendición de cuentas y la responsabilidad en el ámbito de la contratación pública mediante un sistema modernizado de contratación pública.</w:t>
      </w:r>
    </w:p>
    <w:p w:rsidR="0022592C" w:rsidRPr="00641057" w:rsidRDefault="0022592C" w:rsidP="00BE329F">
      <w:pPr>
        <w:spacing w:after="240" w:line="240" w:lineRule="auto"/>
        <w:jc w:val="both"/>
        <w:rPr>
          <w:rFonts w:ascii="Times New Roman" w:hAnsi="Times New Roman"/>
          <w:sz w:val="24"/>
          <w:szCs w:val="24"/>
        </w:rPr>
      </w:pPr>
      <w:r>
        <w:rPr>
          <w:rFonts w:ascii="Times New Roman" w:hAnsi="Times New Roman"/>
          <w:sz w:val="24"/>
        </w:rPr>
        <w:t>La contratación electrónica se puso en marcha el 5 de enero de 2016. La plataforma de contratación electrónica entró en funcionamiento para todos los procedimientos de licitación el 1 de abril de 2016. Todas las organizaciones presupuestarias a nivel central deben empezar a utilizar el sistema electrónico el 1 de septiembre a más tardar, y todas las organizaciones presupuestarias de Kosovo el 1</w:t>
      </w:r>
      <w:r w:rsidR="00C63D2E">
        <w:rPr>
          <w:rFonts w:ascii="Times New Roman" w:hAnsi="Times New Roman"/>
          <w:sz w:val="24"/>
        </w:rPr>
        <w:t xml:space="preserve"> de enero de 2017 a más tardar. </w:t>
      </w:r>
      <w:r>
        <w:rPr>
          <w:rFonts w:ascii="Times New Roman" w:hAnsi="Times New Roman"/>
          <w:sz w:val="24"/>
        </w:rPr>
        <w:t>El operador eléctrico de Kosovo fue</w:t>
      </w:r>
      <w:r w:rsidR="00C63D2E">
        <w:rPr>
          <w:rFonts w:ascii="Times New Roman" w:hAnsi="Times New Roman"/>
          <w:sz w:val="24"/>
        </w:rPr>
        <w:t>, el 25 de marzo de 2016,</w:t>
      </w:r>
      <w:r>
        <w:rPr>
          <w:rFonts w:ascii="Times New Roman" w:hAnsi="Times New Roman"/>
          <w:sz w:val="24"/>
        </w:rPr>
        <w:t xml:space="preserve"> el primer organismo </w:t>
      </w:r>
      <w:r w:rsidR="00C63D2E">
        <w:rPr>
          <w:rFonts w:ascii="Times New Roman" w:hAnsi="Times New Roman"/>
          <w:sz w:val="24"/>
        </w:rPr>
        <w:t xml:space="preserve">en utilizar </w:t>
      </w:r>
      <w:r>
        <w:rPr>
          <w:rFonts w:ascii="Times New Roman" w:hAnsi="Times New Roman"/>
          <w:sz w:val="24"/>
        </w:rPr>
        <w:t xml:space="preserve">la plataforma de contratación pública electrónica. </w:t>
      </w:r>
    </w:p>
    <w:p w:rsidR="0022592C" w:rsidRPr="00641057" w:rsidRDefault="00922854" w:rsidP="00BE329F">
      <w:pPr>
        <w:spacing w:after="240" w:line="240" w:lineRule="auto"/>
        <w:jc w:val="both"/>
        <w:rPr>
          <w:rFonts w:ascii="Times New Roman" w:hAnsi="Times New Roman"/>
          <w:sz w:val="24"/>
          <w:szCs w:val="24"/>
        </w:rPr>
      </w:pPr>
      <w:r>
        <w:rPr>
          <w:rFonts w:ascii="Times New Roman" w:hAnsi="Times New Roman"/>
          <w:sz w:val="24"/>
        </w:rPr>
        <w:t xml:space="preserve">Globalmente, Kosovo ha </w:t>
      </w:r>
      <w:r>
        <w:rPr>
          <w:rFonts w:ascii="Times New Roman" w:hAnsi="Times New Roman"/>
          <w:b/>
          <w:sz w:val="24"/>
        </w:rPr>
        <w:t>cumplido</w:t>
      </w:r>
      <w:r>
        <w:rPr>
          <w:rFonts w:ascii="Times New Roman" w:hAnsi="Times New Roman"/>
          <w:sz w:val="24"/>
        </w:rPr>
        <w:t xml:space="preserve"> la prioridad clave pendiente de garantizar la independencia operativa del Organismo de Revisión de la Contratación Pública y de aplicar planes estrictos de integridad para proteger su independencia y la de la Comisión Reguladora de la Contratación Pública</w:t>
      </w:r>
    </w:p>
    <w:p w:rsidR="009D2D5C" w:rsidRPr="00642D02" w:rsidRDefault="009D2D5C" w:rsidP="00726623">
      <w:pPr>
        <w:keepNext/>
        <w:autoSpaceDE w:val="0"/>
        <w:autoSpaceDN w:val="0"/>
        <w:adjustRightInd w:val="0"/>
        <w:spacing w:after="240" w:line="240" w:lineRule="auto"/>
        <w:jc w:val="both"/>
        <w:rPr>
          <w:rFonts w:ascii="Times New Roman" w:hAnsi="Times New Roman"/>
          <w:b/>
          <w:sz w:val="24"/>
          <w:szCs w:val="24"/>
          <w:u w:val="single"/>
        </w:rPr>
      </w:pPr>
      <w:r>
        <w:rPr>
          <w:rFonts w:ascii="Times New Roman" w:hAnsi="Times New Roman"/>
          <w:b/>
          <w:sz w:val="24"/>
          <w:u w:val="single"/>
        </w:rPr>
        <w:t>5.2. Cooperación en la ejecución de la ley</w:t>
      </w:r>
    </w:p>
    <w:p w:rsidR="009D2D5C" w:rsidRPr="00641057" w:rsidRDefault="009D2D5C" w:rsidP="00BE329F">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once requisitos</w:t>
      </w:r>
      <w:r>
        <w:rPr>
          <w:rFonts w:ascii="Times New Roman" w:hAnsi="Times New Roman"/>
          <w:sz w:val="24"/>
        </w:rPr>
        <w:t xml:space="preserve"> en materia de cooperación en la ejecución de la ley. El tercer informe de la Comisión no mencionó ningún requisito pendiente de cumplimiento en este ámbito.</w:t>
      </w:r>
    </w:p>
    <w:p w:rsidR="00E52DB1" w:rsidRPr="00642D02" w:rsidRDefault="00C63D2E"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5.</w:t>
      </w:r>
      <w:r w:rsidR="00E52DB1">
        <w:rPr>
          <w:rFonts w:ascii="Times New Roman" w:hAnsi="Times New Roman"/>
          <w:b/>
          <w:sz w:val="24"/>
          <w:u w:val="single"/>
        </w:rPr>
        <w:t>3. Cooperación judicial en materia penal</w:t>
      </w:r>
    </w:p>
    <w:p w:rsidR="00E52DB1" w:rsidRPr="00641057" w:rsidRDefault="00E52DB1" w:rsidP="00BE329F">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siete requisitos</w:t>
      </w:r>
      <w:r>
        <w:rPr>
          <w:rFonts w:ascii="Times New Roman" w:hAnsi="Times New Roman"/>
          <w:sz w:val="24"/>
        </w:rPr>
        <w:t xml:space="preserve"> en el ámbito de la cooperación judicial en materia penal. El tercer informe de la Comisión no mencionó ningún requisito pendiente de cumplimiento en este ámbito.</w:t>
      </w:r>
    </w:p>
    <w:p w:rsidR="00C1517A" w:rsidRPr="00642D02" w:rsidRDefault="00C1517A" w:rsidP="00726623">
      <w:pPr>
        <w:keepNext/>
        <w:spacing w:after="240" w:line="240" w:lineRule="auto"/>
        <w:jc w:val="both"/>
        <w:rPr>
          <w:rFonts w:ascii="Times New Roman" w:hAnsi="Times New Roman"/>
          <w:b/>
          <w:sz w:val="24"/>
          <w:szCs w:val="24"/>
          <w:u w:val="single"/>
        </w:rPr>
      </w:pPr>
      <w:r>
        <w:rPr>
          <w:rFonts w:ascii="Times New Roman" w:hAnsi="Times New Roman"/>
          <w:b/>
          <w:sz w:val="24"/>
          <w:u w:val="single"/>
        </w:rPr>
        <w:t>5.4. Protección de datos</w:t>
      </w:r>
    </w:p>
    <w:p w:rsidR="00C1517A" w:rsidRPr="00641057" w:rsidRDefault="00C1517A" w:rsidP="00B85FC7">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w:t>
      </w:r>
      <w:r>
        <w:rPr>
          <w:rFonts w:ascii="Times New Roman" w:hAnsi="Times New Roman"/>
          <w:sz w:val="24"/>
        </w:rPr>
        <w:t xml:space="preserve"> </w:t>
      </w:r>
      <w:r>
        <w:rPr>
          <w:rFonts w:ascii="Times New Roman" w:hAnsi="Times New Roman"/>
          <w:b/>
          <w:sz w:val="24"/>
        </w:rPr>
        <w:t>los tres requisitos</w:t>
      </w:r>
      <w:r>
        <w:rPr>
          <w:rFonts w:ascii="Times New Roman" w:hAnsi="Times New Roman"/>
          <w:sz w:val="24"/>
        </w:rPr>
        <w:t xml:space="preserve"> en materia de protección de datos. El tercer informe de la Comisión no mencionó ningún requisito pendiente de cumplimiento en este ámbito.</w:t>
      </w:r>
    </w:p>
    <w:p w:rsidR="00DB07D8" w:rsidRPr="00641057" w:rsidRDefault="00B24816" w:rsidP="00726623">
      <w:pPr>
        <w:keepNext/>
        <w:spacing w:after="240" w:line="240" w:lineRule="auto"/>
        <w:jc w:val="both"/>
        <w:rPr>
          <w:rFonts w:ascii="Times New Roman" w:hAnsi="Times New Roman"/>
          <w:b/>
          <w:sz w:val="24"/>
          <w:szCs w:val="24"/>
        </w:rPr>
      </w:pPr>
      <w:r>
        <w:rPr>
          <w:rFonts w:ascii="Times New Roman" w:hAnsi="Times New Roman"/>
          <w:b/>
          <w:sz w:val="24"/>
        </w:rPr>
        <w:t>6. BLOQUE 4: DERECHOS FUNDAMENTALES RELACIONADOS CON LA LIBERTAD DE CIRCULACIÓN</w:t>
      </w:r>
    </w:p>
    <w:p w:rsidR="00C71397" w:rsidRPr="00641057" w:rsidRDefault="00737294" w:rsidP="00B85FC7">
      <w:pPr>
        <w:spacing w:after="240" w:line="240" w:lineRule="auto"/>
        <w:jc w:val="both"/>
        <w:rPr>
          <w:rFonts w:ascii="Times New Roman" w:hAnsi="Times New Roman"/>
          <w:sz w:val="24"/>
          <w:szCs w:val="24"/>
        </w:rPr>
      </w:pPr>
      <w:r>
        <w:rPr>
          <w:rFonts w:ascii="Times New Roman" w:hAnsi="Times New Roman"/>
          <w:sz w:val="24"/>
        </w:rPr>
        <w:t xml:space="preserve">Kosovo </w:t>
      </w:r>
      <w:r>
        <w:rPr>
          <w:rFonts w:ascii="Times New Roman" w:hAnsi="Times New Roman"/>
          <w:b/>
          <w:sz w:val="24"/>
        </w:rPr>
        <w:t>cumple los ocho requisitos</w:t>
      </w:r>
      <w:r>
        <w:rPr>
          <w:rFonts w:ascii="Times New Roman" w:hAnsi="Times New Roman"/>
          <w:sz w:val="24"/>
        </w:rPr>
        <w:t xml:space="preserve"> en el ámbito de los derechos fundamentales relacionados con la libertad de circulación.</w:t>
      </w:r>
    </w:p>
    <w:p w:rsidR="00B85FC7" w:rsidRPr="00641057" w:rsidRDefault="00BE329F" w:rsidP="00B85FC7">
      <w:pPr>
        <w:spacing w:after="240" w:line="240" w:lineRule="auto"/>
        <w:jc w:val="both"/>
        <w:rPr>
          <w:rFonts w:ascii="Times New Roman" w:hAnsi="Times New Roman"/>
          <w:sz w:val="24"/>
          <w:szCs w:val="24"/>
        </w:rPr>
      </w:pPr>
      <w:r>
        <w:rPr>
          <w:rFonts w:ascii="Times New Roman" w:hAnsi="Times New Roman"/>
          <w:sz w:val="24"/>
        </w:rPr>
        <w:t>El tercer informe de la Comisión señaló que Kosovo debe proporcionar locales adecuados para el Defensor del Pueblo y garantizar la plena independencia presupuestaria de este.</w:t>
      </w:r>
    </w:p>
    <w:p w:rsidR="00B85FC7" w:rsidRPr="00641057" w:rsidRDefault="00B85FC7" w:rsidP="00B85FC7">
      <w:pPr>
        <w:pStyle w:val="Standard"/>
        <w:spacing w:after="240"/>
        <w:jc w:val="both"/>
        <w:rPr>
          <w:rFonts w:cs="Times New Roman"/>
        </w:rPr>
      </w:pPr>
      <w:r>
        <w:t xml:space="preserve">El 12 de febrero de 2016, el Defensor del Pueblo y el Ministerio de Administraciones Públicas firmaron un memorando de entendimiento, que destina locales adecuados en la capital a la institución del Defensor del Pueblo. La renovación comenzó en abril de 2016; la mudanza del Defensor del Pueblo </w:t>
      </w:r>
      <w:r w:rsidR="00C63D2E">
        <w:t>deberá</w:t>
      </w:r>
      <w:r>
        <w:t xml:space="preserve"> haber finalizado a más tardar en julio de 2016. </w:t>
      </w:r>
    </w:p>
    <w:p w:rsidR="00B85FC7" w:rsidRPr="00641057" w:rsidRDefault="00854473" w:rsidP="00B85FC7">
      <w:pPr>
        <w:spacing w:after="240" w:line="240" w:lineRule="auto"/>
        <w:jc w:val="both"/>
        <w:rPr>
          <w:rFonts w:ascii="Times New Roman" w:hAnsi="Times New Roman"/>
          <w:sz w:val="24"/>
          <w:szCs w:val="24"/>
        </w:rPr>
      </w:pPr>
      <w:r>
        <w:rPr>
          <w:rFonts w:ascii="Times New Roman" w:hAnsi="Times New Roman"/>
          <w:sz w:val="24"/>
        </w:rPr>
        <w:t xml:space="preserve">El Ministerio de Hacienda ha asignado 98 000 EUR adicionales a la institución del Defensor del Pueblo. Ello comprenderá las remuneraciones de otros nueve puestos creados en el conjunto de medidas de julio de 2015 en materia de derechos humanos, que aumentaron las </w:t>
      </w:r>
      <w:r>
        <w:rPr>
          <w:rFonts w:ascii="Times New Roman" w:hAnsi="Times New Roman"/>
          <w:sz w:val="24"/>
        </w:rPr>
        <w:lastRenderedPageBreak/>
        <w:t xml:space="preserve">tareas del Defensor del Pueblo en el ámbito de la lucha contra la discriminación y de la igualdad de género.  </w:t>
      </w:r>
    </w:p>
    <w:p w:rsidR="00B85FC7" w:rsidRPr="00641057" w:rsidRDefault="00B85FC7" w:rsidP="00B85FC7">
      <w:pPr>
        <w:spacing w:after="240" w:line="240" w:lineRule="auto"/>
        <w:jc w:val="both"/>
        <w:rPr>
          <w:rFonts w:ascii="Times New Roman" w:hAnsi="Times New Roman"/>
          <w:sz w:val="24"/>
          <w:szCs w:val="24"/>
        </w:rPr>
      </w:pPr>
      <w:r>
        <w:rPr>
          <w:rFonts w:ascii="Times New Roman" w:hAnsi="Times New Roman"/>
          <w:sz w:val="24"/>
        </w:rPr>
        <w:t>Para reforzar la independencia presupuestaria de la institución del Defensor del Pueblo, Kosovo se comprometió el 18 de febrero de 2016</w:t>
      </w:r>
      <w:r>
        <w:rPr>
          <w:rStyle w:val="FootnoteReference"/>
          <w:rFonts w:ascii="Times New Roman" w:hAnsi="Times New Roman"/>
          <w:sz w:val="24"/>
        </w:rPr>
        <w:footnoteReference w:id="14"/>
      </w:r>
      <w:r>
        <w:rPr>
          <w:rFonts w:ascii="Times New Roman" w:hAnsi="Times New Roman"/>
          <w:sz w:val="24"/>
        </w:rPr>
        <w:t xml:space="preserve"> a asignarle un presupuesto de 422 000 EUR. Este importe corresponde a la petición del Defensor del Pueblo y le permitirá llevar a cabo nuevas tareas derivadas del conjunto de medidas sobre derechos humanos. La Ley del Defensor del Pueblo</w:t>
      </w:r>
      <w:r>
        <w:rPr>
          <w:rStyle w:val="FootnoteReference"/>
          <w:rFonts w:ascii="Times New Roman" w:hAnsi="Times New Roman"/>
          <w:sz w:val="24"/>
        </w:rPr>
        <w:footnoteReference w:id="15"/>
      </w:r>
      <w:r>
        <w:rPr>
          <w:rFonts w:ascii="Times New Roman" w:hAnsi="Times New Roman"/>
          <w:sz w:val="24"/>
        </w:rPr>
        <w:t xml:space="preserve"> establece que el presupuesto de esta institución solo puede reducirse con la aprobación del Defensor del Pueblo. </w:t>
      </w:r>
    </w:p>
    <w:p w:rsidR="00B85FC7" w:rsidRPr="00641057" w:rsidRDefault="005148A9" w:rsidP="00B85FC7">
      <w:pPr>
        <w:spacing w:after="240" w:line="240" w:lineRule="auto"/>
        <w:jc w:val="both"/>
        <w:rPr>
          <w:sz w:val="24"/>
          <w:szCs w:val="24"/>
        </w:rPr>
      </w:pPr>
      <w:r>
        <w:rPr>
          <w:rFonts w:ascii="Times New Roman" w:hAnsi="Times New Roman"/>
          <w:sz w:val="24"/>
        </w:rPr>
        <w:t xml:space="preserve">Globalmente, Kosovo ha </w:t>
      </w:r>
      <w:r>
        <w:rPr>
          <w:rFonts w:ascii="Times New Roman" w:hAnsi="Times New Roman"/>
          <w:b/>
          <w:sz w:val="24"/>
        </w:rPr>
        <w:t>cumplido</w:t>
      </w:r>
      <w:r>
        <w:rPr>
          <w:rFonts w:ascii="Times New Roman" w:hAnsi="Times New Roman"/>
          <w:sz w:val="24"/>
        </w:rPr>
        <w:t xml:space="preserve"> el requisito pendiente relativo a la puesta a disposición de locales adecuados para la institución del Defensor del Pueblo y a la plena independencia presupuestaria de este.</w:t>
      </w:r>
    </w:p>
    <w:p w:rsidR="00DB07D8" w:rsidRPr="00641057" w:rsidRDefault="00B24816" w:rsidP="00726623">
      <w:pPr>
        <w:keepNext/>
        <w:spacing w:after="240" w:line="240" w:lineRule="auto"/>
        <w:jc w:val="both"/>
        <w:rPr>
          <w:rFonts w:ascii="Times New Roman" w:hAnsi="Times New Roman"/>
          <w:b/>
          <w:bCs/>
          <w:sz w:val="24"/>
          <w:szCs w:val="24"/>
        </w:rPr>
      </w:pPr>
      <w:r>
        <w:rPr>
          <w:rFonts w:ascii="Times New Roman" w:hAnsi="Times New Roman"/>
          <w:b/>
          <w:sz w:val="24"/>
        </w:rPr>
        <w:t>7. CONCLUSIÓN</w:t>
      </w:r>
    </w:p>
    <w:p w:rsidR="00ED6184" w:rsidRPr="00ED6184" w:rsidRDefault="00ED6184" w:rsidP="00ED6184">
      <w:pPr>
        <w:spacing w:line="240" w:lineRule="auto"/>
        <w:jc w:val="both"/>
        <w:rPr>
          <w:rFonts w:ascii="Times New Roman" w:hAnsi="Times New Roman"/>
          <w:sz w:val="24"/>
          <w:szCs w:val="24"/>
        </w:rPr>
      </w:pPr>
      <w:r>
        <w:rPr>
          <w:rFonts w:ascii="Times New Roman" w:hAnsi="Times New Roman"/>
          <w:sz w:val="24"/>
        </w:rPr>
        <w:t>El presente informe complementa los tres informes previos adoptados por la Comisión sobre los avances de Kosovo en el diálogo sobre el régimen de visados. Dichos informes contenían una evaluación de los avances realizados por Kosovo en el cumplimiento de los requisitos de la hoja de ruta en materia de visados, recomendaciones dirigidas a Kosovo y una evaluación de las posibles repercusiones de la liberalización en materia de visados sobre la migración y la seguridad.</w:t>
      </w:r>
    </w:p>
    <w:p w:rsidR="00ED6184" w:rsidRPr="00ED6184" w:rsidRDefault="00ED6184" w:rsidP="00ED6184">
      <w:pPr>
        <w:spacing w:after="240" w:line="240" w:lineRule="auto"/>
        <w:jc w:val="both"/>
        <w:rPr>
          <w:rFonts w:ascii="Times New Roman" w:hAnsi="Times New Roman"/>
          <w:sz w:val="24"/>
          <w:szCs w:val="24"/>
        </w:rPr>
      </w:pPr>
      <w:r>
        <w:rPr>
          <w:rFonts w:ascii="Times New Roman" w:hAnsi="Times New Roman"/>
          <w:sz w:val="24"/>
        </w:rPr>
        <w:t xml:space="preserve">En su tercer informe, la Comisión formuló ocho recomendaciones, correspondientes a ocho requisitos pendientes relativos a la hoja de ruta en materia de visados, incluidas cuatro prioridades clave. En ese informe se señala que uno de los requisitos, a saber, la ratificación por parte de Kosovo del Acuerdo de delimitación de fronteras/líneas divisorias con Montenegro, deberá cumplirse antes de que Kosovo sea transferido a la lista de países que se benefician de la exención de visado. </w:t>
      </w:r>
    </w:p>
    <w:p w:rsidR="00DB07D8" w:rsidRDefault="00DC2DDB" w:rsidP="00ED6184">
      <w:pPr>
        <w:spacing w:after="240" w:line="240" w:lineRule="auto"/>
        <w:jc w:val="both"/>
        <w:rPr>
          <w:rFonts w:ascii="Times New Roman" w:hAnsi="Times New Roman"/>
          <w:sz w:val="24"/>
          <w:szCs w:val="24"/>
        </w:rPr>
      </w:pPr>
      <w:r>
        <w:rPr>
          <w:rFonts w:ascii="Times New Roman" w:hAnsi="Times New Roman"/>
          <w:sz w:val="24"/>
        </w:rPr>
        <w:t xml:space="preserve">La Comisión ha evaluado las medidas recientes de Kosovo para cumplir estos requisitos pendientes. Kosovo ha facilitado los documentos legislativos y de orientación política para esta evaluación. El presente informe se basa en gran medida en las conclusiones de cuatro expertos de los Estados miembros que acompañaron a la Comisión en una misión de evaluación a Kosovo del 17 al 18 de marzo de 2016. </w:t>
      </w:r>
    </w:p>
    <w:p w:rsidR="00400FA3" w:rsidRDefault="00400FA3" w:rsidP="00400FA3">
      <w:pPr>
        <w:autoSpaceDE w:val="0"/>
        <w:autoSpaceDN w:val="0"/>
        <w:adjustRightInd w:val="0"/>
        <w:spacing w:after="240" w:line="240" w:lineRule="auto"/>
        <w:jc w:val="both"/>
        <w:rPr>
          <w:rFonts w:ascii="Times New Roman" w:hAnsi="Times New Roman"/>
          <w:sz w:val="24"/>
          <w:szCs w:val="24"/>
        </w:rPr>
      </w:pPr>
      <w:r>
        <w:rPr>
          <w:rFonts w:ascii="Times New Roman" w:hAnsi="Times New Roman"/>
          <w:sz w:val="24"/>
        </w:rPr>
        <w:t xml:space="preserve">En el documento de trabajo de los servicios de la Comisión adjunto se exponen los posibles efectos de la liberalización de visados sobre la migración y la seguridad en Kosovo, así como el conjunto de medidas que Kosovo ha puesto en práctica desde diciembre de 2015 para evitar </w:t>
      </w:r>
      <w:r w:rsidR="00C63D2E">
        <w:rPr>
          <w:rFonts w:ascii="Times New Roman" w:hAnsi="Times New Roman"/>
          <w:sz w:val="24"/>
        </w:rPr>
        <w:t>los abusos en el régimen de exención de visado.</w:t>
      </w:r>
    </w:p>
    <w:p w:rsidR="00854C34" w:rsidRPr="00641057" w:rsidRDefault="00854C34" w:rsidP="00BE329F">
      <w:pPr>
        <w:spacing w:after="240" w:line="240" w:lineRule="auto"/>
        <w:jc w:val="both"/>
        <w:rPr>
          <w:rFonts w:ascii="Times New Roman" w:eastAsia="Times New Roman" w:hAnsi="Times New Roman"/>
          <w:sz w:val="24"/>
          <w:szCs w:val="24"/>
        </w:rPr>
      </w:pPr>
      <w:r>
        <w:rPr>
          <w:rFonts w:ascii="Times New Roman" w:hAnsi="Times New Roman"/>
          <w:sz w:val="24"/>
        </w:rPr>
        <w:t xml:space="preserve">El diálogo sobre visados con Kosovo ha demostrado ser un instrumento importante y especialmente eficaz para impulsar reformas de amplio alcance y difíciles en el campo de la justicia y los asuntos de interior, que afectan a ámbitos tales como el Estado de Derecho y la reforma de la justicia penal. Estas cuestiones también son objeto de seguimiento en otros marcos, como el Subcomité de Justicia, Libertad y Seguridad del Proceso de Estabilización y Asociación. </w:t>
      </w:r>
    </w:p>
    <w:p w:rsidR="00854C34" w:rsidRPr="00641057" w:rsidRDefault="00854C34" w:rsidP="00BE329F">
      <w:pPr>
        <w:spacing w:after="240" w:line="240" w:lineRule="auto"/>
        <w:jc w:val="both"/>
        <w:rPr>
          <w:rFonts w:ascii="Times New Roman" w:eastAsia="Times New Roman" w:hAnsi="Times New Roman"/>
          <w:sz w:val="24"/>
          <w:szCs w:val="24"/>
        </w:rPr>
      </w:pPr>
      <w:r>
        <w:rPr>
          <w:rFonts w:ascii="Times New Roman" w:hAnsi="Times New Roman"/>
          <w:sz w:val="24"/>
        </w:rPr>
        <w:lastRenderedPageBreak/>
        <w:t xml:space="preserve">Los progresos realizados por Kosovo en todos los ámbitos de la hoja de ruta en materia de visados sigue siendo constante y eficaz, lo que demuestra el compromiso duradero de Kosovo </w:t>
      </w:r>
      <w:r w:rsidR="00D62ACF">
        <w:rPr>
          <w:rFonts w:ascii="Times New Roman" w:hAnsi="Times New Roman"/>
          <w:sz w:val="24"/>
        </w:rPr>
        <w:t>en</w:t>
      </w:r>
      <w:r>
        <w:rPr>
          <w:rFonts w:ascii="Times New Roman" w:hAnsi="Times New Roman"/>
          <w:sz w:val="24"/>
        </w:rPr>
        <w:t xml:space="preserve"> el cumplimiento de los requisitos de la hoja de ruta en materia de visados como asunto de gran prioridad. Las recomendaciones formuladas en el tercer informe de la Comisión dirigidas a garantizar que el marco legislativo y de orientación política, los principios organizativos e institucionales y la ejecución de los procedimientos en los cuatro bloques, así como la readmisión y la reintegración, cumplen las normas europeas e internacionales, lo que confirma </w:t>
      </w:r>
      <w:r w:rsidR="00D62ACF">
        <w:rPr>
          <w:rFonts w:ascii="Times New Roman" w:hAnsi="Times New Roman"/>
          <w:sz w:val="24"/>
        </w:rPr>
        <w:t>la</w:t>
      </w:r>
      <w:r>
        <w:rPr>
          <w:rFonts w:ascii="Times New Roman" w:hAnsi="Times New Roman"/>
          <w:sz w:val="24"/>
        </w:rPr>
        <w:t xml:space="preserve"> voluntad de Kosovo de proseguir la resolución de estas cuestiones en el marco de la liberalización del régimen de visados.</w:t>
      </w:r>
    </w:p>
    <w:p w:rsidR="00B375D2" w:rsidRPr="00641057" w:rsidRDefault="005B7CE7" w:rsidP="00BE329F">
      <w:pPr>
        <w:spacing w:after="240" w:line="240" w:lineRule="auto"/>
        <w:jc w:val="both"/>
        <w:rPr>
          <w:rFonts w:ascii="Times New Roman" w:eastAsia="Times New Roman" w:hAnsi="Times New Roman"/>
          <w:sz w:val="24"/>
          <w:szCs w:val="24"/>
        </w:rPr>
      </w:pPr>
      <w:r>
        <w:rPr>
          <w:rFonts w:ascii="Times New Roman" w:hAnsi="Times New Roman"/>
          <w:sz w:val="24"/>
        </w:rPr>
        <w:t xml:space="preserve">Como consecuencia de un conjunto de medidas importantes que Kosovo ha adoptado desde diciembre de 2015, la Comisión considera que Kosovo ha logrado lo siguiente: </w:t>
      </w:r>
    </w:p>
    <w:p w:rsidR="00CC4907" w:rsidRPr="00641057" w:rsidRDefault="00A7128E" w:rsidP="00CC4907">
      <w:pPr>
        <w:numPr>
          <w:ilvl w:val="0"/>
          <w:numId w:val="36"/>
        </w:numPr>
        <w:spacing w:after="240" w:line="240" w:lineRule="auto"/>
        <w:jc w:val="both"/>
        <w:rPr>
          <w:rFonts w:ascii="Times New Roman" w:hAnsi="Times New Roman"/>
          <w:sz w:val="24"/>
          <w:szCs w:val="24"/>
        </w:rPr>
      </w:pPr>
      <w:r>
        <w:rPr>
          <w:rFonts w:ascii="Times New Roman" w:hAnsi="Times New Roman"/>
          <w:sz w:val="24"/>
        </w:rPr>
        <w:t xml:space="preserve">Ha realizado la prioridad clave de transferir un número suficiente de jueces y de personal auxiliar a </w:t>
      </w:r>
      <w:r w:rsidR="00E77CCC">
        <w:rPr>
          <w:rFonts w:ascii="Times New Roman" w:hAnsi="Times New Roman"/>
          <w:sz w:val="24"/>
        </w:rPr>
        <w:t>las secciones</w:t>
      </w:r>
      <w:r>
        <w:rPr>
          <w:rFonts w:ascii="Times New Roman" w:hAnsi="Times New Roman"/>
          <w:sz w:val="24"/>
        </w:rPr>
        <w:t xml:space="preserve"> de delitos graves en los tribunales de primera instancia.</w:t>
      </w:r>
    </w:p>
    <w:p w:rsidR="00E1654A" w:rsidRDefault="00400FA3" w:rsidP="00A37DBC">
      <w:pPr>
        <w:numPr>
          <w:ilvl w:val="0"/>
          <w:numId w:val="36"/>
        </w:numPr>
        <w:spacing w:after="240" w:line="240" w:lineRule="auto"/>
        <w:jc w:val="both"/>
        <w:rPr>
          <w:rFonts w:ascii="Times New Roman" w:hAnsi="Times New Roman"/>
          <w:sz w:val="24"/>
          <w:szCs w:val="24"/>
        </w:rPr>
      </w:pPr>
      <w:r>
        <w:rPr>
          <w:rFonts w:ascii="Times New Roman" w:hAnsi="Times New Roman"/>
          <w:sz w:val="24"/>
        </w:rPr>
        <w:t xml:space="preserve">Ha realizado suficientes elementos de la prioridad fundamental de elaborar un historial de investigaciones, sentencias judiciales firmes e incautaciones en asuntos de delincuencia organizada y corrupción de alto nivel. Ha establecido un equipo pluridisciplinar de fiscales especiales, jueces e investigadores para que se ocupen de un número limitado de asuntos de alto nivel, con la ayuda de una base de datos. Han aumentado la congelación y </w:t>
      </w:r>
      <w:r w:rsidR="00D62ACF">
        <w:rPr>
          <w:rFonts w:ascii="Times New Roman" w:hAnsi="Times New Roman"/>
          <w:sz w:val="24"/>
        </w:rPr>
        <w:t>el decomiso</w:t>
      </w:r>
      <w:r>
        <w:rPr>
          <w:rFonts w:ascii="Times New Roman" w:hAnsi="Times New Roman"/>
          <w:sz w:val="24"/>
        </w:rPr>
        <w:t xml:space="preserve"> de activos, si bien, a falta de sentencias firmes, las incautaciones siguen siendo pocas. Este sistema ya ha dado resultados en un asunto, pero el seguimiento judicial de los asuntos restantes, la transferencia de los activos decomisados y la incautación final requieren una atención constante por parte de las autoridades. Kosovo está trabajando activamente para mejorar su historial en la lucha contra la delincuencia organizada, la corrupción y el terrorismo.</w:t>
      </w:r>
    </w:p>
    <w:p w:rsidR="000565A9" w:rsidRPr="00641057" w:rsidRDefault="00A7128E" w:rsidP="00A37DBC">
      <w:pPr>
        <w:numPr>
          <w:ilvl w:val="0"/>
          <w:numId w:val="36"/>
        </w:numPr>
        <w:spacing w:after="240" w:line="240" w:lineRule="auto"/>
        <w:jc w:val="both"/>
        <w:rPr>
          <w:rFonts w:ascii="Times New Roman" w:hAnsi="Times New Roman"/>
          <w:sz w:val="24"/>
        </w:rPr>
      </w:pPr>
      <w:r>
        <w:rPr>
          <w:rFonts w:ascii="Times New Roman" w:hAnsi="Times New Roman"/>
          <w:sz w:val="24"/>
        </w:rPr>
        <w:t>Ha realizado la prioridad clave de garantizar la independencia operativa del Organismo de Revisión de la Contratación Pública y de aplicar planes estrictos de integridad para proteger su independencia y la de la Comisión Reguladora de la Contratación Pública.</w:t>
      </w:r>
    </w:p>
    <w:p w:rsidR="008B1B4D" w:rsidRPr="00641057" w:rsidRDefault="00A7128E" w:rsidP="00A37DBC">
      <w:pPr>
        <w:numPr>
          <w:ilvl w:val="0"/>
          <w:numId w:val="36"/>
        </w:numPr>
        <w:spacing w:after="240" w:line="240" w:lineRule="auto"/>
        <w:jc w:val="both"/>
        <w:rPr>
          <w:rFonts w:ascii="Times New Roman" w:hAnsi="Times New Roman"/>
          <w:sz w:val="24"/>
          <w:szCs w:val="24"/>
        </w:rPr>
      </w:pPr>
      <w:r>
        <w:rPr>
          <w:rFonts w:ascii="Times New Roman" w:hAnsi="Times New Roman"/>
          <w:sz w:val="24"/>
        </w:rPr>
        <w:t>Ha realizado la prioridad clave de demostrar la aplicación de la legislación derivada modificada en materia de cambio de nombre.</w:t>
      </w:r>
    </w:p>
    <w:p w:rsidR="00E527CC" w:rsidRDefault="00E527CC" w:rsidP="00071363">
      <w:pPr>
        <w:numPr>
          <w:ilvl w:val="0"/>
          <w:numId w:val="36"/>
        </w:numPr>
        <w:spacing w:after="240" w:line="240" w:lineRule="auto"/>
        <w:jc w:val="both"/>
        <w:rPr>
          <w:rStyle w:val="st"/>
          <w:rFonts w:ascii="Times New Roman" w:hAnsi="Times New Roman"/>
          <w:sz w:val="24"/>
          <w:szCs w:val="24"/>
        </w:rPr>
      </w:pPr>
      <w:r>
        <w:rPr>
          <w:rFonts w:ascii="Times New Roman" w:hAnsi="Times New Roman"/>
          <w:sz w:val="24"/>
        </w:rPr>
        <w:t>Ha dado pasos importantes hacia el cumplimiento del requisito de ratificación del Acuerdo de delimitación de fronteras/líneas divisorias con Montenegro. Kosovo está trabajando en aras de la ratificación de dicho Acuerdo antes de la adopción de la propuesta legislativa del Parlamento Europeo y del Consejo de transferir a Kosovo a la lista de países exentos de visado.</w:t>
      </w:r>
    </w:p>
    <w:p w:rsidR="00071363" w:rsidRPr="00D915C6" w:rsidRDefault="00071363" w:rsidP="00071363">
      <w:pPr>
        <w:numPr>
          <w:ilvl w:val="0"/>
          <w:numId w:val="36"/>
        </w:numPr>
        <w:spacing w:after="240" w:line="240" w:lineRule="auto"/>
        <w:jc w:val="both"/>
        <w:rPr>
          <w:rFonts w:ascii="Times New Roman" w:hAnsi="Times New Roman"/>
          <w:sz w:val="24"/>
          <w:szCs w:val="24"/>
        </w:rPr>
      </w:pPr>
      <w:r>
        <w:rPr>
          <w:rStyle w:val="st"/>
          <w:rFonts w:ascii="Times New Roman" w:hAnsi="Times New Roman"/>
          <w:sz w:val="24"/>
        </w:rPr>
        <w:t>Ha cumplido el requisito de</w:t>
      </w:r>
      <w:r w:rsidR="00D62ACF">
        <w:rPr>
          <w:rStyle w:val="st"/>
          <w:rFonts w:ascii="Times New Roman" w:hAnsi="Times New Roman"/>
          <w:sz w:val="24"/>
        </w:rPr>
        <w:t xml:space="preserve"> </w:t>
      </w:r>
      <w:r w:rsidRPr="00D62ACF">
        <w:rPr>
          <w:rStyle w:val="st"/>
          <w:rFonts w:ascii="Times New Roman" w:hAnsi="Times New Roman"/>
          <w:sz w:val="24"/>
        </w:rPr>
        <w:t xml:space="preserve">desembolsar el fondo de reintegración, prestando una atención especial al apoyo en materia de empleo, la creación de pequeños negocios, la formación profesional y las clases de </w:t>
      </w:r>
      <w:r w:rsidR="00D62ACF">
        <w:rPr>
          <w:rStyle w:val="st"/>
          <w:rFonts w:ascii="Times New Roman" w:hAnsi="Times New Roman"/>
          <w:sz w:val="24"/>
        </w:rPr>
        <w:t>idioma</w:t>
      </w:r>
      <w:r w:rsidRPr="00D62ACF">
        <w:rPr>
          <w:rStyle w:val="st"/>
          <w:rFonts w:ascii="Times New Roman" w:hAnsi="Times New Roman"/>
          <w:sz w:val="24"/>
        </w:rPr>
        <w:t xml:space="preserve"> para los niños.</w:t>
      </w:r>
    </w:p>
    <w:p w:rsidR="000579A3" w:rsidRDefault="000F26A9" w:rsidP="000579A3">
      <w:pPr>
        <w:pStyle w:val="NormalWeb"/>
        <w:numPr>
          <w:ilvl w:val="0"/>
          <w:numId w:val="36"/>
        </w:numPr>
        <w:spacing w:before="0" w:beforeAutospacing="0" w:after="240" w:afterAutospacing="0"/>
        <w:jc w:val="both"/>
      </w:pPr>
      <w:r>
        <w:t>Ha cumplido el requisito relativo al seguimiento de la baja tasa de reconocimiento de asilo.</w:t>
      </w:r>
    </w:p>
    <w:p w:rsidR="006F5963" w:rsidRPr="00641057" w:rsidRDefault="000579A3" w:rsidP="000579A3">
      <w:pPr>
        <w:pStyle w:val="NormalWeb"/>
        <w:numPr>
          <w:ilvl w:val="0"/>
          <w:numId w:val="36"/>
        </w:numPr>
        <w:spacing w:before="0" w:beforeAutospacing="0" w:after="240" w:afterAutospacing="0"/>
        <w:jc w:val="both"/>
      </w:pPr>
      <w:r>
        <w:t>Ha cumplido el requisito relativo a la puesta a disposición de locales adecuados para la institución del Defensor del Pueblo y a la plena independencia presupuestaria de este.</w:t>
      </w:r>
    </w:p>
    <w:p w:rsidR="00420218" w:rsidRDefault="00400FA3" w:rsidP="00400FA3">
      <w:pPr>
        <w:spacing w:line="240" w:lineRule="auto"/>
        <w:jc w:val="both"/>
        <w:rPr>
          <w:rFonts w:ascii="Times New Roman" w:hAnsi="Times New Roman"/>
          <w:sz w:val="24"/>
          <w:szCs w:val="24"/>
        </w:rPr>
      </w:pPr>
      <w:r>
        <w:rPr>
          <w:rFonts w:ascii="Times New Roman" w:hAnsi="Times New Roman"/>
          <w:sz w:val="24"/>
        </w:rPr>
        <w:lastRenderedPageBreak/>
        <w:t xml:space="preserve">Sobre la base de esta evaluación, y teniendo en cuenta los resultados del seguimiento constante y los informes realizados desde la puesta en marcha del diálogo sobre liberalización de visados con Kosovo, la Comisión confirma que Kosovo </w:t>
      </w:r>
      <w:r>
        <w:rPr>
          <w:rFonts w:ascii="Times New Roman" w:hAnsi="Times New Roman"/>
          <w:b/>
          <w:sz w:val="24"/>
        </w:rPr>
        <w:t xml:space="preserve">ha cumplido los requisitos de la hoja de ruta </w:t>
      </w:r>
      <w:r w:rsidR="00D62ACF">
        <w:rPr>
          <w:rFonts w:ascii="Times New Roman" w:hAnsi="Times New Roman"/>
          <w:b/>
          <w:sz w:val="24"/>
        </w:rPr>
        <w:t xml:space="preserve">en materia </w:t>
      </w:r>
      <w:r>
        <w:rPr>
          <w:rFonts w:ascii="Times New Roman" w:hAnsi="Times New Roman"/>
          <w:b/>
          <w:sz w:val="24"/>
        </w:rPr>
        <w:t>de liberalización de visados</w:t>
      </w:r>
      <w:r>
        <w:rPr>
          <w:rFonts w:ascii="Times New Roman" w:hAnsi="Times New Roman"/>
          <w:sz w:val="24"/>
        </w:rPr>
        <w:t xml:space="preserve">, </w:t>
      </w:r>
      <w:r w:rsidR="00D62ACF">
        <w:rPr>
          <w:rFonts w:ascii="Times New Roman" w:hAnsi="Times New Roman"/>
          <w:sz w:val="24"/>
        </w:rPr>
        <w:t xml:space="preserve">asumiendo que </w:t>
      </w:r>
      <w:r>
        <w:rPr>
          <w:rFonts w:ascii="Times New Roman" w:hAnsi="Times New Roman"/>
          <w:sz w:val="24"/>
        </w:rPr>
        <w:t xml:space="preserve">en la fecha de la adopción de la presente propuesta por el Parlamento Europeo y el Consejo, Kosovo habrá ratificado el Acuerdo de delimitación de fronteras/líneas divisorias con Montenegro y reforzado su historial en materia de lucha contra la delincuencia organizada y de corrupción. </w:t>
      </w:r>
    </w:p>
    <w:p w:rsidR="00400FA3" w:rsidRPr="00400FA3" w:rsidRDefault="00C528EA" w:rsidP="00400FA3">
      <w:pPr>
        <w:spacing w:line="240" w:lineRule="auto"/>
        <w:jc w:val="both"/>
        <w:rPr>
          <w:rFonts w:ascii="Times New Roman" w:hAnsi="Times New Roman"/>
          <w:sz w:val="24"/>
          <w:szCs w:val="24"/>
        </w:rPr>
      </w:pPr>
      <w:r>
        <w:rPr>
          <w:rFonts w:ascii="Times New Roman" w:hAnsi="Times New Roman"/>
          <w:sz w:val="24"/>
        </w:rPr>
        <w:t xml:space="preserve">Dados todos los criterios que deben tomarse en consideración a la hora de determinar caso por caso los terceros países cuyos nacionales están sujetos a la obligación de visado, o están exentos de dicha obligación, tal como se establece en el artículo -1 del Reglamento (CE) n.º 539/2001 (introducido por el Reglamento (UE) n.º 509/2014), la Comisión ha decidido presentar una propuesta legislativa de modificación del Reglamento (CE) n.º 539/2001, por la que se transfiere a Kosovo del anexo I, Parte 2, al anexo II, </w:t>
      </w:r>
      <w:r w:rsidR="00D62ACF">
        <w:rPr>
          <w:rFonts w:ascii="Times New Roman" w:hAnsi="Times New Roman"/>
          <w:sz w:val="24"/>
        </w:rPr>
        <w:t xml:space="preserve">Parte </w:t>
      </w:r>
      <w:r>
        <w:rPr>
          <w:rFonts w:ascii="Times New Roman" w:hAnsi="Times New Roman"/>
          <w:sz w:val="24"/>
        </w:rPr>
        <w:t xml:space="preserve">4, de dicho Reglamento. </w:t>
      </w:r>
      <w:r w:rsidRPr="00D62ACF">
        <w:rPr>
          <w:rFonts w:ascii="Times New Roman" w:hAnsi="Times New Roman"/>
          <w:sz w:val="24"/>
        </w:rPr>
        <w:t>Como se indica en la hoja de ruta, esta modificación solo se refiere a los particulares que sean titulares de pasaportes biométricos expedidos de conformidad con las normas de la Organización de Aviación Civil Internacional (OACI) y las normas de la UE relativas a las medidas de seguridad y datos biométricos en los pasaportes y documentos de viaje</w:t>
      </w:r>
      <w:r>
        <w:rPr>
          <w:rStyle w:val="FootnoteReference"/>
          <w:rFonts w:ascii="Times New Roman" w:hAnsi="Times New Roman"/>
          <w:sz w:val="24"/>
        </w:rPr>
        <w:footnoteReference w:id="16"/>
      </w:r>
      <w:r>
        <w:t>.</w:t>
      </w:r>
      <w:r>
        <w:rPr>
          <w:rFonts w:ascii="Times New Roman" w:hAnsi="Times New Roman"/>
          <w:sz w:val="24"/>
        </w:rPr>
        <w:t xml:space="preserve"> </w:t>
      </w:r>
    </w:p>
    <w:p w:rsidR="00400FA3" w:rsidRPr="00400FA3" w:rsidRDefault="00400FA3" w:rsidP="00400FA3">
      <w:pPr>
        <w:spacing w:line="240" w:lineRule="auto"/>
        <w:jc w:val="both"/>
        <w:rPr>
          <w:rFonts w:ascii="Times New Roman" w:hAnsi="Times New Roman"/>
          <w:i/>
          <w:sz w:val="24"/>
          <w:szCs w:val="24"/>
        </w:rPr>
      </w:pPr>
      <w:r>
        <w:rPr>
          <w:rFonts w:ascii="Times New Roman" w:hAnsi="Times New Roman"/>
          <w:sz w:val="24"/>
        </w:rPr>
        <w:t>Tras la presentación de esta propuesta legislativa, la Comisión continuará efectuando un seguimiento activo de la ratificación por parte de Kosovo de su Acuerdo de delimitación de fronteras/líneas divisorias con Montenegro, así como de la evolución de su historial en materia de lucha contra la delincuencia organizada y de corrupción.</w:t>
      </w:r>
    </w:p>
    <w:p w:rsidR="00400FA3" w:rsidRDefault="00400FA3" w:rsidP="006C1C44">
      <w:pPr>
        <w:spacing w:line="240" w:lineRule="auto"/>
        <w:jc w:val="both"/>
        <w:rPr>
          <w:rFonts w:ascii="Times New Roman" w:hAnsi="Times New Roman"/>
          <w:sz w:val="24"/>
          <w:szCs w:val="24"/>
        </w:rPr>
      </w:pPr>
      <w:r>
        <w:rPr>
          <w:rFonts w:ascii="Times New Roman" w:hAnsi="Times New Roman"/>
          <w:sz w:val="24"/>
        </w:rPr>
        <w:t>La aplicación en curso por parte de Kosovo de todos los requisitos fijados en los cuatro bloques de la hoja de ruta en materia de visados, así como la reintegración y la readmisión, serán objeto de seguimiento dentro del mecanismo de supervisión posterior a la liberalización de los visados</w:t>
      </w:r>
      <w:r>
        <w:rPr>
          <w:rStyle w:val="FootnoteReference"/>
          <w:rFonts w:ascii="Times New Roman" w:hAnsi="Times New Roman"/>
          <w:sz w:val="24"/>
        </w:rPr>
        <w:footnoteReference w:id="17"/>
      </w:r>
      <w:r>
        <w:rPr>
          <w:rFonts w:ascii="Times New Roman" w:hAnsi="Times New Roman"/>
          <w:sz w:val="24"/>
        </w:rPr>
        <w:t xml:space="preserve"> y del Proceso de Estabilización y Asociación y, si es necesario, a través de mecanismos de seguimiento </w:t>
      </w:r>
      <w:r>
        <w:rPr>
          <w:rFonts w:ascii="Times New Roman" w:hAnsi="Times New Roman"/>
          <w:i/>
          <w:sz w:val="24"/>
        </w:rPr>
        <w:t>ad hoc</w:t>
      </w:r>
      <w:r>
        <w:rPr>
          <w:rFonts w:ascii="Times New Roman" w:hAnsi="Times New Roman"/>
          <w:sz w:val="24"/>
        </w:rPr>
        <w:t xml:space="preserve">. Kosovo debe garantizar que siguen vigentes medidas eficaces de prevención de los abusos </w:t>
      </w:r>
      <w:r w:rsidR="00D62ACF">
        <w:rPr>
          <w:rFonts w:ascii="Times New Roman" w:hAnsi="Times New Roman"/>
          <w:sz w:val="24"/>
        </w:rPr>
        <w:t>en el</w:t>
      </w:r>
      <w:r>
        <w:rPr>
          <w:rFonts w:ascii="Times New Roman" w:hAnsi="Times New Roman"/>
          <w:sz w:val="24"/>
        </w:rPr>
        <w:t xml:space="preserve"> régimen de exención de visado. Entre otras cosas, Kosovo debe organizar campañas de información específicas para clarificar los derechos y obligaciones de los viajes libres de visado, así como las normas que regulan el acceso al mercado laboral de la UE. La Comisión seguirá supervisando y hará todo lo posible para apoyar a Kosovo en el cumplimiento continuo de los requisitos de la hoja de ruta en materia de visados.</w:t>
      </w:r>
    </w:p>
    <w:sectPr w:rsidR="00400FA3" w:rsidSect="00F26F0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FF9" w:rsidRDefault="00390FF9" w:rsidP="00A27686">
      <w:pPr>
        <w:spacing w:after="0" w:line="240" w:lineRule="auto"/>
      </w:pPr>
      <w:r>
        <w:separator/>
      </w:r>
    </w:p>
  </w:endnote>
  <w:endnote w:type="continuationSeparator" w:id="0">
    <w:p w:rsidR="00390FF9" w:rsidRDefault="00390FF9" w:rsidP="00A27686">
      <w:pPr>
        <w:spacing w:after="0" w:line="240" w:lineRule="auto"/>
      </w:pPr>
      <w:r>
        <w:continuationSeparator/>
      </w:r>
    </w:p>
  </w:endnote>
  <w:endnote w:type="continuationNotice" w:id="1">
    <w:p w:rsidR="00390FF9" w:rsidRDefault="00390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C9" w:rsidRPr="001D0855" w:rsidRDefault="001C42C9" w:rsidP="001C42C9">
    <w:pPr>
      <w:pStyle w:val="FooterCoverPage"/>
      <w:rPr>
        <w:rFonts w:ascii="Arial" w:hAnsi="Arial" w:cs="Arial"/>
        <w:b/>
        <w:sz w:val="48"/>
      </w:rPr>
    </w:pPr>
    <w:r w:rsidRPr="001D0855">
      <w:rPr>
        <w:rFonts w:ascii="Arial" w:hAnsi="Arial" w:cs="Arial"/>
        <w:b/>
        <w:sz w:val="48"/>
      </w:rPr>
      <w:t>ES</w:t>
    </w:r>
    <w:r w:rsidRPr="001D0855">
      <w:rPr>
        <w:rFonts w:ascii="Arial" w:hAnsi="Arial" w:cs="Arial"/>
        <w:b/>
        <w:sz w:val="48"/>
      </w:rPr>
      <w:tab/>
    </w:r>
    <w:r w:rsidRPr="001D0855">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rsidRPr="001D0855">
      <w:tab/>
    </w:r>
    <w:r w:rsidRPr="001D0855">
      <w:rPr>
        <w:rFonts w:ascii="Arial" w:hAnsi="Arial" w:cs="Arial"/>
        <w:b/>
        <w:sz w:val="48"/>
      </w:rPr>
      <w:t>ES</w:t>
    </w:r>
  </w:p>
  <w:p w:rsidR="00882C5F" w:rsidRDefault="00882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23" w:rsidRDefault="007266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23" w:rsidRPr="000063AB" w:rsidRDefault="00726623">
    <w:pPr>
      <w:pStyle w:val="Footer"/>
      <w:jc w:val="center"/>
      <w:rPr>
        <w:rFonts w:ascii="Times New Roman" w:hAnsi="Times New Roman"/>
      </w:rPr>
    </w:pPr>
    <w:r w:rsidRPr="000063AB">
      <w:rPr>
        <w:rFonts w:ascii="Times New Roman" w:hAnsi="Times New Roman"/>
      </w:rPr>
      <w:fldChar w:fldCharType="begin"/>
    </w:r>
    <w:r w:rsidRPr="000063AB">
      <w:rPr>
        <w:rFonts w:ascii="Times New Roman" w:hAnsi="Times New Roman"/>
      </w:rPr>
      <w:instrText xml:space="preserve"> PAGE   \* MERGEFORMAT </w:instrText>
    </w:r>
    <w:r w:rsidRPr="000063AB">
      <w:rPr>
        <w:rFonts w:ascii="Times New Roman" w:hAnsi="Times New Roman"/>
      </w:rPr>
      <w:fldChar w:fldCharType="separate"/>
    </w:r>
    <w:r w:rsidR="001C42C9">
      <w:rPr>
        <w:rFonts w:ascii="Times New Roman" w:hAnsi="Times New Roman"/>
        <w:noProof/>
      </w:rPr>
      <w:t>6</w:t>
    </w:r>
    <w:r w:rsidRPr="000063AB">
      <w:rPr>
        <w:rFonts w:ascii="Times New Roman" w:hAnsi="Times New Roman"/>
        <w:noProof/>
      </w:rPr>
      <w:fldChar w:fldCharType="end"/>
    </w:r>
  </w:p>
  <w:p w:rsidR="00726623" w:rsidRDefault="007266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23" w:rsidRDefault="00726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FF9" w:rsidRDefault="00390FF9" w:rsidP="00A27686">
      <w:pPr>
        <w:spacing w:after="0" w:line="240" w:lineRule="auto"/>
      </w:pPr>
      <w:r>
        <w:separator/>
      </w:r>
    </w:p>
  </w:footnote>
  <w:footnote w:type="continuationSeparator" w:id="0">
    <w:p w:rsidR="00390FF9" w:rsidRDefault="00390FF9" w:rsidP="00A27686">
      <w:pPr>
        <w:spacing w:after="0" w:line="240" w:lineRule="auto"/>
      </w:pPr>
      <w:r>
        <w:continuationSeparator/>
      </w:r>
    </w:p>
  </w:footnote>
  <w:footnote w:type="continuationNotice" w:id="1">
    <w:p w:rsidR="00390FF9" w:rsidRDefault="00390FF9">
      <w:pPr>
        <w:spacing w:after="0" w:line="240" w:lineRule="auto"/>
      </w:pPr>
    </w:p>
  </w:footnote>
  <w:footnote w:id="2">
    <w:p w:rsidR="005B7505" w:rsidRDefault="00BD77A1" w:rsidP="00BE62F5">
      <w:pPr>
        <w:pStyle w:val="FootnoteText"/>
        <w:spacing w:after="0" w:line="240" w:lineRule="auto"/>
        <w:jc w:val="both"/>
        <w:rPr>
          <w:rFonts w:ascii="Times New Roman" w:hAnsi="Times New Roman"/>
        </w:rPr>
      </w:pPr>
      <w:r>
        <w:rPr>
          <w:rFonts w:ascii="Times New Roman" w:hAnsi="Times New Roman"/>
        </w:rPr>
        <w:t>* Esta denominación se entiende sin perjuicio de las posiciones sobre su estatuto, y está en consonancia con la Resolución 1244 (1999) del Consejo de Seguridad de las Naciones Unidas y con la Opinión de la Corte Internacional de Justicia sobre la declaración de independencia de Kosovo.</w:t>
      </w:r>
    </w:p>
    <w:p w:rsidR="00B82DDE" w:rsidRPr="006C1C44" w:rsidRDefault="00B82DDE" w:rsidP="00BE62F5">
      <w:pPr>
        <w:pStyle w:val="FootnoteText"/>
        <w:spacing w:after="0" w:line="240" w:lineRule="auto"/>
        <w:jc w:val="both"/>
        <w:rPr>
          <w:rFonts w:ascii="Times New Roman" w:hAnsi="Times New Roman"/>
          <w:lang w:val="pt-PT"/>
        </w:rPr>
      </w:pPr>
      <w:r>
        <w:rPr>
          <w:rStyle w:val="FootnoteReference"/>
          <w:rFonts w:ascii="Times New Roman" w:hAnsi="Times New Roman"/>
        </w:rPr>
        <w:footnoteRef/>
      </w:r>
      <w:r w:rsidRPr="001D0855">
        <w:rPr>
          <w:rFonts w:ascii="Times New Roman" w:hAnsi="Times New Roman"/>
          <w:lang w:val="pt-PT"/>
        </w:rPr>
        <w:t xml:space="preserve"> </w:t>
      </w:r>
      <w:proofErr w:type="gramStart"/>
      <w:r w:rsidRPr="001D0855">
        <w:rPr>
          <w:rFonts w:ascii="Times New Roman" w:hAnsi="Times New Roman"/>
          <w:lang w:val="pt-PT"/>
        </w:rPr>
        <w:t>COM(2013</w:t>
      </w:r>
      <w:proofErr w:type="gramEnd"/>
      <w:r w:rsidRPr="001D0855">
        <w:rPr>
          <w:rFonts w:ascii="Times New Roman" w:hAnsi="Times New Roman"/>
          <w:lang w:val="pt-PT"/>
        </w:rPr>
        <w:t>) 66 final.</w:t>
      </w:r>
    </w:p>
  </w:footnote>
  <w:footnote w:id="3">
    <w:p w:rsidR="00B82DDE" w:rsidRPr="00A90E26" w:rsidRDefault="00B82DDE" w:rsidP="00BE62F5">
      <w:pPr>
        <w:pStyle w:val="FootnoteText"/>
        <w:spacing w:after="0" w:line="240" w:lineRule="auto"/>
        <w:jc w:val="both"/>
        <w:rPr>
          <w:rFonts w:ascii="Times New Roman" w:hAnsi="Times New Roman"/>
          <w:lang w:val="pt-PT"/>
        </w:rPr>
      </w:pPr>
      <w:r>
        <w:rPr>
          <w:rStyle w:val="FootnoteReference"/>
          <w:rFonts w:ascii="Times New Roman" w:hAnsi="Times New Roman"/>
        </w:rPr>
        <w:footnoteRef/>
      </w:r>
      <w:r w:rsidRPr="001D0855">
        <w:rPr>
          <w:rFonts w:ascii="Times New Roman" w:hAnsi="Times New Roman"/>
          <w:lang w:val="pt-PT"/>
        </w:rPr>
        <w:t xml:space="preserve"> </w:t>
      </w:r>
      <w:proofErr w:type="gramStart"/>
      <w:r w:rsidRPr="001D0855">
        <w:rPr>
          <w:rFonts w:ascii="Times New Roman" w:hAnsi="Times New Roman"/>
          <w:lang w:val="pt-PT"/>
        </w:rPr>
        <w:t>COM(2014</w:t>
      </w:r>
      <w:proofErr w:type="gramEnd"/>
      <w:r w:rsidRPr="001D0855">
        <w:rPr>
          <w:rFonts w:ascii="Times New Roman" w:hAnsi="Times New Roman"/>
          <w:lang w:val="pt-PT"/>
        </w:rPr>
        <w:t>) 488 final.</w:t>
      </w:r>
    </w:p>
  </w:footnote>
  <w:footnote w:id="4">
    <w:p w:rsidR="00B82DDE" w:rsidRPr="00A90E26" w:rsidRDefault="00B82DDE" w:rsidP="00965EE1">
      <w:pPr>
        <w:pStyle w:val="FootnoteText"/>
        <w:spacing w:after="0" w:line="240" w:lineRule="auto"/>
        <w:rPr>
          <w:rFonts w:ascii="Times New Roman" w:hAnsi="Times New Roman"/>
          <w:lang w:val="pt-PT"/>
        </w:rPr>
      </w:pPr>
      <w:r>
        <w:rPr>
          <w:rStyle w:val="FootnoteReference"/>
          <w:rFonts w:ascii="Times New Roman" w:hAnsi="Times New Roman"/>
        </w:rPr>
        <w:footnoteRef/>
      </w:r>
      <w:r w:rsidRPr="001D0855">
        <w:rPr>
          <w:rFonts w:ascii="Times New Roman" w:hAnsi="Times New Roman"/>
          <w:lang w:val="pt-PT"/>
        </w:rPr>
        <w:t xml:space="preserve"> </w:t>
      </w:r>
      <w:proofErr w:type="gramStart"/>
      <w:r w:rsidRPr="001D0855">
        <w:rPr>
          <w:rFonts w:ascii="Times New Roman" w:hAnsi="Times New Roman"/>
          <w:lang w:val="pt-PT"/>
        </w:rPr>
        <w:t>COM(2015</w:t>
      </w:r>
      <w:proofErr w:type="gramEnd"/>
      <w:r w:rsidRPr="001D0855">
        <w:rPr>
          <w:rFonts w:ascii="Times New Roman" w:hAnsi="Times New Roman"/>
          <w:lang w:val="pt-PT"/>
        </w:rPr>
        <w:t xml:space="preserve">) 906 final, junto </w:t>
      </w:r>
      <w:proofErr w:type="spellStart"/>
      <w:r w:rsidRPr="001D0855">
        <w:rPr>
          <w:rFonts w:ascii="Times New Roman" w:hAnsi="Times New Roman"/>
          <w:lang w:val="pt-PT"/>
        </w:rPr>
        <w:t>con</w:t>
      </w:r>
      <w:proofErr w:type="spellEnd"/>
      <w:r w:rsidRPr="001D0855">
        <w:rPr>
          <w:rFonts w:ascii="Times New Roman" w:hAnsi="Times New Roman"/>
          <w:lang w:val="pt-PT"/>
        </w:rPr>
        <w:t xml:space="preserve"> SWD(2015) 706 final.</w:t>
      </w:r>
    </w:p>
  </w:footnote>
  <w:footnote w:id="5">
    <w:p w:rsidR="00E061D0" w:rsidRPr="00726623" w:rsidRDefault="00E061D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C(</w:t>
      </w:r>
      <w:proofErr w:type="gramEnd"/>
      <w:r>
        <w:rPr>
          <w:rFonts w:ascii="Times New Roman" w:hAnsi="Times New Roman"/>
        </w:rPr>
        <w:t>2016) 160 final.</w:t>
      </w:r>
    </w:p>
  </w:footnote>
  <w:footnote w:id="6">
    <w:p w:rsidR="00B82DDE" w:rsidRDefault="00B82DDE" w:rsidP="00965EE1">
      <w:pPr>
        <w:pStyle w:val="FootnoteText"/>
        <w:spacing w:after="0"/>
      </w:pPr>
      <w:r>
        <w:rPr>
          <w:rStyle w:val="FootnoteReference"/>
          <w:rFonts w:ascii="Times New Roman" w:hAnsi="Times New Roman"/>
        </w:rPr>
        <w:footnoteRef/>
      </w:r>
      <w:r>
        <w:rPr>
          <w:rFonts w:ascii="Times New Roman" w:hAnsi="Times New Roman"/>
        </w:rPr>
        <w:t xml:space="preserve"> El acceso a la vivienda, considerado por Kosovo como un factor propiciador de la emigración, continúa siendo la única categoría de servicios de la que tan solo pueden beneficiarse las personas que abandonaron Kosovo antes de julio de 2010.</w:t>
      </w:r>
    </w:p>
  </w:footnote>
  <w:footnote w:id="7">
    <w:p w:rsidR="00B82DDE" w:rsidRPr="00A266F4" w:rsidRDefault="00B82DDE" w:rsidP="00A266F4">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Este corpus de legislación derivada se compone de una instrucción administrativa, una circular emitida por la agencia del Registro civil, y procedimientos operativos normalizados que describen los procedimientos que deberán aplicarse. </w:t>
      </w:r>
    </w:p>
  </w:footnote>
  <w:footnote w:id="8">
    <w:p w:rsidR="00B82DDE" w:rsidRDefault="00B82DDE" w:rsidP="00A266F4">
      <w:pPr>
        <w:pStyle w:val="FootnoteText"/>
        <w:spacing w:after="0"/>
      </w:pPr>
      <w:r>
        <w:rPr>
          <w:rStyle w:val="FootnoteReference"/>
          <w:rFonts w:ascii="Times New Roman" w:hAnsi="Times New Roman"/>
        </w:rPr>
        <w:footnoteRef/>
      </w:r>
      <w:r>
        <w:rPr>
          <w:rFonts w:ascii="Times New Roman" w:hAnsi="Times New Roman"/>
        </w:rPr>
        <w:t xml:space="preserve"> Ley 02/L-118</w:t>
      </w:r>
      <w:r w:rsidR="00400CCB">
        <w:rPr>
          <w:rFonts w:ascii="Times New Roman" w:hAnsi="Times New Roman"/>
        </w:rPr>
        <w:t>.</w:t>
      </w:r>
    </w:p>
  </w:footnote>
  <w:footnote w:id="9">
    <w:p w:rsidR="00B82DDE" w:rsidRPr="00DB27F3" w:rsidRDefault="00B82DDE" w:rsidP="004E0E6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Este informe puede consultarse en el siguiente enlace: </w:t>
      </w:r>
      <w:hyperlink r:id="rId1">
        <w:r>
          <w:rPr>
            <w:rStyle w:val="Hyperlink"/>
            <w:rFonts w:ascii="Times New Roman" w:hAnsi="Times New Roman"/>
          </w:rPr>
          <w:t>http://president-ksgov.net/repository/docs/Final_Report.pdf</w:t>
        </w:r>
      </w:hyperlink>
      <w:r>
        <w:rPr>
          <w:rStyle w:val="Hyperlink"/>
          <w:rFonts w:ascii="Times New Roman" w:hAnsi="Times New Roman"/>
        </w:rPr>
        <w:t>.</w:t>
      </w:r>
    </w:p>
  </w:footnote>
  <w:footnote w:id="10">
    <w:p w:rsidR="00B82DDE" w:rsidRPr="004E6C34" w:rsidRDefault="00B82DDE" w:rsidP="00F466BE">
      <w:pPr>
        <w:pStyle w:val="FootnoteText"/>
        <w:spacing w:after="0"/>
        <w:jc w:val="both"/>
        <w:rPr>
          <w:rFonts w:ascii="Times New Roman" w:hAnsi="Times New Roman"/>
          <w:lang w:val="hu-HU"/>
        </w:rPr>
      </w:pPr>
      <w:r>
        <w:rPr>
          <w:rStyle w:val="FootnoteReference"/>
          <w:rFonts w:ascii="Times New Roman" w:hAnsi="Times New Roman"/>
        </w:rPr>
        <w:footnoteRef/>
      </w:r>
      <w:r>
        <w:rPr>
          <w:rFonts w:ascii="Times New Roman" w:hAnsi="Times New Roman"/>
        </w:rPr>
        <w:t xml:space="preserve"> Ley 05/L-094. La enmienda relativa a la duración de las transferencias entró en vigor el 6 de abril de 2016.</w:t>
      </w:r>
    </w:p>
  </w:footnote>
  <w:footnote w:id="11">
    <w:p w:rsidR="00B82DDE" w:rsidRPr="00BA0D60" w:rsidRDefault="00B82DDE" w:rsidP="00F466BE">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La misión de evaluación de visados de marzo de 2016 también confirmó el compromiso personal de los jueces trasladados entrevistados </w:t>
      </w:r>
      <w:r w:rsidR="008C219C">
        <w:rPr>
          <w:rFonts w:ascii="Times New Roman" w:hAnsi="Times New Roman"/>
        </w:rPr>
        <w:t>para dictar sentencias</w:t>
      </w:r>
      <w:r>
        <w:rPr>
          <w:rFonts w:ascii="Times New Roman" w:hAnsi="Times New Roman"/>
        </w:rPr>
        <w:t xml:space="preserve"> en asuntos que les fueron asignados antes de que expirara su traslado.</w:t>
      </w:r>
    </w:p>
  </w:footnote>
  <w:footnote w:id="12">
    <w:p w:rsidR="00B82DDE" w:rsidRPr="00C20702" w:rsidRDefault="00B82DDE" w:rsidP="008258EB">
      <w:pPr>
        <w:pStyle w:val="FootnoteText"/>
        <w:rPr>
          <w:rFonts w:ascii="Times New Roman" w:hAnsi="Times New Roman"/>
        </w:rPr>
      </w:pPr>
      <w:r>
        <w:rPr>
          <w:rStyle w:val="FootnoteReference"/>
        </w:rPr>
        <w:footnoteRef/>
      </w:r>
      <w:r>
        <w:rPr>
          <w:rFonts w:ascii="Times New Roman" w:hAnsi="Times New Roman"/>
        </w:rPr>
        <w:t xml:space="preserve"> Estos datos se refieren únicamente a asuntos nuevos surgidos en 2015.</w:t>
      </w:r>
    </w:p>
  </w:footnote>
  <w:footnote w:id="13">
    <w:p w:rsidR="00B57B91" w:rsidRDefault="00B57B91" w:rsidP="00922854">
      <w:pPr>
        <w:autoSpaceDE w:val="0"/>
        <w:autoSpaceDN w:val="0"/>
        <w:adjustRightInd w:val="0"/>
        <w:spacing w:after="0" w:line="240" w:lineRule="auto"/>
      </w:pPr>
      <w:r>
        <w:rPr>
          <w:rStyle w:val="FootnoteReference"/>
          <w:rFonts w:ascii="Times New Roman" w:hAnsi="Times New Roman"/>
          <w:sz w:val="20"/>
        </w:rPr>
        <w:footnoteRef/>
      </w:r>
      <w:r>
        <w:rPr>
          <w:rFonts w:ascii="Times New Roman" w:hAnsi="Times New Roman"/>
          <w:sz w:val="20"/>
        </w:rPr>
        <w:t xml:space="preserve"> Ley nº 05/L-092.</w:t>
      </w:r>
    </w:p>
  </w:footnote>
  <w:footnote w:id="14">
    <w:p w:rsidR="00B82DDE" w:rsidRPr="00C3232F" w:rsidRDefault="00B82DDE" w:rsidP="00C3232F">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La Decisión nº 05/75 obliga al Ministerio de Hacienda «a aplicar la presente Decisión».</w:t>
      </w:r>
    </w:p>
  </w:footnote>
  <w:footnote w:id="15">
    <w:p w:rsidR="00B82DDE" w:rsidRDefault="00B82DDE" w:rsidP="00C3232F">
      <w:pPr>
        <w:pStyle w:val="FootnoteText"/>
        <w:spacing w:after="0"/>
      </w:pPr>
      <w:r>
        <w:rPr>
          <w:rStyle w:val="FootnoteReference"/>
          <w:rFonts w:ascii="Times New Roman" w:hAnsi="Times New Roman"/>
        </w:rPr>
        <w:footnoteRef/>
      </w:r>
      <w:r>
        <w:rPr>
          <w:rFonts w:ascii="Times New Roman" w:hAnsi="Times New Roman"/>
        </w:rPr>
        <w:t xml:space="preserve"> Ley 05/L-019.</w:t>
      </w:r>
    </w:p>
  </w:footnote>
  <w:footnote w:id="16">
    <w:p w:rsidR="00400FA3" w:rsidRPr="00400FA3" w:rsidRDefault="00400FA3" w:rsidP="00FE1427">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En particular, Reglamento (CE) n</w:t>
      </w:r>
      <w:proofErr w:type="gramStart"/>
      <w:r>
        <w:rPr>
          <w:rFonts w:ascii="Times New Roman" w:hAnsi="Times New Roman"/>
        </w:rPr>
        <w:t>.º</w:t>
      </w:r>
      <w:proofErr w:type="gramEnd"/>
      <w:r>
        <w:rPr>
          <w:rFonts w:ascii="Times New Roman" w:hAnsi="Times New Roman"/>
        </w:rPr>
        <w:t xml:space="preserve"> 2252/2004 del Consejo, de 13 de diciembre de 2004, sobre normas para las medidas de seguridad y datos biométricos en los pasaportes y documentos de viaje expedidos por los Estados miembros (DO L 385 de 29.12.2004, p. 1). </w:t>
      </w:r>
    </w:p>
  </w:footnote>
  <w:footnote w:id="17">
    <w:p w:rsidR="00FE1427" w:rsidRPr="00FE1427" w:rsidRDefault="00FE1427" w:rsidP="00FE142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Declaración de la Comisión sobre un mecanismo de seguimiento de 8 de noviembre de 2010, 2010/0137 (COD).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23" w:rsidRDefault="007266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23" w:rsidRDefault="007266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23" w:rsidRDefault="007266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A0E"/>
    <w:multiLevelType w:val="hybridMultilevel"/>
    <w:tmpl w:val="68D408CE"/>
    <w:lvl w:ilvl="0" w:tplc="5B4C0952">
      <w:numFmt w:val="bullet"/>
      <w:lvlText w:val="-"/>
      <w:lvlJc w:val="left"/>
      <w:pPr>
        <w:ind w:left="360" w:hanging="360"/>
      </w:pPr>
      <w:rPr>
        <w:rFonts w:ascii="Times New Roman" w:eastAsia="Calibri" w:hAnsi="Times New Roman"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7206DD"/>
    <w:multiLevelType w:val="hybridMultilevel"/>
    <w:tmpl w:val="AC1E8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4775535"/>
    <w:multiLevelType w:val="hybridMultilevel"/>
    <w:tmpl w:val="4C8E70C2"/>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770F90"/>
    <w:multiLevelType w:val="hybridMultilevel"/>
    <w:tmpl w:val="7E5C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542F61"/>
    <w:multiLevelType w:val="hybridMultilevel"/>
    <w:tmpl w:val="B3EC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40758"/>
    <w:multiLevelType w:val="hybridMultilevel"/>
    <w:tmpl w:val="704C7584"/>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D3C8D"/>
    <w:multiLevelType w:val="hybridMultilevel"/>
    <w:tmpl w:val="4BE2A842"/>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840C9A"/>
    <w:multiLevelType w:val="hybridMultilevel"/>
    <w:tmpl w:val="4F2A85A4"/>
    <w:lvl w:ilvl="0" w:tplc="5134CD5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084481"/>
    <w:multiLevelType w:val="hybridMultilevel"/>
    <w:tmpl w:val="96281590"/>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48731C"/>
    <w:multiLevelType w:val="hybridMultilevel"/>
    <w:tmpl w:val="FE7EAF3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EB0791"/>
    <w:multiLevelType w:val="hybridMultilevel"/>
    <w:tmpl w:val="02F032D8"/>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E33208"/>
    <w:multiLevelType w:val="hybridMultilevel"/>
    <w:tmpl w:val="4AF4FA78"/>
    <w:lvl w:ilvl="0" w:tplc="5B4C0952">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39286C"/>
    <w:multiLevelType w:val="hybridMultilevel"/>
    <w:tmpl w:val="BDAE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3D2E00"/>
    <w:multiLevelType w:val="hybridMultilevel"/>
    <w:tmpl w:val="DDA23E00"/>
    <w:lvl w:ilvl="0" w:tplc="7BEC862C">
      <w:start w:val="1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40EA0E7B"/>
    <w:multiLevelType w:val="hybridMultilevel"/>
    <w:tmpl w:val="64125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64E6BB1"/>
    <w:multiLevelType w:val="hybridMultilevel"/>
    <w:tmpl w:val="DBF02A78"/>
    <w:lvl w:ilvl="0" w:tplc="5B4C0952">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6B959BA"/>
    <w:multiLevelType w:val="hybridMultilevel"/>
    <w:tmpl w:val="E152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B3073C"/>
    <w:multiLevelType w:val="hybridMultilevel"/>
    <w:tmpl w:val="E5CE9A74"/>
    <w:lvl w:ilvl="0" w:tplc="D9DA0EB2">
      <w:numFmt w:val="bullet"/>
      <w:lvlText w:val="-"/>
      <w:lvlJc w:val="left"/>
      <w:pPr>
        <w:ind w:left="360" w:hanging="360"/>
      </w:pPr>
      <w:rPr>
        <w:rFonts w:ascii="Arial" w:eastAsia="ヒラギノ角ゴ Pro W3"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33738CF"/>
    <w:multiLevelType w:val="hybridMultilevel"/>
    <w:tmpl w:val="4EE4188E"/>
    <w:lvl w:ilvl="0" w:tplc="5134CD5E">
      <w:numFmt w:val="bullet"/>
      <w:lvlText w:val="-"/>
      <w:lvlJc w:val="left"/>
      <w:pPr>
        <w:ind w:left="360" w:hanging="360"/>
      </w:pPr>
      <w:rPr>
        <w:rFonts w:ascii="Arial" w:eastAsia="Calibri"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5294BA7"/>
    <w:multiLevelType w:val="hybridMultilevel"/>
    <w:tmpl w:val="1242C982"/>
    <w:lvl w:ilvl="0" w:tplc="5B4C0952">
      <w:numFmt w:val="bullet"/>
      <w:lvlText w:val="-"/>
      <w:lvlJc w:val="left"/>
      <w:pPr>
        <w:ind w:left="360" w:hanging="360"/>
      </w:pPr>
      <w:rPr>
        <w:rFonts w:ascii="Times New Roman" w:eastAsia="Calibri" w:hAnsi="Times New Roman"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DBD5B93"/>
    <w:multiLevelType w:val="hybridMultilevel"/>
    <w:tmpl w:val="3DA6537A"/>
    <w:lvl w:ilvl="0" w:tplc="5B4C0952">
      <w:numFmt w:val="bullet"/>
      <w:lvlText w:val="-"/>
      <w:lvlJc w:val="left"/>
      <w:pPr>
        <w:ind w:left="360" w:hanging="360"/>
      </w:pPr>
      <w:rPr>
        <w:rFonts w:ascii="Times New Roman" w:eastAsia="Calibri" w:hAnsi="Times New Roman"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52A5A72"/>
    <w:multiLevelType w:val="hybridMultilevel"/>
    <w:tmpl w:val="3CF8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1C7070"/>
    <w:multiLevelType w:val="hybridMultilevel"/>
    <w:tmpl w:val="61D6B7AE"/>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2C50FA"/>
    <w:multiLevelType w:val="hybridMultilevel"/>
    <w:tmpl w:val="9BCC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9E3F77"/>
    <w:multiLevelType w:val="hybridMultilevel"/>
    <w:tmpl w:val="FB3CCCA4"/>
    <w:lvl w:ilvl="0" w:tplc="5B4C0952">
      <w:numFmt w:val="bullet"/>
      <w:lvlText w:val="-"/>
      <w:lvlJc w:val="left"/>
      <w:pPr>
        <w:ind w:left="360" w:hanging="360"/>
      </w:pPr>
      <w:rPr>
        <w:rFonts w:ascii="Times New Roman" w:eastAsia="Calibri" w:hAnsi="Times New Roman"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A482AB0"/>
    <w:multiLevelType w:val="hybridMultilevel"/>
    <w:tmpl w:val="5ABC61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A5D3ADD"/>
    <w:multiLevelType w:val="hybridMultilevel"/>
    <w:tmpl w:val="D0E8128C"/>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5B05B2"/>
    <w:multiLevelType w:val="hybridMultilevel"/>
    <w:tmpl w:val="753E51E2"/>
    <w:lvl w:ilvl="0" w:tplc="7D2216C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2E91B0C"/>
    <w:multiLevelType w:val="hybridMultilevel"/>
    <w:tmpl w:val="AA46E950"/>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197619"/>
    <w:multiLevelType w:val="hybridMultilevel"/>
    <w:tmpl w:val="661E1A98"/>
    <w:lvl w:ilvl="0" w:tplc="5B4C0952">
      <w:numFmt w:val="bullet"/>
      <w:lvlText w:val="-"/>
      <w:lvlJc w:val="left"/>
      <w:pPr>
        <w:ind w:left="360" w:hanging="360"/>
      </w:pPr>
      <w:rPr>
        <w:rFonts w:ascii="Times New Roman" w:eastAsia="Calibri" w:hAnsi="Times New Roman"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797275C"/>
    <w:multiLevelType w:val="hybridMultilevel"/>
    <w:tmpl w:val="78B8B526"/>
    <w:lvl w:ilvl="0" w:tplc="5B4C095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ED1E50"/>
    <w:multiLevelType w:val="hybridMultilevel"/>
    <w:tmpl w:val="52EE0A62"/>
    <w:lvl w:ilvl="0" w:tplc="DA5C7E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B9E4069"/>
    <w:multiLevelType w:val="hybridMultilevel"/>
    <w:tmpl w:val="727C6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DA16563"/>
    <w:multiLevelType w:val="hybridMultilevel"/>
    <w:tmpl w:val="938616F6"/>
    <w:lvl w:ilvl="0" w:tplc="5B4C0952">
      <w:numFmt w:val="bullet"/>
      <w:lvlText w:val="-"/>
      <w:lvlJc w:val="left"/>
      <w:pPr>
        <w:ind w:left="360" w:hanging="360"/>
      </w:pPr>
      <w:rPr>
        <w:rFonts w:ascii="Times New Roman" w:eastAsia="Calibri" w:hAnsi="Times New Roman"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DE330CE"/>
    <w:multiLevelType w:val="hybridMultilevel"/>
    <w:tmpl w:val="2B18B93C"/>
    <w:lvl w:ilvl="0" w:tplc="A62C835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F454078"/>
    <w:multiLevelType w:val="hybridMultilevel"/>
    <w:tmpl w:val="EA3477B6"/>
    <w:lvl w:ilvl="0" w:tplc="5B4C0952">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15"/>
  </w:num>
  <w:num w:numId="3">
    <w:abstractNumId w:val="35"/>
  </w:num>
  <w:num w:numId="4">
    <w:abstractNumId w:val="24"/>
  </w:num>
  <w:num w:numId="5">
    <w:abstractNumId w:val="2"/>
  </w:num>
  <w:num w:numId="6">
    <w:abstractNumId w:val="28"/>
  </w:num>
  <w:num w:numId="7">
    <w:abstractNumId w:val="8"/>
  </w:num>
  <w:num w:numId="8">
    <w:abstractNumId w:val="5"/>
  </w:num>
  <w:num w:numId="9">
    <w:abstractNumId w:val="20"/>
  </w:num>
  <w:num w:numId="10">
    <w:abstractNumId w:val="10"/>
  </w:num>
  <w:num w:numId="11">
    <w:abstractNumId w:val="22"/>
  </w:num>
  <w:num w:numId="12">
    <w:abstractNumId w:val="11"/>
  </w:num>
  <w:num w:numId="13">
    <w:abstractNumId w:val="0"/>
  </w:num>
  <w:num w:numId="14">
    <w:abstractNumId w:val="23"/>
  </w:num>
  <w:num w:numId="15">
    <w:abstractNumId w:val="3"/>
  </w:num>
  <w:num w:numId="16">
    <w:abstractNumId w:val="33"/>
  </w:num>
  <w:num w:numId="17">
    <w:abstractNumId w:val="16"/>
  </w:num>
  <w:num w:numId="18">
    <w:abstractNumId w:val="4"/>
  </w:num>
  <w:num w:numId="19">
    <w:abstractNumId w:val="17"/>
  </w:num>
  <w:num w:numId="20">
    <w:abstractNumId w:val="9"/>
  </w:num>
  <w:num w:numId="21">
    <w:abstractNumId w:val="1"/>
  </w:num>
  <w:num w:numId="22">
    <w:abstractNumId w:val="19"/>
  </w:num>
  <w:num w:numId="23">
    <w:abstractNumId w:val="14"/>
  </w:num>
  <w:num w:numId="24">
    <w:abstractNumId w:val="26"/>
  </w:num>
  <w:num w:numId="25">
    <w:abstractNumId w:val="30"/>
  </w:num>
  <w:num w:numId="26">
    <w:abstractNumId w:val="6"/>
  </w:num>
  <w:num w:numId="27">
    <w:abstractNumId w:val="27"/>
  </w:num>
  <w:num w:numId="28">
    <w:abstractNumId w:val="34"/>
  </w:num>
  <w:num w:numId="29">
    <w:abstractNumId w:val="13"/>
  </w:num>
  <w:num w:numId="30">
    <w:abstractNumId w:val="31"/>
  </w:num>
  <w:num w:numId="31">
    <w:abstractNumId w:val="12"/>
  </w:num>
  <w:num w:numId="32">
    <w:abstractNumId w:val="21"/>
  </w:num>
  <w:num w:numId="33">
    <w:abstractNumId w:val="7"/>
  </w:num>
  <w:num w:numId="34">
    <w:abstractNumId w:val="32"/>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DateAndTime/>
  <w:proofState w:spelling="clean" w:grammar="clean"/>
  <w:doNotTrackMoves/>
  <w:defaultTabStop w:val="720"/>
  <w:hyphenationZone w:val="425"/>
  <w:characterSpacingControl w:val="doNotCompress"/>
  <w:hdrShapeDefaults>
    <o:shapedefaults v:ext="edit" spidmax="14337"/>
  </w:hdrShapeDefaults>
  <w:footnotePr>
    <w:numFmt w:val="chicago"/>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Red"/>
    <w:docVar w:name="LW_CONFIDENCE" w:val=" "/>
    <w:docVar w:name="LW_CONST_RESTREINT_UE" w:val="RESTREINT UE/EU RESTRICTED"/>
    <w:docVar w:name="LW_CORRIGENDUM" w:val="&lt;UNUSED&gt;"/>
    <w:docVar w:name="LW_COVERPAGE_GUID" w:val="6F3072501050449D94F65CF1FD24056D"/>
    <w:docVar w:name="LW_CROSSREFERENCE" w:val="{SWD(2016) 160 final}"/>
    <w:docVar w:name="LW_DocType" w:val="NORMAL"/>
    <w:docVar w:name="LW_EMISSION" w:val="4.5.2016"/>
    <w:docVar w:name="LW_EMISSION_ISODATE" w:val="2016-05-04"/>
    <w:docVar w:name="LW_EMISSION_LOCATION" w:val="BRX"/>
    <w:docVar w:name="LW_EMISSION_PREFIX" w:val="Bruselas,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lt;EMPTY&gt;"/>
    <w:docVar w:name="LW_REF.INST.NEW_TEXT" w:val="(2016) 276 final"/>
    <w:docVar w:name="LW_REF.INTERNE" w:val="&lt;UNUSED&gt;"/>
    <w:docVar w:name="LW_SOUS.TITRE.OBJ.CP" w:val="&lt;UNUSED&gt;"/>
    <w:docVar w:name="LW_SUPERTITRE" w:val="&lt;UNUSED&gt;"/>
    <w:docVar w:name="LW_TITRE.OBJ.CP" w:val="Cuarto informe sobre el avance de Kosovo* en el cumplimiento de los requisitos de la hoja de ruta para la liberalización del régimen de visados"/>
    <w:docVar w:name="LW_TYPE.DOC.CP" w:val="INFORME DE LA COMISIÓN AL PARLAMENTO EUROPEO Y AL CONSEJO"/>
  </w:docVars>
  <w:rsids>
    <w:rsidRoot w:val="00A27686"/>
    <w:rsid w:val="00003642"/>
    <w:rsid w:val="00003E0C"/>
    <w:rsid w:val="000063AB"/>
    <w:rsid w:val="00007610"/>
    <w:rsid w:val="00014EE1"/>
    <w:rsid w:val="000160F4"/>
    <w:rsid w:val="00017C17"/>
    <w:rsid w:val="00021A28"/>
    <w:rsid w:val="000265A5"/>
    <w:rsid w:val="000266EE"/>
    <w:rsid w:val="00026C78"/>
    <w:rsid w:val="00030FC3"/>
    <w:rsid w:val="00031905"/>
    <w:rsid w:val="00031C22"/>
    <w:rsid w:val="00033760"/>
    <w:rsid w:val="00034341"/>
    <w:rsid w:val="00035412"/>
    <w:rsid w:val="00035F92"/>
    <w:rsid w:val="000363BF"/>
    <w:rsid w:val="00036702"/>
    <w:rsid w:val="000431D8"/>
    <w:rsid w:val="00046402"/>
    <w:rsid w:val="00046540"/>
    <w:rsid w:val="000565A9"/>
    <w:rsid w:val="000579A3"/>
    <w:rsid w:val="00061ED5"/>
    <w:rsid w:val="0006456A"/>
    <w:rsid w:val="00065C57"/>
    <w:rsid w:val="00070CCF"/>
    <w:rsid w:val="000710C3"/>
    <w:rsid w:val="00071363"/>
    <w:rsid w:val="000724DB"/>
    <w:rsid w:val="0007283B"/>
    <w:rsid w:val="00074F2C"/>
    <w:rsid w:val="0007535B"/>
    <w:rsid w:val="000757B0"/>
    <w:rsid w:val="0007798E"/>
    <w:rsid w:val="000801DB"/>
    <w:rsid w:val="000835B6"/>
    <w:rsid w:val="000839DA"/>
    <w:rsid w:val="00084E08"/>
    <w:rsid w:val="000850DB"/>
    <w:rsid w:val="0008559C"/>
    <w:rsid w:val="000855A8"/>
    <w:rsid w:val="00086058"/>
    <w:rsid w:val="0008768E"/>
    <w:rsid w:val="000907AC"/>
    <w:rsid w:val="000915C0"/>
    <w:rsid w:val="00092858"/>
    <w:rsid w:val="00095B82"/>
    <w:rsid w:val="000978F8"/>
    <w:rsid w:val="000A0A11"/>
    <w:rsid w:val="000A0BD2"/>
    <w:rsid w:val="000A11D0"/>
    <w:rsid w:val="000A192E"/>
    <w:rsid w:val="000A52A5"/>
    <w:rsid w:val="000A5F2E"/>
    <w:rsid w:val="000A7C0B"/>
    <w:rsid w:val="000B0CBE"/>
    <w:rsid w:val="000B0D47"/>
    <w:rsid w:val="000B36B8"/>
    <w:rsid w:val="000B3768"/>
    <w:rsid w:val="000B64AC"/>
    <w:rsid w:val="000B6664"/>
    <w:rsid w:val="000B7052"/>
    <w:rsid w:val="000C3A75"/>
    <w:rsid w:val="000C3B55"/>
    <w:rsid w:val="000C410D"/>
    <w:rsid w:val="000C54EC"/>
    <w:rsid w:val="000C59BE"/>
    <w:rsid w:val="000C6E61"/>
    <w:rsid w:val="000D0071"/>
    <w:rsid w:val="000D03AD"/>
    <w:rsid w:val="000D1BB2"/>
    <w:rsid w:val="000D3DCF"/>
    <w:rsid w:val="000D4C81"/>
    <w:rsid w:val="000D72BF"/>
    <w:rsid w:val="000E02EF"/>
    <w:rsid w:val="000E0BF6"/>
    <w:rsid w:val="000E15AC"/>
    <w:rsid w:val="000E3EC7"/>
    <w:rsid w:val="000E490D"/>
    <w:rsid w:val="000F1DBB"/>
    <w:rsid w:val="000F26A9"/>
    <w:rsid w:val="000F397B"/>
    <w:rsid w:val="000F403E"/>
    <w:rsid w:val="000F4BC7"/>
    <w:rsid w:val="000F5C27"/>
    <w:rsid w:val="001025DA"/>
    <w:rsid w:val="00103627"/>
    <w:rsid w:val="001047BD"/>
    <w:rsid w:val="001057E7"/>
    <w:rsid w:val="00105DEC"/>
    <w:rsid w:val="001073D2"/>
    <w:rsid w:val="00110745"/>
    <w:rsid w:val="00110AA5"/>
    <w:rsid w:val="00111B47"/>
    <w:rsid w:val="00112640"/>
    <w:rsid w:val="00112D86"/>
    <w:rsid w:val="00113CB0"/>
    <w:rsid w:val="00115ACA"/>
    <w:rsid w:val="00117406"/>
    <w:rsid w:val="00121CED"/>
    <w:rsid w:val="00122167"/>
    <w:rsid w:val="00124DEC"/>
    <w:rsid w:val="00131688"/>
    <w:rsid w:val="00135B98"/>
    <w:rsid w:val="00137677"/>
    <w:rsid w:val="0014041B"/>
    <w:rsid w:val="00140891"/>
    <w:rsid w:val="00143054"/>
    <w:rsid w:val="00143ADC"/>
    <w:rsid w:val="00144184"/>
    <w:rsid w:val="001465B9"/>
    <w:rsid w:val="0014697A"/>
    <w:rsid w:val="00147009"/>
    <w:rsid w:val="00147C24"/>
    <w:rsid w:val="00147DCD"/>
    <w:rsid w:val="001500D0"/>
    <w:rsid w:val="00150A4F"/>
    <w:rsid w:val="00151527"/>
    <w:rsid w:val="001516AB"/>
    <w:rsid w:val="001521C0"/>
    <w:rsid w:val="00155637"/>
    <w:rsid w:val="001607E9"/>
    <w:rsid w:val="00162E3D"/>
    <w:rsid w:val="00163AC3"/>
    <w:rsid w:val="001642D9"/>
    <w:rsid w:val="00164342"/>
    <w:rsid w:val="00164FC0"/>
    <w:rsid w:val="0017247D"/>
    <w:rsid w:val="001731D1"/>
    <w:rsid w:val="0017458E"/>
    <w:rsid w:val="00180EC3"/>
    <w:rsid w:val="00183EC6"/>
    <w:rsid w:val="001843C2"/>
    <w:rsid w:val="00186A54"/>
    <w:rsid w:val="00187C4D"/>
    <w:rsid w:val="001901C9"/>
    <w:rsid w:val="00191507"/>
    <w:rsid w:val="001917E5"/>
    <w:rsid w:val="00192332"/>
    <w:rsid w:val="00193AEA"/>
    <w:rsid w:val="00193DF5"/>
    <w:rsid w:val="0019567C"/>
    <w:rsid w:val="00195956"/>
    <w:rsid w:val="00197E7D"/>
    <w:rsid w:val="001A02D1"/>
    <w:rsid w:val="001A09AF"/>
    <w:rsid w:val="001A1653"/>
    <w:rsid w:val="001A263F"/>
    <w:rsid w:val="001A2A5B"/>
    <w:rsid w:val="001A30AE"/>
    <w:rsid w:val="001A3922"/>
    <w:rsid w:val="001A48B1"/>
    <w:rsid w:val="001B0B59"/>
    <w:rsid w:val="001B3C6A"/>
    <w:rsid w:val="001B438B"/>
    <w:rsid w:val="001B5860"/>
    <w:rsid w:val="001B6C36"/>
    <w:rsid w:val="001B74C9"/>
    <w:rsid w:val="001C083A"/>
    <w:rsid w:val="001C0953"/>
    <w:rsid w:val="001C370C"/>
    <w:rsid w:val="001C42C9"/>
    <w:rsid w:val="001C6E4E"/>
    <w:rsid w:val="001D0855"/>
    <w:rsid w:val="001D10B6"/>
    <w:rsid w:val="001D1201"/>
    <w:rsid w:val="001D3589"/>
    <w:rsid w:val="001D3B6B"/>
    <w:rsid w:val="001D42B1"/>
    <w:rsid w:val="001D69D0"/>
    <w:rsid w:val="001E217D"/>
    <w:rsid w:val="001E26D0"/>
    <w:rsid w:val="001E43F5"/>
    <w:rsid w:val="001E4D39"/>
    <w:rsid w:val="001E50BD"/>
    <w:rsid w:val="001E5DDC"/>
    <w:rsid w:val="001E7906"/>
    <w:rsid w:val="001F4C1F"/>
    <w:rsid w:val="001F56B6"/>
    <w:rsid w:val="00200F5B"/>
    <w:rsid w:val="00204A0D"/>
    <w:rsid w:val="00205559"/>
    <w:rsid w:val="00205B5A"/>
    <w:rsid w:val="00207484"/>
    <w:rsid w:val="002100D0"/>
    <w:rsid w:val="002108A2"/>
    <w:rsid w:val="002120EA"/>
    <w:rsid w:val="0021276E"/>
    <w:rsid w:val="0021299F"/>
    <w:rsid w:val="00214961"/>
    <w:rsid w:val="00215DDD"/>
    <w:rsid w:val="0022034B"/>
    <w:rsid w:val="00221F0B"/>
    <w:rsid w:val="00222FD2"/>
    <w:rsid w:val="0022592C"/>
    <w:rsid w:val="00225FB3"/>
    <w:rsid w:val="00226816"/>
    <w:rsid w:val="00226A73"/>
    <w:rsid w:val="00230404"/>
    <w:rsid w:val="0023103D"/>
    <w:rsid w:val="002310D2"/>
    <w:rsid w:val="002332A7"/>
    <w:rsid w:val="002337C8"/>
    <w:rsid w:val="00241E3C"/>
    <w:rsid w:val="002475B5"/>
    <w:rsid w:val="002506C6"/>
    <w:rsid w:val="00253BC3"/>
    <w:rsid w:val="0025527B"/>
    <w:rsid w:val="00255B4C"/>
    <w:rsid w:val="00257B22"/>
    <w:rsid w:val="00260CA4"/>
    <w:rsid w:val="00262A22"/>
    <w:rsid w:val="00264903"/>
    <w:rsid w:val="00265BB5"/>
    <w:rsid w:val="00266D2D"/>
    <w:rsid w:val="00267827"/>
    <w:rsid w:val="0027108E"/>
    <w:rsid w:val="0027385F"/>
    <w:rsid w:val="00275A02"/>
    <w:rsid w:val="00275F5B"/>
    <w:rsid w:val="0028097E"/>
    <w:rsid w:val="00282F5E"/>
    <w:rsid w:val="00283E6E"/>
    <w:rsid w:val="00283EEA"/>
    <w:rsid w:val="00284B4F"/>
    <w:rsid w:val="00285A32"/>
    <w:rsid w:val="00285DB4"/>
    <w:rsid w:val="002863E2"/>
    <w:rsid w:val="0028735B"/>
    <w:rsid w:val="00287BB6"/>
    <w:rsid w:val="00287F41"/>
    <w:rsid w:val="002911E7"/>
    <w:rsid w:val="00292378"/>
    <w:rsid w:val="002933EE"/>
    <w:rsid w:val="00293C78"/>
    <w:rsid w:val="00294463"/>
    <w:rsid w:val="002A02EE"/>
    <w:rsid w:val="002A0987"/>
    <w:rsid w:val="002A0C2D"/>
    <w:rsid w:val="002A182E"/>
    <w:rsid w:val="002A473B"/>
    <w:rsid w:val="002A5947"/>
    <w:rsid w:val="002A659B"/>
    <w:rsid w:val="002A6B2E"/>
    <w:rsid w:val="002A7720"/>
    <w:rsid w:val="002B1F8A"/>
    <w:rsid w:val="002B735F"/>
    <w:rsid w:val="002C0D8E"/>
    <w:rsid w:val="002C1BA0"/>
    <w:rsid w:val="002C1BB2"/>
    <w:rsid w:val="002C2C50"/>
    <w:rsid w:val="002C335C"/>
    <w:rsid w:val="002C35A9"/>
    <w:rsid w:val="002C540D"/>
    <w:rsid w:val="002C5E10"/>
    <w:rsid w:val="002D0599"/>
    <w:rsid w:val="002D58DB"/>
    <w:rsid w:val="002D7C84"/>
    <w:rsid w:val="002D7DC6"/>
    <w:rsid w:val="002E02DF"/>
    <w:rsid w:val="002E0E2A"/>
    <w:rsid w:val="002E0F9D"/>
    <w:rsid w:val="002E150E"/>
    <w:rsid w:val="002E2113"/>
    <w:rsid w:val="002E7462"/>
    <w:rsid w:val="002F0F42"/>
    <w:rsid w:val="002F1A26"/>
    <w:rsid w:val="002F2C97"/>
    <w:rsid w:val="002F5969"/>
    <w:rsid w:val="002F6215"/>
    <w:rsid w:val="002F71AF"/>
    <w:rsid w:val="0030257F"/>
    <w:rsid w:val="00303D0D"/>
    <w:rsid w:val="0030404C"/>
    <w:rsid w:val="003046F6"/>
    <w:rsid w:val="00305948"/>
    <w:rsid w:val="00306B4E"/>
    <w:rsid w:val="003076E3"/>
    <w:rsid w:val="003078D7"/>
    <w:rsid w:val="003101EC"/>
    <w:rsid w:val="0031026D"/>
    <w:rsid w:val="00313DBD"/>
    <w:rsid w:val="003178CD"/>
    <w:rsid w:val="00320336"/>
    <w:rsid w:val="0032103D"/>
    <w:rsid w:val="00324BAE"/>
    <w:rsid w:val="00324D4E"/>
    <w:rsid w:val="00330518"/>
    <w:rsid w:val="0033061A"/>
    <w:rsid w:val="00330C6D"/>
    <w:rsid w:val="00331098"/>
    <w:rsid w:val="0033455B"/>
    <w:rsid w:val="00335FDD"/>
    <w:rsid w:val="00336EE9"/>
    <w:rsid w:val="00341651"/>
    <w:rsid w:val="003448BA"/>
    <w:rsid w:val="003464BB"/>
    <w:rsid w:val="00351FA5"/>
    <w:rsid w:val="00353817"/>
    <w:rsid w:val="00353A9C"/>
    <w:rsid w:val="00355558"/>
    <w:rsid w:val="003573C3"/>
    <w:rsid w:val="00357DDF"/>
    <w:rsid w:val="003622E8"/>
    <w:rsid w:val="00362712"/>
    <w:rsid w:val="00363114"/>
    <w:rsid w:val="00363DE2"/>
    <w:rsid w:val="0036502A"/>
    <w:rsid w:val="0036611C"/>
    <w:rsid w:val="00366327"/>
    <w:rsid w:val="003675B0"/>
    <w:rsid w:val="00367C6C"/>
    <w:rsid w:val="003702F5"/>
    <w:rsid w:val="00372929"/>
    <w:rsid w:val="00372BA5"/>
    <w:rsid w:val="00373632"/>
    <w:rsid w:val="00374732"/>
    <w:rsid w:val="0037662A"/>
    <w:rsid w:val="003778DE"/>
    <w:rsid w:val="00377A5B"/>
    <w:rsid w:val="00380686"/>
    <w:rsid w:val="00380EB0"/>
    <w:rsid w:val="00381526"/>
    <w:rsid w:val="00382AFB"/>
    <w:rsid w:val="003833F1"/>
    <w:rsid w:val="0038434F"/>
    <w:rsid w:val="003869F3"/>
    <w:rsid w:val="003871A0"/>
    <w:rsid w:val="00390638"/>
    <w:rsid w:val="00390FF9"/>
    <w:rsid w:val="00391354"/>
    <w:rsid w:val="003944FA"/>
    <w:rsid w:val="003949A1"/>
    <w:rsid w:val="00395335"/>
    <w:rsid w:val="003955DF"/>
    <w:rsid w:val="003A0CB8"/>
    <w:rsid w:val="003A348A"/>
    <w:rsid w:val="003A389D"/>
    <w:rsid w:val="003A3B5D"/>
    <w:rsid w:val="003A4B33"/>
    <w:rsid w:val="003A55F0"/>
    <w:rsid w:val="003B0F49"/>
    <w:rsid w:val="003B221B"/>
    <w:rsid w:val="003B74ED"/>
    <w:rsid w:val="003C0A6C"/>
    <w:rsid w:val="003D080A"/>
    <w:rsid w:val="003D166A"/>
    <w:rsid w:val="003D1AE2"/>
    <w:rsid w:val="003D20C9"/>
    <w:rsid w:val="003D2691"/>
    <w:rsid w:val="003D47AA"/>
    <w:rsid w:val="003D579E"/>
    <w:rsid w:val="003D79A9"/>
    <w:rsid w:val="003E01D4"/>
    <w:rsid w:val="003E6655"/>
    <w:rsid w:val="003E6681"/>
    <w:rsid w:val="003E68EC"/>
    <w:rsid w:val="003E774E"/>
    <w:rsid w:val="003F1FC4"/>
    <w:rsid w:val="003F237D"/>
    <w:rsid w:val="003F283D"/>
    <w:rsid w:val="003F4146"/>
    <w:rsid w:val="003F664A"/>
    <w:rsid w:val="003F7573"/>
    <w:rsid w:val="003F77B8"/>
    <w:rsid w:val="00400CCB"/>
    <w:rsid w:val="00400FA3"/>
    <w:rsid w:val="00401744"/>
    <w:rsid w:val="00404F79"/>
    <w:rsid w:val="004050AC"/>
    <w:rsid w:val="00406BA6"/>
    <w:rsid w:val="00411CBB"/>
    <w:rsid w:val="004137F7"/>
    <w:rsid w:val="00420218"/>
    <w:rsid w:val="00423168"/>
    <w:rsid w:val="004268AA"/>
    <w:rsid w:val="004273C5"/>
    <w:rsid w:val="0043006E"/>
    <w:rsid w:val="0043333B"/>
    <w:rsid w:val="00436845"/>
    <w:rsid w:val="00440831"/>
    <w:rsid w:val="004415E8"/>
    <w:rsid w:val="00442E59"/>
    <w:rsid w:val="00446DF2"/>
    <w:rsid w:val="0045080E"/>
    <w:rsid w:val="00450C14"/>
    <w:rsid w:val="0045184D"/>
    <w:rsid w:val="004544CD"/>
    <w:rsid w:val="004548B2"/>
    <w:rsid w:val="00466AA8"/>
    <w:rsid w:val="00467B21"/>
    <w:rsid w:val="004710F2"/>
    <w:rsid w:val="00471265"/>
    <w:rsid w:val="004715BC"/>
    <w:rsid w:val="00472BC6"/>
    <w:rsid w:val="00472F88"/>
    <w:rsid w:val="00473AD2"/>
    <w:rsid w:val="004758B1"/>
    <w:rsid w:val="00475B55"/>
    <w:rsid w:val="0047690D"/>
    <w:rsid w:val="00476C0E"/>
    <w:rsid w:val="00482926"/>
    <w:rsid w:val="004836C5"/>
    <w:rsid w:val="00484D49"/>
    <w:rsid w:val="00485C46"/>
    <w:rsid w:val="00487F44"/>
    <w:rsid w:val="00490355"/>
    <w:rsid w:val="00490855"/>
    <w:rsid w:val="00491202"/>
    <w:rsid w:val="0049402F"/>
    <w:rsid w:val="00494CEF"/>
    <w:rsid w:val="00496682"/>
    <w:rsid w:val="0049787E"/>
    <w:rsid w:val="004A1237"/>
    <w:rsid w:val="004A2B46"/>
    <w:rsid w:val="004A2B86"/>
    <w:rsid w:val="004A3ACA"/>
    <w:rsid w:val="004A4CBA"/>
    <w:rsid w:val="004A4DD7"/>
    <w:rsid w:val="004A5B01"/>
    <w:rsid w:val="004B2F9A"/>
    <w:rsid w:val="004B4A72"/>
    <w:rsid w:val="004B7F7E"/>
    <w:rsid w:val="004C2A38"/>
    <w:rsid w:val="004C2EA5"/>
    <w:rsid w:val="004C463E"/>
    <w:rsid w:val="004C6A96"/>
    <w:rsid w:val="004C715C"/>
    <w:rsid w:val="004C797D"/>
    <w:rsid w:val="004C7CBD"/>
    <w:rsid w:val="004D24C9"/>
    <w:rsid w:val="004D578A"/>
    <w:rsid w:val="004E0155"/>
    <w:rsid w:val="004E0E60"/>
    <w:rsid w:val="004E189F"/>
    <w:rsid w:val="004E3341"/>
    <w:rsid w:val="004E6C34"/>
    <w:rsid w:val="004E6EFC"/>
    <w:rsid w:val="004F0876"/>
    <w:rsid w:val="004F18E8"/>
    <w:rsid w:val="004F26FB"/>
    <w:rsid w:val="004F36AF"/>
    <w:rsid w:val="004F3B1C"/>
    <w:rsid w:val="004F5D5D"/>
    <w:rsid w:val="004F688C"/>
    <w:rsid w:val="004F6A15"/>
    <w:rsid w:val="00500B2F"/>
    <w:rsid w:val="005012FA"/>
    <w:rsid w:val="00501733"/>
    <w:rsid w:val="005043D6"/>
    <w:rsid w:val="005057D9"/>
    <w:rsid w:val="00506540"/>
    <w:rsid w:val="00510059"/>
    <w:rsid w:val="005148A9"/>
    <w:rsid w:val="00517098"/>
    <w:rsid w:val="0051748B"/>
    <w:rsid w:val="00520A18"/>
    <w:rsid w:val="0052146F"/>
    <w:rsid w:val="00523A25"/>
    <w:rsid w:val="00524E7E"/>
    <w:rsid w:val="00526A0F"/>
    <w:rsid w:val="00527733"/>
    <w:rsid w:val="00527C33"/>
    <w:rsid w:val="0053096C"/>
    <w:rsid w:val="00531874"/>
    <w:rsid w:val="005331D1"/>
    <w:rsid w:val="0053337C"/>
    <w:rsid w:val="0053575B"/>
    <w:rsid w:val="00537009"/>
    <w:rsid w:val="00537523"/>
    <w:rsid w:val="00541C84"/>
    <w:rsid w:val="005443F4"/>
    <w:rsid w:val="00550972"/>
    <w:rsid w:val="005521B4"/>
    <w:rsid w:val="005532C1"/>
    <w:rsid w:val="005553AE"/>
    <w:rsid w:val="005562DF"/>
    <w:rsid w:val="005568AB"/>
    <w:rsid w:val="00557577"/>
    <w:rsid w:val="005610F8"/>
    <w:rsid w:val="00561607"/>
    <w:rsid w:val="00562936"/>
    <w:rsid w:val="00562949"/>
    <w:rsid w:val="005638B7"/>
    <w:rsid w:val="005638D6"/>
    <w:rsid w:val="00563AEC"/>
    <w:rsid w:val="00564A30"/>
    <w:rsid w:val="00565986"/>
    <w:rsid w:val="00572DA6"/>
    <w:rsid w:val="0057330D"/>
    <w:rsid w:val="005739ED"/>
    <w:rsid w:val="00573AD1"/>
    <w:rsid w:val="00573D1B"/>
    <w:rsid w:val="00576AE0"/>
    <w:rsid w:val="00576E8E"/>
    <w:rsid w:val="0057756E"/>
    <w:rsid w:val="00580BFD"/>
    <w:rsid w:val="00580D3D"/>
    <w:rsid w:val="0058105E"/>
    <w:rsid w:val="00581DF8"/>
    <w:rsid w:val="00582313"/>
    <w:rsid w:val="00584B55"/>
    <w:rsid w:val="005850D7"/>
    <w:rsid w:val="0058712D"/>
    <w:rsid w:val="00591DA5"/>
    <w:rsid w:val="00593641"/>
    <w:rsid w:val="0059574F"/>
    <w:rsid w:val="005959E0"/>
    <w:rsid w:val="00596287"/>
    <w:rsid w:val="005A140A"/>
    <w:rsid w:val="005A16A0"/>
    <w:rsid w:val="005A1D56"/>
    <w:rsid w:val="005A2E4C"/>
    <w:rsid w:val="005A421C"/>
    <w:rsid w:val="005A5EAB"/>
    <w:rsid w:val="005B046C"/>
    <w:rsid w:val="005B0E3B"/>
    <w:rsid w:val="005B3B1B"/>
    <w:rsid w:val="005B4352"/>
    <w:rsid w:val="005B7505"/>
    <w:rsid w:val="005B77B7"/>
    <w:rsid w:val="005B7CE7"/>
    <w:rsid w:val="005C2352"/>
    <w:rsid w:val="005C23D6"/>
    <w:rsid w:val="005C3235"/>
    <w:rsid w:val="005C59EC"/>
    <w:rsid w:val="005C5A5C"/>
    <w:rsid w:val="005C6979"/>
    <w:rsid w:val="005D1291"/>
    <w:rsid w:val="005D302F"/>
    <w:rsid w:val="005D48FE"/>
    <w:rsid w:val="005D4C4D"/>
    <w:rsid w:val="005D54EA"/>
    <w:rsid w:val="005D6111"/>
    <w:rsid w:val="005D614B"/>
    <w:rsid w:val="005E001F"/>
    <w:rsid w:val="005E171A"/>
    <w:rsid w:val="005E690D"/>
    <w:rsid w:val="005E7901"/>
    <w:rsid w:val="005F151E"/>
    <w:rsid w:val="005F3F38"/>
    <w:rsid w:val="005F554C"/>
    <w:rsid w:val="005F62AE"/>
    <w:rsid w:val="005F6730"/>
    <w:rsid w:val="006007D6"/>
    <w:rsid w:val="006011FC"/>
    <w:rsid w:val="006015CA"/>
    <w:rsid w:val="00603460"/>
    <w:rsid w:val="006053CC"/>
    <w:rsid w:val="00607EE5"/>
    <w:rsid w:val="00610587"/>
    <w:rsid w:val="00611FED"/>
    <w:rsid w:val="0061571D"/>
    <w:rsid w:val="00617167"/>
    <w:rsid w:val="0061777E"/>
    <w:rsid w:val="00620266"/>
    <w:rsid w:val="00620C35"/>
    <w:rsid w:val="00621133"/>
    <w:rsid w:val="00621C47"/>
    <w:rsid w:val="0062457A"/>
    <w:rsid w:val="00625D2D"/>
    <w:rsid w:val="00626DC7"/>
    <w:rsid w:val="00630789"/>
    <w:rsid w:val="00632C8A"/>
    <w:rsid w:val="006343F2"/>
    <w:rsid w:val="0063715E"/>
    <w:rsid w:val="006406A1"/>
    <w:rsid w:val="00640C67"/>
    <w:rsid w:val="00641057"/>
    <w:rsid w:val="00642583"/>
    <w:rsid w:val="00642D02"/>
    <w:rsid w:val="00645320"/>
    <w:rsid w:val="006455D0"/>
    <w:rsid w:val="00645B1B"/>
    <w:rsid w:val="00647DC7"/>
    <w:rsid w:val="006506AB"/>
    <w:rsid w:val="00650B6E"/>
    <w:rsid w:val="006521C2"/>
    <w:rsid w:val="0065324D"/>
    <w:rsid w:val="0065581D"/>
    <w:rsid w:val="006558AD"/>
    <w:rsid w:val="00657336"/>
    <w:rsid w:val="0066108A"/>
    <w:rsid w:val="0066108D"/>
    <w:rsid w:val="00662308"/>
    <w:rsid w:val="006632B7"/>
    <w:rsid w:val="006648DE"/>
    <w:rsid w:val="006651D3"/>
    <w:rsid w:val="006659D6"/>
    <w:rsid w:val="00665CB9"/>
    <w:rsid w:val="006662A5"/>
    <w:rsid w:val="00666F5B"/>
    <w:rsid w:val="006723FF"/>
    <w:rsid w:val="006727AB"/>
    <w:rsid w:val="006745A0"/>
    <w:rsid w:val="006769CA"/>
    <w:rsid w:val="00680A03"/>
    <w:rsid w:val="0068110C"/>
    <w:rsid w:val="006818AA"/>
    <w:rsid w:val="006831EC"/>
    <w:rsid w:val="0069195E"/>
    <w:rsid w:val="006926CA"/>
    <w:rsid w:val="00694E89"/>
    <w:rsid w:val="0069611E"/>
    <w:rsid w:val="00696305"/>
    <w:rsid w:val="006970AD"/>
    <w:rsid w:val="006974AD"/>
    <w:rsid w:val="006A26E7"/>
    <w:rsid w:val="006A2DF4"/>
    <w:rsid w:val="006A2DFC"/>
    <w:rsid w:val="006A38DD"/>
    <w:rsid w:val="006A3EFE"/>
    <w:rsid w:val="006A48E1"/>
    <w:rsid w:val="006A5FC7"/>
    <w:rsid w:val="006A6784"/>
    <w:rsid w:val="006A7CF5"/>
    <w:rsid w:val="006B081B"/>
    <w:rsid w:val="006B5027"/>
    <w:rsid w:val="006B64E4"/>
    <w:rsid w:val="006B7DE0"/>
    <w:rsid w:val="006C1C44"/>
    <w:rsid w:val="006C3263"/>
    <w:rsid w:val="006C4970"/>
    <w:rsid w:val="006C4E6F"/>
    <w:rsid w:val="006C669B"/>
    <w:rsid w:val="006C69AA"/>
    <w:rsid w:val="006C6A5C"/>
    <w:rsid w:val="006C77D9"/>
    <w:rsid w:val="006C7EAC"/>
    <w:rsid w:val="006D03CB"/>
    <w:rsid w:val="006D17E2"/>
    <w:rsid w:val="006D2477"/>
    <w:rsid w:val="006D26A6"/>
    <w:rsid w:val="006D5C39"/>
    <w:rsid w:val="006E0AA4"/>
    <w:rsid w:val="006E110E"/>
    <w:rsid w:val="006E1C54"/>
    <w:rsid w:val="006E1C55"/>
    <w:rsid w:val="006E245C"/>
    <w:rsid w:val="006E35D7"/>
    <w:rsid w:val="006E6641"/>
    <w:rsid w:val="006E6FD0"/>
    <w:rsid w:val="006F10B1"/>
    <w:rsid w:val="006F33CB"/>
    <w:rsid w:val="006F3AF7"/>
    <w:rsid w:val="006F5963"/>
    <w:rsid w:val="00700E0F"/>
    <w:rsid w:val="0070264B"/>
    <w:rsid w:val="00702B3D"/>
    <w:rsid w:val="007033C2"/>
    <w:rsid w:val="00706B95"/>
    <w:rsid w:val="007073FF"/>
    <w:rsid w:val="00707BB1"/>
    <w:rsid w:val="00707D94"/>
    <w:rsid w:val="00710102"/>
    <w:rsid w:val="00716380"/>
    <w:rsid w:val="00717868"/>
    <w:rsid w:val="00721CBE"/>
    <w:rsid w:val="0072242B"/>
    <w:rsid w:val="00723F61"/>
    <w:rsid w:val="007240B0"/>
    <w:rsid w:val="00726623"/>
    <w:rsid w:val="00727745"/>
    <w:rsid w:val="00727D9C"/>
    <w:rsid w:val="00730513"/>
    <w:rsid w:val="00734080"/>
    <w:rsid w:val="0073427C"/>
    <w:rsid w:val="00737294"/>
    <w:rsid w:val="00737E4B"/>
    <w:rsid w:val="007412D8"/>
    <w:rsid w:val="00741834"/>
    <w:rsid w:val="00744D5E"/>
    <w:rsid w:val="00747556"/>
    <w:rsid w:val="00750B86"/>
    <w:rsid w:val="0075122F"/>
    <w:rsid w:val="00754202"/>
    <w:rsid w:val="00754A2F"/>
    <w:rsid w:val="00755429"/>
    <w:rsid w:val="00755689"/>
    <w:rsid w:val="00761753"/>
    <w:rsid w:val="007622FC"/>
    <w:rsid w:val="00762AEE"/>
    <w:rsid w:val="00762E76"/>
    <w:rsid w:val="00763422"/>
    <w:rsid w:val="00764DFD"/>
    <w:rsid w:val="00764E3E"/>
    <w:rsid w:val="00766ECA"/>
    <w:rsid w:val="0077146A"/>
    <w:rsid w:val="0077280C"/>
    <w:rsid w:val="00773223"/>
    <w:rsid w:val="00773AA3"/>
    <w:rsid w:val="007763E0"/>
    <w:rsid w:val="007767E8"/>
    <w:rsid w:val="00777A33"/>
    <w:rsid w:val="00780A93"/>
    <w:rsid w:val="00782023"/>
    <w:rsid w:val="00784840"/>
    <w:rsid w:val="00787BCA"/>
    <w:rsid w:val="00787EC8"/>
    <w:rsid w:val="00790CB3"/>
    <w:rsid w:val="0079114A"/>
    <w:rsid w:val="00792664"/>
    <w:rsid w:val="007927DB"/>
    <w:rsid w:val="007931CC"/>
    <w:rsid w:val="007A1622"/>
    <w:rsid w:val="007A2B8D"/>
    <w:rsid w:val="007A4422"/>
    <w:rsid w:val="007A5F33"/>
    <w:rsid w:val="007B1085"/>
    <w:rsid w:val="007B3EED"/>
    <w:rsid w:val="007B49C7"/>
    <w:rsid w:val="007B596C"/>
    <w:rsid w:val="007C1C06"/>
    <w:rsid w:val="007C2EEF"/>
    <w:rsid w:val="007C3184"/>
    <w:rsid w:val="007C3549"/>
    <w:rsid w:val="007C5AE7"/>
    <w:rsid w:val="007D2141"/>
    <w:rsid w:val="007D252F"/>
    <w:rsid w:val="007D355B"/>
    <w:rsid w:val="007D7C92"/>
    <w:rsid w:val="007E0406"/>
    <w:rsid w:val="007E19EE"/>
    <w:rsid w:val="007E3AD5"/>
    <w:rsid w:val="007E4236"/>
    <w:rsid w:val="007F0974"/>
    <w:rsid w:val="007F0CB4"/>
    <w:rsid w:val="007F139F"/>
    <w:rsid w:val="007F1C2A"/>
    <w:rsid w:val="007F25DA"/>
    <w:rsid w:val="007F34F4"/>
    <w:rsid w:val="007F3502"/>
    <w:rsid w:val="007F6351"/>
    <w:rsid w:val="007F64EC"/>
    <w:rsid w:val="007F6B85"/>
    <w:rsid w:val="00800D97"/>
    <w:rsid w:val="00800DDB"/>
    <w:rsid w:val="00802067"/>
    <w:rsid w:val="008026EB"/>
    <w:rsid w:val="00803AD2"/>
    <w:rsid w:val="00804474"/>
    <w:rsid w:val="00804478"/>
    <w:rsid w:val="008046BF"/>
    <w:rsid w:val="008059D3"/>
    <w:rsid w:val="00805A27"/>
    <w:rsid w:val="00806AC5"/>
    <w:rsid w:val="00807887"/>
    <w:rsid w:val="0081343B"/>
    <w:rsid w:val="00814265"/>
    <w:rsid w:val="0081670C"/>
    <w:rsid w:val="00820021"/>
    <w:rsid w:val="00820040"/>
    <w:rsid w:val="008227C6"/>
    <w:rsid w:val="0082296B"/>
    <w:rsid w:val="00822C79"/>
    <w:rsid w:val="00823D30"/>
    <w:rsid w:val="008258EB"/>
    <w:rsid w:val="00827375"/>
    <w:rsid w:val="00827A3D"/>
    <w:rsid w:val="00830278"/>
    <w:rsid w:val="0083102C"/>
    <w:rsid w:val="00831C85"/>
    <w:rsid w:val="00837A8A"/>
    <w:rsid w:val="00841FD2"/>
    <w:rsid w:val="00851614"/>
    <w:rsid w:val="0085242F"/>
    <w:rsid w:val="00852496"/>
    <w:rsid w:val="00853770"/>
    <w:rsid w:val="00854473"/>
    <w:rsid w:val="00854C34"/>
    <w:rsid w:val="00854EC3"/>
    <w:rsid w:val="00855081"/>
    <w:rsid w:val="00855EFB"/>
    <w:rsid w:val="008634DA"/>
    <w:rsid w:val="0086684D"/>
    <w:rsid w:val="00866DA6"/>
    <w:rsid w:val="00867320"/>
    <w:rsid w:val="00871DEA"/>
    <w:rsid w:val="00873703"/>
    <w:rsid w:val="00873E8E"/>
    <w:rsid w:val="00873F6A"/>
    <w:rsid w:val="00874651"/>
    <w:rsid w:val="00874935"/>
    <w:rsid w:val="008749B0"/>
    <w:rsid w:val="0087612E"/>
    <w:rsid w:val="00876D27"/>
    <w:rsid w:val="00876DE5"/>
    <w:rsid w:val="008775E8"/>
    <w:rsid w:val="00880245"/>
    <w:rsid w:val="00880F6B"/>
    <w:rsid w:val="0088158D"/>
    <w:rsid w:val="008827DC"/>
    <w:rsid w:val="00882C5F"/>
    <w:rsid w:val="00883268"/>
    <w:rsid w:val="008840F2"/>
    <w:rsid w:val="00884E5C"/>
    <w:rsid w:val="008860F8"/>
    <w:rsid w:val="00891A7A"/>
    <w:rsid w:val="0089321B"/>
    <w:rsid w:val="008949E1"/>
    <w:rsid w:val="00895E5F"/>
    <w:rsid w:val="0089644D"/>
    <w:rsid w:val="008A1A4B"/>
    <w:rsid w:val="008A2249"/>
    <w:rsid w:val="008A4C25"/>
    <w:rsid w:val="008A607F"/>
    <w:rsid w:val="008A6B59"/>
    <w:rsid w:val="008B0EE4"/>
    <w:rsid w:val="008B1A98"/>
    <w:rsid w:val="008B1B4D"/>
    <w:rsid w:val="008B2D7B"/>
    <w:rsid w:val="008B3FD3"/>
    <w:rsid w:val="008B7277"/>
    <w:rsid w:val="008B7482"/>
    <w:rsid w:val="008B7BFA"/>
    <w:rsid w:val="008C1B8E"/>
    <w:rsid w:val="008C219C"/>
    <w:rsid w:val="008C2276"/>
    <w:rsid w:val="008C2AF8"/>
    <w:rsid w:val="008C38D6"/>
    <w:rsid w:val="008C3B3B"/>
    <w:rsid w:val="008C447D"/>
    <w:rsid w:val="008D2E36"/>
    <w:rsid w:val="008D36B0"/>
    <w:rsid w:val="008D3C75"/>
    <w:rsid w:val="008D6590"/>
    <w:rsid w:val="008D6E70"/>
    <w:rsid w:val="008D743D"/>
    <w:rsid w:val="008E059F"/>
    <w:rsid w:val="008E22F0"/>
    <w:rsid w:val="008E3B53"/>
    <w:rsid w:val="008E5134"/>
    <w:rsid w:val="008F03C7"/>
    <w:rsid w:val="008F0D37"/>
    <w:rsid w:val="008F159E"/>
    <w:rsid w:val="008F3A30"/>
    <w:rsid w:val="008F785A"/>
    <w:rsid w:val="00906F40"/>
    <w:rsid w:val="00907131"/>
    <w:rsid w:val="009072FB"/>
    <w:rsid w:val="00910286"/>
    <w:rsid w:val="009112F3"/>
    <w:rsid w:val="00911919"/>
    <w:rsid w:val="00914C4A"/>
    <w:rsid w:val="009152C6"/>
    <w:rsid w:val="00921108"/>
    <w:rsid w:val="00922854"/>
    <w:rsid w:val="00930357"/>
    <w:rsid w:val="009319ED"/>
    <w:rsid w:val="00933AA0"/>
    <w:rsid w:val="00936E11"/>
    <w:rsid w:val="009408C3"/>
    <w:rsid w:val="009429DD"/>
    <w:rsid w:val="009434EC"/>
    <w:rsid w:val="00943B73"/>
    <w:rsid w:val="00944AB6"/>
    <w:rsid w:val="0094661A"/>
    <w:rsid w:val="00946B83"/>
    <w:rsid w:val="00946D52"/>
    <w:rsid w:val="00947A2D"/>
    <w:rsid w:val="009506C3"/>
    <w:rsid w:val="009509A0"/>
    <w:rsid w:val="00952B49"/>
    <w:rsid w:val="009550DE"/>
    <w:rsid w:val="00955724"/>
    <w:rsid w:val="009557FB"/>
    <w:rsid w:val="00955D14"/>
    <w:rsid w:val="00956DF0"/>
    <w:rsid w:val="00956E67"/>
    <w:rsid w:val="00964BDD"/>
    <w:rsid w:val="00965EC9"/>
    <w:rsid w:val="00965EE1"/>
    <w:rsid w:val="0096797A"/>
    <w:rsid w:val="00972028"/>
    <w:rsid w:val="009726C1"/>
    <w:rsid w:val="00972891"/>
    <w:rsid w:val="00972EE4"/>
    <w:rsid w:val="00973279"/>
    <w:rsid w:val="00974188"/>
    <w:rsid w:val="009775EB"/>
    <w:rsid w:val="009801AB"/>
    <w:rsid w:val="009821F4"/>
    <w:rsid w:val="0098363D"/>
    <w:rsid w:val="00983E25"/>
    <w:rsid w:val="00984469"/>
    <w:rsid w:val="00990EE5"/>
    <w:rsid w:val="009915AC"/>
    <w:rsid w:val="009932A7"/>
    <w:rsid w:val="00994C8F"/>
    <w:rsid w:val="0099572C"/>
    <w:rsid w:val="00995846"/>
    <w:rsid w:val="00997188"/>
    <w:rsid w:val="009A0334"/>
    <w:rsid w:val="009A036F"/>
    <w:rsid w:val="009A05EA"/>
    <w:rsid w:val="009A1D62"/>
    <w:rsid w:val="009A2666"/>
    <w:rsid w:val="009A52FB"/>
    <w:rsid w:val="009A5733"/>
    <w:rsid w:val="009A7142"/>
    <w:rsid w:val="009B2431"/>
    <w:rsid w:val="009B2964"/>
    <w:rsid w:val="009B4621"/>
    <w:rsid w:val="009B585F"/>
    <w:rsid w:val="009B5F63"/>
    <w:rsid w:val="009C195B"/>
    <w:rsid w:val="009C20D3"/>
    <w:rsid w:val="009C21F5"/>
    <w:rsid w:val="009C47C7"/>
    <w:rsid w:val="009C73D9"/>
    <w:rsid w:val="009D047D"/>
    <w:rsid w:val="009D1682"/>
    <w:rsid w:val="009D20E1"/>
    <w:rsid w:val="009D2D5C"/>
    <w:rsid w:val="009D5617"/>
    <w:rsid w:val="009D63CC"/>
    <w:rsid w:val="009D7A19"/>
    <w:rsid w:val="009E1416"/>
    <w:rsid w:val="009E1730"/>
    <w:rsid w:val="009E259D"/>
    <w:rsid w:val="009E28FC"/>
    <w:rsid w:val="009E301C"/>
    <w:rsid w:val="009E3211"/>
    <w:rsid w:val="009E3371"/>
    <w:rsid w:val="009E36BC"/>
    <w:rsid w:val="009E3F02"/>
    <w:rsid w:val="009E447B"/>
    <w:rsid w:val="009F00A0"/>
    <w:rsid w:val="009F17E2"/>
    <w:rsid w:val="009F2611"/>
    <w:rsid w:val="009F3204"/>
    <w:rsid w:val="009F393C"/>
    <w:rsid w:val="009F3A00"/>
    <w:rsid w:val="009F537E"/>
    <w:rsid w:val="009F680D"/>
    <w:rsid w:val="009F75BE"/>
    <w:rsid w:val="00A009C2"/>
    <w:rsid w:val="00A0378E"/>
    <w:rsid w:val="00A04CA4"/>
    <w:rsid w:val="00A07B1A"/>
    <w:rsid w:val="00A12186"/>
    <w:rsid w:val="00A1222E"/>
    <w:rsid w:val="00A13856"/>
    <w:rsid w:val="00A146FB"/>
    <w:rsid w:val="00A215A8"/>
    <w:rsid w:val="00A233F6"/>
    <w:rsid w:val="00A2539B"/>
    <w:rsid w:val="00A266F4"/>
    <w:rsid w:val="00A26DD7"/>
    <w:rsid w:val="00A270CA"/>
    <w:rsid w:val="00A27686"/>
    <w:rsid w:val="00A32633"/>
    <w:rsid w:val="00A3555D"/>
    <w:rsid w:val="00A37DBC"/>
    <w:rsid w:val="00A404EC"/>
    <w:rsid w:val="00A413CE"/>
    <w:rsid w:val="00A41ED5"/>
    <w:rsid w:val="00A437D8"/>
    <w:rsid w:val="00A44B9B"/>
    <w:rsid w:val="00A44B9C"/>
    <w:rsid w:val="00A45905"/>
    <w:rsid w:val="00A47EB2"/>
    <w:rsid w:val="00A50479"/>
    <w:rsid w:val="00A50C5E"/>
    <w:rsid w:val="00A5106F"/>
    <w:rsid w:val="00A51C59"/>
    <w:rsid w:val="00A5393F"/>
    <w:rsid w:val="00A602E1"/>
    <w:rsid w:val="00A618A8"/>
    <w:rsid w:val="00A62189"/>
    <w:rsid w:val="00A6453E"/>
    <w:rsid w:val="00A64C12"/>
    <w:rsid w:val="00A7128E"/>
    <w:rsid w:val="00A71ED6"/>
    <w:rsid w:val="00A72D37"/>
    <w:rsid w:val="00A736BD"/>
    <w:rsid w:val="00A74473"/>
    <w:rsid w:val="00A77C54"/>
    <w:rsid w:val="00A832B8"/>
    <w:rsid w:val="00A839B0"/>
    <w:rsid w:val="00A856F4"/>
    <w:rsid w:val="00A868CE"/>
    <w:rsid w:val="00A86B99"/>
    <w:rsid w:val="00A877CD"/>
    <w:rsid w:val="00A90A78"/>
    <w:rsid w:val="00A90E26"/>
    <w:rsid w:val="00A91AC7"/>
    <w:rsid w:val="00A93887"/>
    <w:rsid w:val="00A96921"/>
    <w:rsid w:val="00A971F5"/>
    <w:rsid w:val="00AA4ED6"/>
    <w:rsid w:val="00AA6A9F"/>
    <w:rsid w:val="00AB0035"/>
    <w:rsid w:val="00AB1670"/>
    <w:rsid w:val="00AB3407"/>
    <w:rsid w:val="00AB371A"/>
    <w:rsid w:val="00AB3EBF"/>
    <w:rsid w:val="00AB49A0"/>
    <w:rsid w:val="00AC2F8B"/>
    <w:rsid w:val="00AC35D4"/>
    <w:rsid w:val="00AC3AC2"/>
    <w:rsid w:val="00AD04CD"/>
    <w:rsid w:val="00AD0A51"/>
    <w:rsid w:val="00AD2334"/>
    <w:rsid w:val="00AD306B"/>
    <w:rsid w:val="00AD476B"/>
    <w:rsid w:val="00AD50E5"/>
    <w:rsid w:val="00AD5C39"/>
    <w:rsid w:val="00AD7917"/>
    <w:rsid w:val="00AE1276"/>
    <w:rsid w:val="00AE1B6D"/>
    <w:rsid w:val="00AE31CE"/>
    <w:rsid w:val="00AE350A"/>
    <w:rsid w:val="00AE4A5E"/>
    <w:rsid w:val="00AE50C1"/>
    <w:rsid w:val="00AE5416"/>
    <w:rsid w:val="00AE700B"/>
    <w:rsid w:val="00AE76C0"/>
    <w:rsid w:val="00AE7E6B"/>
    <w:rsid w:val="00AF03B0"/>
    <w:rsid w:val="00AF0CE6"/>
    <w:rsid w:val="00AF0EE4"/>
    <w:rsid w:val="00AF1587"/>
    <w:rsid w:val="00AF249C"/>
    <w:rsid w:val="00AF2632"/>
    <w:rsid w:val="00AF3B76"/>
    <w:rsid w:val="00AF60C2"/>
    <w:rsid w:val="00AF7DF6"/>
    <w:rsid w:val="00B02194"/>
    <w:rsid w:val="00B050A3"/>
    <w:rsid w:val="00B054DE"/>
    <w:rsid w:val="00B0638C"/>
    <w:rsid w:val="00B06CE5"/>
    <w:rsid w:val="00B07AB5"/>
    <w:rsid w:val="00B12889"/>
    <w:rsid w:val="00B15699"/>
    <w:rsid w:val="00B16C91"/>
    <w:rsid w:val="00B172F1"/>
    <w:rsid w:val="00B22696"/>
    <w:rsid w:val="00B24816"/>
    <w:rsid w:val="00B25122"/>
    <w:rsid w:val="00B27125"/>
    <w:rsid w:val="00B3010B"/>
    <w:rsid w:val="00B31A4C"/>
    <w:rsid w:val="00B320D7"/>
    <w:rsid w:val="00B32A9B"/>
    <w:rsid w:val="00B332F1"/>
    <w:rsid w:val="00B339A6"/>
    <w:rsid w:val="00B348BF"/>
    <w:rsid w:val="00B3589F"/>
    <w:rsid w:val="00B36CAE"/>
    <w:rsid w:val="00B375D2"/>
    <w:rsid w:val="00B40038"/>
    <w:rsid w:val="00B40490"/>
    <w:rsid w:val="00B41C90"/>
    <w:rsid w:val="00B4230D"/>
    <w:rsid w:val="00B423FD"/>
    <w:rsid w:val="00B44EAC"/>
    <w:rsid w:val="00B45368"/>
    <w:rsid w:val="00B45D25"/>
    <w:rsid w:val="00B464C4"/>
    <w:rsid w:val="00B4662C"/>
    <w:rsid w:val="00B5160C"/>
    <w:rsid w:val="00B5208B"/>
    <w:rsid w:val="00B52E4B"/>
    <w:rsid w:val="00B537C9"/>
    <w:rsid w:val="00B551C1"/>
    <w:rsid w:val="00B57AC9"/>
    <w:rsid w:val="00B57B91"/>
    <w:rsid w:val="00B61B7A"/>
    <w:rsid w:val="00B63E20"/>
    <w:rsid w:val="00B6428A"/>
    <w:rsid w:val="00B6637E"/>
    <w:rsid w:val="00B715AC"/>
    <w:rsid w:val="00B71978"/>
    <w:rsid w:val="00B728D7"/>
    <w:rsid w:val="00B77188"/>
    <w:rsid w:val="00B809AE"/>
    <w:rsid w:val="00B80E2C"/>
    <w:rsid w:val="00B82A8B"/>
    <w:rsid w:val="00B82DDE"/>
    <w:rsid w:val="00B8322F"/>
    <w:rsid w:val="00B84E46"/>
    <w:rsid w:val="00B855C4"/>
    <w:rsid w:val="00B85FC7"/>
    <w:rsid w:val="00B90CF4"/>
    <w:rsid w:val="00B91483"/>
    <w:rsid w:val="00B93B09"/>
    <w:rsid w:val="00B93D98"/>
    <w:rsid w:val="00B94439"/>
    <w:rsid w:val="00B95DE8"/>
    <w:rsid w:val="00B97519"/>
    <w:rsid w:val="00BA04C6"/>
    <w:rsid w:val="00BA04E7"/>
    <w:rsid w:val="00BA0720"/>
    <w:rsid w:val="00BA0D60"/>
    <w:rsid w:val="00BA1B8F"/>
    <w:rsid w:val="00BA1BA4"/>
    <w:rsid w:val="00BA4551"/>
    <w:rsid w:val="00BA7BDA"/>
    <w:rsid w:val="00BB0827"/>
    <w:rsid w:val="00BB0B20"/>
    <w:rsid w:val="00BB1A6B"/>
    <w:rsid w:val="00BB313D"/>
    <w:rsid w:val="00BB3383"/>
    <w:rsid w:val="00BB71AF"/>
    <w:rsid w:val="00BB7CC8"/>
    <w:rsid w:val="00BB7EB4"/>
    <w:rsid w:val="00BC137E"/>
    <w:rsid w:val="00BC1C63"/>
    <w:rsid w:val="00BC415F"/>
    <w:rsid w:val="00BC524C"/>
    <w:rsid w:val="00BC5806"/>
    <w:rsid w:val="00BD00B0"/>
    <w:rsid w:val="00BD07BE"/>
    <w:rsid w:val="00BD281E"/>
    <w:rsid w:val="00BD5881"/>
    <w:rsid w:val="00BD6E25"/>
    <w:rsid w:val="00BD77A1"/>
    <w:rsid w:val="00BE100C"/>
    <w:rsid w:val="00BE123C"/>
    <w:rsid w:val="00BE17AE"/>
    <w:rsid w:val="00BE2FEF"/>
    <w:rsid w:val="00BE329F"/>
    <w:rsid w:val="00BE3ECC"/>
    <w:rsid w:val="00BE52C9"/>
    <w:rsid w:val="00BE5783"/>
    <w:rsid w:val="00BE5B2C"/>
    <w:rsid w:val="00BE62F5"/>
    <w:rsid w:val="00BE714D"/>
    <w:rsid w:val="00BF29EA"/>
    <w:rsid w:val="00BF2D3E"/>
    <w:rsid w:val="00BF3735"/>
    <w:rsid w:val="00BF4178"/>
    <w:rsid w:val="00BF42C4"/>
    <w:rsid w:val="00BF493D"/>
    <w:rsid w:val="00C05DBF"/>
    <w:rsid w:val="00C0602B"/>
    <w:rsid w:val="00C06998"/>
    <w:rsid w:val="00C07E6C"/>
    <w:rsid w:val="00C07F8B"/>
    <w:rsid w:val="00C11302"/>
    <w:rsid w:val="00C123F7"/>
    <w:rsid w:val="00C1240D"/>
    <w:rsid w:val="00C13772"/>
    <w:rsid w:val="00C13C31"/>
    <w:rsid w:val="00C13E34"/>
    <w:rsid w:val="00C1517A"/>
    <w:rsid w:val="00C15E85"/>
    <w:rsid w:val="00C16224"/>
    <w:rsid w:val="00C20DF6"/>
    <w:rsid w:val="00C2221B"/>
    <w:rsid w:val="00C22379"/>
    <w:rsid w:val="00C224E6"/>
    <w:rsid w:val="00C2501B"/>
    <w:rsid w:val="00C2524E"/>
    <w:rsid w:val="00C26182"/>
    <w:rsid w:val="00C2714A"/>
    <w:rsid w:val="00C30322"/>
    <w:rsid w:val="00C3232F"/>
    <w:rsid w:val="00C35B0F"/>
    <w:rsid w:val="00C40F7B"/>
    <w:rsid w:val="00C4157E"/>
    <w:rsid w:val="00C41C2B"/>
    <w:rsid w:val="00C43F36"/>
    <w:rsid w:val="00C44089"/>
    <w:rsid w:val="00C462CE"/>
    <w:rsid w:val="00C4633A"/>
    <w:rsid w:val="00C47B7C"/>
    <w:rsid w:val="00C47C22"/>
    <w:rsid w:val="00C50FF4"/>
    <w:rsid w:val="00C51BAE"/>
    <w:rsid w:val="00C51E96"/>
    <w:rsid w:val="00C52612"/>
    <w:rsid w:val="00C528EA"/>
    <w:rsid w:val="00C573CE"/>
    <w:rsid w:val="00C612C3"/>
    <w:rsid w:val="00C636CE"/>
    <w:rsid w:val="00C63D2E"/>
    <w:rsid w:val="00C64AF8"/>
    <w:rsid w:val="00C66C47"/>
    <w:rsid w:val="00C66ECF"/>
    <w:rsid w:val="00C67C73"/>
    <w:rsid w:val="00C71397"/>
    <w:rsid w:val="00C75698"/>
    <w:rsid w:val="00C76087"/>
    <w:rsid w:val="00C7715C"/>
    <w:rsid w:val="00C8204D"/>
    <w:rsid w:val="00C82233"/>
    <w:rsid w:val="00C82620"/>
    <w:rsid w:val="00C82D78"/>
    <w:rsid w:val="00C85AD5"/>
    <w:rsid w:val="00C8671A"/>
    <w:rsid w:val="00C90240"/>
    <w:rsid w:val="00C91BB9"/>
    <w:rsid w:val="00C92639"/>
    <w:rsid w:val="00C927C9"/>
    <w:rsid w:val="00C945DF"/>
    <w:rsid w:val="00C9530F"/>
    <w:rsid w:val="00C95E84"/>
    <w:rsid w:val="00C964F7"/>
    <w:rsid w:val="00C97AF1"/>
    <w:rsid w:val="00CA072F"/>
    <w:rsid w:val="00CA1116"/>
    <w:rsid w:val="00CA1F86"/>
    <w:rsid w:val="00CA2A4C"/>
    <w:rsid w:val="00CA2B4F"/>
    <w:rsid w:val="00CA3D78"/>
    <w:rsid w:val="00CA40FE"/>
    <w:rsid w:val="00CA4623"/>
    <w:rsid w:val="00CA53C3"/>
    <w:rsid w:val="00CB0B73"/>
    <w:rsid w:val="00CB44FD"/>
    <w:rsid w:val="00CB4AB7"/>
    <w:rsid w:val="00CB5702"/>
    <w:rsid w:val="00CB6CB1"/>
    <w:rsid w:val="00CB7830"/>
    <w:rsid w:val="00CB7923"/>
    <w:rsid w:val="00CC1CED"/>
    <w:rsid w:val="00CC2465"/>
    <w:rsid w:val="00CC2A7C"/>
    <w:rsid w:val="00CC4907"/>
    <w:rsid w:val="00CC4C16"/>
    <w:rsid w:val="00CC5355"/>
    <w:rsid w:val="00CC5CC8"/>
    <w:rsid w:val="00CC6BA3"/>
    <w:rsid w:val="00CC7801"/>
    <w:rsid w:val="00CD4951"/>
    <w:rsid w:val="00CD55C5"/>
    <w:rsid w:val="00CD7504"/>
    <w:rsid w:val="00CE2168"/>
    <w:rsid w:val="00CE4356"/>
    <w:rsid w:val="00CE61C7"/>
    <w:rsid w:val="00CF0241"/>
    <w:rsid w:val="00CF26CD"/>
    <w:rsid w:val="00CF3531"/>
    <w:rsid w:val="00CF3627"/>
    <w:rsid w:val="00CF39BC"/>
    <w:rsid w:val="00CF5862"/>
    <w:rsid w:val="00CF5AA3"/>
    <w:rsid w:val="00CF5C64"/>
    <w:rsid w:val="00CF61A5"/>
    <w:rsid w:val="00CF7E32"/>
    <w:rsid w:val="00D0204F"/>
    <w:rsid w:val="00D031BB"/>
    <w:rsid w:val="00D03499"/>
    <w:rsid w:val="00D03759"/>
    <w:rsid w:val="00D040AB"/>
    <w:rsid w:val="00D04217"/>
    <w:rsid w:val="00D04AE3"/>
    <w:rsid w:val="00D053F8"/>
    <w:rsid w:val="00D11889"/>
    <w:rsid w:val="00D13C0C"/>
    <w:rsid w:val="00D15893"/>
    <w:rsid w:val="00D16225"/>
    <w:rsid w:val="00D16713"/>
    <w:rsid w:val="00D167E0"/>
    <w:rsid w:val="00D16E9E"/>
    <w:rsid w:val="00D23AC8"/>
    <w:rsid w:val="00D3213E"/>
    <w:rsid w:val="00D333F0"/>
    <w:rsid w:val="00D35FB9"/>
    <w:rsid w:val="00D3606C"/>
    <w:rsid w:val="00D36DFB"/>
    <w:rsid w:val="00D377DE"/>
    <w:rsid w:val="00D37D0D"/>
    <w:rsid w:val="00D4020E"/>
    <w:rsid w:val="00D45784"/>
    <w:rsid w:val="00D459B8"/>
    <w:rsid w:val="00D45BCD"/>
    <w:rsid w:val="00D47342"/>
    <w:rsid w:val="00D5002C"/>
    <w:rsid w:val="00D5021B"/>
    <w:rsid w:val="00D51B9D"/>
    <w:rsid w:val="00D54538"/>
    <w:rsid w:val="00D56142"/>
    <w:rsid w:val="00D62ACF"/>
    <w:rsid w:val="00D62D2E"/>
    <w:rsid w:val="00D63342"/>
    <w:rsid w:val="00D63690"/>
    <w:rsid w:val="00D645F1"/>
    <w:rsid w:val="00D67181"/>
    <w:rsid w:val="00D67AF8"/>
    <w:rsid w:val="00D67C8C"/>
    <w:rsid w:val="00D76ACC"/>
    <w:rsid w:val="00D81888"/>
    <w:rsid w:val="00D81E5F"/>
    <w:rsid w:val="00D82F34"/>
    <w:rsid w:val="00D858C6"/>
    <w:rsid w:val="00D8664E"/>
    <w:rsid w:val="00D86CC9"/>
    <w:rsid w:val="00D86CD7"/>
    <w:rsid w:val="00D915C6"/>
    <w:rsid w:val="00D9182E"/>
    <w:rsid w:val="00D92267"/>
    <w:rsid w:val="00D964B0"/>
    <w:rsid w:val="00D964E0"/>
    <w:rsid w:val="00DA0E53"/>
    <w:rsid w:val="00DA1A23"/>
    <w:rsid w:val="00DA242F"/>
    <w:rsid w:val="00DA2782"/>
    <w:rsid w:val="00DA45B9"/>
    <w:rsid w:val="00DA5F0B"/>
    <w:rsid w:val="00DB07D8"/>
    <w:rsid w:val="00DB1B4A"/>
    <w:rsid w:val="00DB27F3"/>
    <w:rsid w:val="00DB4ABF"/>
    <w:rsid w:val="00DB4DBE"/>
    <w:rsid w:val="00DB596B"/>
    <w:rsid w:val="00DB5988"/>
    <w:rsid w:val="00DB6011"/>
    <w:rsid w:val="00DB6D85"/>
    <w:rsid w:val="00DC14A4"/>
    <w:rsid w:val="00DC1A2B"/>
    <w:rsid w:val="00DC2216"/>
    <w:rsid w:val="00DC2BD5"/>
    <w:rsid w:val="00DC2DDB"/>
    <w:rsid w:val="00DC4B42"/>
    <w:rsid w:val="00DC7BCF"/>
    <w:rsid w:val="00DD1663"/>
    <w:rsid w:val="00DD35C5"/>
    <w:rsid w:val="00DD71AD"/>
    <w:rsid w:val="00DE1DCF"/>
    <w:rsid w:val="00DE277E"/>
    <w:rsid w:val="00DE3A55"/>
    <w:rsid w:val="00DE3C6D"/>
    <w:rsid w:val="00DE4330"/>
    <w:rsid w:val="00DE5E82"/>
    <w:rsid w:val="00DE67E0"/>
    <w:rsid w:val="00DE7859"/>
    <w:rsid w:val="00DF1D0B"/>
    <w:rsid w:val="00DF354E"/>
    <w:rsid w:val="00DF38DD"/>
    <w:rsid w:val="00DF42C2"/>
    <w:rsid w:val="00DF5A63"/>
    <w:rsid w:val="00DF6AF4"/>
    <w:rsid w:val="00E00982"/>
    <w:rsid w:val="00E00BAF"/>
    <w:rsid w:val="00E00D4A"/>
    <w:rsid w:val="00E04DA2"/>
    <w:rsid w:val="00E04FB3"/>
    <w:rsid w:val="00E05458"/>
    <w:rsid w:val="00E05ADC"/>
    <w:rsid w:val="00E05B0D"/>
    <w:rsid w:val="00E061D0"/>
    <w:rsid w:val="00E0690B"/>
    <w:rsid w:val="00E07D6F"/>
    <w:rsid w:val="00E12F03"/>
    <w:rsid w:val="00E12FAC"/>
    <w:rsid w:val="00E14729"/>
    <w:rsid w:val="00E1654A"/>
    <w:rsid w:val="00E17455"/>
    <w:rsid w:val="00E1785E"/>
    <w:rsid w:val="00E17959"/>
    <w:rsid w:val="00E20ECF"/>
    <w:rsid w:val="00E227DA"/>
    <w:rsid w:val="00E31603"/>
    <w:rsid w:val="00E3162A"/>
    <w:rsid w:val="00E31C0A"/>
    <w:rsid w:val="00E3236B"/>
    <w:rsid w:val="00E3396F"/>
    <w:rsid w:val="00E354F0"/>
    <w:rsid w:val="00E37166"/>
    <w:rsid w:val="00E37D72"/>
    <w:rsid w:val="00E40BB7"/>
    <w:rsid w:val="00E417BE"/>
    <w:rsid w:val="00E42349"/>
    <w:rsid w:val="00E47AC4"/>
    <w:rsid w:val="00E50406"/>
    <w:rsid w:val="00E527CC"/>
    <w:rsid w:val="00E52DB1"/>
    <w:rsid w:val="00E52F68"/>
    <w:rsid w:val="00E53CFE"/>
    <w:rsid w:val="00E554F2"/>
    <w:rsid w:val="00E55DCB"/>
    <w:rsid w:val="00E56927"/>
    <w:rsid w:val="00E574B2"/>
    <w:rsid w:val="00E57D3D"/>
    <w:rsid w:val="00E630AC"/>
    <w:rsid w:val="00E64859"/>
    <w:rsid w:val="00E66A25"/>
    <w:rsid w:val="00E71ABC"/>
    <w:rsid w:val="00E76B37"/>
    <w:rsid w:val="00E77CCC"/>
    <w:rsid w:val="00E807FC"/>
    <w:rsid w:val="00E81F74"/>
    <w:rsid w:val="00E82DA7"/>
    <w:rsid w:val="00E84508"/>
    <w:rsid w:val="00E85CF9"/>
    <w:rsid w:val="00E8655E"/>
    <w:rsid w:val="00E87CAB"/>
    <w:rsid w:val="00E91C31"/>
    <w:rsid w:val="00E92B3D"/>
    <w:rsid w:val="00E93347"/>
    <w:rsid w:val="00E93453"/>
    <w:rsid w:val="00E938A7"/>
    <w:rsid w:val="00E94E3E"/>
    <w:rsid w:val="00E956EA"/>
    <w:rsid w:val="00E969B3"/>
    <w:rsid w:val="00EA0067"/>
    <w:rsid w:val="00EA2697"/>
    <w:rsid w:val="00EA44FA"/>
    <w:rsid w:val="00EA6BF4"/>
    <w:rsid w:val="00EA7F62"/>
    <w:rsid w:val="00EB0FEF"/>
    <w:rsid w:val="00EB7FEB"/>
    <w:rsid w:val="00EC19E0"/>
    <w:rsid w:val="00EC23F4"/>
    <w:rsid w:val="00EC26E1"/>
    <w:rsid w:val="00EC2923"/>
    <w:rsid w:val="00EC2972"/>
    <w:rsid w:val="00EC4E78"/>
    <w:rsid w:val="00EC54AF"/>
    <w:rsid w:val="00ED151E"/>
    <w:rsid w:val="00ED1601"/>
    <w:rsid w:val="00ED3173"/>
    <w:rsid w:val="00ED58AA"/>
    <w:rsid w:val="00ED6184"/>
    <w:rsid w:val="00ED71D4"/>
    <w:rsid w:val="00ED74B0"/>
    <w:rsid w:val="00ED7E4C"/>
    <w:rsid w:val="00ED7FE2"/>
    <w:rsid w:val="00EE0125"/>
    <w:rsid w:val="00EE1D0E"/>
    <w:rsid w:val="00EE20C5"/>
    <w:rsid w:val="00EE2D1D"/>
    <w:rsid w:val="00EE6929"/>
    <w:rsid w:val="00EF240D"/>
    <w:rsid w:val="00EF3197"/>
    <w:rsid w:val="00EF3575"/>
    <w:rsid w:val="00EF36A6"/>
    <w:rsid w:val="00EF3D5F"/>
    <w:rsid w:val="00EF559F"/>
    <w:rsid w:val="00EF67DD"/>
    <w:rsid w:val="00F01EF3"/>
    <w:rsid w:val="00F03416"/>
    <w:rsid w:val="00F03515"/>
    <w:rsid w:val="00F03DB1"/>
    <w:rsid w:val="00F047C9"/>
    <w:rsid w:val="00F05739"/>
    <w:rsid w:val="00F05BCB"/>
    <w:rsid w:val="00F10965"/>
    <w:rsid w:val="00F10BBD"/>
    <w:rsid w:val="00F11D4C"/>
    <w:rsid w:val="00F11F2B"/>
    <w:rsid w:val="00F157EE"/>
    <w:rsid w:val="00F15BDD"/>
    <w:rsid w:val="00F161EF"/>
    <w:rsid w:val="00F16507"/>
    <w:rsid w:val="00F179E8"/>
    <w:rsid w:val="00F17A54"/>
    <w:rsid w:val="00F21051"/>
    <w:rsid w:val="00F22BDD"/>
    <w:rsid w:val="00F22D13"/>
    <w:rsid w:val="00F250C1"/>
    <w:rsid w:val="00F252FA"/>
    <w:rsid w:val="00F25C95"/>
    <w:rsid w:val="00F26F09"/>
    <w:rsid w:val="00F27244"/>
    <w:rsid w:val="00F30009"/>
    <w:rsid w:val="00F31860"/>
    <w:rsid w:val="00F32106"/>
    <w:rsid w:val="00F340CB"/>
    <w:rsid w:val="00F34C28"/>
    <w:rsid w:val="00F34D5F"/>
    <w:rsid w:val="00F35772"/>
    <w:rsid w:val="00F35831"/>
    <w:rsid w:val="00F37250"/>
    <w:rsid w:val="00F3768A"/>
    <w:rsid w:val="00F40197"/>
    <w:rsid w:val="00F41537"/>
    <w:rsid w:val="00F41DF3"/>
    <w:rsid w:val="00F44686"/>
    <w:rsid w:val="00F44DBF"/>
    <w:rsid w:val="00F466BE"/>
    <w:rsid w:val="00F477DC"/>
    <w:rsid w:val="00F548C3"/>
    <w:rsid w:val="00F5640C"/>
    <w:rsid w:val="00F578C0"/>
    <w:rsid w:val="00F62851"/>
    <w:rsid w:val="00F636B8"/>
    <w:rsid w:val="00F64B4D"/>
    <w:rsid w:val="00F706D9"/>
    <w:rsid w:val="00F7104F"/>
    <w:rsid w:val="00F71EAC"/>
    <w:rsid w:val="00F72F94"/>
    <w:rsid w:val="00F73C78"/>
    <w:rsid w:val="00F74262"/>
    <w:rsid w:val="00F74A82"/>
    <w:rsid w:val="00F76256"/>
    <w:rsid w:val="00F763FF"/>
    <w:rsid w:val="00F821D3"/>
    <w:rsid w:val="00F83B17"/>
    <w:rsid w:val="00F84C12"/>
    <w:rsid w:val="00F84E99"/>
    <w:rsid w:val="00F856AB"/>
    <w:rsid w:val="00F86A42"/>
    <w:rsid w:val="00F903BC"/>
    <w:rsid w:val="00F90CA2"/>
    <w:rsid w:val="00F937FE"/>
    <w:rsid w:val="00F94EAB"/>
    <w:rsid w:val="00F963D6"/>
    <w:rsid w:val="00F97E1D"/>
    <w:rsid w:val="00FA010D"/>
    <w:rsid w:val="00FA2286"/>
    <w:rsid w:val="00FA277B"/>
    <w:rsid w:val="00FA3650"/>
    <w:rsid w:val="00FA5282"/>
    <w:rsid w:val="00FB17C4"/>
    <w:rsid w:val="00FB3914"/>
    <w:rsid w:val="00FC0436"/>
    <w:rsid w:val="00FC56EF"/>
    <w:rsid w:val="00FD2354"/>
    <w:rsid w:val="00FD3249"/>
    <w:rsid w:val="00FD3591"/>
    <w:rsid w:val="00FD4E34"/>
    <w:rsid w:val="00FD4F0D"/>
    <w:rsid w:val="00FD57CD"/>
    <w:rsid w:val="00FD7CF8"/>
    <w:rsid w:val="00FE1427"/>
    <w:rsid w:val="00FE300B"/>
    <w:rsid w:val="00FE69F8"/>
    <w:rsid w:val="00FE746F"/>
    <w:rsid w:val="00FE7E5B"/>
    <w:rsid w:val="00FF189C"/>
    <w:rsid w:val="00FF2E18"/>
    <w:rsid w:val="00FF5B06"/>
    <w:rsid w:val="00FF7C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sid w:val="00A27686"/>
    <w:rPr>
      <w:color w:val="0000FF"/>
      <w:shd w:val="clear" w:color="auto" w:fill="auto"/>
    </w:rPr>
  </w:style>
  <w:style w:type="paragraph" w:customStyle="1" w:styleId="Pagedecouverture">
    <w:name w:val="Page de couverture"/>
    <w:basedOn w:val="Normal"/>
    <w:next w:val="Normal"/>
    <w:rsid w:val="00A27686"/>
    <w:pPr>
      <w:spacing w:after="0" w:line="240" w:lineRule="auto"/>
      <w:jc w:val="both"/>
    </w:pPr>
    <w:rPr>
      <w:rFonts w:ascii="Times New Roman" w:hAnsi="Times New Roman"/>
      <w:sz w:val="24"/>
    </w:rPr>
  </w:style>
  <w:style w:type="paragraph" w:styleId="Header">
    <w:name w:val="header"/>
    <w:basedOn w:val="Normal"/>
    <w:link w:val="HeaderChar"/>
    <w:uiPriority w:val="99"/>
    <w:unhideWhenUsed/>
    <w:rsid w:val="00A27686"/>
    <w:pPr>
      <w:tabs>
        <w:tab w:val="center" w:pos="4536"/>
        <w:tab w:val="right" w:pos="9072"/>
      </w:tabs>
    </w:pPr>
  </w:style>
  <w:style w:type="character" w:customStyle="1" w:styleId="HeaderChar">
    <w:name w:val="Header Char"/>
    <w:link w:val="Header"/>
    <w:uiPriority w:val="99"/>
    <w:rsid w:val="00A27686"/>
    <w:rPr>
      <w:sz w:val="22"/>
      <w:szCs w:val="22"/>
      <w:lang w:eastAsia="es-ES"/>
    </w:rPr>
  </w:style>
  <w:style w:type="paragraph" w:styleId="Footer">
    <w:name w:val="footer"/>
    <w:basedOn w:val="Normal"/>
    <w:link w:val="FooterChar"/>
    <w:uiPriority w:val="99"/>
    <w:unhideWhenUsed/>
    <w:rsid w:val="00A27686"/>
    <w:pPr>
      <w:tabs>
        <w:tab w:val="center" w:pos="4536"/>
        <w:tab w:val="right" w:pos="9072"/>
      </w:tabs>
    </w:pPr>
  </w:style>
  <w:style w:type="character" w:customStyle="1" w:styleId="FooterChar">
    <w:name w:val="Footer Char"/>
    <w:link w:val="Footer"/>
    <w:uiPriority w:val="99"/>
    <w:rsid w:val="00A27686"/>
    <w:rPr>
      <w:sz w:val="22"/>
      <w:szCs w:val="22"/>
      <w:lang w:eastAsia="es-ES"/>
    </w:rPr>
  </w:style>
  <w:style w:type="paragraph" w:customStyle="1" w:styleId="FooterCoverPage">
    <w:name w:val="Footer Cover Page"/>
    <w:basedOn w:val="Normal"/>
    <w:link w:val="FooterCoverPageChar"/>
    <w:rsid w:val="00A27686"/>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sid w:val="00A27686"/>
    <w:rPr>
      <w:rFonts w:ascii="Times New Roman" w:hAnsi="Times New Roman"/>
      <w:sz w:val="24"/>
      <w:szCs w:val="22"/>
    </w:rPr>
  </w:style>
  <w:style w:type="paragraph" w:customStyle="1" w:styleId="HeaderCoverPage">
    <w:name w:val="Header Cover Page"/>
    <w:basedOn w:val="Normal"/>
    <w:link w:val="HeaderCoverPageChar"/>
    <w:rsid w:val="00A27686"/>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sid w:val="00A27686"/>
    <w:rPr>
      <w:rFonts w:ascii="Times New Roman" w:hAnsi="Times New Roman"/>
      <w:sz w:val="24"/>
      <w:szCs w:val="22"/>
    </w:rPr>
  </w:style>
  <w:style w:type="paragraph" w:styleId="BalloonText">
    <w:name w:val="Balloon Text"/>
    <w:basedOn w:val="Normal"/>
    <w:link w:val="BalloonTextChar"/>
    <w:uiPriority w:val="99"/>
    <w:semiHidden/>
    <w:unhideWhenUsed/>
    <w:rsid w:val="00A276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7686"/>
    <w:rPr>
      <w:rFonts w:ascii="Tahoma" w:hAnsi="Tahoma" w:cs="Tahoma"/>
      <w:sz w:val="16"/>
      <w:szCs w:val="16"/>
      <w:lang w:eastAsia="es-ES"/>
    </w:rPr>
  </w:style>
  <w:style w:type="paragraph" w:customStyle="1" w:styleId="Typedudocument">
    <w:name w:val="Type du document"/>
    <w:basedOn w:val="Normal"/>
    <w:next w:val="Normal"/>
    <w:rsid w:val="00135B98"/>
    <w:pPr>
      <w:spacing w:before="360" w:after="0" w:line="240" w:lineRule="auto"/>
      <w:jc w:val="center"/>
    </w:pPr>
    <w:rPr>
      <w:rFonts w:ascii="Times New Roman" w:hAnsi="Times New Roman"/>
      <w:b/>
      <w:sz w:val="24"/>
    </w:rPr>
  </w:style>
  <w:style w:type="paragraph" w:customStyle="1" w:styleId="Titreobjet">
    <w:name w:val="Titre objet"/>
    <w:basedOn w:val="Normal"/>
    <w:next w:val="Normal"/>
    <w:rsid w:val="00135B98"/>
    <w:pPr>
      <w:spacing w:before="360" w:after="360" w:line="240" w:lineRule="auto"/>
      <w:jc w:val="center"/>
    </w:pPr>
    <w:rPr>
      <w:rFonts w:ascii="Times New Roman" w:hAnsi="Times New Roman"/>
      <w:b/>
      <w:sz w:val="24"/>
    </w:rPr>
  </w:style>
  <w:style w:type="paragraph" w:customStyle="1" w:styleId="Sous-titreobjet">
    <w:name w:val="Sous-titre objet"/>
    <w:basedOn w:val="Normal"/>
    <w:rsid w:val="00135B98"/>
    <w:pPr>
      <w:spacing w:after="0" w:line="240" w:lineRule="auto"/>
      <w:jc w:val="center"/>
    </w:pPr>
    <w:rPr>
      <w:rFonts w:ascii="Times New Roman" w:hAnsi="Times New Roman"/>
      <w:b/>
      <w:sz w:val="24"/>
    </w:rPr>
  </w:style>
  <w:style w:type="paragraph" w:styleId="FootnoteText">
    <w:name w:val="footnote text"/>
    <w:basedOn w:val="Normal"/>
    <w:link w:val="FootnoteTextChar"/>
    <w:uiPriority w:val="99"/>
    <w:unhideWhenUsed/>
    <w:rsid w:val="00DB07D8"/>
    <w:rPr>
      <w:sz w:val="20"/>
      <w:szCs w:val="20"/>
    </w:rPr>
  </w:style>
  <w:style w:type="character" w:customStyle="1" w:styleId="FootnoteTextChar">
    <w:name w:val="Footnote Text Char"/>
    <w:link w:val="FootnoteText"/>
    <w:uiPriority w:val="99"/>
    <w:rsid w:val="00DB07D8"/>
    <w:rPr>
      <w:lang w:eastAsia="es-ES"/>
    </w:rPr>
  </w:style>
  <w:style w:type="character" w:styleId="FootnoteReference">
    <w:name w:val="footnote reference"/>
    <w:uiPriority w:val="99"/>
    <w:semiHidden/>
    <w:unhideWhenUsed/>
    <w:rsid w:val="00DB07D8"/>
    <w:rPr>
      <w:vertAlign w:val="superscript"/>
    </w:rPr>
  </w:style>
  <w:style w:type="paragraph" w:styleId="CommentText">
    <w:name w:val="annotation text"/>
    <w:basedOn w:val="Normal"/>
    <w:link w:val="CommentTextChar"/>
    <w:uiPriority w:val="99"/>
    <w:unhideWhenUsed/>
    <w:rsid w:val="00DB07D8"/>
    <w:rPr>
      <w:sz w:val="20"/>
      <w:szCs w:val="20"/>
    </w:rPr>
  </w:style>
  <w:style w:type="character" w:customStyle="1" w:styleId="CommentTextChar">
    <w:name w:val="Comment Text Char"/>
    <w:link w:val="CommentText"/>
    <w:uiPriority w:val="99"/>
    <w:rsid w:val="00DB07D8"/>
    <w:rPr>
      <w:lang w:eastAsia="es-ES"/>
    </w:rPr>
  </w:style>
  <w:style w:type="character" w:styleId="CommentReference">
    <w:name w:val="annotation reference"/>
    <w:uiPriority w:val="99"/>
    <w:semiHidden/>
    <w:unhideWhenUsed/>
    <w:rsid w:val="00DB07D8"/>
    <w:rPr>
      <w:sz w:val="16"/>
      <w:szCs w:val="16"/>
    </w:rPr>
  </w:style>
  <w:style w:type="paragraph" w:styleId="CommentSubject">
    <w:name w:val="annotation subject"/>
    <w:basedOn w:val="CommentText"/>
    <w:next w:val="CommentText"/>
    <w:link w:val="CommentSubjectChar"/>
    <w:uiPriority w:val="99"/>
    <w:semiHidden/>
    <w:unhideWhenUsed/>
    <w:rsid w:val="00AE1276"/>
    <w:rPr>
      <w:b/>
      <w:bCs/>
    </w:rPr>
  </w:style>
  <w:style w:type="character" w:customStyle="1" w:styleId="CommentSubjectChar">
    <w:name w:val="Comment Subject Char"/>
    <w:link w:val="CommentSubject"/>
    <w:uiPriority w:val="99"/>
    <w:semiHidden/>
    <w:rsid w:val="00AE1276"/>
    <w:rPr>
      <w:b/>
      <w:bCs/>
      <w:lang w:eastAsia="es-ES"/>
    </w:rPr>
  </w:style>
  <w:style w:type="character" w:styleId="Hyperlink">
    <w:name w:val="Hyperlink"/>
    <w:rsid w:val="00C66C47"/>
    <w:rPr>
      <w:color w:val="0000FF"/>
      <w:u w:val="single"/>
    </w:rPr>
  </w:style>
  <w:style w:type="paragraph" w:styleId="Revision">
    <w:name w:val="Revision"/>
    <w:hidden/>
    <w:uiPriority w:val="99"/>
    <w:semiHidden/>
    <w:rsid w:val="002E02DF"/>
    <w:rPr>
      <w:sz w:val="22"/>
      <w:szCs w:val="22"/>
    </w:rPr>
  </w:style>
  <w:style w:type="table" w:styleId="LightGrid-Accent2">
    <w:name w:val="Light Grid Accent 2"/>
    <w:basedOn w:val="TableNormal"/>
    <w:uiPriority w:val="62"/>
    <w:rsid w:val="008F785A"/>
    <w:rPr>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99"/>
    <w:qFormat/>
    <w:rsid w:val="00AF0EE4"/>
    <w:pPr>
      <w:spacing w:after="160" w:line="259" w:lineRule="auto"/>
      <w:ind w:left="720"/>
      <w:contextualSpacing/>
    </w:pPr>
    <w:rPr>
      <w:noProof/>
    </w:rPr>
  </w:style>
  <w:style w:type="paragraph" w:customStyle="1" w:styleId="Default">
    <w:name w:val="Default"/>
    <w:rsid w:val="001731D1"/>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75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44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44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
    <w:name w:val="st"/>
    <w:basedOn w:val="DefaultParagraphFont"/>
    <w:rsid w:val="00EC54AF"/>
  </w:style>
  <w:style w:type="character" w:styleId="FollowedHyperlink">
    <w:name w:val="FollowedHyperlink"/>
    <w:basedOn w:val="DefaultParagraphFont"/>
    <w:uiPriority w:val="99"/>
    <w:semiHidden/>
    <w:unhideWhenUsed/>
    <w:rsid w:val="00CA1F86"/>
    <w:rPr>
      <w:color w:val="800080" w:themeColor="followedHyperlink"/>
      <w:u w:val="single"/>
    </w:rPr>
  </w:style>
  <w:style w:type="paragraph" w:customStyle="1" w:styleId="ecxmsolistparagraph">
    <w:name w:val="ecxmsolistparagraph"/>
    <w:basedOn w:val="Normal"/>
    <w:rsid w:val="007D252F"/>
    <w:pPr>
      <w:spacing w:after="324" w:line="240" w:lineRule="auto"/>
    </w:pPr>
    <w:rPr>
      <w:rFonts w:ascii="Times New Roman" w:eastAsia="Times New Roman" w:hAnsi="Times New Roman"/>
      <w:sz w:val="24"/>
      <w:szCs w:val="24"/>
    </w:rPr>
  </w:style>
  <w:style w:type="paragraph" w:styleId="NormalWeb">
    <w:name w:val="Normal (Web)"/>
    <w:basedOn w:val="Normal"/>
    <w:uiPriority w:val="99"/>
    <w:unhideWhenUsed/>
    <w:rsid w:val="007D252F"/>
    <w:pPr>
      <w:spacing w:before="100" w:beforeAutospacing="1" w:after="100" w:afterAutospacing="1" w:line="240" w:lineRule="auto"/>
    </w:pPr>
    <w:rPr>
      <w:rFonts w:ascii="Times New Roman" w:eastAsia="Times New Roman" w:hAnsi="Times New Roman"/>
      <w:sz w:val="24"/>
      <w:szCs w:val="24"/>
    </w:rPr>
  </w:style>
  <w:style w:type="paragraph" w:customStyle="1" w:styleId="s12">
    <w:name w:val="s12"/>
    <w:basedOn w:val="Normal"/>
    <w:rsid w:val="008258EB"/>
    <w:pPr>
      <w:spacing w:before="100" w:beforeAutospacing="1" w:after="100" w:afterAutospacing="1" w:line="240" w:lineRule="auto"/>
    </w:pPr>
    <w:rPr>
      <w:rFonts w:ascii="Times New Roman" w:eastAsiaTheme="minorHAnsi" w:hAnsi="Times New Roman"/>
      <w:sz w:val="24"/>
      <w:szCs w:val="24"/>
    </w:rPr>
  </w:style>
  <w:style w:type="character" w:customStyle="1" w:styleId="s16">
    <w:name w:val="s16"/>
    <w:basedOn w:val="DefaultParagraphFont"/>
    <w:rsid w:val="008258EB"/>
  </w:style>
  <w:style w:type="paragraph" w:customStyle="1" w:styleId="Standard">
    <w:name w:val="Standard"/>
    <w:rsid w:val="00B85FC7"/>
    <w:pPr>
      <w:widowControl w:val="0"/>
      <w:suppressAutoHyphens/>
      <w:autoSpaceDN w:val="0"/>
      <w:textAlignment w:val="baseline"/>
    </w:pPr>
    <w:rPr>
      <w:rFonts w:ascii="Times New Roman" w:eastAsia="SimSun" w:hAnsi="Times New Roman" w:cs="Mangal"/>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sid w:val="00A27686"/>
    <w:rPr>
      <w:color w:val="0000FF"/>
      <w:shd w:val="clear" w:color="auto" w:fill="auto"/>
    </w:rPr>
  </w:style>
  <w:style w:type="paragraph" w:customStyle="1" w:styleId="Pagedecouverture">
    <w:name w:val="Page de couverture"/>
    <w:basedOn w:val="Normal"/>
    <w:next w:val="Normal"/>
    <w:rsid w:val="00A27686"/>
    <w:pPr>
      <w:spacing w:after="0" w:line="240" w:lineRule="auto"/>
      <w:jc w:val="both"/>
    </w:pPr>
    <w:rPr>
      <w:rFonts w:ascii="Times New Roman" w:hAnsi="Times New Roman"/>
      <w:sz w:val="24"/>
    </w:rPr>
  </w:style>
  <w:style w:type="paragraph" w:styleId="Header">
    <w:name w:val="header"/>
    <w:basedOn w:val="Normal"/>
    <w:link w:val="HeaderChar"/>
    <w:uiPriority w:val="99"/>
    <w:unhideWhenUsed/>
    <w:rsid w:val="00A27686"/>
    <w:pPr>
      <w:tabs>
        <w:tab w:val="center" w:pos="4536"/>
        <w:tab w:val="right" w:pos="9072"/>
      </w:tabs>
    </w:pPr>
  </w:style>
  <w:style w:type="character" w:customStyle="1" w:styleId="HeaderChar">
    <w:name w:val="Header Char"/>
    <w:link w:val="Header"/>
    <w:uiPriority w:val="99"/>
    <w:rsid w:val="00A27686"/>
    <w:rPr>
      <w:sz w:val="22"/>
      <w:szCs w:val="22"/>
      <w:lang w:eastAsia="es-ES"/>
    </w:rPr>
  </w:style>
  <w:style w:type="paragraph" w:styleId="Footer">
    <w:name w:val="footer"/>
    <w:basedOn w:val="Normal"/>
    <w:link w:val="FooterChar"/>
    <w:uiPriority w:val="99"/>
    <w:unhideWhenUsed/>
    <w:rsid w:val="00A27686"/>
    <w:pPr>
      <w:tabs>
        <w:tab w:val="center" w:pos="4536"/>
        <w:tab w:val="right" w:pos="9072"/>
      </w:tabs>
    </w:pPr>
  </w:style>
  <w:style w:type="character" w:customStyle="1" w:styleId="FooterChar">
    <w:name w:val="Footer Char"/>
    <w:link w:val="Footer"/>
    <w:uiPriority w:val="99"/>
    <w:rsid w:val="00A27686"/>
    <w:rPr>
      <w:sz w:val="22"/>
      <w:szCs w:val="22"/>
      <w:lang w:eastAsia="es-ES"/>
    </w:rPr>
  </w:style>
  <w:style w:type="paragraph" w:customStyle="1" w:styleId="FooterCoverPage">
    <w:name w:val="Footer Cover Page"/>
    <w:basedOn w:val="Normal"/>
    <w:link w:val="FooterCoverPageChar"/>
    <w:rsid w:val="00A27686"/>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sid w:val="00A27686"/>
    <w:rPr>
      <w:rFonts w:ascii="Times New Roman" w:hAnsi="Times New Roman"/>
      <w:sz w:val="24"/>
      <w:szCs w:val="22"/>
    </w:rPr>
  </w:style>
  <w:style w:type="paragraph" w:customStyle="1" w:styleId="HeaderCoverPage">
    <w:name w:val="Header Cover Page"/>
    <w:basedOn w:val="Normal"/>
    <w:link w:val="HeaderCoverPageChar"/>
    <w:rsid w:val="00A27686"/>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sid w:val="00A27686"/>
    <w:rPr>
      <w:rFonts w:ascii="Times New Roman" w:hAnsi="Times New Roman"/>
      <w:sz w:val="24"/>
      <w:szCs w:val="22"/>
    </w:rPr>
  </w:style>
  <w:style w:type="paragraph" w:styleId="BalloonText">
    <w:name w:val="Balloon Text"/>
    <w:basedOn w:val="Normal"/>
    <w:link w:val="BalloonTextChar"/>
    <w:uiPriority w:val="99"/>
    <w:semiHidden/>
    <w:unhideWhenUsed/>
    <w:rsid w:val="00A276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7686"/>
    <w:rPr>
      <w:rFonts w:ascii="Tahoma" w:hAnsi="Tahoma" w:cs="Tahoma"/>
      <w:sz w:val="16"/>
      <w:szCs w:val="16"/>
      <w:lang w:eastAsia="es-ES"/>
    </w:rPr>
  </w:style>
  <w:style w:type="paragraph" w:customStyle="1" w:styleId="Typedudocument">
    <w:name w:val="Type du document"/>
    <w:basedOn w:val="Normal"/>
    <w:next w:val="Normal"/>
    <w:rsid w:val="00135B98"/>
    <w:pPr>
      <w:spacing w:before="360" w:after="0" w:line="240" w:lineRule="auto"/>
      <w:jc w:val="center"/>
    </w:pPr>
    <w:rPr>
      <w:rFonts w:ascii="Times New Roman" w:hAnsi="Times New Roman"/>
      <w:b/>
      <w:sz w:val="24"/>
    </w:rPr>
  </w:style>
  <w:style w:type="paragraph" w:customStyle="1" w:styleId="Titreobjet">
    <w:name w:val="Titre objet"/>
    <w:basedOn w:val="Normal"/>
    <w:next w:val="Normal"/>
    <w:rsid w:val="00135B98"/>
    <w:pPr>
      <w:spacing w:before="360" w:after="360" w:line="240" w:lineRule="auto"/>
      <w:jc w:val="center"/>
    </w:pPr>
    <w:rPr>
      <w:rFonts w:ascii="Times New Roman" w:hAnsi="Times New Roman"/>
      <w:b/>
      <w:sz w:val="24"/>
    </w:rPr>
  </w:style>
  <w:style w:type="paragraph" w:customStyle="1" w:styleId="Sous-titreobjet">
    <w:name w:val="Sous-titre objet"/>
    <w:basedOn w:val="Normal"/>
    <w:rsid w:val="00135B98"/>
    <w:pPr>
      <w:spacing w:after="0" w:line="240" w:lineRule="auto"/>
      <w:jc w:val="center"/>
    </w:pPr>
    <w:rPr>
      <w:rFonts w:ascii="Times New Roman" w:hAnsi="Times New Roman"/>
      <w:b/>
      <w:sz w:val="24"/>
    </w:rPr>
  </w:style>
  <w:style w:type="paragraph" w:styleId="FootnoteText">
    <w:name w:val="footnote text"/>
    <w:basedOn w:val="Normal"/>
    <w:link w:val="FootnoteTextChar"/>
    <w:uiPriority w:val="99"/>
    <w:unhideWhenUsed/>
    <w:rsid w:val="00DB07D8"/>
    <w:rPr>
      <w:sz w:val="20"/>
      <w:szCs w:val="20"/>
    </w:rPr>
  </w:style>
  <w:style w:type="character" w:customStyle="1" w:styleId="FootnoteTextChar">
    <w:name w:val="Footnote Text Char"/>
    <w:link w:val="FootnoteText"/>
    <w:uiPriority w:val="99"/>
    <w:rsid w:val="00DB07D8"/>
    <w:rPr>
      <w:lang w:eastAsia="es-ES"/>
    </w:rPr>
  </w:style>
  <w:style w:type="character" w:styleId="FootnoteReference">
    <w:name w:val="footnote reference"/>
    <w:uiPriority w:val="99"/>
    <w:semiHidden/>
    <w:unhideWhenUsed/>
    <w:rsid w:val="00DB07D8"/>
    <w:rPr>
      <w:vertAlign w:val="superscript"/>
    </w:rPr>
  </w:style>
  <w:style w:type="paragraph" w:styleId="CommentText">
    <w:name w:val="annotation text"/>
    <w:basedOn w:val="Normal"/>
    <w:link w:val="CommentTextChar"/>
    <w:uiPriority w:val="99"/>
    <w:unhideWhenUsed/>
    <w:rsid w:val="00DB07D8"/>
    <w:rPr>
      <w:sz w:val="20"/>
      <w:szCs w:val="20"/>
    </w:rPr>
  </w:style>
  <w:style w:type="character" w:customStyle="1" w:styleId="CommentTextChar">
    <w:name w:val="Comment Text Char"/>
    <w:link w:val="CommentText"/>
    <w:uiPriority w:val="99"/>
    <w:rsid w:val="00DB07D8"/>
    <w:rPr>
      <w:lang w:eastAsia="es-ES"/>
    </w:rPr>
  </w:style>
  <w:style w:type="character" w:styleId="CommentReference">
    <w:name w:val="annotation reference"/>
    <w:uiPriority w:val="99"/>
    <w:semiHidden/>
    <w:unhideWhenUsed/>
    <w:rsid w:val="00DB07D8"/>
    <w:rPr>
      <w:sz w:val="16"/>
      <w:szCs w:val="16"/>
    </w:rPr>
  </w:style>
  <w:style w:type="paragraph" w:styleId="CommentSubject">
    <w:name w:val="annotation subject"/>
    <w:basedOn w:val="CommentText"/>
    <w:next w:val="CommentText"/>
    <w:link w:val="CommentSubjectChar"/>
    <w:uiPriority w:val="99"/>
    <w:semiHidden/>
    <w:unhideWhenUsed/>
    <w:rsid w:val="00AE1276"/>
    <w:rPr>
      <w:b/>
      <w:bCs/>
    </w:rPr>
  </w:style>
  <w:style w:type="character" w:customStyle="1" w:styleId="CommentSubjectChar">
    <w:name w:val="Comment Subject Char"/>
    <w:link w:val="CommentSubject"/>
    <w:uiPriority w:val="99"/>
    <w:semiHidden/>
    <w:rsid w:val="00AE1276"/>
    <w:rPr>
      <w:b/>
      <w:bCs/>
      <w:lang w:eastAsia="es-ES"/>
    </w:rPr>
  </w:style>
  <w:style w:type="character" w:styleId="Hyperlink">
    <w:name w:val="Hyperlink"/>
    <w:rsid w:val="00C66C47"/>
    <w:rPr>
      <w:color w:val="0000FF"/>
      <w:u w:val="single"/>
    </w:rPr>
  </w:style>
  <w:style w:type="paragraph" w:styleId="Revision">
    <w:name w:val="Revision"/>
    <w:hidden/>
    <w:uiPriority w:val="99"/>
    <w:semiHidden/>
    <w:rsid w:val="002E02DF"/>
    <w:rPr>
      <w:sz w:val="22"/>
      <w:szCs w:val="22"/>
    </w:rPr>
  </w:style>
  <w:style w:type="table" w:styleId="LightGrid-Accent2">
    <w:name w:val="Light Grid Accent 2"/>
    <w:basedOn w:val="TableNormal"/>
    <w:uiPriority w:val="62"/>
    <w:rsid w:val="008F785A"/>
    <w:rPr>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99"/>
    <w:qFormat/>
    <w:rsid w:val="00AF0EE4"/>
    <w:pPr>
      <w:spacing w:after="160" w:line="259" w:lineRule="auto"/>
      <w:ind w:left="720"/>
      <w:contextualSpacing/>
    </w:pPr>
    <w:rPr>
      <w:noProof/>
    </w:rPr>
  </w:style>
  <w:style w:type="paragraph" w:customStyle="1" w:styleId="Default">
    <w:name w:val="Default"/>
    <w:rsid w:val="001731D1"/>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75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44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44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
    <w:name w:val="st"/>
    <w:basedOn w:val="DefaultParagraphFont"/>
    <w:rsid w:val="00EC54AF"/>
  </w:style>
  <w:style w:type="character" w:styleId="FollowedHyperlink">
    <w:name w:val="FollowedHyperlink"/>
    <w:basedOn w:val="DefaultParagraphFont"/>
    <w:uiPriority w:val="99"/>
    <w:semiHidden/>
    <w:unhideWhenUsed/>
    <w:rsid w:val="00CA1F86"/>
    <w:rPr>
      <w:color w:val="800080" w:themeColor="followedHyperlink"/>
      <w:u w:val="single"/>
    </w:rPr>
  </w:style>
  <w:style w:type="paragraph" w:customStyle="1" w:styleId="ecxmsolistparagraph">
    <w:name w:val="ecxmsolistparagraph"/>
    <w:basedOn w:val="Normal"/>
    <w:rsid w:val="007D252F"/>
    <w:pPr>
      <w:spacing w:after="324" w:line="240" w:lineRule="auto"/>
    </w:pPr>
    <w:rPr>
      <w:rFonts w:ascii="Times New Roman" w:eastAsia="Times New Roman" w:hAnsi="Times New Roman"/>
      <w:sz w:val="24"/>
      <w:szCs w:val="24"/>
    </w:rPr>
  </w:style>
  <w:style w:type="paragraph" w:styleId="NormalWeb">
    <w:name w:val="Normal (Web)"/>
    <w:basedOn w:val="Normal"/>
    <w:uiPriority w:val="99"/>
    <w:unhideWhenUsed/>
    <w:rsid w:val="007D252F"/>
    <w:pPr>
      <w:spacing w:before="100" w:beforeAutospacing="1" w:after="100" w:afterAutospacing="1" w:line="240" w:lineRule="auto"/>
    </w:pPr>
    <w:rPr>
      <w:rFonts w:ascii="Times New Roman" w:eastAsia="Times New Roman" w:hAnsi="Times New Roman"/>
      <w:sz w:val="24"/>
      <w:szCs w:val="24"/>
    </w:rPr>
  </w:style>
  <w:style w:type="paragraph" w:customStyle="1" w:styleId="s12">
    <w:name w:val="s12"/>
    <w:basedOn w:val="Normal"/>
    <w:rsid w:val="008258EB"/>
    <w:pPr>
      <w:spacing w:before="100" w:beforeAutospacing="1" w:after="100" w:afterAutospacing="1" w:line="240" w:lineRule="auto"/>
    </w:pPr>
    <w:rPr>
      <w:rFonts w:ascii="Times New Roman" w:eastAsiaTheme="minorHAnsi" w:hAnsi="Times New Roman"/>
      <w:sz w:val="24"/>
      <w:szCs w:val="24"/>
    </w:rPr>
  </w:style>
  <w:style w:type="character" w:customStyle="1" w:styleId="s16">
    <w:name w:val="s16"/>
    <w:basedOn w:val="DefaultParagraphFont"/>
    <w:rsid w:val="008258EB"/>
  </w:style>
  <w:style w:type="paragraph" w:customStyle="1" w:styleId="Standard">
    <w:name w:val="Standard"/>
    <w:rsid w:val="00B85FC7"/>
    <w:pPr>
      <w:widowControl w:val="0"/>
      <w:suppressAutoHyphens/>
      <w:autoSpaceDN w:val="0"/>
      <w:textAlignment w:val="baseline"/>
    </w:pPr>
    <w:rPr>
      <w:rFonts w:ascii="Times New Roman" w:eastAsia="SimSun" w:hAnsi="Times New Roman" w:cs="Mang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2976">
      <w:bodyDiv w:val="1"/>
      <w:marLeft w:val="0"/>
      <w:marRight w:val="0"/>
      <w:marTop w:val="0"/>
      <w:marBottom w:val="0"/>
      <w:divBdr>
        <w:top w:val="none" w:sz="0" w:space="0" w:color="auto"/>
        <w:left w:val="none" w:sz="0" w:space="0" w:color="auto"/>
        <w:bottom w:val="none" w:sz="0" w:space="0" w:color="auto"/>
        <w:right w:val="none" w:sz="0" w:space="0" w:color="auto"/>
      </w:divBdr>
    </w:div>
    <w:div w:id="775826959">
      <w:bodyDiv w:val="1"/>
      <w:marLeft w:val="0"/>
      <w:marRight w:val="0"/>
      <w:marTop w:val="0"/>
      <w:marBottom w:val="0"/>
      <w:divBdr>
        <w:top w:val="none" w:sz="0" w:space="0" w:color="auto"/>
        <w:left w:val="none" w:sz="0" w:space="0" w:color="auto"/>
        <w:bottom w:val="none" w:sz="0" w:space="0" w:color="auto"/>
        <w:right w:val="none" w:sz="0" w:space="0" w:color="auto"/>
      </w:divBdr>
    </w:div>
    <w:div w:id="951476134">
      <w:bodyDiv w:val="1"/>
      <w:marLeft w:val="0"/>
      <w:marRight w:val="0"/>
      <w:marTop w:val="0"/>
      <w:marBottom w:val="0"/>
      <w:divBdr>
        <w:top w:val="none" w:sz="0" w:space="0" w:color="auto"/>
        <w:left w:val="none" w:sz="0" w:space="0" w:color="auto"/>
        <w:bottom w:val="none" w:sz="0" w:space="0" w:color="auto"/>
        <w:right w:val="none" w:sz="0" w:space="0" w:color="auto"/>
      </w:divBdr>
    </w:div>
    <w:div w:id="1496726482">
      <w:bodyDiv w:val="1"/>
      <w:marLeft w:val="0"/>
      <w:marRight w:val="0"/>
      <w:marTop w:val="0"/>
      <w:marBottom w:val="0"/>
      <w:divBdr>
        <w:top w:val="none" w:sz="0" w:space="0" w:color="auto"/>
        <w:left w:val="none" w:sz="0" w:space="0" w:color="auto"/>
        <w:bottom w:val="none" w:sz="0" w:space="0" w:color="auto"/>
        <w:right w:val="none" w:sz="0" w:space="0" w:color="auto"/>
      </w:divBdr>
    </w:div>
    <w:div w:id="1850675647">
      <w:bodyDiv w:val="1"/>
      <w:marLeft w:val="0"/>
      <w:marRight w:val="0"/>
      <w:marTop w:val="0"/>
      <w:marBottom w:val="0"/>
      <w:divBdr>
        <w:top w:val="none" w:sz="0" w:space="0" w:color="auto"/>
        <w:left w:val="none" w:sz="0" w:space="0" w:color="auto"/>
        <w:bottom w:val="none" w:sz="0" w:space="0" w:color="auto"/>
        <w:right w:val="none" w:sz="0" w:space="0" w:color="auto"/>
      </w:divBdr>
    </w:div>
    <w:div w:id="1897550031">
      <w:bodyDiv w:val="1"/>
      <w:marLeft w:val="0"/>
      <w:marRight w:val="0"/>
      <w:marTop w:val="0"/>
      <w:marBottom w:val="0"/>
      <w:divBdr>
        <w:top w:val="none" w:sz="0" w:space="0" w:color="auto"/>
        <w:left w:val="none" w:sz="0" w:space="0" w:color="auto"/>
        <w:bottom w:val="none" w:sz="0" w:space="0" w:color="auto"/>
        <w:right w:val="none" w:sz="0" w:space="0" w:color="auto"/>
      </w:divBdr>
    </w:div>
    <w:div w:id="19567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president-ksgov.net/repository/docs/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FD52-149B-41E7-A44C-C86FE0A3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4601</Words>
  <Characters>27058</Characters>
  <Application>Microsoft Office Word</Application>
  <DocSecurity>0</DocSecurity>
  <Lines>466</Lines>
  <Paragraphs>170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12</cp:revision>
  <cp:lastPrinted>2016-06-02T14:06:00Z</cp:lastPrinted>
  <dcterms:created xsi:type="dcterms:W3CDTF">2016-05-04T13:12:00Z</dcterms:created>
  <dcterms:modified xsi:type="dcterms:W3CDTF">2016-06-07T07:25:00Z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Red</vt:lpwstr>
  </property>
  <property name="OP_sanitized" fmtid="{D5CDD505-2E9C-101B-9397-08002B2CF9AE}" pid="6">
    <vt:lpwstr>True</vt:lpwstr>
  </property>
</Properties>
</file>