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0D1B" w:rsidR="00646AC2" w:rsidP="00DB5792" w:rsidRDefault="008C74D9" w14:paraId="5B3BE56A" w14:textId="23FD1828">
      <w:pPr>
        <w:jc w:val="center"/>
      </w:pPr>
      <w:bookmarkStart w:name="_GoBack" w:id="0"/>
      <w:bookmarkEnd w:id="0"/>
      <w:r w:rsidRPr="00C80D1B">
        <w:rPr>
          <w:noProof/>
          <w:lang w:val="en-US"/>
        </w:rPr>
        <w:drawing>
          <wp:inline distT="0" distB="0" distL="0" distR="0" wp14:anchorId="3763585C" wp14:editId="09A5E8A4">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C80D1B" w:rsidR="002C1DB1">
        <w:rPr>
          <w:noProof/>
          <w:sz w:val="20"/>
          <w:lang w:val="en-US"/>
        </w:rPr>
        <mc:AlternateContent>
          <mc:Choice Requires="wps">
            <w:drawing>
              <wp:anchor distT="0" distB="0" distL="114300" distR="114300" simplePos="0" relativeHeight="251661312" behindDoc="1" locked="0" layoutInCell="0" allowOverlap="1" wp14:editId="15FE452D" wp14:anchorId="131133D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5812" w:rsidRDefault="00185812" w14:paraId="45060660"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1133D6">
                <v:stroke joinstyle="miter"/>
                <v:path gradientshapeok="t" o:connecttype="rect"/>
              </v:shapetype>
              <v:shape id="Text Box 1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85812" w:rsidRDefault="00185812" w14:paraId="45060660"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C80D1B" w:rsidR="00C76AAA" w:rsidP="0015678B" w:rsidRDefault="00C76AAA" w14:paraId="7C68DEE8" w14:textId="77777777">
      <w:pPr>
        <w:jc w:val="right"/>
      </w:pPr>
    </w:p>
    <w:p w:rsidRPr="00C80D1B" w:rsidR="00646AC2" w:rsidP="0015678B" w:rsidRDefault="00C76AAA" w14:paraId="5B3BE56B" w14:textId="748EBFEB">
      <w:pPr>
        <w:jc w:val="right"/>
      </w:pPr>
      <w:r w:rsidRPr="00C80D1B">
        <w:rPr>
          <w:b/>
          <w:bCs/>
        </w:rPr>
        <w:t>ECO/6</w:t>
      </w:r>
      <w:r w:rsidRPr="00C80D1B" w:rsidR="009722D3">
        <w:rPr>
          <w:b/>
          <w:bCs/>
        </w:rPr>
        <w:t>70</w:t>
      </w:r>
    </w:p>
    <w:p w:rsidRPr="00C80D1B" w:rsidR="00563C84" w:rsidP="0015678B" w:rsidRDefault="001147FD" w14:paraId="5B3BE56C" w14:textId="50889D59">
      <w:pPr>
        <w:jc w:val="right"/>
      </w:pPr>
      <w:r w:rsidRPr="00C80D1B">
        <w:rPr>
          <w:b/>
          <w:bCs/>
          <w:noProof/>
          <w:lang w:eastAsia="en-GB"/>
        </w:rPr>
        <w:t>Communication on a Savings and Investments Union</w:t>
      </w:r>
    </w:p>
    <w:p w:rsidRPr="00C80D1B" w:rsidR="009B30AA" w:rsidP="0015678B" w:rsidRDefault="009B30AA" w14:paraId="5B3BE56D" w14:textId="77777777"/>
    <w:p w:rsidRPr="00C80D1B" w:rsidR="009B30AA" w:rsidP="0015678B" w:rsidRDefault="009B30AA" w14:paraId="5B3BE56E" w14:textId="77777777"/>
    <w:p w:rsidRPr="00C80D1B" w:rsidR="0048754F" w:rsidP="0015678B" w:rsidRDefault="00344BCC" w14:paraId="3C09B2EE" w14:textId="309EB3B1">
      <w:pPr>
        <w:jc w:val="center"/>
        <w:rPr>
          <w:b/>
          <w:bCs/>
          <w:sz w:val="28"/>
          <w:szCs w:val="28"/>
        </w:rPr>
      </w:pPr>
      <w:r w:rsidRPr="00C80D1B">
        <w:rPr>
          <w:b/>
          <w:bCs/>
          <w:sz w:val="28"/>
          <w:szCs w:val="28"/>
        </w:rPr>
        <w:t>OPINION</w:t>
      </w:r>
    </w:p>
    <w:p w:rsidRPr="00C80D1B" w:rsidR="0048754F" w:rsidP="0015678B" w:rsidRDefault="0048754F" w14:paraId="34368F6A" w14:textId="77777777">
      <w:pPr>
        <w:jc w:val="center"/>
      </w:pPr>
    </w:p>
    <w:p w:rsidRPr="00C80D1B" w:rsidR="0048754F" w:rsidP="0015678B" w:rsidRDefault="00C76AAA" w14:paraId="7D40B1DD" w14:textId="5D6E6BEF">
      <w:pPr>
        <w:jc w:val="center"/>
      </w:pPr>
      <w:r w:rsidRPr="00C80D1B">
        <w:t>Section for Economic and Monetary Union and Economic and Social Cohesion</w:t>
      </w:r>
    </w:p>
    <w:p w:rsidRPr="00C80D1B" w:rsidR="000D72FD" w:rsidP="0015678B" w:rsidRDefault="000D72FD" w14:paraId="702F9414" w14:textId="77777777">
      <w:pPr>
        <w:jc w:val="center"/>
      </w:pPr>
    </w:p>
    <w:p w:rsidR="00A26B9A" w:rsidP="00976DD6" w:rsidRDefault="001D0E32" w14:paraId="3995AAC4" w14:textId="66E9FCA3">
      <w:pPr>
        <w:jc w:val="center"/>
        <w:rPr>
          <w:b/>
          <w:bCs/>
        </w:rPr>
      </w:pPr>
      <w:r w:rsidRPr="00C80D1B">
        <w:rPr>
          <w:b/>
          <w:bCs/>
        </w:rPr>
        <w:t xml:space="preserve">Communication from the Commission to the European </w:t>
      </w:r>
      <w:r w:rsidRPr="00C80D1B" w:rsidR="00A332C9">
        <w:rPr>
          <w:b/>
          <w:bCs/>
        </w:rPr>
        <w:t>P</w:t>
      </w:r>
      <w:r w:rsidRPr="00C80D1B">
        <w:rPr>
          <w:b/>
          <w:bCs/>
        </w:rPr>
        <w:t xml:space="preserve">arliament, the European </w:t>
      </w:r>
      <w:r w:rsidRPr="00C80D1B" w:rsidR="00A332C9">
        <w:rPr>
          <w:b/>
          <w:bCs/>
        </w:rPr>
        <w:t>C</w:t>
      </w:r>
      <w:r w:rsidRPr="00C80D1B">
        <w:rPr>
          <w:b/>
          <w:bCs/>
        </w:rPr>
        <w:t xml:space="preserve">ouncil, the Council, the European </w:t>
      </w:r>
      <w:r w:rsidRPr="00C80D1B" w:rsidR="00A332C9">
        <w:rPr>
          <w:b/>
          <w:bCs/>
        </w:rPr>
        <w:t>C</w:t>
      </w:r>
      <w:r w:rsidRPr="00C80D1B">
        <w:rPr>
          <w:b/>
          <w:bCs/>
        </w:rPr>
        <w:t xml:space="preserve">entral </w:t>
      </w:r>
      <w:r w:rsidRPr="00C80D1B" w:rsidR="00A332C9">
        <w:rPr>
          <w:b/>
          <w:bCs/>
        </w:rPr>
        <w:t>B</w:t>
      </w:r>
      <w:r w:rsidRPr="00C80D1B">
        <w:rPr>
          <w:b/>
          <w:bCs/>
        </w:rPr>
        <w:t xml:space="preserve">ank, the European </w:t>
      </w:r>
      <w:r w:rsidRPr="00C80D1B" w:rsidR="00A332C9">
        <w:rPr>
          <w:b/>
          <w:bCs/>
        </w:rPr>
        <w:t>E</w:t>
      </w:r>
      <w:r w:rsidRPr="00C80D1B">
        <w:rPr>
          <w:b/>
          <w:bCs/>
        </w:rPr>
        <w:t xml:space="preserve">conomic and </w:t>
      </w:r>
      <w:r w:rsidR="00A26B9A">
        <w:rPr>
          <w:b/>
          <w:bCs/>
        </w:rPr>
        <w:t>S</w:t>
      </w:r>
      <w:r w:rsidRPr="00C80D1B" w:rsidR="00A26B9A">
        <w:rPr>
          <w:b/>
          <w:bCs/>
        </w:rPr>
        <w:t xml:space="preserve">ocial </w:t>
      </w:r>
      <w:r w:rsidRPr="00C80D1B" w:rsidR="00A332C9">
        <w:rPr>
          <w:b/>
          <w:bCs/>
        </w:rPr>
        <w:t>C</w:t>
      </w:r>
      <w:r w:rsidRPr="00C80D1B">
        <w:rPr>
          <w:b/>
          <w:bCs/>
        </w:rPr>
        <w:t xml:space="preserve">ommittee and the Committee of the </w:t>
      </w:r>
      <w:r w:rsidRPr="00C80D1B" w:rsidR="00A332C9">
        <w:rPr>
          <w:b/>
          <w:bCs/>
        </w:rPr>
        <w:t>R</w:t>
      </w:r>
      <w:r w:rsidRPr="00C80D1B">
        <w:rPr>
          <w:b/>
          <w:bCs/>
        </w:rPr>
        <w:t xml:space="preserve">egions </w:t>
      </w:r>
      <w:r w:rsidR="00A26B9A">
        <w:rPr>
          <w:b/>
          <w:bCs/>
        </w:rPr>
        <w:t>on a</w:t>
      </w:r>
      <w:r w:rsidR="0070132C">
        <w:rPr>
          <w:b/>
          <w:bCs/>
        </w:rPr>
        <w:t xml:space="preserve"> </w:t>
      </w:r>
      <w:r w:rsidRPr="00C80D1B">
        <w:rPr>
          <w:b/>
          <w:bCs/>
        </w:rPr>
        <w:t>Savings and Investments Union</w:t>
      </w:r>
    </w:p>
    <w:p w:rsidRPr="00C80D1B" w:rsidR="0063335E" w:rsidP="00976DD6" w:rsidRDefault="001D0E32" w14:paraId="2C9C725F" w14:textId="3167CE28">
      <w:pPr>
        <w:jc w:val="center"/>
        <w:rPr>
          <w:b/>
          <w:bCs/>
        </w:rPr>
      </w:pPr>
      <w:r w:rsidRPr="00C80D1B">
        <w:rPr>
          <w:b/>
          <w:bCs/>
        </w:rPr>
        <w:t>A Strategy to Foster Citizens</w:t>
      </w:r>
      <w:r w:rsidR="002B5AC2">
        <w:rPr>
          <w:b/>
          <w:bCs/>
        </w:rPr>
        <w:t>’</w:t>
      </w:r>
      <w:r w:rsidRPr="00C80D1B">
        <w:rPr>
          <w:b/>
          <w:bCs/>
        </w:rPr>
        <w:t xml:space="preserve"> Wealth and Economic Competitiveness in the </w:t>
      </w:r>
      <w:r w:rsidRPr="00C80D1B" w:rsidR="00A332C9">
        <w:rPr>
          <w:b/>
          <w:bCs/>
        </w:rPr>
        <w:t>EU</w:t>
      </w:r>
    </w:p>
    <w:p w:rsidRPr="00C80D1B" w:rsidR="00DD5640" w:rsidP="0015678B" w:rsidRDefault="00C356F7" w14:paraId="37AB4FE9" w14:textId="03690B6C">
      <w:pPr>
        <w:jc w:val="center"/>
      </w:pPr>
      <w:r w:rsidRPr="00C80D1B">
        <w:t>(</w:t>
      </w:r>
      <w:r w:rsidRPr="00C80D1B" w:rsidR="00EE655A">
        <w:t>COM(2025) 124 final</w:t>
      </w:r>
      <w:r w:rsidRPr="00C80D1B" w:rsidR="001D0E32">
        <w:t>)</w:t>
      </w:r>
    </w:p>
    <w:p w:rsidRPr="00C80D1B" w:rsidR="009B30AA" w:rsidP="0015678B" w:rsidRDefault="009B30AA" w14:paraId="5B3BE570" w14:textId="77777777">
      <w:pPr>
        <w:jc w:val="center"/>
        <w:rPr>
          <w:b/>
          <w:bCs/>
        </w:rP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Pr="00C80D1B" w:rsidR="00FF3759" w:rsidTr="03385EDC" w14:paraId="5B3BE57A" w14:textId="77777777">
        <w:tc>
          <w:tcPr>
            <w:tcW w:w="3085" w:type="dxa"/>
          </w:tcPr>
          <w:p w:rsidRPr="00C80D1B" w:rsidR="00FF3759" w:rsidP="03385EDC" w:rsidRDefault="03385EDC" w14:paraId="5B3BE578" w14:textId="77777777">
            <w:pPr>
              <w:jc w:val="left"/>
              <w:rPr>
                <w:lang w:eastAsia="en-GB" w:bidi="en-GB"/>
              </w:rPr>
            </w:pPr>
            <w:r w:rsidRPr="00C80D1B">
              <w:t>Contact</w:t>
            </w:r>
          </w:p>
        </w:tc>
        <w:tc>
          <w:tcPr>
            <w:tcW w:w="6204" w:type="dxa"/>
          </w:tcPr>
          <w:p w:rsidRPr="00C80D1B" w:rsidR="00111098" w:rsidP="0015678B" w:rsidRDefault="00322BEA" w14:paraId="5B3BE579" w14:textId="2E7837DE">
            <w:pPr>
              <w:jc w:val="left"/>
            </w:pPr>
            <w:hyperlink w:history="1" r:id="rId13">
              <w:r w:rsidRPr="00C80D1B" w:rsidR="00111098">
                <w:rPr>
                  <w:rStyle w:val="Hyperlink"/>
                </w:rPr>
                <w:t>eco@eesc.europa.eu</w:t>
              </w:r>
            </w:hyperlink>
          </w:p>
        </w:tc>
      </w:tr>
      <w:tr w:rsidRPr="00C80D1B" w:rsidR="00FF3759" w:rsidTr="03385EDC" w14:paraId="5B3BE57D" w14:textId="77777777">
        <w:tc>
          <w:tcPr>
            <w:tcW w:w="3085" w:type="dxa"/>
          </w:tcPr>
          <w:p w:rsidRPr="00C80D1B" w:rsidR="00FF3759" w:rsidP="0015678B" w:rsidRDefault="03385EDC" w14:paraId="5B3BE57B" w14:textId="77777777">
            <w:pPr>
              <w:jc w:val="left"/>
            </w:pPr>
            <w:r w:rsidRPr="00C80D1B">
              <w:t>Administrator</w:t>
            </w:r>
          </w:p>
        </w:tc>
        <w:tc>
          <w:tcPr>
            <w:tcW w:w="6204" w:type="dxa"/>
          </w:tcPr>
          <w:p w:rsidRPr="00C80D1B" w:rsidR="00FF3759" w:rsidP="0015678B" w:rsidRDefault="0092698C" w14:paraId="5B3BE57C" w14:textId="1855600E">
            <w:pPr>
              <w:jc w:val="left"/>
            </w:pPr>
            <w:r w:rsidRPr="00C80D1B">
              <w:t>Sergi</w:t>
            </w:r>
            <w:r w:rsidRPr="00C80D1B" w:rsidR="00721A34">
              <w:t>o L</w:t>
            </w:r>
            <w:r w:rsidRPr="00C80D1B" w:rsidR="0061204B">
              <w:t>ORENCIO MATALLANA</w:t>
            </w:r>
          </w:p>
        </w:tc>
      </w:tr>
      <w:tr w:rsidRPr="00C80D1B" w:rsidR="00FF3759" w:rsidTr="03385EDC" w14:paraId="5B3BE580" w14:textId="77777777">
        <w:tc>
          <w:tcPr>
            <w:tcW w:w="3085" w:type="dxa"/>
          </w:tcPr>
          <w:p w:rsidRPr="00C80D1B" w:rsidR="00FF3759" w:rsidP="0015678B" w:rsidRDefault="03385EDC" w14:paraId="5B3BE57E" w14:textId="77777777">
            <w:pPr>
              <w:jc w:val="left"/>
            </w:pPr>
            <w:r w:rsidRPr="00C80D1B">
              <w:t>Document date</w:t>
            </w:r>
          </w:p>
        </w:tc>
        <w:tc>
          <w:tcPr>
            <w:tcW w:w="6204" w:type="dxa"/>
          </w:tcPr>
          <w:p w:rsidRPr="00C80D1B" w:rsidR="00FF3759" w:rsidP="0015678B" w:rsidRDefault="008C0C49" w14:paraId="5B3BE57F" w14:textId="33F186CB">
            <w:pPr>
              <w:jc w:val="left"/>
            </w:pPr>
            <w:r>
              <w:t>8</w:t>
            </w:r>
            <w:r w:rsidRPr="00C80D1B" w:rsidR="00112FFA">
              <w:t>/</w:t>
            </w:r>
            <w:r w:rsidR="008C4583">
              <w:t>7</w:t>
            </w:r>
            <w:r w:rsidRPr="00C80D1B" w:rsidR="03385EDC">
              <w:t>/</w:t>
            </w:r>
            <w:r w:rsidRPr="00C80D1B" w:rsidR="00111098">
              <w:t>2025</w:t>
            </w:r>
          </w:p>
        </w:tc>
      </w:tr>
    </w:tbl>
    <w:p w:rsidRPr="00C80D1B" w:rsidR="00E32DC6" w:rsidP="001151D5" w:rsidRDefault="03385EDC" w14:paraId="5B3BE582" w14:textId="139F77BF">
      <w:pPr>
        <w:jc w:val="center"/>
        <w:rPr>
          <w:b/>
          <w:bCs/>
        </w:rPr>
      </w:pPr>
      <w:r w:rsidRPr="00C80D1B">
        <w:t>Rapporteur:</w:t>
      </w:r>
      <w:r w:rsidRPr="00C80D1B" w:rsidR="00C76AAA">
        <w:t xml:space="preserve"> </w:t>
      </w:r>
      <w:r w:rsidRPr="00C80D1B" w:rsidR="001147FD">
        <w:rPr>
          <w:b/>
          <w:bCs/>
        </w:rPr>
        <w:t>Petru S</w:t>
      </w:r>
      <w:r w:rsidRPr="00C80D1B" w:rsidR="00976DD6">
        <w:rPr>
          <w:b/>
          <w:bCs/>
        </w:rPr>
        <w:t>orin</w:t>
      </w:r>
      <w:r w:rsidRPr="00C80D1B" w:rsidR="001147FD">
        <w:rPr>
          <w:b/>
          <w:bCs/>
        </w:rPr>
        <w:t xml:space="preserve"> DANDEA</w:t>
      </w:r>
    </w:p>
    <w:p w:rsidRPr="00C80D1B" w:rsidR="00E32DC6" w:rsidP="0015678B" w:rsidRDefault="00E32DC6" w14:paraId="5B3BE583" w14:textId="77777777"/>
    <w:p w:rsidRPr="00C80D1B" w:rsidR="001151D5" w:rsidRDefault="001151D5" w14:paraId="5B3BE584" w14:textId="69B935C5">
      <w:pPr>
        <w:spacing w:line="240" w:lineRule="auto"/>
        <w:jc w:val="left"/>
      </w:pPr>
    </w:p>
    <w:p w:rsidRPr="00C80D1B" w:rsidR="00E32DC6" w:rsidP="0015678B" w:rsidRDefault="00E32DC6" w14:paraId="79A03185" w14:textId="77777777">
      <w:pPr>
        <w:sectPr w:rsidRPr="00C80D1B" w:rsidR="00E32DC6" w:rsidSect="00A4306C">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rsidRPr="00C80D1B" w:rsidR="0012220C" w:rsidP="0015678B" w:rsidRDefault="0012220C" w14:paraId="5B3BE5A3" w14:textId="77777777"/>
    <w:tbl>
      <w:tblPr>
        <w:tblW w:w="0" w:type="auto"/>
        <w:tblLook w:val="04A0" w:firstRow="1" w:lastRow="0" w:firstColumn="1" w:lastColumn="0" w:noHBand="0" w:noVBand="1"/>
      </w:tblPr>
      <w:tblGrid>
        <w:gridCol w:w="3055"/>
        <w:gridCol w:w="6018"/>
      </w:tblGrid>
      <w:tr w:rsidRPr="00C80D1B" w:rsidR="00DD5640" w:rsidTr="00C356F7" w14:paraId="24249E85" w14:textId="77777777">
        <w:trPr>
          <w:trHeight w:val="251"/>
        </w:trPr>
        <w:tc>
          <w:tcPr>
            <w:tcW w:w="3055" w:type="dxa"/>
          </w:tcPr>
          <w:p w:rsidRPr="00C80D1B" w:rsidR="00534171" w:rsidP="0015678B" w:rsidRDefault="00DD5640" w14:paraId="1225BDD1" w14:textId="4F872FB2">
            <w:pPr>
              <w:jc w:val="left"/>
            </w:pPr>
            <w:r w:rsidRPr="00C80D1B">
              <w:t>Advisor</w:t>
            </w:r>
          </w:p>
        </w:tc>
        <w:tc>
          <w:tcPr>
            <w:tcW w:w="6018" w:type="dxa"/>
          </w:tcPr>
          <w:p w:rsidRPr="00C80D1B" w:rsidR="0063335E" w:rsidP="00E64E71" w:rsidRDefault="00602DC7" w14:paraId="4CEFBCA3" w14:textId="103DAFFC">
            <w:pPr>
              <w:jc w:val="left"/>
            </w:pPr>
            <w:r w:rsidRPr="00C80D1B">
              <w:t>Christian</w:t>
            </w:r>
            <w:r w:rsidRPr="00C80D1B" w:rsidR="00BB2325">
              <w:t xml:space="preserve"> </w:t>
            </w:r>
            <w:r w:rsidRPr="00C80D1B" w:rsidR="00260250">
              <w:t xml:space="preserve">M. </w:t>
            </w:r>
            <w:r w:rsidRPr="00C80D1B">
              <w:t>STIEFMUELLER</w:t>
            </w:r>
            <w:r w:rsidRPr="00C80D1B" w:rsidR="00F82B29">
              <w:t xml:space="preserve"> (for the rapporteur)</w:t>
            </w:r>
          </w:p>
        </w:tc>
      </w:tr>
      <w:tr w:rsidRPr="00C80D1B" w:rsidR="0063335E" w:rsidTr="00C356F7" w14:paraId="35E60D09" w14:textId="77777777">
        <w:trPr>
          <w:trHeight w:val="251"/>
        </w:trPr>
        <w:tc>
          <w:tcPr>
            <w:tcW w:w="3055" w:type="dxa"/>
          </w:tcPr>
          <w:p w:rsidRPr="00C80D1B" w:rsidR="0063335E" w:rsidP="0063335E" w:rsidRDefault="0063335E" w14:paraId="2CCD6979" w14:textId="43591981">
            <w:pPr>
              <w:jc w:val="left"/>
            </w:pPr>
            <w:r w:rsidRPr="00C80D1B">
              <w:t>Referral</w:t>
            </w:r>
          </w:p>
        </w:tc>
        <w:tc>
          <w:tcPr>
            <w:tcW w:w="6018" w:type="dxa"/>
          </w:tcPr>
          <w:p w:rsidRPr="00C80D1B" w:rsidR="0063335E" w:rsidP="0063335E" w:rsidRDefault="0067641B" w14:paraId="5F5408E4" w14:textId="059B40F0">
            <w:pPr>
              <w:jc w:val="left"/>
            </w:pPr>
            <w:r w:rsidRPr="00C80D1B">
              <w:t>European Commission, 13</w:t>
            </w:r>
            <w:r w:rsidRPr="00C80D1B" w:rsidR="0063335E">
              <w:t>/</w:t>
            </w:r>
            <w:r w:rsidRPr="00C80D1B">
              <w:t>05</w:t>
            </w:r>
            <w:r w:rsidRPr="00C80D1B" w:rsidR="0063335E">
              <w:t>/</w:t>
            </w:r>
            <w:r w:rsidRPr="00C80D1B">
              <w:t>2025</w:t>
            </w:r>
          </w:p>
        </w:tc>
      </w:tr>
      <w:tr w:rsidRPr="00C80D1B" w:rsidR="0063335E" w:rsidTr="003B0C32" w14:paraId="5B3BE5AF" w14:textId="77777777">
        <w:tc>
          <w:tcPr>
            <w:tcW w:w="3055" w:type="dxa"/>
          </w:tcPr>
          <w:p w:rsidRPr="00C80D1B" w:rsidR="0063335E" w:rsidP="0063335E" w:rsidRDefault="0063335E" w14:paraId="5B3BE5AD" w14:textId="77777777">
            <w:pPr>
              <w:jc w:val="left"/>
            </w:pPr>
            <w:r w:rsidRPr="00C80D1B">
              <w:t>Legal basis</w:t>
            </w:r>
          </w:p>
        </w:tc>
        <w:tc>
          <w:tcPr>
            <w:tcW w:w="6018" w:type="dxa"/>
          </w:tcPr>
          <w:p w:rsidRPr="00C80D1B" w:rsidR="0063335E" w:rsidP="0063335E" w:rsidRDefault="0063335E" w14:paraId="5B3BE5AE" w14:textId="421EBF22">
            <w:pPr>
              <w:jc w:val="left"/>
            </w:pPr>
            <w:r w:rsidRPr="00C80D1B">
              <w:t>Article 304 of the Treaty on the Functioning of the European Union</w:t>
            </w:r>
          </w:p>
        </w:tc>
      </w:tr>
      <w:tr w:rsidRPr="00C80D1B" w:rsidR="0063335E" w:rsidTr="003B0C32" w14:paraId="5B3BE5C4" w14:textId="77777777">
        <w:tc>
          <w:tcPr>
            <w:tcW w:w="3055" w:type="dxa"/>
          </w:tcPr>
          <w:p w:rsidRPr="00C80D1B" w:rsidR="0063335E" w:rsidP="0063335E" w:rsidRDefault="0063335E" w14:paraId="5B3BE5C2" w14:textId="77777777">
            <w:pPr>
              <w:jc w:val="left"/>
            </w:pPr>
            <w:r w:rsidRPr="00C80D1B">
              <w:t>Section responsible</w:t>
            </w:r>
          </w:p>
        </w:tc>
        <w:tc>
          <w:tcPr>
            <w:tcW w:w="6018" w:type="dxa"/>
          </w:tcPr>
          <w:p w:rsidRPr="00C80D1B" w:rsidR="0063335E" w:rsidP="0063335E" w:rsidRDefault="0063335E" w14:paraId="5B3BE5C3" w14:textId="39B89C2C">
            <w:pPr>
              <w:jc w:val="left"/>
            </w:pPr>
            <w:r w:rsidRPr="00C80D1B">
              <w:t>Economic and Monetary Union and Economic and Social Cohesion</w:t>
            </w:r>
          </w:p>
        </w:tc>
      </w:tr>
      <w:tr w:rsidRPr="00C80D1B" w:rsidR="0063335E" w:rsidTr="003B0C32" w14:paraId="5B3BE5C7" w14:textId="77777777">
        <w:tc>
          <w:tcPr>
            <w:tcW w:w="3055" w:type="dxa"/>
          </w:tcPr>
          <w:p w:rsidRPr="00C80D1B" w:rsidR="0063335E" w:rsidP="0063335E" w:rsidRDefault="0063335E" w14:paraId="5B3BE5C5" w14:textId="6F862EC0">
            <w:pPr>
              <w:jc w:val="left"/>
            </w:pPr>
            <w:r w:rsidRPr="00C80D1B">
              <w:t>Adopted in section</w:t>
            </w:r>
          </w:p>
        </w:tc>
        <w:tc>
          <w:tcPr>
            <w:tcW w:w="6018" w:type="dxa"/>
          </w:tcPr>
          <w:p w:rsidRPr="00C80D1B" w:rsidR="0063335E" w:rsidP="0063335E" w:rsidRDefault="001431F1" w14:paraId="5B3BE5C6" w14:textId="5749675B">
            <w:pPr>
              <w:jc w:val="left"/>
            </w:pPr>
            <w:r>
              <w:t>4</w:t>
            </w:r>
            <w:r w:rsidRPr="00C80D1B" w:rsidR="0063335E">
              <w:t>/</w:t>
            </w:r>
            <w:r>
              <w:t>7</w:t>
            </w:r>
            <w:r w:rsidRPr="00C80D1B" w:rsidR="0063335E">
              <w:t>/2025</w:t>
            </w:r>
          </w:p>
        </w:tc>
      </w:tr>
      <w:tr w:rsidRPr="00C80D1B" w:rsidR="0063335E" w:rsidTr="003B0C32" w14:paraId="76673220" w14:textId="77777777">
        <w:tc>
          <w:tcPr>
            <w:tcW w:w="3055" w:type="dxa"/>
          </w:tcPr>
          <w:p w:rsidRPr="00C80D1B" w:rsidR="0063335E" w:rsidP="0063335E" w:rsidRDefault="0063335E" w14:paraId="3C0899C8" w14:textId="0995A3EA">
            <w:pPr>
              <w:jc w:val="left"/>
            </w:pPr>
            <w:r w:rsidRPr="00C80D1B">
              <w:t>Outcome of vote</w:t>
            </w:r>
            <w:r w:rsidRPr="00C80D1B">
              <w:br/>
              <w:t>(for/against/abstentions)</w:t>
            </w:r>
          </w:p>
        </w:tc>
        <w:tc>
          <w:tcPr>
            <w:tcW w:w="6018" w:type="dxa"/>
            <w:vAlign w:val="bottom"/>
          </w:tcPr>
          <w:p w:rsidRPr="00C80D1B" w:rsidR="0063335E" w:rsidP="0063335E" w:rsidRDefault="006E7C48" w14:paraId="31005FC7" w14:textId="360EFFF3">
            <w:pPr>
              <w:jc w:val="left"/>
            </w:pPr>
            <w:r>
              <w:t>45/0/1</w:t>
            </w:r>
          </w:p>
        </w:tc>
      </w:tr>
      <w:tr w:rsidRPr="00C80D1B" w:rsidR="0063335E" w:rsidTr="003B0C32" w14:paraId="5B3BE5CA" w14:textId="77777777">
        <w:tc>
          <w:tcPr>
            <w:tcW w:w="3055" w:type="dxa"/>
          </w:tcPr>
          <w:p w:rsidRPr="00C80D1B" w:rsidR="0063335E" w:rsidP="0063335E" w:rsidRDefault="0063335E" w14:paraId="5B3BE5C8" w14:textId="261924E9">
            <w:pPr>
              <w:jc w:val="left"/>
            </w:pPr>
            <w:r w:rsidRPr="00C80D1B">
              <w:t>Adopted at plenary session</w:t>
            </w:r>
          </w:p>
        </w:tc>
        <w:tc>
          <w:tcPr>
            <w:tcW w:w="6018" w:type="dxa"/>
          </w:tcPr>
          <w:p w:rsidRPr="00C80D1B" w:rsidR="0063335E" w:rsidP="0063335E" w:rsidRDefault="0063335E" w14:paraId="5B3BE5C9" w14:textId="540918AA">
            <w:pPr>
              <w:jc w:val="left"/>
            </w:pPr>
            <w:r w:rsidRPr="00C80D1B">
              <w:t>D/M/2025</w:t>
            </w:r>
          </w:p>
        </w:tc>
      </w:tr>
      <w:tr w:rsidRPr="00C80D1B" w:rsidR="0063335E" w:rsidTr="003B0C32" w14:paraId="5B3BE5CD" w14:textId="77777777">
        <w:tc>
          <w:tcPr>
            <w:tcW w:w="3055" w:type="dxa"/>
          </w:tcPr>
          <w:p w:rsidRPr="00C80D1B" w:rsidR="0063335E" w:rsidP="0063335E" w:rsidRDefault="0063335E" w14:paraId="5B3BE5CB" w14:textId="77777777">
            <w:pPr>
              <w:jc w:val="left"/>
            </w:pPr>
            <w:r w:rsidRPr="00C80D1B">
              <w:t>Plenary session No</w:t>
            </w:r>
          </w:p>
        </w:tc>
        <w:tc>
          <w:tcPr>
            <w:tcW w:w="6018" w:type="dxa"/>
          </w:tcPr>
          <w:p w:rsidRPr="00C80D1B" w:rsidR="0063335E" w:rsidP="0063335E" w:rsidRDefault="0063335E" w14:paraId="5B3BE5CC" w14:textId="77777777">
            <w:pPr>
              <w:jc w:val="left"/>
            </w:pPr>
            <w:r w:rsidRPr="00C80D1B">
              <w:t>…</w:t>
            </w:r>
          </w:p>
        </w:tc>
      </w:tr>
      <w:tr w:rsidRPr="00C80D1B" w:rsidR="0063335E" w:rsidTr="003B0C32" w14:paraId="5B3BE5D0" w14:textId="77777777">
        <w:tc>
          <w:tcPr>
            <w:tcW w:w="3055" w:type="dxa"/>
          </w:tcPr>
          <w:p w:rsidRPr="00C80D1B" w:rsidR="0063335E" w:rsidP="0063335E" w:rsidRDefault="0063335E" w14:paraId="5B3BE5CE" w14:textId="0ED6183D">
            <w:pPr>
              <w:jc w:val="left"/>
            </w:pPr>
            <w:r w:rsidRPr="00C80D1B">
              <w:t>Outcome of vote</w:t>
            </w:r>
            <w:r w:rsidRPr="00C80D1B">
              <w:br/>
              <w:t>(for/against/abstentions)</w:t>
            </w:r>
          </w:p>
        </w:tc>
        <w:tc>
          <w:tcPr>
            <w:tcW w:w="6018" w:type="dxa"/>
            <w:vAlign w:val="bottom"/>
          </w:tcPr>
          <w:p w:rsidRPr="00C80D1B" w:rsidR="0063335E" w:rsidP="0063335E" w:rsidRDefault="0063335E" w14:paraId="5B3BE5CF" w14:textId="77777777">
            <w:pPr>
              <w:jc w:val="left"/>
            </w:pPr>
            <w:r w:rsidRPr="00C80D1B">
              <w:t>…/…/…</w:t>
            </w:r>
          </w:p>
        </w:tc>
      </w:tr>
    </w:tbl>
    <w:p w:rsidRPr="00C80D1B" w:rsidR="00646AC2" w:rsidP="0015678B" w:rsidRDefault="00646AC2" w14:paraId="5B3BE5D2" w14:textId="77777777">
      <w:r w:rsidRPr="00C80D1B">
        <w:br w:type="page"/>
      </w:r>
    </w:p>
    <w:p w:rsidRPr="00C80D1B" w:rsidR="00011D33" w:rsidP="00713170" w:rsidRDefault="03385EDC" w14:paraId="5B3BE5D3" w14:textId="43074935">
      <w:pPr>
        <w:pStyle w:val="Heading1"/>
      </w:pPr>
      <w:r w:rsidRPr="00C80D1B">
        <w:t>Conclusions and recommendations</w:t>
      </w:r>
    </w:p>
    <w:p w:rsidRPr="00C80D1B" w:rsidR="00BB2325" w:rsidP="00BB2325" w:rsidRDefault="00BB2325" w14:paraId="0990423C" w14:textId="77777777"/>
    <w:p w:rsidRPr="00C80D1B" w:rsidR="006427AC" w:rsidP="006A6839" w:rsidRDefault="006427AC" w14:paraId="31D56A8F" w14:textId="5B89B574">
      <w:pPr>
        <w:pStyle w:val="Heading2"/>
      </w:pPr>
      <w:r w:rsidRPr="00C80D1B">
        <w:t>The EESC welcomes the Commission</w:t>
      </w:r>
      <w:r w:rsidR="00D55854">
        <w:t>’</w:t>
      </w:r>
      <w:r w:rsidRPr="00C80D1B">
        <w:t xml:space="preserve">s </w:t>
      </w:r>
      <w:r w:rsidR="00A26B9A">
        <w:t>C</w:t>
      </w:r>
      <w:r w:rsidRPr="00C80D1B">
        <w:t xml:space="preserve">ommunication on </w:t>
      </w:r>
      <w:r w:rsidR="00A26B9A">
        <w:t>a</w:t>
      </w:r>
      <w:r w:rsidRPr="00C80D1B">
        <w:t xml:space="preserve"> Savings and Investment Union</w:t>
      </w:r>
      <w:r w:rsidR="00764B85">
        <w:t xml:space="preserve"> (SIU)</w:t>
      </w:r>
      <w:r w:rsidRPr="00C80D1B">
        <w:t xml:space="preserve"> and believes that its completion could unlock a significant part of the untapped potential of the Single Market. The EESC notes that </w:t>
      </w:r>
      <w:r w:rsidR="00764B85">
        <w:t xml:space="preserve">previous </w:t>
      </w:r>
      <w:r w:rsidR="00987D28">
        <w:t>attempts</w:t>
      </w:r>
      <w:r w:rsidR="00CC4963">
        <w:t xml:space="preserve"> </w:t>
      </w:r>
      <w:r w:rsidR="00D55854">
        <w:t>to set up</w:t>
      </w:r>
      <w:r w:rsidR="00764B85">
        <w:t xml:space="preserve"> a </w:t>
      </w:r>
      <w:r w:rsidRPr="00C80D1B">
        <w:t xml:space="preserve">Capital Markets Union (CMU) have </w:t>
      </w:r>
      <w:r w:rsidRPr="00C80D1B" w:rsidR="00CC4963">
        <w:t xml:space="preserve">failed </w:t>
      </w:r>
      <w:r w:rsidRPr="00C80D1B">
        <w:t xml:space="preserve">to deliver satisfactory progress. </w:t>
      </w:r>
      <w:r w:rsidR="00764B85">
        <w:t>To be successful</w:t>
      </w:r>
      <w:r w:rsidR="00037E3E">
        <w:t xml:space="preserve">, the </w:t>
      </w:r>
      <w:r w:rsidRPr="00C80D1B" w:rsidR="0077657C">
        <w:t xml:space="preserve">SIU </w:t>
      </w:r>
      <w:r w:rsidRPr="00C80D1B">
        <w:t>must be designed with the clear objective</w:t>
      </w:r>
      <w:r w:rsidR="00764B85">
        <w:t>s</w:t>
      </w:r>
      <w:r w:rsidRPr="00C80D1B">
        <w:t xml:space="preserve"> of offering genuine, tangible benefits for </w:t>
      </w:r>
      <w:r w:rsidR="00764B85">
        <w:t xml:space="preserve">EU citizens </w:t>
      </w:r>
      <w:r w:rsidRPr="00C80D1B">
        <w:t xml:space="preserve">and businesses </w:t>
      </w:r>
      <w:r w:rsidR="00764B85">
        <w:t xml:space="preserve">and </w:t>
      </w:r>
      <w:r w:rsidRPr="00C80D1B">
        <w:t>funding the real economy</w:t>
      </w:r>
      <w:r w:rsidR="00764B85">
        <w:t xml:space="preserve">, </w:t>
      </w:r>
      <w:r w:rsidR="00E0749B">
        <w:t xml:space="preserve">as well as </w:t>
      </w:r>
      <w:r w:rsidR="00764B85">
        <w:t>promoting a fair transition, delivering a fair distribution of costs, returns and risks, and safeguarding financial market stability</w:t>
      </w:r>
      <w:r w:rsidRPr="00C80D1B">
        <w:t>.</w:t>
      </w:r>
    </w:p>
    <w:p w:rsidRPr="00C80D1B" w:rsidR="006427AC" w:rsidP="006427AC" w:rsidRDefault="006427AC" w14:paraId="6365B64E" w14:textId="77777777"/>
    <w:p w:rsidRPr="00C80D1B" w:rsidR="006427AC" w:rsidP="006A6839" w:rsidRDefault="006427AC" w14:paraId="500FBDAE" w14:textId="6B9FC8A9">
      <w:pPr>
        <w:pStyle w:val="Heading2"/>
      </w:pPr>
      <w:r w:rsidRPr="00C80D1B">
        <w:t>The EESC notes that fragmentation of the EU</w:t>
      </w:r>
      <w:r w:rsidR="002B5AC2">
        <w:t>’</w:t>
      </w:r>
      <w:r w:rsidR="008D2D19">
        <w:t>s</w:t>
      </w:r>
      <w:r w:rsidRPr="00C80D1B">
        <w:t xml:space="preserve"> capital markets is one of the key impediments to the efficient flow of capital within the Single Market. </w:t>
      </w:r>
      <w:r w:rsidR="008D2D19">
        <w:t>It</w:t>
      </w:r>
      <w:r w:rsidRPr="00C80D1B">
        <w:t xml:space="preserve"> welcomes the Commission</w:t>
      </w:r>
      <w:r w:rsidR="002B5AC2">
        <w:t>’</w:t>
      </w:r>
      <w:r w:rsidRPr="00C80D1B">
        <w:t xml:space="preserve">s suggestion </w:t>
      </w:r>
      <w:r w:rsidR="0077657C">
        <w:t>that the</w:t>
      </w:r>
      <w:r w:rsidRPr="00C80D1B">
        <w:t xml:space="preserve"> focus</w:t>
      </w:r>
      <w:r w:rsidR="0077657C">
        <w:t xml:space="preserve"> be</w:t>
      </w:r>
      <w:r w:rsidRPr="00C80D1B">
        <w:t xml:space="preserve"> on enhancing the interoperability, interconnection and efficiency of EU trading and post-trading infrastructure by leveraging state-of-the art technology. </w:t>
      </w:r>
      <w:r w:rsidR="008D2D19">
        <w:t xml:space="preserve">It </w:t>
      </w:r>
      <w:r w:rsidRPr="00C80D1B">
        <w:t xml:space="preserve">believes that integrated markets also require integrated supervision. Operators of major cross-border financial infrastructures in the EU should be placed under pan-European supervision by the European Securities and Markets Authority (ESMA), which should be </w:t>
      </w:r>
      <w:r w:rsidR="008D2D19">
        <w:t>equipped</w:t>
      </w:r>
      <w:r w:rsidRPr="00C80D1B">
        <w:t xml:space="preserve"> with adequate resources to fulfil this expanded </w:t>
      </w:r>
      <w:r w:rsidR="008D2D19">
        <w:t>role</w:t>
      </w:r>
      <w:r w:rsidRPr="00C80D1B">
        <w:t xml:space="preserve">. The EESC </w:t>
      </w:r>
      <w:r w:rsidR="004947B4">
        <w:t>proposes that</w:t>
      </w:r>
      <w:r w:rsidRPr="00C80D1B">
        <w:t xml:space="preserve"> the competencies and capacities of ESMA be </w:t>
      </w:r>
      <w:r w:rsidRPr="00C80D1B" w:rsidR="00C80D1B">
        <w:t>strengthened</w:t>
      </w:r>
      <w:r w:rsidRPr="00C80D1B">
        <w:t xml:space="preserve"> accordingly.</w:t>
      </w:r>
    </w:p>
    <w:p w:rsidRPr="00C80D1B" w:rsidR="006427AC" w:rsidP="006427AC" w:rsidRDefault="006427AC" w14:paraId="06EC92E8" w14:textId="77777777"/>
    <w:p w:rsidRPr="00C80D1B" w:rsidR="006427AC" w:rsidP="006A6839" w:rsidRDefault="0077657C" w14:paraId="3CCC87D4" w14:textId="458A68AE">
      <w:pPr>
        <w:pStyle w:val="Heading2"/>
      </w:pPr>
      <w:r>
        <w:t xml:space="preserve">The EESC suggests </w:t>
      </w:r>
      <w:r w:rsidRPr="00C80D1B" w:rsidR="006427AC">
        <w:t>that the EU</w:t>
      </w:r>
      <w:r w:rsidR="002B5AC2">
        <w:t>’</w:t>
      </w:r>
      <w:r w:rsidRPr="00C80D1B" w:rsidR="006427AC">
        <w:t>s efforts concentrate on the significant gap in equity funding</w:t>
      </w:r>
      <w:r w:rsidR="004947B4">
        <w:t>,</w:t>
      </w:r>
      <w:r w:rsidRPr="00C80D1B" w:rsidR="006427AC">
        <w:t xml:space="preserve"> which is depriving </w:t>
      </w:r>
      <w:r w:rsidRPr="00C80D1B" w:rsidR="008D2D19">
        <w:t xml:space="preserve">both </w:t>
      </w:r>
      <w:r w:rsidRPr="00C80D1B" w:rsidR="006427AC">
        <w:t>companies of risk-bearing long-term capital</w:t>
      </w:r>
      <w:r>
        <w:t>,</w:t>
      </w:r>
      <w:r w:rsidRPr="00C80D1B" w:rsidR="006427AC">
        <w:t xml:space="preserve"> and investors of opportunities to participate in value creation. Private companies, especially SME</w:t>
      </w:r>
      <w:r w:rsidR="004947B4">
        <w:t>s</w:t>
      </w:r>
      <w:r w:rsidRPr="00C80D1B" w:rsidR="006427AC">
        <w:t xml:space="preserve">, should be encouraged to diversify their sources of funding and adopt more resilient, less leveraged capital structures, which are </w:t>
      </w:r>
      <w:r w:rsidR="004947B4">
        <w:t>crucial for enabling</w:t>
      </w:r>
      <w:r w:rsidRPr="00C80D1B" w:rsidR="006427AC">
        <w:t xml:space="preserve"> risk-taking and innovation. Equity markets, both listed and unlisted, should be strengthened by further </w:t>
      </w:r>
      <w:r>
        <w:t>harmonisation</w:t>
      </w:r>
      <w:r w:rsidR="004947B4">
        <w:t xml:space="preserve"> of the</w:t>
      </w:r>
      <w:r w:rsidRPr="00C80D1B" w:rsidR="006427AC">
        <w:t xml:space="preserve"> relevant company, insolvency and tax laws</w:t>
      </w:r>
      <w:r w:rsidR="00764B85">
        <w:t xml:space="preserve"> at the highest possible </w:t>
      </w:r>
      <w:r w:rsidR="009D5D16">
        <w:t>level</w:t>
      </w:r>
      <w:r w:rsidRPr="00C80D1B" w:rsidR="006427AC">
        <w:t>.</w:t>
      </w:r>
    </w:p>
    <w:p w:rsidRPr="00C80D1B" w:rsidR="006427AC" w:rsidP="006427AC" w:rsidRDefault="006427AC" w14:paraId="0D8396AD" w14:textId="77777777"/>
    <w:p w:rsidRPr="00C80D1B" w:rsidR="006427AC" w:rsidP="006A6839" w:rsidRDefault="006427AC" w14:paraId="0C382957" w14:textId="6CD99A00">
      <w:pPr>
        <w:pStyle w:val="Heading2"/>
      </w:pPr>
      <w:r w:rsidRPr="00C80D1B">
        <w:t xml:space="preserve">The EU must make better use of its still formidable resources of talented and highly-skilled </w:t>
      </w:r>
      <w:r w:rsidR="0077657C">
        <w:t>citizens</w:t>
      </w:r>
      <w:r w:rsidRPr="00C80D1B">
        <w:t>, world-leading institutions in research and education, and dynamic, innovative companies</w:t>
      </w:r>
      <w:r w:rsidR="004947B4">
        <w:t xml:space="preserve">; it </w:t>
      </w:r>
      <w:r w:rsidR="002B5AC2">
        <w:t>needs</w:t>
      </w:r>
      <w:r w:rsidR="004947B4">
        <w:t xml:space="preserve"> to</w:t>
      </w:r>
      <w:r w:rsidRPr="00C80D1B">
        <w:t xml:space="preserve"> reverse the </w:t>
      </w:r>
      <w:r w:rsidR="002B5AC2">
        <w:t>‘</w:t>
      </w:r>
      <w:r w:rsidRPr="00C80D1B">
        <w:t>brain drain</w:t>
      </w:r>
      <w:r w:rsidR="002B5AC2">
        <w:t>’</w:t>
      </w:r>
      <w:r w:rsidRPr="00C80D1B">
        <w:t xml:space="preserve"> of highly-skilled, innovative researchers and entrepreneurs by offering compelling incentives for entrepreneurs and employees</w:t>
      </w:r>
      <w:r w:rsidR="002D2318">
        <w:t xml:space="preserve"> to stay and work in Europe</w:t>
      </w:r>
      <w:r w:rsidRPr="00C80D1B">
        <w:t xml:space="preserve">. </w:t>
      </w:r>
    </w:p>
    <w:p w:rsidRPr="00C80D1B" w:rsidR="006427AC" w:rsidP="006427AC" w:rsidRDefault="006427AC" w14:paraId="6196B4D0" w14:textId="77777777"/>
    <w:p w:rsidRPr="00C80D1B" w:rsidR="006427AC" w:rsidP="006A6839" w:rsidRDefault="006427AC" w14:paraId="6DA370F8" w14:textId="5BD03AE2">
      <w:pPr>
        <w:pStyle w:val="Heading2"/>
      </w:pPr>
      <w:r w:rsidRPr="00C80D1B">
        <w:t>The EESC believes that</w:t>
      </w:r>
      <w:r w:rsidR="00512D6E">
        <w:t xml:space="preserve"> it is of </w:t>
      </w:r>
      <w:r w:rsidR="00D55854">
        <w:t>the utmost</w:t>
      </w:r>
      <w:r w:rsidR="00512D6E">
        <w:t xml:space="preserve"> importance to offer a compelling proposition to encourage EU savers to become retail investors and actively participate in capital markets.</w:t>
      </w:r>
      <w:r w:rsidRPr="00C80D1B">
        <w:t xml:space="preserve"> </w:t>
      </w:r>
      <w:r w:rsidR="00512D6E">
        <w:t>T</w:t>
      </w:r>
      <w:r w:rsidRPr="00C80D1B">
        <w:t xml:space="preserve">he participation of retail investors in capital markets must be demand-driven. To this end, investors should have access to the widest possible range of safe, cost-effective, transparent and </w:t>
      </w:r>
      <w:r w:rsidR="004947B4">
        <w:t>well-performing</w:t>
      </w:r>
      <w:r w:rsidRPr="00C80D1B">
        <w:t xml:space="preserve"> investment options. An open, vibrant and competitive market for cross-border investment services, including affordable, high-quality investment advice, is a prerequisite. New instruments, such as a Savings and Investment Account, should be explored</w:t>
      </w:r>
      <w:r w:rsidR="0037099F">
        <w:t>; however they</w:t>
      </w:r>
      <w:r w:rsidRPr="00C80D1B">
        <w:t xml:space="preserve"> will not be taken up unless these preconditions are met.</w:t>
      </w:r>
    </w:p>
    <w:p w:rsidRPr="00C80D1B" w:rsidR="006427AC" w:rsidP="006427AC" w:rsidRDefault="006427AC" w14:paraId="3231B907" w14:textId="77777777"/>
    <w:p w:rsidRPr="00C80D1B" w:rsidR="006427AC" w:rsidP="006A6839" w:rsidRDefault="006427AC" w14:paraId="389420C7" w14:textId="04EA4E77">
      <w:pPr>
        <w:pStyle w:val="Heading2"/>
      </w:pPr>
      <w:r w:rsidRPr="00C80D1B">
        <w:t>The EESC is of the view that the success of the SIU requires clear and transparent key performance indicators (KPIs) and calls upon the Commission to define and publish a KPI dashboard to monitor progress in implementation of the SIU over time.</w:t>
      </w:r>
      <w:r w:rsidR="00821968">
        <w:t xml:space="preserve"> The EESC recommends setting an ambitious but realistic target date for completion of the SIU, against which progress can be measured.</w:t>
      </w:r>
    </w:p>
    <w:p w:rsidRPr="00C80D1B" w:rsidR="003A32E1" w:rsidP="00BB2325" w:rsidRDefault="003A32E1" w14:paraId="39857EB3" w14:textId="77777777"/>
    <w:p w:rsidRPr="00C80D1B" w:rsidR="00011D33" w:rsidP="00713170" w:rsidRDefault="03385EDC" w14:paraId="5B3BE5DB" w14:textId="65892142">
      <w:pPr>
        <w:pStyle w:val="Heading1"/>
      </w:pPr>
      <w:r w:rsidRPr="00C80D1B" w:rsidDel="00D43149">
        <w:t>General comments</w:t>
      </w:r>
    </w:p>
    <w:p w:rsidRPr="00C80D1B" w:rsidR="00BB2325" w:rsidDel="00D43149" w:rsidP="00BB2325" w:rsidRDefault="00BB2325" w14:paraId="58CDCB4C" w14:textId="77777777">
      <w:pPr>
        <w:keepNext/>
      </w:pPr>
    </w:p>
    <w:p w:rsidR="00764B85" w:rsidP="006A6839" w:rsidRDefault="00C54E08" w14:paraId="7C755930" w14:textId="0BFF1508">
      <w:pPr>
        <w:pStyle w:val="Heading2"/>
      </w:pPr>
      <w:r w:rsidRPr="00C80D1B">
        <w:t>The EESC welcomes the Commission</w:t>
      </w:r>
      <w:r w:rsidR="002B5AC2">
        <w:t>’</w:t>
      </w:r>
      <w:r w:rsidRPr="00C80D1B">
        <w:t xml:space="preserve">s </w:t>
      </w:r>
      <w:r w:rsidR="00A26B9A">
        <w:t>C</w:t>
      </w:r>
      <w:r w:rsidRPr="00C80D1B" w:rsidR="00A26B9A">
        <w:t xml:space="preserve">ommunication </w:t>
      </w:r>
      <w:r w:rsidRPr="00C80D1B">
        <w:t xml:space="preserve">on </w:t>
      </w:r>
      <w:r w:rsidRPr="00C80D1B" w:rsidR="00EA0009">
        <w:t xml:space="preserve">a </w:t>
      </w:r>
      <w:r w:rsidRPr="00C80D1B">
        <w:t>Savings and Investment Union</w:t>
      </w:r>
      <w:r w:rsidRPr="00C80D1B" w:rsidR="00EA0009">
        <w:t>,</w:t>
      </w:r>
      <w:r w:rsidRPr="00C80D1B">
        <w:t xml:space="preserve"> and believes that </w:t>
      </w:r>
      <w:r w:rsidRPr="00C80D1B" w:rsidR="006B6309">
        <w:t xml:space="preserve">completing </w:t>
      </w:r>
      <w:r w:rsidR="00A26B9A">
        <w:t>such a</w:t>
      </w:r>
      <w:r w:rsidRPr="00C80D1B" w:rsidR="00A26B9A">
        <w:t xml:space="preserve"> </w:t>
      </w:r>
      <w:r w:rsidR="002702E6">
        <w:t>union</w:t>
      </w:r>
      <w:r w:rsidRPr="00C80D1B" w:rsidR="002702E6">
        <w:t xml:space="preserve"> </w:t>
      </w:r>
      <w:r w:rsidRPr="00C80D1B" w:rsidR="006427AC">
        <w:t xml:space="preserve">could </w:t>
      </w:r>
      <w:r w:rsidRPr="00C80D1B">
        <w:t>unlock a significant part of the untapped potential of the Single Market.</w:t>
      </w:r>
      <w:r w:rsidRPr="00C80D1B" w:rsidR="00996096">
        <w:t xml:space="preserve"> Currently in Europe, over </w:t>
      </w:r>
      <w:r w:rsidRPr="00C80D1B" w:rsidR="00356C5A">
        <w:t xml:space="preserve">EUR </w:t>
      </w:r>
      <w:r w:rsidRPr="00C80D1B" w:rsidR="00996096">
        <w:t xml:space="preserve">10 trillion are </w:t>
      </w:r>
      <w:r w:rsidRPr="00C80D1B" w:rsidR="006B6309">
        <w:t xml:space="preserve">saved </w:t>
      </w:r>
      <w:r w:rsidRPr="00C80D1B" w:rsidR="00996096">
        <w:t>in bank deposits</w:t>
      </w:r>
      <w:r w:rsidR="007E135B">
        <w:rPr>
          <w:rStyle w:val="FootnoteReference"/>
        </w:rPr>
        <w:footnoteReference w:id="1"/>
      </w:r>
      <w:r w:rsidRPr="00C80D1B" w:rsidR="00996096">
        <w:t>.</w:t>
      </w:r>
      <w:r w:rsidR="00764B85">
        <w:t xml:space="preserve"> </w:t>
      </w:r>
      <w:r w:rsidRPr="00C80D1B" w:rsidR="00764B85">
        <w:t xml:space="preserve">The EESC notes that </w:t>
      </w:r>
      <w:r w:rsidR="00764B85">
        <w:t xml:space="preserve">previous </w:t>
      </w:r>
      <w:r w:rsidR="00987D28">
        <w:t>attempts</w:t>
      </w:r>
      <w:r w:rsidR="00764B85">
        <w:t xml:space="preserve"> to</w:t>
      </w:r>
      <w:r w:rsidR="002D6215">
        <w:t xml:space="preserve"> set up</w:t>
      </w:r>
      <w:r w:rsidR="00764B85">
        <w:t xml:space="preserve"> a </w:t>
      </w:r>
      <w:r w:rsidRPr="00C80D1B" w:rsidR="00764B85">
        <w:t>Capital Markets Union (CMU) have failed</w:t>
      </w:r>
      <w:r w:rsidR="00764B85">
        <w:t xml:space="preserve"> to</w:t>
      </w:r>
      <w:r w:rsidRPr="00C80D1B" w:rsidR="00764B85">
        <w:t xml:space="preserve"> deliver satisfactory progress. </w:t>
      </w:r>
      <w:r w:rsidR="00764B85">
        <w:t xml:space="preserve">To be successful this time, the </w:t>
      </w:r>
      <w:r w:rsidRPr="00C80D1B" w:rsidR="00764B85">
        <w:t>SIU must be designed with the clear objective</w:t>
      </w:r>
      <w:r w:rsidR="00764B85">
        <w:t>s</w:t>
      </w:r>
      <w:r w:rsidRPr="00C80D1B" w:rsidR="00764B85">
        <w:t xml:space="preserve"> of offering genuine, tangible benefits for </w:t>
      </w:r>
      <w:r w:rsidR="00764B85">
        <w:t xml:space="preserve">EU citizens </w:t>
      </w:r>
      <w:r w:rsidRPr="00C80D1B" w:rsidR="00764B85">
        <w:t>and businesses</w:t>
      </w:r>
      <w:r w:rsidRPr="002B5AC2" w:rsidR="00764B85">
        <w:t xml:space="preserve"> </w:t>
      </w:r>
      <w:r w:rsidR="00764B85">
        <w:t>in Europe</w:t>
      </w:r>
      <w:r w:rsidRPr="00C80D1B" w:rsidR="00764B85">
        <w:t xml:space="preserve">, </w:t>
      </w:r>
      <w:r w:rsidR="00764B85">
        <w:t xml:space="preserve">and </w:t>
      </w:r>
      <w:r w:rsidRPr="00C80D1B" w:rsidR="00764B85">
        <w:t>funding the real economy</w:t>
      </w:r>
      <w:r w:rsidR="00764B85">
        <w:t>, promoting a fair transition, delivering a fair distribution of costs, returns and risks, and safeguarding financial market stability.</w:t>
      </w:r>
    </w:p>
    <w:p w:rsidRPr="00764B85" w:rsidR="00764B85" w:rsidP="006A6839" w:rsidRDefault="00764B85" w14:paraId="6EBCF73C" w14:textId="77777777">
      <w:pPr>
        <w:pStyle w:val="Heading2"/>
        <w:numPr>
          <w:ilvl w:val="0"/>
          <w:numId w:val="0"/>
        </w:numPr>
        <w:ind w:left="567"/>
      </w:pPr>
    </w:p>
    <w:p w:rsidRPr="00C80D1B" w:rsidR="00356C5A" w:rsidP="006A6839" w:rsidRDefault="004A7FA0" w14:paraId="4E659E98" w14:textId="4BFF42F6">
      <w:pPr>
        <w:pStyle w:val="Heading2"/>
      </w:pPr>
      <w:r>
        <w:t>The EESC reiterates its view, expressed in several previous opinions</w:t>
      </w:r>
      <w:r>
        <w:rPr>
          <w:rStyle w:val="FootnoteReference"/>
        </w:rPr>
        <w:footnoteReference w:id="2"/>
      </w:r>
      <w:r>
        <w:t>, that d</w:t>
      </w:r>
      <w:r w:rsidRPr="00C80D1B" w:rsidR="006427AC">
        <w:t xml:space="preserve">eepening EU capital markets </w:t>
      </w:r>
      <w:r w:rsidRPr="00C80D1B" w:rsidR="00996096">
        <w:t xml:space="preserve">could </w:t>
      </w:r>
      <w:r w:rsidR="00851298">
        <w:t>help meet</w:t>
      </w:r>
      <w:r w:rsidRPr="00C80D1B" w:rsidR="006427AC">
        <w:t xml:space="preserve"> </w:t>
      </w:r>
      <w:r w:rsidRPr="00C80D1B" w:rsidR="00996096">
        <w:t>investment needs</w:t>
      </w:r>
      <w:r w:rsidRPr="00C80D1B" w:rsidR="00F9525D">
        <w:t xml:space="preserve"> </w:t>
      </w:r>
      <w:r w:rsidRPr="00C80D1B" w:rsidR="00996096">
        <w:t>for digital</w:t>
      </w:r>
      <w:r w:rsidRPr="00C80D1B" w:rsidR="006B6309">
        <w:t>is</w:t>
      </w:r>
      <w:r w:rsidRPr="00C80D1B" w:rsidR="00996096">
        <w:t xml:space="preserve">ation, greening and </w:t>
      </w:r>
      <w:r w:rsidRPr="00C80D1B" w:rsidR="000607D3">
        <w:t xml:space="preserve">defence </w:t>
      </w:r>
      <w:r w:rsidRPr="00C80D1B" w:rsidR="00996096">
        <w:t>policies.</w:t>
      </w:r>
      <w:r w:rsidRPr="00C80D1B" w:rsidR="00012D29">
        <w:t xml:space="preserve"> According to the Competitiveness Compass</w:t>
      </w:r>
      <w:r w:rsidR="007E135B">
        <w:rPr>
          <w:rStyle w:val="FootnoteReference"/>
        </w:rPr>
        <w:footnoteReference w:id="3"/>
      </w:r>
      <w:r w:rsidRPr="00C80D1B" w:rsidR="00012D29">
        <w:t xml:space="preserve">, the EU needs hundreds of billions of euros </w:t>
      </w:r>
      <w:r w:rsidR="00B3660D">
        <w:t>of</w:t>
      </w:r>
      <w:r w:rsidRPr="00C80D1B" w:rsidR="00B3660D">
        <w:t xml:space="preserve"> </w:t>
      </w:r>
      <w:r w:rsidRPr="00C80D1B" w:rsidR="006427AC">
        <w:t>additional</w:t>
      </w:r>
      <w:r w:rsidRPr="00C80D1B" w:rsidR="00EA0009">
        <w:t xml:space="preserve"> </w:t>
      </w:r>
      <w:r w:rsidRPr="00C80D1B" w:rsidR="00012D29">
        <w:t>investment</w:t>
      </w:r>
      <w:r w:rsidRPr="00C80D1B" w:rsidR="006B6309">
        <w:t xml:space="preserve"> </w:t>
      </w:r>
      <w:r w:rsidRPr="00C80D1B" w:rsidR="00870F78">
        <w:t>every year</w:t>
      </w:r>
      <w:r w:rsidRPr="00C80D1B" w:rsidR="00012D29">
        <w:t>.</w:t>
      </w:r>
      <w:r w:rsidRPr="00C80D1B" w:rsidR="007C48F3">
        <w:t xml:space="preserve"> </w:t>
      </w:r>
      <w:r w:rsidRPr="00C80D1B" w:rsidR="00356C5A">
        <w:t xml:space="preserve">The EESC points out, however, that these funds are </w:t>
      </w:r>
      <w:r w:rsidR="00987D28">
        <w:t>above</w:t>
      </w:r>
      <w:r w:rsidR="00374214">
        <w:t xml:space="preserve"> all</w:t>
      </w:r>
      <w:r w:rsidRPr="00C80D1B" w:rsidR="00374214">
        <w:t xml:space="preserve"> </w:t>
      </w:r>
      <w:r w:rsidR="00374214">
        <w:t>European citizen’s</w:t>
      </w:r>
      <w:r w:rsidRPr="00C80D1B" w:rsidR="00374214">
        <w:t xml:space="preserve"> </w:t>
      </w:r>
      <w:r w:rsidRPr="00C80D1B" w:rsidR="00356C5A">
        <w:t>savings</w:t>
      </w:r>
      <w:r w:rsidRPr="00C80D1B" w:rsidR="00870F78">
        <w:t>,</w:t>
      </w:r>
      <w:r w:rsidRPr="00C80D1B" w:rsidR="00356C5A">
        <w:t xml:space="preserve"> and due care must be applied to ensure that they are invested </w:t>
      </w:r>
      <w:r w:rsidRPr="00C80D1B" w:rsidR="002139D7">
        <w:t xml:space="preserve">(i) </w:t>
      </w:r>
      <w:r w:rsidRPr="00C80D1B" w:rsidR="00356C5A">
        <w:t>responsibly</w:t>
      </w:r>
      <w:r w:rsidRPr="00C80D1B" w:rsidR="002139D7">
        <w:t>,</w:t>
      </w:r>
      <w:r w:rsidRPr="00C80D1B" w:rsidR="00356C5A">
        <w:t xml:space="preserve"> in </w:t>
      </w:r>
      <w:r w:rsidRPr="00C80D1B" w:rsidR="002139D7">
        <w:t xml:space="preserve">keeping </w:t>
      </w:r>
      <w:r w:rsidRPr="00C80D1B" w:rsidR="00356C5A">
        <w:t xml:space="preserve">with </w:t>
      </w:r>
      <w:r w:rsidRPr="00C80D1B" w:rsidR="002139D7">
        <w:t>each</w:t>
      </w:r>
      <w:r w:rsidRPr="00C80D1B" w:rsidR="00356C5A">
        <w:t xml:space="preserve"> individual</w:t>
      </w:r>
      <w:r w:rsidR="002B5AC2">
        <w:t>’</w:t>
      </w:r>
      <w:r w:rsidRPr="00C80D1B" w:rsidR="002139D7">
        <w:t>s ab</w:t>
      </w:r>
      <w:r w:rsidRPr="00C80D1B" w:rsidR="00356C5A">
        <w:t xml:space="preserve">ility to </w:t>
      </w:r>
      <w:r w:rsidRPr="00C80D1B" w:rsidR="002139D7">
        <w:t xml:space="preserve">assess and </w:t>
      </w:r>
      <w:r w:rsidRPr="00C80D1B" w:rsidR="00356C5A">
        <w:t xml:space="preserve">bear </w:t>
      </w:r>
      <w:r w:rsidRPr="00C80D1B" w:rsidR="002139D7">
        <w:t xml:space="preserve">financial </w:t>
      </w:r>
      <w:r w:rsidRPr="00C80D1B" w:rsidR="00356C5A">
        <w:t>risk</w:t>
      </w:r>
      <w:r w:rsidRPr="00C80D1B" w:rsidR="006427AC">
        <w:t xml:space="preserve"> and accompanied by </w:t>
      </w:r>
      <w:r w:rsidR="00E17100">
        <w:t xml:space="preserve">measures on </w:t>
      </w:r>
      <w:r w:rsidRPr="00C80D1B" w:rsidR="006427AC">
        <w:t>financial literacy and education</w:t>
      </w:r>
      <w:r w:rsidR="00851298">
        <w:t xml:space="preserve"> </w:t>
      </w:r>
      <w:r w:rsidRPr="00C80D1B" w:rsidR="006427AC">
        <w:t>and adequate investor protection</w:t>
      </w:r>
      <w:r w:rsidRPr="00C80D1B" w:rsidR="00356C5A">
        <w:t xml:space="preserve">; </w:t>
      </w:r>
      <w:r w:rsidRPr="00C80D1B" w:rsidR="002139D7">
        <w:t xml:space="preserve">(ii) cost-effectively, with fair and transparent cost and performance metrics, while offering </w:t>
      </w:r>
      <w:r w:rsidRPr="00C80D1B" w:rsidR="00356C5A">
        <w:t>competitive return</w:t>
      </w:r>
      <w:r w:rsidRPr="00C80D1B" w:rsidR="006471A0">
        <w:t>s</w:t>
      </w:r>
      <w:r w:rsidRPr="00C80D1B" w:rsidR="00356C5A">
        <w:t>; (ii</w:t>
      </w:r>
      <w:r w:rsidRPr="00C80D1B" w:rsidR="002139D7">
        <w:t>i</w:t>
      </w:r>
      <w:r w:rsidRPr="00C80D1B" w:rsidR="00356C5A">
        <w:t>)</w:t>
      </w:r>
      <w:r w:rsidRPr="00C80D1B" w:rsidR="00185812">
        <w:t xml:space="preserve"> freely, by providing access to the widest possible range of cross-border investment options</w:t>
      </w:r>
      <w:r w:rsidR="00374214">
        <w:t xml:space="preserve">, </w:t>
      </w:r>
      <w:r w:rsidRPr="00374214" w:rsidR="00374214">
        <w:t>and (iv) in keeping with the general objectives of promoting a fair transition, delivering a fair distribution of costs, returns and risks, and safeguarding financial market stability</w:t>
      </w:r>
      <w:r w:rsidRPr="00C80D1B" w:rsidR="002139D7">
        <w:t>.</w:t>
      </w:r>
    </w:p>
    <w:p w:rsidRPr="00C80D1B" w:rsidR="003A32E1" w:rsidP="00BB2325" w:rsidRDefault="003A32E1" w14:paraId="2705264A" w14:textId="77777777"/>
    <w:p w:rsidRPr="00C80D1B" w:rsidR="00E522C1" w:rsidP="006A6839" w:rsidRDefault="00E522C1" w14:paraId="084BAFBF" w14:textId="048BF6DB">
      <w:pPr>
        <w:pStyle w:val="Heading2"/>
      </w:pPr>
      <w:r w:rsidRPr="00C80D1B">
        <w:t>The EESC notes that fragmentation of the EU</w:t>
      </w:r>
      <w:r w:rsidR="002B5AC2">
        <w:t>’</w:t>
      </w:r>
      <w:r w:rsidRPr="00C80D1B" w:rsidR="00EB3E53">
        <w:t>s</w:t>
      </w:r>
      <w:r w:rsidRPr="00C80D1B">
        <w:t xml:space="preserve"> capital markets is one of the key impediments to the efficient flow of capital in the Single Market. </w:t>
      </w:r>
      <w:r w:rsidRPr="00C80D1B" w:rsidR="00EB3E53">
        <w:t>It</w:t>
      </w:r>
      <w:r w:rsidRPr="00C80D1B">
        <w:t xml:space="preserve"> welcomes the Commission</w:t>
      </w:r>
      <w:r w:rsidR="002B5AC2">
        <w:t>’</w:t>
      </w:r>
      <w:r w:rsidRPr="00C80D1B">
        <w:t xml:space="preserve">s suggestion </w:t>
      </w:r>
      <w:r w:rsidRPr="00C80D1B" w:rsidR="00EB3E53">
        <w:t xml:space="preserve">that there be a </w:t>
      </w:r>
      <w:r w:rsidRPr="00C80D1B">
        <w:t>focus on enhancing the interoperability, interconnection and efficiency of EU trading and post-trading infrastructures by leveraging state-of-the art technology</w:t>
      </w:r>
      <w:r w:rsidR="007E135B">
        <w:rPr>
          <w:rStyle w:val="FootnoteReference"/>
        </w:rPr>
        <w:footnoteReference w:id="4"/>
      </w:r>
      <w:r w:rsidRPr="00C80D1B">
        <w:t>.</w:t>
      </w:r>
      <w:r w:rsidRPr="00C80D1B" w:rsidR="00185812">
        <w:t xml:space="preserve"> The EESC notes that the adoption of pan-European technology platforms</w:t>
      </w:r>
      <w:r w:rsidRPr="00C80D1B" w:rsidR="002E1AF1">
        <w:t>, such as Target2 Securities (T2S) or</w:t>
      </w:r>
      <w:r w:rsidR="00BB60EC">
        <w:t xml:space="preserve"> the</w:t>
      </w:r>
      <w:r w:rsidRPr="00C80D1B" w:rsidR="002E1AF1">
        <w:t xml:space="preserve"> </w:t>
      </w:r>
      <w:r w:rsidRPr="00374214" w:rsidR="00374214">
        <w:t xml:space="preserve">Smart </w:t>
      </w:r>
      <w:r w:rsidR="00BB60EC">
        <w:t>M</w:t>
      </w:r>
      <w:r w:rsidRPr="00374214" w:rsidR="00374214">
        <w:t xml:space="preserve">iddleware </w:t>
      </w:r>
      <w:r w:rsidR="00BB60EC">
        <w:t>P</w:t>
      </w:r>
      <w:r w:rsidRPr="00374214" w:rsidR="00374214">
        <w:t xml:space="preserve">latform </w:t>
      </w:r>
      <w:r w:rsidR="00374214">
        <w:t>(</w:t>
      </w:r>
      <w:r w:rsidRPr="00C80D1B" w:rsidR="002E1AF1">
        <w:t>SIMPL</w:t>
      </w:r>
      <w:r w:rsidR="00374214">
        <w:t>)</w:t>
      </w:r>
      <w:r w:rsidRPr="00C80D1B" w:rsidR="002E1AF1">
        <w:t>,</w:t>
      </w:r>
      <w:r w:rsidRPr="00C80D1B" w:rsidR="00185812">
        <w:t xml:space="preserve"> should be encouraged</w:t>
      </w:r>
      <w:r w:rsidRPr="00C80D1B" w:rsidR="00EB3E53">
        <w:t xml:space="preserve"> in order</w:t>
      </w:r>
      <w:r w:rsidRPr="00C80D1B" w:rsidR="00185812">
        <w:t xml:space="preserve"> to </w:t>
      </w:r>
      <w:r w:rsidRPr="00C80D1B" w:rsidR="002E1AF1">
        <w:t xml:space="preserve">facilitate the formation of </w:t>
      </w:r>
      <w:r w:rsidRPr="00C80D1B" w:rsidR="00185812">
        <w:t>federated structures</w:t>
      </w:r>
      <w:r w:rsidRPr="00C80D1B" w:rsidR="00EB3E53">
        <w:t xml:space="preserve"> that </w:t>
      </w:r>
      <w:r w:rsidRPr="00C80D1B" w:rsidR="00185812">
        <w:t>enable operators of financial infrastructures to cooperate across borders.</w:t>
      </w:r>
      <w:r w:rsidRPr="00374214" w:rsidR="00374214">
        <w:t xml:space="preserve"> </w:t>
      </w:r>
      <w:r w:rsidR="00374214">
        <w:t>The EESC refers to its previous opinion</w:t>
      </w:r>
      <w:r w:rsidR="00374214">
        <w:rPr>
          <w:rStyle w:val="FootnoteReference"/>
        </w:rPr>
        <w:footnoteReference w:id="5"/>
      </w:r>
      <w:r w:rsidR="00374214">
        <w:t xml:space="preserve"> and reiterates its recommendation to further expand T2S to become a fully-fledged, pan-European Central Securities Depository (CSD).</w:t>
      </w:r>
    </w:p>
    <w:p w:rsidRPr="00C80D1B" w:rsidR="003A32E1" w:rsidP="003A32E1" w:rsidRDefault="003A32E1" w14:paraId="14013B06" w14:textId="77777777"/>
    <w:p w:rsidRPr="00C80D1B" w:rsidR="003A2E76" w:rsidP="006A6839" w:rsidRDefault="003A2E76" w14:paraId="34E3B3E6" w14:textId="313931DB">
      <w:pPr>
        <w:pStyle w:val="Heading2"/>
      </w:pPr>
      <w:r w:rsidRPr="00C80D1B">
        <w:t>The EESC agrees that the integration of capital market</w:t>
      </w:r>
      <w:r w:rsidRPr="00C80D1B" w:rsidR="00AE1BBD">
        <w:t>s</w:t>
      </w:r>
      <w:r w:rsidRPr="00C80D1B">
        <w:t xml:space="preserve"> </w:t>
      </w:r>
      <w:r w:rsidRPr="00C80D1B" w:rsidR="00EB3E53">
        <w:t xml:space="preserve">supervision </w:t>
      </w:r>
      <w:r w:rsidRPr="00C80D1B">
        <w:t>at European</w:t>
      </w:r>
      <w:r w:rsidRPr="00C80D1B" w:rsidR="00EB3E53">
        <w:t xml:space="preserve"> </w:t>
      </w:r>
      <w:r w:rsidRPr="00C80D1B">
        <w:t xml:space="preserve">level is a key element of the SIU. The supervision of operators of market infrastructures with significant cross-border activities, such as central securities depositories and central counterparties, should be gradually transferred to </w:t>
      </w:r>
      <w:r w:rsidRPr="00C80D1B" w:rsidR="006958F1">
        <w:t>ESMA</w:t>
      </w:r>
      <w:r w:rsidRPr="00C80D1B">
        <w:t xml:space="preserve">. The ability of ESMA to take over this task in full or in part </w:t>
      </w:r>
      <w:r w:rsidRPr="00C80D1B" w:rsidR="00EB3E53">
        <w:t xml:space="preserve">will </w:t>
      </w:r>
      <w:r w:rsidRPr="00C80D1B">
        <w:t xml:space="preserve">only be possible </w:t>
      </w:r>
      <w:r w:rsidRPr="00C80D1B" w:rsidR="00EB3E53">
        <w:t>if it is allocated</w:t>
      </w:r>
      <w:r w:rsidRPr="00C80D1B">
        <w:t xml:space="preserve"> the necessary financial and human resources. Reforms in ESMA governance and its relationship with </w:t>
      </w:r>
      <w:r w:rsidRPr="00C80D1B" w:rsidR="00EB3E53">
        <w:t xml:space="preserve">competent </w:t>
      </w:r>
      <w:r w:rsidRPr="00C80D1B">
        <w:t>national authorities should be undertaken in order to prepare</w:t>
      </w:r>
      <w:r w:rsidRPr="00C80D1B" w:rsidR="00EB3E53">
        <w:t xml:space="preserve"> for</w:t>
      </w:r>
      <w:r w:rsidRPr="00C80D1B">
        <w:t xml:space="preserve"> a potential further step in supervisory integration once </w:t>
      </w:r>
      <w:r w:rsidRPr="00C80D1B" w:rsidR="00EB3E53">
        <w:t xml:space="preserve">the right </w:t>
      </w:r>
      <w:r w:rsidRPr="00C80D1B">
        <w:t xml:space="preserve">conditions </w:t>
      </w:r>
      <w:r w:rsidRPr="00C80D1B" w:rsidR="00EB3E53">
        <w:t xml:space="preserve">have been </w:t>
      </w:r>
      <w:r w:rsidRPr="00C80D1B">
        <w:t>met.</w:t>
      </w:r>
    </w:p>
    <w:p w:rsidRPr="00C80D1B" w:rsidR="003A32E1" w:rsidP="003A32E1" w:rsidRDefault="003A32E1" w14:paraId="2D74C809" w14:textId="77777777"/>
    <w:p w:rsidRPr="009D5D16" w:rsidR="002E1AF1" w:rsidP="006A6839" w:rsidRDefault="002E1AF1" w14:paraId="30996E3E" w14:textId="37ED39AE">
      <w:pPr>
        <w:pStyle w:val="Heading2"/>
      </w:pPr>
      <w:r w:rsidRPr="00C80D1B">
        <w:t>The EESC suggests that the EU</w:t>
      </w:r>
      <w:r w:rsidR="002B5AC2">
        <w:t>’</w:t>
      </w:r>
      <w:r w:rsidRPr="00C80D1B">
        <w:t>s efforts concentrate on the significant gap in equity funding</w:t>
      </w:r>
      <w:r w:rsidRPr="00C80D1B" w:rsidR="00687C73">
        <w:t>,</w:t>
      </w:r>
      <w:r w:rsidRPr="00C80D1B">
        <w:t xml:space="preserve"> which is depriving </w:t>
      </w:r>
      <w:r w:rsidRPr="00C80D1B" w:rsidR="00687C73">
        <w:t xml:space="preserve">both </w:t>
      </w:r>
      <w:r w:rsidRPr="00C80D1B">
        <w:t xml:space="preserve">companies of risk-bearing long-term capital and investors of opportunities to participate in value creation. To be successful, measures must address deficiencies on </w:t>
      </w:r>
      <w:r w:rsidRPr="00C80D1B" w:rsidR="00687C73">
        <w:t xml:space="preserve">both </w:t>
      </w:r>
      <w:r w:rsidR="00BB60EC">
        <w:t xml:space="preserve">the </w:t>
      </w:r>
      <w:r w:rsidRPr="00C80D1B">
        <w:t xml:space="preserve">supply and </w:t>
      </w:r>
      <w:r w:rsidR="00BB60EC">
        <w:t xml:space="preserve">the </w:t>
      </w:r>
      <w:r w:rsidRPr="00C80D1B">
        <w:t>demand side</w:t>
      </w:r>
      <w:r w:rsidR="00AD55AC">
        <w:t>s</w:t>
      </w:r>
      <w:r w:rsidRPr="00C80D1B">
        <w:t>. On the supply side,</w:t>
      </w:r>
      <w:r w:rsidR="00487184">
        <w:t xml:space="preserve"> issuance and cross-border access to Member</w:t>
      </w:r>
      <w:r w:rsidR="00BB60EC">
        <w:t xml:space="preserve"> </w:t>
      </w:r>
      <w:r w:rsidR="00487184">
        <w:t>State capital markets must become less burdensome and more fluid, and</w:t>
      </w:r>
      <w:r w:rsidRPr="00C80D1B">
        <w:t xml:space="preserve"> EU companies</w:t>
      </w:r>
      <w:r w:rsidR="002B5AC2">
        <w:t>’</w:t>
      </w:r>
      <w:r w:rsidRPr="00C80D1B">
        <w:t xml:space="preserve"> </w:t>
      </w:r>
      <w:r w:rsidRPr="00C80D1B" w:rsidR="00687C73">
        <w:t xml:space="preserve">equity instruments </w:t>
      </w:r>
      <w:r w:rsidRPr="00C80D1B">
        <w:t xml:space="preserve">must become freely tradeable across </w:t>
      </w:r>
      <w:r w:rsidRPr="00C80D1B" w:rsidR="00687C73">
        <w:t>Member S</w:t>
      </w:r>
      <w:r w:rsidRPr="00C80D1B">
        <w:t>tate</w:t>
      </w:r>
      <w:r w:rsidRPr="00C80D1B" w:rsidR="00687C73">
        <w:t>s</w:t>
      </w:r>
      <w:r w:rsidR="002B5AC2">
        <w:t>’</w:t>
      </w:r>
      <w:r w:rsidRPr="00C80D1B">
        <w:t xml:space="preserve"> borders. Further harmonisation of company, insolvency and tax law </w:t>
      </w:r>
      <w:r w:rsidR="00487184">
        <w:t>may be needed</w:t>
      </w:r>
      <w:r w:rsidR="00D770D2">
        <w:t>,</w:t>
      </w:r>
      <w:r w:rsidRPr="00D770D2" w:rsidR="00A90E16">
        <w:t xml:space="preserve"> as well as further harmonisation of financial reporting rules for statutory reporting, that should be promoted across Member States through the introduction of International Financial Reporting Standards. These harmonisations</w:t>
      </w:r>
      <w:r w:rsidR="00487184">
        <w:t xml:space="preserve"> should be done at the highest possible </w:t>
      </w:r>
      <w:r w:rsidR="009D5D16">
        <w:t>level</w:t>
      </w:r>
      <w:r w:rsidR="00487184">
        <w:t>,</w:t>
      </w:r>
      <w:r w:rsidR="00764B85">
        <w:t xml:space="preserve"> </w:t>
      </w:r>
      <w:r w:rsidR="00487184">
        <w:t xml:space="preserve">but must </w:t>
      </w:r>
      <w:r w:rsidR="00BB60EC">
        <w:t>be agreed</w:t>
      </w:r>
      <w:r w:rsidR="00487184">
        <w:t xml:space="preserve"> in a transparent</w:t>
      </w:r>
      <w:r w:rsidR="00BB60EC">
        <w:t xml:space="preserve">, </w:t>
      </w:r>
      <w:r w:rsidR="00487184">
        <w:t xml:space="preserve">democratically accountable manner, in </w:t>
      </w:r>
      <w:r w:rsidR="00987D28">
        <w:t>view</w:t>
      </w:r>
      <w:r w:rsidR="00487184">
        <w:t xml:space="preserve"> of its economically and socially sensitive nature</w:t>
      </w:r>
      <w:r w:rsidR="00764B85">
        <w:t>.</w:t>
      </w:r>
      <w:r w:rsidRPr="00C80D1B">
        <w:t xml:space="preserve"> On the demand side, E</w:t>
      </w:r>
      <w:r w:rsidRPr="00C80D1B" w:rsidR="00687C73">
        <w:t xml:space="preserve">uropeans </w:t>
      </w:r>
      <w:r w:rsidRPr="00C80D1B">
        <w:t xml:space="preserve">and </w:t>
      </w:r>
      <w:r w:rsidRPr="00C80D1B" w:rsidR="00687C73">
        <w:t xml:space="preserve">their </w:t>
      </w:r>
      <w:r w:rsidRPr="00C80D1B">
        <w:t xml:space="preserve">households should have access to a wider array of </w:t>
      </w:r>
      <w:r w:rsidR="00A273FE">
        <w:t>well</w:t>
      </w:r>
      <w:r w:rsidR="000949B3">
        <w:t>-</w:t>
      </w:r>
      <w:r w:rsidR="00A273FE">
        <w:t>regulated</w:t>
      </w:r>
      <w:r w:rsidRPr="00C80D1B">
        <w:t>, cost-effective</w:t>
      </w:r>
      <w:r w:rsidR="00A273FE">
        <w:t>,</w:t>
      </w:r>
      <w:r w:rsidRPr="00C80D1B">
        <w:t xml:space="preserve"> </w:t>
      </w:r>
      <w:r w:rsidR="00A273FE">
        <w:t xml:space="preserve">transparent </w:t>
      </w:r>
      <w:r w:rsidRPr="00C80D1B">
        <w:t xml:space="preserve">and </w:t>
      </w:r>
      <w:r w:rsidR="00BF2DD3">
        <w:t>well-</w:t>
      </w:r>
      <w:r w:rsidR="00BB60EC">
        <w:t>performing</w:t>
      </w:r>
      <w:r w:rsidR="00A273FE">
        <w:t xml:space="preserve"> </w:t>
      </w:r>
      <w:r w:rsidRPr="00C80D1B">
        <w:t xml:space="preserve">investment products offering investment choices on a pan-European basis. </w:t>
      </w:r>
      <w:r w:rsidRPr="009D5D16">
        <w:t>Dedicated instruments, such as a Savings and Investment Account, should be explored</w:t>
      </w:r>
      <w:r w:rsidRPr="009D5D16" w:rsidR="00687C73">
        <w:t>,</w:t>
      </w:r>
      <w:r w:rsidRPr="009D5D16">
        <w:t xml:space="preserve"> but not </w:t>
      </w:r>
      <w:r w:rsidRPr="009D5D16" w:rsidR="00222B52">
        <w:t>introduced</w:t>
      </w:r>
      <w:r w:rsidRPr="009D5D16">
        <w:t xml:space="preserve"> unless </w:t>
      </w:r>
      <w:r w:rsidRPr="009D5D16" w:rsidR="00687C73">
        <w:t>the afore-</w:t>
      </w:r>
      <w:r w:rsidRPr="009D5D16" w:rsidR="00A915E4">
        <w:t>mentioned</w:t>
      </w:r>
      <w:r w:rsidRPr="009D5D16" w:rsidR="00687C73">
        <w:t xml:space="preserve"> </w:t>
      </w:r>
      <w:r w:rsidRPr="009D5D16">
        <w:t>preconditions are met.</w:t>
      </w:r>
    </w:p>
    <w:p w:rsidRPr="009D5D16" w:rsidR="00EA0009" w:rsidP="00EA0009" w:rsidRDefault="00EA0009" w14:paraId="6EADF5DC" w14:textId="77777777"/>
    <w:p w:rsidRPr="00C80D1B" w:rsidR="00356C5A" w:rsidP="006A6839" w:rsidRDefault="00487704" w14:paraId="2A7FD305" w14:textId="464B7C25">
      <w:pPr>
        <w:pStyle w:val="Heading2"/>
      </w:pPr>
      <w:r w:rsidRPr="009D5D16">
        <w:t xml:space="preserve">Without an adequate level of financial literacy, </w:t>
      </w:r>
      <w:r w:rsidRPr="009D5D16" w:rsidR="002F7D71">
        <w:t>retail investors could be exposed to significant losses if they suddenly start</w:t>
      </w:r>
      <w:r w:rsidR="00BB60EC">
        <w:t>ed</w:t>
      </w:r>
      <w:r w:rsidRPr="009D5D16" w:rsidR="002F7D71">
        <w:t xml:space="preserve"> </w:t>
      </w:r>
      <w:r w:rsidRPr="009D5D16">
        <w:t xml:space="preserve">investing </w:t>
      </w:r>
      <w:r w:rsidRPr="009D5D16" w:rsidR="00851722">
        <w:t xml:space="preserve">directly in capital </w:t>
      </w:r>
      <w:r w:rsidRPr="009D5D16" w:rsidR="00987D28">
        <w:t>markets The</w:t>
      </w:r>
      <w:r w:rsidRPr="009D5D16" w:rsidR="00AD55AC">
        <w:t xml:space="preserve"> f</w:t>
      </w:r>
      <w:r w:rsidRPr="009D5D16" w:rsidR="006427AC">
        <w:t>inancial</w:t>
      </w:r>
      <w:r w:rsidRPr="00C80D1B" w:rsidR="006427AC">
        <w:t xml:space="preserve"> literacy of retail investors must </w:t>
      </w:r>
      <w:r w:rsidR="00AD55AC">
        <w:t xml:space="preserve">therefore </w:t>
      </w:r>
      <w:r w:rsidRPr="00C80D1B" w:rsidR="006427AC">
        <w:t xml:space="preserve">be </w:t>
      </w:r>
      <w:r w:rsidRPr="00C80D1B" w:rsidR="00AD55AC">
        <w:t xml:space="preserve">further </w:t>
      </w:r>
      <w:r w:rsidRPr="00C80D1B" w:rsidR="006427AC">
        <w:t xml:space="preserve">improved, </w:t>
      </w:r>
      <w:r w:rsidR="00AD55AC">
        <w:t>for example by</w:t>
      </w:r>
      <w:r w:rsidRPr="00C80D1B" w:rsidR="006427AC">
        <w:t xml:space="preserve"> using national and EU funds. Statutory information on financial products, such as prospectuses and key information documents (KIDs), must provide comprehensive information</w:t>
      </w:r>
      <w:r w:rsidR="00AD55AC">
        <w:t xml:space="preserve"> –</w:t>
      </w:r>
      <w:r w:rsidRPr="00C80D1B" w:rsidR="006427AC">
        <w:t xml:space="preserve"> including information about </w:t>
      </w:r>
      <w:r w:rsidR="00AD55AC">
        <w:t>people</w:t>
      </w:r>
      <w:r w:rsidR="002B5AC2">
        <w:t>’</w:t>
      </w:r>
      <w:r w:rsidR="00AD55AC">
        <w:t>s</w:t>
      </w:r>
      <w:r w:rsidRPr="00C80D1B" w:rsidR="006427AC">
        <w:t xml:space="preserve"> rights as investors and consumers</w:t>
      </w:r>
      <w:r w:rsidR="00AD55AC">
        <w:t xml:space="preserve"> –</w:t>
      </w:r>
      <w:r w:rsidRPr="00C80D1B" w:rsidR="006427AC">
        <w:t xml:space="preserve"> in an accessible</w:t>
      </w:r>
      <w:r w:rsidR="00BB20A1">
        <w:t>,</w:t>
      </w:r>
      <w:r w:rsidRPr="00C80D1B" w:rsidR="006427AC">
        <w:t xml:space="preserve"> </w:t>
      </w:r>
      <w:r w:rsidRPr="00C80D1B" w:rsidR="00C80D1B">
        <w:t>user</w:t>
      </w:r>
      <w:r w:rsidRPr="00C80D1B" w:rsidR="006427AC">
        <w:t xml:space="preserve">-friendly format. </w:t>
      </w:r>
      <w:r w:rsidRPr="00C80D1B" w:rsidR="00356C5A">
        <w:t>The strategy should focus on increasing retail investors</w:t>
      </w:r>
      <w:r w:rsidR="002B5AC2">
        <w:t>’</w:t>
      </w:r>
      <w:r w:rsidRPr="00C80D1B" w:rsidR="00356C5A">
        <w:t xml:space="preserve"> knowledge of the</w:t>
      </w:r>
      <w:r w:rsidRPr="00C80D1B" w:rsidR="002F7D71">
        <w:t xml:space="preserve"> different</w:t>
      </w:r>
      <w:r w:rsidRPr="00C80D1B" w:rsidR="00356C5A">
        <w:t xml:space="preserve"> risk classes</w:t>
      </w:r>
      <w:r w:rsidRPr="00C80D1B" w:rsidR="002F7D71">
        <w:t>,</w:t>
      </w:r>
      <w:r w:rsidRPr="00C80D1B" w:rsidR="00356C5A">
        <w:t xml:space="preserve"> different financial instruments and</w:t>
      </w:r>
      <w:r w:rsidRPr="00C80D1B" w:rsidR="0006145E">
        <w:t xml:space="preserve"> </w:t>
      </w:r>
      <w:r w:rsidRPr="00C80D1B" w:rsidR="00356C5A">
        <w:t>prudent investment practices.</w:t>
      </w:r>
      <w:r w:rsidR="00E67F5E">
        <w:t xml:space="preserve"> The EESC notes, however, that financial literacy should not be regarded as a substitute for maintaining strong legal protection for savers, retail investors and consumers in general.</w:t>
      </w:r>
    </w:p>
    <w:p w:rsidRPr="00C80D1B" w:rsidR="006427AC" w:rsidP="006427AC" w:rsidRDefault="006427AC" w14:paraId="6A42BDFD" w14:textId="1D7F7EE2"/>
    <w:p w:rsidRPr="00C80D1B" w:rsidR="006427AC" w:rsidP="006A6839" w:rsidRDefault="006427AC" w14:paraId="3F337420" w14:textId="1B1F3898">
      <w:pPr>
        <w:pStyle w:val="Heading2"/>
      </w:pPr>
      <w:r w:rsidRPr="00C80D1B">
        <w:t xml:space="preserve">Particular attention must be </w:t>
      </w:r>
      <w:r w:rsidR="00E92CD9">
        <w:t>paid</w:t>
      </w:r>
      <w:r w:rsidRPr="00C80D1B">
        <w:t xml:space="preserve"> to </w:t>
      </w:r>
      <w:r w:rsidR="00582D0B">
        <w:t>young people,</w:t>
      </w:r>
      <w:r w:rsidR="00F8142A">
        <w:t xml:space="preserve"> </w:t>
      </w:r>
      <w:r w:rsidR="00AD55AC">
        <w:t>to</w:t>
      </w:r>
      <w:r w:rsidRPr="00C80D1B">
        <w:t xml:space="preserve"> develop </w:t>
      </w:r>
      <w:r w:rsidR="00AD55AC">
        <w:t xml:space="preserve">sound </w:t>
      </w:r>
      <w:r w:rsidRPr="00C80D1B">
        <w:t>financial decision-making</w:t>
      </w:r>
      <w:r w:rsidR="00AD55AC">
        <w:t xml:space="preserve"> capabilities</w:t>
      </w:r>
      <w:r w:rsidRPr="00C80D1B">
        <w:t xml:space="preserve"> early</w:t>
      </w:r>
      <w:r w:rsidR="00582D0B">
        <w:t xml:space="preserve"> on</w:t>
      </w:r>
      <w:r w:rsidRPr="00C80D1B">
        <w:t xml:space="preserve"> in life</w:t>
      </w:r>
      <w:r w:rsidR="00F8142A">
        <w:t xml:space="preserve"> and </w:t>
      </w:r>
      <w:r w:rsidRPr="00C80D1B">
        <w:t>prevent</w:t>
      </w:r>
      <w:r w:rsidR="00AD55AC">
        <w:t xml:space="preserve"> </w:t>
      </w:r>
      <w:r w:rsidRPr="00C80D1B">
        <w:t>over-indebtedness, promot</w:t>
      </w:r>
      <w:r w:rsidR="00F8142A">
        <w:t>e</w:t>
      </w:r>
      <w:r w:rsidRPr="00C80D1B">
        <w:t xml:space="preserve"> responsible financial planning for long-term financial well-being and ensur</w:t>
      </w:r>
      <w:r w:rsidR="00F8142A">
        <w:t>e</w:t>
      </w:r>
      <w:r w:rsidR="00AD55AC">
        <w:t xml:space="preserve"> </w:t>
      </w:r>
      <w:r w:rsidR="0077372C">
        <w:t xml:space="preserve">quality </w:t>
      </w:r>
      <w:r w:rsidRPr="00C80D1B">
        <w:t xml:space="preserve">financial education in line with </w:t>
      </w:r>
      <w:r w:rsidR="00582D0B">
        <w:t>young people’s</w:t>
      </w:r>
      <w:r w:rsidR="00F8142A">
        <w:t xml:space="preserve"> </w:t>
      </w:r>
      <w:r w:rsidRPr="00C80D1B">
        <w:t>unique position in investment ecosystems. Young investors are especially willing to engage in new financial opportunities</w:t>
      </w:r>
      <w:r w:rsidR="0077372C">
        <w:t>,</w:t>
      </w:r>
      <w:r w:rsidRPr="00C80D1B">
        <w:t xml:space="preserve"> but </w:t>
      </w:r>
      <w:r w:rsidR="000949B3">
        <w:t xml:space="preserve">they </w:t>
      </w:r>
      <w:r w:rsidRPr="00C80D1B">
        <w:t xml:space="preserve">are also vulnerable and disproportionately exposed to financial misinformation and high-risk products. To protect them, the EU should ensure robust consumer protection, including platform-level safeguards, educational onboarding for first-time investors, and limitations on the promotion of speculative financial instruments. Given </w:t>
      </w:r>
      <w:r w:rsidR="00F8142A">
        <w:t>the</w:t>
      </w:r>
      <w:r w:rsidRPr="00C80D1B" w:rsidR="0077372C">
        <w:t xml:space="preserve"> </w:t>
      </w:r>
      <w:r w:rsidRPr="00C80D1B">
        <w:t>strong interest</w:t>
      </w:r>
      <w:r w:rsidR="0077372C">
        <w:t xml:space="preserve"> </w:t>
      </w:r>
      <w:r w:rsidR="00F8142A">
        <w:t xml:space="preserve">of </w:t>
      </w:r>
      <w:r w:rsidR="00582D0B">
        <w:t xml:space="preserve">young </w:t>
      </w:r>
      <w:r w:rsidR="00F8142A">
        <w:t>European</w:t>
      </w:r>
      <w:r w:rsidR="00582D0B">
        <w:t xml:space="preserve">s </w:t>
      </w:r>
      <w:r w:rsidRPr="00C80D1B">
        <w:t>in social and sustainable investment, these priorities should be more prominently reflected in the Commission</w:t>
      </w:r>
      <w:r w:rsidR="002B5AC2">
        <w:t>’</w:t>
      </w:r>
      <w:r w:rsidRPr="00C80D1B">
        <w:t xml:space="preserve">s proposals. Moreover, EU-wide data collection on </w:t>
      </w:r>
      <w:r w:rsidR="00AD55AC">
        <w:t>young people</w:t>
      </w:r>
      <w:r w:rsidR="002B5AC2">
        <w:t>’</w:t>
      </w:r>
      <w:r w:rsidR="00E92CD9">
        <w:t>s</w:t>
      </w:r>
      <w:r w:rsidRPr="00C80D1B">
        <w:t xml:space="preserve"> saving and investment behaviour is essential to ensure future evidence-based regulation and a meaningful response to young </w:t>
      </w:r>
      <w:r w:rsidR="00582D0B">
        <w:t>people’s</w:t>
      </w:r>
      <w:r w:rsidRPr="00C80D1B" w:rsidR="00F8142A">
        <w:t xml:space="preserve"> </w:t>
      </w:r>
      <w:r w:rsidRPr="00C80D1B">
        <w:t>needs.</w:t>
      </w:r>
    </w:p>
    <w:p w:rsidRPr="00C80D1B" w:rsidR="003A32E1" w:rsidP="003A32E1" w:rsidRDefault="003A32E1" w14:paraId="2BF8A81F" w14:textId="77777777"/>
    <w:p w:rsidRPr="00C80D1B" w:rsidR="00C54E08" w:rsidP="006A6839" w:rsidRDefault="00C54E08" w14:paraId="5E45BB1E" w14:textId="77D7E08C">
      <w:pPr>
        <w:pStyle w:val="Heading2"/>
      </w:pPr>
      <w:r w:rsidRPr="00C80D1B">
        <w:t xml:space="preserve">The </w:t>
      </w:r>
      <w:r w:rsidRPr="009D5D16">
        <w:t>EESC believes that institutional investors</w:t>
      </w:r>
      <w:r w:rsidRPr="009D5D16" w:rsidR="00A110B7">
        <w:t xml:space="preserve">, especially </w:t>
      </w:r>
      <w:r w:rsidRPr="009D5D16" w:rsidR="00AB73CC">
        <w:t xml:space="preserve">asset managers, </w:t>
      </w:r>
      <w:r w:rsidRPr="009D5D16" w:rsidR="00A110B7">
        <w:t xml:space="preserve">insurers and pension funds, </w:t>
      </w:r>
      <w:r w:rsidRPr="009D5D16" w:rsidR="006471A0">
        <w:t xml:space="preserve">will continue to play an essential role in channelling funds from households </w:t>
      </w:r>
      <w:r w:rsidRPr="009D5D16" w:rsidR="00487704">
        <w:t xml:space="preserve">to </w:t>
      </w:r>
      <w:r w:rsidRPr="009D5D16" w:rsidR="006471A0">
        <w:t xml:space="preserve">the capital markets. </w:t>
      </w:r>
      <w:r w:rsidRPr="009D5D16" w:rsidR="00AB73CC">
        <w:t xml:space="preserve">By virtue of their economies of scale, institutional investors are able to </w:t>
      </w:r>
      <w:r w:rsidRPr="009D5D16" w:rsidR="003B5DCA">
        <w:t>invest</w:t>
      </w:r>
      <w:r w:rsidRPr="009D5D16" w:rsidR="000E23D1">
        <w:t xml:space="preserve"> in</w:t>
      </w:r>
      <w:r w:rsidRPr="009D5D16" w:rsidR="003B5DCA">
        <w:t xml:space="preserve"> a </w:t>
      </w:r>
      <w:r w:rsidRPr="009D5D16" w:rsidR="00AB73CC">
        <w:t xml:space="preserve">wider range of </w:t>
      </w:r>
      <w:r w:rsidRPr="009D5D16" w:rsidR="00A110B7">
        <w:t>capital market</w:t>
      </w:r>
      <w:r w:rsidRPr="009D5D16" w:rsidR="00AB73CC">
        <w:t>s and instruments, thus offering investors a degree of diversification.</w:t>
      </w:r>
      <w:r w:rsidRPr="009D5D16" w:rsidR="00A110B7">
        <w:t xml:space="preserve"> </w:t>
      </w:r>
      <w:r w:rsidRPr="009D5D16" w:rsidR="00AB73CC">
        <w:t xml:space="preserve">Properly regulated and supervised, institutional investors should also provide </w:t>
      </w:r>
      <w:r w:rsidRPr="009D5D16" w:rsidR="000E23D1">
        <w:t>the</w:t>
      </w:r>
      <w:r w:rsidRPr="009D5D16" w:rsidR="00AB73CC">
        <w:t xml:space="preserve"> </w:t>
      </w:r>
      <w:r w:rsidRPr="009D5D16" w:rsidR="00A110B7">
        <w:t xml:space="preserve">level of protection </w:t>
      </w:r>
      <w:r w:rsidRPr="009D5D16" w:rsidR="000E23D1">
        <w:t xml:space="preserve">needed </w:t>
      </w:r>
      <w:r w:rsidRPr="009D5D16" w:rsidR="00A110B7">
        <w:t>for the participants they represent.</w:t>
      </w:r>
      <w:r w:rsidRPr="009D5D16" w:rsidR="00AB73CC">
        <w:t xml:space="preserve"> The EESC notes, however, that high fees, </w:t>
      </w:r>
      <w:r w:rsidRPr="009D5D16" w:rsidR="00621A04">
        <w:t>inadequate product</w:t>
      </w:r>
      <w:r w:rsidRPr="009D5D16" w:rsidR="002723C8">
        <w:t xml:space="preserve"> </w:t>
      </w:r>
      <w:r w:rsidRPr="009D5D16" w:rsidR="003151BB">
        <w:t>information</w:t>
      </w:r>
      <w:r w:rsidRPr="009D5D16" w:rsidR="00AB73CC">
        <w:t xml:space="preserve"> and </w:t>
      </w:r>
      <w:r w:rsidRPr="009D5D16" w:rsidR="00621A04">
        <w:t>disappointing</w:t>
      </w:r>
      <w:r w:rsidR="00582D0B">
        <w:t xml:space="preserve"> </w:t>
      </w:r>
      <w:r w:rsidRPr="009D5D16" w:rsidR="00AB73CC">
        <w:t>investment performance have often discouraged retail investors from investing in capital markets</w:t>
      </w:r>
      <w:r w:rsidRPr="009D5D16" w:rsidR="002E1AF1">
        <w:t>.</w:t>
      </w:r>
      <w:r w:rsidRPr="009D5D16" w:rsidR="00AB73CC">
        <w:t xml:space="preserve"> </w:t>
      </w:r>
      <w:r w:rsidRPr="009D5D16" w:rsidR="002E1AF1">
        <w:t>The EESC therefore supports the</w:t>
      </w:r>
      <w:r w:rsidRPr="009D5D16" w:rsidR="00DC164A">
        <w:t xml:space="preserve"> </w:t>
      </w:r>
      <w:r w:rsidRPr="009D5D16" w:rsidR="002E1AF1">
        <w:t xml:space="preserve">call </w:t>
      </w:r>
      <w:r w:rsidRPr="009D5D16" w:rsidR="002723C8">
        <w:t xml:space="preserve">made by </w:t>
      </w:r>
      <w:r w:rsidRPr="009D5D16" w:rsidR="002E1AF1">
        <w:t>the Joint</w:t>
      </w:r>
      <w:r w:rsidRPr="00C80D1B" w:rsidR="002E1AF1">
        <w:t xml:space="preserve"> Committee of the </w:t>
      </w:r>
      <w:r w:rsidRPr="00C80D1B" w:rsidR="002723C8">
        <w:t>European Supervisory Authorities (</w:t>
      </w:r>
      <w:r w:rsidRPr="00C80D1B" w:rsidR="002E1AF1">
        <w:t>ESAs</w:t>
      </w:r>
      <w:r w:rsidRPr="00C80D1B" w:rsidR="002723C8">
        <w:t>)</w:t>
      </w:r>
      <w:r w:rsidRPr="00C80D1B" w:rsidR="002E1AF1">
        <w:rPr>
          <w:rStyle w:val="FootnoteReference"/>
        </w:rPr>
        <w:footnoteReference w:id="6"/>
      </w:r>
      <w:r w:rsidRPr="00C80D1B" w:rsidR="002E1AF1">
        <w:t xml:space="preserve"> </w:t>
      </w:r>
      <w:r w:rsidRPr="00C80D1B" w:rsidR="00FC7558">
        <w:t>fo</w:t>
      </w:r>
      <w:r w:rsidRPr="00C80D1B" w:rsidR="002E1AF1">
        <w:t xml:space="preserve">r a review </w:t>
      </w:r>
      <w:r w:rsidRPr="00C80D1B" w:rsidR="002723C8">
        <w:t xml:space="preserve">of </w:t>
      </w:r>
      <w:r w:rsidRPr="00C80D1B" w:rsidR="002E1AF1">
        <w:t>the regulatory framework for these products</w:t>
      </w:r>
      <w:r w:rsidRPr="00C80D1B" w:rsidR="002723C8">
        <w:t>, for efforts to secure more</w:t>
      </w:r>
      <w:r w:rsidRPr="00C80D1B" w:rsidR="002E1AF1">
        <w:t xml:space="preserve"> transparency </w:t>
      </w:r>
      <w:r w:rsidRPr="00C80D1B" w:rsidR="006427AC">
        <w:t xml:space="preserve">and safety </w:t>
      </w:r>
      <w:r w:rsidRPr="00C80D1B" w:rsidR="002E1AF1">
        <w:t xml:space="preserve">for investors, and </w:t>
      </w:r>
      <w:r w:rsidRPr="00C80D1B" w:rsidR="002723C8">
        <w:t xml:space="preserve">for </w:t>
      </w:r>
      <w:r w:rsidRPr="00C80D1B" w:rsidR="002E1AF1">
        <w:t xml:space="preserve">greater harmonisation of </w:t>
      </w:r>
      <w:r w:rsidRPr="00C80D1B" w:rsidR="002723C8">
        <w:t xml:space="preserve">the </w:t>
      </w:r>
      <w:r w:rsidRPr="00C80D1B" w:rsidR="002E1AF1">
        <w:t>rules on product distribution.</w:t>
      </w:r>
    </w:p>
    <w:p w:rsidRPr="00C80D1B" w:rsidR="003A32E1" w:rsidP="003A32E1" w:rsidRDefault="003A32E1" w14:paraId="7168E233" w14:textId="77777777"/>
    <w:p w:rsidRPr="00C80D1B" w:rsidR="00C54E08" w:rsidP="006A6839" w:rsidRDefault="00C54E08" w14:paraId="0ACD52E2" w14:textId="3D8F26EA">
      <w:pPr>
        <w:pStyle w:val="Heading2"/>
      </w:pPr>
      <w:r w:rsidRPr="00C80D1B">
        <w:t>The EESC agrees with the Commission</w:t>
      </w:r>
      <w:r w:rsidR="002B5AC2">
        <w:t>’</w:t>
      </w:r>
      <w:r w:rsidRPr="00C80D1B">
        <w:t>s proposal that preferential tax treatment be applied to retail investors</w:t>
      </w:r>
      <w:r w:rsidRPr="00C80D1B" w:rsidR="00421A5A">
        <w:t>,</w:t>
      </w:r>
      <w:r w:rsidRPr="00C80D1B">
        <w:t xml:space="preserve"> but draws attention to the fact that the measure would be difficult to implement due to the very different tax systems within the EU.</w:t>
      </w:r>
      <w:r w:rsidRPr="00C80D1B" w:rsidR="00FA2D04">
        <w:t xml:space="preserve"> The EU tax system is fragmented and </w:t>
      </w:r>
      <w:r w:rsidRPr="00C80D1B" w:rsidR="00421A5A">
        <w:t xml:space="preserve">is </w:t>
      </w:r>
      <w:r w:rsidRPr="00C80D1B" w:rsidR="00FA2D04">
        <w:t xml:space="preserve">regulated, especially </w:t>
      </w:r>
      <w:r w:rsidRPr="00C80D1B" w:rsidR="00421A5A">
        <w:t>for</w:t>
      </w:r>
      <w:r w:rsidRPr="00C80D1B" w:rsidR="00FA2D04">
        <w:t xml:space="preserve"> direct taxes, at national level. </w:t>
      </w:r>
      <w:r w:rsidRPr="00C80D1B" w:rsidR="00DC164A">
        <w:t>The viability and acceptance of harmonised measures could be explored in a</w:t>
      </w:r>
      <w:r w:rsidR="008903B0">
        <w:t xml:space="preserve"> narrow</w:t>
      </w:r>
      <w:r w:rsidRPr="00C80D1B" w:rsidR="00453933">
        <w:t xml:space="preserve">, </w:t>
      </w:r>
      <w:r w:rsidRPr="00C80D1B" w:rsidR="00421A5A">
        <w:t xml:space="preserve">targeted </w:t>
      </w:r>
      <w:r w:rsidRPr="00C80D1B" w:rsidR="00DC164A">
        <w:t>way.</w:t>
      </w:r>
      <w:r w:rsidR="00B651CD">
        <w:t xml:space="preserve"> T</w:t>
      </w:r>
      <w:r w:rsidRPr="00524192" w:rsidR="00B651CD">
        <w:t xml:space="preserve">he EESC welcomes the Finance Europe initiative, launched by six </w:t>
      </w:r>
      <w:r w:rsidR="00B651CD">
        <w:t>M</w:t>
      </w:r>
      <w:r w:rsidRPr="00524192" w:rsidR="00B651CD">
        <w:t xml:space="preserve">ember </w:t>
      </w:r>
      <w:r w:rsidR="00B651CD">
        <w:t>S</w:t>
      </w:r>
      <w:r w:rsidRPr="00524192" w:rsidR="00B651CD">
        <w:t>tate</w:t>
      </w:r>
      <w:r w:rsidR="00B651CD">
        <w:t>s</w:t>
      </w:r>
      <w:r w:rsidRPr="00524192" w:rsidR="00B651CD">
        <w:t xml:space="preserve"> </w:t>
      </w:r>
      <w:r w:rsidR="00B651CD">
        <w:t>i</w:t>
      </w:r>
      <w:r w:rsidRPr="00524192" w:rsidR="00B651CD">
        <w:t xml:space="preserve">n June </w:t>
      </w:r>
      <w:r w:rsidR="00B651CD">
        <w:t>202</w:t>
      </w:r>
      <w:r w:rsidRPr="00524192" w:rsidR="00B651CD">
        <w:t>5,</w:t>
      </w:r>
      <w:r w:rsidR="00B651CD">
        <w:t xml:space="preserve"> </w:t>
      </w:r>
      <w:r w:rsidRPr="00524192" w:rsidR="00B651CD">
        <w:t>to promote European investment through a pan-European savings product label. This effort aims to enhance integration within the EU</w:t>
      </w:r>
      <w:r w:rsidR="00932123">
        <w:t>’</w:t>
      </w:r>
      <w:r w:rsidRPr="00524192" w:rsidR="00B651CD">
        <w:t>s fragmented financial markets and support</w:t>
      </w:r>
      <w:r w:rsidR="00B651CD">
        <w:t>s</w:t>
      </w:r>
      <w:r w:rsidRPr="00524192" w:rsidR="00B651CD">
        <w:t xml:space="preserve"> the long-standing goal of creating a </w:t>
      </w:r>
      <w:r w:rsidR="00487704">
        <w:t>SIU</w:t>
      </w:r>
      <w:r w:rsidR="00B651CD">
        <w:t>.</w:t>
      </w:r>
    </w:p>
    <w:p w:rsidRPr="00C80D1B" w:rsidR="003A32E1" w:rsidP="003A32E1" w:rsidRDefault="003A32E1" w14:paraId="0AC7F31A" w14:textId="77777777"/>
    <w:p w:rsidRPr="00C80D1B" w:rsidR="005F6A48" w:rsidP="006A6839" w:rsidRDefault="006427AC" w14:paraId="3C745271" w14:textId="6D478D82">
      <w:pPr>
        <w:pStyle w:val="Heading2"/>
      </w:pPr>
      <w:r w:rsidRPr="00C80D1B">
        <w:t>T</w:t>
      </w:r>
      <w:r w:rsidRPr="00C80D1B" w:rsidR="00C54E08">
        <w:t xml:space="preserve">he EESC agrees with the </w:t>
      </w:r>
      <w:r w:rsidRPr="00C80D1B">
        <w:t xml:space="preserve">objective of promoting the </w:t>
      </w:r>
      <w:r w:rsidRPr="00C80D1B" w:rsidR="00C54E08">
        <w:t>development of supplementary pensions</w:t>
      </w:r>
      <w:r w:rsidRPr="00BD5558" w:rsidR="00BD5558">
        <w:t xml:space="preserve"> </w:t>
      </w:r>
      <w:r w:rsidRPr="00C80D1B" w:rsidR="00BD5558">
        <w:t>under prudent conditions</w:t>
      </w:r>
      <w:r w:rsidRPr="00C80D1B" w:rsidR="00C54E08">
        <w:t>, but believes</w:t>
      </w:r>
      <w:r w:rsidR="00110C00">
        <w:t xml:space="preserve"> </w:t>
      </w:r>
      <w:r w:rsidRPr="00C80D1B" w:rsidR="00C54E08">
        <w:t>that th</w:t>
      </w:r>
      <w:r w:rsidRPr="00C80D1B">
        <w:t>e</w:t>
      </w:r>
      <w:r w:rsidR="00BD5558">
        <w:t>se pensions</w:t>
      </w:r>
      <w:r w:rsidRPr="00C80D1B" w:rsidR="00C54E08">
        <w:t xml:space="preserve"> </w:t>
      </w:r>
      <w:r w:rsidR="00B651CD">
        <w:t>must not</w:t>
      </w:r>
      <w:r w:rsidRPr="000607D3" w:rsidR="00B651CD">
        <w:t xml:space="preserve"> </w:t>
      </w:r>
      <w:r w:rsidR="00B651CD">
        <w:t xml:space="preserve">be positioned as a substitute </w:t>
      </w:r>
      <w:r w:rsidR="008903B0">
        <w:t>for</w:t>
      </w:r>
      <w:r w:rsidR="00B651CD">
        <w:t xml:space="preserve"> </w:t>
      </w:r>
      <w:r w:rsidRPr="000607D3" w:rsidR="00B651CD">
        <w:t>public pension systems</w:t>
      </w:r>
      <w:r w:rsidRPr="00C80D1B" w:rsidR="00C54E08">
        <w:t>. Automatic enrolment</w:t>
      </w:r>
      <w:r w:rsidRPr="00C80D1B" w:rsidR="00B753E4">
        <w:t xml:space="preserve"> in</w:t>
      </w:r>
      <w:r w:rsidR="00B651CD">
        <w:t>to</w:t>
      </w:r>
      <w:r w:rsidRPr="00C80D1B" w:rsidR="00B753E4">
        <w:t xml:space="preserve"> supplementary schemes</w:t>
      </w:r>
      <w:r w:rsidRPr="00C80D1B" w:rsidR="00C54E08">
        <w:t xml:space="preserve"> should be promoted</w:t>
      </w:r>
      <w:r w:rsidRPr="00C80D1B" w:rsidR="00B753E4">
        <w:t xml:space="preserve">, subject to adequately regulated and </w:t>
      </w:r>
      <w:r w:rsidRPr="00C80D1B" w:rsidR="00C80D1B">
        <w:t>transparent</w:t>
      </w:r>
      <w:r w:rsidRPr="00C80D1B" w:rsidR="00C54E08">
        <w:t xml:space="preserve"> fee</w:t>
      </w:r>
      <w:r w:rsidRPr="00C80D1B" w:rsidR="00B753E4">
        <w:t xml:space="preserve"> structures, and </w:t>
      </w:r>
      <w:r w:rsidRPr="00C80D1B" w:rsidR="00C54E08">
        <w:t>in such a way that participants</w:t>
      </w:r>
      <w:r w:rsidR="00B651CD">
        <w:t xml:space="preserve"> maintain control of their pension savings choices and</w:t>
      </w:r>
      <w:r w:rsidRPr="00C80D1B" w:rsidR="00C54E08">
        <w:t xml:space="preserve"> have consistent </w:t>
      </w:r>
      <w:r w:rsidRPr="00C80D1B" w:rsidR="00B753E4">
        <w:t xml:space="preserve">visibility of </w:t>
      </w:r>
      <w:r w:rsidRPr="00C80D1B" w:rsidR="00C54E08">
        <w:t xml:space="preserve">investment </w:t>
      </w:r>
      <w:r w:rsidRPr="00C80D1B" w:rsidR="00B753E4">
        <w:t>outcomes</w:t>
      </w:r>
      <w:r w:rsidRPr="00C80D1B" w:rsidR="00C54E08">
        <w:t xml:space="preserve">. </w:t>
      </w:r>
      <w:r w:rsidRPr="00C80D1B" w:rsidR="00B753E4">
        <w:t xml:space="preserve">Regulations on supplementary private pension schemes </w:t>
      </w:r>
      <w:r w:rsidRPr="00C80D1B" w:rsidR="00454BE1">
        <w:t>should ensure adequate protection for participants in these funds</w:t>
      </w:r>
      <w:r w:rsidR="00B651CD">
        <w:t>, especially against exposure to high-risk or other unsuitable investments</w:t>
      </w:r>
      <w:r w:rsidRPr="00C80D1B" w:rsidR="00454BE1">
        <w:t>.</w:t>
      </w:r>
      <w:r w:rsidRPr="00C80D1B" w:rsidR="005F6A48">
        <w:t xml:space="preserve"> The EESC </w:t>
      </w:r>
      <w:r w:rsidR="00BE31A7">
        <w:t>emphasises</w:t>
      </w:r>
      <w:r w:rsidRPr="00C80D1B" w:rsidR="00BE31A7">
        <w:t xml:space="preserve"> </w:t>
      </w:r>
      <w:r w:rsidRPr="00C80D1B" w:rsidR="005F6A48">
        <w:t xml:space="preserve">that pension policy has first and foremost the social policy objective of ensuring the best possible provision of social security for workers in old age. Public pension schemes are the best way to </w:t>
      </w:r>
      <w:r w:rsidRPr="00C80D1B" w:rsidR="00C80D1B">
        <w:t>fulfil</w:t>
      </w:r>
      <w:r w:rsidRPr="00C80D1B" w:rsidR="005F6A48">
        <w:t xml:space="preserve"> this socio-political mandate. </w:t>
      </w:r>
      <w:r w:rsidRPr="00C80D1B" w:rsidR="00453933">
        <w:t>With this in mind</w:t>
      </w:r>
      <w:r w:rsidRPr="00C80D1B" w:rsidR="005F6A48">
        <w:t xml:space="preserve">, </w:t>
      </w:r>
      <w:r w:rsidR="00BD5558">
        <w:t>it</w:t>
      </w:r>
      <w:r w:rsidRPr="00C80D1B" w:rsidR="005F6A48">
        <w:t xml:space="preserve"> considers that </w:t>
      </w:r>
      <w:r w:rsidRPr="00C80D1B" w:rsidR="00453933">
        <w:t xml:space="preserve">expanding </w:t>
      </w:r>
      <w:r w:rsidRPr="00C80D1B" w:rsidR="005F6A48">
        <w:t xml:space="preserve">and strengthening occupational pension schemes (Pillar 2), </w:t>
      </w:r>
      <w:r w:rsidRPr="00C80D1B" w:rsidR="00B753E4">
        <w:t xml:space="preserve">agreed </w:t>
      </w:r>
      <w:r w:rsidR="00B651CD">
        <w:t>through</w:t>
      </w:r>
      <w:r w:rsidRPr="00C80D1B" w:rsidR="00B753E4">
        <w:t xml:space="preserve"> collective bargaining</w:t>
      </w:r>
      <w:r w:rsidR="00BD5558">
        <w:t xml:space="preserve">, </w:t>
      </w:r>
      <w:r w:rsidR="00B651CD">
        <w:t xml:space="preserve">subject to </w:t>
      </w:r>
      <w:r w:rsidRPr="00C80D1B" w:rsidR="005F6A48">
        <w:t xml:space="preserve">a minimum contribution </w:t>
      </w:r>
      <w:r w:rsidRPr="00C80D1B" w:rsidR="00453933">
        <w:t>from</w:t>
      </w:r>
      <w:r w:rsidRPr="00C80D1B" w:rsidR="005F6A48">
        <w:t xml:space="preserve"> employer</w:t>
      </w:r>
      <w:r w:rsidRPr="00C80D1B" w:rsidR="00453933">
        <w:t>s</w:t>
      </w:r>
      <w:r w:rsidR="00BD5558">
        <w:t>,</w:t>
      </w:r>
      <w:r w:rsidRPr="00C80D1B" w:rsidR="00453933">
        <w:t xml:space="preserve"> and</w:t>
      </w:r>
      <w:r w:rsidRPr="00C80D1B" w:rsidR="005F6A48">
        <w:t xml:space="preserve"> supervised by a public </w:t>
      </w:r>
      <w:r w:rsidRPr="00C80D1B" w:rsidR="00453933">
        <w:t xml:space="preserve">body </w:t>
      </w:r>
      <w:r w:rsidRPr="00C80D1B" w:rsidR="005F6A48">
        <w:t xml:space="preserve">implementing binding and sustainable investment guidelines, could be a way forward, provided this is done in a way that complements public pension systems and </w:t>
      </w:r>
      <w:r w:rsidRPr="00C80D1B" w:rsidR="00453933">
        <w:t>does not undermine</w:t>
      </w:r>
      <w:r w:rsidRPr="00C80D1B" w:rsidR="005F6A48">
        <w:t xml:space="preserve"> them.</w:t>
      </w:r>
    </w:p>
    <w:p w:rsidRPr="00C80D1B" w:rsidR="00B753E4" w:rsidP="00B753E4" w:rsidRDefault="00B753E4" w14:paraId="054FAB04" w14:textId="77777777"/>
    <w:p w:rsidRPr="00C80D1B" w:rsidR="009C4E19" w:rsidP="006A6839" w:rsidRDefault="009C4E19" w14:paraId="32801F3C" w14:textId="6D0C9688">
      <w:pPr>
        <w:pStyle w:val="Heading2"/>
      </w:pPr>
      <w:r w:rsidRPr="00C80D1B">
        <w:t xml:space="preserve">The attractiveness </w:t>
      </w:r>
      <w:r w:rsidRPr="00C80D1B" w:rsidR="00392A1C">
        <w:t xml:space="preserve">and long-term viability </w:t>
      </w:r>
      <w:r w:rsidRPr="00C80D1B">
        <w:t xml:space="preserve">of supplementary, capital-funded pension schemes for individual savers depends ultimately and above all on </w:t>
      </w:r>
      <w:r w:rsidRPr="00C80D1B" w:rsidR="00BC48D9">
        <w:t>how</w:t>
      </w:r>
      <w:r w:rsidR="00BE31A7">
        <w:t xml:space="preserve"> an</w:t>
      </w:r>
      <w:r w:rsidRPr="00C80D1B">
        <w:t xml:space="preserve"> investment</w:t>
      </w:r>
      <w:r w:rsidRPr="00C80D1B" w:rsidR="00BC48D9">
        <w:t xml:space="preserve"> performs</w:t>
      </w:r>
      <w:r w:rsidRPr="00C80D1B">
        <w:t xml:space="preserve">, which is determined by </w:t>
      </w:r>
      <w:r w:rsidRPr="00C80D1B" w:rsidR="00BC48D9">
        <w:t xml:space="preserve">the way it is run and </w:t>
      </w:r>
      <w:r w:rsidRPr="00C80D1B">
        <w:t xml:space="preserve">its cost-effectiveness. </w:t>
      </w:r>
      <w:r w:rsidRPr="00C80D1B" w:rsidR="00230C7F">
        <w:t>In order t</w:t>
      </w:r>
      <w:r w:rsidRPr="00C80D1B">
        <w:t>o achieve wider acceptance of capital-funded pension schemes in the EU</w:t>
      </w:r>
      <w:r w:rsidRPr="00C80D1B" w:rsidR="006574C8">
        <w:t>,</w:t>
      </w:r>
      <w:r w:rsidRPr="00C80D1B">
        <w:t xml:space="preserve"> it is critical to pay more attention to restructuring the supply</w:t>
      </w:r>
      <w:r w:rsidRPr="00C80D1B" w:rsidR="00AE1BBD">
        <w:t xml:space="preserve"> </w:t>
      </w:r>
      <w:r w:rsidRPr="00C80D1B">
        <w:t xml:space="preserve">side, which is currently fragmented along national lines. In some </w:t>
      </w:r>
      <w:r w:rsidRPr="00C80D1B" w:rsidR="006574C8">
        <w:t>Member S</w:t>
      </w:r>
      <w:r w:rsidRPr="00C80D1B">
        <w:t xml:space="preserve">tates, mandatory contributions to supplementary pension schemes are used to create a </w:t>
      </w:r>
      <w:r w:rsidRPr="00C80D1B" w:rsidR="00230C7F">
        <w:t xml:space="preserve">special </w:t>
      </w:r>
      <w:r w:rsidRPr="00C80D1B">
        <w:t xml:space="preserve">pool of individual retirement savings for which the public sector provides centralised services, e.g. by aggregating demand and providing centralised access to a broad range of investment products. The EESC calls upon the Commission and Member States to examine such models in a structured way and consider measures to encourage </w:t>
      </w:r>
      <w:r w:rsidRPr="00C80D1B" w:rsidR="00230C7F">
        <w:t>Member States to adopt</w:t>
      </w:r>
      <w:r w:rsidRPr="00C80D1B">
        <w:t xml:space="preserve"> </w:t>
      </w:r>
      <w:r w:rsidR="002B5AC2">
        <w:t>‘</w:t>
      </w:r>
      <w:r w:rsidRPr="00C80D1B">
        <w:t>best practice</w:t>
      </w:r>
      <w:r w:rsidR="002B5AC2">
        <w:t>’</w:t>
      </w:r>
      <w:r w:rsidRPr="00C80D1B">
        <w:t xml:space="preserve"> </w:t>
      </w:r>
      <w:r w:rsidRPr="00C80D1B" w:rsidR="00230C7F">
        <w:t>in this domain</w:t>
      </w:r>
      <w:r w:rsidRPr="00C80D1B">
        <w:t>.</w:t>
      </w:r>
    </w:p>
    <w:p w:rsidRPr="00C80D1B" w:rsidR="003A32E1" w:rsidP="003A32E1" w:rsidRDefault="003A32E1" w14:paraId="21A54F5F" w14:textId="77777777"/>
    <w:p w:rsidRPr="00C80D1B" w:rsidR="002E1AF1" w:rsidP="006A6839" w:rsidRDefault="002E1AF1" w14:paraId="6EF28336" w14:textId="3A5662F1">
      <w:pPr>
        <w:pStyle w:val="Heading2"/>
      </w:pPr>
      <w:r w:rsidRPr="00C80D1B">
        <w:t>The EESC reitera</w:t>
      </w:r>
      <w:r w:rsidRPr="00C80D1B" w:rsidR="009C4E19">
        <w:t>tes</w:t>
      </w:r>
      <w:r w:rsidRPr="00C80D1B">
        <w:t xml:space="preserve"> that the mobilisation of public financial resources must go hand in hand</w:t>
      </w:r>
      <w:r w:rsidR="00BE31A7">
        <w:t xml:space="preserve"> with the mobilisation of </w:t>
      </w:r>
      <w:r w:rsidRPr="00C80D1B" w:rsidR="00BE31A7">
        <w:t>private financial resources</w:t>
      </w:r>
      <w:r w:rsidRPr="00C80D1B">
        <w:t xml:space="preserve">. </w:t>
      </w:r>
      <w:r w:rsidRPr="00C80D1B" w:rsidR="00230C7F">
        <w:t xml:space="preserve">It </w:t>
      </w:r>
      <w:r w:rsidRPr="00C80D1B">
        <w:t>therefore recommends establish</w:t>
      </w:r>
      <w:r w:rsidRPr="00C80D1B" w:rsidR="00230C7F">
        <w:t xml:space="preserve">ing </w:t>
      </w:r>
      <w:r w:rsidRPr="00C80D1B">
        <w:t xml:space="preserve">an EU investment fund for competitiveness and resilience, to be established as part of the next Multiannual Financial Framework (MFF). </w:t>
      </w:r>
      <w:r w:rsidRPr="00C80D1B" w:rsidR="00230C7F">
        <w:t>It</w:t>
      </w:r>
      <w:r w:rsidRPr="00C80D1B">
        <w:t xml:space="preserve"> believes that </w:t>
      </w:r>
      <w:r w:rsidRPr="00C80D1B" w:rsidR="00230C7F">
        <w:t xml:space="preserve">such an </w:t>
      </w:r>
      <w:r w:rsidRPr="00C80D1B">
        <w:t>EU investment fund should be financed by a mix of resources, including Member State contributions, new own resources and joint EU debt issuance</w:t>
      </w:r>
      <w:r w:rsidRPr="00C80D1B" w:rsidR="00230C7F">
        <w:t>; th</w:t>
      </w:r>
      <w:r w:rsidRPr="00C80D1B" w:rsidR="00AE1BBD">
        <w:t>is</w:t>
      </w:r>
      <w:r w:rsidRPr="00C80D1B" w:rsidR="00230C7F">
        <w:t xml:space="preserve"> latter</w:t>
      </w:r>
      <w:r w:rsidR="00BE31A7">
        <w:t xml:space="preserve"> –</w:t>
      </w:r>
      <w:r w:rsidRPr="00C80D1B" w:rsidR="00230C7F">
        <w:t xml:space="preserve"> innovative </w:t>
      </w:r>
      <w:r w:rsidR="00BE31A7">
        <w:t xml:space="preserve">– </w:t>
      </w:r>
      <w:r w:rsidRPr="00C80D1B" w:rsidR="00230C7F">
        <w:t xml:space="preserve">instrument </w:t>
      </w:r>
      <w:r w:rsidRPr="00C80D1B">
        <w:t xml:space="preserve">was pioneered successfully during the COVID-19 pandemic and could be repeated </w:t>
      </w:r>
      <w:r w:rsidRPr="00C80D1B" w:rsidR="00230C7F">
        <w:t xml:space="preserve">in the future </w:t>
      </w:r>
      <w:r w:rsidRPr="00C80D1B">
        <w:t>to finance the sustainable competitiveness and resilience of the single market. In that context, the EESC also reiterates and fully supports the Commission</w:t>
      </w:r>
      <w:r w:rsidR="002B5AC2">
        <w:t>’</w:t>
      </w:r>
      <w:r w:rsidRPr="00C80D1B">
        <w:t xml:space="preserve">s call for the Council </w:t>
      </w:r>
      <w:r w:rsidR="002B5AC2">
        <w:t>‘</w:t>
      </w:r>
      <w:r w:rsidRPr="00C80D1B">
        <w:t>to resume work on the issue of new own resources as a matter of urgency</w:t>
      </w:r>
      <w:r w:rsidR="002B5AC2">
        <w:t>’</w:t>
      </w:r>
      <w:r w:rsidR="007E135B">
        <w:rPr>
          <w:rStyle w:val="FootnoteReference"/>
        </w:rPr>
        <w:footnoteReference w:id="7"/>
      </w:r>
      <w:r w:rsidRPr="00C80D1B" w:rsidR="00230C7F">
        <w:t>.</w:t>
      </w:r>
      <w:r w:rsidRPr="00C80D1B">
        <w:t xml:space="preserve"> </w:t>
      </w:r>
    </w:p>
    <w:p w:rsidRPr="00C80D1B" w:rsidR="003A32E1" w:rsidP="003A32E1" w:rsidRDefault="003A32E1" w14:paraId="496819ED" w14:textId="77777777"/>
    <w:p w:rsidRPr="00C80D1B" w:rsidR="00C54E08" w:rsidP="006A6839" w:rsidRDefault="005F6A48" w14:paraId="72CAFA6C" w14:textId="7129B99E">
      <w:pPr>
        <w:pStyle w:val="Heading2"/>
      </w:pPr>
      <w:r w:rsidRPr="00C80D1B">
        <w:t xml:space="preserve">The EESC believes that supporting higher risk projects and long-term transition projects is possible by building on and expanding the capacity of the </w:t>
      </w:r>
      <w:r w:rsidR="00DE08D1">
        <w:t>European Investment Bank (</w:t>
      </w:r>
      <w:r w:rsidRPr="00C80D1B">
        <w:t>EIB</w:t>
      </w:r>
      <w:r w:rsidR="00DE08D1">
        <w:t>)</w:t>
      </w:r>
      <w:r w:rsidRPr="00C80D1B">
        <w:t>, the European Investment Fund and national promotional banks and institutions. In particular, equity investments by public and private entities are a central funding alternative for start-ups, scale-ups and established companies, and remain an under-exploited resource that can bolster EU competitiveness.</w:t>
      </w:r>
      <w:r w:rsidRPr="00C80D1B" w:rsidR="002E1AF1">
        <w:t xml:space="preserve"> </w:t>
      </w:r>
      <w:r w:rsidRPr="00C80D1B" w:rsidR="00C54E08">
        <w:t xml:space="preserve">The EESC believes that both the EU and </w:t>
      </w:r>
      <w:r w:rsidRPr="00C80D1B" w:rsidR="004B674E">
        <w:t xml:space="preserve">its </w:t>
      </w:r>
      <w:r w:rsidRPr="00C80D1B" w:rsidR="00C54E08">
        <w:t xml:space="preserve">Member States can encourage the development of </w:t>
      </w:r>
      <w:r w:rsidRPr="00C80D1B">
        <w:t xml:space="preserve">pan-European </w:t>
      </w:r>
      <w:r w:rsidRPr="00C80D1B" w:rsidR="00C54E08">
        <w:t>venture capital funds</w:t>
      </w:r>
      <w:r w:rsidRPr="00C80D1B">
        <w:t>,</w:t>
      </w:r>
      <w:r w:rsidRPr="00C80D1B" w:rsidR="00C54E08">
        <w:t xml:space="preserve"> by providing</w:t>
      </w:r>
      <w:r w:rsidRPr="00C80D1B" w:rsidR="004B674E">
        <w:t xml:space="preserve"> </w:t>
      </w:r>
      <w:r w:rsidRPr="00C80D1B" w:rsidR="00C54E08">
        <w:t>guarantees</w:t>
      </w:r>
      <w:r w:rsidRPr="00C80D1B" w:rsidR="002E1AF1">
        <w:t xml:space="preserve"> </w:t>
      </w:r>
      <w:r w:rsidRPr="00C80D1B" w:rsidR="004B674E">
        <w:t>and</w:t>
      </w:r>
      <w:r w:rsidRPr="00C80D1B" w:rsidR="00CB2314">
        <w:t>, more importantly,</w:t>
      </w:r>
      <w:r w:rsidRPr="00C80D1B" w:rsidR="004B674E">
        <w:t xml:space="preserve"> </w:t>
      </w:r>
      <w:r w:rsidRPr="00C80D1B" w:rsidR="0089237E">
        <w:t>direct investment</w:t>
      </w:r>
      <w:r w:rsidRPr="00C80D1B" w:rsidR="00C54E08">
        <w:t>.</w:t>
      </w:r>
      <w:r w:rsidRPr="00C80D1B" w:rsidR="004741D2">
        <w:t xml:space="preserve"> Experience in some Member States </w:t>
      </w:r>
      <w:r w:rsidRPr="00C80D1B" w:rsidR="004B674E">
        <w:t xml:space="preserve">has shown </w:t>
      </w:r>
      <w:r w:rsidRPr="00C80D1B" w:rsidR="004741D2">
        <w:t xml:space="preserve">that </w:t>
      </w:r>
      <w:r w:rsidRPr="00C80D1B" w:rsidR="0089237E">
        <w:t xml:space="preserve">public support, including </w:t>
      </w:r>
      <w:r w:rsidRPr="00C80D1B" w:rsidR="002E1AF1">
        <w:t xml:space="preserve">direct investment and </w:t>
      </w:r>
      <w:r w:rsidRPr="00C80D1B" w:rsidR="004741D2">
        <w:t>a solid guarantee system</w:t>
      </w:r>
      <w:r w:rsidRPr="00C80D1B" w:rsidR="0089237E">
        <w:t>,</w:t>
      </w:r>
      <w:r w:rsidRPr="00C80D1B" w:rsidR="004741D2">
        <w:t xml:space="preserve"> can accelerate the development of the venture capital sector</w:t>
      </w:r>
      <w:r w:rsidRPr="00C80D1B" w:rsidR="00D7704A">
        <w:t>.</w:t>
      </w:r>
      <w:r w:rsidRPr="00C80D1B" w:rsidR="00CB2314">
        <w:t xml:space="preserve"> </w:t>
      </w:r>
      <w:r w:rsidRPr="009150CA" w:rsidR="00713170">
        <w:t xml:space="preserve">However, </w:t>
      </w:r>
      <w:r w:rsidR="00BE31A7">
        <w:t>steps</w:t>
      </w:r>
      <w:r w:rsidRPr="009150CA" w:rsidR="00713170">
        <w:t xml:space="preserve"> must be </w:t>
      </w:r>
      <w:r w:rsidR="00BE31A7">
        <w:t>taken to ensure</w:t>
      </w:r>
      <w:r w:rsidRPr="009150CA" w:rsidR="00713170">
        <w:t xml:space="preserve"> that </w:t>
      </w:r>
      <w:r w:rsidR="00713170">
        <w:t xml:space="preserve">risks are distributed fairly between public-sector and private-sector </w:t>
      </w:r>
      <w:r w:rsidR="00987D28">
        <w:t>investors</w:t>
      </w:r>
      <w:r w:rsidR="00713170">
        <w:t xml:space="preserve"> so that </w:t>
      </w:r>
      <w:r w:rsidRPr="009150CA" w:rsidR="00713170">
        <w:t>the public sector does not assume a disproportionate share of the risk</w:t>
      </w:r>
      <w:r w:rsidR="00BE31A7">
        <w:t>.</w:t>
      </w:r>
    </w:p>
    <w:p w:rsidRPr="00C80D1B" w:rsidR="00BB2325" w:rsidP="00BB2325" w:rsidRDefault="00BB2325" w14:paraId="677A30DD" w14:textId="77777777"/>
    <w:p w:rsidRPr="00C80D1B" w:rsidR="00C54E08" w:rsidP="006A6839" w:rsidRDefault="00CB3DDF" w14:paraId="4C0692FB" w14:textId="5E2EE825">
      <w:pPr>
        <w:pStyle w:val="Heading2"/>
      </w:pPr>
      <w:r w:rsidRPr="00C80D1B">
        <w:t xml:space="preserve">Existing </w:t>
      </w:r>
      <w:r w:rsidR="00713170">
        <w:t xml:space="preserve">tax </w:t>
      </w:r>
      <w:r w:rsidRPr="00C80D1B">
        <w:t>legislation</w:t>
      </w:r>
      <w:r w:rsidR="00713170">
        <w:t xml:space="preserve"> and solvency requirements</w:t>
      </w:r>
      <w:r w:rsidRPr="00C80D1B">
        <w:t xml:space="preserve"> in Member States favours the financing of companies through credit operations to the detriment of financing operations on the capital markets. The EESC believes that this is an element that discourages the development and integration of European capital </w:t>
      </w:r>
      <w:r w:rsidRPr="00C80D1B" w:rsidR="00220BC8">
        <w:t>markets. To</w:t>
      </w:r>
      <w:r w:rsidRPr="00C80D1B" w:rsidR="00C54E08">
        <w:t xml:space="preserve"> eliminate </w:t>
      </w:r>
      <w:r w:rsidR="00713170">
        <w:t xml:space="preserve">the bias in favour of </w:t>
      </w:r>
      <w:r w:rsidRPr="00C80D1B" w:rsidR="00C54E08">
        <w:t>debt</w:t>
      </w:r>
      <w:r w:rsidR="00713170">
        <w:t xml:space="preserve"> financing, </w:t>
      </w:r>
      <w:r w:rsidR="00932123">
        <w:t>it</w:t>
      </w:r>
      <w:r w:rsidR="00713170">
        <w:t xml:space="preserve"> calls for the adoption of more balanced </w:t>
      </w:r>
      <w:r w:rsidRPr="00C80D1B" w:rsidR="00C54E08">
        <w:t xml:space="preserve">tax systems, </w:t>
      </w:r>
      <w:r w:rsidR="00713170">
        <w:t xml:space="preserve">without </w:t>
      </w:r>
      <w:r w:rsidR="00987D28">
        <w:t>prejudice</w:t>
      </w:r>
      <w:r w:rsidR="00713170">
        <w:t xml:space="preserve"> to the equitable distribution of the tax burden or the integrity of Member States</w:t>
      </w:r>
      <w:r w:rsidR="00A45763">
        <w:t>’</w:t>
      </w:r>
      <w:r w:rsidRPr="00713170" w:rsidR="00713170">
        <w:t xml:space="preserve"> </w:t>
      </w:r>
      <w:r w:rsidR="00713170">
        <w:t>tax base</w:t>
      </w:r>
      <w:r w:rsidR="00A45763">
        <w:t>s</w:t>
      </w:r>
      <w:r w:rsidR="00713170">
        <w:t xml:space="preserve"> overall. As part of this process, </w:t>
      </w:r>
      <w:r w:rsidRPr="00C80D1B" w:rsidR="00C54E08">
        <w:t xml:space="preserve">the Commission should present a revised version of the </w:t>
      </w:r>
      <w:r w:rsidR="00713170">
        <w:t>Debt-Equity Bias Reduction Allowance (</w:t>
      </w:r>
      <w:r w:rsidRPr="00C80D1B" w:rsidR="00C54E08">
        <w:t>DEBRA</w:t>
      </w:r>
      <w:r w:rsidR="00713170">
        <w:t>)</w:t>
      </w:r>
      <w:r w:rsidRPr="00C80D1B" w:rsidR="00C54E08">
        <w:t xml:space="preserve"> initiative, encouraging Member States to promote the necessary reforms.</w:t>
      </w:r>
      <w:r w:rsidR="00A90E16">
        <w:t xml:space="preserve"> </w:t>
      </w:r>
      <w:r w:rsidRPr="00D770D2" w:rsidR="00A90E16">
        <w:rPr>
          <w:iCs/>
        </w:rPr>
        <w:t>Furthermore, the local financial reporting rules hinder cross-border investment and the financing of larger, mid-sized and smaller companies through equity financing. The use of common financial reporting rules for statutory reporting across Member States could help to broaden financing possibilities for local businesses, for instance, by attracting cross-border capital investors.</w:t>
      </w:r>
    </w:p>
    <w:p w:rsidRPr="00C80D1B" w:rsidR="003A32E1" w:rsidP="003A32E1" w:rsidRDefault="003A32E1" w14:paraId="7395417C" w14:textId="77777777"/>
    <w:p w:rsidRPr="00C80D1B" w:rsidR="00011D33" w:rsidP="006A6839" w:rsidRDefault="00C54E08" w14:paraId="5B3BE5E4" w14:textId="2D77884D">
      <w:pPr>
        <w:pStyle w:val="Heading2"/>
      </w:pPr>
      <w:r w:rsidRPr="00C80D1B">
        <w:t xml:space="preserve">In order to avoid </w:t>
      </w:r>
      <w:r w:rsidR="00932123">
        <w:t>a repeat of</w:t>
      </w:r>
      <w:r w:rsidRPr="00C80D1B">
        <w:t xml:space="preserve"> the </w:t>
      </w:r>
      <w:r w:rsidRPr="00C80D1B" w:rsidR="004B674E">
        <w:t>problems encountered with</w:t>
      </w:r>
      <w:r w:rsidRPr="00C80D1B">
        <w:t xml:space="preserve"> the </w:t>
      </w:r>
      <w:r w:rsidR="00713170">
        <w:t>CMU</w:t>
      </w:r>
      <w:r w:rsidRPr="00C80D1B">
        <w:t xml:space="preserve"> and the Banking Union, the EESC recommends that the Member States and the European Parliament support the Commission</w:t>
      </w:r>
      <w:r w:rsidR="002B5AC2">
        <w:t>’</w:t>
      </w:r>
      <w:r w:rsidRPr="00C80D1B">
        <w:t>s initiatives</w:t>
      </w:r>
      <w:r w:rsidRPr="00C80D1B" w:rsidR="004B674E">
        <w:t xml:space="preserve"> for the SIU</w:t>
      </w:r>
      <w:r w:rsidRPr="00C80D1B">
        <w:t xml:space="preserve">. </w:t>
      </w:r>
      <w:r w:rsidR="00713170">
        <w:t xml:space="preserve">In view of the global geopolitical context, and the pressing need </w:t>
      </w:r>
      <w:r w:rsidR="00987D28">
        <w:t>to generate</w:t>
      </w:r>
      <w:r w:rsidRPr="00C80D1B">
        <w:t xml:space="preserve"> the capital </w:t>
      </w:r>
      <w:r w:rsidR="00713170">
        <w:t>required</w:t>
      </w:r>
      <w:r w:rsidRPr="00C80D1B">
        <w:t xml:space="preserve"> to finance European companies and the </w:t>
      </w:r>
      <w:r w:rsidRPr="00C80D1B" w:rsidR="00CB2314">
        <w:t>ReArm Europe</w:t>
      </w:r>
      <w:r w:rsidR="00713170">
        <w:t>/</w:t>
      </w:r>
      <w:r w:rsidRPr="00C80D1B" w:rsidR="00CB2314">
        <w:t>Readiness 2030 plans</w:t>
      </w:r>
      <w:r w:rsidR="00713170">
        <w:t>, implementation of the SIU should be undertaken with a new sense of urgency</w:t>
      </w:r>
      <w:r w:rsidRPr="00C80D1B">
        <w:t>.</w:t>
      </w:r>
    </w:p>
    <w:p w:rsidRPr="00C80D1B" w:rsidR="00706BF0" w:rsidP="00706BF0" w:rsidRDefault="00706BF0" w14:paraId="3D9A6B33" w14:textId="77777777"/>
    <w:p w:rsidRPr="00C80D1B" w:rsidR="00706BF0" w:rsidP="00713170" w:rsidRDefault="00706BF0" w14:paraId="680F532D" w14:textId="0BA164DB">
      <w:pPr>
        <w:pStyle w:val="Heading1"/>
      </w:pPr>
      <w:r w:rsidRPr="00C80D1B">
        <w:t>Specific comments</w:t>
      </w:r>
    </w:p>
    <w:p w:rsidRPr="00C80D1B" w:rsidR="00BB2325" w:rsidP="00BB2325" w:rsidRDefault="00BB2325" w14:paraId="102B32E9" w14:textId="77777777">
      <w:pPr>
        <w:keepNext/>
      </w:pPr>
    </w:p>
    <w:p w:rsidRPr="0058510C" w:rsidR="0058510C" w:rsidP="006A6839" w:rsidRDefault="003151BB" w14:paraId="35BD6B50" w14:textId="6CF8E223">
      <w:pPr>
        <w:pStyle w:val="Heading2"/>
      </w:pPr>
      <w:r w:rsidRPr="009D5D16">
        <w:t xml:space="preserve">At the end of 2022, there were 310 securities trading venues in the EEA, including 128 regulated markets, 152 multilateral trading facilities (MTFs) and 30 organised trading facilities (OTFs). </w:t>
      </w:r>
      <w:r w:rsidRPr="009D5D16" w:rsidR="00297BCC">
        <w:t>For</w:t>
      </w:r>
      <w:r w:rsidRPr="009D5D16">
        <w:t xml:space="preserve"> post-trading</w:t>
      </w:r>
      <w:r w:rsidRPr="009D5D16" w:rsidR="00297BCC">
        <w:t>,</w:t>
      </w:r>
      <w:r w:rsidRPr="009D5D16">
        <w:t xml:space="preserve"> there were 18 clearing and 21 settlement markets in the EU. This fragmentation</w:t>
      </w:r>
      <w:r w:rsidRPr="00C80D1B">
        <w:t xml:space="preserve"> stand</w:t>
      </w:r>
      <w:r w:rsidRPr="00C80D1B" w:rsidR="00297BCC">
        <w:t>s</w:t>
      </w:r>
      <w:r w:rsidRPr="00C80D1B">
        <w:t xml:space="preserve"> in the way of </w:t>
      </w:r>
      <w:r w:rsidRPr="00C80D1B" w:rsidR="00297BCC">
        <w:t xml:space="preserve">the creation of </w:t>
      </w:r>
      <w:r w:rsidRPr="00C80D1B">
        <w:t xml:space="preserve">deep and liquid pools of capital, which would be needed to fund EU companies </w:t>
      </w:r>
      <w:r w:rsidR="000E183D">
        <w:t>on</w:t>
      </w:r>
      <w:r w:rsidRPr="00C80D1B" w:rsidR="000E183D">
        <w:t xml:space="preserve"> </w:t>
      </w:r>
      <w:r w:rsidRPr="00C80D1B">
        <w:t xml:space="preserve">favourable, internationally competitive terms and to generate attractive investment opportunities for EU investors. The EESC acknowledges the progress already made with initiatives such as Target2 Securities (T2S), the Consolidated Tape </w:t>
      </w:r>
      <w:r w:rsidR="003E6D0B">
        <w:t xml:space="preserve">system </w:t>
      </w:r>
      <w:r w:rsidRPr="00C80D1B">
        <w:t>and the European Single Access Point (ESAP), and welcomes the Commission</w:t>
      </w:r>
      <w:r w:rsidR="002B5AC2">
        <w:t>’</w:t>
      </w:r>
      <w:r w:rsidRPr="00C80D1B">
        <w:t xml:space="preserve">s suggestion to focus on enhancing the interoperability, interconnection and efficiency of EU trading and post-trading infrastructures by leveraging </w:t>
      </w:r>
      <w:r w:rsidRPr="00C80D1B" w:rsidR="00C126F5">
        <w:t>state-of-the art technologies</w:t>
      </w:r>
      <w:r w:rsidRPr="00C80D1B">
        <w:t>.</w:t>
      </w:r>
    </w:p>
    <w:p w:rsidRPr="00C80D1B" w:rsidR="003A32E1" w:rsidP="003A32E1" w:rsidRDefault="003A32E1" w14:paraId="09BB4059" w14:textId="77777777"/>
    <w:p w:rsidRPr="00C80D1B" w:rsidR="0089237E" w:rsidP="006A6839" w:rsidRDefault="00297BCC" w14:paraId="666C53B2" w14:textId="19B79389">
      <w:pPr>
        <w:pStyle w:val="Heading2"/>
      </w:pPr>
      <w:r w:rsidRPr="00C80D1B">
        <w:t>The</w:t>
      </w:r>
      <w:r w:rsidRPr="00C80D1B" w:rsidR="0089237E">
        <w:t xml:space="preserve"> EESC points out that one of the barriers </w:t>
      </w:r>
      <w:r w:rsidRPr="00C80D1B">
        <w:t xml:space="preserve">that </w:t>
      </w:r>
      <w:r w:rsidR="00C61611">
        <w:t>European savers</w:t>
      </w:r>
      <w:r w:rsidRPr="00C80D1B" w:rsidDel="00297BCC">
        <w:t xml:space="preserve"> </w:t>
      </w:r>
      <w:r w:rsidRPr="00C80D1B" w:rsidR="0089237E">
        <w:t xml:space="preserve">face when they want to access the market is the absence of financial instruments that allow for small capital investments. </w:t>
      </w:r>
      <w:r w:rsidR="00C61611">
        <w:t>D</w:t>
      </w:r>
      <w:r w:rsidRPr="00C80D1B" w:rsidR="0089237E">
        <w:t xml:space="preserve">iversification of investment instruments </w:t>
      </w:r>
      <w:r w:rsidRPr="00C80D1B">
        <w:t xml:space="preserve">is needed to give </w:t>
      </w:r>
      <w:r w:rsidRPr="00C80D1B" w:rsidR="0089237E">
        <w:t xml:space="preserve">access </w:t>
      </w:r>
      <w:r w:rsidRPr="00C80D1B">
        <w:t xml:space="preserve">to </w:t>
      </w:r>
      <w:r w:rsidRPr="00C80D1B" w:rsidR="0089237E">
        <w:t>retail investors.</w:t>
      </w:r>
      <w:r w:rsidRPr="00C80D1B" w:rsidR="00C126F5">
        <w:t xml:space="preserve"> The EESC notes that a pan-European investment and savings account, taking inspiration from successful models already tried and tested in some Member States, could make a significant contribution to </w:t>
      </w:r>
      <w:r w:rsidRPr="00C80D1B">
        <w:t xml:space="preserve">facilitating </w:t>
      </w:r>
      <w:r w:rsidRPr="00C80D1B" w:rsidR="00C126F5">
        <w:t>access to capital markets for retail investors, provided that such products are</w:t>
      </w:r>
      <w:r w:rsidR="00C61611">
        <w:t xml:space="preserve"> well-regulated,</w:t>
      </w:r>
      <w:r w:rsidRPr="00C80D1B" w:rsidR="00C126F5">
        <w:t xml:space="preserve"> cost-effective</w:t>
      </w:r>
      <w:r w:rsidR="00C61611">
        <w:t>,</w:t>
      </w:r>
      <w:r w:rsidRPr="00C80D1B">
        <w:t xml:space="preserve"> </w:t>
      </w:r>
      <w:r w:rsidRPr="00C80D1B" w:rsidR="00C126F5">
        <w:t>transparent</w:t>
      </w:r>
      <w:r w:rsidR="00BF2DD3">
        <w:t xml:space="preserve"> and</w:t>
      </w:r>
      <w:r w:rsidR="00C61611">
        <w:t xml:space="preserve"> </w:t>
      </w:r>
      <w:r w:rsidR="00BF2DD3">
        <w:t>well-performing</w:t>
      </w:r>
      <w:r w:rsidR="00C61611">
        <w:t xml:space="preserve">, </w:t>
      </w:r>
      <w:r w:rsidRPr="00C80D1B" w:rsidR="00C126F5">
        <w:t>offer</w:t>
      </w:r>
      <w:r w:rsidR="00BF2DD3">
        <w:t>ing</w:t>
      </w:r>
      <w:r w:rsidRPr="00C80D1B" w:rsidR="00C126F5">
        <w:t xml:space="preserve"> equal access to the widest possible range of European and other markets</w:t>
      </w:r>
      <w:r w:rsidR="00C61611">
        <w:t xml:space="preserve">, and </w:t>
      </w:r>
      <w:r w:rsidR="00BF2DD3">
        <w:t>as long as</w:t>
      </w:r>
      <w:r w:rsidR="00C61611">
        <w:t xml:space="preserve"> investors</w:t>
      </w:r>
      <w:r w:rsidR="00D63FDE">
        <w:t xml:space="preserve"> –</w:t>
      </w:r>
      <w:r w:rsidR="00C61611">
        <w:t xml:space="preserve"> and consumer</w:t>
      </w:r>
      <w:r w:rsidR="00BF2DD3">
        <w:t>s</w:t>
      </w:r>
      <w:r w:rsidR="00C61611">
        <w:t xml:space="preserve"> </w:t>
      </w:r>
      <w:r w:rsidR="00D63FDE">
        <w:t xml:space="preserve">more </w:t>
      </w:r>
      <w:r w:rsidR="00C61611">
        <w:t>generally</w:t>
      </w:r>
      <w:r w:rsidR="00D63FDE">
        <w:t xml:space="preserve"> –</w:t>
      </w:r>
      <w:r w:rsidR="00C61611">
        <w:t xml:space="preserve"> are adequately protected</w:t>
      </w:r>
      <w:r w:rsidRPr="00C80D1B" w:rsidR="00C126F5">
        <w:t>.</w:t>
      </w:r>
    </w:p>
    <w:p w:rsidRPr="00C80D1B" w:rsidR="003A32E1" w:rsidP="003A32E1" w:rsidRDefault="003A32E1" w14:paraId="7FFB7AF1" w14:textId="77777777"/>
    <w:p w:rsidRPr="009D5D16" w:rsidR="00911D55" w:rsidP="006A6839" w:rsidRDefault="00911D55" w14:paraId="3435AB10" w14:textId="182DC886">
      <w:pPr>
        <w:pStyle w:val="Heading2"/>
      </w:pPr>
      <w:r w:rsidRPr="009D5D16">
        <w:t xml:space="preserve">The EESC agrees with the Commission on the barriers that </w:t>
      </w:r>
      <w:r w:rsidR="00D63FDE">
        <w:t xml:space="preserve">hinder </w:t>
      </w:r>
      <w:r w:rsidRPr="009D5D16">
        <w:t>the integration of capital markets. A</w:t>
      </w:r>
      <w:r w:rsidRPr="009D5D16" w:rsidR="00C61611">
        <w:t>ny strategy</w:t>
      </w:r>
      <w:r w:rsidRPr="009D5D16">
        <w:t xml:space="preserve"> will not be able to </w:t>
      </w:r>
      <w:r w:rsidRPr="009D5D16" w:rsidR="004406EF">
        <w:t xml:space="preserve">generate </w:t>
      </w:r>
      <w:r w:rsidRPr="009D5D16">
        <w:t xml:space="preserve">significant results unless it is focused on the specific needs of start-up companies in innovative sectors that rely on attracting and retaining specialised, highly skilled personnel. The EU must reverse the </w:t>
      </w:r>
      <w:r w:rsidRPr="009D5D16" w:rsidR="0022035C">
        <w:t>‘</w:t>
      </w:r>
      <w:r w:rsidRPr="009D5D16">
        <w:t>brain drain</w:t>
      </w:r>
      <w:r w:rsidRPr="009D5D16" w:rsidR="0022035C">
        <w:t>’</w:t>
      </w:r>
      <w:r w:rsidRPr="009D5D16">
        <w:t xml:space="preserve"> of highly-skilled</w:t>
      </w:r>
      <w:r w:rsidRPr="009D5D16" w:rsidR="00297BCC">
        <w:t>,</w:t>
      </w:r>
      <w:r w:rsidRPr="009D5D16">
        <w:t xml:space="preserve"> innovative researchers and entrepreneurs towards other jurisdictions</w:t>
      </w:r>
      <w:r w:rsidRPr="009D5D16" w:rsidR="008525B4">
        <w:t>, and</w:t>
      </w:r>
      <w:r w:rsidRPr="009D5D16">
        <w:t xml:space="preserve"> </w:t>
      </w:r>
      <w:r w:rsidRPr="009D5D16" w:rsidR="00987D28">
        <w:t>should therefore</w:t>
      </w:r>
      <w:r w:rsidRPr="009D5D16">
        <w:t xml:space="preserve"> develop a distinct model. </w:t>
      </w:r>
      <w:r w:rsidRPr="009D5D16" w:rsidR="00C61611">
        <w:t>E</w:t>
      </w:r>
      <w:r w:rsidRPr="009D5D16">
        <w:t>arly-stage companies should be encouraged to extend full and fair participation in the value created by collective effort</w:t>
      </w:r>
      <w:r w:rsidRPr="009D5D16" w:rsidR="00906BA1">
        <w:t>,</w:t>
      </w:r>
      <w:r w:rsidRPr="009D5D16">
        <w:t xml:space="preserve"> by offering shares to all permanent, full-time employees. The EESC is mindful</w:t>
      </w:r>
      <w:r w:rsidRPr="009D5D16" w:rsidR="002A636C">
        <w:t xml:space="preserve"> of the fact</w:t>
      </w:r>
      <w:r w:rsidR="00B82040">
        <w:t xml:space="preserve"> </w:t>
      </w:r>
      <w:r w:rsidRPr="009D5D16" w:rsidR="002A636C">
        <w:t>–</w:t>
      </w:r>
      <w:r w:rsidRPr="009D5D16" w:rsidR="002D1CC9">
        <w:t xml:space="preserve"> and acknowledges</w:t>
      </w:r>
      <w:r w:rsidR="00B82040">
        <w:t xml:space="preserve"> </w:t>
      </w:r>
      <w:r w:rsidRPr="009D5D16" w:rsidR="002A636C">
        <w:t xml:space="preserve">– </w:t>
      </w:r>
      <w:r w:rsidRPr="009D5D16" w:rsidR="00B82040">
        <w:t xml:space="preserve">that </w:t>
      </w:r>
      <w:r w:rsidRPr="009D5D16">
        <w:t>labour law and tax legislation remain under the control of Member States</w:t>
      </w:r>
      <w:r w:rsidRPr="009D5D16" w:rsidR="002D1CC9">
        <w:t xml:space="preserve">. Harmonised tax incentives, e.g. regarding capital gains on employee shares, should </w:t>
      </w:r>
      <w:r w:rsidRPr="009D5D16" w:rsidR="002A636C">
        <w:t xml:space="preserve">however </w:t>
      </w:r>
      <w:r w:rsidRPr="009D5D16" w:rsidR="002D1CC9">
        <w:t>be considered.</w:t>
      </w:r>
    </w:p>
    <w:p w:rsidRPr="009D5D16" w:rsidR="003A32E1" w:rsidP="003A32E1" w:rsidRDefault="003A32E1" w14:paraId="71BF26F0" w14:textId="77777777"/>
    <w:p w:rsidRPr="006A64D5" w:rsidR="00911D55" w:rsidP="00970519" w:rsidRDefault="0057577A" w14:paraId="47564371" w14:textId="28962E14">
      <w:pPr>
        <w:pStyle w:val="Heading2"/>
        <w:keepNext/>
        <w:keepLines/>
      </w:pPr>
      <w:r w:rsidRPr="006A64D5">
        <w:t>T</w:t>
      </w:r>
      <w:r w:rsidRPr="006A64D5" w:rsidR="00911D55">
        <w:t>he EESC believes that the development</w:t>
      </w:r>
      <w:r w:rsidRPr="006A64D5" w:rsidR="00F548F1">
        <w:t xml:space="preserve"> –</w:t>
      </w:r>
      <w:r w:rsidRPr="006A64D5" w:rsidR="00911D55">
        <w:t xml:space="preserve"> within the framework of a public-private project</w:t>
      </w:r>
      <w:r w:rsidRPr="006A64D5" w:rsidR="00F548F1">
        <w:t xml:space="preserve"> –</w:t>
      </w:r>
      <w:r w:rsidRPr="006A64D5" w:rsidR="00911D55">
        <w:t xml:space="preserve"> of a European company offering integrated cloud services</w:t>
      </w:r>
      <w:r w:rsidRPr="006A64D5">
        <w:t>, providing a resilient, autonomous technical infrastructure for the SIU, could be</w:t>
      </w:r>
      <w:r w:rsidRPr="006A64D5" w:rsidR="00F548F1">
        <w:t xml:space="preserve"> key to better integration of </w:t>
      </w:r>
      <w:r w:rsidRPr="006A64D5">
        <w:t>capital markets and the banking system</w:t>
      </w:r>
      <w:r w:rsidRPr="006A64D5" w:rsidR="00911D55">
        <w:t xml:space="preserve">. It is </w:t>
      </w:r>
      <w:r w:rsidRPr="006A64D5" w:rsidR="00D42932">
        <w:t xml:space="preserve">well </w:t>
      </w:r>
      <w:r w:rsidRPr="006A64D5" w:rsidR="00911D55">
        <w:t xml:space="preserve">known that when European states have jointly allocated resources for the development of companies or projects, these have proven to be successful. Currently, even the largest lending institutions, the systemic European banks, use cloud services offered by </w:t>
      </w:r>
      <w:r w:rsidRPr="006A64D5" w:rsidR="00C61611">
        <w:t xml:space="preserve">global, predominantly </w:t>
      </w:r>
      <w:r w:rsidRPr="006A64D5" w:rsidR="00911D55">
        <w:t xml:space="preserve">American </w:t>
      </w:r>
      <w:r w:rsidRPr="006A64D5" w:rsidR="00C61611">
        <w:t>platform operators</w:t>
      </w:r>
      <w:r w:rsidRPr="006A64D5" w:rsidR="008525B4">
        <w:t>, which could also represent a security problem</w:t>
      </w:r>
      <w:r w:rsidRPr="006A64D5" w:rsidR="00911D55">
        <w:t xml:space="preserve">. </w:t>
      </w:r>
    </w:p>
    <w:p w:rsidRPr="00C80D1B" w:rsidR="0057577A" w:rsidP="0057577A" w:rsidRDefault="0057577A" w14:paraId="08128928" w14:textId="4A248B2A"/>
    <w:p w:rsidRPr="00C80D1B" w:rsidR="0057577A" w:rsidP="006A6839" w:rsidRDefault="0057577A" w14:paraId="76FB969B" w14:textId="24728AE9">
      <w:pPr>
        <w:pStyle w:val="Heading2"/>
      </w:pPr>
      <w:r w:rsidRPr="00C80D1B">
        <w:t>The EESC is of the view that the success of the SIU requires clear</w:t>
      </w:r>
      <w:r w:rsidR="00392A35">
        <w:t xml:space="preserve">, </w:t>
      </w:r>
      <w:r w:rsidRPr="00C80D1B">
        <w:t xml:space="preserve">transparent key performance indicators (KPIs) and calls upon the Commission to define and publish a KPI dashboard to monitor progress with the implementation of </w:t>
      </w:r>
      <w:r w:rsidR="00906BA1">
        <w:t xml:space="preserve">the </w:t>
      </w:r>
      <w:r w:rsidRPr="00C80D1B">
        <w:t xml:space="preserve">SIU over time. Potential KPI metrics </w:t>
      </w:r>
      <w:r w:rsidR="00392A35">
        <w:t>could</w:t>
      </w:r>
      <w:r w:rsidRPr="00C80D1B">
        <w:t xml:space="preserve"> include (i) </w:t>
      </w:r>
      <w:r w:rsidR="00906BA1">
        <w:t xml:space="preserve">the </w:t>
      </w:r>
      <w:r w:rsidRPr="00C80D1B">
        <w:t xml:space="preserve">growth in cross-border retail investment volumes; (ii) </w:t>
      </w:r>
      <w:r w:rsidR="00906BA1">
        <w:t xml:space="preserve">the </w:t>
      </w:r>
      <w:r w:rsidRPr="00C80D1B">
        <w:t xml:space="preserve">reduction in average capital market transaction costs; (iii) </w:t>
      </w:r>
      <w:r w:rsidR="00906BA1">
        <w:t xml:space="preserve">the </w:t>
      </w:r>
      <w:r w:rsidRPr="00C80D1B">
        <w:t xml:space="preserve">number of </w:t>
      </w:r>
      <w:r w:rsidRPr="00C80D1B" w:rsidR="00C80D1B">
        <w:t>start-ups</w:t>
      </w:r>
      <w:r w:rsidRPr="00C80D1B">
        <w:t xml:space="preserve"> using pan-European equity tools; (iv)</w:t>
      </w:r>
      <w:r w:rsidR="00906BA1">
        <w:t xml:space="preserve"> the</w:t>
      </w:r>
      <w:r w:rsidRPr="00C80D1B">
        <w:t xml:space="preserve"> capital raised by SMEs through public </w:t>
      </w:r>
      <w:r w:rsidR="00906BA1">
        <w:t>and</w:t>
      </w:r>
      <w:r w:rsidRPr="00C80D1B">
        <w:t xml:space="preserve"> venture markets; and (v)</w:t>
      </w:r>
      <w:r w:rsidR="00906BA1">
        <w:t xml:space="preserve"> the</w:t>
      </w:r>
      <w:r w:rsidRPr="00C80D1B">
        <w:t xml:space="preserve"> rate of progress </w:t>
      </w:r>
      <w:r w:rsidR="00392A35">
        <w:t>with</w:t>
      </w:r>
      <w:r w:rsidRPr="00C80D1B">
        <w:t xml:space="preserve"> legal </w:t>
      </w:r>
      <w:r w:rsidRPr="00C80D1B" w:rsidR="00C80D1B">
        <w:t>harmoni</w:t>
      </w:r>
      <w:r w:rsidR="00C80D1B">
        <w:t>s</w:t>
      </w:r>
      <w:r w:rsidRPr="00C80D1B" w:rsidR="00C80D1B">
        <w:t>ation</w:t>
      </w:r>
      <w:r w:rsidRPr="00C80D1B">
        <w:t xml:space="preserve"> </w:t>
      </w:r>
      <w:r w:rsidR="00906BA1">
        <w:t>in the domains of</w:t>
      </w:r>
      <w:r w:rsidRPr="00C80D1B">
        <w:t xml:space="preserve"> insolvency and withholding tax.</w:t>
      </w:r>
      <w:r w:rsidR="00821968">
        <w:t xml:space="preserve"> The EESC recommends setting an ambitious but realistic target date for completion of the SIU, against which progress can be measured.</w:t>
      </w:r>
    </w:p>
    <w:p w:rsidRPr="00C80D1B" w:rsidR="00D43149" w:rsidP="00706BF0" w:rsidRDefault="00D43149" w14:paraId="4CA110FF" w14:textId="77777777"/>
    <w:p w:rsidR="00A66E7F" w:rsidP="00A66E7F" w:rsidRDefault="00A0393E" w14:paraId="27726717" w14:textId="120B431B">
      <w:pPr>
        <w:jc w:val="left"/>
      </w:pPr>
      <w:r>
        <w:t>Brussels, 4 July 2025</w:t>
      </w:r>
      <w:r w:rsidR="00987D6D">
        <w:t>.</w:t>
      </w:r>
    </w:p>
    <w:p w:rsidR="00A0393E" w:rsidP="00A66E7F" w:rsidRDefault="00A0393E" w14:paraId="5B189740" w14:textId="596F59A6">
      <w:pPr>
        <w:jc w:val="left"/>
      </w:pPr>
    </w:p>
    <w:p w:rsidR="00A0393E" w:rsidP="00A66E7F" w:rsidRDefault="00A0393E" w14:paraId="1FCF289F" w14:textId="77777777">
      <w:pPr>
        <w:jc w:val="left"/>
      </w:pPr>
    </w:p>
    <w:p w:rsidR="00A0393E" w:rsidP="00C2127B" w:rsidRDefault="00A0393E" w14:paraId="2435985E" w14:textId="37230273"/>
    <w:p w:rsidRPr="00A0393E" w:rsidR="00A0393E" w:rsidP="00A0393E" w:rsidRDefault="00A0393E" w14:paraId="5521C760" w14:textId="26D1D481">
      <w:pPr>
        <w:jc w:val="left"/>
        <w:rPr>
          <w:i/>
          <w:iCs/>
        </w:rPr>
      </w:pPr>
      <w:r w:rsidRPr="00A0393E">
        <w:rPr>
          <w:i/>
          <w:iCs/>
        </w:rPr>
        <w:t>The president of the Section for Economic and Monetary Union and Economic and Social Cohesion</w:t>
      </w:r>
    </w:p>
    <w:p w:rsidR="00A0393E" w:rsidP="00A0393E" w:rsidRDefault="00A0393E" w14:paraId="5AD231CD" w14:textId="7B3B6EDC">
      <w:pPr>
        <w:jc w:val="left"/>
      </w:pPr>
      <w:r>
        <w:t>Ioannis VARDAKASTANIS</w:t>
      </w:r>
    </w:p>
    <w:p w:rsidR="00A0393E" w:rsidP="00A0393E" w:rsidRDefault="00A0393E" w14:paraId="3218F3D2" w14:textId="77777777">
      <w:pPr>
        <w:jc w:val="left"/>
      </w:pPr>
    </w:p>
    <w:p w:rsidRPr="00C80D1B" w:rsidR="00646AC2" w:rsidP="0015678B" w:rsidRDefault="03385EDC" w14:paraId="5B3BE5E5" w14:textId="51E6F443">
      <w:pPr>
        <w:jc w:val="center"/>
      </w:pPr>
      <w:r w:rsidRPr="00C80D1B">
        <w:t>_____________</w:t>
      </w:r>
    </w:p>
    <w:sectPr w:rsidRPr="00C80D1B" w:rsidR="00646AC2" w:rsidSect="00A4306C">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C92" w:rsidRDefault="00A11C92" w14:paraId="6BC3E807" w14:textId="77777777">
      <w:r>
        <w:separator/>
      </w:r>
    </w:p>
  </w:endnote>
  <w:endnote w:type="continuationSeparator" w:id="0">
    <w:p w:rsidR="00A11C92" w:rsidRDefault="00A11C92" w14:paraId="5BD758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B77D0C" w:rsidP="00A4306C" w:rsidRDefault="00B77D0C" w14:paraId="1C7830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185812" w:rsidP="00A4306C" w:rsidRDefault="00A4306C" w14:paraId="5B3BE5EE" w14:textId="6751ECF1">
    <w:pPr>
      <w:pStyle w:val="Footer"/>
    </w:pPr>
    <w:r>
      <w:t xml:space="preserve">ECO/670 – EESC-2025-01045-00-00-AS-TRA (EN) </w:t>
    </w:r>
    <w:r>
      <w:fldChar w:fldCharType="begin"/>
    </w:r>
    <w:r>
      <w:instrText xml:space="preserve"> PAGE  \* Arabic  \* MERGEFORMAT </w:instrText>
    </w:r>
    <w:r>
      <w:fldChar w:fldCharType="separate"/>
    </w:r>
    <w:r w:rsidR="000A069E">
      <w:rPr>
        <w:noProof/>
      </w:rPr>
      <w:t>1</w:t>
    </w:r>
    <w:r>
      <w:fldChar w:fldCharType="end"/>
    </w:r>
    <w:r>
      <w:t>/</w:t>
    </w:r>
    <w:r w:rsidR="005D2AA9">
      <w:fldChar w:fldCharType="begin"/>
    </w:r>
    <w:r w:rsidR="005D2AA9">
      <w:instrText xml:space="preserve"> NUMPAGES </w:instrText>
    </w:r>
    <w:r w:rsidR="005D2AA9">
      <w:fldChar w:fldCharType="separate"/>
    </w:r>
    <w:r w:rsidR="000A069E">
      <w:rPr>
        <w:noProof/>
      </w:rPr>
      <w:t>1</w:t>
    </w:r>
    <w:r w:rsidR="005D2A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B77D0C" w:rsidP="00A4306C" w:rsidRDefault="00B77D0C" w14:paraId="610FC87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803D9F" w:rsidP="00A4306C" w:rsidRDefault="00803D9F" w14:paraId="4955060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803D9F" w:rsidP="00A4306C" w:rsidRDefault="00A4306C" w14:paraId="1B367A4A" w14:textId="22E93144">
    <w:pPr>
      <w:pStyle w:val="Footer"/>
    </w:pPr>
    <w:r>
      <w:t xml:space="preserve">ECO/670 – EESC-2025-01045-00-00-AS-TRA (EN) </w:t>
    </w:r>
    <w:r>
      <w:fldChar w:fldCharType="begin"/>
    </w:r>
    <w:r>
      <w:instrText xml:space="preserve"> PAGE  \* Arabic  \* MERGEFORMAT </w:instrText>
    </w:r>
    <w:r>
      <w:fldChar w:fldCharType="separate"/>
    </w:r>
    <w:r>
      <w:rPr>
        <w:noProof/>
      </w:rPr>
      <w:t>2</w:t>
    </w:r>
    <w:r>
      <w:fldChar w:fldCharType="end"/>
    </w:r>
    <w:r>
      <w:t>/</w:t>
    </w:r>
    <w:r w:rsidR="005D2AA9">
      <w:fldChar w:fldCharType="begin"/>
    </w:r>
    <w:r w:rsidR="005D2AA9">
      <w:instrText xml:space="preserve"> NUMPAGES </w:instrText>
    </w:r>
    <w:r w:rsidR="005D2AA9">
      <w:fldChar w:fldCharType="separate"/>
    </w:r>
    <w:r>
      <w:rPr>
        <w:noProof/>
      </w:rPr>
      <w:t>9</w:t>
    </w:r>
    <w:r w:rsidR="005D2AA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803D9F" w:rsidP="00A4306C" w:rsidRDefault="00803D9F" w14:paraId="061409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C92" w:rsidRDefault="00A11C92" w14:paraId="41DD95FA" w14:textId="77777777">
      <w:r>
        <w:separator/>
      </w:r>
    </w:p>
  </w:footnote>
  <w:footnote w:type="continuationSeparator" w:id="0">
    <w:p w:rsidR="00A11C92" w:rsidRDefault="00A11C92" w14:paraId="6ED7C016" w14:textId="77777777">
      <w:r>
        <w:continuationSeparator/>
      </w:r>
    </w:p>
  </w:footnote>
  <w:footnote w:id="1">
    <w:p w:rsidRPr="007E135B" w:rsidR="007E135B" w:rsidP="00E4669D" w:rsidRDefault="007E135B" w14:paraId="21634F3B" w14:textId="2CD966D2">
      <w:pPr>
        <w:pStyle w:val="FootnoteText"/>
      </w:pPr>
      <w:r>
        <w:rPr>
          <w:rStyle w:val="FootnoteReference"/>
        </w:rPr>
        <w:footnoteRef/>
      </w:r>
      <w:r w:rsidRPr="007E135B">
        <w:tab/>
      </w:r>
      <w:r>
        <w:t xml:space="preserve">European Commission, </w:t>
      </w:r>
      <w:hyperlink w:history="1" r:id="rId1">
        <w:r w:rsidRPr="006923BB">
          <w:rPr>
            <w:rStyle w:val="Hyperlink"/>
          </w:rPr>
          <w:t>Communication on a Savings and Investments Union</w:t>
        </w:r>
      </w:hyperlink>
      <w:r>
        <w:t>, 19 March 2025</w:t>
      </w:r>
      <w:r w:rsidR="001C624E">
        <w:t>.</w:t>
      </w:r>
    </w:p>
  </w:footnote>
  <w:footnote w:id="2">
    <w:p w:rsidRPr="004A7FA0" w:rsidR="004A7FA0" w:rsidP="00E4669D" w:rsidRDefault="004A7FA0" w14:paraId="2F0FCE2F" w14:textId="37CD0A88">
      <w:pPr>
        <w:pStyle w:val="FootnoteText"/>
      </w:pPr>
      <w:r>
        <w:rPr>
          <w:rStyle w:val="FootnoteReference"/>
        </w:rPr>
        <w:footnoteRef/>
      </w:r>
      <w:r>
        <w:tab/>
      </w:r>
      <w:hyperlink w:history="1" r:id="rId2">
        <w:r w:rsidRPr="008B4A1C" w:rsidR="008B4A1C">
          <w:rPr>
            <w:rStyle w:val="Hyperlink"/>
          </w:rPr>
          <w:t>OJ C 155, 30.4.2021, p. 20</w:t>
        </w:r>
      </w:hyperlink>
      <w:r w:rsidR="008B4A1C">
        <w:t xml:space="preserve"> </w:t>
      </w:r>
      <w:r w:rsidRPr="008B4A1C" w:rsidR="008B4A1C">
        <w:t xml:space="preserve">and </w:t>
      </w:r>
      <w:r w:rsidR="008B4A1C">
        <w:t xml:space="preserve">EESC opinion on </w:t>
      </w:r>
      <w:hyperlink w:history="1" r:id="rId3">
        <w:r w:rsidRPr="008B4A1C" w:rsidR="008B4A1C">
          <w:rPr>
            <w:rStyle w:val="Hyperlink"/>
            <w:i/>
            <w:iCs/>
          </w:rPr>
          <w:t>Investments and reforms for competitiveness and a Capital Markets Union</w:t>
        </w:r>
      </w:hyperlink>
      <w:r w:rsidR="008B4A1C">
        <w:t xml:space="preserve">, </w:t>
      </w:r>
      <w:r w:rsidRPr="005D2AA9" w:rsidR="00987D6D">
        <w:t>(not yet published in the Official Journal)</w:t>
      </w:r>
      <w:r w:rsidR="008B4A1C">
        <w:t>.</w:t>
      </w:r>
      <w:r>
        <w:t xml:space="preserve"> </w:t>
      </w:r>
    </w:p>
  </w:footnote>
  <w:footnote w:id="3">
    <w:p w:rsidRPr="007E135B" w:rsidR="007E135B" w:rsidP="00E4669D" w:rsidRDefault="007E135B" w14:paraId="3060446E" w14:textId="08E5471C">
      <w:pPr>
        <w:pStyle w:val="FootnoteText"/>
      </w:pPr>
      <w:r>
        <w:rPr>
          <w:rStyle w:val="FootnoteReference"/>
        </w:rPr>
        <w:footnoteRef/>
      </w:r>
      <w:r w:rsidRPr="007E135B">
        <w:tab/>
      </w:r>
      <w:r>
        <w:t xml:space="preserve">European Commission, </w:t>
      </w:r>
      <w:hyperlink w:history="1" r:id="rId4">
        <w:r w:rsidRPr="006923BB">
          <w:rPr>
            <w:rStyle w:val="Hyperlink"/>
          </w:rPr>
          <w:t>A competitiveness compass for the EU</w:t>
        </w:r>
      </w:hyperlink>
      <w:r>
        <w:t>, Communication, 29 January 2025</w:t>
      </w:r>
      <w:r w:rsidR="001C624E">
        <w:t>.</w:t>
      </w:r>
    </w:p>
  </w:footnote>
  <w:footnote w:id="4">
    <w:p w:rsidRPr="007E135B" w:rsidR="007E135B" w:rsidP="00E4669D" w:rsidRDefault="007E135B" w14:paraId="0228283D" w14:textId="2BF60AA5">
      <w:pPr>
        <w:pStyle w:val="FootnoteText"/>
      </w:pPr>
      <w:r>
        <w:rPr>
          <w:rStyle w:val="FootnoteReference"/>
        </w:rPr>
        <w:footnoteRef/>
      </w:r>
      <w:r w:rsidRPr="007E135B">
        <w:tab/>
      </w:r>
      <w:r>
        <w:t xml:space="preserve">European Commission, </w:t>
      </w:r>
      <w:hyperlink w:history="1" r:id="rId5">
        <w:r w:rsidRPr="006923BB">
          <w:rPr>
            <w:rStyle w:val="Hyperlink"/>
          </w:rPr>
          <w:t>Communication on a Savings and Investments Union</w:t>
        </w:r>
      </w:hyperlink>
      <w:r>
        <w:t>, European Commission, 19 March 2025</w:t>
      </w:r>
      <w:r w:rsidR="001C624E">
        <w:t>.</w:t>
      </w:r>
    </w:p>
  </w:footnote>
  <w:footnote w:id="5">
    <w:p w:rsidR="00374214" w:rsidP="00E4669D" w:rsidRDefault="00374214" w14:paraId="391CF1E1" w14:textId="3F93F280">
      <w:pPr>
        <w:pStyle w:val="FootnoteText"/>
      </w:pPr>
      <w:r>
        <w:rPr>
          <w:rStyle w:val="FootnoteReference"/>
        </w:rPr>
        <w:footnoteRef/>
      </w:r>
      <w:r>
        <w:tab/>
      </w:r>
      <w:hyperlink w:history="1" r:id="rId6">
        <w:r w:rsidRPr="00915888" w:rsidR="00915888">
          <w:rPr>
            <w:rStyle w:val="Hyperlink"/>
          </w:rPr>
          <w:t>OJ C 443, 22.11.2022, p. 87</w:t>
        </w:r>
      </w:hyperlink>
      <w:r w:rsidRPr="006A6839" w:rsidR="006A6839">
        <w:t>.</w:t>
      </w:r>
    </w:p>
  </w:footnote>
  <w:footnote w:id="6">
    <w:p w:rsidR="002E1AF1" w:rsidP="00E4669D" w:rsidRDefault="002E1AF1" w14:paraId="5A7CB73C" w14:textId="27345D5C">
      <w:pPr>
        <w:pStyle w:val="FootnoteText"/>
      </w:pPr>
      <w:r>
        <w:rPr>
          <w:rStyle w:val="FootnoteReference"/>
        </w:rPr>
        <w:footnoteRef/>
      </w:r>
      <w:r>
        <w:tab/>
        <w:t>Joint Committee of the European Supervisory Authorities, Call for advice on PRIIPs: ESA advice on the review of the PRIIPs Regulation, JC 2022/20, 29 April 2022</w:t>
      </w:r>
      <w:r w:rsidR="00453933">
        <w:t>.</w:t>
      </w:r>
    </w:p>
  </w:footnote>
  <w:footnote w:id="7">
    <w:p w:rsidRPr="007E135B" w:rsidR="007E135B" w:rsidP="00E4669D" w:rsidRDefault="007E135B" w14:paraId="56AC2F13" w14:textId="1EEE5316">
      <w:pPr>
        <w:pStyle w:val="FootnoteText"/>
      </w:pPr>
      <w:r>
        <w:rPr>
          <w:rStyle w:val="FootnoteReference"/>
        </w:rPr>
        <w:footnoteRef/>
      </w:r>
      <w:r w:rsidRPr="007E135B">
        <w:tab/>
      </w:r>
      <w:r w:rsidRPr="004035E0">
        <w:t xml:space="preserve">European Commission, </w:t>
      </w:r>
      <w:hyperlink w:history="1" r:id="rId7">
        <w:r w:rsidRPr="004035E0">
          <w:rPr>
            <w:rStyle w:val="Hyperlink"/>
          </w:rPr>
          <w:t>The road to the next Multiannual Financial Framework</w:t>
        </w:r>
      </w:hyperlink>
      <w:hyperlink w:history="1" r:id="rId8"/>
      <w:r w:rsidRPr="004035E0">
        <w:t>,</w:t>
      </w:r>
      <w:r>
        <w:t xml:space="preserve"> Communication,</w:t>
      </w:r>
      <w:r w:rsidR="00BB5B7B">
        <w:t xml:space="preserve"> </w:t>
      </w:r>
      <w:hyperlink w:history="1" r:id="rId9">
        <w:r w:rsidRPr="00E60F10" w:rsidR="00BB5B7B">
          <w:rPr>
            <w:rStyle w:val="Hyperlink"/>
          </w:rPr>
          <w:t>COM(2025) 46 final</w:t>
        </w:r>
      </w:hyperlink>
      <w:r w:rsidR="00BB5B7B">
        <w:t>,</w:t>
      </w:r>
      <w:r w:rsidRPr="004035E0">
        <w:t xml:space="preserve"> 11 February 2025</w:t>
      </w:r>
      <w:r w:rsidR="001C624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B77D0C" w:rsidP="00A4306C" w:rsidRDefault="00B77D0C" w14:paraId="3FDCBA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B77D0C" w:rsidP="00A4306C" w:rsidRDefault="00B77D0C" w14:paraId="2787E2EC" w14:textId="7978B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B77D0C" w:rsidP="00A4306C" w:rsidRDefault="00B77D0C" w14:paraId="6902EB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803D9F" w:rsidP="00A4306C" w:rsidRDefault="00803D9F" w14:paraId="1D18CEC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803D9F" w:rsidP="00A4306C" w:rsidRDefault="00803D9F" w14:paraId="1F505EE7" w14:textId="74D16C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306C" w:rsidR="00803D9F" w:rsidP="00A4306C" w:rsidRDefault="00803D9F" w14:paraId="147923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7654CC"/>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9220841"/>
    <w:multiLevelType w:val="multilevel"/>
    <w:tmpl w:val="D7C420F4"/>
    <w:lvl w:ilvl="0">
      <w:start w:val="1"/>
      <w:numFmt w:val="decimal"/>
      <w:lvlText w:val="%1."/>
      <w:lvlJc w:val="left"/>
      <w:rPr>
        <w:rFonts w:hint="default"/>
        <w:b/>
        <w:i w:val="0"/>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443435EA"/>
    <w:multiLevelType w:val="multilevel"/>
    <w:tmpl w:val="EF669A8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num>
  <w:num w:numId="3">
    <w:abstractNumId w:val="1"/>
  </w:num>
  <w:num w:numId="4">
    <w:abstractNumId w:val="0"/>
  </w:num>
  <w:num w:numId="5">
    <w:abstractNumId w:val="2"/>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5EF9"/>
    <w:rsid w:val="00006E24"/>
    <w:rsid w:val="00007A40"/>
    <w:rsid w:val="00011D33"/>
    <w:rsid w:val="00012D29"/>
    <w:rsid w:val="00020E6E"/>
    <w:rsid w:val="00023119"/>
    <w:rsid w:val="00024909"/>
    <w:rsid w:val="0002717A"/>
    <w:rsid w:val="000278A0"/>
    <w:rsid w:val="00030DD8"/>
    <w:rsid w:val="00031A4B"/>
    <w:rsid w:val="0003273F"/>
    <w:rsid w:val="00033913"/>
    <w:rsid w:val="00033E5B"/>
    <w:rsid w:val="000357A8"/>
    <w:rsid w:val="00037E3E"/>
    <w:rsid w:val="000415E4"/>
    <w:rsid w:val="000430A6"/>
    <w:rsid w:val="00044923"/>
    <w:rsid w:val="000517B1"/>
    <w:rsid w:val="0005249C"/>
    <w:rsid w:val="000534A5"/>
    <w:rsid w:val="00056544"/>
    <w:rsid w:val="0005680D"/>
    <w:rsid w:val="000607D3"/>
    <w:rsid w:val="0006145E"/>
    <w:rsid w:val="00063FB4"/>
    <w:rsid w:val="0006586C"/>
    <w:rsid w:val="0006793E"/>
    <w:rsid w:val="00067BC5"/>
    <w:rsid w:val="00072E0F"/>
    <w:rsid w:val="000735E5"/>
    <w:rsid w:val="0007392F"/>
    <w:rsid w:val="000855E1"/>
    <w:rsid w:val="000860DB"/>
    <w:rsid w:val="00087B39"/>
    <w:rsid w:val="00093233"/>
    <w:rsid w:val="000949B3"/>
    <w:rsid w:val="000951C8"/>
    <w:rsid w:val="00096502"/>
    <w:rsid w:val="00097AF7"/>
    <w:rsid w:val="000A069E"/>
    <w:rsid w:val="000A49BB"/>
    <w:rsid w:val="000C3441"/>
    <w:rsid w:val="000C7F53"/>
    <w:rsid w:val="000D2F8E"/>
    <w:rsid w:val="000D72FD"/>
    <w:rsid w:val="000E183D"/>
    <w:rsid w:val="000E23D1"/>
    <w:rsid w:val="000F196B"/>
    <w:rsid w:val="001022E5"/>
    <w:rsid w:val="00104ADB"/>
    <w:rsid w:val="00105361"/>
    <w:rsid w:val="001101F8"/>
    <w:rsid w:val="00110C00"/>
    <w:rsid w:val="00111098"/>
    <w:rsid w:val="0011206F"/>
    <w:rsid w:val="00112FFA"/>
    <w:rsid w:val="00113C69"/>
    <w:rsid w:val="001147FD"/>
    <w:rsid w:val="001151D5"/>
    <w:rsid w:val="0011656A"/>
    <w:rsid w:val="00121D25"/>
    <w:rsid w:val="0012220C"/>
    <w:rsid w:val="00125BA9"/>
    <w:rsid w:val="00130EEC"/>
    <w:rsid w:val="0013664F"/>
    <w:rsid w:val="00136EA3"/>
    <w:rsid w:val="00137575"/>
    <w:rsid w:val="00141DEE"/>
    <w:rsid w:val="001431F1"/>
    <w:rsid w:val="00144231"/>
    <w:rsid w:val="00147C76"/>
    <w:rsid w:val="00150434"/>
    <w:rsid w:val="0015108F"/>
    <w:rsid w:val="00155721"/>
    <w:rsid w:val="0015678B"/>
    <w:rsid w:val="00162F7A"/>
    <w:rsid w:val="0016503F"/>
    <w:rsid w:val="0016674F"/>
    <w:rsid w:val="00166AED"/>
    <w:rsid w:val="00167CA0"/>
    <w:rsid w:val="0017120D"/>
    <w:rsid w:val="001714F6"/>
    <w:rsid w:val="00176168"/>
    <w:rsid w:val="00177158"/>
    <w:rsid w:val="001808A5"/>
    <w:rsid w:val="00184FD4"/>
    <w:rsid w:val="00185812"/>
    <w:rsid w:val="00186B04"/>
    <w:rsid w:val="00186F1E"/>
    <w:rsid w:val="0018710C"/>
    <w:rsid w:val="00190836"/>
    <w:rsid w:val="00193930"/>
    <w:rsid w:val="001963A5"/>
    <w:rsid w:val="00196F1E"/>
    <w:rsid w:val="00197FCA"/>
    <w:rsid w:val="001A27DB"/>
    <w:rsid w:val="001A6852"/>
    <w:rsid w:val="001B286A"/>
    <w:rsid w:val="001B2D02"/>
    <w:rsid w:val="001B3647"/>
    <w:rsid w:val="001B77FA"/>
    <w:rsid w:val="001C0ABE"/>
    <w:rsid w:val="001C336B"/>
    <w:rsid w:val="001C5852"/>
    <w:rsid w:val="001C624E"/>
    <w:rsid w:val="001D0E32"/>
    <w:rsid w:val="001D45F0"/>
    <w:rsid w:val="001D5754"/>
    <w:rsid w:val="001E0909"/>
    <w:rsid w:val="001E4A05"/>
    <w:rsid w:val="001E4A33"/>
    <w:rsid w:val="001E50AB"/>
    <w:rsid w:val="001E5C27"/>
    <w:rsid w:val="001E6224"/>
    <w:rsid w:val="001F602B"/>
    <w:rsid w:val="001F6AC8"/>
    <w:rsid w:val="002037D5"/>
    <w:rsid w:val="00206F90"/>
    <w:rsid w:val="00207B91"/>
    <w:rsid w:val="002102A9"/>
    <w:rsid w:val="0021158C"/>
    <w:rsid w:val="00212B03"/>
    <w:rsid w:val="002131AE"/>
    <w:rsid w:val="002139D7"/>
    <w:rsid w:val="00215C10"/>
    <w:rsid w:val="00215C2D"/>
    <w:rsid w:val="0022035C"/>
    <w:rsid w:val="00220BC8"/>
    <w:rsid w:val="00222B52"/>
    <w:rsid w:val="00223104"/>
    <w:rsid w:val="002252C4"/>
    <w:rsid w:val="00230C7F"/>
    <w:rsid w:val="0023183E"/>
    <w:rsid w:val="00235138"/>
    <w:rsid w:val="00240622"/>
    <w:rsid w:val="0024159A"/>
    <w:rsid w:val="002415AE"/>
    <w:rsid w:val="00241B7B"/>
    <w:rsid w:val="00241CB0"/>
    <w:rsid w:val="0024277C"/>
    <w:rsid w:val="00243E36"/>
    <w:rsid w:val="0024540B"/>
    <w:rsid w:val="00245EF4"/>
    <w:rsid w:val="00247479"/>
    <w:rsid w:val="00250E11"/>
    <w:rsid w:val="00251383"/>
    <w:rsid w:val="002522C9"/>
    <w:rsid w:val="00252A21"/>
    <w:rsid w:val="00253E4F"/>
    <w:rsid w:val="002542E4"/>
    <w:rsid w:val="00260250"/>
    <w:rsid w:val="00261053"/>
    <w:rsid w:val="00262FDE"/>
    <w:rsid w:val="00263629"/>
    <w:rsid w:val="002702E6"/>
    <w:rsid w:val="002723C8"/>
    <w:rsid w:val="002769BD"/>
    <w:rsid w:val="00276A75"/>
    <w:rsid w:val="00277EE5"/>
    <w:rsid w:val="002809EA"/>
    <w:rsid w:val="00284962"/>
    <w:rsid w:val="00287B0E"/>
    <w:rsid w:val="0029104D"/>
    <w:rsid w:val="00297BCC"/>
    <w:rsid w:val="002A0B53"/>
    <w:rsid w:val="002A0EEF"/>
    <w:rsid w:val="002A636C"/>
    <w:rsid w:val="002A76F9"/>
    <w:rsid w:val="002B29B9"/>
    <w:rsid w:val="002B2DF7"/>
    <w:rsid w:val="002B332F"/>
    <w:rsid w:val="002B5AC2"/>
    <w:rsid w:val="002C03F9"/>
    <w:rsid w:val="002C1807"/>
    <w:rsid w:val="002C1DB1"/>
    <w:rsid w:val="002C3481"/>
    <w:rsid w:val="002C3BF4"/>
    <w:rsid w:val="002C749F"/>
    <w:rsid w:val="002D0742"/>
    <w:rsid w:val="002D1CC9"/>
    <w:rsid w:val="002D2318"/>
    <w:rsid w:val="002D6215"/>
    <w:rsid w:val="002E150E"/>
    <w:rsid w:val="002E1AF1"/>
    <w:rsid w:val="002E7B33"/>
    <w:rsid w:val="002F059B"/>
    <w:rsid w:val="002F0D44"/>
    <w:rsid w:val="002F5B0B"/>
    <w:rsid w:val="002F7D71"/>
    <w:rsid w:val="00300924"/>
    <w:rsid w:val="0030596E"/>
    <w:rsid w:val="003073C3"/>
    <w:rsid w:val="003151BB"/>
    <w:rsid w:val="0031639F"/>
    <w:rsid w:val="003220D5"/>
    <w:rsid w:val="00323637"/>
    <w:rsid w:val="00324E8A"/>
    <w:rsid w:val="00331D87"/>
    <w:rsid w:val="00332850"/>
    <w:rsid w:val="00334478"/>
    <w:rsid w:val="003346B4"/>
    <w:rsid w:val="00334AE6"/>
    <w:rsid w:val="003365D0"/>
    <w:rsid w:val="00336C96"/>
    <w:rsid w:val="003423F2"/>
    <w:rsid w:val="00342D4A"/>
    <w:rsid w:val="003439AB"/>
    <w:rsid w:val="00344BCC"/>
    <w:rsid w:val="0035034C"/>
    <w:rsid w:val="00352945"/>
    <w:rsid w:val="00354695"/>
    <w:rsid w:val="0035549B"/>
    <w:rsid w:val="00356C5A"/>
    <w:rsid w:val="00363CD0"/>
    <w:rsid w:val="0037099F"/>
    <w:rsid w:val="00374214"/>
    <w:rsid w:val="003755C8"/>
    <w:rsid w:val="00375687"/>
    <w:rsid w:val="00380AE0"/>
    <w:rsid w:val="00383324"/>
    <w:rsid w:val="00387A75"/>
    <w:rsid w:val="003904FD"/>
    <w:rsid w:val="00392A1C"/>
    <w:rsid w:val="00392A35"/>
    <w:rsid w:val="00394254"/>
    <w:rsid w:val="003A2E76"/>
    <w:rsid w:val="003A300F"/>
    <w:rsid w:val="003A32E1"/>
    <w:rsid w:val="003A7F3F"/>
    <w:rsid w:val="003B0C32"/>
    <w:rsid w:val="003B3451"/>
    <w:rsid w:val="003B5DCA"/>
    <w:rsid w:val="003C2BFB"/>
    <w:rsid w:val="003C436B"/>
    <w:rsid w:val="003C5337"/>
    <w:rsid w:val="003C5F92"/>
    <w:rsid w:val="003D4634"/>
    <w:rsid w:val="003D7A8C"/>
    <w:rsid w:val="003D7C00"/>
    <w:rsid w:val="003E56E5"/>
    <w:rsid w:val="003E6D0B"/>
    <w:rsid w:val="003E7E60"/>
    <w:rsid w:val="003F00D4"/>
    <w:rsid w:val="003F2209"/>
    <w:rsid w:val="003F3D39"/>
    <w:rsid w:val="003F4F83"/>
    <w:rsid w:val="003F646A"/>
    <w:rsid w:val="003F6761"/>
    <w:rsid w:val="003F6A0A"/>
    <w:rsid w:val="004024F5"/>
    <w:rsid w:val="00402DE1"/>
    <w:rsid w:val="00403D8B"/>
    <w:rsid w:val="00404195"/>
    <w:rsid w:val="004058F1"/>
    <w:rsid w:val="0040653C"/>
    <w:rsid w:val="00407E7D"/>
    <w:rsid w:val="0041283D"/>
    <w:rsid w:val="00413AB4"/>
    <w:rsid w:val="00421373"/>
    <w:rsid w:val="004216BE"/>
    <w:rsid w:val="00421A5A"/>
    <w:rsid w:val="00421FB7"/>
    <w:rsid w:val="004273BD"/>
    <w:rsid w:val="0042763B"/>
    <w:rsid w:val="0043024C"/>
    <w:rsid w:val="00430AB2"/>
    <w:rsid w:val="00435EC5"/>
    <w:rsid w:val="00436706"/>
    <w:rsid w:val="004406EF"/>
    <w:rsid w:val="00443D38"/>
    <w:rsid w:val="00450E7A"/>
    <w:rsid w:val="00453933"/>
    <w:rsid w:val="00454BE1"/>
    <w:rsid w:val="00456AF8"/>
    <w:rsid w:val="00470B15"/>
    <w:rsid w:val="004741D2"/>
    <w:rsid w:val="004744C3"/>
    <w:rsid w:val="004755E0"/>
    <w:rsid w:val="00475869"/>
    <w:rsid w:val="00475A77"/>
    <w:rsid w:val="00482902"/>
    <w:rsid w:val="004866A9"/>
    <w:rsid w:val="00487184"/>
    <w:rsid w:val="0048754F"/>
    <w:rsid w:val="00487704"/>
    <w:rsid w:val="00492774"/>
    <w:rsid w:val="00493D37"/>
    <w:rsid w:val="004947B4"/>
    <w:rsid w:val="00496056"/>
    <w:rsid w:val="0049695B"/>
    <w:rsid w:val="00496D7A"/>
    <w:rsid w:val="00497A49"/>
    <w:rsid w:val="004A31BC"/>
    <w:rsid w:val="004A3F1A"/>
    <w:rsid w:val="004A3F45"/>
    <w:rsid w:val="004A5738"/>
    <w:rsid w:val="004A6895"/>
    <w:rsid w:val="004A7FA0"/>
    <w:rsid w:val="004B1AFA"/>
    <w:rsid w:val="004B6582"/>
    <w:rsid w:val="004B674E"/>
    <w:rsid w:val="004B7088"/>
    <w:rsid w:val="004B7F96"/>
    <w:rsid w:val="004C4D12"/>
    <w:rsid w:val="004C5B76"/>
    <w:rsid w:val="004D02CD"/>
    <w:rsid w:val="004D0B24"/>
    <w:rsid w:val="004D4B90"/>
    <w:rsid w:val="004D6875"/>
    <w:rsid w:val="004D6B95"/>
    <w:rsid w:val="004D7F41"/>
    <w:rsid w:val="004E03A2"/>
    <w:rsid w:val="004E2A92"/>
    <w:rsid w:val="004E317E"/>
    <w:rsid w:val="004E3954"/>
    <w:rsid w:val="004E5856"/>
    <w:rsid w:val="004F0C2B"/>
    <w:rsid w:val="004F2330"/>
    <w:rsid w:val="004F53C6"/>
    <w:rsid w:val="004F55C6"/>
    <w:rsid w:val="004F69DB"/>
    <w:rsid w:val="004F6B87"/>
    <w:rsid w:val="00501A20"/>
    <w:rsid w:val="00501C2D"/>
    <w:rsid w:val="00501CBD"/>
    <w:rsid w:val="00502637"/>
    <w:rsid w:val="00502E31"/>
    <w:rsid w:val="005074CC"/>
    <w:rsid w:val="00511140"/>
    <w:rsid w:val="00512A4E"/>
    <w:rsid w:val="00512D6E"/>
    <w:rsid w:val="00513CFE"/>
    <w:rsid w:val="00523B6A"/>
    <w:rsid w:val="00525F6C"/>
    <w:rsid w:val="0052782A"/>
    <w:rsid w:val="0052787A"/>
    <w:rsid w:val="00533C04"/>
    <w:rsid w:val="00534171"/>
    <w:rsid w:val="00546AB4"/>
    <w:rsid w:val="005514E5"/>
    <w:rsid w:val="00552AA4"/>
    <w:rsid w:val="00563C84"/>
    <w:rsid w:val="00573E27"/>
    <w:rsid w:val="0057482A"/>
    <w:rsid w:val="0057577A"/>
    <w:rsid w:val="005762F6"/>
    <w:rsid w:val="00582D0B"/>
    <w:rsid w:val="00583F51"/>
    <w:rsid w:val="00584FBE"/>
    <w:rsid w:val="0058510C"/>
    <w:rsid w:val="00585483"/>
    <w:rsid w:val="00587378"/>
    <w:rsid w:val="00587C05"/>
    <w:rsid w:val="00590AAB"/>
    <w:rsid w:val="005938C3"/>
    <w:rsid w:val="0059468C"/>
    <w:rsid w:val="00595125"/>
    <w:rsid w:val="00596F21"/>
    <w:rsid w:val="005B1CDD"/>
    <w:rsid w:val="005B1E19"/>
    <w:rsid w:val="005B3FF0"/>
    <w:rsid w:val="005B55FC"/>
    <w:rsid w:val="005C0169"/>
    <w:rsid w:val="005C2BF3"/>
    <w:rsid w:val="005C2D5E"/>
    <w:rsid w:val="005C3B81"/>
    <w:rsid w:val="005C650C"/>
    <w:rsid w:val="005C7AD9"/>
    <w:rsid w:val="005D086C"/>
    <w:rsid w:val="005D11D3"/>
    <w:rsid w:val="005D2AA9"/>
    <w:rsid w:val="005D4E1F"/>
    <w:rsid w:val="005D4FB3"/>
    <w:rsid w:val="005D697A"/>
    <w:rsid w:val="005E2F07"/>
    <w:rsid w:val="005E2FEA"/>
    <w:rsid w:val="005F314B"/>
    <w:rsid w:val="005F6739"/>
    <w:rsid w:val="005F6865"/>
    <w:rsid w:val="005F6A48"/>
    <w:rsid w:val="00602DC7"/>
    <w:rsid w:val="00605721"/>
    <w:rsid w:val="00611AF2"/>
    <w:rsid w:val="0061204B"/>
    <w:rsid w:val="0061212B"/>
    <w:rsid w:val="006127AF"/>
    <w:rsid w:val="00613A98"/>
    <w:rsid w:val="00615FB2"/>
    <w:rsid w:val="00617BD1"/>
    <w:rsid w:val="00617C7C"/>
    <w:rsid w:val="00617CE8"/>
    <w:rsid w:val="00621A04"/>
    <w:rsid w:val="00621BBA"/>
    <w:rsid w:val="006278A0"/>
    <w:rsid w:val="0063095F"/>
    <w:rsid w:val="00631CBD"/>
    <w:rsid w:val="006324D1"/>
    <w:rsid w:val="0063335E"/>
    <w:rsid w:val="0063704F"/>
    <w:rsid w:val="006427AC"/>
    <w:rsid w:val="00646AC2"/>
    <w:rsid w:val="006471A0"/>
    <w:rsid w:val="00650390"/>
    <w:rsid w:val="006526A9"/>
    <w:rsid w:val="006526FB"/>
    <w:rsid w:val="00654DAB"/>
    <w:rsid w:val="006574C8"/>
    <w:rsid w:val="006579DF"/>
    <w:rsid w:val="0066204A"/>
    <w:rsid w:val="00670E3C"/>
    <w:rsid w:val="0067641B"/>
    <w:rsid w:val="00677F57"/>
    <w:rsid w:val="00677FF3"/>
    <w:rsid w:val="00681088"/>
    <w:rsid w:val="00683EE8"/>
    <w:rsid w:val="00685349"/>
    <w:rsid w:val="00687C73"/>
    <w:rsid w:val="00691B9B"/>
    <w:rsid w:val="0069577E"/>
    <w:rsid w:val="006958F1"/>
    <w:rsid w:val="0069634B"/>
    <w:rsid w:val="00696623"/>
    <w:rsid w:val="006A04E9"/>
    <w:rsid w:val="006A13C8"/>
    <w:rsid w:val="006A4A03"/>
    <w:rsid w:val="006A64D5"/>
    <w:rsid w:val="006A6839"/>
    <w:rsid w:val="006A7543"/>
    <w:rsid w:val="006B45EB"/>
    <w:rsid w:val="006B6309"/>
    <w:rsid w:val="006B725C"/>
    <w:rsid w:val="006B7DF9"/>
    <w:rsid w:val="006C273D"/>
    <w:rsid w:val="006C5C4F"/>
    <w:rsid w:val="006C6282"/>
    <w:rsid w:val="006C738A"/>
    <w:rsid w:val="006C762A"/>
    <w:rsid w:val="006D403F"/>
    <w:rsid w:val="006D5FF9"/>
    <w:rsid w:val="006E0772"/>
    <w:rsid w:val="006E0AF3"/>
    <w:rsid w:val="006E0F86"/>
    <w:rsid w:val="006E7C48"/>
    <w:rsid w:val="006F0B15"/>
    <w:rsid w:val="006F0DCC"/>
    <w:rsid w:val="0070132C"/>
    <w:rsid w:val="00703DF9"/>
    <w:rsid w:val="007048EB"/>
    <w:rsid w:val="00704FBB"/>
    <w:rsid w:val="00706BF0"/>
    <w:rsid w:val="0070726A"/>
    <w:rsid w:val="0071226B"/>
    <w:rsid w:val="00713170"/>
    <w:rsid w:val="00715C85"/>
    <w:rsid w:val="00715E85"/>
    <w:rsid w:val="00717040"/>
    <w:rsid w:val="00721A34"/>
    <w:rsid w:val="00740354"/>
    <w:rsid w:val="00741377"/>
    <w:rsid w:val="00746E64"/>
    <w:rsid w:val="007622A7"/>
    <w:rsid w:val="00764B85"/>
    <w:rsid w:val="00770ACA"/>
    <w:rsid w:val="00772C5E"/>
    <w:rsid w:val="0077372C"/>
    <w:rsid w:val="007750A2"/>
    <w:rsid w:val="0077657C"/>
    <w:rsid w:val="00777ADE"/>
    <w:rsid w:val="007817D6"/>
    <w:rsid w:val="00781996"/>
    <w:rsid w:val="00781E1C"/>
    <w:rsid w:val="00786C34"/>
    <w:rsid w:val="00787912"/>
    <w:rsid w:val="0079177A"/>
    <w:rsid w:val="00794836"/>
    <w:rsid w:val="007948D5"/>
    <w:rsid w:val="007965BB"/>
    <w:rsid w:val="007A15C9"/>
    <w:rsid w:val="007A4D5C"/>
    <w:rsid w:val="007A6676"/>
    <w:rsid w:val="007B7FF5"/>
    <w:rsid w:val="007C3FC6"/>
    <w:rsid w:val="007C48F3"/>
    <w:rsid w:val="007D172D"/>
    <w:rsid w:val="007D2AE1"/>
    <w:rsid w:val="007D2CE9"/>
    <w:rsid w:val="007D4FED"/>
    <w:rsid w:val="007D54C2"/>
    <w:rsid w:val="007D69DA"/>
    <w:rsid w:val="007D70B1"/>
    <w:rsid w:val="007D7140"/>
    <w:rsid w:val="007E135B"/>
    <w:rsid w:val="007E1CDB"/>
    <w:rsid w:val="007E408C"/>
    <w:rsid w:val="007E50BF"/>
    <w:rsid w:val="007E7E21"/>
    <w:rsid w:val="007F040A"/>
    <w:rsid w:val="007F0460"/>
    <w:rsid w:val="007F0DA2"/>
    <w:rsid w:val="007F39CE"/>
    <w:rsid w:val="007F5E0D"/>
    <w:rsid w:val="00801085"/>
    <w:rsid w:val="00801A89"/>
    <w:rsid w:val="008028C8"/>
    <w:rsid w:val="00803D9F"/>
    <w:rsid w:val="00804457"/>
    <w:rsid w:val="00812061"/>
    <w:rsid w:val="00812138"/>
    <w:rsid w:val="008151F2"/>
    <w:rsid w:val="00815AAF"/>
    <w:rsid w:val="0081777A"/>
    <w:rsid w:val="008210E0"/>
    <w:rsid w:val="008216A2"/>
    <w:rsid w:val="00821968"/>
    <w:rsid w:val="0082203A"/>
    <w:rsid w:val="00824079"/>
    <w:rsid w:val="008309F1"/>
    <w:rsid w:val="00831F0A"/>
    <w:rsid w:val="00833A78"/>
    <w:rsid w:val="008378AD"/>
    <w:rsid w:val="00840F28"/>
    <w:rsid w:val="00841E46"/>
    <w:rsid w:val="0084585F"/>
    <w:rsid w:val="00851298"/>
    <w:rsid w:val="00851722"/>
    <w:rsid w:val="008525B4"/>
    <w:rsid w:val="00852724"/>
    <w:rsid w:val="00853E53"/>
    <w:rsid w:val="0085535C"/>
    <w:rsid w:val="00861A28"/>
    <w:rsid w:val="00861C49"/>
    <w:rsid w:val="00862F9F"/>
    <w:rsid w:val="00864D76"/>
    <w:rsid w:val="008656C9"/>
    <w:rsid w:val="00866803"/>
    <w:rsid w:val="0086711C"/>
    <w:rsid w:val="00867535"/>
    <w:rsid w:val="00870F78"/>
    <w:rsid w:val="00873B7C"/>
    <w:rsid w:val="00875B67"/>
    <w:rsid w:val="00875C5B"/>
    <w:rsid w:val="0088041C"/>
    <w:rsid w:val="00883C5F"/>
    <w:rsid w:val="008903B0"/>
    <w:rsid w:val="0089102A"/>
    <w:rsid w:val="00891C7D"/>
    <w:rsid w:val="0089237E"/>
    <w:rsid w:val="00892FA7"/>
    <w:rsid w:val="008A08C1"/>
    <w:rsid w:val="008A3301"/>
    <w:rsid w:val="008A4DF1"/>
    <w:rsid w:val="008A5636"/>
    <w:rsid w:val="008B125E"/>
    <w:rsid w:val="008B241C"/>
    <w:rsid w:val="008B408B"/>
    <w:rsid w:val="008B4A1C"/>
    <w:rsid w:val="008B4F11"/>
    <w:rsid w:val="008B5167"/>
    <w:rsid w:val="008C0C49"/>
    <w:rsid w:val="008C2362"/>
    <w:rsid w:val="008C3049"/>
    <w:rsid w:val="008C4583"/>
    <w:rsid w:val="008C5774"/>
    <w:rsid w:val="008C74D9"/>
    <w:rsid w:val="008D1085"/>
    <w:rsid w:val="008D2871"/>
    <w:rsid w:val="008D2D19"/>
    <w:rsid w:val="008D4A33"/>
    <w:rsid w:val="008D4AE9"/>
    <w:rsid w:val="008D4DBF"/>
    <w:rsid w:val="008D5CF3"/>
    <w:rsid w:val="008D7D39"/>
    <w:rsid w:val="008E4574"/>
    <w:rsid w:val="008F2988"/>
    <w:rsid w:val="008F4016"/>
    <w:rsid w:val="008F42FE"/>
    <w:rsid w:val="008F4A00"/>
    <w:rsid w:val="008F5402"/>
    <w:rsid w:val="008F639F"/>
    <w:rsid w:val="0090053A"/>
    <w:rsid w:val="0090184F"/>
    <w:rsid w:val="00901C2A"/>
    <w:rsid w:val="00906BA1"/>
    <w:rsid w:val="00907090"/>
    <w:rsid w:val="009118C7"/>
    <w:rsid w:val="00911D55"/>
    <w:rsid w:val="009134DD"/>
    <w:rsid w:val="00915888"/>
    <w:rsid w:val="00916F4F"/>
    <w:rsid w:val="00920BA1"/>
    <w:rsid w:val="009225B6"/>
    <w:rsid w:val="00925397"/>
    <w:rsid w:val="0092698C"/>
    <w:rsid w:val="00932123"/>
    <w:rsid w:val="00933A21"/>
    <w:rsid w:val="00933C85"/>
    <w:rsid w:val="00934C10"/>
    <w:rsid w:val="0093662A"/>
    <w:rsid w:val="0094060C"/>
    <w:rsid w:val="00942C4B"/>
    <w:rsid w:val="00944196"/>
    <w:rsid w:val="00947AF6"/>
    <w:rsid w:val="00950AE0"/>
    <w:rsid w:val="009606A5"/>
    <w:rsid w:val="00962F1F"/>
    <w:rsid w:val="00965304"/>
    <w:rsid w:val="00966414"/>
    <w:rsid w:val="00970519"/>
    <w:rsid w:val="00971293"/>
    <w:rsid w:val="009722D3"/>
    <w:rsid w:val="00973A3B"/>
    <w:rsid w:val="00976DD6"/>
    <w:rsid w:val="00983EAE"/>
    <w:rsid w:val="009847C2"/>
    <w:rsid w:val="0098760B"/>
    <w:rsid w:val="00987D28"/>
    <w:rsid w:val="00987D6D"/>
    <w:rsid w:val="00996096"/>
    <w:rsid w:val="009A11DD"/>
    <w:rsid w:val="009B1324"/>
    <w:rsid w:val="009B30AA"/>
    <w:rsid w:val="009B3AE1"/>
    <w:rsid w:val="009B5217"/>
    <w:rsid w:val="009C042C"/>
    <w:rsid w:val="009C1433"/>
    <w:rsid w:val="009C3685"/>
    <w:rsid w:val="009C48DE"/>
    <w:rsid w:val="009C4E19"/>
    <w:rsid w:val="009D5D16"/>
    <w:rsid w:val="009D60D9"/>
    <w:rsid w:val="009E1E1E"/>
    <w:rsid w:val="009E33E3"/>
    <w:rsid w:val="009E7F16"/>
    <w:rsid w:val="009F1E65"/>
    <w:rsid w:val="009F27F8"/>
    <w:rsid w:val="009F463C"/>
    <w:rsid w:val="009F5052"/>
    <w:rsid w:val="00A03083"/>
    <w:rsid w:val="00A0393E"/>
    <w:rsid w:val="00A04C85"/>
    <w:rsid w:val="00A100F0"/>
    <w:rsid w:val="00A110B7"/>
    <w:rsid w:val="00A11C92"/>
    <w:rsid w:val="00A156E6"/>
    <w:rsid w:val="00A177C5"/>
    <w:rsid w:val="00A26B9A"/>
    <w:rsid w:val="00A26E9B"/>
    <w:rsid w:val="00A273FE"/>
    <w:rsid w:val="00A27D86"/>
    <w:rsid w:val="00A30A3D"/>
    <w:rsid w:val="00A33151"/>
    <w:rsid w:val="00A332C9"/>
    <w:rsid w:val="00A36970"/>
    <w:rsid w:val="00A41EB4"/>
    <w:rsid w:val="00A4306C"/>
    <w:rsid w:val="00A44BFF"/>
    <w:rsid w:val="00A45381"/>
    <w:rsid w:val="00A45763"/>
    <w:rsid w:val="00A457B5"/>
    <w:rsid w:val="00A501E3"/>
    <w:rsid w:val="00A50E9A"/>
    <w:rsid w:val="00A50F0C"/>
    <w:rsid w:val="00A56441"/>
    <w:rsid w:val="00A66E7F"/>
    <w:rsid w:val="00A67767"/>
    <w:rsid w:val="00A736DD"/>
    <w:rsid w:val="00A76D17"/>
    <w:rsid w:val="00A82869"/>
    <w:rsid w:val="00A8758C"/>
    <w:rsid w:val="00A90E16"/>
    <w:rsid w:val="00A915E4"/>
    <w:rsid w:val="00AA127E"/>
    <w:rsid w:val="00AA19AE"/>
    <w:rsid w:val="00AA224A"/>
    <w:rsid w:val="00AA423D"/>
    <w:rsid w:val="00AA6A95"/>
    <w:rsid w:val="00AB10DE"/>
    <w:rsid w:val="00AB358A"/>
    <w:rsid w:val="00AB3668"/>
    <w:rsid w:val="00AB5ED7"/>
    <w:rsid w:val="00AB6BEA"/>
    <w:rsid w:val="00AB73CC"/>
    <w:rsid w:val="00AC0B4C"/>
    <w:rsid w:val="00AC5A7B"/>
    <w:rsid w:val="00AD0AEE"/>
    <w:rsid w:val="00AD49E3"/>
    <w:rsid w:val="00AD4B4F"/>
    <w:rsid w:val="00AD55AC"/>
    <w:rsid w:val="00AE1BBD"/>
    <w:rsid w:val="00AF0616"/>
    <w:rsid w:val="00AF0E28"/>
    <w:rsid w:val="00AF518A"/>
    <w:rsid w:val="00AF6F9B"/>
    <w:rsid w:val="00B01409"/>
    <w:rsid w:val="00B10DBD"/>
    <w:rsid w:val="00B15629"/>
    <w:rsid w:val="00B2372C"/>
    <w:rsid w:val="00B32F70"/>
    <w:rsid w:val="00B3660D"/>
    <w:rsid w:val="00B373D0"/>
    <w:rsid w:val="00B3788D"/>
    <w:rsid w:val="00B37FE9"/>
    <w:rsid w:val="00B4253F"/>
    <w:rsid w:val="00B43AAA"/>
    <w:rsid w:val="00B45ABC"/>
    <w:rsid w:val="00B51606"/>
    <w:rsid w:val="00B53139"/>
    <w:rsid w:val="00B562CE"/>
    <w:rsid w:val="00B62DE2"/>
    <w:rsid w:val="00B651CD"/>
    <w:rsid w:val="00B706CB"/>
    <w:rsid w:val="00B74417"/>
    <w:rsid w:val="00B753E4"/>
    <w:rsid w:val="00B77246"/>
    <w:rsid w:val="00B77D0C"/>
    <w:rsid w:val="00B82040"/>
    <w:rsid w:val="00B866CD"/>
    <w:rsid w:val="00B9075C"/>
    <w:rsid w:val="00B93034"/>
    <w:rsid w:val="00B93A81"/>
    <w:rsid w:val="00B97C5D"/>
    <w:rsid w:val="00BA1290"/>
    <w:rsid w:val="00BB0E73"/>
    <w:rsid w:val="00BB20A1"/>
    <w:rsid w:val="00BB2325"/>
    <w:rsid w:val="00BB2792"/>
    <w:rsid w:val="00BB5B7B"/>
    <w:rsid w:val="00BB60EC"/>
    <w:rsid w:val="00BB683B"/>
    <w:rsid w:val="00BB76BF"/>
    <w:rsid w:val="00BC1AD1"/>
    <w:rsid w:val="00BC1D82"/>
    <w:rsid w:val="00BC48D9"/>
    <w:rsid w:val="00BC4A58"/>
    <w:rsid w:val="00BC613B"/>
    <w:rsid w:val="00BD2C61"/>
    <w:rsid w:val="00BD51D9"/>
    <w:rsid w:val="00BD53D8"/>
    <w:rsid w:val="00BD5558"/>
    <w:rsid w:val="00BD61D4"/>
    <w:rsid w:val="00BD64E2"/>
    <w:rsid w:val="00BE31A7"/>
    <w:rsid w:val="00BE4995"/>
    <w:rsid w:val="00BF2DD3"/>
    <w:rsid w:val="00BF429A"/>
    <w:rsid w:val="00BF62BE"/>
    <w:rsid w:val="00C07126"/>
    <w:rsid w:val="00C126F5"/>
    <w:rsid w:val="00C12A51"/>
    <w:rsid w:val="00C16853"/>
    <w:rsid w:val="00C2099E"/>
    <w:rsid w:val="00C2109D"/>
    <w:rsid w:val="00C2127B"/>
    <w:rsid w:val="00C263F0"/>
    <w:rsid w:val="00C312FC"/>
    <w:rsid w:val="00C33D41"/>
    <w:rsid w:val="00C356F7"/>
    <w:rsid w:val="00C36E63"/>
    <w:rsid w:val="00C40AFD"/>
    <w:rsid w:val="00C41B8D"/>
    <w:rsid w:val="00C41E20"/>
    <w:rsid w:val="00C42E3E"/>
    <w:rsid w:val="00C51C13"/>
    <w:rsid w:val="00C525A5"/>
    <w:rsid w:val="00C5300F"/>
    <w:rsid w:val="00C54594"/>
    <w:rsid w:val="00C54E08"/>
    <w:rsid w:val="00C5784C"/>
    <w:rsid w:val="00C61611"/>
    <w:rsid w:val="00C6328E"/>
    <w:rsid w:val="00C66CE0"/>
    <w:rsid w:val="00C7076C"/>
    <w:rsid w:val="00C71BED"/>
    <w:rsid w:val="00C737B2"/>
    <w:rsid w:val="00C76AAA"/>
    <w:rsid w:val="00C80D1B"/>
    <w:rsid w:val="00C8182E"/>
    <w:rsid w:val="00C81B53"/>
    <w:rsid w:val="00C82AD2"/>
    <w:rsid w:val="00C87F02"/>
    <w:rsid w:val="00C90FB6"/>
    <w:rsid w:val="00C9220E"/>
    <w:rsid w:val="00C92599"/>
    <w:rsid w:val="00C932BD"/>
    <w:rsid w:val="00C93429"/>
    <w:rsid w:val="00C9632D"/>
    <w:rsid w:val="00CA16C5"/>
    <w:rsid w:val="00CA415A"/>
    <w:rsid w:val="00CA6D51"/>
    <w:rsid w:val="00CA7A35"/>
    <w:rsid w:val="00CB1536"/>
    <w:rsid w:val="00CB2314"/>
    <w:rsid w:val="00CB3DDF"/>
    <w:rsid w:val="00CB4FAA"/>
    <w:rsid w:val="00CB7FB8"/>
    <w:rsid w:val="00CC1F71"/>
    <w:rsid w:val="00CC4963"/>
    <w:rsid w:val="00CC5588"/>
    <w:rsid w:val="00CC5EB3"/>
    <w:rsid w:val="00CC79DC"/>
    <w:rsid w:val="00CD0E7B"/>
    <w:rsid w:val="00CD2ABD"/>
    <w:rsid w:val="00CD4024"/>
    <w:rsid w:val="00CD4617"/>
    <w:rsid w:val="00CD4855"/>
    <w:rsid w:val="00CE3E0F"/>
    <w:rsid w:val="00CE44DB"/>
    <w:rsid w:val="00CE566D"/>
    <w:rsid w:val="00CE6D43"/>
    <w:rsid w:val="00CE7888"/>
    <w:rsid w:val="00D032DA"/>
    <w:rsid w:val="00D06F0B"/>
    <w:rsid w:val="00D10E1C"/>
    <w:rsid w:val="00D161A3"/>
    <w:rsid w:val="00D16872"/>
    <w:rsid w:val="00D169AA"/>
    <w:rsid w:val="00D21B7F"/>
    <w:rsid w:val="00D22E49"/>
    <w:rsid w:val="00D23716"/>
    <w:rsid w:val="00D25ED8"/>
    <w:rsid w:val="00D27F8F"/>
    <w:rsid w:val="00D316B8"/>
    <w:rsid w:val="00D31CFC"/>
    <w:rsid w:val="00D3255D"/>
    <w:rsid w:val="00D340C3"/>
    <w:rsid w:val="00D3527C"/>
    <w:rsid w:val="00D409CD"/>
    <w:rsid w:val="00D40B9B"/>
    <w:rsid w:val="00D423D4"/>
    <w:rsid w:val="00D42932"/>
    <w:rsid w:val="00D42CAF"/>
    <w:rsid w:val="00D43149"/>
    <w:rsid w:val="00D5310F"/>
    <w:rsid w:val="00D55854"/>
    <w:rsid w:val="00D57EE0"/>
    <w:rsid w:val="00D601EF"/>
    <w:rsid w:val="00D61533"/>
    <w:rsid w:val="00D63B2F"/>
    <w:rsid w:val="00D63FDE"/>
    <w:rsid w:val="00D70747"/>
    <w:rsid w:val="00D72454"/>
    <w:rsid w:val="00D7261D"/>
    <w:rsid w:val="00D73B3C"/>
    <w:rsid w:val="00D755FC"/>
    <w:rsid w:val="00D76B6D"/>
    <w:rsid w:val="00D7704A"/>
    <w:rsid w:val="00D770D2"/>
    <w:rsid w:val="00D80C45"/>
    <w:rsid w:val="00D84D07"/>
    <w:rsid w:val="00D8526A"/>
    <w:rsid w:val="00D90E91"/>
    <w:rsid w:val="00DA083E"/>
    <w:rsid w:val="00DA29A8"/>
    <w:rsid w:val="00DA7B8B"/>
    <w:rsid w:val="00DB5792"/>
    <w:rsid w:val="00DB60E1"/>
    <w:rsid w:val="00DC1347"/>
    <w:rsid w:val="00DC164A"/>
    <w:rsid w:val="00DC39F1"/>
    <w:rsid w:val="00DD3436"/>
    <w:rsid w:val="00DD3934"/>
    <w:rsid w:val="00DD5640"/>
    <w:rsid w:val="00DD7780"/>
    <w:rsid w:val="00DE08D1"/>
    <w:rsid w:val="00DE1D7B"/>
    <w:rsid w:val="00DE4B35"/>
    <w:rsid w:val="00DF19C1"/>
    <w:rsid w:val="00DF54CA"/>
    <w:rsid w:val="00DF56C9"/>
    <w:rsid w:val="00DF5B64"/>
    <w:rsid w:val="00DF6969"/>
    <w:rsid w:val="00E0244A"/>
    <w:rsid w:val="00E02794"/>
    <w:rsid w:val="00E0350C"/>
    <w:rsid w:val="00E043E3"/>
    <w:rsid w:val="00E0505B"/>
    <w:rsid w:val="00E0749B"/>
    <w:rsid w:val="00E11280"/>
    <w:rsid w:val="00E12359"/>
    <w:rsid w:val="00E152FF"/>
    <w:rsid w:val="00E17100"/>
    <w:rsid w:val="00E17D3B"/>
    <w:rsid w:val="00E20370"/>
    <w:rsid w:val="00E2461B"/>
    <w:rsid w:val="00E24806"/>
    <w:rsid w:val="00E24886"/>
    <w:rsid w:val="00E2728F"/>
    <w:rsid w:val="00E276FB"/>
    <w:rsid w:val="00E32595"/>
    <w:rsid w:val="00E32DC6"/>
    <w:rsid w:val="00E33A74"/>
    <w:rsid w:val="00E4030B"/>
    <w:rsid w:val="00E41D56"/>
    <w:rsid w:val="00E457DF"/>
    <w:rsid w:val="00E46642"/>
    <w:rsid w:val="00E4669D"/>
    <w:rsid w:val="00E5139A"/>
    <w:rsid w:val="00E522C1"/>
    <w:rsid w:val="00E53617"/>
    <w:rsid w:val="00E5413D"/>
    <w:rsid w:val="00E57977"/>
    <w:rsid w:val="00E60F10"/>
    <w:rsid w:val="00E6199E"/>
    <w:rsid w:val="00E630D1"/>
    <w:rsid w:val="00E635D7"/>
    <w:rsid w:val="00E64E71"/>
    <w:rsid w:val="00E67F5E"/>
    <w:rsid w:val="00E70576"/>
    <w:rsid w:val="00E71DED"/>
    <w:rsid w:val="00E77A7B"/>
    <w:rsid w:val="00E831E5"/>
    <w:rsid w:val="00E83954"/>
    <w:rsid w:val="00E86506"/>
    <w:rsid w:val="00E91730"/>
    <w:rsid w:val="00E92CD9"/>
    <w:rsid w:val="00E96F04"/>
    <w:rsid w:val="00E97AEC"/>
    <w:rsid w:val="00EA0009"/>
    <w:rsid w:val="00EA20FE"/>
    <w:rsid w:val="00EA39B9"/>
    <w:rsid w:val="00EB074A"/>
    <w:rsid w:val="00EB1AA9"/>
    <w:rsid w:val="00EB2819"/>
    <w:rsid w:val="00EB3E53"/>
    <w:rsid w:val="00EB491E"/>
    <w:rsid w:val="00EB681B"/>
    <w:rsid w:val="00EC1CA8"/>
    <w:rsid w:val="00EC1E72"/>
    <w:rsid w:val="00EC4FAD"/>
    <w:rsid w:val="00EE3CFA"/>
    <w:rsid w:val="00EE655A"/>
    <w:rsid w:val="00EE69E4"/>
    <w:rsid w:val="00EF1B5F"/>
    <w:rsid w:val="00EF2A7F"/>
    <w:rsid w:val="00EF785B"/>
    <w:rsid w:val="00EF7E90"/>
    <w:rsid w:val="00F002B6"/>
    <w:rsid w:val="00F10AFE"/>
    <w:rsid w:val="00F15C6C"/>
    <w:rsid w:val="00F17173"/>
    <w:rsid w:val="00F20987"/>
    <w:rsid w:val="00F22339"/>
    <w:rsid w:val="00F224DC"/>
    <w:rsid w:val="00F24F3E"/>
    <w:rsid w:val="00F2687F"/>
    <w:rsid w:val="00F26A5E"/>
    <w:rsid w:val="00F27F29"/>
    <w:rsid w:val="00F32D54"/>
    <w:rsid w:val="00F36C54"/>
    <w:rsid w:val="00F41672"/>
    <w:rsid w:val="00F418EA"/>
    <w:rsid w:val="00F41A29"/>
    <w:rsid w:val="00F44C1C"/>
    <w:rsid w:val="00F518DF"/>
    <w:rsid w:val="00F544DB"/>
    <w:rsid w:val="00F548F1"/>
    <w:rsid w:val="00F648EA"/>
    <w:rsid w:val="00F6502E"/>
    <w:rsid w:val="00F65663"/>
    <w:rsid w:val="00F73BB7"/>
    <w:rsid w:val="00F75147"/>
    <w:rsid w:val="00F756C0"/>
    <w:rsid w:val="00F75A40"/>
    <w:rsid w:val="00F77637"/>
    <w:rsid w:val="00F8142A"/>
    <w:rsid w:val="00F82B29"/>
    <w:rsid w:val="00F8435D"/>
    <w:rsid w:val="00F84CA5"/>
    <w:rsid w:val="00F862E5"/>
    <w:rsid w:val="00F86DC0"/>
    <w:rsid w:val="00F87DD0"/>
    <w:rsid w:val="00F93360"/>
    <w:rsid w:val="00F934BA"/>
    <w:rsid w:val="00F93FE4"/>
    <w:rsid w:val="00F9525D"/>
    <w:rsid w:val="00F97E4E"/>
    <w:rsid w:val="00FA1A40"/>
    <w:rsid w:val="00FA217B"/>
    <w:rsid w:val="00FA2D04"/>
    <w:rsid w:val="00FB0BC5"/>
    <w:rsid w:val="00FB0BCC"/>
    <w:rsid w:val="00FB3EA7"/>
    <w:rsid w:val="00FC0FE5"/>
    <w:rsid w:val="00FC257A"/>
    <w:rsid w:val="00FC7558"/>
    <w:rsid w:val="00FD1ABC"/>
    <w:rsid w:val="00FD4372"/>
    <w:rsid w:val="00FD5B87"/>
    <w:rsid w:val="00FD7DDF"/>
    <w:rsid w:val="00FE4C92"/>
    <w:rsid w:val="00FE7898"/>
    <w:rsid w:val="00FF0FAA"/>
    <w:rsid w:val="00FF3759"/>
    <w:rsid w:val="00FF4396"/>
    <w:rsid w:val="00FF603F"/>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autoRedefine/>
    <w:qFormat/>
    <w:rsid w:val="00713170"/>
    <w:pPr>
      <w:keepNext/>
      <w:numPr>
        <w:numId w:val="5"/>
      </w:numPr>
      <w:ind w:left="567" w:hanging="567"/>
      <w:outlineLvl w:val="0"/>
    </w:pPr>
    <w:rPr>
      <w:b/>
      <w:bCs/>
      <w:kern w:val="28"/>
    </w:rPr>
  </w:style>
  <w:style w:type="paragraph" w:styleId="Heading2">
    <w:name w:val="heading 2"/>
    <w:basedOn w:val="Normal"/>
    <w:next w:val="Normal"/>
    <w:link w:val="Heading2Char"/>
    <w:autoRedefine/>
    <w:qFormat/>
    <w:rsid w:val="006A6839"/>
    <w:pPr>
      <w:numPr>
        <w:ilvl w:val="1"/>
        <w:numId w:val="5"/>
      </w:numPr>
      <w:ind w:left="567" w:hanging="567"/>
      <w:outlineLvl w:val="1"/>
    </w:pPr>
  </w:style>
  <w:style w:type="paragraph" w:styleId="Heading3">
    <w:name w:val="heading 3"/>
    <w:basedOn w:val="Normal"/>
    <w:next w:val="Normal"/>
    <w:link w:val="Heading3Char"/>
    <w:qFormat/>
    <w:rsid w:val="007E50BF"/>
    <w:pPr>
      <w:numPr>
        <w:ilvl w:val="2"/>
        <w:numId w:val="5"/>
      </w:numPr>
      <w:outlineLvl w:val="2"/>
    </w:pPr>
  </w:style>
  <w:style w:type="paragraph" w:styleId="Heading4">
    <w:name w:val="heading 4"/>
    <w:basedOn w:val="Normal"/>
    <w:next w:val="Normal"/>
    <w:link w:val="Heading4Char"/>
    <w:qFormat/>
    <w:rsid w:val="007E50BF"/>
    <w:pPr>
      <w:numPr>
        <w:ilvl w:val="3"/>
        <w:numId w:val="5"/>
      </w:numPr>
      <w:outlineLvl w:val="3"/>
    </w:pPr>
  </w:style>
  <w:style w:type="paragraph" w:styleId="Heading5">
    <w:name w:val="heading 5"/>
    <w:basedOn w:val="Normal"/>
    <w:next w:val="Normal"/>
    <w:link w:val="Heading5Char"/>
    <w:qFormat/>
    <w:rsid w:val="007E50BF"/>
    <w:pPr>
      <w:numPr>
        <w:ilvl w:val="4"/>
        <w:numId w:val="5"/>
      </w:numPr>
      <w:outlineLvl w:val="4"/>
    </w:pPr>
  </w:style>
  <w:style w:type="paragraph" w:styleId="Heading6">
    <w:name w:val="heading 6"/>
    <w:basedOn w:val="Normal"/>
    <w:next w:val="Normal"/>
    <w:link w:val="Heading6Char"/>
    <w:qFormat/>
    <w:rsid w:val="007E50BF"/>
    <w:pPr>
      <w:numPr>
        <w:ilvl w:val="5"/>
        <w:numId w:val="5"/>
      </w:numPr>
      <w:outlineLvl w:val="5"/>
    </w:pPr>
  </w:style>
  <w:style w:type="paragraph" w:styleId="Heading7">
    <w:name w:val="heading 7"/>
    <w:basedOn w:val="Normal"/>
    <w:next w:val="Normal"/>
    <w:link w:val="Heading7Char"/>
    <w:qFormat/>
    <w:rsid w:val="007E50BF"/>
    <w:pPr>
      <w:numPr>
        <w:ilvl w:val="6"/>
        <w:numId w:val="5"/>
      </w:numPr>
      <w:outlineLvl w:val="6"/>
    </w:pPr>
  </w:style>
  <w:style w:type="paragraph" w:styleId="Heading8">
    <w:name w:val="heading 8"/>
    <w:basedOn w:val="Normal"/>
    <w:next w:val="Normal"/>
    <w:link w:val="Heading8Char"/>
    <w:qFormat/>
    <w:rsid w:val="007E50BF"/>
    <w:pPr>
      <w:numPr>
        <w:ilvl w:val="7"/>
        <w:numId w:val="5"/>
      </w:numPr>
      <w:outlineLvl w:val="7"/>
    </w:pPr>
  </w:style>
  <w:style w:type="paragraph" w:styleId="Heading9">
    <w:name w:val="heading 9"/>
    <w:basedOn w:val="Normal"/>
    <w:next w:val="Normal"/>
    <w:link w:val="Heading9Char"/>
    <w:qFormat/>
    <w:rsid w:val="007E50BF"/>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13170"/>
    <w:rPr>
      <w:b/>
      <w:bCs/>
      <w:kern w:val="28"/>
      <w:lang w:eastAsia="en-US" w:bidi="ar-SA"/>
    </w:rPr>
  </w:style>
  <w:style w:type="character" w:customStyle="1" w:styleId="Heading2Char">
    <w:name w:val="Heading 2 Char"/>
    <w:basedOn w:val="DefaultParagraphFont"/>
    <w:link w:val="Heading2"/>
    <w:locked/>
    <w:rsid w:val="006A6839"/>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autoRedefine/>
    <w:qFormat/>
    <w:rsid w:val="00E4669D"/>
    <w:pPr>
      <w:keepLines/>
      <w:spacing w:after="60" w:line="240" w:lineRule="auto"/>
      <w:ind w:left="454" w:hanging="454"/>
    </w:pPr>
    <w:rPr>
      <w:sz w:val="16"/>
    </w:rPr>
  </w:style>
  <w:style w:type="character" w:customStyle="1" w:styleId="FootnoteTextChar">
    <w:name w:val="Footnote Text Char"/>
    <w:basedOn w:val="DefaultParagraphFont"/>
    <w:link w:val="FootnoteText"/>
    <w:locked/>
    <w:rsid w:val="00E4669D"/>
    <w:rPr>
      <w:sz w:val="16"/>
      <w:lang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table" w:styleId="TableGrid">
    <w:name w:val="Table Grid"/>
    <w:basedOn w:val="TableNormal"/>
    <w:locked/>
    <w:rsid w:val="00D7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9689">
      <w:bodyDiv w:val="1"/>
      <w:marLeft w:val="0"/>
      <w:marRight w:val="0"/>
      <w:marTop w:val="0"/>
      <w:marBottom w:val="0"/>
      <w:divBdr>
        <w:top w:val="none" w:sz="0" w:space="0" w:color="auto"/>
        <w:left w:val="none" w:sz="0" w:space="0" w:color="auto"/>
        <w:bottom w:val="none" w:sz="0" w:space="0" w:color="auto"/>
        <w:right w:val="none" w:sz="0" w:space="0" w:color="auto"/>
      </w:divBdr>
    </w:div>
    <w:div w:id="97601233">
      <w:bodyDiv w:val="1"/>
      <w:marLeft w:val="0"/>
      <w:marRight w:val="0"/>
      <w:marTop w:val="0"/>
      <w:marBottom w:val="0"/>
      <w:divBdr>
        <w:top w:val="none" w:sz="0" w:space="0" w:color="auto"/>
        <w:left w:val="none" w:sz="0" w:space="0" w:color="auto"/>
        <w:bottom w:val="none" w:sz="0" w:space="0" w:color="auto"/>
        <w:right w:val="none" w:sz="0" w:space="0" w:color="auto"/>
      </w:divBdr>
    </w:div>
    <w:div w:id="104929747">
      <w:bodyDiv w:val="1"/>
      <w:marLeft w:val="0"/>
      <w:marRight w:val="0"/>
      <w:marTop w:val="0"/>
      <w:marBottom w:val="0"/>
      <w:divBdr>
        <w:top w:val="none" w:sz="0" w:space="0" w:color="auto"/>
        <w:left w:val="none" w:sz="0" w:space="0" w:color="auto"/>
        <w:bottom w:val="none" w:sz="0" w:space="0" w:color="auto"/>
        <w:right w:val="none" w:sz="0" w:space="0" w:color="auto"/>
      </w:divBdr>
    </w:div>
    <w:div w:id="201945277">
      <w:bodyDiv w:val="1"/>
      <w:marLeft w:val="0"/>
      <w:marRight w:val="0"/>
      <w:marTop w:val="0"/>
      <w:marBottom w:val="0"/>
      <w:divBdr>
        <w:top w:val="none" w:sz="0" w:space="0" w:color="auto"/>
        <w:left w:val="none" w:sz="0" w:space="0" w:color="auto"/>
        <w:bottom w:val="none" w:sz="0" w:space="0" w:color="auto"/>
        <w:right w:val="none" w:sz="0" w:space="0" w:color="auto"/>
      </w:divBdr>
    </w:div>
    <w:div w:id="390735465">
      <w:bodyDiv w:val="1"/>
      <w:marLeft w:val="0"/>
      <w:marRight w:val="0"/>
      <w:marTop w:val="0"/>
      <w:marBottom w:val="0"/>
      <w:divBdr>
        <w:top w:val="none" w:sz="0" w:space="0" w:color="auto"/>
        <w:left w:val="none" w:sz="0" w:space="0" w:color="auto"/>
        <w:bottom w:val="none" w:sz="0" w:space="0" w:color="auto"/>
        <w:right w:val="none" w:sz="0" w:space="0" w:color="auto"/>
      </w:divBdr>
    </w:div>
    <w:div w:id="427889534">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132600205">
      <w:bodyDiv w:val="1"/>
      <w:marLeft w:val="0"/>
      <w:marRight w:val="0"/>
      <w:marTop w:val="0"/>
      <w:marBottom w:val="0"/>
      <w:divBdr>
        <w:top w:val="none" w:sz="0" w:space="0" w:color="auto"/>
        <w:left w:val="none" w:sz="0" w:space="0" w:color="auto"/>
        <w:bottom w:val="none" w:sz="0" w:space="0" w:color="auto"/>
        <w:right w:val="none" w:sz="0" w:space="0" w:color="auto"/>
      </w:divBdr>
    </w:div>
    <w:div w:id="1220093019">
      <w:bodyDiv w:val="1"/>
      <w:marLeft w:val="0"/>
      <w:marRight w:val="0"/>
      <w:marTop w:val="0"/>
      <w:marBottom w:val="0"/>
      <w:divBdr>
        <w:top w:val="none" w:sz="0" w:space="0" w:color="auto"/>
        <w:left w:val="none" w:sz="0" w:space="0" w:color="auto"/>
        <w:bottom w:val="none" w:sz="0" w:space="0" w:color="auto"/>
        <w:right w:val="none" w:sz="0" w:space="0" w:color="auto"/>
      </w:divBdr>
    </w:div>
    <w:div w:id="1353921652">
      <w:bodyDiv w:val="1"/>
      <w:marLeft w:val="0"/>
      <w:marRight w:val="0"/>
      <w:marTop w:val="0"/>
      <w:marBottom w:val="0"/>
      <w:divBdr>
        <w:top w:val="none" w:sz="0" w:space="0" w:color="auto"/>
        <w:left w:val="none" w:sz="0" w:space="0" w:color="auto"/>
        <w:bottom w:val="none" w:sz="0" w:space="0" w:color="auto"/>
        <w:right w:val="none" w:sz="0" w:space="0" w:color="auto"/>
      </w:divBdr>
    </w:div>
    <w:div w:id="1577549005">
      <w:bodyDiv w:val="1"/>
      <w:marLeft w:val="0"/>
      <w:marRight w:val="0"/>
      <w:marTop w:val="0"/>
      <w:marBottom w:val="0"/>
      <w:divBdr>
        <w:top w:val="none" w:sz="0" w:space="0" w:color="auto"/>
        <w:left w:val="none" w:sz="0" w:space="0" w:color="auto"/>
        <w:bottom w:val="none" w:sz="0" w:space="0" w:color="auto"/>
        <w:right w:val="none" w:sz="0" w:space="0" w:color="auto"/>
      </w:divBdr>
    </w:div>
    <w:div w:id="1787195738">
      <w:bodyDiv w:val="1"/>
      <w:marLeft w:val="0"/>
      <w:marRight w:val="0"/>
      <w:marTop w:val="0"/>
      <w:marBottom w:val="0"/>
      <w:divBdr>
        <w:top w:val="none" w:sz="0" w:space="0" w:color="auto"/>
        <w:left w:val="none" w:sz="0" w:space="0" w:color="auto"/>
        <w:bottom w:val="none" w:sz="0" w:space="0" w:color="auto"/>
        <w:right w:val="none" w:sz="0" w:space="0" w:color="auto"/>
      </w:divBdr>
    </w:div>
    <w:div w:id="1826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o@eesc.europa.eu" TargetMode="External"/><Relationship Id="rId18" Type="http://schemas.openxmlformats.org/officeDocument/2006/relationships/header" Target="header3.xml"/><Relationship Id="rId26" Type="http://schemas.openxmlformats.org/officeDocument/2006/relationships/fontTable" Target="fontTable.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HTML/?uri=CELEX:52025DC0046" TargetMode="External"/><Relationship Id="rId3" Type="http://schemas.openxmlformats.org/officeDocument/2006/relationships/hyperlink" Target="https://www.eesc.europa.eu/en/our-work/opinions-information-reports/opinions/investments-and-reforms-competitiveness-and-capital-markets-union" TargetMode="External"/><Relationship Id="rId7" Type="http://schemas.openxmlformats.org/officeDocument/2006/relationships/hyperlink" Target="https://eur-lex.europa.eu/legal-content/EN/TXT/HTML/?uri=CELEX:52025DC0046" TargetMode="External"/><Relationship Id="rId2" Type="http://schemas.openxmlformats.org/officeDocument/2006/relationships/hyperlink" Target="https://eur-lex.europa.eu/legal-content/EN/TXT/?uri=OJ:C:2021:155:TOC" TargetMode="External"/><Relationship Id="rId1" Type="http://schemas.openxmlformats.org/officeDocument/2006/relationships/hyperlink" Target="https://eur-lex.europa.eu/legal-content/EN/TXT/PDF/?uri=CELEX:52025DC0124" TargetMode="External"/><Relationship Id="rId6" Type="http://schemas.openxmlformats.org/officeDocument/2006/relationships/hyperlink" Target="https://eur-lex.europa.eu/legal-content/EN/TXT/?uri=OJ:C:2022:443:TOC" TargetMode="External"/><Relationship Id="rId5" Type="http://schemas.openxmlformats.org/officeDocument/2006/relationships/hyperlink" Target="https://eur-lex.europa.eu/legal-content/EN/TXT/PDF/?uri=CELEX:52025DC0124" TargetMode="External"/><Relationship Id="rId4" Type="http://schemas.openxmlformats.org/officeDocument/2006/relationships/hyperlink" Target="https://commission.europa.eu/document/download/10017eb1-4722-4333-add2-e0ed18105a34_en?filename=Communication_1.pdf" TargetMode="External"/><Relationship Id="rId9" Type="http://schemas.openxmlformats.org/officeDocument/2006/relationships/hyperlink" Target="https://eur-lex.europa.eu/legal-content/EN/TXT/?uri=CELEX%3A52025DC0046&amp;qid=1751625022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A6WAAD5KZT2Q-293470456-8885</_dlc_DocId>
    <_dlc_DocIdUrl xmlns="1a33af13-4045-4f88-9d7b-618e30f79918">
      <Url>http://dm/eesc/2025/_layouts/15/DocIdRedir.aspx?ID=A6WAAD5KZT2Q-293470456-8885</Url>
      <Description>A6WAAD5KZT2Q-293470456-8885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2025-07-07T12:00:00+00:00</ProductionDate>
    <FicheYear xmlns="1a33af13-4045-4f88-9d7b-618e30f79918" xsi:nil="true"/>
    <DocumentNumber xmlns="aa382cf6-584e-4bd2-bd73-0bac1a20efcb">1045</DocumentNumber>
    <DossierNumber xmlns="1a33af13-4045-4f88-9d7b-618e30f79918">670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103</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DANDEA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3117</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03E9046C-8F9F-4D87-9974-15166720FDC5}"/>
</file>

<file path=customXml/itemProps2.xml><?xml version="1.0" encoding="utf-8"?>
<ds:datastoreItem xmlns:ds="http://schemas.openxmlformats.org/officeDocument/2006/customXml" ds:itemID="{488E16C8-E4B8-461A-B709-57C9282D8EEC}"/>
</file>

<file path=customXml/itemProps3.xml><?xml version="1.0" encoding="utf-8"?>
<ds:datastoreItem xmlns:ds="http://schemas.openxmlformats.org/officeDocument/2006/customXml" ds:itemID="{AA50FAB8-AEE7-471A-B029-BD1317A3EF05}"/>
</file>

<file path=customXml/itemProps4.xml><?xml version="1.0" encoding="utf-8"?>
<ds:datastoreItem xmlns:ds="http://schemas.openxmlformats.org/officeDocument/2006/customXml" ds:itemID="{D00659ED-A6FA-474D-A98F-1B2277AFB543}"/>
</file>

<file path=docProps/app.xml><?xml version="1.0" encoding="utf-8"?>
<Properties xmlns="http://schemas.openxmlformats.org/officeDocument/2006/extended-properties" xmlns:vt="http://schemas.openxmlformats.org/officeDocument/2006/docPropsVTypes">
  <Template>Normal</Template>
  <TotalTime>0</TotalTime>
  <Pages>1</Pages>
  <Words>3532</Words>
  <Characters>20138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Communication on a Savings and Investments Union</vt:lpstr>
    </vt:vector>
  </TitlesOfParts>
  <Company>CESE-CdR</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on a Savings and Investments Union</dc:title>
  <dc:subject>Section opinion</dc:subject>
  <dc:creator/>
  <cp:keywords>EESC-2025-01045-00-00-AS-TRA-EN</cp:keywords>
  <dc:description>Rapporteur: - DANDEA Original language: - EN Date of document: - 07/07/2025 Date of meeting: - 16/07/2025 External documents: - COM(2025)124- final Administrator responsible: -  LORENCIO MATALLANA SERGIO</dc:description>
  <cp:lastModifiedBy/>
  <cp:revision>7</cp:revision>
  <cp:lastPrinted>2025-04-23T09:49:00Z</cp:lastPrinted>
  <dcterms:created xsi:type="dcterms:W3CDTF">2025-07-07T09:44:00Z</dcterms:created>
  <dcterms:modified xsi:type="dcterms:W3CDTF">2025-07-07T12:07:00Z</dcterms:modified>
  <cp:category>ECO/670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07/07/2025, 24/06/2025, 20/06/2025, 27/05/2025, 24/04/2025, 12/04/2024, 17/05/2022, 04/11/2015, 27/10/2015, 19/10/2015, 09/10/2015, 05/10/2015, 05/10/2015, 26/08/2015, 26/08/2015, 25/08/2015</vt:lpwstr>
  </property>
  <property fmtid="{D5CDD505-2E9C-101B-9397-08002B2CF9AE}" pid="4" name="Pref_Time">
    <vt:lpwstr>11:39:07, 15:17:05, 16:47:58, 13:40:03, 17:11:06, 12:08:09, 12:59:17, 12/10/07, 14:44:02, 16/04/16, 14:09:30, 16:24:55, 16:04:02, 08:56:14, 07:27:56, 17:31:53</vt:lpwstr>
  </property>
  <property fmtid="{D5CDD505-2E9C-101B-9397-08002B2CF9AE}" pid="5" name="Pref_User">
    <vt:lpwstr>nnas, pacup, pacup, pacup, jhvi, enied, enied, ssex, enied, amett, tvoc, mreg, mreg, amett, enied, ssex</vt:lpwstr>
  </property>
  <property fmtid="{D5CDD505-2E9C-101B-9397-08002B2CF9AE}" pid="6" name="Pref_FileName">
    <vt:lpwstr>EESC-2025-01045-00-00-AS-TRA-EN-CRR.docx, EESC-2025-01045-00-01-PA-ORI.docx, EESC-2025-01045-00-00-PA-ORI.docx, EESC-2025-01045-00-00-APA-ORI.docx, EESC-2025-01045-00-00-DT-ORI.docx, COR-EESC-2024-01326-00-00-ADMIN-ORI.docx, COR-EESC-2022-02586-00-00-ADMI</vt:lpwstr>
  </property>
  <property fmtid="{D5CDD505-2E9C-101B-9397-08002B2CF9AE}" pid="7" name="ContentTypeId">
    <vt:lpwstr>0x010100EA97B91038054C99906057A708A1480A00FD26272E6D350E4BA98D090F484731A0</vt:lpwstr>
  </property>
  <property fmtid="{D5CDD505-2E9C-101B-9397-08002B2CF9AE}" pid="8" name="_dlc_DocIdItemGuid">
    <vt:lpwstr>3f04cbbb-b5cf-4403-b918-4927eb07db9a</vt:lpwstr>
  </property>
  <property fmtid="{D5CDD505-2E9C-101B-9397-08002B2CF9AE}" pid="9" name="AvailableTranslations">
    <vt:lpwstr>39;#LV|46f7e311-5d9f-4663-b433-18aeccb7ace7;#41;#ET|ff6c3f4c-b02c-4c3c-ab07-2c37995a7a0a;#47;#BG|1a1b3951-7821-4e6a-85f5-5673fc08bd2c;#31;#SL|98a412ae-eb01-49e9-ae3d-585a81724cfc;#27;#NL|55c6556c-b4f4-441d-9acf-c498d4f838bd;#16;#ES|e7a6b05b-ae16-40c8-add9-68b64b03aeba;#5;#EN|f2175f21-25d7-44a3-96da-d6a61b075e1b;#28;#SV|c2ed69e7-a339-43d7-8f22-d93680a92aa0;#29;#CS|72f9705b-0217-4fd3-bea2-cbc7ed80e26e;#43;#GA|762d2456-c427-4ecb-b312-af3dad8e258c;#37;#HU|6b229040-c589-4408-b4c1-4285663d20a8;#23;#DE|f6b31e5a-26fa-4935-b661-318e46daf27e;#42;#EL|6d4f4d51-af9b-4650-94b4-4276bee85c91;#50;#HR|2f555653-ed1a-4fe6-8362-9082d95989e5;#35;#FI|87606a43-d45f-42d6-b8c9-e1a3457db5b7;#24;#PL|1e03da61-4678-4e07-b136-b5024ca9197b;#40;#DA|5d49c027-8956-412b-aa16-e85a0f96ad0e;#30;#LT|a7ff5ce7-6123-4f68-865a-a57c31810414;#33;#PT|50ccc04a-eadd-42ae-a0cb-acaf45f812ba;#32;#MT|7df99101-6854-4a26-b53a-b88c0da02c26;#12;#FR|d2afafd3-4c81-4f60-8f52-ee33f2f54ff3;#46;#SK|46d9fce0-ef79-4f71-b89b-cd6aa82426b8;#36;#RO|feb747a2-64cd-4299-af12-4833ddc30497;#34;#IT|0774613c-01ed-4e5d-a25d-11d2388de825</vt:lpwstr>
  </property>
  <property fmtid="{D5CDD505-2E9C-101B-9397-08002B2CF9AE}" pid="10" name="DocumentType_0">
    <vt:lpwstr>AS|c7a748eb-f6f2-4d9d-8b5a-af0cafebc224</vt:lpwstr>
  </property>
  <property fmtid="{D5CDD505-2E9C-101B-9397-08002B2CF9AE}" pid="11" name="MeetingNumber">
    <vt:i4>598</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1045</vt:i4>
  </property>
  <property fmtid="{D5CDD505-2E9C-101B-9397-08002B2CF9AE}" pid="15" name="FicheYear">
    <vt:i4>2025</vt:i4>
  </property>
  <property fmtid="{D5CDD505-2E9C-101B-9397-08002B2CF9AE}" pid="16" name="DocumentVersion">
    <vt:i4>0</vt:i4>
  </property>
  <property fmtid="{D5CDD505-2E9C-101B-9397-08002B2CF9AE}" pid="17" name="DossierNumber">
    <vt:i4>670</vt:i4>
  </property>
  <property fmtid="{D5CDD505-2E9C-101B-9397-08002B2CF9AE}" pid="18" name="DocumentStatus">
    <vt:lpwstr>13;#TRA|150d2a88-1431-44e6-a8ca-0bb753ab8672</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2025-07-16T12:00:00Z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67;#SPL-CES|32d8cb1f-c9ec-4365-95c7-8385a18618ac;#5;#EN|f2175f21-25d7-44a3-96da-d6a61b075e1b;#13;#TRA|150d2a88-1431-44e6-a8ca-0bb753ab8672;#15;#Unrestricted|826e22d7-d029-4ec0-a450-0c28ff673572;#8;#Final|ea5e6674-7b27-4bac-b091-73adbb394efe;#126;#AS|c7a748eb-f6f2-4d9d-8b5a-af0cafebc224;#103;#ECO|8df351f5-c957-404c-8cf3-8ffb22c9cba2;#1;#EESC|422833ec-8d7e-4e65-8e4e-8bed07ffb729</vt:lpwstr>
  </property>
  <property fmtid="{D5CDD505-2E9C-101B-9397-08002B2CF9AE}" pid="31" name="Rapporteur">
    <vt:lpwstr>DANDEA</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3117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126;#AS|c7a748eb-f6f2-4d9d-8b5a-af0cafebc224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