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6895" w:rsidR="00646AC2" w:rsidP="006D1346" w:rsidRDefault="001B1B7A" w14:paraId="5B3BE56A" w14:textId="60D71E9E">
      <w:pPr>
        <w:jc w:val="center"/>
      </w:pPr>
      <w:r w:rsidRPr="00D06895">
        <w:rPr>
          <w:noProof/>
        </w:rPr>
        <w:drawing>
          <wp:inline distT="0" distB="0" distL="0" distR="0" wp14:anchorId="091BB5AF" wp14:editId="7475A8BC">
            <wp:extent cx="1792605" cy="1241425"/>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Picture 2" title="EESCLogo_EN"/>
                    <pic:cNvPicPr/>
                  </pic:nvPicPr>
                  <pic:blipFill>
                    <a:blip r:embed="rId12"/>
                    <a:stretch>
                      <a:fillRect/>
                    </a:stretch>
                  </pic:blipFill>
                  <pic:spPr>
                    <a:xfrm>
                      <a:off x="0" y="0"/>
                      <a:ext cx="1792605" cy="1241425"/>
                    </a:xfrm>
                    <a:prstGeom prst="rect">
                      <a:avLst/>
                    </a:prstGeom>
                  </pic:spPr>
                </pic:pic>
              </a:graphicData>
            </a:graphic>
          </wp:inline>
        </w:drawing>
      </w:r>
      <w:r w:rsidRPr="00D06895" w:rsidR="00300A44">
        <w:rPr>
          <w:noProof/>
          <w:sz w:val="20"/>
        </w:rPr>
        <mc:AlternateContent>
          <mc:Choice Requires="wps">
            <w:drawing>
              <wp:anchor distT="0" distB="0" distL="114300" distR="114300" simplePos="0" relativeHeight="251659264" behindDoc="1" locked="0" layoutInCell="0" allowOverlap="1" wp14:editId="37BE8A03"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D1346" w:rsidR="002C1DB1" w:rsidRDefault="00306DB0" w14:paraId="45060660" w14:textId="0101BD2E">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6D1346" w:rsidR="002C1DB1" w:rsidRDefault="00306DB0" w14:paraId="45060660" w14:textId="0101BD2E">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D06895" w:rsidR="008C74D9" w:rsidP="006D1346" w:rsidRDefault="008C74D9" w14:paraId="5E7A16AD" w14:textId="77777777"/>
    <w:p w:rsidRPr="00D06895" w:rsidR="00646AC2" w:rsidP="006D1346" w:rsidRDefault="00CF2B58" w14:paraId="5B3BE56B" w14:textId="41D8F41F">
      <w:pPr>
        <w:jc w:val="right"/>
      </w:pPr>
      <w:r w:rsidRPr="00D06895">
        <w:rPr>
          <w:b/>
        </w:rPr>
        <w:t>INT/1057</w:t>
      </w:r>
    </w:p>
    <w:p w:rsidRPr="00D06895" w:rsidR="00563C84" w:rsidP="006D1346" w:rsidRDefault="00CF2B58" w14:paraId="5B3BE56C" w14:textId="6BC7F962">
      <w:pPr>
        <w:jc w:val="right"/>
      </w:pPr>
      <w:r w:rsidRPr="00D06895">
        <w:rPr>
          <w:b/>
        </w:rPr>
        <w:t>Consumer information in the EU</w:t>
      </w:r>
    </w:p>
    <w:p w:rsidRPr="00D06895" w:rsidR="009B30AA" w:rsidP="006D1346" w:rsidRDefault="009B30AA" w14:paraId="5B3BE56D" w14:textId="77777777"/>
    <w:p w:rsidRPr="00D06895" w:rsidR="009B30AA" w:rsidP="006D1346" w:rsidRDefault="009B30AA" w14:paraId="5B3BE56E" w14:textId="77777777"/>
    <w:p w:rsidRPr="00D06895" w:rsidR="0048754F" w:rsidP="006D1346" w:rsidRDefault="00875C34" w14:paraId="3C09B2EE" w14:textId="3BFF8033">
      <w:pPr>
        <w:jc w:val="center"/>
        <w:rPr>
          <w:b/>
          <w:bCs/>
          <w:sz w:val="28"/>
          <w:szCs w:val="28"/>
        </w:rPr>
      </w:pPr>
      <w:r w:rsidRPr="00D06895">
        <w:rPr>
          <w:b/>
          <w:sz w:val="28"/>
        </w:rPr>
        <w:t>OPINION</w:t>
      </w:r>
    </w:p>
    <w:p w:rsidRPr="00D06895" w:rsidR="0048754F" w:rsidP="006D1346" w:rsidRDefault="0048754F" w14:paraId="34368F6A" w14:textId="77777777">
      <w:pPr>
        <w:jc w:val="center"/>
      </w:pPr>
    </w:p>
    <w:p w:rsidRPr="00D06895" w:rsidR="0048754F" w:rsidP="006D1346" w:rsidRDefault="03385EDC" w14:paraId="7D40B1DD" w14:textId="0ED59A50">
      <w:pPr>
        <w:jc w:val="center"/>
      </w:pPr>
      <w:r w:rsidRPr="00D06895">
        <w:t>Single Market, Production and Consumption</w:t>
      </w:r>
    </w:p>
    <w:p w:rsidRPr="00D06895" w:rsidR="0048754F" w:rsidP="006D1346" w:rsidRDefault="0048754F" w14:paraId="046C48E8" w14:textId="77777777">
      <w:pPr>
        <w:jc w:val="center"/>
      </w:pPr>
    </w:p>
    <w:p w:rsidRPr="00D06895" w:rsidR="0048754F" w:rsidP="006D1346" w:rsidRDefault="009B68DA" w14:paraId="69DFD613" w14:textId="45380CAB">
      <w:pPr>
        <w:jc w:val="center"/>
        <w:rPr>
          <w:b/>
          <w:bCs/>
        </w:rPr>
      </w:pPr>
      <w:r w:rsidRPr="00D06895">
        <w:rPr>
          <w:b/>
        </w:rPr>
        <w:t>Strengthening Consumer Information Requirements in the EU</w:t>
      </w:r>
    </w:p>
    <w:p w:rsidRPr="00D06895" w:rsidR="00646AC2" w:rsidP="006D1346" w:rsidRDefault="000960B6" w14:paraId="5B3BE56F" w14:textId="53E6088E">
      <w:pPr>
        <w:jc w:val="center"/>
        <w:rPr>
          <w:b/>
          <w:bCs/>
        </w:rPr>
      </w:pPr>
      <w:r w:rsidRPr="00D06895">
        <w:rPr>
          <w:b/>
        </w:rPr>
        <w:t>(own-initiative opinion)</w:t>
      </w:r>
    </w:p>
    <w:p w:rsidRPr="00D06895" w:rsidR="009B30AA" w:rsidP="006D1346" w:rsidRDefault="009B30AA" w14:paraId="5B3BE570" w14:textId="77777777">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Pr="00D06895" w:rsidR="00FF3759" w:rsidTr="03385EDC" w14:paraId="5B3BE57A" w14:textId="77777777">
        <w:tc>
          <w:tcPr>
            <w:tcW w:w="3085" w:type="dxa"/>
          </w:tcPr>
          <w:p w:rsidRPr="00D06895" w:rsidR="00FF3759" w:rsidP="006D1346" w:rsidRDefault="03385EDC" w14:paraId="5B3BE578" w14:textId="77777777">
            <w:pPr>
              <w:jc w:val="left"/>
            </w:pPr>
            <w:r w:rsidRPr="00D06895">
              <w:t>Contact</w:t>
            </w:r>
          </w:p>
        </w:tc>
        <w:tc>
          <w:tcPr>
            <w:tcW w:w="6204" w:type="dxa"/>
          </w:tcPr>
          <w:p w:rsidRPr="00D06895" w:rsidR="0026210E" w:rsidP="006D1346" w:rsidRDefault="001435A8" w14:paraId="5B3BE579" w14:textId="2F186DD7">
            <w:pPr>
              <w:jc w:val="left"/>
            </w:pPr>
            <w:hyperlink w:history="1" r:id="rId13">
              <w:r w:rsidRPr="00D06895" w:rsidR="001B1B7A">
                <w:rPr>
                  <w:rStyle w:val="Hyperlink"/>
                </w:rPr>
                <w:t>int@eesc.europa.eu</w:t>
              </w:r>
            </w:hyperlink>
          </w:p>
        </w:tc>
      </w:tr>
      <w:tr w:rsidRPr="00D06895" w:rsidR="00FF3759" w:rsidTr="03385EDC" w14:paraId="5B3BE57D" w14:textId="77777777">
        <w:tc>
          <w:tcPr>
            <w:tcW w:w="3085" w:type="dxa"/>
          </w:tcPr>
          <w:p w:rsidRPr="00D06895" w:rsidR="00FF3759" w:rsidP="006D1346" w:rsidRDefault="03385EDC" w14:paraId="5B3BE57B" w14:textId="124AE240">
            <w:pPr>
              <w:jc w:val="left"/>
            </w:pPr>
            <w:r w:rsidRPr="00D06895">
              <w:t>Administrator</w:t>
            </w:r>
          </w:p>
        </w:tc>
        <w:tc>
          <w:tcPr>
            <w:tcW w:w="6204" w:type="dxa"/>
          </w:tcPr>
          <w:p w:rsidRPr="00D06895" w:rsidR="00FF3759" w:rsidP="006D1346" w:rsidRDefault="0026210E" w14:paraId="5B3BE57C" w14:textId="4BBFB2A4">
            <w:pPr>
              <w:jc w:val="left"/>
            </w:pPr>
            <w:r w:rsidRPr="00D06895">
              <w:t>Yousra ASBOUNI EL OUAHABI</w:t>
            </w:r>
          </w:p>
        </w:tc>
      </w:tr>
      <w:tr w:rsidRPr="00D06895" w:rsidR="00FF3759" w:rsidTr="03385EDC" w14:paraId="5B3BE580" w14:textId="77777777">
        <w:tc>
          <w:tcPr>
            <w:tcW w:w="3085" w:type="dxa"/>
          </w:tcPr>
          <w:p w:rsidRPr="00D06895" w:rsidR="00FF3759" w:rsidP="006D1346" w:rsidRDefault="03385EDC" w14:paraId="5B3BE57E" w14:textId="77777777">
            <w:pPr>
              <w:jc w:val="left"/>
            </w:pPr>
            <w:r w:rsidRPr="00D06895">
              <w:t>Document date</w:t>
            </w:r>
          </w:p>
        </w:tc>
        <w:tc>
          <w:tcPr>
            <w:tcW w:w="6204" w:type="dxa"/>
          </w:tcPr>
          <w:p w:rsidRPr="00D06895" w:rsidR="00FF3759" w:rsidP="006D1346" w:rsidRDefault="005D7689" w14:paraId="5B3BE57F" w14:textId="2E36F05E">
            <w:pPr>
              <w:jc w:val="left"/>
            </w:pPr>
            <w:r w:rsidRPr="00D06895">
              <w:t>1/7/2024</w:t>
            </w:r>
          </w:p>
        </w:tc>
      </w:tr>
    </w:tbl>
    <w:p w:rsidRPr="00D06895" w:rsidR="007D54C2" w:rsidP="006D1346" w:rsidRDefault="03385EDC" w14:paraId="67915520" w14:textId="5D08B12D">
      <w:pPr>
        <w:jc w:val="center"/>
        <w:rPr>
          <w:bCs/>
        </w:rPr>
      </w:pPr>
      <w:r w:rsidRPr="00D06895">
        <w:t xml:space="preserve">Rapporteur: </w:t>
      </w:r>
      <w:r w:rsidRPr="00D06895">
        <w:rPr>
          <w:b/>
        </w:rPr>
        <w:t>Bernardo HERNÁNDEZ BATALLER</w:t>
      </w:r>
    </w:p>
    <w:p w:rsidRPr="00D06895" w:rsidR="00E32DC6" w:rsidP="006D1346" w:rsidRDefault="00E32DC6" w14:paraId="5B3BE582" w14:textId="6F8F6800"/>
    <w:p w:rsidRPr="00D06895" w:rsidR="00E32DC6" w:rsidP="006D1346" w:rsidRDefault="00E32DC6" w14:paraId="5B3BE583" w14:textId="77777777"/>
    <w:p w:rsidRPr="00D06895" w:rsidR="00E32DC6" w:rsidP="006D1346" w:rsidRDefault="00E32DC6" w14:paraId="5B3BE584" w14:textId="77777777">
      <w:pPr>
        <w:sectPr w:rsidRPr="00D06895" w:rsidR="00E32DC6" w:rsidSect="006079F8">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44"/>
        <w:gridCol w:w="6027"/>
      </w:tblGrid>
      <w:tr w:rsidRPr="00D06895" w:rsidR="006D1346" w:rsidTr="009C1E45" w14:paraId="59892E74" w14:textId="77777777">
        <w:tc>
          <w:tcPr>
            <w:tcW w:w="3044" w:type="dxa"/>
          </w:tcPr>
          <w:p w:rsidRPr="00D06895" w:rsidR="006D1346" w:rsidP="006D1346" w:rsidRDefault="006D1346" w14:paraId="70F850A8" w14:textId="333A3EF4">
            <w:pPr>
              <w:jc w:val="left"/>
            </w:pPr>
            <w:r w:rsidRPr="00D06895">
              <w:lastRenderedPageBreak/>
              <w:t>Advisor</w:t>
            </w:r>
          </w:p>
        </w:tc>
        <w:tc>
          <w:tcPr>
            <w:tcW w:w="6029" w:type="dxa"/>
          </w:tcPr>
          <w:p w:rsidRPr="00D06895" w:rsidR="006D1346" w:rsidP="006D1346" w:rsidRDefault="006D1346" w14:paraId="013B4315" w14:textId="63B33F5F">
            <w:pPr>
              <w:jc w:val="left"/>
            </w:pPr>
            <w:r w:rsidRPr="00D06895">
              <w:t>Alejandro SALCEDO AZNAL</w:t>
            </w:r>
          </w:p>
        </w:tc>
      </w:tr>
      <w:tr w:rsidRPr="00D06895" w:rsidR="006D1346" w:rsidTr="009C1E45" w14:paraId="06FC8442" w14:textId="77777777">
        <w:tc>
          <w:tcPr>
            <w:tcW w:w="3044" w:type="dxa"/>
          </w:tcPr>
          <w:p w:rsidRPr="00D06895" w:rsidR="006D1346" w:rsidP="006D1346" w:rsidRDefault="006D1346" w14:paraId="11035541" w14:textId="77777777">
            <w:pPr>
              <w:jc w:val="left"/>
            </w:pPr>
          </w:p>
        </w:tc>
        <w:tc>
          <w:tcPr>
            <w:tcW w:w="6029" w:type="dxa"/>
          </w:tcPr>
          <w:p w:rsidRPr="00D06895" w:rsidR="006D1346" w:rsidP="006D1346" w:rsidRDefault="006D1346" w14:paraId="47EA6A4A" w14:textId="77777777">
            <w:pPr>
              <w:jc w:val="left"/>
            </w:pPr>
          </w:p>
        </w:tc>
      </w:tr>
      <w:tr w:rsidRPr="00D06895" w:rsidR="007E50BF" w:rsidTr="009C1E45" w14:paraId="5006B405" w14:textId="77777777">
        <w:tc>
          <w:tcPr>
            <w:tcW w:w="3044" w:type="dxa"/>
          </w:tcPr>
          <w:p w:rsidRPr="00D06895" w:rsidR="007E50BF" w:rsidP="006D1346" w:rsidRDefault="03385EDC" w14:paraId="7EA8A860" w14:textId="77777777">
            <w:pPr>
              <w:jc w:val="left"/>
            </w:pPr>
            <w:r w:rsidRPr="00D06895">
              <w:t>Plenary assembly decision</w:t>
            </w:r>
          </w:p>
        </w:tc>
        <w:tc>
          <w:tcPr>
            <w:tcW w:w="6029" w:type="dxa"/>
          </w:tcPr>
          <w:p w:rsidRPr="00D06895" w:rsidR="007E50BF" w:rsidP="006D1346" w:rsidRDefault="00BD6330" w14:paraId="2750562D" w14:textId="4227648D">
            <w:pPr>
              <w:jc w:val="left"/>
            </w:pPr>
            <w:r w:rsidRPr="00D06895">
              <w:t>18/1/2024</w:t>
            </w:r>
          </w:p>
        </w:tc>
      </w:tr>
      <w:tr w:rsidRPr="00D06895" w:rsidR="00243E36" w:rsidTr="009C1E45" w14:paraId="5B3BE5AF" w14:textId="77777777">
        <w:tc>
          <w:tcPr>
            <w:tcW w:w="3044" w:type="dxa"/>
          </w:tcPr>
          <w:p w:rsidRPr="00D06895" w:rsidR="00243E36" w:rsidP="006D1346" w:rsidRDefault="03385EDC" w14:paraId="5B3BE5AD" w14:textId="77777777">
            <w:pPr>
              <w:jc w:val="left"/>
            </w:pPr>
            <w:r w:rsidRPr="00D06895">
              <w:t>Legal basis</w:t>
            </w:r>
          </w:p>
        </w:tc>
        <w:tc>
          <w:tcPr>
            <w:tcW w:w="6029" w:type="dxa"/>
          </w:tcPr>
          <w:p w:rsidRPr="00D06895" w:rsidR="00243E36" w:rsidP="006D1346" w:rsidRDefault="03385EDC" w14:paraId="5B3BE5AE" w14:textId="14F4452E">
            <w:pPr>
              <w:jc w:val="left"/>
            </w:pPr>
            <w:r w:rsidRPr="00D06895">
              <w:t>Rule 52(2) of the Rules of Procedure</w:t>
            </w:r>
          </w:p>
        </w:tc>
      </w:tr>
      <w:tr w:rsidRPr="00D06895" w:rsidR="00243E36" w:rsidTr="009C1E45" w14:paraId="5B3BE5B2" w14:textId="77777777">
        <w:tc>
          <w:tcPr>
            <w:tcW w:w="3044" w:type="dxa"/>
          </w:tcPr>
          <w:p w:rsidRPr="00D06895" w:rsidR="00243E36" w:rsidP="006D1346" w:rsidRDefault="00243E36" w14:paraId="5B3BE5B0" w14:textId="77777777">
            <w:pPr>
              <w:jc w:val="left"/>
            </w:pPr>
          </w:p>
        </w:tc>
        <w:tc>
          <w:tcPr>
            <w:tcW w:w="6029" w:type="dxa"/>
          </w:tcPr>
          <w:p w:rsidRPr="00D06895" w:rsidR="00243E36" w:rsidP="006D1346" w:rsidRDefault="03385EDC" w14:paraId="5B3BE5B1" w14:textId="77777777">
            <w:pPr>
              <w:jc w:val="left"/>
            </w:pPr>
            <w:r w:rsidRPr="00D06895">
              <w:t>Own-initiative opinion</w:t>
            </w:r>
          </w:p>
        </w:tc>
      </w:tr>
      <w:tr w:rsidRPr="00D06895" w:rsidR="00BA1290" w:rsidTr="009C1E45" w14:paraId="5B3BE5C1" w14:textId="77777777">
        <w:tc>
          <w:tcPr>
            <w:tcW w:w="3044" w:type="dxa"/>
          </w:tcPr>
          <w:p w:rsidRPr="00D06895" w:rsidR="00BA1290" w:rsidP="006D1346" w:rsidRDefault="00BA1290" w14:paraId="5B3BE5BF" w14:textId="77777777">
            <w:pPr>
              <w:jc w:val="left"/>
            </w:pPr>
          </w:p>
        </w:tc>
        <w:tc>
          <w:tcPr>
            <w:tcW w:w="6029" w:type="dxa"/>
          </w:tcPr>
          <w:p w:rsidRPr="00D06895" w:rsidR="00BA1290" w:rsidP="006D1346" w:rsidRDefault="00BA1290" w14:paraId="5B3BE5C0" w14:textId="77777777">
            <w:pPr>
              <w:jc w:val="left"/>
            </w:pPr>
          </w:p>
        </w:tc>
      </w:tr>
      <w:tr w:rsidRPr="00D06895" w:rsidR="00DF5B64" w:rsidTr="009C1E45" w14:paraId="5B3BE5C4" w14:textId="77777777">
        <w:tc>
          <w:tcPr>
            <w:tcW w:w="3044" w:type="dxa"/>
          </w:tcPr>
          <w:p w:rsidRPr="00D06895" w:rsidR="00DF5B64" w:rsidP="006D1346" w:rsidRDefault="03385EDC" w14:paraId="5B3BE5C2" w14:textId="77777777">
            <w:pPr>
              <w:jc w:val="left"/>
            </w:pPr>
            <w:r w:rsidRPr="00D06895">
              <w:t>Section responsible</w:t>
            </w:r>
          </w:p>
        </w:tc>
        <w:tc>
          <w:tcPr>
            <w:tcW w:w="6029" w:type="dxa"/>
          </w:tcPr>
          <w:p w:rsidRPr="00D06895" w:rsidR="00DF5B64" w:rsidP="006D1346" w:rsidRDefault="0026210E" w14:paraId="5B3BE5C3" w14:textId="0128C679">
            <w:pPr>
              <w:jc w:val="left"/>
            </w:pPr>
            <w:r w:rsidRPr="00D06895">
              <w:t>Single Market, Production and Consumption</w:t>
            </w:r>
          </w:p>
        </w:tc>
      </w:tr>
      <w:tr w:rsidRPr="00D06895" w:rsidR="00A156E6" w:rsidTr="009C1E45" w14:paraId="5B3BE5C7" w14:textId="77777777">
        <w:tc>
          <w:tcPr>
            <w:tcW w:w="3044" w:type="dxa"/>
          </w:tcPr>
          <w:p w:rsidRPr="00D06895" w:rsidR="00A156E6" w:rsidP="006D1346" w:rsidRDefault="03385EDC" w14:paraId="5B3BE5C5" w14:textId="6F862EC0">
            <w:pPr>
              <w:jc w:val="left"/>
            </w:pPr>
            <w:r w:rsidRPr="00D06895">
              <w:t>Adopted in section</w:t>
            </w:r>
          </w:p>
        </w:tc>
        <w:tc>
          <w:tcPr>
            <w:tcW w:w="6029" w:type="dxa"/>
          </w:tcPr>
          <w:p w:rsidRPr="00D06895" w:rsidR="00A156E6" w:rsidP="006D1346" w:rsidRDefault="003701C5" w14:paraId="5B3BE5C6" w14:textId="509752E0">
            <w:pPr>
              <w:jc w:val="left"/>
            </w:pPr>
            <w:r w:rsidRPr="00D06895">
              <w:t>26/6/2024</w:t>
            </w:r>
          </w:p>
        </w:tc>
      </w:tr>
      <w:tr w:rsidRPr="00D06895" w:rsidR="00E64E71" w:rsidTr="009C1E45" w14:paraId="76673220" w14:textId="77777777">
        <w:tc>
          <w:tcPr>
            <w:tcW w:w="3044" w:type="dxa"/>
          </w:tcPr>
          <w:p w:rsidRPr="00D06895" w:rsidR="00E64E71" w:rsidP="006D1346" w:rsidRDefault="03385EDC" w14:paraId="3C0899C8" w14:textId="0995A3EA">
            <w:pPr>
              <w:jc w:val="left"/>
            </w:pPr>
            <w:r w:rsidRPr="00D06895">
              <w:t>Outcome of vote</w:t>
            </w:r>
            <w:r w:rsidRPr="00D06895">
              <w:cr/>
            </w:r>
            <w:r w:rsidRPr="00D06895">
              <w:br/>
              <w:t>(for/against/abstentions)</w:t>
            </w:r>
          </w:p>
        </w:tc>
        <w:tc>
          <w:tcPr>
            <w:tcW w:w="6029" w:type="dxa"/>
            <w:vAlign w:val="bottom"/>
          </w:tcPr>
          <w:p w:rsidRPr="00D06895" w:rsidR="00E64E71" w:rsidP="006D1346" w:rsidRDefault="00EA4100" w14:paraId="31005FC7" w14:textId="5A0092E2">
            <w:pPr>
              <w:jc w:val="left"/>
            </w:pPr>
            <w:r w:rsidRPr="00D06895">
              <w:t>69/5/7</w:t>
            </w:r>
          </w:p>
        </w:tc>
      </w:tr>
      <w:tr w:rsidRPr="00D06895" w:rsidR="00A156E6" w:rsidTr="009C1E45" w14:paraId="5B3BE5CA" w14:textId="77777777">
        <w:tc>
          <w:tcPr>
            <w:tcW w:w="3044" w:type="dxa"/>
          </w:tcPr>
          <w:p w:rsidRPr="00D06895" w:rsidR="00A156E6" w:rsidP="006D1346" w:rsidRDefault="03385EDC" w14:paraId="5B3BE5C8" w14:textId="17C6178A">
            <w:pPr>
              <w:jc w:val="left"/>
            </w:pPr>
            <w:r w:rsidRPr="00D06895">
              <w:t>Adopted at plenary</w:t>
            </w:r>
          </w:p>
        </w:tc>
        <w:tc>
          <w:tcPr>
            <w:tcW w:w="6029" w:type="dxa"/>
          </w:tcPr>
          <w:p w:rsidRPr="00D06895" w:rsidR="00A156E6" w:rsidP="006D1346" w:rsidRDefault="03385EDC" w14:paraId="5B3BE5C9" w14:textId="630FC29D">
            <w:pPr>
              <w:jc w:val="left"/>
            </w:pPr>
            <w:r w:rsidRPr="00D06895">
              <w:t>D/M/AAAA</w:t>
            </w:r>
          </w:p>
        </w:tc>
      </w:tr>
      <w:tr w:rsidRPr="00D06895" w:rsidR="00BA1290" w:rsidTr="009C1E45" w14:paraId="5B3BE5CD" w14:textId="77777777">
        <w:tc>
          <w:tcPr>
            <w:tcW w:w="3044" w:type="dxa"/>
          </w:tcPr>
          <w:p w:rsidRPr="00D06895" w:rsidR="00BA1290" w:rsidP="006D1346" w:rsidRDefault="03385EDC" w14:paraId="5B3BE5CB" w14:textId="77777777">
            <w:pPr>
              <w:jc w:val="left"/>
            </w:pPr>
            <w:r w:rsidRPr="00D06895">
              <w:t>Plenary session No</w:t>
            </w:r>
          </w:p>
        </w:tc>
        <w:tc>
          <w:tcPr>
            <w:tcW w:w="6029" w:type="dxa"/>
          </w:tcPr>
          <w:p w:rsidRPr="00D06895" w:rsidR="00BA1290" w:rsidP="006D1346" w:rsidRDefault="03385EDC" w14:paraId="5B3BE5CC" w14:textId="77777777">
            <w:pPr>
              <w:jc w:val="left"/>
            </w:pPr>
            <w:r w:rsidRPr="00D06895">
              <w:t>…</w:t>
            </w:r>
          </w:p>
        </w:tc>
      </w:tr>
      <w:tr w:rsidRPr="00D06895" w:rsidR="00A156E6" w:rsidTr="009C1E45" w14:paraId="5B3BE5D0" w14:textId="77777777">
        <w:tc>
          <w:tcPr>
            <w:tcW w:w="3044" w:type="dxa"/>
          </w:tcPr>
          <w:p w:rsidRPr="00D06895" w:rsidR="00D423D4" w:rsidP="006D1346" w:rsidRDefault="03385EDC" w14:paraId="5B3BE5CE" w14:textId="0ED6183D">
            <w:pPr>
              <w:jc w:val="left"/>
            </w:pPr>
            <w:r w:rsidRPr="00D06895">
              <w:t>Outcome of vote</w:t>
            </w:r>
            <w:r w:rsidRPr="00D06895">
              <w:cr/>
            </w:r>
            <w:r w:rsidRPr="00D06895">
              <w:br/>
              <w:t>(for/against/abstentions)</w:t>
            </w:r>
          </w:p>
        </w:tc>
        <w:tc>
          <w:tcPr>
            <w:tcW w:w="6029" w:type="dxa"/>
            <w:vAlign w:val="bottom"/>
          </w:tcPr>
          <w:p w:rsidRPr="00D06895" w:rsidR="00A156E6" w:rsidP="006D1346" w:rsidRDefault="03385EDC" w14:paraId="5B3BE5CF" w14:textId="77777777">
            <w:pPr>
              <w:jc w:val="left"/>
            </w:pPr>
            <w:r w:rsidRPr="00D06895">
              <w:t>…/…/…</w:t>
            </w:r>
          </w:p>
        </w:tc>
      </w:tr>
    </w:tbl>
    <w:p w:rsidRPr="00D06895" w:rsidR="0090053A" w:rsidP="006D1346" w:rsidRDefault="0090053A" w14:paraId="5B3BE5D1" w14:textId="77777777"/>
    <w:p w:rsidRPr="00D06895" w:rsidR="00646AC2" w:rsidP="006D1346" w:rsidRDefault="00646AC2" w14:paraId="5B3BE5D2" w14:textId="77777777">
      <w:r w:rsidRPr="00D06895">
        <w:br w:type="page"/>
      </w:r>
    </w:p>
    <w:p w:rsidRPr="00D06895" w:rsidR="00011D33" w:rsidP="00D06895" w:rsidRDefault="03385EDC" w14:paraId="5B3BE5D5" w14:textId="38AA4FB8">
      <w:pPr>
        <w:pStyle w:val="Heading1"/>
        <w:keepNext/>
        <w:spacing w:line="286" w:lineRule="auto"/>
        <w:rPr>
          <w:b/>
          <w:bCs/>
        </w:rPr>
      </w:pPr>
      <w:r w:rsidRPr="00D06895">
        <w:rPr>
          <w:b/>
        </w:rPr>
        <w:lastRenderedPageBreak/>
        <w:t>Conclusions and recommendations</w:t>
      </w:r>
    </w:p>
    <w:p w:rsidRPr="00D06895" w:rsidR="00011D33" w:rsidP="00D06895" w:rsidRDefault="00011D33" w14:paraId="5B3BE5DA" w14:textId="1DB63CD6">
      <w:pPr>
        <w:keepNext/>
        <w:spacing w:line="286" w:lineRule="auto"/>
      </w:pPr>
    </w:p>
    <w:p w:rsidRPr="00D06895" w:rsidR="00661701" w:rsidP="00D06895" w:rsidRDefault="00E5148A" w14:paraId="734899AF" w14:textId="58521F48">
      <w:pPr>
        <w:pStyle w:val="Heading2"/>
        <w:spacing w:line="286" w:lineRule="auto"/>
      </w:pPr>
      <w:r w:rsidRPr="00D06895">
        <w:t>The European Economic and Social Committee (EESC) welcomes the recent progress in empowering consumers in the green transition. It urges the Member States to implement effectively the recently adopted Directive on empowering consumers for the green transition, which will ensure better and more harmonised information on the durability and repairability of products.</w:t>
      </w:r>
    </w:p>
    <w:p w:rsidRPr="00D06895" w:rsidR="00356526" w:rsidP="00D06895" w:rsidRDefault="00356526" w14:paraId="6763EB11" w14:textId="77777777">
      <w:pPr>
        <w:spacing w:line="286" w:lineRule="auto"/>
      </w:pPr>
    </w:p>
    <w:p w:rsidRPr="00D06895" w:rsidR="00661701" w:rsidP="00D06895" w:rsidRDefault="00E5148A" w14:paraId="756C3B8A" w14:textId="37439355">
      <w:pPr>
        <w:pStyle w:val="Heading2"/>
        <w:spacing w:line="286" w:lineRule="auto"/>
      </w:pPr>
      <w:r w:rsidRPr="00D06895">
        <w:t>The EESC suggests that accessible, readable and understandable information should be made available to all people, especially those with disabilities, and when it comes to goods and services from third countries. However, this should not create unnecessary red tape for small and medium-sized enterprises.</w:t>
      </w:r>
    </w:p>
    <w:p w:rsidRPr="00D06895" w:rsidR="0096513C" w:rsidP="00D06895" w:rsidRDefault="0096513C" w14:paraId="36780762" w14:textId="77777777">
      <w:pPr>
        <w:spacing w:line="286" w:lineRule="auto"/>
      </w:pPr>
    </w:p>
    <w:p w:rsidRPr="00D06895" w:rsidR="00661701" w:rsidP="00D06895" w:rsidRDefault="009E54E7" w14:paraId="4F1A06F2" w14:textId="096C0085">
      <w:pPr>
        <w:pStyle w:val="Heading2"/>
        <w:spacing w:line="286" w:lineRule="auto"/>
      </w:pPr>
      <w:r w:rsidRPr="00D06895">
        <w:t>Successful consumer regulation that takes into account the need for consumer protection, but also the need for a simple and workable framework for businesses, especially for SMEs, strengthens consumer confidence in the single market and its actors, and contributes to more economic growth and job creation through increased trust in consumption.</w:t>
      </w:r>
    </w:p>
    <w:p w:rsidRPr="00D06895" w:rsidR="0096513C" w:rsidP="00D06895" w:rsidRDefault="0096513C" w14:paraId="0F5CAF48" w14:textId="77777777">
      <w:pPr>
        <w:spacing w:line="286" w:lineRule="auto"/>
      </w:pPr>
    </w:p>
    <w:p w:rsidRPr="00D06895" w:rsidR="009E54E7" w:rsidP="00D06895" w:rsidRDefault="009E54E7" w14:paraId="3BD05E97" w14:textId="742F026F">
      <w:pPr>
        <w:pStyle w:val="Heading2"/>
        <w:spacing w:line="286" w:lineRule="auto"/>
      </w:pPr>
      <w:r w:rsidRPr="00D06895">
        <w:t>The EU consumer rights acquis is perceived as complicated, fragmented and especially difficult for small businesses to comply with. The EU consumer rules should be simplified and streamlined in order to make it easier for businesses to comply with them and to ensure that consumers are aware of their rights.</w:t>
      </w:r>
    </w:p>
    <w:p w:rsidRPr="00D06895" w:rsidR="009E54E7" w:rsidP="00D06895" w:rsidRDefault="009E54E7" w14:paraId="4A7D58B4" w14:textId="77777777">
      <w:pPr>
        <w:spacing w:line="286" w:lineRule="auto"/>
      </w:pPr>
    </w:p>
    <w:p w:rsidRPr="00D06895" w:rsidR="00CD5DD6" w:rsidP="00D06895" w:rsidRDefault="00CD5DD6" w14:paraId="0BEC716E" w14:textId="4A564029">
      <w:pPr>
        <w:pStyle w:val="Heading2"/>
        <w:spacing w:line="286" w:lineRule="auto"/>
      </w:pPr>
      <w:r w:rsidRPr="00D06895">
        <w:t>The right to consumer information in the internal market can be realised by using smart labels to monitor the state of products, by promoting the digital transition, and by developing robotics, artificial intelligence, blockchain and virtual reality.</w:t>
      </w:r>
    </w:p>
    <w:p w:rsidRPr="00D06895" w:rsidR="005D7689" w:rsidP="00D06895" w:rsidRDefault="005D7689" w14:paraId="69E83E0F" w14:textId="77777777">
      <w:pPr>
        <w:spacing w:line="286" w:lineRule="auto"/>
      </w:pPr>
    </w:p>
    <w:p w:rsidRPr="00D06895" w:rsidR="00661701" w:rsidP="00D06895" w:rsidRDefault="00E5148A" w14:paraId="7AD48E94" w14:textId="0B4DADD0">
      <w:pPr>
        <w:pStyle w:val="Heading2"/>
        <w:spacing w:line="286" w:lineRule="auto"/>
      </w:pPr>
      <w:r w:rsidRPr="00D06895">
        <w:t>The EESC urges the Commission to report on Regulation (EU) 2017/2394 of the European Parliament and of the Council of 12 December 2017 on cooperation between national authorities responsible for the enforcement of consumer protection laws (hereinafter ‘Regulation (EU) 2017/2394’). The evaluation report is needed to analyse any further needs for updates to the consumer protection authorities’ cooperation framework.</w:t>
      </w:r>
    </w:p>
    <w:p w:rsidRPr="00D06895" w:rsidR="0096513C" w:rsidP="00D06895" w:rsidRDefault="0096513C" w14:paraId="7FF9E894" w14:textId="77777777">
      <w:pPr>
        <w:spacing w:line="286" w:lineRule="auto"/>
      </w:pPr>
    </w:p>
    <w:p w:rsidRPr="00D06895" w:rsidR="00661701" w:rsidP="00D06895" w:rsidRDefault="009E54E7" w14:paraId="12A24967" w14:textId="315C6124">
      <w:pPr>
        <w:pStyle w:val="Heading2"/>
        <w:spacing w:line="286" w:lineRule="auto"/>
      </w:pPr>
      <w:r w:rsidRPr="00D06895">
        <w:t>The EU consumer rights acquis is perceived as complicated, fragmented and especially difficult for small businesses to comply with. The EU consumer rules should be simplified and streamlined in order to make it easier for businesses to comply with them and to ensure that consumers are aware of their rights. Further harmonisation of consumer rights in the EU would also encourage cross-border trade in the single market, thereby also enriching the consumer choice available to citizens.</w:t>
      </w:r>
    </w:p>
    <w:p w:rsidRPr="00D06895" w:rsidR="009E54E7" w:rsidP="00D06895" w:rsidRDefault="009E54E7" w14:paraId="5AE2B31B" w14:textId="77777777">
      <w:pPr>
        <w:spacing w:line="286" w:lineRule="auto"/>
      </w:pPr>
    </w:p>
    <w:p w:rsidRPr="00D06895" w:rsidR="00661701" w:rsidP="00D06895" w:rsidRDefault="00E5148A" w14:paraId="09621244" w14:textId="7E25639B">
      <w:pPr>
        <w:pStyle w:val="Heading2"/>
        <w:spacing w:line="286" w:lineRule="auto"/>
      </w:pPr>
      <w:r w:rsidRPr="00D06895">
        <w:t>The EESC calls for the Commission and the Member States to ensure that consumers and businesses are informed in a clear manner about their rights and obligations in consumer legislation, for example through an updated catalogue of consumer rights. The use of alternative dispute resolution (ADR) should also be encouraged in consumer disputes.</w:t>
      </w:r>
    </w:p>
    <w:p w:rsidRPr="00D06895" w:rsidR="00661701" w:rsidP="00D06895" w:rsidRDefault="00661701" w14:paraId="5F758FDE" w14:textId="31AF5152">
      <w:pPr>
        <w:spacing w:line="286" w:lineRule="auto"/>
      </w:pPr>
    </w:p>
    <w:p w:rsidRPr="00D06895" w:rsidR="00661701" w:rsidP="00D06895" w:rsidRDefault="00E5148A" w14:paraId="2DCF9187" w14:textId="7773A512">
      <w:pPr>
        <w:pStyle w:val="Heading2"/>
        <w:spacing w:line="286" w:lineRule="auto"/>
      </w:pPr>
      <w:r w:rsidRPr="00D06895">
        <w:lastRenderedPageBreak/>
        <w:t>Finally, the EESC is concerned about the actions of providers of online platform services and search engines with regard to consumers’ right to information, and the obligation to apply reasonable, proportionate and effective measures to reduce systemic risks and illegal content, in particular to protect minors. In this regard, the EESC calls for equality between EU and non-EU operators when it comes to compliance along the entire value chain.</w:t>
      </w:r>
    </w:p>
    <w:p w:rsidRPr="00D06895" w:rsidR="00661701" w:rsidP="00D06895" w:rsidRDefault="00661701" w14:paraId="202DF254" w14:textId="77777777">
      <w:pPr>
        <w:spacing w:line="286" w:lineRule="auto"/>
      </w:pPr>
    </w:p>
    <w:p w:rsidRPr="00D06895" w:rsidR="00011D33" w:rsidP="00D06895" w:rsidRDefault="00F2069C" w14:paraId="5B3BE5DB" w14:textId="7D930375">
      <w:pPr>
        <w:pStyle w:val="Heading1"/>
        <w:keepNext/>
        <w:spacing w:line="286" w:lineRule="auto"/>
        <w:rPr>
          <w:b/>
          <w:bCs/>
        </w:rPr>
      </w:pPr>
      <w:r w:rsidRPr="00D06895">
        <w:rPr>
          <w:b/>
        </w:rPr>
        <w:t>Background</w:t>
      </w:r>
    </w:p>
    <w:p w:rsidRPr="00D06895" w:rsidR="00011D33" w:rsidP="00D06895" w:rsidRDefault="00011D33" w14:paraId="5B3BE5DC" w14:textId="77777777">
      <w:pPr>
        <w:keepNext/>
        <w:spacing w:line="286" w:lineRule="auto"/>
      </w:pPr>
    </w:p>
    <w:p w:rsidRPr="00D06895" w:rsidR="00011D33" w:rsidP="00D06895" w:rsidRDefault="00F2069C" w14:paraId="5B3BE5DD" w14:textId="706EEB09">
      <w:pPr>
        <w:pStyle w:val="Heading2"/>
        <w:spacing w:line="286" w:lineRule="auto"/>
      </w:pPr>
      <w:r w:rsidRPr="00D06895">
        <w:t xml:space="preserve">The EU’s consumer policy programme is based on the </w:t>
      </w:r>
      <w:hyperlink w:history="1" r:id="rId20">
        <w:r w:rsidRPr="00D06895">
          <w:rPr>
            <w:rStyle w:val="Hyperlink"/>
          </w:rPr>
          <w:t>New Consumer Agenda (hereinafter ‘the Agenda’)</w:t>
        </w:r>
      </w:hyperlink>
      <w:r w:rsidRPr="00D06895">
        <w:t>. The Agenda seeks to provide an updated vision for the EU’s consumer protection policy for the 2020-2025 period, under the heading ‘Strengthening consumer resilience for sustainable recovery’.</w:t>
      </w:r>
    </w:p>
    <w:p w:rsidRPr="00D06895" w:rsidR="006D1346" w:rsidP="00D06895" w:rsidRDefault="006D1346" w14:paraId="415E6866" w14:textId="77777777">
      <w:pPr>
        <w:spacing w:line="286" w:lineRule="auto"/>
      </w:pPr>
    </w:p>
    <w:p w:rsidRPr="00D06895" w:rsidR="00F2069C" w:rsidP="00D06895" w:rsidRDefault="00F2069C" w14:paraId="01698560" w14:textId="340D0731">
      <w:pPr>
        <w:pStyle w:val="Heading3"/>
        <w:keepNext/>
        <w:spacing w:line="286" w:lineRule="auto"/>
      </w:pPr>
      <w:r w:rsidRPr="00D06895">
        <w:t>The agenda includes the following key priority areas:</w:t>
      </w:r>
    </w:p>
    <w:p w:rsidRPr="00D06895" w:rsidR="00316492" w:rsidP="00D06895" w:rsidRDefault="00316492" w14:paraId="5FA3D784" w14:textId="77777777">
      <w:pPr>
        <w:keepNext/>
        <w:spacing w:line="286" w:lineRule="auto"/>
      </w:pPr>
    </w:p>
    <w:p w:rsidRPr="00D06895" w:rsidR="00F2069C" w:rsidP="00D06895" w:rsidRDefault="005F65B9" w14:paraId="482E6FAB" w14:textId="09AC689D">
      <w:pPr>
        <w:pStyle w:val="ListParagraph"/>
        <w:numPr>
          <w:ilvl w:val="0"/>
          <w:numId w:val="72"/>
        </w:numPr>
        <w:spacing w:after="0" w:line="286" w:lineRule="auto"/>
        <w:ind w:left="924" w:hanging="357"/>
        <w:jc w:val="both"/>
        <w:rPr>
          <w:rFonts w:ascii="Times New Roman" w:hAnsi="Times New Roman" w:cs="Times New Roman"/>
          <w:noProof w:val="0"/>
        </w:rPr>
      </w:pPr>
      <w:r w:rsidRPr="00D06895">
        <w:rPr>
          <w:rFonts w:ascii="Times New Roman" w:hAnsi="Times New Roman"/>
        </w:rPr>
        <w:t>green transition – ensuring that sustainable products and lifestyles are available to all;</w:t>
      </w:r>
    </w:p>
    <w:p w:rsidRPr="00D06895" w:rsidR="00F2069C" w:rsidP="00D06895" w:rsidRDefault="005F65B9" w14:paraId="387ECB04" w14:textId="4D12E699">
      <w:pPr>
        <w:pStyle w:val="ListParagraph"/>
        <w:numPr>
          <w:ilvl w:val="0"/>
          <w:numId w:val="72"/>
        </w:numPr>
        <w:spacing w:after="0" w:line="286" w:lineRule="auto"/>
        <w:ind w:left="924" w:hanging="357"/>
        <w:jc w:val="both"/>
        <w:rPr>
          <w:rFonts w:ascii="Times New Roman" w:hAnsi="Times New Roman" w:cs="Times New Roman"/>
          <w:noProof w:val="0"/>
        </w:rPr>
      </w:pPr>
      <w:r w:rsidRPr="00D06895">
        <w:rPr>
          <w:rFonts w:ascii="Times New Roman" w:hAnsi="Times New Roman"/>
        </w:rPr>
        <w:t>digital transformation – creating a safer digital space for consumers where their rights are protected;</w:t>
      </w:r>
    </w:p>
    <w:p w:rsidRPr="00D06895" w:rsidR="00F2069C" w:rsidP="00D06895" w:rsidRDefault="005F65B9" w14:paraId="733F19DD" w14:textId="5BAC1AFA">
      <w:pPr>
        <w:pStyle w:val="ListParagraph"/>
        <w:numPr>
          <w:ilvl w:val="0"/>
          <w:numId w:val="72"/>
        </w:numPr>
        <w:spacing w:after="0" w:line="286" w:lineRule="auto"/>
        <w:ind w:left="924" w:hanging="357"/>
        <w:jc w:val="both"/>
        <w:rPr>
          <w:rFonts w:ascii="Times New Roman" w:hAnsi="Times New Roman" w:cs="Times New Roman"/>
          <w:noProof w:val="0"/>
        </w:rPr>
      </w:pPr>
      <w:r w:rsidRPr="00D06895">
        <w:rPr>
          <w:rFonts w:ascii="Times New Roman" w:hAnsi="Times New Roman"/>
        </w:rPr>
        <w:t>effective enforcement and redress – dealing with misleading environmental claims and unfair commercial practices in relation to online influencing techniques and personalisation;</w:t>
      </w:r>
    </w:p>
    <w:p w:rsidRPr="00D06895" w:rsidR="00F2069C" w:rsidP="00D06895" w:rsidRDefault="005F65B9" w14:paraId="209BAE5D" w14:textId="68FE8BBD">
      <w:pPr>
        <w:pStyle w:val="ListParagraph"/>
        <w:numPr>
          <w:ilvl w:val="0"/>
          <w:numId w:val="72"/>
        </w:numPr>
        <w:spacing w:after="0" w:line="286" w:lineRule="auto"/>
        <w:ind w:left="924" w:hanging="357"/>
        <w:jc w:val="both"/>
        <w:rPr>
          <w:rFonts w:ascii="Times New Roman" w:hAnsi="Times New Roman" w:cs="Times New Roman"/>
          <w:noProof w:val="0"/>
        </w:rPr>
      </w:pPr>
      <w:r w:rsidRPr="00D06895">
        <w:rPr>
          <w:rFonts w:ascii="Times New Roman" w:hAnsi="Times New Roman"/>
        </w:rPr>
        <w:t>protection of vulnerable groups – meeting the specific needs of consumers in situations which may be due, among other things, to the non-specific social circumstances of individual consumers or groups of consumers;</w:t>
      </w:r>
    </w:p>
    <w:p w:rsidRPr="00D06895" w:rsidR="00F2069C" w:rsidP="00D06895" w:rsidRDefault="005F65B9" w14:paraId="739DD720" w14:textId="22D58519">
      <w:pPr>
        <w:pStyle w:val="ListParagraph"/>
        <w:numPr>
          <w:ilvl w:val="0"/>
          <w:numId w:val="72"/>
        </w:numPr>
        <w:spacing w:after="0" w:line="286" w:lineRule="auto"/>
        <w:ind w:left="924" w:hanging="357"/>
        <w:jc w:val="both"/>
        <w:rPr>
          <w:rFonts w:ascii="Times New Roman" w:hAnsi="Times New Roman" w:cs="Times New Roman"/>
          <w:noProof w:val="0"/>
        </w:rPr>
      </w:pPr>
      <w:r w:rsidRPr="00D06895">
        <w:rPr>
          <w:rFonts w:ascii="Times New Roman" w:hAnsi="Times New Roman"/>
        </w:rPr>
        <w:t>consumer protection in the global context – ensuring the safety of imports and protecting EU consumers against unfair practices by operators not based in the EU, through market surveillance and closer cooperation with the relevant authorities of the EU’s partner countries.</w:t>
      </w:r>
    </w:p>
    <w:p w:rsidRPr="00D06895" w:rsidR="002B376B" w:rsidP="00D06895" w:rsidRDefault="002B376B" w14:paraId="745FD1A4" w14:textId="77777777">
      <w:pPr>
        <w:pStyle w:val="ListParagraph"/>
        <w:spacing w:after="0" w:line="286" w:lineRule="auto"/>
        <w:ind w:left="0"/>
        <w:jc w:val="both"/>
        <w:rPr>
          <w:rFonts w:ascii="Times New Roman" w:hAnsi="Times New Roman" w:cs="Times New Roman"/>
          <w:noProof w:val="0"/>
        </w:rPr>
      </w:pPr>
    </w:p>
    <w:p w:rsidRPr="00D06895" w:rsidR="00F2069C" w:rsidP="00D06895" w:rsidRDefault="00F2069C" w14:paraId="67AFF2B1" w14:textId="7B6B33E8">
      <w:pPr>
        <w:pStyle w:val="Heading2"/>
        <w:spacing w:line="286" w:lineRule="auto"/>
      </w:pPr>
      <w:r w:rsidRPr="00D06895">
        <w:t>The agenda also provides for other measures specific to the sector, including providing consumer information and enforcing consumer rights effectively. In this regard, within the framework of Regulation (EU) 2017/2394, the Member States’ public authorities form a European network to facilitate the exchange of information and joint action against infringements of consumer protection laws.</w:t>
      </w:r>
    </w:p>
    <w:p w:rsidRPr="00D06895" w:rsidR="00F2069C" w:rsidP="00D06895" w:rsidRDefault="00F2069C" w14:paraId="0979AF4D" w14:textId="78AB8BD7">
      <w:pPr>
        <w:spacing w:line="286" w:lineRule="auto"/>
      </w:pPr>
    </w:p>
    <w:p w:rsidRPr="00D06895" w:rsidR="00D95C32" w:rsidP="00D06895" w:rsidRDefault="00F2069C" w14:paraId="683EBA99" w14:textId="0351158D">
      <w:pPr>
        <w:pStyle w:val="Heading2"/>
        <w:spacing w:line="286" w:lineRule="auto"/>
      </w:pPr>
      <w:r w:rsidRPr="00D06895">
        <w:t>Moreover, Regulation (EU) 2023/988 of the European Parliament and of the Council of 10 May 2023 on general product safety (hereinafter ‘Regulation (EU) 2023/988’), which seeks to improve how the internal market operates while ensuring a high level of consumer protection, stipulates that the Commission will further develop, modernise and maintain the Safety Gate Rapid Alert System for the exchange of information on corrective measures.</w:t>
      </w:r>
    </w:p>
    <w:p w:rsidRPr="00D06895" w:rsidR="00F2069C" w:rsidP="00D06895" w:rsidRDefault="00F2069C" w14:paraId="0C22569E" w14:textId="377CE6CA">
      <w:pPr>
        <w:pStyle w:val="Heading3"/>
        <w:numPr>
          <w:ilvl w:val="0"/>
          <w:numId w:val="0"/>
        </w:numPr>
        <w:spacing w:line="286" w:lineRule="auto"/>
      </w:pPr>
    </w:p>
    <w:p w:rsidRPr="00D06895" w:rsidR="00F2069C" w:rsidP="00D06895" w:rsidRDefault="00F2069C" w14:paraId="024C87F6" w14:textId="592B2A31">
      <w:pPr>
        <w:pStyle w:val="Heading2"/>
        <w:spacing w:line="286" w:lineRule="auto"/>
      </w:pPr>
      <w:r w:rsidRPr="00D06895">
        <w:t>Recently, the Parliament and the Council adopted a directive to empower consumers for the green transition. The directive aims to enhance consumer rights by amending the Unfair Commercial Practices Directive and the Consumer Rights Directive and adapting them for the green transition and the circular economy</w:t>
      </w:r>
      <w:r w:rsidRPr="00D06895" w:rsidR="00480232">
        <w:rPr>
          <w:rStyle w:val="FootnoteReference"/>
        </w:rPr>
        <w:footnoteReference w:id="1"/>
      </w:r>
      <w:r w:rsidRPr="00D06895">
        <w:t>.</w:t>
      </w:r>
    </w:p>
    <w:p w:rsidRPr="00D06895" w:rsidR="00F2069C" w:rsidP="00D06895" w:rsidRDefault="00F2069C" w14:paraId="67E67015" w14:textId="1C7997E5">
      <w:pPr>
        <w:pStyle w:val="Heading3"/>
        <w:numPr>
          <w:ilvl w:val="0"/>
          <w:numId w:val="0"/>
        </w:numPr>
        <w:spacing w:line="286" w:lineRule="auto"/>
      </w:pPr>
    </w:p>
    <w:p w:rsidRPr="00D06895" w:rsidR="00F2069C" w:rsidP="00D06895" w:rsidRDefault="00F2069C" w14:paraId="1D2686A2" w14:textId="20A3CC3B">
      <w:pPr>
        <w:pStyle w:val="Heading2"/>
        <w:spacing w:line="286" w:lineRule="auto"/>
      </w:pPr>
      <w:r w:rsidRPr="00D06895">
        <w:lastRenderedPageBreak/>
        <w:t>While the Consumer Rights Directive requires traders to provide consumers with information on the main features of goods or services and their durability and reparability, it does not cover traceability of the social and labour dimensions. However, these are already covered by legislation on other matters.</w:t>
      </w:r>
    </w:p>
    <w:p w:rsidRPr="00D06895" w:rsidR="00F2069C" w:rsidP="00D06895" w:rsidRDefault="00F2069C" w14:paraId="7EAB79B7" w14:textId="386CD4E6">
      <w:pPr>
        <w:spacing w:line="286" w:lineRule="auto"/>
      </w:pPr>
    </w:p>
    <w:p w:rsidRPr="00D06895" w:rsidR="00F2069C" w:rsidP="00D06895" w:rsidRDefault="00F2069C" w14:paraId="423042D0" w14:textId="46DEC09C">
      <w:pPr>
        <w:pStyle w:val="Heading2"/>
        <w:spacing w:line="286" w:lineRule="auto"/>
      </w:pPr>
      <w:r w:rsidRPr="00D06895">
        <w:t xml:space="preserve">As part of a broader analysis, the 2030 Agenda Sustainable Development Goals (SDGs) and related targets should also be taken into account. Although most SDGs concern consumer information and protection policies, which play a very important role in meeting the goals, it is worth highlighting the shared responsibility that consumers may have for some of them through their consumption habits. These Sustainable Development Goals are SDG 12 </w:t>
      </w:r>
      <w:r w:rsidRPr="00D06895">
        <w:rPr>
          <w:i/>
        </w:rPr>
        <w:t>Ensure sustainable production and consumption patterns</w:t>
      </w:r>
      <w:r w:rsidRPr="00D06895">
        <w:t xml:space="preserve">, SDG 5 </w:t>
      </w:r>
      <w:r w:rsidRPr="00D06895">
        <w:rPr>
          <w:i/>
        </w:rPr>
        <w:t>Gender equality</w:t>
      </w:r>
      <w:r w:rsidRPr="00D06895">
        <w:t xml:space="preserve">, SDG 8 </w:t>
      </w:r>
      <w:r w:rsidRPr="00D06895">
        <w:rPr>
          <w:i/>
        </w:rPr>
        <w:t>Decent work and economic growth</w:t>
      </w:r>
      <w:r w:rsidRPr="00D06895">
        <w:t xml:space="preserve"> and SDG 10 </w:t>
      </w:r>
      <w:r w:rsidRPr="00D06895">
        <w:rPr>
          <w:i/>
        </w:rPr>
        <w:t>Reduce inequality within and among countries</w:t>
      </w:r>
      <w:r w:rsidRPr="00D06895">
        <w:t>.</w:t>
      </w:r>
    </w:p>
    <w:p w:rsidRPr="00D06895" w:rsidR="00F2069C" w:rsidP="00D06895" w:rsidRDefault="00F2069C" w14:paraId="049DA604" w14:textId="6638419C">
      <w:pPr>
        <w:pStyle w:val="Heading2"/>
        <w:numPr>
          <w:ilvl w:val="0"/>
          <w:numId w:val="0"/>
        </w:numPr>
        <w:spacing w:line="286" w:lineRule="auto"/>
      </w:pPr>
    </w:p>
    <w:p w:rsidRPr="00D06895" w:rsidR="00F2069C" w:rsidP="00D06895" w:rsidRDefault="00FE419D" w14:paraId="16037707" w14:textId="5D623519">
      <w:pPr>
        <w:pStyle w:val="Heading1"/>
        <w:keepNext/>
        <w:keepLines/>
        <w:spacing w:line="286" w:lineRule="auto"/>
        <w:rPr>
          <w:b/>
          <w:bCs/>
        </w:rPr>
      </w:pPr>
      <w:r w:rsidRPr="00D06895">
        <w:rPr>
          <w:b/>
        </w:rPr>
        <w:t>Consumer information in the current EU legislative framework</w:t>
      </w:r>
    </w:p>
    <w:p w:rsidRPr="00D06895" w:rsidR="00FE419D" w:rsidP="00D06895" w:rsidRDefault="00FE419D" w14:paraId="1B9BE35D" w14:textId="0D6AF2C7">
      <w:pPr>
        <w:keepNext/>
        <w:keepLines/>
        <w:spacing w:line="286" w:lineRule="auto"/>
      </w:pPr>
    </w:p>
    <w:p w:rsidRPr="00D06895" w:rsidR="00FE419D" w:rsidP="00D06895" w:rsidRDefault="00FE419D" w14:paraId="5AF083B3" w14:textId="20336D43">
      <w:pPr>
        <w:pStyle w:val="Heading2"/>
        <w:spacing w:line="286" w:lineRule="auto"/>
      </w:pPr>
      <w:r w:rsidRPr="00D06895">
        <w:t>In terms of the various elements that could be considered to make up responsible consumption (e.g. healthy, safe, sustainable, ethical and solidarity-based, inclusive and accessible), it is fair to say that the EU’s regulation and policies on consumer information and protection sufficiently guarantee their rights to healthy and safe consumption, as well as the protection of their economic and legal interests. However, there is no similar level of protection when it comes to information on the ethical, solidarity-based, inclusive and accessible dimensions of consumption.</w:t>
      </w:r>
    </w:p>
    <w:p w:rsidRPr="00D06895" w:rsidR="00FE419D" w:rsidP="00D06895" w:rsidRDefault="00FE419D" w14:paraId="7C863DAD" w14:textId="56F48869">
      <w:pPr>
        <w:spacing w:line="286" w:lineRule="auto"/>
      </w:pPr>
    </w:p>
    <w:p w:rsidRPr="00D06895" w:rsidR="00FE419D" w:rsidP="00D06895" w:rsidRDefault="00FE419D" w14:paraId="7E220579" w14:textId="5D89F349">
      <w:pPr>
        <w:pStyle w:val="Heading2"/>
        <w:spacing w:line="286" w:lineRule="auto"/>
      </w:pPr>
      <w:r w:rsidRPr="00D06895">
        <w:t>That said, there has been some progress on promoting and raising awareness of ethical and solidarity-based consumption, especially through initiatives to promote fair trade, and inclusive or accessible consumption, with the aim of protecting vulnerable groups.</w:t>
      </w:r>
    </w:p>
    <w:p w:rsidRPr="00D06895" w:rsidR="00FE419D" w:rsidP="00D06895" w:rsidRDefault="00FE419D" w14:paraId="09C0F159" w14:textId="0CC8E3A3">
      <w:pPr>
        <w:spacing w:line="286" w:lineRule="auto"/>
      </w:pPr>
    </w:p>
    <w:p w:rsidRPr="00D06895" w:rsidR="00FE419D" w:rsidP="00D06895" w:rsidRDefault="00E964E5" w14:paraId="11D1A495" w14:textId="1A64AEB3">
      <w:pPr>
        <w:pStyle w:val="Heading2"/>
        <w:spacing w:line="286" w:lineRule="auto"/>
      </w:pPr>
      <w:r w:rsidRPr="00D06895">
        <w:t>Consumers today are better informed due to the widespread availability of information through digital technologies, increased transparency from companies, increased regulatory requirements, and proactive consumer behaviour. This enhanced access to information enables them to make more educated and conscientious purchasing decisions, reflecting a significant shift from past consumer behaviour, when information was more limited and harder to obtain. Yet, empowering consumers for the green transition, as well as increasing consumers’ awareness of relevant aspects is an important task in which consumer organisations have an important role to play.</w:t>
      </w:r>
    </w:p>
    <w:p w:rsidRPr="00D06895" w:rsidR="00FE419D" w:rsidP="00D06895" w:rsidRDefault="00FE419D" w14:paraId="755EBF04" w14:textId="4E50A756">
      <w:pPr>
        <w:spacing w:line="286" w:lineRule="auto"/>
      </w:pPr>
    </w:p>
    <w:p w:rsidRPr="00D06895" w:rsidR="00FE419D" w:rsidP="00D06895" w:rsidRDefault="00FE419D" w14:paraId="07306B3B" w14:textId="323C8C87">
      <w:pPr>
        <w:pStyle w:val="Heading2"/>
        <w:spacing w:line="286" w:lineRule="auto"/>
      </w:pPr>
      <w:r w:rsidRPr="00D06895">
        <w:t>Consumers increasingly rely on other criteria as well as quality and price when making purchases. Such criteria make consumers jointly responsible in socio-environmental matters, such as those mentioned above. However, these other criteria are integrated on the basis of informed decisions that can bring about a change in habits, creating an interest that needs to be met through purchases that provide a sense of wellbeing. This runs counter to the emotional experience of buying things on impulse, reducing the tension caused by the desire to have them.</w:t>
      </w:r>
    </w:p>
    <w:p w:rsidRPr="00D06895" w:rsidR="00FE419D" w:rsidP="00D06895" w:rsidRDefault="00FE419D" w14:paraId="63ACA602" w14:textId="4F255AE5">
      <w:pPr>
        <w:spacing w:line="286" w:lineRule="auto"/>
      </w:pPr>
    </w:p>
    <w:p w:rsidRPr="00D06895" w:rsidR="00FE419D" w:rsidP="00D06895" w:rsidRDefault="003920FB" w14:paraId="671CF54E" w14:textId="421CDEDF">
      <w:pPr>
        <w:pStyle w:val="Heading2"/>
        <w:spacing w:line="286" w:lineRule="auto"/>
      </w:pPr>
      <w:r w:rsidRPr="00D06895">
        <w:t>The nature of the various purchasing criteria represents a consumption externality that is either positive or negative, depending on the purchase’s impact on third parties (with a third party considered to be any external factor, whether tangible or not).</w:t>
      </w:r>
    </w:p>
    <w:p w:rsidRPr="00D06895" w:rsidR="00FE419D" w:rsidP="00D06895" w:rsidRDefault="00FE419D" w14:paraId="7BBBDBEC" w14:textId="3808B116">
      <w:pPr>
        <w:spacing w:line="286" w:lineRule="auto"/>
      </w:pPr>
    </w:p>
    <w:p w:rsidRPr="00D06895" w:rsidR="00AF3FE6" w:rsidP="00D06895" w:rsidRDefault="00AF3FE6" w14:paraId="27D250E4" w14:textId="32376F4B">
      <w:pPr>
        <w:pStyle w:val="Heading2"/>
        <w:spacing w:line="286" w:lineRule="auto"/>
      </w:pPr>
      <w:r w:rsidRPr="00D06895">
        <w:lastRenderedPageBreak/>
        <w:t>Therefore, improving the information needed to make informed purchases means knowing about the positive or negative externalities of products. This influences whether consumers buy them or not, meaning that they can exercise their power on the market through their purchases.</w:t>
      </w:r>
    </w:p>
    <w:p w:rsidRPr="00D06895" w:rsidR="00AF3FE6" w:rsidP="00D06895" w:rsidRDefault="00AF3FE6" w14:paraId="470133EA" w14:textId="13B55BED">
      <w:pPr>
        <w:pStyle w:val="Heading2"/>
        <w:numPr>
          <w:ilvl w:val="0"/>
          <w:numId w:val="0"/>
        </w:numPr>
        <w:spacing w:line="286" w:lineRule="auto"/>
      </w:pPr>
    </w:p>
    <w:p w:rsidRPr="00D06895" w:rsidR="00FE419D" w:rsidP="00D06895" w:rsidRDefault="003920FB" w14:paraId="407E5FA6" w14:textId="4C8F4735">
      <w:pPr>
        <w:pStyle w:val="Heading2"/>
        <w:spacing w:line="286" w:lineRule="auto"/>
      </w:pPr>
      <w:r w:rsidRPr="00D06895">
        <w:t>However, the EESC is concerned about excessive bureaucracy, especially for medium-sized and small enterprises, as some of it may be unnecessary and could in some cases make it more difficult to carry out their normal operations. The Committee also believes that a more neutral and streamlined consumer law framework would be better for both consumers and businesses. Successful consumer regulation that takes into account the need for consumer protection, but also the need for a simple and workable framework for businesses, especially for SMEs, strengthens consumer confidence in the single market and its actors, and contributes to more economic growth and job creation through increased trust in consumption. It should also be noted that businesses have a market-driven incentive to provide sustainability information to consumers as this enhances reputations and builds customer and investor loyalty, which ultimately leads to a competitive advantage.</w:t>
      </w:r>
    </w:p>
    <w:p w:rsidRPr="00D06895" w:rsidR="00FE419D" w:rsidP="00D06895" w:rsidRDefault="00FE419D" w14:paraId="56E1507E" w14:textId="24124CF1">
      <w:pPr>
        <w:spacing w:line="286" w:lineRule="auto"/>
      </w:pPr>
    </w:p>
    <w:p w:rsidRPr="00D06895" w:rsidR="00FE419D" w:rsidP="00D06895" w:rsidRDefault="00FE419D" w14:paraId="6D1E8D3E" w14:textId="1E1DEA4E">
      <w:pPr>
        <w:pStyle w:val="Heading2"/>
        <w:spacing w:line="286" w:lineRule="auto"/>
      </w:pPr>
      <w:r w:rsidRPr="00D06895">
        <w:t>Furthermore, if consumers are better informed, it provides more symmetry of information and transparency among different market players, making it more difficult to carry out unfair practices and balancing the power of consumers with that of other players. After all, if commercial transactions are to be fair, consumers must have all the information known by each trader about the product, goods or services being traded.</w:t>
      </w:r>
    </w:p>
    <w:p w:rsidRPr="00D06895" w:rsidR="00FE419D" w:rsidP="00D06895" w:rsidRDefault="00FE419D" w14:paraId="163F3BCF" w14:textId="631B367E">
      <w:pPr>
        <w:spacing w:line="286" w:lineRule="auto"/>
      </w:pPr>
    </w:p>
    <w:p w:rsidRPr="00D06895" w:rsidR="00FE419D" w:rsidP="00D06895" w:rsidRDefault="00FE419D" w14:paraId="260675CA" w14:textId="595F50E8">
      <w:pPr>
        <w:pStyle w:val="Heading2"/>
        <w:spacing w:line="286" w:lineRule="auto"/>
      </w:pPr>
      <w:r w:rsidRPr="00D06895">
        <w:t>At the same time, providing better information can initially make it easier for people to compare products and make more informed purchase decisions. It can mean that that information is then passed on to other consumers who either do not have it or are unable to express their level of awareness through their purchases. The result is an instructive effect that quickly spreads information about purchasing decisions among consumers and their networks. To this end, the consumer and environmental complaint directories already provided for in the Commission’s recent legislation should be enhanced.</w:t>
      </w:r>
    </w:p>
    <w:p w:rsidRPr="00D06895" w:rsidR="00FE419D" w:rsidP="00D06895" w:rsidRDefault="00FE419D" w14:paraId="114DD6B2" w14:textId="5AD8A18B">
      <w:pPr>
        <w:spacing w:line="286" w:lineRule="auto"/>
      </w:pPr>
    </w:p>
    <w:p w:rsidRPr="00D06895" w:rsidR="00FE419D" w:rsidP="00D06895" w:rsidRDefault="00FE419D" w14:paraId="43BA3FF1" w14:textId="75E7E89F">
      <w:pPr>
        <w:pStyle w:val="Heading2"/>
        <w:spacing w:line="286" w:lineRule="auto"/>
      </w:pPr>
      <w:r w:rsidRPr="00D06895">
        <w:t>However, this multiplier effect of better information must be accompanied by monitoring to ensure a faithful match between the information content and the real characteristics of the products, thereby consolidating loyalty to the product and brand</w:t>
      </w:r>
      <w:r w:rsidRPr="00D06895" w:rsidR="00590971">
        <w:rPr>
          <w:rStyle w:val="FootnoteReference"/>
        </w:rPr>
        <w:footnoteReference w:id="2"/>
      </w:r>
      <w:r w:rsidRPr="00D06895">
        <w:t>. Promoting the use of alternative dispute resolution systems, as the EESC has already called for, can help overcome existing differences.</w:t>
      </w:r>
    </w:p>
    <w:p w:rsidRPr="00D06895" w:rsidR="00FE419D" w:rsidP="00D06895" w:rsidRDefault="00FE419D" w14:paraId="347DE60C" w14:textId="4B4B1B23">
      <w:pPr>
        <w:spacing w:line="286" w:lineRule="auto"/>
      </w:pPr>
    </w:p>
    <w:p w:rsidRPr="00D06895" w:rsidR="00FE419D" w:rsidP="00D06895" w:rsidRDefault="00FE419D" w14:paraId="1B5CEB4E" w14:textId="5A52FB2D">
      <w:pPr>
        <w:pStyle w:val="Heading2"/>
        <w:spacing w:line="286" w:lineRule="auto"/>
      </w:pPr>
      <w:r w:rsidRPr="00D06895">
        <w:t>Technological applications can currently get round space constraints that make it difficult to set out information on labelling clearly. In this context, the work undertaken on the digital product passport is a clear step forward, and the EESC looks forward to its implementation.</w:t>
      </w:r>
    </w:p>
    <w:p w:rsidRPr="00D06895" w:rsidR="00FE419D" w:rsidP="00D06895" w:rsidRDefault="00FE419D" w14:paraId="731FA981" w14:textId="6D2E68D1">
      <w:pPr>
        <w:spacing w:line="286" w:lineRule="auto"/>
      </w:pPr>
    </w:p>
    <w:p w:rsidRPr="00D06895" w:rsidR="00FE419D" w:rsidP="00D06895" w:rsidRDefault="00FE419D" w14:paraId="28781DBA" w14:textId="698C2493">
      <w:pPr>
        <w:pStyle w:val="Heading2"/>
        <w:spacing w:line="286" w:lineRule="auto"/>
      </w:pPr>
      <w:r w:rsidRPr="00D06895">
        <w:t xml:space="preserve">With regard to better information on websites that sell products and activities (as long as it is useful and not excessive), while providing more information does not pose a problem of space, it must be presented in a way that it is accessible and does not redirect users to other websites that </w:t>
      </w:r>
      <w:r w:rsidRPr="00D06895">
        <w:lastRenderedPageBreak/>
        <w:t>are difficult to navigate in order to read it. This has already been laid down in law, and so there is a need to check whether this obligation has been properly met.</w:t>
      </w:r>
    </w:p>
    <w:p w:rsidRPr="00D06895" w:rsidR="003920FB" w:rsidP="00D06895" w:rsidRDefault="003920FB" w14:paraId="02980210" w14:textId="1C93CCB2">
      <w:pPr>
        <w:spacing w:line="286" w:lineRule="auto"/>
      </w:pPr>
    </w:p>
    <w:p w:rsidRPr="00D06895" w:rsidR="00D06DB0" w:rsidP="00D06895" w:rsidRDefault="00D06DB0" w14:paraId="41835184" w14:textId="23268E92">
      <w:pPr>
        <w:pStyle w:val="Heading2"/>
        <w:spacing w:line="286" w:lineRule="auto"/>
      </w:pPr>
      <w:r w:rsidRPr="00D06895">
        <w:t>In the digital field, civil society organisations should play an active role when it comes to consumers’ right to receive information from providers of online platform services and search engines. This also applies to the steps that such providers take to address systemic risks they identify when assessing the risks that they, and related systems, generate, including algorithmic systems or those based on using their services.</w:t>
      </w:r>
    </w:p>
    <w:p w:rsidRPr="00D06895" w:rsidR="00D06DB0" w:rsidP="00D06895" w:rsidRDefault="00D06DB0" w14:paraId="0302E8A5" w14:textId="77777777">
      <w:pPr>
        <w:spacing w:line="286" w:lineRule="auto"/>
      </w:pPr>
    </w:p>
    <w:p w:rsidRPr="00D06895" w:rsidR="00D06DB0" w:rsidP="00D06895" w:rsidRDefault="00D06DB0" w14:paraId="59572843" w14:textId="154F87E8">
      <w:pPr>
        <w:pStyle w:val="Heading3"/>
        <w:spacing w:line="286" w:lineRule="auto"/>
      </w:pPr>
      <w:r w:rsidRPr="00D06895">
        <w:t>Social change means there is a need to tackle the latest challenges, such as mass data collection, verification of data, disruption from threats, hybrid threats, cybersecurity, disinformation and information manipulation. These are linked to traditional consumer information problems, for example from issues with funeral services in different Member States to emerging problems relating to the digital world.</w:t>
      </w:r>
    </w:p>
    <w:p w:rsidRPr="00D06895" w:rsidR="00D06DB0" w:rsidP="00D06895" w:rsidRDefault="00D06DB0" w14:paraId="3FD643C0" w14:textId="19F2050E">
      <w:pPr>
        <w:spacing w:line="286" w:lineRule="auto"/>
      </w:pPr>
    </w:p>
    <w:p w:rsidRPr="00D06895" w:rsidR="00D06DB0" w:rsidP="00D06895" w:rsidRDefault="00D06DB0" w14:paraId="74B89791" w14:textId="3FE2FF52">
      <w:pPr>
        <w:pStyle w:val="Heading2"/>
        <w:spacing w:line="286" w:lineRule="auto"/>
      </w:pPr>
      <w:r w:rsidRPr="00D06895">
        <w:t>Including the right to repair products, as already called for by the EESC, also helps invest in human resources, in addition to being environmentally friendly and sustainable.</w:t>
      </w:r>
    </w:p>
    <w:p w:rsidRPr="00D06895" w:rsidR="00FE419D" w:rsidP="00D06895" w:rsidRDefault="00FE419D" w14:paraId="6B1E4ED8" w14:textId="13CEFE7D">
      <w:pPr>
        <w:spacing w:line="286" w:lineRule="auto"/>
      </w:pPr>
    </w:p>
    <w:p w:rsidRPr="00D06895" w:rsidR="00FE419D" w:rsidP="00D06895" w:rsidRDefault="00FE419D" w14:paraId="0705CC91" w14:textId="749A733B">
      <w:pPr>
        <w:pStyle w:val="Heading1"/>
        <w:keepNext/>
        <w:keepLines/>
        <w:spacing w:line="286" w:lineRule="auto"/>
        <w:rPr>
          <w:b/>
          <w:bCs/>
        </w:rPr>
      </w:pPr>
      <w:r w:rsidRPr="00D06895">
        <w:rPr>
          <w:b/>
        </w:rPr>
        <w:t>EESC proposals to strengthen consumer information requirements in the EU</w:t>
      </w:r>
    </w:p>
    <w:p w:rsidRPr="00D06895" w:rsidR="00804E8E" w:rsidP="00D06895" w:rsidRDefault="00804E8E" w14:paraId="37167B8B" w14:textId="77777777">
      <w:pPr>
        <w:spacing w:line="286" w:lineRule="auto"/>
      </w:pPr>
    </w:p>
    <w:p w:rsidRPr="00D06895" w:rsidR="00FE419D" w:rsidP="00D06895" w:rsidRDefault="005D7689" w14:paraId="28F7A92D" w14:textId="0A4F9B7F">
      <w:pPr>
        <w:pStyle w:val="Heading2"/>
        <w:spacing w:line="286" w:lineRule="auto"/>
      </w:pPr>
      <w:r w:rsidRPr="00D06895">
        <w:t>Increasing consumer confidence by providing better information on relevant aspects of products and services can be achieved by taking both proactive and reactive measures. The former include product labelling and contractual information on services, as well as information and publicity campaigns to that end, while also providing the necessary financial resources to small and medium-sized enterprises. Empowering consumers for the green transition and increasing their awareness of their rights is an important task in which consumer organisations have an crucial role to play.</w:t>
      </w:r>
    </w:p>
    <w:p w:rsidRPr="00D06895" w:rsidR="00FE419D" w:rsidP="00D06895" w:rsidRDefault="00FE419D" w14:paraId="67520E9B" w14:textId="504BAA8C">
      <w:pPr>
        <w:pStyle w:val="Heading2"/>
        <w:numPr>
          <w:ilvl w:val="0"/>
          <w:numId w:val="0"/>
        </w:numPr>
        <w:spacing w:line="286" w:lineRule="auto"/>
      </w:pPr>
    </w:p>
    <w:p w:rsidRPr="00D06895" w:rsidR="00763E95" w:rsidP="00D06895" w:rsidRDefault="00763E95" w14:paraId="6BB066DA" w14:textId="267041D2">
      <w:pPr>
        <w:pStyle w:val="Heading3"/>
        <w:spacing w:line="286" w:lineRule="auto"/>
      </w:pPr>
      <w:r w:rsidRPr="00D06895">
        <w:t>In addition, Regulation (EU) 2017/2394 needs to be evaluated in order to analyse any further needs for updates to the consumer protection authorities’ cooperation framework.</w:t>
      </w:r>
    </w:p>
    <w:p w:rsidRPr="00D06895" w:rsidR="00763E95" w:rsidP="00D06895" w:rsidRDefault="00763E95" w14:paraId="724DD3B5" w14:textId="2EBFB9B2">
      <w:pPr>
        <w:pStyle w:val="Heading2"/>
        <w:numPr>
          <w:ilvl w:val="0"/>
          <w:numId w:val="0"/>
        </w:numPr>
        <w:spacing w:line="286" w:lineRule="auto"/>
      </w:pPr>
    </w:p>
    <w:p w:rsidRPr="00D06895" w:rsidR="00763E95" w:rsidP="00D06895" w:rsidRDefault="00A02F6B" w14:paraId="0C43ADB8" w14:textId="2B0D1973">
      <w:pPr>
        <w:pStyle w:val="Heading2"/>
        <w:spacing w:line="286" w:lineRule="auto"/>
      </w:pPr>
      <w:r w:rsidRPr="00D06895">
        <w:t>A one-stop-shop for consumer protection should also be set up, supporting consumer information rights, and putting an end to the current sector-specific approach that is more asymmetric.</w:t>
      </w:r>
    </w:p>
    <w:p w:rsidRPr="00D06895" w:rsidR="005D7689" w:rsidP="00D06895" w:rsidRDefault="005D7689" w14:paraId="3096211A" w14:textId="77777777">
      <w:pPr>
        <w:spacing w:line="286" w:lineRule="auto"/>
      </w:pPr>
    </w:p>
    <w:p w:rsidRPr="00D06895" w:rsidR="00FE419D" w:rsidP="00D06895" w:rsidRDefault="00FE419D" w14:paraId="14AE4FE7" w14:textId="2A114455">
      <w:pPr>
        <w:pStyle w:val="Heading2"/>
        <w:spacing w:line="286" w:lineRule="auto"/>
      </w:pPr>
      <w:r w:rsidRPr="00D06895">
        <w:t>Finally, it should be pointed out that this initiative also aims to improve the traceability of goods and services available, given that the role of intermediaries can make this difficult. This particularly applies to e-commerce, where tracing may not always be effective and could be built into the digital product passport in all those cases where it is not provided for.</w:t>
      </w:r>
    </w:p>
    <w:p w:rsidRPr="00D06895" w:rsidR="00D60DDC" w:rsidP="00D06895" w:rsidRDefault="00D60DDC" w14:paraId="3D38BCFC" w14:textId="77777777">
      <w:pPr>
        <w:spacing w:line="286" w:lineRule="auto"/>
      </w:pPr>
    </w:p>
    <w:p w:rsidRPr="00D06895" w:rsidR="00D60DDC" w:rsidP="00D06895" w:rsidRDefault="00D60DDC" w14:paraId="259F3F9B" w14:textId="7EF92F17">
      <w:pPr>
        <w:spacing w:line="286" w:lineRule="auto"/>
        <w:jc w:val="left"/>
      </w:pPr>
      <w:r w:rsidRPr="00D06895">
        <w:t>Brussels, 26 June 2024</w:t>
      </w:r>
    </w:p>
    <w:p w:rsidRPr="00D06895" w:rsidR="00D60DDC" w:rsidP="00D06895" w:rsidRDefault="00D60DDC" w14:paraId="6957E42E" w14:textId="77777777">
      <w:pPr>
        <w:spacing w:line="286" w:lineRule="auto"/>
        <w:jc w:val="left"/>
      </w:pPr>
    </w:p>
    <w:p w:rsidRPr="00D06895" w:rsidR="00D60DDC" w:rsidP="00D06895" w:rsidRDefault="00D60DDC" w14:paraId="17579016" w14:textId="77777777">
      <w:pPr>
        <w:spacing w:line="286" w:lineRule="auto"/>
        <w:jc w:val="left"/>
      </w:pPr>
    </w:p>
    <w:p w:rsidRPr="00D06895" w:rsidR="00D60DDC" w:rsidP="00D06895" w:rsidRDefault="00D60DDC" w14:paraId="153F4F79" w14:textId="20E4183A">
      <w:pPr>
        <w:spacing w:line="286" w:lineRule="auto"/>
        <w:jc w:val="left"/>
      </w:pPr>
    </w:p>
    <w:p w:rsidRPr="00D06895" w:rsidR="00D60DDC" w:rsidP="00D06895" w:rsidRDefault="00D60DDC" w14:paraId="0A562392" w14:textId="414E01AC">
      <w:pPr>
        <w:spacing w:line="286" w:lineRule="auto"/>
        <w:jc w:val="left"/>
        <w:rPr>
          <w:i/>
        </w:rPr>
      </w:pPr>
      <w:r w:rsidRPr="00D06895">
        <w:rPr>
          <w:i/>
        </w:rPr>
        <w:t>The president of the Section for the Single Market, Production and Consumption</w:t>
      </w:r>
    </w:p>
    <w:p w:rsidRPr="00D06895" w:rsidR="0096513C" w:rsidP="00D06895" w:rsidRDefault="0096513C" w14:paraId="68A2EBB7" w14:textId="4D39A937">
      <w:pPr>
        <w:spacing w:line="286" w:lineRule="auto"/>
        <w:jc w:val="left"/>
        <w:rPr>
          <w:iCs/>
        </w:rPr>
      </w:pPr>
      <w:r w:rsidRPr="00D06895">
        <w:t>Sandra Parthie</w:t>
      </w:r>
    </w:p>
    <w:p w:rsidRPr="00D06895" w:rsidR="00D60DDC" w:rsidP="00D06895" w:rsidRDefault="03385EDC" w14:paraId="1FF3E984" w14:textId="4EE38E83">
      <w:pPr>
        <w:spacing w:line="286" w:lineRule="auto"/>
        <w:jc w:val="center"/>
      </w:pPr>
      <w:r w:rsidRPr="00D06895">
        <w:t>_____________</w:t>
      </w:r>
    </w:p>
    <w:sectPr w:rsidRPr="00D06895" w:rsidR="00D60DDC" w:rsidSect="00D06895">
      <w:headerReference w:type="even" r:id="rId21"/>
      <w:headerReference w:type="default" r:id="rId22"/>
      <w:footerReference w:type="even" r:id="rId23"/>
      <w:footerReference w:type="default" r:id="rId24"/>
      <w:headerReference w:type="first" r:id="rId25"/>
      <w:footerReference w:type="first" r:id="rId26"/>
      <w:pgSz w:w="11907" w:h="16839" w:code="9"/>
      <w:pgMar w:top="1361" w:right="1418" w:bottom="1361"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67BD" w14:textId="77777777" w:rsidR="006A7668" w:rsidRDefault="006A7668">
      <w:r>
        <w:separator/>
      </w:r>
    </w:p>
  </w:endnote>
  <w:endnote w:type="continuationSeparator" w:id="0">
    <w:p w14:paraId="3D01BA35" w14:textId="77777777" w:rsidR="006A7668" w:rsidRDefault="006A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605B" w14:textId="77777777" w:rsidR="00CF3BB6" w:rsidRPr="006079F8" w:rsidRDefault="00CF3BB6" w:rsidP="00607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71C687C0" w:rsidR="00E32DC6" w:rsidRPr="006079F8" w:rsidRDefault="006079F8" w:rsidP="006079F8">
    <w:pPr>
      <w:pStyle w:val="Footer"/>
    </w:pPr>
    <w:r>
      <w:t xml:space="preserve">INT/1057 – EESC-2024-00553-00-00-AS-TRA (ES) </w:t>
    </w:r>
    <w:r>
      <w:fldChar w:fldCharType="begin"/>
    </w:r>
    <w:r>
      <w:instrText xml:space="preserve"> PAGE  \* Arabic  \* MERGEFORMAT </w:instrText>
    </w:r>
    <w:r>
      <w:fldChar w:fldCharType="separate"/>
    </w:r>
    <w:r>
      <w:rPr>
        <w:noProof/>
      </w:rPr>
      <w:t>1</w:t>
    </w:r>
    <w:r>
      <w:fldChar w:fldCharType="end"/>
    </w:r>
    <w:r>
      <w:t>/</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D9C5" w14:textId="77777777" w:rsidR="00CF3BB6" w:rsidRPr="006079F8" w:rsidRDefault="00CF3BB6" w:rsidP="006079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EC14" w14:textId="77777777" w:rsidR="006660A7" w:rsidRPr="006079F8" w:rsidRDefault="006660A7" w:rsidP="006079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0A93" w14:textId="36012238" w:rsidR="006660A7" w:rsidRPr="006079F8" w:rsidRDefault="006079F8" w:rsidP="006079F8">
    <w:pPr>
      <w:pStyle w:val="Footer"/>
    </w:pPr>
    <w:r>
      <w:t xml:space="preserve">INT/1057 – EESC-2024-00553-00-00-AS-TRA (ES) </w:t>
    </w:r>
    <w:r>
      <w:fldChar w:fldCharType="begin"/>
    </w:r>
    <w:r>
      <w:instrText xml:space="preserve"> PAGE  \* Arabic  \* MERGEFORMAT </w:instrText>
    </w:r>
    <w:r>
      <w:fldChar w:fldCharType="separate"/>
    </w:r>
    <w:r>
      <w:rPr>
        <w:noProof/>
      </w:rPr>
      <w:t>1</w:t>
    </w:r>
    <w:r>
      <w:fldChar w:fldCharType="end"/>
    </w:r>
    <w:r>
      <w:t>/</w:t>
    </w:r>
    <w:fldSimple w:instr=" NUMPAGES ">
      <w:r>
        <w:rPr>
          <w:noProof/>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B005" w14:textId="77777777" w:rsidR="006660A7" w:rsidRPr="006079F8" w:rsidRDefault="006660A7" w:rsidP="0060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256E" w14:textId="77777777" w:rsidR="006A7668" w:rsidRDefault="006A7668">
      <w:r>
        <w:separator/>
      </w:r>
    </w:p>
  </w:footnote>
  <w:footnote w:type="continuationSeparator" w:id="0">
    <w:p w14:paraId="310B1287" w14:textId="77777777" w:rsidR="006A7668" w:rsidRDefault="006A7668">
      <w:r>
        <w:continuationSeparator/>
      </w:r>
    </w:p>
  </w:footnote>
  <w:footnote w:id="1">
    <w:p w14:paraId="2A16161A" w14:textId="3804F083" w:rsidR="00480232" w:rsidRPr="006D1346" w:rsidRDefault="00480232">
      <w:pPr>
        <w:pStyle w:val="FootnoteText"/>
      </w:pPr>
      <w:r>
        <w:rPr>
          <w:rStyle w:val="FootnoteReference"/>
        </w:rPr>
        <w:footnoteRef/>
      </w:r>
      <w:r>
        <w:tab/>
      </w:r>
      <w:hyperlink r:id="rId1" w:tgtFrame="_blank" w:history="1">
        <w:hyperlink r:id="rId2" w:history="1">
          <w:r>
            <w:rPr>
              <w:rStyle w:val="Hyperlink"/>
            </w:rPr>
            <w:t>COM(2022) 143 final</w:t>
          </w:r>
        </w:hyperlink>
        <w:r>
          <w:t>.</w:t>
        </w:r>
      </w:hyperlink>
    </w:p>
  </w:footnote>
  <w:footnote w:id="2">
    <w:p w14:paraId="66048ACD" w14:textId="3B9AC402" w:rsidR="00590971" w:rsidRPr="00590971" w:rsidRDefault="00590971">
      <w:pPr>
        <w:pStyle w:val="FootnoteText"/>
      </w:pPr>
      <w:r>
        <w:rPr>
          <w:rStyle w:val="FootnoteReference"/>
        </w:rPr>
        <w:footnoteRef/>
      </w:r>
      <w:r>
        <w:tab/>
      </w:r>
      <w:hyperlink r:id="rId3" w:tgtFrame="_blank" w:history="1">
        <w:r>
          <w:rPr>
            <w:rStyle w:val="Hyperlink"/>
          </w:rPr>
          <w:t>Enrico Letta (2024): ‘Much more than a market - Speed, Security, Solidarity</w:t>
        </w:r>
      </w:hyperlink>
      <w:r>
        <w:t>.</w:t>
      </w:r>
      <w:hyperlink r:id="rId4" w:tgtFrame="_blank" w:history="1">
        <w:r>
          <w:rPr>
            <w:rStyle w:val="Hyperlink"/>
          </w:rPr>
          <w:t xml:space="preserve"> Empowering the Single Market to deliver a sustainable future and prosperity for all EU Citizens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071D" w14:textId="77777777" w:rsidR="00CF3BB6" w:rsidRPr="006079F8" w:rsidRDefault="00CF3BB6" w:rsidP="00607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0F36" w14:textId="72752E64" w:rsidR="00CF3BB6" w:rsidRPr="006079F8" w:rsidRDefault="00CF3BB6" w:rsidP="00607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CAF4" w14:textId="77777777" w:rsidR="00CF3BB6" w:rsidRPr="006079F8" w:rsidRDefault="00CF3BB6" w:rsidP="00607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1B71" w14:textId="77777777" w:rsidR="006660A7" w:rsidRPr="006079F8" w:rsidRDefault="006660A7" w:rsidP="006079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F009" w14:textId="4E26A31A" w:rsidR="006660A7" w:rsidRPr="006079F8" w:rsidRDefault="006660A7" w:rsidP="006079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EF33" w14:textId="77777777" w:rsidR="006660A7" w:rsidRPr="006079F8" w:rsidRDefault="006660A7" w:rsidP="00607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20DF80"/>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E656D97"/>
    <w:multiLevelType w:val="hybridMultilevel"/>
    <w:tmpl w:val="2656165C"/>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AA4BC8"/>
    <w:multiLevelType w:val="hybridMultilevel"/>
    <w:tmpl w:val="FADA16E0"/>
    <w:lvl w:ilvl="0" w:tplc="080C0017">
      <w:start w:val="1"/>
      <w:numFmt w:val="lowerLetter"/>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F5F22DA"/>
    <w:multiLevelType w:val="hybridMultilevel"/>
    <w:tmpl w:val="7432279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4"/>
  </w:num>
  <w:num w:numId="72">
    <w:abstractNumId w:val="1"/>
  </w:num>
  <w:num w:numId="73">
    <w:abstractNumId w:val="5"/>
  </w:num>
  <w:num w:numId="7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3699"/>
    <w:rsid w:val="00005AB9"/>
    <w:rsid w:val="00005EB9"/>
    <w:rsid w:val="00006E24"/>
    <w:rsid w:val="00007A40"/>
    <w:rsid w:val="00011D33"/>
    <w:rsid w:val="00020E6E"/>
    <w:rsid w:val="00031A4B"/>
    <w:rsid w:val="00033913"/>
    <w:rsid w:val="00033E5B"/>
    <w:rsid w:val="000357A8"/>
    <w:rsid w:val="0003780A"/>
    <w:rsid w:val="000430A6"/>
    <w:rsid w:val="00044923"/>
    <w:rsid w:val="00046D4B"/>
    <w:rsid w:val="0005249C"/>
    <w:rsid w:val="000534A5"/>
    <w:rsid w:val="0005680D"/>
    <w:rsid w:val="000573F5"/>
    <w:rsid w:val="00063FB4"/>
    <w:rsid w:val="0006793E"/>
    <w:rsid w:val="000710E5"/>
    <w:rsid w:val="00072E0F"/>
    <w:rsid w:val="000735E5"/>
    <w:rsid w:val="0007392F"/>
    <w:rsid w:val="00087B39"/>
    <w:rsid w:val="000960B6"/>
    <w:rsid w:val="00096502"/>
    <w:rsid w:val="000A441C"/>
    <w:rsid w:val="000A49BB"/>
    <w:rsid w:val="000B54D7"/>
    <w:rsid w:val="000C3441"/>
    <w:rsid w:val="000C5FDD"/>
    <w:rsid w:val="000C7F18"/>
    <w:rsid w:val="000C7F53"/>
    <w:rsid w:val="000D0788"/>
    <w:rsid w:val="000D2F8E"/>
    <w:rsid w:val="000E011A"/>
    <w:rsid w:val="000E1A17"/>
    <w:rsid w:val="000F196B"/>
    <w:rsid w:val="00105361"/>
    <w:rsid w:val="001101F8"/>
    <w:rsid w:val="0011206F"/>
    <w:rsid w:val="0011656A"/>
    <w:rsid w:val="0012220C"/>
    <w:rsid w:val="00124074"/>
    <w:rsid w:val="00136EA3"/>
    <w:rsid w:val="00137575"/>
    <w:rsid w:val="001435A8"/>
    <w:rsid w:val="00143F6C"/>
    <w:rsid w:val="00144231"/>
    <w:rsid w:val="00150434"/>
    <w:rsid w:val="001518CE"/>
    <w:rsid w:val="00152097"/>
    <w:rsid w:val="001550C3"/>
    <w:rsid w:val="00155721"/>
    <w:rsid w:val="0015678B"/>
    <w:rsid w:val="0016503F"/>
    <w:rsid w:val="0016674F"/>
    <w:rsid w:val="00167CA0"/>
    <w:rsid w:val="0017120D"/>
    <w:rsid w:val="001714F6"/>
    <w:rsid w:val="001720A3"/>
    <w:rsid w:val="00176168"/>
    <w:rsid w:val="001763D4"/>
    <w:rsid w:val="00177158"/>
    <w:rsid w:val="001808A5"/>
    <w:rsid w:val="00184FD4"/>
    <w:rsid w:val="00186B04"/>
    <w:rsid w:val="00186F1E"/>
    <w:rsid w:val="00190836"/>
    <w:rsid w:val="00193930"/>
    <w:rsid w:val="001963A5"/>
    <w:rsid w:val="00196F1E"/>
    <w:rsid w:val="00197FCA"/>
    <w:rsid w:val="001A27DB"/>
    <w:rsid w:val="001A2D6F"/>
    <w:rsid w:val="001A6852"/>
    <w:rsid w:val="001A6BED"/>
    <w:rsid w:val="001B1B7A"/>
    <w:rsid w:val="001B286A"/>
    <w:rsid w:val="001B2D02"/>
    <w:rsid w:val="001B3647"/>
    <w:rsid w:val="001B77FA"/>
    <w:rsid w:val="001C0ABE"/>
    <w:rsid w:val="001C5852"/>
    <w:rsid w:val="001D45F0"/>
    <w:rsid w:val="001E4A33"/>
    <w:rsid w:val="001E5C27"/>
    <w:rsid w:val="001F0163"/>
    <w:rsid w:val="001F602B"/>
    <w:rsid w:val="001F6AC8"/>
    <w:rsid w:val="002037D5"/>
    <w:rsid w:val="00206F90"/>
    <w:rsid w:val="00212B03"/>
    <w:rsid w:val="002131AE"/>
    <w:rsid w:val="00215C10"/>
    <w:rsid w:val="00215C2D"/>
    <w:rsid w:val="00220410"/>
    <w:rsid w:val="002252C4"/>
    <w:rsid w:val="00230130"/>
    <w:rsid w:val="0023183E"/>
    <w:rsid w:val="00235138"/>
    <w:rsid w:val="00240622"/>
    <w:rsid w:val="00243A33"/>
    <w:rsid w:val="00243E36"/>
    <w:rsid w:val="0024540B"/>
    <w:rsid w:val="00245EF4"/>
    <w:rsid w:val="00250E11"/>
    <w:rsid w:val="00251383"/>
    <w:rsid w:val="002522C9"/>
    <w:rsid w:val="00252A21"/>
    <w:rsid w:val="00253E4F"/>
    <w:rsid w:val="002542E4"/>
    <w:rsid w:val="00261053"/>
    <w:rsid w:val="00261750"/>
    <w:rsid w:val="0026210E"/>
    <w:rsid w:val="00262FDE"/>
    <w:rsid w:val="00263629"/>
    <w:rsid w:val="0027486F"/>
    <w:rsid w:val="002769BD"/>
    <w:rsid w:val="00276A75"/>
    <w:rsid w:val="002809EA"/>
    <w:rsid w:val="00280FF9"/>
    <w:rsid w:val="00282914"/>
    <w:rsid w:val="00284962"/>
    <w:rsid w:val="00287B0E"/>
    <w:rsid w:val="00291F95"/>
    <w:rsid w:val="00292A86"/>
    <w:rsid w:val="00293C0B"/>
    <w:rsid w:val="002A0B53"/>
    <w:rsid w:val="002A0EEF"/>
    <w:rsid w:val="002A76F9"/>
    <w:rsid w:val="002B2DF7"/>
    <w:rsid w:val="002B376B"/>
    <w:rsid w:val="002C1DB1"/>
    <w:rsid w:val="002C3BF4"/>
    <w:rsid w:val="002C749F"/>
    <w:rsid w:val="002D0742"/>
    <w:rsid w:val="002D31EB"/>
    <w:rsid w:val="002E7B33"/>
    <w:rsid w:val="002F059B"/>
    <w:rsid w:val="002F5B0B"/>
    <w:rsid w:val="00300924"/>
    <w:rsid w:val="00300A44"/>
    <w:rsid w:val="00300F7F"/>
    <w:rsid w:val="00305104"/>
    <w:rsid w:val="0030596E"/>
    <w:rsid w:val="00306DB0"/>
    <w:rsid w:val="003073C3"/>
    <w:rsid w:val="00316492"/>
    <w:rsid w:val="00320064"/>
    <w:rsid w:val="00323637"/>
    <w:rsid w:val="00324E8A"/>
    <w:rsid w:val="00331D87"/>
    <w:rsid w:val="00332850"/>
    <w:rsid w:val="00334478"/>
    <w:rsid w:val="003346B4"/>
    <w:rsid w:val="00334AE6"/>
    <w:rsid w:val="003365D0"/>
    <w:rsid w:val="003416A4"/>
    <w:rsid w:val="003439AB"/>
    <w:rsid w:val="0035034C"/>
    <w:rsid w:val="00354695"/>
    <w:rsid w:val="0035549B"/>
    <w:rsid w:val="00356526"/>
    <w:rsid w:val="00363CD0"/>
    <w:rsid w:val="003701C5"/>
    <w:rsid w:val="003755C8"/>
    <w:rsid w:val="00375687"/>
    <w:rsid w:val="00380AE0"/>
    <w:rsid w:val="00383324"/>
    <w:rsid w:val="00383849"/>
    <w:rsid w:val="00387A75"/>
    <w:rsid w:val="003904FD"/>
    <w:rsid w:val="00391A5C"/>
    <w:rsid w:val="003920FB"/>
    <w:rsid w:val="00394254"/>
    <w:rsid w:val="003A28CE"/>
    <w:rsid w:val="003C2BFB"/>
    <w:rsid w:val="003C436B"/>
    <w:rsid w:val="003C5337"/>
    <w:rsid w:val="003C5F92"/>
    <w:rsid w:val="003D4984"/>
    <w:rsid w:val="003D7A8C"/>
    <w:rsid w:val="003D7C00"/>
    <w:rsid w:val="003E56E5"/>
    <w:rsid w:val="003E7E60"/>
    <w:rsid w:val="003F00D4"/>
    <w:rsid w:val="003F096D"/>
    <w:rsid w:val="003F2209"/>
    <w:rsid w:val="003F3D39"/>
    <w:rsid w:val="003F5553"/>
    <w:rsid w:val="003F646A"/>
    <w:rsid w:val="003F6761"/>
    <w:rsid w:val="003F6A0A"/>
    <w:rsid w:val="003F6AF7"/>
    <w:rsid w:val="004024F5"/>
    <w:rsid w:val="00402DE1"/>
    <w:rsid w:val="00403D8B"/>
    <w:rsid w:val="00404D4B"/>
    <w:rsid w:val="004058F1"/>
    <w:rsid w:val="00407E7D"/>
    <w:rsid w:val="0041283D"/>
    <w:rsid w:val="00413AB4"/>
    <w:rsid w:val="00421373"/>
    <w:rsid w:val="00421FB7"/>
    <w:rsid w:val="0042763B"/>
    <w:rsid w:val="0043024C"/>
    <w:rsid w:val="00430436"/>
    <w:rsid w:val="00436706"/>
    <w:rsid w:val="00443D38"/>
    <w:rsid w:val="00450E7A"/>
    <w:rsid w:val="00456AF8"/>
    <w:rsid w:val="00470B15"/>
    <w:rsid w:val="00475869"/>
    <w:rsid w:val="00475A77"/>
    <w:rsid w:val="00480232"/>
    <w:rsid w:val="004866A9"/>
    <w:rsid w:val="0048754F"/>
    <w:rsid w:val="00491DCD"/>
    <w:rsid w:val="00492774"/>
    <w:rsid w:val="00496D7A"/>
    <w:rsid w:val="004A31BC"/>
    <w:rsid w:val="004A3F1A"/>
    <w:rsid w:val="004A3F45"/>
    <w:rsid w:val="004A5738"/>
    <w:rsid w:val="004B1AFA"/>
    <w:rsid w:val="004B650B"/>
    <w:rsid w:val="004B7088"/>
    <w:rsid w:val="004C4D12"/>
    <w:rsid w:val="004C5B76"/>
    <w:rsid w:val="004D02CD"/>
    <w:rsid w:val="004D0B24"/>
    <w:rsid w:val="004D4B90"/>
    <w:rsid w:val="004D5824"/>
    <w:rsid w:val="004D64DB"/>
    <w:rsid w:val="004D6B95"/>
    <w:rsid w:val="004D7F41"/>
    <w:rsid w:val="004E03A2"/>
    <w:rsid w:val="004E317E"/>
    <w:rsid w:val="004E3954"/>
    <w:rsid w:val="004E5856"/>
    <w:rsid w:val="004E70E9"/>
    <w:rsid w:val="004F2330"/>
    <w:rsid w:val="004F53C6"/>
    <w:rsid w:val="004F55C6"/>
    <w:rsid w:val="004F69DB"/>
    <w:rsid w:val="004F6B87"/>
    <w:rsid w:val="00501C2D"/>
    <w:rsid w:val="00502637"/>
    <w:rsid w:val="00504763"/>
    <w:rsid w:val="0051027D"/>
    <w:rsid w:val="00511140"/>
    <w:rsid w:val="00513CFE"/>
    <w:rsid w:val="00523B6A"/>
    <w:rsid w:val="005258AB"/>
    <w:rsid w:val="00525F6C"/>
    <w:rsid w:val="00527456"/>
    <w:rsid w:val="00546AB4"/>
    <w:rsid w:val="0055032C"/>
    <w:rsid w:val="005514E5"/>
    <w:rsid w:val="00563C84"/>
    <w:rsid w:val="005762F6"/>
    <w:rsid w:val="00582B40"/>
    <w:rsid w:val="00584FBE"/>
    <w:rsid w:val="00585483"/>
    <w:rsid w:val="00587378"/>
    <w:rsid w:val="00587C05"/>
    <w:rsid w:val="00590971"/>
    <w:rsid w:val="00590AAB"/>
    <w:rsid w:val="005938C3"/>
    <w:rsid w:val="0059468C"/>
    <w:rsid w:val="00595125"/>
    <w:rsid w:val="00596F21"/>
    <w:rsid w:val="00597DF4"/>
    <w:rsid w:val="005B1CDD"/>
    <w:rsid w:val="005B1E19"/>
    <w:rsid w:val="005B55FC"/>
    <w:rsid w:val="005C2D5E"/>
    <w:rsid w:val="005C3B81"/>
    <w:rsid w:val="005C650C"/>
    <w:rsid w:val="005D086C"/>
    <w:rsid w:val="005D11D3"/>
    <w:rsid w:val="005D4E1F"/>
    <w:rsid w:val="005D4FB3"/>
    <w:rsid w:val="005D7689"/>
    <w:rsid w:val="005E2F07"/>
    <w:rsid w:val="005E2FEA"/>
    <w:rsid w:val="005F314B"/>
    <w:rsid w:val="005F65B9"/>
    <w:rsid w:val="006079F8"/>
    <w:rsid w:val="00611AF2"/>
    <w:rsid w:val="0061212B"/>
    <w:rsid w:val="006127AF"/>
    <w:rsid w:val="00613A98"/>
    <w:rsid w:val="00615FB2"/>
    <w:rsid w:val="00617BD1"/>
    <w:rsid w:val="00617CE8"/>
    <w:rsid w:val="00624ACE"/>
    <w:rsid w:val="006278A0"/>
    <w:rsid w:val="0063095F"/>
    <w:rsid w:val="00631CBD"/>
    <w:rsid w:val="0063704F"/>
    <w:rsid w:val="00646AC2"/>
    <w:rsid w:val="00650390"/>
    <w:rsid w:val="00654DAB"/>
    <w:rsid w:val="006579DF"/>
    <w:rsid w:val="00661701"/>
    <w:rsid w:val="0066204A"/>
    <w:rsid w:val="006660A7"/>
    <w:rsid w:val="00670E3C"/>
    <w:rsid w:val="00677F57"/>
    <w:rsid w:val="00681088"/>
    <w:rsid w:val="00685426"/>
    <w:rsid w:val="00692DD9"/>
    <w:rsid w:val="0069577E"/>
    <w:rsid w:val="0069634B"/>
    <w:rsid w:val="00696623"/>
    <w:rsid w:val="006A04E9"/>
    <w:rsid w:val="006A4A03"/>
    <w:rsid w:val="006A7543"/>
    <w:rsid w:val="006A7668"/>
    <w:rsid w:val="006B17B2"/>
    <w:rsid w:val="006B6837"/>
    <w:rsid w:val="006B725C"/>
    <w:rsid w:val="006C190C"/>
    <w:rsid w:val="006C1B6B"/>
    <w:rsid w:val="006C273D"/>
    <w:rsid w:val="006C2B23"/>
    <w:rsid w:val="006C5C4F"/>
    <w:rsid w:val="006C6282"/>
    <w:rsid w:val="006C762A"/>
    <w:rsid w:val="006D1346"/>
    <w:rsid w:val="006D5FF9"/>
    <w:rsid w:val="006E0772"/>
    <w:rsid w:val="006E0F86"/>
    <w:rsid w:val="006E6BD1"/>
    <w:rsid w:val="006F089B"/>
    <w:rsid w:val="006F0B15"/>
    <w:rsid w:val="006F0DCC"/>
    <w:rsid w:val="006F754E"/>
    <w:rsid w:val="00703DF9"/>
    <w:rsid w:val="007048EB"/>
    <w:rsid w:val="00704FBB"/>
    <w:rsid w:val="0070726A"/>
    <w:rsid w:val="0071146E"/>
    <w:rsid w:val="0071226B"/>
    <w:rsid w:val="00713B78"/>
    <w:rsid w:val="00715DB5"/>
    <w:rsid w:val="00717040"/>
    <w:rsid w:val="007275A0"/>
    <w:rsid w:val="0074682E"/>
    <w:rsid w:val="007622A7"/>
    <w:rsid w:val="00762989"/>
    <w:rsid w:val="00763E95"/>
    <w:rsid w:val="007750A2"/>
    <w:rsid w:val="00780B81"/>
    <w:rsid w:val="007817D6"/>
    <w:rsid w:val="00781996"/>
    <w:rsid w:val="00781E1C"/>
    <w:rsid w:val="00787912"/>
    <w:rsid w:val="0079177A"/>
    <w:rsid w:val="00794836"/>
    <w:rsid w:val="007948D5"/>
    <w:rsid w:val="007953BC"/>
    <w:rsid w:val="007A15C9"/>
    <w:rsid w:val="007A6676"/>
    <w:rsid w:val="007B7FF5"/>
    <w:rsid w:val="007C00B4"/>
    <w:rsid w:val="007C3FC6"/>
    <w:rsid w:val="007D2CE9"/>
    <w:rsid w:val="007D4FED"/>
    <w:rsid w:val="007D54C2"/>
    <w:rsid w:val="007D5F44"/>
    <w:rsid w:val="007D69DA"/>
    <w:rsid w:val="007D70B1"/>
    <w:rsid w:val="007D7140"/>
    <w:rsid w:val="007E1CDB"/>
    <w:rsid w:val="007E408C"/>
    <w:rsid w:val="007E50BF"/>
    <w:rsid w:val="007E6F5B"/>
    <w:rsid w:val="007E7E21"/>
    <w:rsid w:val="007F0460"/>
    <w:rsid w:val="007F0DA2"/>
    <w:rsid w:val="007F39CE"/>
    <w:rsid w:val="007F5E0D"/>
    <w:rsid w:val="00801085"/>
    <w:rsid w:val="00801A89"/>
    <w:rsid w:val="00804457"/>
    <w:rsid w:val="00804E8E"/>
    <w:rsid w:val="00812061"/>
    <w:rsid w:val="00812138"/>
    <w:rsid w:val="008151F2"/>
    <w:rsid w:val="0081777A"/>
    <w:rsid w:val="008210E0"/>
    <w:rsid w:val="008223F4"/>
    <w:rsid w:val="00824079"/>
    <w:rsid w:val="00831F0A"/>
    <w:rsid w:val="00833A78"/>
    <w:rsid w:val="008418A6"/>
    <w:rsid w:val="00841E46"/>
    <w:rsid w:val="0084585F"/>
    <w:rsid w:val="00853E53"/>
    <w:rsid w:val="0085535C"/>
    <w:rsid w:val="00855740"/>
    <w:rsid w:val="00864D76"/>
    <w:rsid w:val="008656C9"/>
    <w:rsid w:val="0086711C"/>
    <w:rsid w:val="00867535"/>
    <w:rsid w:val="00875C34"/>
    <w:rsid w:val="00875C5B"/>
    <w:rsid w:val="00883C5F"/>
    <w:rsid w:val="00883F6B"/>
    <w:rsid w:val="008840F8"/>
    <w:rsid w:val="00891C7D"/>
    <w:rsid w:val="00892FA7"/>
    <w:rsid w:val="008956D0"/>
    <w:rsid w:val="008965DD"/>
    <w:rsid w:val="008A2EB4"/>
    <w:rsid w:val="008A3301"/>
    <w:rsid w:val="008A4DF1"/>
    <w:rsid w:val="008A5636"/>
    <w:rsid w:val="008A77F0"/>
    <w:rsid w:val="008B125E"/>
    <w:rsid w:val="008B241C"/>
    <w:rsid w:val="008B3743"/>
    <w:rsid w:val="008B408B"/>
    <w:rsid w:val="008B4F11"/>
    <w:rsid w:val="008C2362"/>
    <w:rsid w:val="008C3049"/>
    <w:rsid w:val="008C74D9"/>
    <w:rsid w:val="008D4AE9"/>
    <w:rsid w:val="008D5CF3"/>
    <w:rsid w:val="008D7D39"/>
    <w:rsid w:val="008E4574"/>
    <w:rsid w:val="008F4016"/>
    <w:rsid w:val="008F42FE"/>
    <w:rsid w:val="008F4A00"/>
    <w:rsid w:val="008F5402"/>
    <w:rsid w:val="008F6085"/>
    <w:rsid w:val="008F639F"/>
    <w:rsid w:val="0090053A"/>
    <w:rsid w:val="00901C2A"/>
    <w:rsid w:val="009118C7"/>
    <w:rsid w:val="009225B6"/>
    <w:rsid w:val="00925397"/>
    <w:rsid w:val="00933A21"/>
    <w:rsid w:val="00934C10"/>
    <w:rsid w:val="0093662A"/>
    <w:rsid w:val="0094060C"/>
    <w:rsid w:val="00942C4B"/>
    <w:rsid w:val="00944196"/>
    <w:rsid w:val="009464C0"/>
    <w:rsid w:val="00950E5C"/>
    <w:rsid w:val="009606A5"/>
    <w:rsid w:val="00962F1F"/>
    <w:rsid w:val="0096513C"/>
    <w:rsid w:val="00965304"/>
    <w:rsid w:val="00971293"/>
    <w:rsid w:val="00973A3B"/>
    <w:rsid w:val="00983EAE"/>
    <w:rsid w:val="0098760B"/>
    <w:rsid w:val="009A11DD"/>
    <w:rsid w:val="009A1974"/>
    <w:rsid w:val="009B30AA"/>
    <w:rsid w:val="009B5217"/>
    <w:rsid w:val="009B68DA"/>
    <w:rsid w:val="009C1E45"/>
    <w:rsid w:val="009C48DE"/>
    <w:rsid w:val="009C72CD"/>
    <w:rsid w:val="009D60D9"/>
    <w:rsid w:val="009D6DC6"/>
    <w:rsid w:val="009E006C"/>
    <w:rsid w:val="009E1E1E"/>
    <w:rsid w:val="009E33E3"/>
    <w:rsid w:val="009E54E7"/>
    <w:rsid w:val="009E652E"/>
    <w:rsid w:val="009E7F16"/>
    <w:rsid w:val="009F1E65"/>
    <w:rsid w:val="009F1F2F"/>
    <w:rsid w:val="009F27F8"/>
    <w:rsid w:val="009F5052"/>
    <w:rsid w:val="009F5935"/>
    <w:rsid w:val="00A02F6B"/>
    <w:rsid w:val="00A03083"/>
    <w:rsid w:val="00A0496F"/>
    <w:rsid w:val="00A04C85"/>
    <w:rsid w:val="00A100F0"/>
    <w:rsid w:val="00A130EA"/>
    <w:rsid w:val="00A13E8F"/>
    <w:rsid w:val="00A156E6"/>
    <w:rsid w:val="00A177C5"/>
    <w:rsid w:val="00A27D86"/>
    <w:rsid w:val="00A30A3D"/>
    <w:rsid w:val="00A33151"/>
    <w:rsid w:val="00A36970"/>
    <w:rsid w:val="00A41EB4"/>
    <w:rsid w:val="00A44BFF"/>
    <w:rsid w:val="00A501E3"/>
    <w:rsid w:val="00A50F0C"/>
    <w:rsid w:val="00A56441"/>
    <w:rsid w:val="00A61747"/>
    <w:rsid w:val="00A7081A"/>
    <w:rsid w:val="00A736DD"/>
    <w:rsid w:val="00A82869"/>
    <w:rsid w:val="00A8758C"/>
    <w:rsid w:val="00A9535F"/>
    <w:rsid w:val="00AA127E"/>
    <w:rsid w:val="00AA19AE"/>
    <w:rsid w:val="00AA423D"/>
    <w:rsid w:val="00AA6A95"/>
    <w:rsid w:val="00AA7614"/>
    <w:rsid w:val="00AB10DE"/>
    <w:rsid w:val="00AB2B70"/>
    <w:rsid w:val="00AB358A"/>
    <w:rsid w:val="00AB3668"/>
    <w:rsid w:val="00AB4602"/>
    <w:rsid w:val="00AB5ED7"/>
    <w:rsid w:val="00AC0B4C"/>
    <w:rsid w:val="00AC560D"/>
    <w:rsid w:val="00AD0AEE"/>
    <w:rsid w:val="00AD3BF2"/>
    <w:rsid w:val="00AD49E3"/>
    <w:rsid w:val="00AD4B4F"/>
    <w:rsid w:val="00AF0616"/>
    <w:rsid w:val="00AF0E28"/>
    <w:rsid w:val="00AF1DA2"/>
    <w:rsid w:val="00AF3FE6"/>
    <w:rsid w:val="00AF6F9B"/>
    <w:rsid w:val="00B01409"/>
    <w:rsid w:val="00B10DBD"/>
    <w:rsid w:val="00B15629"/>
    <w:rsid w:val="00B2372C"/>
    <w:rsid w:val="00B32F70"/>
    <w:rsid w:val="00B3562B"/>
    <w:rsid w:val="00B373D0"/>
    <w:rsid w:val="00B43AAA"/>
    <w:rsid w:val="00B53139"/>
    <w:rsid w:val="00B562CE"/>
    <w:rsid w:val="00B62DE2"/>
    <w:rsid w:val="00B74417"/>
    <w:rsid w:val="00B77246"/>
    <w:rsid w:val="00B866CD"/>
    <w:rsid w:val="00B93034"/>
    <w:rsid w:val="00B93A81"/>
    <w:rsid w:val="00B97C5D"/>
    <w:rsid w:val="00BA1290"/>
    <w:rsid w:val="00BB2792"/>
    <w:rsid w:val="00BB76BF"/>
    <w:rsid w:val="00BC0D5A"/>
    <w:rsid w:val="00BC1AD1"/>
    <w:rsid w:val="00BC1D82"/>
    <w:rsid w:val="00BC4A58"/>
    <w:rsid w:val="00BC613B"/>
    <w:rsid w:val="00BD51D9"/>
    <w:rsid w:val="00BD6330"/>
    <w:rsid w:val="00BD64E2"/>
    <w:rsid w:val="00BE262A"/>
    <w:rsid w:val="00BE4995"/>
    <w:rsid w:val="00BF429A"/>
    <w:rsid w:val="00BF62BE"/>
    <w:rsid w:val="00C07126"/>
    <w:rsid w:val="00C12A51"/>
    <w:rsid w:val="00C16853"/>
    <w:rsid w:val="00C2435B"/>
    <w:rsid w:val="00C263F0"/>
    <w:rsid w:val="00C33D41"/>
    <w:rsid w:val="00C4005B"/>
    <w:rsid w:val="00C40AFD"/>
    <w:rsid w:val="00C41E20"/>
    <w:rsid w:val="00C42E3E"/>
    <w:rsid w:val="00C51C13"/>
    <w:rsid w:val="00C525A5"/>
    <w:rsid w:val="00C5300F"/>
    <w:rsid w:val="00C54594"/>
    <w:rsid w:val="00C626A5"/>
    <w:rsid w:val="00C66CE0"/>
    <w:rsid w:val="00C71BED"/>
    <w:rsid w:val="00C737B2"/>
    <w:rsid w:val="00C77A77"/>
    <w:rsid w:val="00C81B53"/>
    <w:rsid w:val="00C82AD2"/>
    <w:rsid w:val="00C90FB6"/>
    <w:rsid w:val="00C9220E"/>
    <w:rsid w:val="00C932BD"/>
    <w:rsid w:val="00C93429"/>
    <w:rsid w:val="00C977FD"/>
    <w:rsid w:val="00CA16C5"/>
    <w:rsid w:val="00CA3042"/>
    <w:rsid w:val="00CA415A"/>
    <w:rsid w:val="00CA7A35"/>
    <w:rsid w:val="00CB1536"/>
    <w:rsid w:val="00CB7FB8"/>
    <w:rsid w:val="00CC1F71"/>
    <w:rsid w:val="00CC5588"/>
    <w:rsid w:val="00CC5EB3"/>
    <w:rsid w:val="00CC6C3E"/>
    <w:rsid w:val="00CD0E7B"/>
    <w:rsid w:val="00CD1BED"/>
    <w:rsid w:val="00CD2ABD"/>
    <w:rsid w:val="00CD4024"/>
    <w:rsid w:val="00CD4617"/>
    <w:rsid w:val="00CD4855"/>
    <w:rsid w:val="00CD5DD6"/>
    <w:rsid w:val="00CD67E0"/>
    <w:rsid w:val="00CE6D43"/>
    <w:rsid w:val="00CE7888"/>
    <w:rsid w:val="00CF2B58"/>
    <w:rsid w:val="00CF3BB6"/>
    <w:rsid w:val="00D01F5F"/>
    <w:rsid w:val="00D06895"/>
    <w:rsid w:val="00D06DB0"/>
    <w:rsid w:val="00D10E1C"/>
    <w:rsid w:val="00D161A3"/>
    <w:rsid w:val="00D215E9"/>
    <w:rsid w:val="00D22E49"/>
    <w:rsid w:val="00D23716"/>
    <w:rsid w:val="00D25ED8"/>
    <w:rsid w:val="00D27B7F"/>
    <w:rsid w:val="00D27F8F"/>
    <w:rsid w:val="00D316B8"/>
    <w:rsid w:val="00D31CFC"/>
    <w:rsid w:val="00D3255D"/>
    <w:rsid w:val="00D340C3"/>
    <w:rsid w:val="00D409CD"/>
    <w:rsid w:val="00D411AF"/>
    <w:rsid w:val="00D423D4"/>
    <w:rsid w:val="00D42CAF"/>
    <w:rsid w:val="00D5310F"/>
    <w:rsid w:val="00D56309"/>
    <w:rsid w:val="00D601EF"/>
    <w:rsid w:val="00D60DDC"/>
    <w:rsid w:val="00D61533"/>
    <w:rsid w:val="00D61D5F"/>
    <w:rsid w:val="00D63B2F"/>
    <w:rsid w:val="00D70747"/>
    <w:rsid w:val="00D7261D"/>
    <w:rsid w:val="00D73AA8"/>
    <w:rsid w:val="00D755FC"/>
    <w:rsid w:val="00D76B6D"/>
    <w:rsid w:val="00D80C24"/>
    <w:rsid w:val="00D84D07"/>
    <w:rsid w:val="00D8526A"/>
    <w:rsid w:val="00D90E91"/>
    <w:rsid w:val="00D95C32"/>
    <w:rsid w:val="00D97F41"/>
    <w:rsid w:val="00DB3902"/>
    <w:rsid w:val="00DB6089"/>
    <w:rsid w:val="00DB60E1"/>
    <w:rsid w:val="00DC0BA0"/>
    <w:rsid w:val="00DC1347"/>
    <w:rsid w:val="00DC39F1"/>
    <w:rsid w:val="00DE4B35"/>
    <w:rsid w:val="00DE7D28"/>
    <w:rsid w:val="00DF19C1"/>
    <w:rsid w:val="00DF54CA"/>
    <w:rsid w:val="00DF56C9"/>
    <w:rsid w:val="00DF5B64"/>
    <w:rsid w:val="00E02794"/>
    <w:rsid w:val="00E043E3"/>
    <w:rsid w:val="00E0505B"/>
    <w:rsid w:val="00E07D66"/>
    <w:rsid w:val="00E11280"/>
    <w:rsid w:val="00E12359"/>
    <w:rsid w:val="00E14E8E"/>
    <w:rsid w:val="00E152FF"/>
    <w:rsid w:val="00E2461B"/>
    <w:rsid w:val="00E24886"/>
    <w:rsid w:val="00E276FB"/>
    <w:rsid w:val="00E32595"/>
    <w:rsid w:val="00E32DC6"/>
    <w:rsid w:val="00E33A74"/>
    <w:rsid w:val="00E4030B"/>
    <w:rsid w:val="00E41D56"/>
    <w:rsid w:val="00E457DF"/>
    <w:rsid w:val="00E46642"/>
    <w:rsid w:val="00E5139A"/>
    <w:rsid w:val="00E5148A"/>
    <w:rsid w:val="00E5413D"/>
    <w:rsid w:val="00E57977"/>
    <w:rsid w:val="00E61C29"/>
    <w:rsid w:val="00E635D7"/>
    <w:rsid w:val="00E64493"/>
    <w:rsid w:val="00E64E71"/>
    <w:rsid w:val="00E70576"/>
    <w:rsid w:val="00E71DED"/>
    <w:rsid w:val="00E83954"/>
    <w:rsid w:val="00E864C1"/>
    <w:rsid w:val="00E86506"/>
    <w:rsid w:val="00E87A34"/>
    <w:rsid w:val="00E91730"/>
    <w:rsid w:val="00E964E5"/>
    <w:rsid w:val="00E96F04"/>
    <w:rsid w:val="00E97AEC"/>
    <w:rsid w:val="00EA20FE"/>
    <w:rsid w:val="00EA4100"/>
    <w:rsid w:val="00EB491E"/>
    <w:rsid w:val="00EB681B"/>
    <w:rsid w:val="00EC2E29"/>
    <w:rsid w:val="00EC4FAD"/>
    <w:rsid w:val="00EE3CFA"/>
    <w:rsid w:val="00EE69E4"/>
    <w:rsid w:val="00EE6AE0"/>
    <w:rsid w:val="00EF2A7F"/>
    <w:rsid w:val="00EF7652"/>
    <w:rsid w:val="00EF7E90"/>
    <w:rsid w:val="00F002B6"/>
    <w:rsid w:val="00F10AFE"/>
    <w:rsid w:val="00F15C6C"/>
    <w:rsid w:val="00F17173"/>
    <w:rsid w:val="00F2069C"/>
    <w:rsid w:val="00F20987"/>
    <w:rsid w:val="00F224DC"/>
    <w:rsid w:val="00F23C70"/>
    <w:rsid w:val="00F2687F"/>
    <w:rsid w:val="00F26A5E"/>
    <w:rsid w:val="00F27F29"/>
    <w:rsid w:val="00F32D54"/>
    <w:rsid w:val="00F36C54"/>
    <w:rsid w:val="00F418EA"/>
    <w:rsid w:val="00F41A29"/>
    <w:rsid w:val="00F44C1C"/>
    <w:rsid w:val="00F518DF"/>
    <w:rsid w:val="00F544DB"/>
    <w:rsid w:val="00F566E4"/>
    <w:rsid w:val="00F648EA"/>
    <w:rsid w:val="00F6502E"/>
    <w:rsid w:val="00F65663"/>
    <w:rsid w:val="00F75147"/>
    <w:rsid w:val="00F756C0"/>
    <w:rsid w:val="00F75A40"/>
    <w:rsid w:val="00F77637"/>
    <w:rsid w:val="00F8435D"/>
    <w:rsid w:val="00F862E5"/>
    <w:rsid w:val="00F87DD0"/>
    <w:rsid w:val="00F914F8"/>
    <w:rsid w:val="00F93360"/>
    <w:rsid w:val="00F93FE4"/>
    <w:rsid w:val="00F97E4E"/>
    <w:rsid w:val="00FA1A40"/>
    <w:rsid w:val="00FA217B"/>
    <w:rsid w:val="00FA30DF"/>
    <w:rsid w:val="00FB0A54"/>
    <w:rsid w:val="00FB0BC5"/>
    <w:rsid w:val="00FB0BCC"/>
    <w:rsid w:val="00FB4368"/>
    <w:rsid w:val="00FC0FE5"/>
    <w:rsid w:val="00FD1ABC"/>
    <w:rsid w:val="00FD7DDF"/>
    <w:rsid w:val="00FE419D"/>
    <w:rsid w:val="00FE4C92"/>
    <w:rsid w:val="00FF0FAA"/>
    <w:rsid w:val="00FF3759"/>
    <w:rsid w:val="00FF4396"/>
    <w:rsid w:val="00FF7306"/>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46"/>
    <w:pPr>
      <w:spacing w:line="288" w:lineRule="auto"/>
      <w:jc w:val="both"/>
    </w:pPr>
    <w:rPr>
      <w:lang w:eastAsia="en-US" w:bidi="ar-SA"/>
    </w:rPr>
  </w:style>
  <w:style w:type="paragraph" w:styleId="Heading1">
    <w:name w:val="heading 1"/>
    <w:basedOn w:val="Normal"/>
    <w:next w:val="Normal"/>
    <w:link w:val="Heading1Char"/>
    <w:qFormat/>
    <w:rsid w:val="006D1346"/>
    <w:pPr>
      <w:numPr>
        <w:numId w:val="1"/>
      </w:numPr>
      <w:ind w:left="567" w:hanging="567"/>
      <w:outlineLvl w:val="0"/>
    </w:pPr>
    <w:rPr>
      <w:kern w:val="28"/>
    </w:rPr>
  </w:style>
  <w:style w:type="paragraph" w:styleId="Heading2">
    <w:name w:val="heading 2"/>
    <w:basedOn w:val="Normal"/>
    <w:next w:val="Normal"/>
    <w:link w:val="Heading2Char"/>
    <w:qFormat/>
    <w:rsid w:val="006D1346"/>
    <w:pPr>
      <w:numPr>
        <w:ilvl w:val="1"/>
        <w:numId w:val="1"/>
      </w:numPr>
      <w:ind w:left="567" w:hanging="567"/>
      <w:outlineLvl w:val="1"/>
    </w:pPr>
  </w:style>
  <w:style w:type="paragraph" w:styleId="Heading3">
    <w:name w:val="heading 3"/>
    <w:basedOn w:val="Normal"/>
    <w:next w:val="Normal"/>
    <w:link w:val="Heading3Char"/>
    <w:qFormat/>
    <w:rsid w:val="006D1346"/>
    <w:pPr>
      <w:numPr>
        <w:ilvl w:val="2"/>
        <w:numId w:val="1"/>
      </w:numPr>
      <w:ind w:left="567" w:hanging="567"/>
      <w:outlineLvl w:val="2"/>
    </w:pPr>
  </w:style>
  <w:style w:type="paragraph" w:styleId="Heading4">
    <w:name w:val="heading 4"/>
    <w:basedOn w:val="Normal"/>
    <w:next w:val="Normal"/>
    <w:link w:val="Heading4Char"/>
    <w:qFormat/>
    <w:rsid w:val="006D1346"/>
    <w:pPr>
      <w:numPr>
        <w:ilvl w:val="3"/>
        <w:numId w:val="1"/>
      </w:numPr>
      <w:ind w:left="567" w:hanging="567"/>
      <w:outlineLvl w:val="3"/>
    </w:pPr>
  </w:style>
  <w:style w:type="paragraph" w:styleId="Heading5">
    <w:name w:val="heading 5"/>
    <w:basedOn w:val="Normal"/>
    <w:next w:val="Normal"/>
    <w:link w:val="Heading5Char"/>
    <w:qFormat/>
    <w:rsid w:val="006D1346"/>
    <w:pPr>
      <w:numPr>
        <w:ilvl w:val="4"/>
        <w:numId w:val="1"/>
      </w:numPr>
      <w:ind w:left="567" w:hanging="567"/>
      <w:outlineLvl w:val="4"/>
    </w:pPr>
  </w:style>
  <w:style w:type="paragraph" w:styleId="Heading6">
    <w:name w:val="heading 6"/>
    <w:basedOn w:val="Normal"/>
    <w:next w:val="Normal"/>
    <w:link w:val="Heading6Char"/>
    <w:qFormat/>
    <w:rsid w:val="006D1346"/>
    <w:pPr>
      <w:numPr>
        <w:ilvl w:val="5"/>
        <w:numId w:val="1"/>
      </w:numPr>
      <w:ind w:left="567" w:hanging="567"/>
      <w:outlineLvl w:val="5"/>
    </w:pPr>
  </w:style>
  <w:style w:type="paragraph" w:styleId="Heading7">
    <w:name w:val="heading 7"/>
    <w:basedOn w:val="Normal"/>
    <w:next w:val="Normal"/>
    <w:link w:val="Heading7Char"/>
    <w:qFormat/>
    <w:rsid w:val="006D1346"/>
    <w:pPr>
      <w:numPr>
        <w:ilvl w:val="6"/>
        <w:numId w:val="1"/>
      </w:numPr>
      <w:ind w:left="567" w:hanging="567"/>
      <w:outlineLvl w:val="6"/>
    </w:pPr>
  </w:style>
  <w:style w:type="paragraph" w:styleId="Heading8">
    <w:name w:val="heading 8"/>
    <w:basedOn w:val="Normal"/>
    <w:next w:val="Normal"/>
    <w:link w:val="Heading8Char"/>
    <w:qFormat/>
    <w:rsid w:val="006D1346"/>
    <w:pPr>
      <w:numPr>
        <w:ilvl w:val="7"/>
        <w:numId w:val="1"/>
      </w:numPr>
      <w:ind w:left="567" w:hanging="567"/>
      <w:outlineLvl w:val="7"/>
    </w:pPr>
  </w:style>
  <w:style w:type="paragraph" w:styleId="Heading9">
    <w:name w:val="heading 9"/>
    <w:basedOn w:val="Normal"/>
    <w:next w:val="Normal"/>
    <w:link w:val="Heading9Char"/>
    <w:qFormat/>
    <w:rsid w:val="006D134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GB" w:eastAsia="en-US" w:bidi="ar-SA"/>
    </w:rPr>
  </w:style>
  <w:style w:type="character" w:customStyle="1" w:styleId="Heading2Char">
    <w:name w:val="Heading 2 Char"/>
    <w:basedOn w:val="DefaultParagraphFont"/>
    <w:link w:val="Heading2"/>
    <w:locked/>
    <w:rsid w:val="00CB1536"/>
    <w:rPr>
      <w:lang w:val="en-GB" w:eastAsia="en-US" w:bidi="ar-SA"/>
    </w:rPr>
  </w:style>
  <w:style w:type="character" w:customStyle="1" w:styleId="Heading3Char">
    <w:name w:val="Heading 3 Char"/>
    <w:basedOn w:val="DefaultParagraphFont"/>
    <w:link w:val="Heading3"/>
    <w:locked/>
    <w:rsid w:val="00CB1536"/>
    <w:rPr>
      <w:lang w:val="en-GB" w:eastAsia="en-US" w:bidi="ar-SA"/>
    </w:rPr>
  </w:style>
  <w:style w:type="character" w:customStyle="1" w:styleId="Heading4Char">
    <w:name w:val="Heading 4 Char"/>
    <w:basedOn w:val="DefaultParagraphFont"/>
    <w:link w:val="Heading4"/>
    <w:locked/>
    <w:rsid w:val="00CB1536"/>
    <w:rPr>
      <w:lang w:val="en-GB" w:eastAsia="en-US" w:bidi="ar-SA"/>
    </w:rPr>
  </w:style>
  <w:style w:type="character" w:customStyle="1" w:styleId="Heading5Char">
    <w:name w:val="Heading 5 Char"/>
    <w:basedOn w:val="DefaultParagraphFont"/>
    <w:link w:val="Heading5"/>
    <w:locked/>
    <w:rsid w:val="00CB1536"/>
    <w:rPr>
      <w:lang w:val="en-GB" w:eastAsia="en-US" w:bidi="ar-SA"/>
    </w:rPr>
  </w:style>
  <w:style w:type="character" w:customStyle="1" w:styleId="Heading6Char">
    <w:name w:val="Heading 6 Char"/>
    <w:basedOn w:val="DefaultParagraphFont"/>
    <w:link w:val="Heading6"/>
    <w:locked/>
    <w:rsid w:val="00CB1536"/>
    <w:rPr>
      <w:lang w:val="en-GB" w:eastAsia="en-US" w:bidi="ar-SA"/>
    </w:rPr>
  </w:style>
  <w:style w:type="character" w:customStyle="1" w:styleId="Heading7Char">
    <w:name w:val="Heading 7 Char"/>
    <w:basedOn w:val="DefaultParagraphFont"/>
    <w:link w:val="Heading7"/>
    <w:locked/>
    <w:rsid w:val="00CB1536"/>
    <w:rPr>
      <w:lang w:val="en-GB" w:eastAsia="en-US" w:bidi="ar-SA"/>
    </w:rPr>
  </w:style>
  <w:style w:type="character" w:customStyle="1" w:styleId="Heading8Char">
    <w:name w:val="Heading 8 Char"/>
    <w:basedOn w:val="DefaultParagraphFont"/>
    <w:link w:val="Heading8"/>
    <w:locked/>
    <w:rsid w:val="00CB1536"/>
    <w:rPr>
      <w:lang w:val="en-GB" w:eastAsia="en-US" w:bidi="ar-SA"/>
    </w:rPr>
  </w:style>
  <w:style w:type="character" w:customStyle="1" w:styleId="Heading9Char">
    <w:name w:val="Heading 9 Char"/>
    <w:basedOn w:val="DefaultParagraphFont"/>
    <w:link w:val="Heading9"/>
    <w:locked/>
    <w:rsid w:val="00CB1536"/>
    <w:rPr>
      <w:lang w:val="en-GB" w:eastAsia="en-US" w:bidi="ar-SA"/>
    </w:rPr>
  </w:style>
  <w:style w:type="paragraph" w:styleId="Footer">
    <w:name w:val="footer"/>
    <w:basedOn w:val="Normal"/>
    <w:link w:val="FooterChar"/>
    <w:uiPriority w:val="99"/>
    <w:qFormat/>
    <w:rsid w:val="006D1346"/>
  </w:style>
  <w:style w:type="character" w:customStyle="1" w:styleId="FooterChar">
    <w:name w:val="Footer Char"/>
    <w:basedOn w:val="DefaultParagraphFont"/>
    <w:link w:val="Footer"/>
    <w:uiPriority w:val="99"/>
    <w:locked/>
    <w:rsid w:val="00CB1536"/>
    <w:rPr>
      <w:lang w:eastAsia="en-US" w:bidi="ar-SA"/>
    </w:rPr>
  </w:style>
  <w:style w:type="paragraph" w:styleId="FootnoteText">
    <w:name w:val="footnote text"/>
    <w:basedOn w:val="Normal"/>
    <w:link w:val="FootnoteTextChar"/>
    <w:qFormat/>
    <w:rsid w:val="006D134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GB" w:eastAsia="en-US" w:bidi="ar-SA"/>
    </w:rPr>
  </w:style>
  <w:style w:type="paragraph" w:styleId="Header">
    <w:name w:val="header"/>
    <w:basedOn w:val="Normal"/>
    <w:link w:val="HeaderChar"/>
    <w:qFormat/>
    <w:rsid w:val="006D1346"/>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6D134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6D1346"/>
    <w:pPr>
      <w:ind w:left="720"/>
    </w:pPr>
    <w:rPr>
      <w:i/>
    </w:rPr>
  </w:style>
  <w:style w:type="paragraph" w:styleId="ListParagraph">
    <w:name w:val="List Paragraph"/>
    <w:basedOn w:val="Normal"/>
    <w:uiPriority w:val="34"/>
    <w:qFormat/>
    <w:rsid w:val="00F2069C"/>
    <w:pPr>
      <w:spacing w:after="160" w:line="259" w:lineRule="auto"/>
      <w:ind w:left="720"/>
      <w:contextualSpacing/>
      <w:jc w:val="left"/>
    </w:pPr>
    <w:rPr>
      <w:rFonts w:asciiTheme="minorHAnsi" w:eastAsiaTheme="minorHAnsi" w:hAnsiTheme="minorHAnsi" w:cstheme="minorBidi"/>
      <w:noProof/>
      <w:kern w:val="2"/>
      <w14:ligatures w14:val="standardContextual"/>
    </w:rPr>
  </w:style>
  <w:style w:type="table" w:styleId="TableGrid">
    <w:name w:val="Table Grid"/>
    <w:basedOn w:val="TableNormal"/>
    <w:locked/>
    <w:rsid w:val="0030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50034062">
      <w:bodyDiv w:val="1"/>
      <w:marLeft w:val="0"/>
      <w:marRight w:val="0"/>
      <w:marTop w:val="0"/>
      <w:marBottom w:val="0"/>
      <w:divBdr>
        <w:top w:val="none" w:sz="0" w:space="0" w:color="auto"/>
        <w:left w:val="none" w:sz="0" w:space="0" w:color="auto"/>
        <w:bottom w:val="none" w:sz="0" w:space="0" w:color="auto"/>
        <w:right w:val="none" w:sz="0" w:space="0" w:color="auto"/>
      </w:divBdr>
    </w:div>
    <w:div w:id="1676610956">
      <w:bodyDiv w:val="1"/>
      <w:marLeft w:val="0"/>
      <w:marRight w:val="0"/>
      <w:marTop w:val="0"/>
      <w:marBottom w:val="0"/>
      <w:divBdr>
        <w:top w:val="none" w:sz="0" w:space="0" w:color="auto"/>
        <w:left w:val="none" w:sz="0" w:space="0" w:color="auto"/>
        <w:bottom w:val="none" w:sz="0" w:space="0" w:color="auto"/>
        <w:right w:val="none" w:sz="0" w:space="0" w:color="auto"/>
      </w:divBdr>
    </w:div>
    <w:div w:id="17776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t@eesc.europa.eu" TargetMode="External"/><Relationship Id="rId18" Type="http://schemas.openxmlformats.org/officeDocument/2006/relationships/header" Target="header3.xml"/><Relationship Id="rId26" Type="http://schemas.openxmlformats.org/officeDocument/2006/relationships/footer" Target="footer6.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eader" Target="header6.xml"/><Relationship Id="rId16" Type="http://schemas.openxmlformats.org/officeDocument/2006/relationships/footer" Target="footer1.xml"/><Relationship Id="rId20" Type="http://schemas.openxmlformats.org/officeDocument/2006/relationships/hyperlink" Target="https://eur-lex.europa.eu/legal-content/EN/TXT/?uri=CELEX:52020DC0696&amp;qid=1605887353618" TargetMode="External"/><Relationship Id="rId29"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ny3j24sm/much-more-than-a-market-report-by-enrico-letta.pdf" TargetMode="External"/><Relationship Id="rId2" Type="http://schemas.openxmlformats.org/officeDocument/2006/relationships/hyperlink" Target="https://eur-lex.europa.eu/legal-content/EN/TXT/?uri=CELEX%3A52022PC0143" TargetMode="External"/><Relationship Id="rId1" Type="http://schemas.openxmlformats.org/officeDocument/2006/relationships/hyperlink" Target="https://eur-lex.europa.eu/legal-content/ES/TXT/?uri=CELEX:52022PC0143" TargetMode="External"/><Relationship Id="rId4"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F7M6YNZUATRX-416430479-11723</_dlc_DocId>
    <_dlc_DocIdUrl xmlns="59ace41b-6786-4ce3-be71-52c27066c6ef">
      <Url>http://dm/eesc/2024/_layouts/15/DocIdRedir.aspx?ID=F7M6YNZUATRX-416430479-11723</Url>
      <Description>F7M6YNZUATRX-416430479-11723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2024-07-01T12:00:00+00:00</ProductionDate>
    <DocumentNumber xmlns="1178e5e2-058a-41a1-9851-331c7b3fffb8">553</DocumentNumber>
    <FicheYear xmlns="59ace41b-6786-4ce3-be71-52c27066c6ef" xsi:nil="true"/>
    <DossierNumber xmlns="59ace41b-6786-4ce3-be71-52c27066c6ef">1057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132</Value>
      <Value>82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HERNÁNDEZ BATALLER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6205</FicheNumber>
    <OriginalSender xmlns="59ace41b-6786-4ce3-be71-52c27066c6ef">
      <UserInfo>
        <DisplayName>Nicolas Henrietta</DisplayName>
        <AccountId>50</AccountId>
        <AccountType/>
      </UserInfo>
    </OriginalSender>
    <DocumentPart xmlns="59ace41b-6786-4ce3-be71-52c27066c6ef">0</DocumentPart>
    <AdoptionDate xmlns="59ace41b-6786-4ce3-be71-52c27066c6ef" xsi:nil="true"/>
    <RequestingService xmlns="59ace41b-6786-4ce3-be71-52c27066c6ef">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OriginalLanguage_0>
    <MeetingNumber xmlns="1178e5e2-058a-41a1-9851-331c7b3fffb8">589</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5C7A21-625F-4015-ADD3-5F67941B1011}"/>
</file>

<file path=customXml/itemProps2.xml><?xml version="1.0" encoding="utf-8"?>
<ds:datastoreItem xmlns:ds="http://schemas.openxmlformats.org/officeDocument/2006/customXml" ds:itemID="{E62FADE4-EAB1-4761-BCF3-4EF9C4B7B4E6}"/>
</file>

<file path=customXml/itemProps3.xml><?xml version="1.0" encoding="utf-8"?>
<ds:datastoreItem xmlns:ds="http://schemas.openxmlformats.org/officeDocument/2006/customXml" ds:itemID="{C11790A2-1B3D-47FC-AF5B-A3615DA70D16}"/>
</file>

<file path=customXml/itemProps4.xml><?xml version="1.0" encoding="utf-8"?>
<ds:datastoreItem xmlns:ds="http://schemas.openxmlformats.org/officeDocument/2006/customXml" ds:itemID="{8941F4C1-DE07-410C-AA3F-9F5DB1A08B00}"/>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Información de los consumidores en la UE</vt:lpstr>
    </vt:vector>
  </TitlesOfParts>
  <Company>CESE-CdR</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information in the EU</dc:title>
  <dc:subject>AS</dc:subject>
  <dc:creator/>
  <cp:keywords>EESC-2024-00553-00-00-AS-TRA-ES</cp:keywords>
  <dc:description>Rapporteur: HERNÁNDEZ BATALLER - Original language: ES - Date of document: 01/07/2024 - Date of meeting: 30/10/2024 14:30 - External documents:  - Administrator:  ASBOUNI EL OUAHABI YOUSRA</dc:description>
  <cp:lastModifiedBy/>
  <cp:revision>7</cp:revision>
  <cp:lastPrinted>2016-01-26T08:31:00Z</cp:lastPrinted>
  <dcterms:created xsi:type="dcterms:W3CDTF">2024-07-01T15:04:00Z</dcterms:created>
  <dcterms:modified xsi:type="dcterms:W3CDTF">2024-07-01T15:14:00Z</dcterms:modified>
  <cp:category>INT/1057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27/06/2024, 11/06/2024, 11/06/2024, 30/04/2024, 11/03/2024, 17/05/2022, 04/11/2015, 27/10/2015, 19/10/2015, 09/10/2015, 05/10/2015, 05/10/2015, 26/08/2015, 26/08/2015, 25/08/2015</vt:lpwstr>
  </property>
  <property fmtid="{D5CDD505-2E9C-101B-9397-08002B2CF9AE}" pid="4" name="Pref_Time">
    <vt:lpwstr>14:06:48, 11:52:51, 09:48:17, 15:40:28, 14:53:51, 12:59:17, 12/10/07, 14:44:02, 16/04/16, 14:09:30, 16:24:55, 16:04:02, 08:56:14, 07:27:56, 17:31:53</vt:lpwstr>
  </property>
  <property fmtid="{D5CDD505-2E9C-101B-9397-08002B2CF9AE}" pid="5" name="Pref_User">
    <vt:lpwstr>pacup, amett, amett, amett, pacup, enied, ssex, enied, amett, tvoc, mreg, mreg, amett, enied, ssex</vt:lpwstr>
  </property>
  <property fmtid="{D5CDD505-2E9C-101B-9397-08002B2CF9AE}" pid="6" name="Pref_FileName">
    <vt:lpwstr>EESC-2024-00553-00-00-AS-CRR-ES.docx, EESC-2024-00553-00-01-PA-TRA.docx, EESC-2024-00553-00-00-PA-TRA.docx, EESC-2024-00553-00-00-APA-TRA-ES-CRR.docx, EESC-2024-00553-00-00-DT-TRA-ES-CRR.docx, COR-EESC-2022-02586-00-00-ADMIN-ORI.docx, EESC-2015-05408-00-0</vt:lpwstr>
  </property>
  <property fmtid="{D5CDD505-2E9C-101B-9397-08002B2CF9AE}" pid="7" name="ContentTypeId">
    <vt:lpwstr>0x010100EA97B91038054C99906057A708A1480A00E20A70424F8EF14D84929FAE9E34774B</vt:lpwstr>
  </property>
  <property fmtid="{D5CDD505-2E9C-101B-9397-08002B2CF9AE}" pid="8" name="_dlc_DocIdItemGuid">
    <vt:lpwstr>87051fbb-50c9-4835-b6e9-b009908aae25</vt:lpwstr>
  </property>
  <property fmtid="{D5CDD505-2E9C-101B-9397-08002B2CF9AE}" pid="9" name="AvailableTranslations">
    <vt:lpwstr>27;#SL|98a412ae-eb01-49e9-ae3d-585a81724cfc;#21;#SV|c2ed69e7-a339-43d7-8f22-d93680a92aa0;#37;#RO|feb747a2-64cd-4299-af12-4833ddc30497;#32;#HU|6b229040-c589-4408-b4c1-4285663d20a8;#23;#MT|7df99101-6854-4a26-b53a-b88c0da02c26;#28;#LV|46f7e311-5d9f-4663-b433-18aeccb7ace7;#29;#EL|6d4f4d51-af9b-4650-94b4-4276bee85c91;#36;#PT|50ccc04a-eadd-42ae-a0cb-acaf45f812ba;#18;#GA|762d2456-c427-4ecb-b312-af3dad8e258c;#33;#ET|ff6c3f4c-b02c-4c3c-ab07-2c37995a7a0a;#14;#FR|d2afafd3-4c81-4f60-8f52-ee33f2f54ff3;#30;#HR|2f555653-ed1a-4fe6-8362-9082d95989e5;#12;#IT|0774613c-01ed-4e5d-a25d-11d2388de825;#22;#BG|1a1b3951-7821-4e6a-85f5-5673fc08bd2c;#43;#CS|72f9705b-0217-4fd3-bea2-cbc7ed80e26e;#17;#PL|1e03da61-4678-4e07-b136-b5024ca9197b;#5;#EN|f2175f21-25d7-44a3-96da-d6a61b075e1b;#34;#LT|a7ff5ce7-6123-4f68-865a-a57c31810414;#16;#DA|5d49c027-8956-412b-aa16-e85a0f96ad0e;#26;#SK|46d9fce0-ef79-4f71-b89b-cd6aa82426b8;#31;#NL|55c6556c-b4f4-441d-9acf-c498d4f838bd;#25;#DE|f6b31e5a-26fa-4935-b661-318e46daf27e;#24;#ES|e7a6b05b-ae16-40c8-add9-68b64b03aeba;#35;#FI|87606a43-d45f-42d6-b8c9-e1a3457db5b7</vt:lpwstr>
  </property>
  <property fmtid="{D5CDD505-2E9C-101B-9397-08002B2CF9AE}" pid="10" name="DocumentType_0">
    <vt:lpwstr>AS|c7a748eb-f6f2-4d9d-8b5a-af0cafebc224</vt:lpwstr>
  </property>
  <property fmtid="{D5CDD505-2E9C-101B-9397-08002B2CF9AE}" pid="11" name="MeetingNumber">
    <vt:i4>589</vt:i4>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553</vt:i4>
  </property>
  <property fmtid="{D5CDD505-2E9C-101B-9397-08002B2CF9AE}" pid="15" name="DocumentVersion">
    <vt:i4>0</vt:i4>
  </property>
  <property fmtid="{D5CDD505-2E9C-101B-9397-08002B2CF9AE}" pid="16" name="DossierNumber">
    <vt:i4>1057</vt:i4>
  </property>
  <property fmtid="{D5CDD505-2E9C-101B-9397-08002B2CF9AE}" pid="17" name="DocumentStatus">
    <vt:lpwstr>3;#TRA|150d2a88-1431-44e6-a8ca-0bb753ab8672</vt:lpwstr>
  </property>
  <property fmtid="{D5CDD505-2E9C-101B-9397-08002B2CF9AE}" pid="18" name="DossierName">
    <vt:lpwstr>82;#INT|e1edfecb-ed43-427b-bb02-d45fe6645386</vt:lpwstr>
  </property>
  <property fmtid="{D5CDD505-2E9C-101B-9397-08002B2CF9AE}" pid="19" name="RequestingService">
    <vt:lpwstr>Marché unique, production, consommation</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24;#ES|e7a6b05b-ae16-40c8-add9-68b64b03aeba</vt:lpwstr>
  </property>
  <property fmtid="{D5CDD505-2E9C-101B-9397-08002B2CF9AE}" pid="24" name="MeetingName">
    <vt:lpwstr>7;#SPL-CES|32d8cb1f-c9ec-4365-95c7-8385a18618ac</vt:lpwstr>
  </property>
  <property fmtid="{D5CDD505-2E9C-101B-9397-08002B2CF9AE}" pid="25" name="MeetingDate">
    <vt:filetime>2024-07-10T12:00:00Z</vt:filetime>
  </property>
  <property fmtid="{D5CDD505-2E9C-101B-9397-08002B2CF9AE}" pid="26" name="AvailableTranslations_0">
    <vt:lpwstr>SL|98a412ae-eb01-49e9-ae3d-585a81724cfc;SV|c2ed69e7-a339-43d7-8f22-d93680a92aa0;RO|feb747a2-64cd-4299-af12-4833ddc30497;HU|6b229040-c589-4408-b4c1-4285663d20a8;MT|7df99101-6854-4a26-b53a-b88c0da02c26;LV|46f7e311-5d9f-4663-b433-18aeccb7ace7;EL|6d4f4d51-af9b-4650-94b4-4276bee85c91;PT|50ccc04a-eadd-42ae-a0cb-acaf45f812ba;GA|762d2456-c427-4ecb-b312-af3dad8e258c;ET|ff6c3f4c-b02c-4c3c-ab07-2c37995a7a0a;FR|d2afafd3-4c81-4f60-8f52-ee33f2f54ff3;HR|2f555653-ed1a-4fe6-8362-9082d95989e5;IT|0774613c-01ed-4e5d-a25d-11d2388de825;BG|1a1b3951-7821-4e6a-85f5-5673fc08bd2c;CS|72f9705b-0217-4fd3-bea2-cbc7ed80e26e;PL|1e03da61-4678-4e07-b136-b5024ca9197b;LT|a7ff5ce7-6123-4f68-865a-a57c31810414;DA|5d49c027-8956-412b-aa16-e85a0f96ad0e;SK|46d9fce0-ef79-4f71-b89b-cd6aa82426b8;NL|55c6556c-b4f4-441d-9acf-c498d4f838bd;DE|f6b31e5a-26fa-4935-b661-318e46daf27e;ES|e7a6b05b-ae16-40c8-add9-68b64b03aeba;FI|87606a43-d45f-42d6-b8c9-e1a3457db5b7</vt:lpwstr>
  </property>
  <property fmtid="{D5CDD505-2E9C-101B-9397-08002B2CF9AE}" pid="27" name="DocumentStatus_0">
    <vt:lpwstr>TRA|150d2a88-1431-44e6-a8ca-0bb753ab8672</vt:lpwstr>
  </property>
  <property fmtid="{D5CDD505-2E9C-101B-9397-08002B2CF9AE}" pid="28" name="OriginalLanguage_0">
    <vt:lpwstr>ES|e7a6b05b-ae16-40c8-add9-68b64b03aeba</vt:lpwstr>
  </property>
  <property fmtid="{D5CDD505-2E9C-101B-9397-08002B2CF9AE}" pid="29" name="TaxCatchAll">
    <vt:lpwstr>132;#AS|c7a748eb-f6f2-4d9d-8b5a-af0cafebc224;#82;#INT|e1edfecb-ed43-427b-bb02-d45fe6645386;#43;#CS|72f9705b-0217-4fd3-bea2-cbc7ed80e26e;#37;#RO|feb747a2-64cd-4299-af12-4833ddc30497;#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14;#FR|d2afafd3-4c81-4f60-8f52-ee33f2f54ff3;#12;#IT|0774613c-01ed-4e5d-a25d-11d2388de825;#8;#Final|ea5e6674-7b27-4bac-b091-73adbb394efe;#7;#SPL-CES|32d8cb1f-c9ec-4365-95c7-8385a18618ac;#6;#Unrestricted|826e22d7-d029-4ec0-a450-0c28ff673572;#3;#TRA|150d2a88-1431-44e6-a8ca-0bb753ab8672;#1;#EESC|422833ec-8d7e-4e65-8e4e-8bed07ffb729</vt:lpwstr>
  </property>
  <property fmtid="{D5CDD505-2E9C-101B-9397-08002B2CF9AE}" pid="30" name="Rapporteur">
    <vt:lpwstr>HERNÁNDEZ BATALLER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6205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5;#EN|f2175f21-25d7-44a3-96da-d6a61b075e1b</vt:lpwstr>
  </property>
  <property name="OP_sanitized" fmtid="{D5CDD505-2E9C-101B-9397-08002B2CF9AE}" pid="39">
    <vt:lpwstr>True</vt:lpwstr>
  </property>
</Properties>
</file>