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3F" w:rsidRDefault="002722B4" w:rsidP="002722B4">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19CC6B4A-A056-4405-93A6-C77C8993A8BE" style="width:455.25pt;height:383.25pt">
            <v:imagedata r:id="rId13" o:title=""/>
          </v:shape>
        </w:pict>
      </w:r>
    </w:p>
    <w:p w:rsidR="00DE3CDC" w:rsidRPr="00AE2EE9" w:rsidRDefault="00DE3CDC">
      <w:pPr>
        <w:rPr>
          <w:noProof/>
        </w:rPr>
        <w:sectPr w:rsidR="00DE3CDC" w:rsidRPr="00AE2EE9" w:rsidSect="002722B4">
          <w:footerReference w:type="even" r:id="rId14"/>
          <w:footerReference w:type="default" r:id="rId15"/>
          <w:pgSz w:w="11907" w:h="16839"/>
          <w:pgMar w:top="1134" w:right="1417" w:bottom="1134" w:left="1417" w:header="709" w:footer="709" w:gutter="0"/>
          <w:pgNumType w:start="0"/>
          <w:cols w:space="720"/>
          <w:docGrid w:linePitch="360"/>
        </w:sectPr>
      </w:pPr>
    </w:p>
    <w:p w:rsidR="00DE3CDC" w:rsidRPr="00AE2EE9" w:rsidRDefault="00BA7734" w:rsidP="00BA7734">
      <w:pPr>
        <w:pStyle w:val="Typedudocument"/>
        <w:rPr>
          <w:noProof/>
        </w:rPr>
      </w:pPr>
      <w:bookmarkStart w:id="0" w:name="_GoBack"/>
      <w:bookmarkEnd w:id="0"/>
      <w:r w:rsidRPr="00BA7734">
        <w:rPr>
          <w:noProof/>
        </w:rPr>
        <w:lastRenderedPageBreak/>
        <w:t>COMMISSION RECOMMENDATION</w:t>
      </w:r>
    </w:p>
    <w:p w:rsidR="00DE3CDC" w:rsidRPr="00AE2EE9" w:rsidRDefault="00E12A0A" w:rsidP="00BA7734">
      <w:pPr>
        <w:pStyle w:val="Datedadoption"/>
        <w:rPr>
          <w:noProof/>
        </w:rPr>
      </w:pPr>
      <w:r>
        <w:rPr>
          <w:noProof/>
        </w:rPr>
        <w:t>of 2.7.2025</w:t>
      </w:r>
    </w:p>
    <w:p w:rsidR="00DE3CDC" w:rsidRPr="00091C77" w:rsidRDefault="00BA7734" w:rsidP="00BA7734">
      <w:pPr>
        <w:pStyle w:val="Titreobjet"/>
        <w:rPr>
          <w:noProof/>
        </w:rPr>
      </w:pPr>
      <w:r w:rsidRPr="00BA7734">
        <w:rPr>
          <w:noProof/>
        </w:rPr>
        <w:t>on innovative technologies and forms of renewable energy deployment, on the establishment of areas for grid and storage infrastructure necessary to integrate renewable energy into the electricity system in accordance with Article15(e) of revised Directive (EU) 2018/2001 of the European Parliament and of the Council, and on future proof network charges to reduce energy system costs</w:t>
      </w:r>
    </w:p>
    <w:p w:rsidR="00DE3CDC" w:rsidRPr="00AE2EE9" w:rsidRDefault="00DE3CDC">
      <w:pPr>
        <w:pStyle w:val="Institutionquiagit"/>
        <w:rPr>
          <w:noProof/>
        </w:rPr>
      </w:pPr>
      <w:r w:rsidRPr="00AE2EE9">
        <w:rPr>
          <w:noProof/>
        </w:rPr>
        <w:t>THE EUROPEAN COMMISSION,</w:t>
      </w:r>
    </w:p>
    <w:p w:rsidR="00DE3CDC" w:rsidRPr="00AE2EE9" w:rsidRDefault="00DE3CDC">
      <w:pPr>
        <w:rPr>
          <w:noProof/>
        </w:rPr>
      </w:pPr>
      <w:r w:rsidRPr="00AE2EE9">
        <w:rPr>
          <w:noProof/>
        </w:rPr>
        <w:t>Having regard to the Treaty on the Functioning of the European Union, and in particular Article</w:t>
      </w:r>
      <w:r w:rsidR="00A9703B">
        <w:rPr>
          <w:noProof/>
        </w:rPr>
        <w:t xml:space="preserve"> </w:t>
      </w:r>
      <w:r w:rsidRPr="00AE2EE9">
        <w:rPr>
          <w:noProof/>
        </w:rPr>
        <w:t>292 thereof,</w:t>
      </w:r>
    </w:p>
    <w:p w:rsidR="00DE3CDC" w:rsidRPr="00AE2EE9" w:rsidRDefault="532CF6A5">
      <w:pPr>
        <w:rPr>
          <w:noProof/>
        </w:rPr>
      </w:pPr>
      <w:r>
        <w:rPr>
          <w:noProof/>
        </w:rPr>
        <w:t>Whereas:</w:t>
      </w:r>
    </w:p>
    <w:p w:rsidR="5C04CA20" w:rsidRDefault="00795C22" w:rsidP="00795C22">
      <w:pPr>
        <w:pStyle w:val="ManualConsidrant"/>
        <w:rPr>
          <w:noProof/>
        </w:rPr>
      </w:pPr>
      <w:r w:rsidRPr="00795C22">
        <w:rPr>
          <w:noProof/>
        </w:rPr>
        <w:t>(1)</w:t>
      </w:r>
      <w:r w:rsidRPr="00795C22">
        <w:rPr>
          <w:noProof/>
        </w:rPr>
        <w:tab/>
      </w:r>
      <w:r w:rsidR="5C04CA20">
        <w:rPr>
          <w:noProof/>
        </w:rPr>
        <w:t xml:space="preserve">The </w:t>
      </w:r>
      <w:r w:rsidR="00D2533E">
        <w:rPr>
          <w:noProof/>
        </w:rPr>
        <w:t>c</w:t>
      </w:r>
      <w:r w:rsidR="5C04CA20">
        <w:rPr>
          <w:noProof/>
        </w:rPr>
        <w:t xml:space="preserve">lean </w:t>
      </w:r>
      <w:r w:rsidR="00D2533E">
        <w:rPr>
          <w:noProof/>
        </w:rPr>
        <w:t>i</w:t>
      </w:r>
      <w:r w:rsidR="5C04CA20">
        <w:rPr>
          <w:noProof/>
        </w:rPr>
        <w:t xml:space="preserve">ndustrial </w:t>
      </w:r>
      <w:r w:rsidR="00D2533E">
        <w:rPr>
          <w:noProof/>
        </w:rPr>
        <w:t>d</w:t>
      </w:r>
      <w:r w:rsidR="5C04CA20">
        <w:rPr>
          <w:noProof/>
        </w:rPr>
        <w:t>eal</w:t>
      </w:r>
      <w:r w:rsidR="516D8C5E">
        <w:rPr>
          <w:noProof/>
        </w:rPr>
        <w:t xml:space="preserve"> </w:t>
      </w:r>
      <w:r w:rsidR="1ECB8174" w:rsidRPr="007EC0CE">
        <w:rPr>
          <w:noProof/>
        </w:rPr>
        <w:t>sets</w:t>
      </w:r>
      <w:r w:rsidR="1ECB8174">
        <w:rPr>
          <w:noProof/>
        </w:rPr>
        <w:t xml:space="preserve"> </w:t>
      </w:r>
      <w:r w:rsidR="00D2533E">
        <w:rPr>
          <w:noProof/>
        </w:rPr>
        <w:t>out</w:t>
      </w:r>
      <w:r w:rsidR="1ECB8174">
        <w:rPr>
          <w:noProof/>
        </w:rPr>
        <w:t xml:space="preserve"> </w:t>
      </w:r>
      <w:r w:rsidR="00D2533E">
        <w:rPr>
          <w:noProof/>
        </w:rPr>
        <w:t xml:space="preserve">specific </w:t>
      </w:r>
      <w:r w:rsidR="1ECB8174" w:rsidRPr="007EC0CE">
        <w:rPr>
          <w:noProof/>
        </w:rPr>
        <w:t xml:space="preserve">actions to ensure that the </w:t>
      </w:r>
      <w:r w:rsidR="009C04FD">
        <w:rPr>
          <w:noProof/>
        </w:rPr>
        <w:t xml:space="preserve">goal of </w:t>
      </w:r>
      <w:r w:rsidR="080A3154">
        <w:rPr>
          <w:noProof/>
        </w:rPr>
        <w:t>decarbonis</w:t>
      </w:r>
      <w:r w:rsidR="009C04FD">
        <w:rPr>
          <w:noProof/>
        </w:rPr>
        <w:t>ing</w:t>
      </w:r>
      <w:r w:rsidR="080A3154" w:rsidRPr="007EC0CE">
        <w:rPr>
          <w:noProof/>
        </w:rPr>
        <w:t xml:space="preserve"> </w:t>
      </w:r>
      <w:r w:rsidR="1ECB8174" w:rsidRPr="007EC0CE">
        <w:rPr>
          <w:noProof/>
        </w:rPr>
        <w:t>the economy</w:t>
      </w:r>
      <w:r w:rsidR="5C912438" w:rsidRPr="007EC0CE">
        <w:rPr>
          <w:noProof/>
        </w:rPr>
        <w:t xml:space="preserve"> by 2050</w:t>
      </w:r>
      <w:r w:rsidR="1ECB8174" w:rsidRPr="007EC0CE">
        <w:rPr>
          <w:noProof/>
        </w:rPr>
        <w:t xml:space="preserve"> foster</w:t>
      </w:r>
      <w:r w:rsidR="1F996AE5" w:rsidRPr="007EC0CE">
        <w:rPr>
          <w:noProof/>
        </w:rPr>
        <w:t>s</w:t>
      </w:r>
      <w:r w:rsidR="1ECB8174" w:rsidRPr="007EC0CE">
        <w:rPr>
          <w:noProof/>
        </w:rPr>
        <w:t xml:space="preserve"> the growth of European industries</w:t>
      </w:r>
      <w:r w:rsidR="163FC3D5" w:rsidRPr="007EC0CE">
        <w:rPr>
          <w:noProof/>
        </w:rPr>
        <w:t xml:space="preserve">, including by </w:t>
      </w:r>
      <w:r w:rsidR="761F3238" w:rsidRPr="007EC0CE">
        <w:rPr>
          <w:noProof/>
        </w:rPr>
        <w:t>tackling the high energy prices</w:t>
      </w:r>
      <w:r w:rsidR="163FC3D5" w:rsidRPr="007EC0CE">
        <w:rPr>
          <w:noProof/>
        </w:rPr>
        <w:t>.</w:t>
      </w:r>
      <w:r w:rsidR="5738852F" w:rsidRPr="007EC0CE">
        <w:rPr>
          <w:noProof/>
        </w:rPr>
        <w:t xml:space="preserve"> </w:t>
      </w:r>
      <w:r w:rsidR="4628129D" w:rsidRPr="007EC0CE">
        <w:rPr>
          <w:noProof/>
        </w:rPr>
        <w:t>T</w:t>
      </w:r>
      <w:r w:rsidR="5879DC5B" w:rsidRPr="007EC0CE">
        <w:rPr>
          <w:noProof/>
        </w:rPr>
        <w:t xml:space="preserve">he </w:t>
      </w:r>
      <w:r w:rsidR="00D2533E">
        <w:rPr>
          <w:noProof/>
        </w:rPr>
        <w:t>a</w:t>
      </w:r>
      <w:r w:rsidR="5879DC5B">
        <w:rPr>
          <w:noProof/>
        </w:rPr>
        <w:t xml:space="preserve">ffordable </w:t>
      </w:r>
      <w:r w:rsidR="00D2533E">
        <w:rPr>
          <w:noProof/>
        </w:rPr>
        <w:t>e</w:t>
      </w:r>
      <w:r w:rsidR="5879DC5B">
        <w:rPr>
          <w:noProof/>
        </w:rPr>
        <w:t>nergy</w:t>
      </w:r>
      <w:r w:rsidR="0035030D">
        <w:rPr>
          <w:noProof/>
        </w:rPr>
        <w:t xml:space="preserve"> </w:t>
      </w:r>
      <w:r w:rsidR="00D2533E">
        <w:rPr>
          <w:noProof/>
        </w:rPr>
        <w:t>a</w:t>
      </w:r>
      <w:r w:rsidR="0035030D">
        <w:rPr>
          <w:noProof/>
        </w:rPr>
        <w:t xml:space="preserve">ction </w:t>
      </w:r>
      <w:r w:rsidR="00D2533E">
        <w:rPr>
          <w:noProof/>
        </w:rPr>
        <w:t>p</w:t>
      </w:r>
      <w:r w:rsidR="0035030D">
        <w:rPr>
          <w:noProof/>
        </w:rPr>
        <w:t>lan</w:t>
      </w:r>
      <w:r w:rsidR="5C04CA20" w:rsidRPr="598BDE29">
        <w:rPr>
          <w:rStyle w:val="FootnoteReference"/>
          <w:noProof/>
        </w:rPr>
        <w:footnoteReference w:id="2"/>
      </w:r>
      <w:r w:rsidR="0055682F">
        <w:rPr>
          <w:noProof/>
        </w:rPr>
        <w:t xml:space="preserve"> </w:t>
      </w:r>
      <w:r w:rsidR="00D2533E">
        <w:rPr>
          <w:noProof/>
        </w:rPr>
        <w:t>looks at</w:t>
      </w:r>
      <w:r w:rsidR="0055682F">
        <w:rPr>
          <w:noProof/>
        </w:rPr>
        <w:t xml:space="preserve"> factor</w:t>
      </w:r>
      <w:r w:rsidR="00D2533E">
        <w:rPr>
          <w:noProof/>
        </w:rPr>
        <w:t>s</w:t>
      </w:r>
      <w:r w:rsidR="0055682F">
        <w:rPr>
          <w:noProof/>
        </w:rPr>
        <w:t xml:space="preserve"> driving up </w:t>
      </w:r>
      <w:r w:rsidR="00204C97">
        <w:rPr>
          <w:noProof/>
        </w:rPr>
        <w:t>energy prices and identifies</w:t>
      </w:r>
      <w:r w:rsidR="5879DC5B" w:rsidRPr="007EC0CE">
        <w:rPr>
          <w:noProof/>
        </w:rPr>
        <w:t xml:space="preserve"> </w:t>
      </w:r>
      <w:r w:rsidR="00FB18A9">
        <w:rPr>
          <w:noProof/>
        </w:rPr>
        <w:t>eight actions aiming at</w:t>
      </w:r>
      <w:r w:rsidR="00A9703B">
        <w:rPr>
          <w:noProof/>
        </w:rPr>
        <w:t xml:space="preserve"> </w:t>
      </w:r>
      <w:r w:rsidR="5879DC5B" w:rsidRPr="007EC0CE">
        <w:rPr>
          <w:noProof/>
        </w:rPr>
        <w:t>lower</w:t>
      </w:r>
      <w:r w:rsidR="00FB18A9">
        <w:rPr>
          <w:noProof/>
        </w:rPr>
        <w:t>ing</w:t>
      </w:r>
      <w:r w:rsidR="5879DC5B" w:rsidRPr="007EC0CE">
        <w:rPr>
          <w:noProof/>
        </w:rPr>
        <w:t xml:space="preserve"> energy costs for all</w:t>
      </w:r>
      <w:r w:rsidR="00D2533E">
        <w:rPr>
          <w:noProof/>
        </w:rPr>
        <w:t>. This may be achieved</w:t>
      </w:r>
      <w:r w:rsidR="5879DC5B" w:rsidRPr="007EC0CE">
        <w:rPr>
          <w:noProof/>
        </w:rPr>
        <w:t xml:space="preserve">, in part </w:t>
      </w:r>
      <w:r w:rsidR="00D2533E">
        <w:rPr>
          <w:noProof/>
        </w:rPr>
        <w:t>by speeding up</w:t>
      </w:r>
      <w:r w:rsidR="003B536D">
        <w:rPr>
          <w:noProof/>
        </w:rPr>
        <w:t xml:space="preserve"> the roll-out of clean energy</w:t>
      </w:r>
      <w:r w:rsidR="00D2533E">
        <w:rPr>
          <w:noProof/>
        </w:rPr>
        <w:t xml:space="preserve"> and</w:t>
      </w:r>
      <w:r w:rsidR="003B536D">
        <w:rPr>
          <w:noProof/>
        </w:rPr>
        <w:t xml:space="preserve"> </w:t>
      </w:r>
      <w:r w:rsidR="00D2533E">
        <w:rPr>
          <w:noProof/>
        </w:rPr>
        <w:t>creating</w:t>
      </w:r>
      <w:r w:rsidR="003B536D">
        <w:rPr>
          <w:noProof/>
        </w:rPr>
        <w:t xml:space="preserve"> </w:t>
      </w:r>
      <w:r w:rsidR="5879DC5B" w:rsidRPr="007EC0CE">
        <w:rPr>
          <w:noProof/>
        </w:rPr>
        <w:t xml:space="preserve">a fully integrated energy market, supported by an interconnected and digitalised network and a cohesive regulatory and governance regime. </w:t>
      </w:r>
      <w:r w:rsidR="00D2533E">
        <w:rPr>
          <w:noProof/>
        </w:rPr>
        <w:t>The plan</w:t>
      </w:r>
      <w:r w:rsidR="5879DC5B">
        <w:rPr>
          <w:noProof/>
        </w:rPr>
        <w:t xml:space="preserve"> </w:t>
      </w:r>
      <w:r w:rsidR="5879DC5B" w:rsidRPr="007EC0CE">
        <w:rPr>
          <w:noProof/>
        </w:rPr>
        <w:t xml:space="preserve">proposes to </w:t>
      </w:r>
      <w:r w:rsidR="00D2533E">
        <w:rPr>
          <w:noProof/>
        </w:rPr>
        <w:t xml:space="preserve">address </w:t>
      </w:r>
      <w:r w:rsidR="5879DC5B" w:rsidRPr="007EC0CE">
        <w:rPr>
          <w:noProof/>
        </w:rPr>
        <w:t xml:space="preserve">all </w:t>
      </w:r>
      <w:r w:rsidR="00193281">
        <w:rPr>
          <w:noProof/>
        </w:rPr>
        <w:t xml:space="preserve">the </w:t>
      </w:r>
      <w:r w:rsidR="5879DC5B" w:rsidRPr="007EC0CE">
        <w:rPr>
          <w:noProof/>
        </w:rPr>
        <w:t xml:space="preserve">elements </w:t>
      </w:r>
      <w:r w:rsidR="00D2533E">
        <w:rPr>
          <w:noProof/>
        </w:rPr>
        <w:t xml:space="preserve">that </w:t>
      </w:r>
      <w:r w:rsidR="5879DC5B" w:rsidRPr="007EC0CE">
        <w:rPr>
          <w:noProof/>
        </w:rPr>
        <w:t>together constitute electricity bills, namely the cost of the commodity, the cost of the network and levies and taxation.</w:t>
      </w:r>
    </w:p>
    <w:p w:rsidR="057E2A9D" w:rsidRDefault="00795C22" w:rsidP="00795C22">
      <w:pPr>
        <w:pStyle w:val="ManualConsidrant"/>
        <w:rPr>
          <w:noProof/>
        </w:rPr>
      </w:pPr>
      <w:r w:rsidRPr="00795C22">
        <w:rPr>
          <w:noProof/>
        </w:rPr>
        <w:t>(2)</w:t>
      </w:r>
      <w:r w:rsidRPr="00795C22">
        <w:rPr>
          <w:noProof/>
        </w:rPr>
        <w:tab/>
      </w:r>
      <w:r w:rsidR="057E2A9D">
        <w:rPr>
          <w:noProof/>
        </w:rPr>
        <w:t xml:space="preserve">Three key actions to achieve these objectives are </w:t>
      </w:r>
      <w:r w:rsidR="00D2533E">
        <w:rPr>
          <w:noProof/>
        </w:rPr>
        <w:t xml:space="preserve">(i) </w:t>
      </w:r>
      <w:r w:rsidR="057E2A9D">
        <w:rPr>
          <w:noProof/>
        </w:rPr>
        <w:t>the acceleration of renewable energy</w:t>
      </w:r>
      <w:r w:rsidR="29DB7DCB">
        <w:rPr>
          <w:noProof/>
        </w:rPr>
        <w:t xml:space="preserve"> and energy storage</w:t>
      </w:r>
      <w:r w:rsidR="057E2A9D">
        <w:rPr>
          <w:noProof/>
        </w:rPr>
        <w:t xml:space="preserve"> deployment, </w:t>
      </w:r>
      <w:r w:rsidR="00D2533E">
        <w:rPr>
          <w:noProof/>
        </w:rPr>
        <w:t xml:space="preserve">(ii) </w:t>
      </w:r>
      <w:r w:rsidR="057E2A9D">
        <w:rPr>
          <w:noProof/>
        </w:rPr>
        <w:t xml:space="preserve">the acceleration of the expansion and </w:t>
      </w:r>
      <w:r w:rsidR="073C3CAF">
        <w:rPr>
          <w:noProof/>
        </w:rPr>
        <w:t>reinforcement</w:t>
      </w:r>
      <w:r w:rsidR="057E2A9D">
        <w:rPr>
          <w:noProof/>
        </w:rPr>
        <w:t xml:space="preserve"> of electricity grids, a</w:t>
      </w:r>
      <w:r w:rsidR="17A675DE">
        <w:rPr>
          <w:noProof/>
        </w:rPr>
        <w:t xml:space="preserve">nd </w:t>
      </w:r>
      <w:r w:rsidR="00D2533E">
        <w:rPr>
          <w:noProof/>
        </w:rPr>
        <w:t xml:space="preserve">(iii) </w:t>
      </w:r>
      <w:r w:rsidR="17A675DE">
        <w:rPr>
          <w:noProof/>
        </w:rPr>
        <w:t>the introduction of efficient signals for the optimal use of the grid and for the containment of grid costs, in particular through network tariffs.</w:t>
      </w:r>
    </w:p>
    <w:p w:rsidR="00980381" w:rsidRPr="002A4203" w:rsidRDefault="00795C22" w:rsidP="00795C22">
      <w:pPr>
        <w:pStyle w:val="ManualConsidrant"/>
        <w:rPr>
          <w:noProof/>
        </w:rPr>
      </w:pPr>
      <w:r w:rsidRPr="00795C22">
        <w:rPr>
          <w:noProof/>
        </w:rPr>
        <w:t>(3)</w:t>
      </w:r>
      <w:r w:rsidRPr="00795C22">
        <w:rPr>
          <w:noProof/>
        </w:rPr>
        <w:tab/>
      </w:r>
      <w:r w:rsidR="5D9377CD">
        <w:rPr>
          <w:noProof/>
        </w:rPr>
        <w:t xml:space="preserve">Europe’s reliance on imported fossil fuels is identified as a major factor contributing to volatile and high supply costs. Expanding the </w:t>
      </w:r>
      <w:r w:rsidR="001A07D7">
        <w:rPr>
          <w:noProof/>
        </w:rPr>
        <w:t xml:space="preserve">range </w:t>
      </w:r>
      <w:r w:rsidR="5D9377CD">
        <w:rPr>
          <w:noProof/>
        </w:rPr>
        <w:t xml:space="preserve">of renewable energy sources would </w:t>
      </w:r>
      <w:r w:rsidR="001A07D7">
        <w:rPr>
          <w:noProof/>
        </w:rPr>
        <w:t xml:space="preserve">help </w:t>
      </w:r>
      <w:r w:rsidR="5D9377CD">
        <w:rPr>
          <w:noProof/>
        </w:rPr>
        <w:t>to reduc</w:t>
      </w:r>
      <w:r w:rsidR="1A979E56" w:rsidRPr="00091C77">
        <w:rPr>
          <w:noProof/>
          <w:lang w:val="en-US"/>
        </w:rPr>
        <w:t>in</w:t>
      </w:r>
      <w:r w:rsidR="1A979E56" w:rsidRPr="4C12634E">
        <w:rPr>
          <w:noProof/>
          <w:lang w:val="en-US"/>
        </w:rPr>
        <w:t xml:space="preserve">g </w:t>
      </w:r>
      <w:r w:rsidR="5D9377CD">
        <w:rPr>
          <w:noProof/>
        </w:rPr>
        <w:t>the costs of energy supply</w:t>
      </w:r>
      <w:r w:rsidR="1C9006E7">
        <w:rPr>
          <w:noProof/>
        </w:rPr>
        <w:t xml:space="preserve"> and prices to customers, both industry and private individuals</w:t>
      </w:r>
      <w:r w:rsidR="5D9377CD">
        <w:rPr>
          <w:noProof/>
        </w:rPr>
        <w:t xml:space="preserve">. To make this a reality, </w:t>
      </w:r>
      <w:r w:rsidR="001A07D7">
        <w:rPr>
          <w:noProof/>
        </w:rPr>
        <w:t xml:space="preserve">it is also necessary to </w:t>
      </w:r>
      <w:r w:rsidR="5D9377CD">
        <w:rPr>
          <w:noProof/>
        </w:rPr>
        <w:t>significantly accelerat</w:t>
      </w:r>
      <w:r w:rsidR="3A692408">
        <w:rPr>
          <w:noProof/>
        </w:rPr>
        <w:t xml:space="preserve">e </w:t>
      </w:r>
      <w:r w:rsidR="5D9377CD">
        <w:rPr>
          <w:noProof/>
        </w:rPr>
        <w:t xml:space="preserve">the </w:t>
      </w:r>
      <w:r w:rsidR="00193281">
        <w:rPr>
          <w:noProof/>
        </w:rPr>
        <w:t xml:space="preserve">procedures for granting </w:t>
      </w:r>
      <w:r w:rsidR="5D9377CD">
        <w:rPr>
          <w:noProof/>
        </w:rPr>
        <w:t>permit</w:t>
      </w:r>
      <w:r w:rsidR="00193281">
        <w:rPr>
          <w:noProof/>
        </w:rPr>
        <w:t>s</w:t>
      </w:r>
      <w:r w:rsidR="5D9377CD">
        <w:rPr>
          <w:noProof/>
        </w:rPr>
        <w:t xml:space="preserve"> for renewable energy </w:t>
      </w:r>
      <w:r w:rsidR="38FA54B7">
        <w:rPr>
          <w:noProof/>
        </w:rPr>
        <w:t>projects</w:t>
      </w:r>
      <w:r w:rsidR="75387DBE">
        <w:rPr>
          <w:noProof/>
        </w:rPr>
        <w:t>,</w:t>
      </w:r>
      <w:r w:rsidR="5D9377CD">
        <w:rPr>
          <w:noProof/>
        </w:rPr>
        <w:t xml:space="preserve"> not only </w:t>
      </w:r>
      <w:r w:rsidR="75387DBE">
        <w:rPr>
          <w:noProof/>
        </w:rPr>
        <w:t>for</w:t>
      </w:r>
      <w:r w:rsidR="016D811F">
        <w:rPr>
          <w:noProof/>
        </w:rPr>
        <w:t xml:space="preserve"> </w:t>
      </w:r>
      <w:r w:rsidR="1A979E56">
        <w:rPr>
          <w:noProof/>
        </w:rPr>
        <w:t xml:space="preserve">conventional </w:t>
      </w:r>
      <w:r w:rsidR="5D9377CD">
        <w:rPr>
          <w:noProof/>
        </w:rPr>
        <w:t xml:space="preserve">renewable technologies and deployment modes, but also </w:t>
      </w:r>
      <w:r w:rsidR="75387DBE">
        <w:rPr>
          <w:noProof/>
        </w:rPr>
        <w:t xml:space="preserve">for </w:t>
      </w:r>
      <w:r w:rsidR="5D9377CD">
        <w:rPr>
          <w:noProof/>
        </w:rPr>
        <w:t>innovative forms of deployment and innovative renewable technologies</w:t>
      </w:r>
      <w:r w:rsidR="30226C4F">
        <w:rPr>
          <w:noProof/>
        </w:rPr>
        <w:t>.</w:t>
      </w:r>
    </w:p>
    <w:p w:rsidR="00CD08F5" w:rsidRPr="002A4203" w:rsidRDefault="00795C22" w:rsidP="00795C22">
      <w:pPr>
        <w:pStyle w:val="ManualConsidrant"/>
        <w:rPr>
          <w:noProof/>
        </w:rPr>
      </w:pPr>
      <w:r w:rsidRPr="00795C22">
        <w:rPr>
          <w:noProof/>
        </w:rPr>
        <w:t>(4)</w:t>
      </w:r>
      <w:r w:rsidRPr="00795C22">
        <w:rPr>
          <w:noProof/>
        </w:rPr>
        <w:tab/>
      </w:r>
      <w:r w:rsidR="00D2533E">
        <w:rPr>
          <w:noProof/>
        </w:rPr>
        <w:t>D</w:t>
      </w:r>
      <w:r w:rsidR="05513906">
        <w:rPr>
          <w:noProof/>
        </w:rPr>
        <w:t>irective</w:t>
      </w:r>
      <w:r w:rsidR="05513906" w:rsidRPr="00663D2A">
        <w:rPr>
          <w:noProof/>
        </w:rPr>
        <w:t xml:space="preserve"> (EU) 2018/2001</w:t>
      </w:r>
      <w:r w:rsidR="00874271">
        <w:rPr>
          <w:noProof/>
        </w:rPr>
        <w:t xml:space="preserve"> of the European Parliament and of the Council</w:t>
      </w:r>
      <w:r w:rsidR="00D2533E">
        <w:rPr>
          <w:rStyle w:val="FootnoteReference"/>
          <w:noProof/>
        </w:rPr>
        <w:footnoteReference w:id="3"/>
      </w:r>
      <w:r w:rsidR="00A9703B">
        <w:rPr>
          <w:noProof/>
        </w:rPr>
        <w:t xml:space="preserve"> </w:t>
      </w:r>
      <w:r w:rsidR="05513906">
        <w:rPr>
          <w:noProof/>
        </w:rPr>
        <w:t>(</w:t>
      </w:r>
      <w:r w:rsidR="00D965E2">
        <w:rPr>
          <w:noProof/>
        </w:rPr>
        <w:t>’</w:t>
      </w:r>
      <w:r w:rsidR="05513906">
        <w:rPr>
          <w:noProof/>
        </w:rPr>
        <w:t>t</w:t>
      </w:r>
      <w:r w:rsidR="0ACAD06C">
        <w:rPr>
          <w:noProof/>
        </w:rPr>
        <w:t>he</w:t>
      </w:r>
      <w:r w:rsidR="00A9703B">
        <w:rPr>
          <w:noProof/>
        </w:rPr>
        <w:t xml:space="preserve"> </w:t>
      </w:r>
      <w:r w:rsidR="0ACAD06C" w:rsidRPr="002A4203">
        <w:rPr>
          <w:noProof/>
        </w:rPr>
        <w:t>Directive</w:t>
      </w:r>
      <w:r w:rsidR="00D965E2">
        <w:rPr>
          <w:noProof/>
        </w:rPr>
        <w:t>’</w:t>
      </w:r>
      <w:r w:rsidR="05513906">
        <w:rPr>
          <w:noProof/>
        </w:rPr>
        <w:t>)</w:t>
      </w:r>
      <w:r w:rsidR="0ACAD06C" w:rsidRPr="002A4203">
        <w:rPr>
          <w:noProof/>
        </w:rPr>
        <w:t xml:space="preserve"> sets a renewable energy target</w:t>
      </w:r>
      <w:r w:rsidR="0ACAD06C">
        <w:rPr>
          <w:noProof/>
        </w:rPr>
        <w:t xml:space="preserve"> </w:t>
      </w:r>
      <w:r w:rsidR="001A07D7">
        <w:rPr>
          <w:noProof/>
        </w:rPr>
        <w:t>for the EU</w:t>
      </w:r>
      <w:r w:rsidR="0ACAD06C">
        <w:rPr>
          <w:noProof/>
        </w:rPr>
        <w:t xml:space="preserve"> </w:t>
      </w:r>
      <w:r w:rsidR="0ACAD06C" w:rsidRPr="002A4203">
        <w:rPr>
          <w:noProof/>
        </w:rPr>
        <w:t>of 42.5%</w:t>
      </w:r>
      <w:r w:rsidR="0ACAD06C">
        <w:rPr>
          <w:noProof/>
        </w:rPr>
        <w:t xml:space="preserve"> </w:t>
      </w:r>
      <w:r w:rsidR="009C04FD">
        <w:rPr>
          <w:noProof/>
        </w:rPr>
        <w:t>by 2030,</w:t>
      </w:r>
      <w:r w:rsidR="0ACAD06C">
        <w:rPr>
          <w:noProof/>
        </w:rPr>
        <w:t xml:space="preserve"> </w:t>
      </w:r>
      <w:r w:rsidR="0ACAD06C" w:rsidRPr="002A4203">
        <w:rPr>
          <w:noProof/>
        </w:rPr>
        <w:t xml:space="preserve">with an aspiration to reach 45%. </w:t>
      </w:r>
      <w:r w:rsidR="001A07D7">
        <w:rPr>
          <w:noProof/>
        </w:rPr>
        <w:t>A</w:t>
      </w:r>
      <w:r w:rsidR="0ACAD06C">
        <w:rPr>
          <w:noProof/>
        </w:rPr>
        <w:t>chiev</w:t>
      </w:r>
      <w:r w:rsidR="001A07D7">
        <w:rPr>
          <w:noProof/>
        </w:rPr>
        <w:t>ing</w:t>
      </w:r>
      <w:r w:rsidR="0ACAD06C" w:rsidRPr="002A4203">
        <w:rPr>
          <w:noProof/>
        </w:rPr>
        <w:t xml:space="preserve"> this target requires both </w:t>
      </w:r>
      <w:r w:rsidR="001A07D7">
        <w:rPr>
          <w:noProof/>
        </w:rPr>
        <w:t xml:space="preserve">faster </w:t>
      </w:r>
      <w:r w:rsidR="0ACAD06C" w:rsidRPr="002A4203">
        <w:rPr>
          <w:noProof/>
        </w:rPr>
        <w:t xml:space="preserve">deployment of renewable energy installations and </w:t>
      </w:r>
      <w:r w:rsidR="001A07D7">
        <w:rPr>
          <w:noProof/>
        </w:rPr>
        <w:t>better</w:t>
      </w:r>
      <w:r w:rsidR="0ACAD06C" w:rsidRPr="002A4203">
        <w:rPr>
          <w:noProof/>
        </w:rPr>
        <w:t xml:space="preserve"> integration of the renewable energy generated </w:t>
      </w:r>
      <w:r w:rsidR="0ACAD06C">
        <w:rPr>
          <w:noProof/>
        </w:rPr>
        <w:t>in</w:t>
      </w:r>
      <w:r w:rsidR="00193281">
        <w:rPr>
          <w:noProof/>
        </w:rPr>
        <w:t>to</w:t>
      </w:r>
      <w:r w:rsidR="0ACAD06C" w:rsidRPr="002A4203">
        <w:rPr>
          <w:noProof/>
        </w:rPr>
        <w:t xml:space="preserve"> the grid and the energy system.</w:t>
      </w:r>
      <w:r w:rsidR="00A9703B">
        <w:rPr>
          <w:noProof/>
        </w:rPr>
        <w:t xml:space="preserve"> </w:t>
      </w:r>
      <w:r w:rsidR="0032080D">
        <w:rPr>
          <w:noProof/>
        </w:rPr>
        <w:t>In addition, it includes a target for Member States to dedicate at least 5% of new installed renewable energy capacity to innovative renewable energy technologies by 2030.</w:t>
      </w:r>
    </w:p>
    <w:p w:rsidR="0046354D" w:rsidRPr="002A4203" w:rsidRDefault="00795C22" w:rsidP="00795C22">
      <w:pPr>
        <w:pStyle w:val="ManualConsidrant"/>
        <w:rPr>
          <w:noProof/>
        </w:rPr>
      </w:pPr>
      <w:r w:rsidRPr="00795C22">
        <w:rPr>
          <w:noProof/>
        </w:rPr>
        <w:t>(5)</w:t>
      </w:r>
      <w:r w:rsidRPr="00795C22">
        <w:rPr>
          <w:noProof/>
        </w:rPr>
        <w:tab/>
      </w:r>
      <w:r w:rsidR="0ACAD06C">
        <w:rPr>
          <w:noProof/>
        </w:rPr>
        <w:t>The D</w:t>
      </w:r>
      <w:r w:rsidR="05513906">
        <w:rPr>
          <w:noProof/>
        </w:rPr>
        <w:t>irective</w:t>
      </w:r>
      <w:r w:rsidR="0ACAD06C">
        <w:rPr>
          <w:noProof/>
        </w:rPr>
        <w:t xml:space="preserve"> and the accompanying </w:t>
      </w:r>
      <w:r w:rsidR="00D55A68">
        <w:rPr>
          <w:noProof/>
        </w:rPr>
        <w:t>Union</w:t>
      </w:r>
      <w:r w:rsidR="0ACAD06C">
        <w:rPr>
          <w:noProof/>
        </w:rPr>
        <w:t xml:space="preserve"> </w:t>
      </w:r>
      <w:r w:rsidR="04A3C76C">
        <w:rPr>
          <w:noProof/>
        </w:rPr>
        <w:t>initiatives</w:t>
      </w:r>
      <w:r w:rsidR="3D2BEFEF">
        <w:rPr>
          <w:noProof/>
        </w:rPr>
        <w:t>, such as the recommendation</w:t>
      </w:r>
      <w:r w:rsidR="0ACAD06C" w:rsidRPr="598BDE29">
        <w:rPr>
          <w:rStyle w:val="FootnoteReference"/>
          <w:noProof/>
        </w:rPr>
        <w:footnoteReference w:id="4"/>
      </w:r>
      <w:r w:rsidR="3D2BEFEF">
        <w:rPr>
          <w:noProof/>
        </w:rPr>
        <w:t xml:space="preserve"> and guidance</w:t>
      </w:r>
      <w:r w:rsidR="0ACAD06C" w:rsidRPr="598BDE29">
        <w:rPr>
          <w:rStyle w:val="FootnoteReference"/>
          <w:noProof/>
        </w:rPr>
        <w:footnoteReference w:id="5"/>
      </w:r>
      <w:r w:rsidR="3D2BEFEF">
        <w:rPr>
          <w:noProof/>
        </w:rPr>
        <w:t xml:space="preserve"> on </w:t>
      </w:r>
      <w:r w:rsidR="789B3BA4">
        <w:rPr>
          <w:noProof/>
        </w:rPr>
        <w:t>speeding up permit-granting for renewable energy and related infrastructure projects,</w:t>
      </w:r>
      <w:r w:rsidR="0ACAD06C">
        <w:rPr>
          <w:noProof/>
        </w:rPr>
        <w:t xml:space="preserve"> provide the Member State</w:t>
      </w:r>
      <w:r w:rsidR="00D55A68">
        <w:rPr>
          <w:noProof/>
        </w:rPr>
        <w:t>s</w:t>
      </w:r>
      <w:r w:rsidR="0ACAD06C">
        <w:rPr>
          <w:noProof/>
        </w:rPr>
        <w:t xml:space="preserve"> with additional instruments to secure that </w:t>
      </w:r>
      <w:r w:rsidR="00193281">
        <w:rPr>
          <w:noProof/>
        </w:rPr>
        <w:t>deployment</w:t>
      </w:r>
      <w:r w:rsidR="0ACAD06C">
        <w:rPr>
          <w:noProof/>
        </w:rPr>
        <w:t xml:space="preserve">. On the one hand, the Directive </w:t>
      </w:r>
      <w:r w:rsidR="001A07D7">
        <w:rPr>
          <w:noProof/>
        </w:rPr>
        <w:t>lays the groundwork for speeding up the</w:t>
      </w:r>
      <w:r w:rsidR="0ACAD06C">
        <w:rPr>
          <w:noProof/>
        </w:rPr>
        <w:t xml:space="preserve"> use of innovative renewable energy technologies through </w:t>
      </w:r>
      <w:r w:rsidR="79D65904">
        <w:rPr>
          <w:noProof/>
        </w:rPr>
        <w:t>the</w:t>
      </w:r>
      <w:r w:rsidR="0ACAD06C">
        <w:rPr>
          <w:noProof/>
        </w:rPr>
        <w:t xml:space="preserve"> indicative target.</w:t>
      </w:r>
      <w:r w:rsidR="0032080D">
        <w:rPr>
          <w:noProof/>
        </w:rPr>
        <w:t xml:space="preserve"> On the other</w:t>
      </w:r>
      <w:r w:rsidR="0ACAD06C">
        <w:rPr>
          <w:noProof/>
        </w:rPr>
        <w:t xml:space="preserve">, the 2022 EU </w:t>
      </w:r>
      <w:r w:rsidR="001A07D7">
        <w:rPr>
          <w:noProof/>
        </w:rPr>
        <w:t>s</w:t>
      </w:r>
      <w:r w:rsidR="0ACAD06C">
        <w:rPr>
          <w:noProof/>
        </w:rPr>
        <w:t xml:space="preserve">olar </w:t>
      </w:r>
      <w:r w:rsidR="001A07D7">
        <w:rPr>
          <w:noProof/>
        </w:rPr>
        <w:t>e</w:t>
      </w:r>
      <w:r w:rsidR="0ACAD06C">
        <w:rPr>
          <w:noProof/>
        </w:rPr>
        <w:t xml:space="preserve">nergy </w:t>
      </w:r>
      <w:r w:rsidR="001A07D7">
        <w:rPr>
          <w:noProof/>
        </w:rPr>
        <w:t>s</w:t>
      </w:r>
      <w:r w:rsidR="0ACAD06C">
        <w:rPr>
          <w:noProof/>
        </w:rPr>
        <w:t>trategy</w:t>
      </w:r>
      <w:r w:rsidR="0ACAD06C" w:rsidRPr="598BDE29">
        <w:rPr>
          <w:rStyle w:val="FootnoteReference"/>
          <w:noProof/>
        </w:rPr>
        <w:footnoteReference w:id="6"/>
      </w:r>
      <w:r w:rsidR="0ACAD06C">
        <w:rPr>
          <w:noProof/>
        </w:rPr>
        <w:t xml:space="preserve"> </w:t>
      </w:r>
      <w:r w:rsidR="001A07D7">
        <w:rPr>
          <w:noProof/>
        </w:rPr>
        <w:t>highlighted</w:t>
      </w:r>
      <w:r w:rsidR="0ACAD06C">
        <w:rPr>
          <w:noProof/>
        </w:rPr>
        <w:t xml:space="preserve"> innovative forms of solar energy deployment and commit</w:t>
      </w:r>
      <w:r w:rsidR="002D2708">
        <w:rPr>
          <w:noProof/>
        </w:rPr>
        <w:t>s</w:t>
      </w:r>
      <w:r w:rsidR="0ACAD06C">
        <w:rPr>
          <w:noProof/>
        </w:rPr>
        <w:t xml:space="preserve"> to issue guidance to </w:t>
      </w:r>
      <w:r w:rsidR="001A07D7">
        <w:rPr>
          <w:noProof/>
        </w:rPr>
        <w:t xml:space="preserve">the </w:t>
      </w:r>
      <w:r w:rsidR="0ACAD06C">
        <w:rPr>
          <w:noProof/>
        </w:rPr>
        <w:t>Member States in this regard. These innovative technologies and forms of deployment complement</w:t>
      </w:r>
      <w:r w:rsidR="66D05AEE">
        <w:rPr>
          <w:noProof/>
        </w:rPr>
        <w:t xml:space="preserve"> conventional</w:t>
      </w:r>
      <w:r w:rsidR="0ACAD06C">
        <w:rPr>
          <w:noProof/>
        </w:rPr>
        <w:t xml:space="preserve"> renewable </w:t>
      </w:r>
      <w:r w:rsidR="0032080D">
        <w:rPr>
          <w:noProof/>
        </w:rPr>
        <w:t xml:space="preserve">technologies </w:t>
      </w:r>
      <w:r w:rsidR="0ACAD06C">
        <w:rPr>
          <w:noProof/>
        </w:rPr>
        <w:t>deployment fo</w:t>
      </w:r>
      <w:r w:rsidR="05513906">
        <w:rPr>
          <w:noProof/>
        </w:rPr>
        <w:t>r</w:t>
      </w:r>
      <w:r w:rsidR="0ACAD06C">
        <w:rPr>
          <w:noProof/>
        </w:rPr>
        <w:t xml:space="preserve"> the achievement of the </w:t>
      </w:r>
      <w:r w:rsidR="0032080D">
        <w:rPr>
          <w:noProof/>
        </w:rPr>
        <w:t xml:space="preserve">revised RED </w:t>
      </w:r>
      <w:r w:rsidR="0ACAD06C">
        <w:rPr>
          <w:noProof/>
        </w:rPr>
        <w:t xml:space="preserve">target. Finally, </w:t>
      </w:r>
      <w:r w:rsidR="00193281">
        <w:rPr>
          <w:noProof/>
        </w:rPr>
        <w:t xml:space="preserve">under </w:t>
      </w:r>
      <w:r w:rsidR="00FA700C">
        <w:rPr>
          <w:noProof/>
        </w:rPr>
        <w:t xml:space="preserve">Article 15e of </w:t>
      </w:r>
      <w:r w:rsidR="0ACAD06C">
        <w:rPr>
          <w:noProof/>
        </w:rPr>
        <w:t>the Directive</w:t>
      </w:r>
      <w:r w:rsidR="00193281">
        <w:rPr>
          <w:noProof/>
        </w:rPr>
        <w:t>,</w:t>
      </w:r>
      <w:r w:rsidR="0ACAD06C">
        <w:rPr>
          <w:noProof/>
        </w:rPr>
        <w:t xml:space="preserve"> </w:t>
      </w:r>
      <w:r w:rsidR="04EC7E01">
        <w:rPr>
          <w:noProof/>
        </w:rPr>
        <w:t xml:space="preserve">Member States </w:t>
      </w:r>
      <w:r w:rsidR="00193281">
        <w:rPr>
          <w:noProof/>
        </w:rPr>
        <w:t xml:space="preserve">are able </w:t>
      </w:r>
      <w:r w:rsidR="04EC7E01">
        <w:rPr>
          <w:noProof/>
        </w:rPr>
        <w:t>to designate areas for grid and storage infrastructure</w:t>
      </w:r>
      <w:r w:rsidR="001A07D7">
        <w:rPr>
          <w:noProof/>
        </w:rPr>
        <w:t>,</w:t>
      </w:r>
      <w:r w:rsidR="04EC7E01">
        <w:rPr>
          <w:noProof/>
        </w:rPr>
        <w:t xml:space="preserve"> which are necessary </w:t>
      </w:r>
      <w:r w:rsidR="00193281">
        <w:rPr>
          <w:noProof/>
        </w:rPr>
        <w:t xml:space="preserve">for </w:t>
      </w:r>
      <w:r w:rsidR="04EC7E01">
        <w:rPr>
          <w:noProof/>
        </w:rPr>
        <w:t>integrat</w:t>
      </w:r>
      <w:r w:rsidR="00193281">
        <w:rPr>
          <w:noProof/>
        </w:rPr>
        <w:t>ing</w:t>
      </w:r>
      <w:r w:rsidR="04EC7E01">
        <w:rPr>
          <w:noProof/>
        </w:rPr>
        <w:t xml:space="preserve"> renewable energy into the electricity system.</w:t>
      </w:r>
    </w:p>
    <w:p w:rsidR="0046354D" w:rsidRPr="002A4203" w:rsidRDefault="00795C22" w:rsidP="00795C22">
      <w:pPr>
        <w:pStyle w:val="ManualConsidrant"/>
        <w:rPr>
          <w:noProof/>
        </w:rPr>
      </w:pPr>
      <w:r w:rsidRPr="00795C22">
        <w:rPr>
          <w:noProof/>
        </w:rPr>
        <w:t>(6)</w:t>
      </w:r>
      <w:r w:rsidRPr="00795C22">
        <w:rPr>
          <w:noProof/>
        </w:rPr>
        <w:tab/>
      </w:r>
      <w:r w:rsidR="04EC7E01">
        <w:rPr>
          <w:noProof/>
        </w:rPr>
        <w:t>Innovative renewable energy technologies, such as ocean energy or floating offshore wind energy</w:t>
      </w:r>
      <w:r w:rsidR="0032080D">
        <w:rPr>
          <w:noProof/>
        </w:rPr>
        <w:t xml:space="preserve"> technologies</w:t>
      </w:r>
      <w:r w:rsidR="04EC7E01">
        <w:rPr>
          <w:noProof/>
        </w:rPr>
        <w:t>, unlock the exploitation of renewable energy sources that remain untapped</w:t>
      </w:r>
      <w:r w:rsidR="7EF33BEF">
        <w:rPr>
          <w:noProof/>
        </w:rPr>
        <w:t xml:space="preserve"> and can complement</w:t>
      </w:r>
      <w:r w:rsidR="04EC7E01">
        <w:rPr>
          <w:noProof/>
        </w:rPr>
        <w:t xml:space="preserve"> standard offshore and onshore wind, as well as utility-scale solar</w:t>
      </w:r>
      <w:r w:rsidR="4CFD2EA1">
        <w:rPr>
          <w:noProof/>
        </w:rPr>
        <w:t xml:space="preserve"> technologies</w:t>
      </w:r>
      <w:r w:rsidR="04EC7E01">
        <w:rPr>
          <w:noProof/>
        </w:rPr>
        <w:t xml:space="preserve">, which will remain the backbone of the </w:t>
      </w:r>
      <w:r w:rsidR="776E9F88">
        <w:rPr>
          <w:noProof/>
        </w:rPr>
        <w:t>Union</w:t>
      </w:r>
      <w:r w:rsidR="04EC7E01">
        <w:rPr>
          <w:noProof/>
        </w:rPr>
        <w:t>’s renewable energy</w:t>
      </w:r>
      <w:r w:rsidR="4CFD2EA1">
        <w:rPr>
          <w:noProof/>
        </w:rPr>
        <w:t xml:space="preserve"> deployment</w:t>
      </w:r>
      <w:r w:rsidR="04EC7E01">
        <w:rPr>
          <w:noProof/>
        </w:rPr>
        <w:t xml:space="preserve">. In addition, investment in these innovative technologies unlocks economies of scale and generates new knowledge and </w:t>
      </w:r>
      <w:r w:rsidR="1EFE486F">
        <w:rPr>
          <w:noProof/>
        </w:rPr>
        <w:t xml:space="preserve">a competitive advantage </w:t>
      </w:r>
      <w:r w:rsidR="04EC7E01">
        <w:rPr>
          <w:noProof/>
        </w:rPr>
        <w:t xml:space="preserve">for the </w:t>
      </w:r>
      <w:r w:rsidR="776E9F88">
        <w:rPr>
          <w:noProof/>
        </w:rPr>
        <w:t>Union</w:t>
      </w:r>
      <w:r w:rsidR="04EC7E01">
        <w:rPr>
          <w:noProof/>
        </w:rPr>
        <w:t>.</w:t>
      </w:r>
      <w:r w:rsidR="3D5DC31B">
        <w:rPr>
          <w:noProof/>
        </w:rPr>
        <w:t xml:space="preserve"> </w:t>
      </w:r>
    </w:p>
    <w:p w:rsidR="00CD08F5" w:rsidRPr="002A4203" w:rsidRDefault="00795C22" w:rsidP="00795C22">
      <w:pPr>
        <w:pStyle w:val="ManualConsidrant"/>
        <w:rPr>
          <w:noProof/>
        </w:rPr>
      </w:pPr>
      <w:r w:rsidRPr="00795C22">
        <w:rPr>
          <w:noProof/>
        </w:rPr>
        <w:t>(7)</w:t>
      </w:r>
      <w:r w:rsidRPr="00795C22">
        <w:rPr>
          <w:noProof/>
        </w:rPr>
        <w:tab/>
      </w:r>
      <w:r w:rsidR="04EC7E01">
        <w:rPr>
          <w:noProof/>
        </w:rPr>
        <w:t xml:space="preserve">The key benefit of </w:t>
      </w:r>
      <w:r w:rsidR="20957690">
        <w:rPr>
          <w:noProof/>
        </w:rPr>
        <w:t>deploying</w:t>
      </w:r>
      <w:r w:rsidR="04EC7E01">
        <w:rPr>
          <w:noProof/>
        </w:rPr>
        <w:t xml:space="preserve"> innovative forms of renewable energy is the </w:t>
      </w:r>
      <w:r w:rsidR="52CCF1A2">
        <w:rPr>
          <w:noProof/>
        </w:rPr>
        <w:t xml:space="preserve">expansion of </w:t>
      </w:r>
      <w:r w:rsidR="2BD66D3D">
        <w:rPr>
          <w:noProof/>
        </w:rPr>
        <w:t>opportunities</w:t>
      </w:r>
      <w:r w:rsidR="52CCF1A2">
        <w:rPr>
          <w:noProof/>
        </w:rPr>
        <w:t xml:space="preserve"> for renewable energy</w:t>
      </w:r>
      <w:r w:rsidR="04EC7E01">
        <w:rPr>
          <w:noProof/>
        </w:rPr>
        <w:t xml:space="preserve"> deployment</w:t>
      </w:r>
      <w:r w:rsidR="56FCFD21">
        <w:rPr>
          <w:noProof/>
        </w:rPr>
        <w:t xml:space="preserve"> </w:t>
      </w:r>
      <w:r w:rsidR="5B68DE14">
        <w:rPr>
          <w:noProof/>
        </w:rPr>
        <w:t xml:space="preserve">through </w:t>
      </w:r>
      <w:r w:rsidR="5B68DE14" w:rsidRPr="0093034F">
        <w:rPr>
          <w:noProof/>
        </w:rPr>
        <w:t xml:space="preserve">multiple use </w:t>
      </w:r>
      <w:r w:rsidR="00620484" w:rsidRPr="0093034F">
        <w:rPr>
          <w:noProof/>
        </w:rPr>
        <w:t>of</w:t>
      </w:r>
      <w:r w:rsidR="00620484">
        <w:rPr>
          <w:noProof/>
        </w:rPr>
        <w:t xml:space="preserve"> space </w:t>
      </w:r>
      <w:r w:rsidR="56FCFD21">
        <w:rPr>
          <w:noProof/>
        </w:rPr>
        <w:t>and the efficient exploitation of underutilised structures (i.e. motorway barriers, vehicles)</w:t>
      </w:r>
      <w:r w:rsidR="04EC7E01">
        <w:rPr>
          <w:noProof/>
        </w:rPr>
        <w:t xml:space="preserve">. New forms of deployment can sometimes require innovations in renewable energy technology. In other cases, they represent a novel use of the same generation technology. Innovative forms of solar energy deployment are varied, including </w:t>
      </w:r>
      <w:r w:rsidR="063DD464">
        <w:rPr>
          <w:noProof/>
        </w:rPr>
        <w:t>agrisolar (a</w:t>
      </w:r>
      <w:r w:rsidR="04EC7E01">
        <w:rPr>
          <w:noProof/>
        </w:rPr>
        <w:t>gri</w:t>
      </w:r>
      <w:r w:rsidR="55F9100E">
        <w:rPr>
          <w:noProof/>
        </w:rPr>
        <w:t>voltaics</w:t>
      </w:r>
      <w:r w:rsidR="19D4C536">
        <w:rPr>
          <w:noProof/>
        </w:rPr>
        <w:t xml:space="preserve"> or solar heat combined with agriculture)</w:t>
      </w:r>
      <w:r w:rsidR="6A6E694E">
        <w:rPr>
          <w:noProof/>
        </w:rPr>
        <w:t xml:space="preserve">, </w:t>
      </w:r>
      <w:r w:rsidR="04EC7E01">
        <w:rPr>
          <w:noProof/>
        </w:rPr>
        <w:t xml:space="preserve">building-integrated solar, </w:t>
      </w:r>
      <w:r w:rsidR="2E2AB5F9">
        <w:rPr>
          <w:noProof/>
        </w:rPr>
        <w:t>infrastructure-integrated</w:t>
      </w:r>
      <w:r w:rsidR="78D55BBC">
        <w:rPr>
          <w:noProof/>
        </w:rPr>
        <w:t xml:space="preserve"> solar</w:t>
      </w:r>
      <w:r w:rsidR="2E2AB5F9">
        <w:rPr>
          <w:noProof/>
        </w:rPr>
        <w:t xml:space="preserve">, </w:t>
      </w:r>
      <w:r w:rsidR="04EC7E01">
        <w:rPr>
          <w:noProof/>
        </w:rPr>
        <w:t>floating</w:t>
      </w:r>
      <w:r w:rsidR="3C388055">
        <w:rPr>
          <w:noProof/>
        </w:rPr>
        <w:t xml:space="preserve"> solar</w:t>
      </w:r>
      <w:r w:rsidR="04EC7E01">
        <w:rPr>
          <w:noProof/>
        </w:rPr>
        <w:t xml:space="preserve">, </w:t>
      </w:r>
      <w:r w:rsidR="2E2AB5F9">
        <w:rPr>
          <w:noProof/>
        </w:rPr>
        <w:t xml:space="preserve">vehicle-integrated </w:t>
      </w:r>
      <w:r w:rsidR="6BE49B4A">
        <w:rPr>
          <w:noProof/>
        </w:rPr>
        <w:t>PV</w:t>
      </w:r>
      <w:r w:rsidR="008B032A">
        <w:rPr>
          <w:noProof/>
        </w:rPr>
        <w:t xml:space="preserve"> and</w:t>
      </w:r>
      <w:r w:rsidR="55F9100E">
        <w:rPr>
          <w:noProof/>
        </w:rPr>
        <w:t xml:space="preserve"> </w:t>
      </w:r>
      <w:r w:rsidR="04EC7E01">
        <w:rPr>
          <w:noProof/>
        </w:rPr>
        <w:t>plug-in mini</w:t>
      </w:r>
      <w:r w:rsidR="00C912D5">
        <w:rPr>
          <w:noProof/>
        </w:rPr>
        <w:t>-</w:t>
      </w:r>
      <w:r w:rsidR="6145A761">
        <w:rPr>
          <w:noProof/>
        </w:rPr>
        <w:t>solar</w:t>
      </w:r>
      <w:r w:rsidR="55F9100E">
        <w:rPr>
          <w:noProof/>
        </w:rPr>
        <w:t xml:space="preserve"> </w:t>
      </w:r>
      <w:r w:rsidR="04EC7E01">
        <w:rPr>
          <w:noProof/>
        </w:rPr>
        <w:t>(</w:t>
      </w:r>
      <w:r w:rsidR="78D55BBC">
        <w:rPr>
          <w:noProof/>
        </w:rPr>
        <w:t>for instance</w:t>
      </w:r>
      <w:r w:rsidR="04EC7E01">
        <w:rPr>
          <w:noProof/>
        </w:rPr>
        <w:t xml:space="preserve"> </w:t>
      </w:r>
      <w:r w:rsidR="00C912D5">
        <w:rPr>
          <w:noProof/>
        </w:rPr>
        <w:t>'</w:t>
      </w:r>
      <w:r w:rsidR="04EC7E01">
        <w:rPr>
          <w:noProof/>
        </w:rPr>
        <w:t xml:space="preserve">balcony </w:t>
      </w:r>
      <w:r w:rsidR="00C912D5">
        <w:rPr>
          <w:noProof/>
        </w:rPr>
        <w:t>PV'</w:t>
      </w:r>
      <w:r w:rsidR="04EC7E01">
        <w:rPr>
          <w:noProof/>
        </w:rPr>
        <w:t>)</w:t>
      </w:r>
      <w:r w:rsidR="2E2AB5F9">
        <w:rPr>
          <w:noProof/>
        </w:rPr>
        <w:t xml:space="preserve">. Floating offshore wind energy can also be considered an innovative form of </w:t>
      </w:r>
      <w:r w:rsidR="00193281">
        <w:rPr>
          <w:noProof/>
        </w:rPr>
        <w:t xml:space="preserve">deploying </w:t>
      </w:r>
      <w:r w:rsidR="67635CA3">
        <w:rPr>
          <w:noProof/>
        </w:rPr>
        <w:t>wind energy</w:t>
      </w:r>
      <w:r w:rsidR="2E2AB5F9">
        <w:rPr>
          <w:noProof/>
        </w:rPr>
        <w:t xml:space="preserve">. </w:t>
      </w:r>
      <w:r w:rsidR="00A9703B">
        <w:rPr>
          <w:noProof/>
        </w:rPr>
        <w:t>H</w:t>
      </w:r>
      <w:r w:rsidR="7B110C6C">
        <w:rPr>
          <w:noProof/>
        </w:rPr>
        <w:t>owever, these innovative tec</w:t>
      </w:r>
      <w:r w:rsidR="00A9703B">
        <w:rPr>
          <w:noProof/>
        </w:rPr>
        <w:t>h</w:t>
      </w:r>
      <w:r w:rsidR="7B110C6C">
        <w:rPr>
          <w:noProof/>
        </w:rPr>
        <w:t>nologies and forms of renewable energy deployment face specific regulatory and non-regulatory barriers to their deployment such as the inadequacy of the legislation to their specificities.</w:t>
      </w:r>
    </w:p>
    <w:p w:rsidR="00475808" w:rsidRDefault="00795C22" w:rsidP="00795C22">
      <w:pPr>
        <w:pStyle w:val="ManualConsidrant"/>
        <w:rPr>
          <w:noProof/>
          <w:u w:val="single"/>
        </w:rPr>
      </w:pPr>
      <w:r w:rsidRPr="00795C22">
        <w:rPr>
          <w:noProof/>
        </w:rPr>
        <w:t>(8)</w:t>
      </w:r>
      <w:r w:rsidRPr="00795C22">
        <w:rPr>
          <w:noProof/>
        </w:rPr>
        <w:tab/>
      </w:r>
      <w:r w:rsidR="0088748F">
        <w:rPr>
          <w:noProof/>
        </w:rPr>
        <w:t>A</w:t>
      </w:r>
      <w:r w:rsidR="1BE58A9C">
        <w:rPr>
          <w:noProof/>
        </w:rPr>
        <w:t>ccelerati</w:t>
      </w:r>
      <w:r w:rsidR="00193281">
        <w:rPr>
          <w:noProof/>
        </w:rPr>
        <w:t>ng</w:t>
      </w:r>
      <w:r w:rsidR="1BE58A9C">
        <w:rPr>
          <w:noProof/>
        </w:rPr>
        <w:t xml:space="preserve"> the expansion and reinforcement of electricity grids</w:t>
      </w:r>
      <w:r w:rsidR="5C6B9EEA">
        <w:rPr>
          <w:noProof/>
        </w:rPr>
        <w:t xml:space="preserve"> and of energy storage deployment</w:t>
      </w:r>
      <w:r w:rsidR="00C91F0A">
        <w:rPr>
          <w:noProof/>
        </w:rPr>
        <w:t xml:space="preserve"> could be </w:t>
      </w:r>
      <w:r w:rsidR="001F2E6A">
        <w:rPr>
          <w:noProof/>
        </w:rPr>
        <w:t>facilitated</w:t>
      </w:r>
      <w:r w:rsidR="000479A8">
        <w:rPr>
          <w:noProof/>
        </w:rPr>
        <w:t xml:space="preserve"> by m</w:t>
      </w:r>
      <w:r w:rsidR="009C3F0E">
        <w:rPr>
          <w:noProof/>
        </w:rPr>
        <w:t>e</w:t>
      </w:r>
      <w:r w:rsidR="000479A8">
        <w:rPr>
          <w:noProof/>
        </w:rPr>
        <w:t xml:space="preserve">ans </w:t>
      </w:r>
      <w:r w:rsidR="00C91F0A">
        <w:rPr>
          <w:noProof/>
        </w:rPr>
        <w:t xml:space="preserve">of </w:t>
      </w:r>
      <w:r w:rsidR="00622A8F" w:rsidRPr="00091C77">
        <w:rPr>
          <w:noProof/>
        </w:rPr>
        <w:t>designating</w:t>
      </w:r>
      <w:r w:rsidR="000479A8" w:rsidRPr="00091C77">
        <w:rPr>
          <w:noProof/>
        </w:rPr>
        <w:t xml:space="preserve"> areas for grid and storage infrastructure</w:t>
      </w:r>
      <w:r w:rsidR="00622A8F">
        <w:rPr>
          <w:noProof/>
        </w:rPr>
        <w:t xml:space="preserve">. </w:t>
      </w:r>
      <w:r w:rsidR="004F1EDC">
        <w:rPr>
          <w:noProof/>
        </w:rPr>
        <w:t>G</w:t>
      </w:r>
      <w:r w:rsidR="3B9E6E97">
        <w:rPr>
          <w:noProof/>
        </w:rPr>
        <w:t>rids</w:t>
      </w:r>
      <w:r w:rsidR="610F0B46">
        <w:rPr>
          <w:noProof/>
        </w:rPr>
        <w:t xml:space="preserve"> and storage projects located in</w:t>
      </w:r>
      <w:r w:rsidR="43CC77FB">
        <w:rPr>
          <w:noProof/>
        </w:rPr>
        <w:t xml:space="preserve"> these areas</w:t>
      </w:r>
      <w:r w:rsidR="36F05328">
        <w:rPr>
          <w:noProof/>
        </w:rPr>
        <w:t xml:space="preserve"> which are necessary to integrate renewable energy into the electricity system</w:t>
      </w:r>
      <w:r w:rsidR="610F0B46">
        <w:rPr>
          <w:noProof/>
        </w:rPr>
        <w:t xml:space="preserve"> </w:t>
      </w:r>
      <w:r w:rsidR="3314CC84">
        <w:rPr>
          <w:noProof/>
        </w:rPr>
        <w:t xml:space="preserve">can </w:t>
      </w:r>
      <w:r w:rsidR="610F0B46">
        <w:rPr>
          <w:noProof/>
        </w:rPr>
        <w:t xml:space="preserve">benefit from derogations from certain types of environmental assessments, provided </w:t>
      </w:r>
      <w:r w:rsidR="00193281">
        <w:rPr>
          <w:noProof/>
        </w:rPr>
        <w:t xml:space="preserve">that </w:t>
      </w:r>
      <w:r w:rsidR="610F0B46">
        <w:rPr>
          <w:noProof/>
        </w:rPr>
        <w:t>the conditions established by</w:t>
      </w:r>
      <w:r w:rsidR="4710ADC6">
        <w:rPr>
          <w:noProof/>
        </w:rPr>
        <w:t xml:space="preserve"> the </w:t>
      </w:r>
      <w:r w:rsidR="009C04FD">
        <w:rPr>
          <w:noProof/>
        </w:rPr>
        <w:t>D</w:t>
      </w:r>
      <w:r w:rsidR="4710ADC6">
        <w:rPr>
          <w:noProof/>
        </w:rPr>
        <w:t>irectiv</w:t>
      </w:r>
      <w:r w:rsidR="00CD2897">
        <w:rPr>
          <w:noProof/>
        </w:rPr>
        <w:t>e</w:t>
      </w:r>
      <w:r w:rsidR="05513906">
        <w:rPr>
          <w:noProof/>
        </w:rPr>
        <w:t xml:space="preserve"> </w:t>
      </w:r>
      <w:r w:rsidR="610F0B46">
        <w:rPr>
          <w:noProof/>
        </w:rPr>
        <w:t xml:space="preserve">are met, with the aim </w:t>
      </w:r>
      <w:r w:rsidR="008B032A">
        <w:rPr>
          <w:noProof/>
        </w:rPr>
        <w:t xml:space="preserve">of </w:t>
      </w:r>
      <w:r w:rsidR="610F0B46">
        <w:rPr>
          <w:noProof/>
        </w:rPr>
        <w:t>significantly shorten</w:t>
      </w:r>
      <w:r w:rsidR="008B032A">
        <w:rPr>
          <w:noProof/>
        </w:rPr>
        <w:t>ing</w:t>
      </w:r>
      <w:r w:rsidR="610F0B46">
        <w:rPr>
          <w:noProof/>
        </w:rPr>
        <w:t xml:space="preserve"> the </w:t>
      </w:r>
      <w:r w:rsidR="003B74EC" w:rsidRPr="003B74EC">
        <w:rPr>
          <w:noProof/>
        </w:rPr>
        <w:t>timelines for issuing permits</w:t>
      </w:r>
      <w:r w:rsidR="003B74EC">
        <w:rPr>
          <w:noProof/>
        </w:rPr>
        <w:t>.</w:t>
      </w:r>
      <w:r w:rsidR="00A9703B">
        <w:rPr>
          <w:noProof/>
        </w:rPr>
        <w:t xml:space="preserve"> </w:t>
      </w:r>
      <w:r w:rsidR="00002645" w:rsidRPr="00091C77">
        <w:rPr>
          <w:noProof/>
        </w:rPr>
        <w:t xml:space="preserve">The swift implementation of these provisions </w:t>
      </w:r>
      <w:r w:rsidR="00F25AA4" w:rsidRPr="00091C77">
        <w:rPr>
          <w:noProof/>
        </w:rPr>
        <w:t xml:space="preserve">is absolutely instrumental </w:t>
      </w:r>
      <w:r w:rsidR="00002645" w:rsidRPr="00091C77">
        <w:rPr>
          <w:noProof/>
        </w:rPr>
        <w:t xml:space="preserve">to unleash the potential of </w:t>
      </w:r>
      <w:r w:rsidR="008B032A" w:rsidRPr="00091C77">
        <w:rPr>
          <w:noProof/>
        </w:rPr>
        <w:t xml:space="preserve">a </w:t>
      </w:r>
      <w:r w:rsidR="00002645" w:rsidRPr="00091C77">
        <w:rPr>
          <w:noProof/>
        </w:rPr>
        <w:t>rapid roll</w:t>
      </w:r>
      <w:r w:rsidR="008B032A" w:rsidRPr="00091C77">
        <w:rPr>
          <w:noProof/>
        </w:rPr>
        <w:t>-</w:t>
      </w:r>
      <w:r w:rsidR="00002645" w:rsidRPr="00091C77">
        <w:rPr>
          <w:noProof/>
        </w:rPr>
        <w:t xml:space="preserve">out of grid and </w:t>
      </w:r>
      <w:r w:rsidR="00F25AA4" w:rsidRPr="00091C77">
        <w:rPr>
          <w:noProof/>
        </w:rPr>
        <w:t xml:space="preserve">storage projects </w:t>
      </w:r>
      <w:r w:rsidR="00791A75" w:rsidRPr="00091C77">
        <w:rPr>
          <w:noProof/>
        </w:rPr>
        <w:t xml:space="preserve">to ensure the EU’s climate and energy targets and </w:t>
      </w:r>
      <w:r w:rsidR="00130FF2" w:rsidRPr="00091C77">
        <w:rPr>
          <w:noProof/>
        </w:rPr>
        <w:t>the climate neutrality objective.</w:t>
      </w:r>
    </w:p>
    <w:p w:rsidR="4C28CF9F" w:rsidRDefault="00795C22" w:rsidP="00795C22">
      <w:pPr>
        <w:pStyle w:val="ManualConsidrant"/>
        <w:rPr>
          <w:noProof/>
        </w:rPr>
      </w:pPr>
      <w:r w:rsidRPr="00795C22">
        <w:rPr>
          <w:noProof/>
        </w:rPr>
        <w:t>(9)</w:t>
      </w:r>
      <w:r w:rsidRPr="00795C22">
        <w:rPr>
          <w:noProof/>
        </w:rPr>
        <w:tab/>
      </w:r>
      <w:r w:rsidR="102A8520">
        <w:rPr>
          <w:noProof/>
        </w:rPr>
        <w:t>Moreover, to lower overall network costs and ensure affordability</w:t>
      </w:r>
      <w:r w:rsidR="0E70007A">
        <w:rPr>
          <w:noProof/>
        </w:rPr>
        <w:t xml:space="preserve"> for all consumers</w:t>
      </w:r>
      <w:r w:rsidR="102A8520">
        <w:rPr>
          <w:noProof/>
        </w:rPr>
        <w:t>, these necessary investments have to go hand in hand with a better use of the existing and new infrastructure</w:t>
      </w:r>
      <w:r w:rsidR="55F9100E">
        <w:rPr>
          <w:noProof/>
        </w:rPr>
        <w:t>s</w:t>
      </w:r>
      <w:r w:rsidR="102A8520">
        <w:rPr>
          <w:noProof/>
        </w:rPr>
        <w:t>. Enabling the cost-effective integration of increasing shares of renewable generation requires more flexibility and efficiency in the way the grid is used and managed.</w:t>
      </w:r>
      <w:r w:rsidR="269B81B3">
        <w:rPr>
          <w:noProof/>
        </w:rPr>
        <w:t xml:space="preserve"> </w:t>
      </w:r>
      <w:r w:rsidR="6543F7D8">
        <w:rPr>
          <w:noProof/>
        </w:rPr>
        <w:t>A</w:t>
      </w:r>
      <w:r w:rsidR="1077CEB7">
        <w:rPr>
          <w:noProof/>
        </w:rPr>
        <w:t xml:space="preserve">n efficient </w:t>
      </w:r>
      <w:r w:rsidR="0F77B06C">
        <w:rPr>
          <w:noProof/>
        </w:rPr>
        <w:t xml:space="preserve">methodology for designing </w:t>
      </w:r>
      <w:r w:rsidR="2706A8DD">
        <w:rPr>
          <w:noProof/>
        </w:rPr>
        <w:t xml:space="preserve">electricity </w:t>
      </w:r>
      <w:r w:rsidR="1077CEB7">
        <w:rPr>
          <w:noProof/>
        </w:rPr>
        <w:t>tariff</w:t>
      </w:r>
      <w:r w:rsidR="0F77B06C">
        <w:rPr>
          <w:noProof/>
        </w:rPr>
        <w:t>s</w:t>
      </w:r>
      <w:r w:rsidR="1077CEB7">
        <w:rPr>
          <w:noProof/>
        </w:rPr>
        <w:t xml:space="preserve"> </w:t>
      </w:r>
      <w:r w:rsidR="5076F5F6">
        <w:rPr>
          <w:noProof/>
        </w:rPr>
        <w:t xml:space="preserve">can provide the necessary incentives for system users to adjust their behaviour in a way </w:t>
      </w:r>
      <w:r w:rsidR="6543F7D8">
        <w:rPr>
          <w:noProof/>
        </w:rPr>
        <w:t xml:space="preserve">that </w:t>
      </w:r>
      <w:r w:rsidR="5076F5F6">
        <w:rPr>
          <w:noProof/>
        </w:rPr>
        <w:t>help</w:t>
      </w:r>
      <w:r w:rsidR="4B6A4D24">
        <w:rPr>
          <w:noProof/>
        </w:rPr>
        <w:t>s</w:t>
      </w:r>
      <w:r w:rsidR="5076F5F6">
        <w:rPr>
          <w:noProof/>
        </w:rPr>
        <w:t xml:space="preserve"> to reduce the overall system cost</w:t>
      </w:r>
      <w:r w:rsidR="0F77B06C">
        <w:rPr>
          <w:noProof/>
        </w:rPr>
        <w:t>. This, in turn</w:t>
      </w:r>
      <w:r w:rsidR="102A8520">
        <w:rPr>
          <w:noProof/>
        </w:rPr>
        <w:t>,</w:t>
      </w:r>
      <w:r w:rsidR="0F77B06C">
        <w:rPr>
          <w:noProof/>
        </w:rPr>
        <w:t xml:space="preserve"> </w:t>
      </w:r>
      <w:r w:rsidR="0D5802D8">
        <w:rPr>
          <w:noProof/>
        </w:rPr>
        <w:t>bears significant potential for greater cost-efficiency of the energy transition</w:t>
      </w:r>
      <w:r w:rsidR="5076F5F6">
        <w:rPr>
          <w:noProof/>
        </w:rPr>
        <w:t>.</w:t>
      </w:r>
    </w:p>
    <w:p w:rsidR="007EC0CE" w:rsidRDefault="00795C22" w:rsidP="00795C22">
      <w:pPr>
        <w:pStyle w:val="ManualConsidrant"/>
        <w:rPr>
          <w:noProof/>
        </w:rPr>
      </w:pPr>
      <w:r w:rsidRPr="00795C22">
        <w:rPr>
          <w:noProof/>
        </w:rPr>
        <w:t>(10)</w:t>
      </w:r>
      <w:r w:rsidRPr="00795C22">
        <w:rPr>
          <w:noProof/>
        </w:rPr>
        <w:tab/>
      </w:r>
      <w:r w:rsidR="3A3C81EC">
        <w:rPr>
          <w:noProof/>
        </w:rPr>
        <w:t>A significant shift in the design of network tariff methodologies, which is the responsibility of National Regulatory Authorities</w:t>
      </w:r>
      <w:r w:rsidR="00221189">
        <w:rPr>
          <w:noProof/>
        </w:rPr>
        <w:t xml:space="preserve"> (NRAs)</w:t>
      </w:r>
      <w:r w:rsidR="3A3C81EC">
        <w:rPr>
          <w:noProof/>
        </w:rPr>
        <w:t xml:space="preserve">, is </w:t>
      </w:r>
      <w:r w:rsidR="008C7C58">
        <w:rPr>
          <w:noProof/>
        </w:rPr>
        <w:t>necessary</w:t>
      </w:r>
      <w:r w:rsidR="3A3C81EC">
        <w:rPr>
          <w:noProof/>
        </w:rPr>
        <w:t xml:space="preserve"> to align them with the needs of a decarbonised energy system</w:t>
      </w:r>
      <w:r w:rsidR="00893B8C">
        <w:rPr>
          <w:noProof/>
        </w:rPr>
        <w:t>.</w:t>
      </w:r>
    </w:p>
    <w:p w:rsidR="00DE3CDC" w:rsidRPr="00D57B02" w:rsidRDefault="00DE3CDC">
      <w:pPr>
        <w:pStyle w:val="Formuledadoption"/>
        <w:rPr>
          <w:noProof/>
        </w:rPr>
      </w:pPr>
      <w:r w:rsidRPr="00AE2EE9">
        <w:rPr>
          <w:noProof/>
        </w:rPr>
        <w:t>HAS ADOPTED THIS RECOMMENDATION:</w:t>
      </w:r>
    </w:p>
    <w:p w:rsidR="00DE3CDC" w:rsidRPr="002A4203" w:rsidRDefault="00DE3CDC" w:rsidP="009F2644">
      <w:pPr>
        <w:pStyle w:val="Titrearticle"/>
        <w:rPr>
          <w:noProof/>
        </w:rPr>
      </w:pPr>
      <w:r w:rsidRPr="002A4203">
        <w:rPr>
          <w:noProof/>
        </w:rPr>
        <w:t>DEFINITIONS</w:t>
      </w:r>
    </w:p>
    <w:p w:rsidR="00772224" w:rsidRDefault="00795C22" w:rsidP="00795C22">
      <w:pPr>
        <w:pStyle w:val="Point0"/>
        <w:rPr>
          <w:noProof/>
        </w:rPr>
      </w:pPr>
      <w:r w:rsidRPr="00795C22">
        <w:rPr>
          <w:noProof/>
        </w:rPr>
        <w:t>(1)</w:t>
      </w:r>
      <w:r w:rsidRPr="00795C22">
        <w:rPr>
          <w:noProof/>
        </w:rPr>
        <w:tab/>
      </w:r>
      <w:r w:rsidR="00DE3CDC">
        <w:rPr>
          <w:noProof/>
        </w:rPr>
        <w:t xml:space="preserve">For the purposes of this Recommendation, </w:t>
      </w:r>
      <w:r w:rsidR="00A9703B">
        <w:rPr>
          <w:noProof/>
        </w:rPr>
        <w:t>'</w:t>
      </w:r>
      <w:r w:rsidR="00DE3CDC">
        <w:rPr>
          <w:noProof/>
        </w:rPr>
        <w:t xml:space="preserve">innovative forms of </w:t>
      </w:r>
      <w:r w:rsidR="002B59E9">
        <w:rPr>
          <w:noProof/>
        </w:rPr>
        <w:t xml:space="preserve">renewable </w:t>
      </w:r>
      <w:r w:rsidR="00DE3CDC">
        <w:rPr>
          <w:noProof/>
        </w:rPr>
        <w:t>energy deployment</w:t>
      </w:r>
      <w:r w:rsidR="00A9703B">
        <w:rPr>
          <w:noProof/>
        </w:rPr>
        <w:t>'</w:t>
      </w:r>
      <w:r w:rsidR="00DE3CDC">
        <w:rPr>
          <w:noProof/>
        </w:rPr>
        <w:t xml:space="preserve"> should be understood as those ways of deploying solar </w:t>
      </w:r>
      <w:r w:rsidR="002B59E9">
        <w:rPr>
          <w:noProof/>
        </w:rPr>
        <w:t xml:space="preserve">energy </w:t>
      </w:r>
      <w:r w:rsidR="00FA29B6">
        <w:rPr>
          <w:noProof/>
        </w:rPr>
        <w:t xml:space="preserve">– either </w:t>
      </w:r>
      <w:r w:rsidR="00DE3CDC">
        <w:rPr>
          <w:noProof/>
        </w:rPr>
        <w:t xml:space="preserve">photovoltaics, </w:t>
      </w:r>
      <w:r w:rsidR="0004787C">
        <w:rPr>
          <w:noProof/>
        </w:rPr>
        <w:t>thermal</w:t>
      </w:r>
      <w:r w:rsidR="00DE3CDC">
        <w:rPr>
          <w:noProof/>
        </w:rPr>
        <w:t xml:space="preserve"> or a combination of both</w:t>
      </w:r>
      <w:r w:rsidR="00FA29B6">
        <w:rPr>
          <w:noProof/>
        </w:rPr>
        <w:t xml:space="preserve"> </w:t>
      </w:r>
      <w:r w:rsidR="00D555C8">
        <w:rPr>
          <w:noProof/>
        </w:rPr>
        <w:t xml:space="preserve">– </w:t>
      </w:r>
      <w:r w:rsidR="00DE3CDC">
        <w:rPr>
          <w:noProof/>
        </w:rPr>
        <w:t xml:space="preserve">listed in the EU </w:t>
      </w:r>
      <w:r w:rsidR="00D555C8">
        <w:rPr>
          <w:noProof/>
        </w:rPr>
        <w:t>s</w:t>
      </w:r>
      <w:r w:rsidR="00DE3CDC">
        <w:rPr>
          <w:noProof/>
        </w:rPr>
        <w:t xml:space="preserve">olar </w:t>
      </w:r>
      <w:r w:rsidR="00D555C8">
        <w:rPr>
          <w:noProof/>
        </w:rPr>
        <w:t>e</w:t>
      </w:r>
      <w:r w:rsidR="00DE3CDC">
        <w:rPr>
          <w:noProof/>
        </w:rPr>
        <w:t xml:space="preserve">nergy </w:t>
      </w:r>
      <w:r w:rsidR="00D555C8">
        <w:rPr>
          <w:noProof/>
        </w:rPr>
        <w:t>s</w:t>
      </w:r>
      <w:r w:rsidR="00DE3CDC">
        <w:rPr>
          <w:noProof/>
        </w:rPr>
        <w:t xml:space="preserve">trategy: agrisolar, </w:t>
      </w:r>
      <w:r w:rsidR="00E41EC2">
        <w:rPr>
          <w:noProof/>
        </w:rPr>
        <w:t>building-integrated solar</w:t>
      </w:r>
      <w:r w:rsidR="00DE3CDC">
        <w:rPr>
          <w:noProof/>
        </w:rPr>
        <w:t xml:space="preserve">, floating </w:t>
      </w:r>
      <w:r w:rsidR="71E0C473">
        <w:rPr>
          <w:noProof/>
        </w:rPr>
        <w:t>solar</w:t>
      </w:r>
      <w:r w:rsidR="00DE3CDC">
        <w:rPr>
          <w:noProof/>
        </w:rPr>
        <w:t xml:space="preserve">, infrastructure-integrated </w:t>
      </w:r>
      <w:r w:rsidR="35D340B2">
        <w:rPr>
          <w:noProof/>
        </w:rPr>
        <w:t>solar,</w:t>
      </w:r>
      <w:r w:rsidR="00A9703B">
        <w:rPr>
          <w:noProof/>
        </w:rPr>
        <w:t xml:space="preserve"> </w:t>
      </w:r>
      <w:r w:rsidR="00DE3CDC">
        <w:rPr>
          <w:noProof/>
        </w:rPr>
        <w:t>vehicle-integrated photovoltaics</w:t>
      </w:r>
      <w:r w:rsidR="78B262FD">
        <w:rPr>
          <w:noProof/>
        </w:rPr>
        <w:t>,</w:t>
      </w:r>
      <w:r w:rsidR="00A86CFA">
        <w:rPr>
          <w:noProof/>
        </w:rPr>
        <w:t xml:space="preserve"> plug-in mini </w:t>
      </w:r>
      <w:r w:rsidR="2F197197">
        <w:rPr>
          <w:noProof/>
        </w:rPr>
        <w:t>solar</w:t>
      </w:r>
      <w:r w:rsidR="00E41EC2">
        <w:rPr>
          <w:noProof/>
        </w:rPr>
        <w:t xml:space="preserve"> </w:t>
      </w:r>
      <w:r w:rsidR="00A86CFA">
        <w:rPr>
          <w:noProof/>
        </w:rPr>
        <w:t>systems</w:t>
      </w:r>
      <w:r w:rsidR="002B59E9">
        <w:rPr>
          <w:noProof/>
        </w:rPr>
        <w:t xml:space="preserve"> and floating </w:t>
      </w:r>
      <w:r w:rsidR="00874A8F">
        <w:rPr>
          <w:noProof/>
        </w:rPr>
        <w:t xml:space="preserve">offshore </w:t>
      </w:r>
      <w:r w:rsidR="002B59E9">
        <w:rPr>
          <w:noProof/>
        </w:rPr>
        <w:t>wind energy</w:t>
      </w:r>
      <w:r w:rsidR="00D1219D">
        <w:rPr>
          <w:noProof/>
        </w:rPr>
        <w:t xml:space="preserve"> systems</w:t>
      </w:r>
      <w:r w:rsidR="00DE3CDC">
        <w:rPr>
          <w:noProof/>
        </w:rPr>
        <w:t>.</w:t>
      </w:r>
    </w:p>
    <w:p w:rsidR="00DE3CDC" w:rsidRDefault="00795C22" w:rsidP="00795C22">
      <w:pPr>
        <w:pStyle w:val="Point0"/>
        <w:rPr>
          <w:noProof/>
        </w:rPr>
      </w:pPr>
      <w:r w:rsidRPr="00795C22">
        <w:rPr>
          <w:noProof/>
        </w:rPr>
        <w:t>(2)</w:t>
      </w:r>
      <w:r w:rsidRPr="00795C22">
        <w:rPr>
          <w:noProof/>
        </w:rPr>
        <w:tab/>
      </w:r>
      <w:r w:rsidR="2B2B7BB6">
        <w:rPr>
          <w:noProof/>
        </w:rPr>
        <w:t xml:space="preserve">For the purposes of this Recommendation, </w:t>
      </w:r>
      <w:r w:rsidR="00A9703B">
        <w:rPr>
          <w:noProof/>
        </w:rPr>
        <w:t>'</w:t>
      </w:r>
      <w:r w:rsidR="2B2B7BB6">
        <w:rPr>
          <w:noProof/>
        </w:rPr>
        <w:t>innovative renewable energy technologies</w:t>
      </w:r>
      <w:r w:rsidR="00A9703B">
        <w:rPr>
          <w:noProof/>
        </w:rPr>
        <w:t>'</w:t>
      </w:r>
      <w:r w:rsidR="2B2B7BB6">
        <w:rPr>
          <w:noProof/>
        </w:rPr>
        <w:t xml:space="preserve"> </w:t>
      </w:r>
      <w:r w:rsidR="75112342">
        <w:rPr>
          <w:noProof/>
        </w:rPr>
        <w:t xml:space="preserve">should be understood as </w:t>
      </w:r>
      <w:r w:rsidR="75E2756B">
        <w:rPr>
          <w:noProof/>
        </w:rPr>
        <w:t xml:space="preserve">floating offshore wind energy, </w:t>
      </w:r>
      <w:r w:rsidR="2B2B7BB6">
        <w:rPr>
          <w:noProof/>
        </w:rPr>
        <w:t>ocean energy</w:t>
      </w:r>
      <w:r w:rsidR="56E89F55">
        <w:rPr>
          <w:noProof/>
        </w:rPr>
        <w:t>,</w:t>
      </w:r>
      <w:r w:rsidR="00620484">
        <w:rPr>
          <w:noProof/>
        </w:rPr>
        <w:t xml:space="preserve"> </w:t>
      </w:r>
      <w:r w:rsidR="2B2B7BB6">
        <w:rPr>
          <w:noProof/>
        </w:rPr>
        <w:t xml:space="preserve">without excluding other potential innovative renewable energy technologies that </w:t>
      </w:r>
      <w:r w:rsidR="2469E7A8">
        <w:rPr>
          <w:noProof/>
        </w:rPr>
        <w:t>may benefit from</w:t>
      </w:r>
      <w:r w:rsidR="004B34C0">
        <w:rPr>
          <w:noProof/>
        </w:rPr>
        <w:t xml:space="preserve"> </w:t>
      </w:r>
      <w:r w:rsidR="2B2B7BB6">
        <w:rPr>
          <w:noProof/>
        </w:rPr>
        <w:t>th</w:t>
      </w:r>
      <w:r w:rsidR="35DD8BBD">
        <w:rPr>
          <w:noProof/>
        </w:rPr>
        <w:t>ese</w:t>
      </w:r>
      <w:r w:rsidR="09E4FDC7">
        <w:rPr>
          <w:noProof/>
        </w:rPr>
        <w:t xml:space="preserve"> R</w:t>
      </w:r>
      <w:r w:rsidR="0E44B437">
        <w:rPr>
          <w:noProof/>
        </w:rPr>
        <w:t>ecommendations as well</w:t>
      </w:r>
      <w:r w:rsidR="2B2B7BB6">
        <w:rPr>
          <w:noProof/>
        </w:rPr>
        <w:t>.</w:t>
      </w:r>
    </w:p>
    <w:p w:rsidR="00D10256" w:rsidRDefault="00795C22" w:rsidP="00795C22">
      <w:pPr>
        <w:pStyle w:val="Point0"/>
        <w:rPr>
          <w:noProof/>
        </w:rPr>
      </w:pPr>
      <w:r w:rsidRPr="00795C22">
        <w:rPr>
          <w:noProof/>
        </w:rPr>
        <w:t>(3)</w:t>
      </w:r>
      <w:r w:rsidRPr="00795C22">
        <w:rPr>
          <w:noProof/>
        </w:rPr>
        <w:tab/>
      </w:r>
      <w:r w:rsidR="00D10256">
        <w:rPr>
          <w:noProof/>
        </w:rPr>
        <w:t xml:space="preserve">For the purposes of this Recommendation, </w:t>
      </w:r>
      <w:r w:rsidR="00422B34">
        <w:rPr>
          <w:noProof/>
        </w:rPr>
        <w:t>'</w:t>
      </w:r>
      <w:r w:rsidR="00D10256" w:rsidRPr="00D965E2">
        <w:rPr>
          <w:noProof/>
        </w:rPr>
        <w:t>grid infrastructure</w:t>
      </w:r>
      <w:r w:rsidR="00422B34">
        <w:rPr>
          <w:noProof/>
        </w:rPr>
        <w:t>'</w:t>
      </w:r>
      <w:r w:rsidR="00D10256">
        <w:rPr>
          <w:noProof/>
        </w:rPr>
        <w:t xml:space="preserve"> </w:t>
      </w:r>
      <w:r w:rsidR="002A140B">
        <w:rPr>
          <w:noProof/>
        </w:rPr>
        <w:t>should be understood as</w:t>
      </w:r>
      <w:r w:rsidR="00D10256">
        <w:rPr>
          <w:noProof/>
        </w:rPr>
        <w:t xml:space="preserve"> any project to deploy electricity transmission and distribution assets essential </w:t>
      </w:r>
      <w:r w:rsidR="009D0705">
        <w:rPr>
          <w:noProof/>
        </w:rPr>
        <w:t>for</w:t>
      </w:r>
      <w:r w:rsidR="00D10256">
        <w:rPr>
          <w:noProof/>
        </w:rPr>
        <w:t xml:space="preserve"> the efficient operation of the electricity system.</w:t>
      </w:r>
    </w:p>
    <w:p w:rsidR="00D10256" w:rsidRDefault="00795C22" w:rsidP="00795C22">
      <w:pPr>
        <w:pStyle w:val="Point0"/>
        <w:rPr>
          <w:noProof/>
        </w:rPr>
      </w:pPr>
      <w:r w:rsidRPr="00795C22">
        <w:rPr>
          <w:noProof/>
        </w:rPr>
        <w:t>(4)</w:t>
      </w:r>
      <w:r w:rsidRPr="00795C22">
        <w:rPr>
          <w:noProof/>
        </w:rPr>
        <w:tab/>
      </w:r>
      <w:r w:rsidR="00D10256" w:rsidRPr="00D10256">
        <w:rPr>
          <w:noProof/>
        </w:rPr>
        <w:t>For the purposes of this Recommendation,</w:t>
      </w:r>
      <w:r w:rsidR="00475808" w:rsidRPr="00475808">
        <w:rPr>
          <w:noProof/>
        </w:rPr>
        <w:t xml:space="preserve"> </w:t>
      </w:r>
      <w:r w:rsidR="00422B34">
        <w:rPr>
          <w:noProof/>
        </w:rPr>
        <w:t>'</w:t>
      </w:r>
      <w:r w:rsidR="00475808" w:rsidRPr="00D965E2">
        <w:rPr>
          <w:noProof/>
        </w:rPr>
        <w:t>storage infrastructure</w:t>
      </w:r>
      <w:r w:rsidR="00422B34">
        <w:rPr>
          <w:noProof/>
        </w:rPr>
        <w:t>'</w:t>
      </w:r>
      <w:r w:rsidR="00475808">
        <w:rPr>
          <w:noProof/>
        </w:rPr>
        <w:t xml:space="preserve"> </w:t>
      </w:r>
      <w:r w:rsidR="002A140B">
        <w:rPr>
          <w:noProof/>
        </w:rPr>
        <w:t xml:space="preserve">should be understood as </w:t>
      </w:r>
      <w:r w:rsidR="00475808" w:rsidRPr="00475808">
        <w:rPr>
          <w:noProof/>
        </w:rPr>
        <w:t xml:space="preserve">all energy storage assets at transmission and distribution </w:t>
      </w:r>
      <w:r w:rsidR="00475808" w:rsidRPr="00D965E2">
        <w:rPr>
          <w:noProof/>
        </w:rPr>
        <w:t>level</w:t>
      </w:r>
      <w:r w:rsidR="00422B34">
        <w:rPr>
          <w:noProof/>
        </w:rPr>
        <w:t>s</w:t>
      </w:r>
      <w:r w:rsidR="00475808" w:rsidRPr="00475808">
        <w:rPr>
          <w:noProof/>
        </w:rPr>
        <w:t>.</w:t>
      </w:r>
    </w:p>
    <w:p w:rsidR="008D2D6E" w:rsidRDefault="00FA29B6" w:rsidP="00091C77">
      <w:pPr>
        <w:pStyle w:val="Titrearticle"/>
        <w:rPr>
          <w:noProof/>
        </w:rPr>
      </w:pPr>
      <w:r>
        <w:rPr>
          <w:noProof/>
        </w:rPr>
        <w:t xml:space="preserve">CLEARER </w:t>
      </w:r>
      <w:r w:rsidR="00E14DF4">
        <w:rPr>
          <w:noProof/>
        </w:rPr>
        <w:t>REGULATORY FRAMEWORK</w:t>
      </w:r>
      <w:r w:rsidR="003B4D87">
        <w:rPr>
          <w:noProof/>
        </w:rPr>
        <w:t xml:space="preserve"> FOR INNOVATIVE RENEWABLE TECHNOLOGIES</w:t>
      </w:r>
      <w:r w:rsidR="00E14DF4">
        <w:rPr>
          <w:noProof/>
        </w:rPr>
        <w:t xml:space="preserve"> </w:t>
      </w:r>
    </w:p>
    <w:p w:rsidR="008D2D6E" w:rsidRDefault="00795C22" w:rsidP="00795C22">
      <w:pPr>
        <w:pStyle w:val="Point0"/>
        <w:rPr>
          <w:noProof/>
        </w:rPr>
      </w:pPr>
      <w:r w:rsidRPr="00795C22">
        <w:rPr>
          <w:noProof/>
        </w:rPr>
        <w:t>(5)</w:t>
      </w:r>
      <w:r w:rsidRPr="00795C22">
        <w:rPr>
          <w:noProof/>
        </w:rPr>
        <w:tab/>
      </w:r>
      <w:r w:rsidR="00B14D5B">
        <w:rPr>
          <w:noProof/>
        </w:rPr>
        <w:t xml:space="preserve">As regards innovative technologies and forms of renewable energy deployment, </w:t>
      </w:r>
      <w:r w:rsidR="008D2D6E">
        <w:rPr>
          <w:noProof/>
        </w:rPr>
        <w:t xml:space="preserve">Member States should </w:t>
      </w:r>
      <w:r w:rsidR="0004787C">
        <w:rPr>
          <w:noProof/>
        </w:rPr>
        <w:t>define</w:t>
      </w:r>
      <w:r w:rsidR="008D2D6E">
        <w:rPr>
          <w:noProof/>
        </w:rPr>
        <w:t xml:space="preserve"> these innovative forms of deployment</w:t>
      </w:r>
      <w:r w:rsidR="0004787C">
        <w:rPr>
          <w:noProof/>
        </w:rPr>
        <w:t xml:space="preserve"> </w:t>
      </w:r>
      <w:r w:rsidR="00062ED6">
        <w:rPr>
          <w:noProof/>
        </w:rPr>
        <w:t xml:space="preserve">and innovative renewable energy technologies </w:t>
      </w:r>
      <w:r w:rsidR="0004787C">
        <w:rPr>
          <w:noProof/>
        </w:rPr>
        <w:t>in relevant national regulations, to provide clarity on which regulations apply and how</w:t>
      </w:r>
      <w:r w:rsidR="00687CE0">
        <w:rPr>
          <w:noProof/>
        </w:rPr>
        <w:t xml:space="preserve"> they apply</w:t>
      </w:r>
      <w:r w:rsidR="0004787C">
        <w:rPr>
          <w:noProof/>
        </w:rPr>
        <w:t xml:space="preserve"> to each specific innovative form of deployment.</w:t>
      </w:r>
    </w:p>
    <w:p w:rsidR="0004787C" w:rsidRDefault="00795C22" w:rsidP="00795C22">
      <w:pPr>
        <w:pStyle w:val="Point0"/>
        <w:rPr>
          <w:noProof/>
        </w:rPr>
      </w:pPr>
      <w:r w:rsidRPr="00795C22">
        <w:rPr>
          <w:noProof/>
        </w:rPr>
        <w:t>(6)</w:t>
      </w:r>
      <w:r w:rsidRPr="00795C22">
        <w:rPr>
          <w:noProof/>
        </w:rPr>
        <w:tab/>
      </w:r>
      <w:r w:rsidR="387DE7A5">
        <w:rPr>
          <w:noProof/>
        </w:rPr>
        <w:t xml:space="preserve">For those innovative forms of deployment and innovative renewable energy technologies to </w:t>
      </w:r>
      <w:r w:rsidR="14413DBC">
        <w:rPr>
          <w:noProof/>
        </w:rPr>
        <w:t xml:space="preserve">be able to </w:t>
      </w:r>
      <w:r w:rsidR="387DE7A5">
        <w:rPr>
          <w:noProof/>
        </w:rPr>
        <w:t xml:space="preserve">access the market, </w:t>
      </w:r>
      <w:r w:rsidR="32F4D151">
        <w:rPr>
          <w:noProof/>
        </w:rPr>
        <w:t xml:space="preserve">Member States should </w:t>
      </w:r>
      <w:r w:rsidR="33D4E633">
        <w:rPr>
          <w:noProof/>
        </w:rPr>
        <w:t xml:space="preserve">specify </w:t>
      </w:r>
      <w:r w:rsidR="18D7EBBD">
        <w:rPr>
          <w:noProof/>
        </w:rPr>
        <w:t>the</w:t>
      </w:r>
      <w:r w:rsidR="75AFC49F">
        <w:rPr>
          <w:noProof/>
        </w:rPr>
        <w:t xml:space="preserve"> </w:t>
      </w:r>
      <w:r w:rsidR="27FD879B">
        <w:rPr>
          <w:noProof/>
        </w:rPr>
        <w:t>technical</w:t>
      </w:r>
      <w:r w:rsidR="32F4D151">
        <w:rPr>
          <w:noProof/>
        </w:rPr>
        <w:t xml:space="preserve"> </w:t>
      </w:r>
      <w:r w:rsidR="27FD879B">
        <w:rPr>
          <w:noProof/>
        </w:rPr>
        <w:t>standards that</w:t>
      </w:r>
      <w:r w:rsidR="0BA12359">
        <w:rPr>
          <w:noProof/>
        </w:rPr>
        <w:t xml:space="preserve"> must be complied with,</w:t>
      </w:r>
      <w:r w:rsidR="27FD879B">
        <w:rPr>
          <w:noProof/>
        </w:rPr>
        <w:t xml:space="preserve"> </w:t>
      </w:r>
      <w:r w:rsidR="71A9B02C">
        <w:rPr>
          <w:noProof/>
        </w:rPr>
        <w:t>including as regards</w:t>
      </w:r>
      <w:r w:rsidR="27FD879B">
        <w:rPr>
          <w:noProof/>
        </w:rPr>
        <w:t xml:space="preserve"> safety regulations. These technical standards should take into </w:t>
      </w:r>
      <w:r w:rsidR="7733AFE1">
        <w:rPr>
          <w:noProof/>
        </w:rPr>
        <w:t xml:space="preserve">account </w:t>
      </w:r>
      <w:r w:rsidR="27FD879B">
        <w:rPr>
          <w:noProof/>
        </w:rPr>
        <w:t>the specificities of the innovative form of deployment</w:t>
      </w:r>
      <w:r w:rsidR="5A4289E6">
        <w:rPr>
          <w:noProof/>
        </w:rPr>
        <w:t xml:space="preserve"> or innovative renewable energy technology</w:t>
      </w:r>
      <w:r w:rsidR="27FD879B">
        <w:rPr>
          <w:noProof/>
        </w:rPr>
        <w:t>.</w:t>
      </w:r>
    </w:p>
    <w:p w:rsidR="00B15594" w:rsidRDefault="00795C22" w:rsidP="00795C22">
      <w:pPr>
        <w:pStyle w:val="Point0"/>
        <w:rPr>
          <w:noProof/>
        </w:rPr>
      </w:pPr>
      <w:r w:rsidRPr="00795C22">
        <w:rPr>
          <w:noProof/>
        </w:rPr>
        <w:t>(7)</w:t>
      </w:r>
      <w:r w:rsidRPr="00795C22">
        <w:rPr>
          <w:noProof/>
        </w:rPr>
        <w:tab/>
      </w:r>
      <w:r w:rsidR="009748A6">
        <w:rPr>
          <w:noProof/>
        </w:rPr>
        <w:t xml:space="preserve">Without prejudice to the permitting deadlines of </w:t>
      </w:r>
      <w:bookmarkStart w:id="1" w:name="_Hlk196941319"/>
      <w:r w:rsidR="008F5F5C">
        <w:rPr>
          <w:noProof/>
        </w:rPr>
        <w:t xml:space="preserve">the </w:t>
      </w:r>
      <w:r w:rsidR="009748A6">
        <w:rPr>
          <w:noProof/>
        </w:rPr>
        <w:t xml:space="preserve">Directive, </w:t>
      </w:r>
      <w:bookmarkEnd w:id="1"/>
      <w:r w:rsidR="00B15594">
        <w:rPr>
          <w:noProof/>
        </w:rPr>
        <w:t xml:space="preserve">Member States should </w:t>
      </w:r>
      <w:r w:rsidR="009748A6">
        <w:rPr>
          <w:noProof/>
        </w:rPr>
        <w:t xml:space="preserve">establish </w:t>
      </w:r>
      <w:r w:rsidR="2CA92806">
        <w:rPr>
          <w:noProof/>
        </w:rPr>
        <w:t xml:space="preserve">sufficiently </w:t>
      </w:r>
      <w:r w:rsidR="00364C18">
        <w:rPr>
          <w:noProof/>
        </w:rPr>
        <w:t xml:space="preserve">short and </w:t>
      </w:r>
      <w:r w:rsidR="009748A6">
        <w:rPr>
          <w:noProof/>
        </w:rPr>
        <w:t>clear</w:t>
      </w:r>
      <w:r w:rsidR="00B15594">
        <w:rPr>
          <w:noProof/>
        </w:rPr>
        <w:t xml:space="preserve"> permit-granting procedures </w:t>
      </w:r>
      <w:r w:rsidR="009748A6">
        <w:rPr>
          <w:noProof/>
        </w:rPr>
        <w:t>for these innovative forms of deployment</w:t>
      </w:r>
      <w:r w:rsidR="00062ED6">
        <w:rPr>
          <w:noProof/>
        </w:rPr>
        <w:t xml:space="preserve"> and innovative renewable energy technologies</w:t>
      </w:r>
      <w:r w:rsidR="009748A6">
        <w:rPr>
          <w:noProof/>
        </w:rPr>
        <w:t xml:space="preserve">, including by specifying the required permits and technical </w:t>
      </w:r>
      <w:r w:rsidR="00B15594">
        <w:rPr>
          <w:noProof/>
        </w:rPr>
        <w:t>standards</w:t>
      </w:r>
      <w:r w:rsidR="009748A6">
        <w:rPr>
          <w:noProof/>
        </w:rPr>
        <w:t>.</w:t>
      </w:r>
    </w:p>
    <w:p w:rsidR="002072D1" w:rsidRDefault="00795C22" w:rsidP="00795C22">
      <w:pPr>
        <w:pStyle w:val="Point0"/>
        <w:rPr>
          <w:noProof/>
        </w:rPr>
      </w:pPr>
      <w:r w:rsidRPr="00795C22">
        <w:rPr>
          <w:noProof/>
        </w:rPr>
        <w:t>(8)</w:t>
      </w:r>
      <w:r w:rsidRPr="00795C22">
        <w:rPr>
          <w:noProof/>
        </w:rPr>
        <w:tab/>
      </w:r>
      <w:r w:rsidR="13FA3185">
        <w:rPr>
          <w:noProof/>
        </w:rPr>
        <w:t xml:space="preserve">Member States should </w:t>
      </w:r>
      <w:r w:rsidR="2740747B">
        <w:rPr>
          <w:noProof/>
        </w:rPr>
        <w:t xml:space="preserve">exploit </w:t>
      </w:r>
      <w:r w:rsidR="677823D5">
        <w:rPr>
          <w:noProof/>
        </w:rPr>
        <w:t>the synergies between innovative forms of deployment</w:t>
      </w:r>
      <w:r w:rsidR="2740747B">
        <w:rPr>
          <w:noProof/>
        </w:rPr>
        <w:t>,</w:t>
      </w:r>
      <w:r w:rsidR="0326537D">
        <w:rPr>
          <w:noProof/>
        </w:rPr>
        <w:t xml:space="preserve"> innovative renewable energy technologies </w:t>
      </w:r>
      <w:r w:rsidR="677823D5">
        <w:rPr>
          <w:noProof/>
        </w:rPr>
        <w:t xml:space="preserve">and </w:t>
      </w:r>
      <w:r w:rsidR="13FA3185">
        <w:rPr>
          <w:noProof/>
        </w:rPr>
        <w:t>renewables self-consumption</w:t>
      </w:r>
      <w:r w:rsidR="677823D5">
        <w:rPr>
          <w:noProof/>
        </w:rPr>
        <w:t>, including by clarifying the regulatory framework for renewables self-consumption when needed.</w:t>
      </w:r>
    </w:p>
    <w:p w:rsidR="00E14DF4" w:rsidRDefault="00795C22" w:rsidP="00795C22">
      <w:pPr>
        <w:pStyle w:val="Point0"/>
        <w:rPr>
          <w:noProof/>
        </w:rPr>
      </w:pPr>
      <w:r w:rsidRPr="00795C22">
        <w:rPr>
          <w:noProof/>
        </w:rPr>
        <w:t>(9)</w:t>
      </w:r>
      <w:r w:rsidRPr="00795C22">
        <w:rPr>
          <w:noProof/>
        </w:rPr>
        <w:tab/>
      </w:r>
      <w:r w:rsidR="00F02FE4">
        <w:rPr>
          <w:noProof/>
        </w:rPr>
        <w:t>Member States should facilitat</w:t>
      </w:r>
      <w:r w:rsidR="00364C18">
        <w:rPr>
          <w:noProof/>
        </w:rPr>
        <w:t>e</w:t>
      </w:r>
      <w:r w:rsidR="00F02FE4">
        <w:rPr>
          <w:noProof/>
        </w:rPr>
        <w:t xml:space="preserve"> </w:t>
      </w:r>
      <w:r w:rsidR="003C3FFE">
        <w:rPr>
          <w:noProof/>
        </w:rPr>
        <w:t xml:space="preserve">the </w:t>
      </w:r>
      <w:r w:rsidR="00364C18">
        <w:rPr>
          <w:noProof/>
        </w:rPr>
        <w:t xml:space="preserve">multiple </w:t>
      </w:r>
      <w:r w:rsidR="00F02FE4">
        <w:rPr>
          <w:noProof/>
        </w:rPr>
        <w:t xml:space="preserve">use of </w:t>
      </w:r>
      <w:r w:rsidR="00840EFE">
        <w:rPr>
          <w:noProof/>
        </w:rPr>
        <w:t>land</w:t>
      </w:r>
      <w:r w:rsidR="00F61C40">
        <w:rPr>
          <w:noProof/>
        </w:rPr>
        <w:t xml:space="preserve"> and sea</w:t>
      </w:r>
      <w:r w:rsidR="00F02FE4">
        <w:rPr>
          <w:noProof/>
        </w:rPr>
        <w:t>,</w:t>
      </w:r>
      <w:r w:rsidR="00364C18">
        <w:rPr>
          <w:noProof/>
        </w:rPr>
        <w:t xml:space="preserve"> including for renewable energy production, </w:t>
      </w:r>
      <w:r w:rsidR="004E02C7">
        <w:rPr>
          <w:noProof/>
        </w:rPr>
        <w:t xml:space="preserve">in particular </w:t>
      </w:r>
      <w:r w:rsidR="00364C18">
        <w:rPr>
          <w:noProof/>
        </w:rPr>
        <w:t xml:space="preserve">where this can bring </w:t>
      </w:r>
      <w:r w:rsidR="006F4A5D">
        <w:rPr>
          <w:noProof/>
        </w:rPr>
        <w:t xml:space="preserve">local </w:t>
      </w:r>
      <w:r w:rsidR="00364C18">
        <w:rPr>
          <w:noProof/>
        </w:rPr>
        <w:t>benefits,</w:t>
      </w:r>
      <w:r w:rsidR="00840EFE">
        <w:rPr>
          <w:noProof/>
        </w:rPr>
        <w:t xml:space="preserve"> </w:t>
      </w:r>
      <w:r w:rsidR="00364C18">
        <w:rPr>
          <w:noProof/>
        </w:rPr>
        <w:t xml:space="preserve">such as </w:t>
      </w:r>
      <w:r w:rsidR="00840EFE">
        <w:rPr>
          <w:noProof/>
        </w:rPr>
        <w:t>reducing the amount of land required for renewable energy</w:t>
      </w:r>
      <w:r w:rsidR="00364C18">
        <w:rPr>
          <w:noProof/>
        </w:rPr>
        <w:t>,</w:t>
      </w:r>
      <w:r w:rsidR="00840EFE">
        <w:rPr>
          <w:noProof/>
        </w:rPr>
        <w:t xml:space="preserve"> mitigating competition for land </w:t>
      </w:r>
      <w:r w:rsidR="00F61C40">
        <w:rPr>
          <w:noProof/>
        </w:rPr>
        <w:t xml:space="preserve">and sea </w:t>
      </w:r>
      <w:r w:rsidR="00840EFE">
        <w:rPr>
          <w:noProof/>
        </w:rPr>
        <w:t>use</w:t>
      </w:r>
      <w:r w:rsidR="00364C18">
        <w:rPr>
          <w:noProof/>
        </w:rPr>
        <w:t>,</w:t>
      </w:r>
      <w:r w:rsidR="00840EFE">
        <w:rPr>
          <w:noProof/>
        </w:rPr>
        <w:t xml:space="preserve"> synergies with </w:t>
      </w:r>
      <w:r w:rsidR="006D3F31">
        <w:rPr>
          <w:noProof/>
        </w:rPr>
        <w:t>o</w:t>
      </w:r>
      <w:r w:rsidR="00840EFE">
        <w:rPr>
          <w:noProof/>
        </w:rPr>
        <w:t>the</w:t>
      </w:r>
      <w:r w:rsidR="006D3F31">
        <w:rPr>
          <w:noProof/>
        </w:rPr>
        <w:t>r</w:t>
      </w:r>
      <w:r w:rsidR="00840EFE">
        <w:rPr>
          <w:noProof/>
        </w:rPr>
        <w:t xml:space="preserve"> land </w:t>
      </w:r>
      <w:r w:rsidR="00F61C40">
        <w:rPr>
          <w:noProof/>
        </w:rPr>
        <w:t xml:space="preserve">and sea </w:t>
      </w:r>
      <w:r w:rsidR="00840EFE">
        <w:rPr>
          <w:noProof/>
        </w:rPr>
        <w:t xml:space="preserve">uses and </w:t>
      </w:r>
      <w:r w:rsidR="006D3F31">
        <w:rPr>
          <w:noProof/>
        </w:rPr>
        <w:t>positive impacts o</w:t>
      </w:r>
      <w:r w:rsidR="00840EFE">
        <w:rPr>
          <w:noProof/>
        </w:rPr>
        <w:t xml:space="preserve">n </w:t>
      </w:r>
      <w:r w:rsidR="007C2AAC">
        <w:rPr>
          <w:noProof/>
        </w:rPr>
        <w:t xml:space="preserve">the </w:t>
      </w:r>
      <w:r w:rsidR="00840EFE">
        <w:rPr>
          <w:noProof/>
        </w:rPr>
        <w:t>public acceptance of renewable energy.</w:t>
      </w:r>
    </w:p>
    <w:p w:rsidR="00E56C63" w:rsidRPr="0093034F" w:rsidRDefault="00795C22" w:rsidP="00795C22">
      <w:pPr>
        <w:pStyle w:val="Point0"/>
        <w:rPr>
          <w:noProof/>
        </w:rPr>
      </w:pPr>
      <w:r w:rsidRPr="00795C22">
        <w:rPr>
          <w:noProof/>
        </w:rPr>
        <w:t>(10)</w:t>
      </w:r>
      <w:r w:rsidRPr="00795C22">
        <w:rPr>
          <w:noProof/>
        </w:rPr>
        <w:tab/>
      </w:r>
      <w:r w:rsidR="7940128A">
        <w:rPr>
          <w:noProof/>
        </w:rPr>
        <w:t>Where necessary</w:t>
      </w:r>
      <w:r w:rsidR="441567A7">
        <w:rPr>
          <w:noProof/>
        </w:rPr>
        <w:t>,</w:t>
      </w:r>
      <w:r w:rsidR="7940128A">
        <w:rPr>
          <w:noProof/>
        </w:rPr>
        <w:t xml:space="preserve"> </w:t>
      </w:r>
      <w:r w:rsidR="6BD0878F">
        <w:rPr>
          <w:noProof/>
        </w:rPr>
        <w:t xml:space="preserve">Member States </w:t>
      </w:r>
      <w:r w:rsidR="6BD0878F" w:rsidRPr="0093034F">
        <w:rPr>
          <w:noProof/>
        </w:rPr>
        <w:t xml:space="preserve">should </w:t>
      </w:r>
      <w:r w:rsidR="005B6954" w:rsidRPr="0093034F">
        <w:rPr>
          <w:noProof/>
        </w:rPr>
        <w:t>consider to</w:t>
      </w:r>
      <w:r w:rsidR="00620484" w:rsidRPr="0093034F">
        <w:rPr>
          <w:noProof/>
        </w:rPr>
        <w:t xml:space="preserve"> </w:t>
      </w:r>
      <w:r w:rsidR="6BD0878F" w:rsidRPr="0093034F">
        <w:rPr>
          <w:noProof/>
        </w:rPr>
        <w:t>amend national</w:t>
      </w:r>
      <w:r w:rsidR="2EAB03D9" w:rsidRPr="0093034F">
        <w:rPr>
          <w:noProof/>
        </w:rPr>
        <w:t xml:space="preserve"> or regional</w:t>
      </w:r>
      <w:r w:rsidR="6BD0878F" w:rsidRPr="0093034F">
        <w:rPr>
          <w:noProof/>
        </w:rPr>
        <w:t xml:space="preserve"> </w:t>
      </w:r>
      <w:r w:rsidR="7CD8E403" w:rsidRPr="0093034F">
        <w:rPr>
          <w:noProof/>
        </w:rPr>
        <w:t>l</w:t>
      </w:r>
      <w:r w:rsidR="6BD0878F" w:rsidRPr="0093034F">
        <w:rPr>
          <w:noProof/>
        </w:rPr>
        <w:t>egislation</w:t>
      </w:r>
      <w:r w:rsidR="0957851B" w:rsidRPr="0093034F">
        <w:rPr>
          <w:noProof/>
        </w:rPr>
        <w:t xml:space="preserve"> </w:t>
      </w:r>
      <w:r w:rsidR="6BD0878F" w:rsidRPr="0093034F">
        <w:rPr>
          <w:noProof/>
        </w:rPr>
        <w:t>that govern</w:t>
      </w:r>
      <w:r w:rsidR="77B35065" w:rsidRPr="0093034F">
        <w:rPr>
          <w:noProof/>
        </w:rPr>
        <w:t>s</w:t>
      </w:r>
      <w:r w:rsidR="6BD0878F" w:rsidRPr="0093034F">
        <w:rPr>
          <w:noProof/>
        </w:rPr>
        <w:t xml:space="preserve"> the locations where these innovative forms of deployment </w:t>
      </w:r>
      <w:r w:rsidR="0326537D" w:rsidRPr="0093034F">
        <w:rPr>
          <w:noProof/>
        </w:rPr>
        <w:t xml:space="preserve">and innovative renewable energy technologies </w:t>
      </w:r>
      <w:r w:rsidR="3725D797" w:rsidRPr="0093034F">
        <w:rPr>
          <w:noProof/>
        </w:rPr>
        <w:t xml:space="preserve">could </w:t>
      </w:r>
      <w:r w:rsidR="6BD0878F" w:rsidRPr="0093034F">
        <w:rPr>
          <w:noProof/>
        </w:rPr>
        <w:t xml:space="preserve">be deployed to </w:t>
      </w:r>
      <w:r w:rsidR="05A523A3" w:rsidRPr="0093034F">
        <w:rPr>
          <w:noProof/>
        </w:rPr>
        <w:t xml:space="preserve">make </w:t>
      </w:r>
      <w:r w:rsidR="46A3F5AA" w:rsidRPr="0093034F">
        <w:rPr>
          <w:noProof/>
        </w:rPr>
        <w:t>that deployment</w:t>
      </w:r>
      <w:r w:rsidR="05A523A3" w:rsidRPr="0093034F">
        <w:rPr>
          <w:noProof/>
        </w:rPr>
        <w:t xml:space="preserve"> possibl</w:t>
      </w:r>
      <w:r w:rsidR="00C912D5" w:rsidRPr="0093034F">
        <w:rPr>
          <w:noProof/>
        </w:rPr>
        <w:t>e</w:t>
      </w:r>
      <w:r w:rsidR="7021AC80" w:rsidRPr="0093034F">
        <w:rPr>
          <w:noProof/>
        </w:rPr>
        <w:t>, taking into account local specificities and</w:t>
      </w:r>
      <w:r w:rsidR="7C546027" w:rsidRPr="0093034F">
        <w:rPr>
          <w:noProof/>
        </w:rPr>
        <w:t xml:space="preserve"> </w:t>
      </w:r>
      <w:r w:rsidR="3B4B9553" w:rsidRPr="0093034F">
        <w:rPr>
          <w:noProof/>
        </w:rPr>
        <w:t xml:space="preserve">system </w:t>
      </w:r>
      <w:r w:rsidR="7021AC80" w:rsidRPr="0093034F">
        <w:rPr>
          <w:noProof/>
        </w:rPr>
        <w:t>needs</w:t>
      </w:r>
      <w:r w:rsidR="005B6954" w:rsidRPr="0093034F">
        <w:rPr>
          <w:noProof/>
        </w:rPr>
        <w:t xml:space="preserve">, </w:t>
      </w:r>
      <w:r w:rsidR="00620484" w:rsidRPr="0093034F">
        <w:rPr>
          <w:noProof/>
        </w:rPr>
        <w:t>r</w:t>
      </w:r>
      <w:r w:rsidR="005B6954" w:rsidRPr="0093034F">
        <w:rPr>
          <w:noProof/>
        </w:rPr>
        <w:t>especting EU environmental acquis and the principles of Do No Significant Harm in a cost-effective manner</w:t>
      </w:r>
      <w:r w:rsidR="6BD0878F" w:rsidRPr="0093034F">
        <w:rPr>
          <w:noProof/>
        </w:rPr>
        <w:t>.</w:t>
      </w:r>
    </w:p>
    <w:p w:rsidR="008E275D" w:rsidRPr="00091C77" w:rsidRDefault="00795C22" w:rsidP="00795C22">
      <w:pPr>
        <w:pStyle w:val="Point0"/>
        <w:rPr>
          <w:noProof/>
        </w:rPr>
      </w:pPr>
      <w:r w:rsidRPr="00795C22">
        <w:rPr>
          <w:noProof/>
        </w:rPr>
        <w:t>(11)</w:t>
      </w:r>
      <w:r w:rsidRPr="00795C22">
        <w:rPr>
          <w:noProof/>
        </w:rPr>
        <w:tab/>
      </w:r>
      <w:r w:rsidR="008E275D">
        <w:rPr>
          <w:noProof/>
        </w:rPr>
        <w:t>Member States adopting maritime spatial plans should consider designating maritime areas for specific renewable energy technologies or innovative renewable energy technologies</w:t>
      </w:r>
      <w:r w:rsidR="008F6ED9">
        <w:rPr>
          <w:noProof/>
        </w:rPr>
        <w:t xml:space="preserve"> or both</w:t>
      </w:r>
      <w:r w:rsidR="008E275D">
        <w:rPr>
          <w:noProof/>
        </w:rPr>
        <w:t xml:space="preserve">, including floating </w:t>
      </w:r>
      <w:r w:rsidR="00874A8F">
        <w:rPr>
          <w:noProof/>
        </w:rPr>
        <w:t xml:space="preserve">offshore </w:t>
      </w:r>
      <w:r w:rsidR="008E275D">
        <w:rPr>
          <w:noProof/>
        </w:rPr>
        <w:t xml:space="preserve">wind, ocean energy and </w:t>
      </w:r>
      <w:r w:rsidR="00874A8F">
        <w:rPr>
          <w:noProof/>
        </w:rPr>
        <w:t xml:space="preserve">floating </w:t>
      </w:r>
      <w:r w:rsidR="008E275D">
        <w:rPr>
          <w:noProof/>
        </w:rPr>
        <w:t>offshore</w:t>
      </w:r>
      <w:r w:rsidR="004628B4">
        <w:rPr>
          <w:noProof/>
        </w:rPr>
        <w:t xml:space="preserve"> </w:t>
      </w:r>
      <w:r w:rsidR="5D6991D4">
        <w:rPr>
          <w:noProof/>
        </w:rPr>
        <w:t>solar</w:t>
      </w:r>
      <w:r w:rsidR="008E275D">
        <w:rPr>
          <w:noProof/>
        </w:rPr>
        <w:t xml:space="preserve">, while </w:t>
      </w:r>
      <w:r w:rsidR="003C3FFE">
        <w:rPr>
          <w:noProof/>
        </w:rPr>
        <w:t>considering</w:t>
      </w:r>
      <w:r w:rsidR="008E275D">
        <w:rPr>
          <w:noProof/>
        </w:rPr>
        <w:t xml:space="preserve"> the potential for synergies between technologies.</w:t>
      </w:r>
    </w:p>
    <w:p w:rsidR="00E14DF4" w:rsidRDefault="00795C22" w:rsidP="00795C22">
      <w:pPr>
        <w:pStyle w:val="Point0"/>
        <w:rPr>
          <w:noProof/>
        </w:rPr>
      </w:pPr>
      <w:r w:rsidRPr="00795C22">
        <w:rPr>
          <w:noProof/>
        </w:rPr>
        <w:t>(12)</w:t>
      </w:r>
      <w:r w:rsidRPr="00795C22">
        <w:rPr>
          <w:noProof/>
        </w:rPr>
        <w:tab/>
      </w:r>
      <w:r w:rsidR="407BF2AC">
        <w:rPr>
          <w:noProof/>
        </w:rPr>
        <w:t>When implementing the recommendations under points (</w:t>
      </w:r>
      <w:r w:rsidR="005A5A43">
        <w:rPr>
          <w:noProof/>
        </w:rPr>
        <w:t>5</w:t>
      </w:r>
      <w:r w:rsidR="407BF2AC">
        <w:rPr>
          <w:noProof/>
        </w:rPr>
        <w:t>) to (</w:t>
      </w:r>
      <w:r w:rsidR="005A5A43">
        <w:rPr>
          <w:noProof/>
        </w:rPr>
        <w:t>11</w:t>
      </w:r>
      <w:r w:rsidR="407BF2AC">
        <w:rPr>
          <w:noProof/>
        </w:rPr>
        <w:t xml:space="preserve">), Member States are encouraged to take into account the practices </w:t>
      </w:r>
      <w:r w:rsidR="2C27237F">
        <w:rPr>
          <w:noProof/>
        </w:rPr>
        <w:t xml:space="preserve">on innovative renewable energy technologies and forms of deployment </w:t>
      </w:r>
      <w:r w:rsidR="407BF2AC">
        <w:rPr>
          <w:noProof/>
        </w:rPr>
        <w:t xml:space="preserve">described in </w:t>
      </w:r>
      <w:r w:rsidR="00D965E2">
        <w:rPr>
          <w:noProof/>
        </w:rPr>
        <w:t>S</w:t>
      </w:r>
      <w:r w:rsidR="407BF2AC">
        <w:rPr>
          <w:noProof/>
        </w:rPr>
        <w:t xml:space="preserve">ection 2 of the </w:t>
      </w:r>
      <w:r w:rsidR="665AE487">
        <w:rPr>
          <w:noProof/>
        </w:rPr>
        <w:t>Commission Notice</w:t>
      </w:r>
      <w:r w:rsidR="4A26461F">
        <w:rPr>
          <w:noProof/>
        </w:rPr>
        <w:t xml:space="preserve"> on innovative technologies and forms of renewable energy deployment</w:t>
      </w:r>
      <w:r w:rsidR="38C2176D">
        <w:rPr>
          <w:noProof/>
        </w:rPr>
        <w:t xml:space="preserve"> adopted by the Commission on the same day as the Recommendation</w:t>
      </w:r>
      <w:r w:rsidR="00E14DF4" w:rsidRPr="007EC0CE">
        <w:rPr>
          <w:rStyle w:val="FootnoteReference"/>
          <w:noProof/>
        </w:rPr>
        <w:footnoteReference w:id="7"/>
      </w:r>
      <w:r w:rsidR="13DE4B66">
        <w:rPr>
          <w:noProof/>
        </w:rPr>
        <w:t>.</w:t>
      </w:r>
    </w:p>
    <w:p w:rsidR="00C01052" w:rsidRDefault="00C01052" w:rsidP="00AC3141">
      <w:pPr>
        <w:pStyle w:val="Titrearticle"/>
        <w:rPr>
          <w:noProof/>
        </w:rPr>
      </w:pPr>
      <w:r w:rsidRPr="00091C77">
        <w:rPr>
          <w:noProof/>
        </w:rPr>
        <w:t>FASTER PROCEDURES</w:t>
      </w:r>
      <w:r w:rsidR="003B4D87" w:rsidRPr="00091C77">
        <w:rPr>
          <w:noProof/>
        </w:rPr>
        <w:t xml:space="preserve"> </w:t>
      </w:r>
      <w:r w:rsidR="005D720F" w:rsidRPr="00091C77">
        <w:rPr>
          <w:noProof/>
        </w:rPr>
        <w:t>FOR</w:t>
      </w:r>
      <w:r w:rsidR="00FE0287" w:rsidRPr="00091C77">
        <w:rPr>
          <w:noProof/>
        </w:rPr>
        <w:t xml:space="preserve"> </w:t>
      </w:r>
      <w:r w:rsidR="003B4D87" w:rsidRPr="00091C77">
        <w:rPr>
          <w:noProof/>
        </w:rPr>
        <w:t>GRIDS AND STORAGE ROLL</w:t>
      </w:r>
      <w:r w:rsidR="009C04FD" w:rsidRPr="00091C77">
        <w:rPr>
          <w:noProof/>
        </w:rPr>
        <w:t>-</w:t>
      </w:r>
      <w:r w:rsidR="003B4D87" w:rsidRPr="00091C77">
        <w:rPr>
          <w:noProof/>
        </w:rPr>
        <w:t>OUT</w:t>
      </w:r>
    </w:p>
    <w:p w:rsidR="00A55583" w:rsidRDefault="00795C22" w:rsidP="00795C22">
      <w:pPr>
        <w:pStyle w:val="Point0"/>
        <w:rPr>
          <w:noProof/>
        </w:rPr>
      </w:pPr>
      <w:r w:rsidRPr="00795C22">
        <w:rPr>
          <w:noProof/>
        </w:rPr>
        <w:t>(13)</w:t>
      </w:r>
      <w:r w:rsidRPr="00795C22">
        <w:rPr>
          <w:noProof/>
        </w:rPr>
        <w:tab/>
      </w:r>
      <w:r w:rsidR="00B14D5B">
        <w:rPr>
          <w:noProof/>
        </w:rPr>
        <w:t xml:space="preserve">As regards </w:t>
      </w:r>
      <w:bookmarkStart w:id="2" w:name="_Hlk196941724"/>
      <w:r w:rsidR="00B14D5B" w:rsidRPr="00B14D5B">
        <w:rPr>
          <w:noProof/>
        </w:rPr>
        <w:t>grid and storage infrastructure</w:t>
      </w:r>
      <w:bookmarkEnd w:id="2"/>
      <w:r w:rsidR="00E118A3">
        <w:rPr>
          <w:noProof/>
        </w:rPr>
        <w:t xml:space="preserve"> necessary </w:t>
      </w:r>
      <w:r w:rsidR="003C3FFE">
        <w:rPr>
          <w:noProof/>
        </w:rPr>
        <w:t>for</w:t>
      </w:r>
      <w:r w:rsidR="003C3FFE" w:rsidRPr="00D965E2">
        <w:rPr>
          <w:noProof/>
        </w:rPr>
        <w:t xml:space="preserve"> </w:t>
      </w:r>
      <w:r w:rsidR="00E118A3" w:rsidRPr="00D965E2">
        <w:rPr>
          <w:noProof/>
        </w:rPr>
        <w:t>integrat</w:t>
      </w:r>
      <w:r w:rsidR="003C3FFE">
        <w:rPr>
          <w:noProof/>
        </w:rPr>
        <w:t>ing</w:t>
      </w:r>
      <w:r w:rsidR="00E118A3">
        <w:rPr>
          <w:noProof/>
        </w:rPr>
        <w:t xml:space="preserve"> renewable </w:t>
      </w:r>
      <w:r w:rsidR="00AD0460">
        <w:rPr>
          <w:noProof/>
        </w:rPr>
        <w:t>energy</w:t>
      </w:r>
      <w:r w:rsidR="00481E0E">
        <w:rPr>
          <w:noProof/>
        </w:rPr>
        <w:t xml:space="preserve"> </w:t>
      </w:r>
      <w:r w:rsidR="00E118A3">
        <w:rPr>
          <w:noProof/>
        </w:rPr>
        <w:t>into the electricity system</w:t>
      </w:r>
      <w:r w:rsidR="00B14D5B">
        <w:rPr>
          <w:noProof/>
        </w:rPr>
        <w:t>,</w:t>
      </w:r>
      <w:r w:rsidR="00B14D5B" w:rsidRPr="00B14D5B">
        <w:rPr>
          <w:noProof/>
        </w:rPr>
        <w:t xml:space="preserve"> </w:t>
      </w:r>
      <w:r w:rsidR="00F16E92">
        <w:rPr>
          <w:noProof/>
        </w:rPr>
        <w:t xml:space="preserve">Member States </w:t>
      </w:r>
      <w:r w:rsidR="00A55583">
        <w:rPr>
          <w:noProof/>
        </w:rPr>
        <w:t xml:space="preserve">should </w:t>
      </w:r>
      <w:r w:rsidR="00330EE9">
        <w:rPr>
          <w:noProof/>
        </w:rPr>
        <w:t>s</w:t>
      </w:r>
      <w:r w:rsidR="003340A6">
        <w:rPr>
          <w:noProof/>
        </w:rPr>
        <w:t>et</w:t>
      </w:r>
      <w:r w:rsidR="00B14D5B">
        <w:rPr>
          <w:noProof/>
        </w:rPr>
        <w:t xml:space="preserve"> </w:t>
      </w:r>
      <w:r w:rsidR="003340A6">
        <w:rPr>
          <w:noProof/>
        </w:rPr>
        <w:t>up</w:t>
      </w:r>
      <w:r w:rsidR="00330EE9">
        <w:rPr>
          <w:noProof/>
        </w:rPr>
        <w:t xml:space="preserve"> </w:t>
      </w:r>
      <w:r w:rsidR="006F1359">
        <w:rPr>
          <w:noProof/>
        </w:rPr>
        <w:t xml:space="preserve">dedicated </w:t>
      </w:r>
      <w:r w:rsidR="006F38D2">
        <w:rPr>
          <w:noProof/>
        </w:rPr>
        <w:t xml:space="preserve">infrastructure </w:t>
      </w:r>
      <w:r w:rsidR="00641AF8">
        <w:rPr>
          <w:noProof/>
        </w:rPr>
        <w:t>areas in line with</w:t>
      </w:r>
      <w:r w:rsidR="00641AF8" w:rsidRPr="00D965E2">
        <w:rPr>
          <w:noProof/>
        </w:rPr>
        <w:t xml:space="preserve"> </w:t>
      </w:r>
      <w:r w:rsidR="00641AF8">
        <w:rPr>
          <w:noProof/>
        </w:rPr>
        <w:t>Article</w:t>
      </w:r>
      <w:r w:rsidR="00B14D5B">
        <w:rPr>
          <w:noProof/>
        </w:rPr>
        <w:t xml:space="preserve"> </w:t>
      </w:r>
      <w:r w:rsidR="00641AF8">
        <w:rPr>
          <w:noProof/>
        </w:rPr>
        <w:t xml:space="preserve">15e of </w:t>
      </w:r>
      <w:r w:rsidR="00B14D5B">
        <w:rPr>
          <w:noProof/>
        </w:rPr>
        <w:t xml:space="preserve">the </w:t>
      </w:r>
      <w:r w:rsidR="00641AF8">
        <w:rPr>
          <w:noProof/>
        </w:rPr>
        <w:t xml:space="preserve">Directive to </w:t>
      </w:r>
      <w:r w:rsidR="00A55583">
        <w:rPr>
          <w:noProof/>
        </w:rPr>
        <w:t xml:space="preserve">make best use of the permitting </w:t>
      </w:r>
      <w:r w:rsidR="00FC2558">
        <w:rPr>
          <w:noProof/>
        </w:rPr>
        <w:t xml:space="preserve">opportunities for boosting </w:t>
      </w:r>
      <w:r w:rsidR="100206D7">
        <w:rPr>
          <w:noProof/>
        </w:rPr>
        <w:t xml:space="preserve">electricity </w:t>
      </w:r>
      <w:r w:rsidR="00A55583">
        <w:rPr>
          <w:noProof/>
        </w:rPr>
        <w:t>grid and storage infrastructure.</w:t>
      </w:r>
    </w:p>
    <w:p w:rsidR="00F16E92" w:rsidRDefault="00795C22" w:rsidP="00795C22">
      <w:pPr>
        <w:pStyle w:val="Point0"/>
        <w:rPr>
          <w:noProof/>
        </w:rPr>
      </w:pPr>
      <w:r w:rsidRPr="00795C22">
        <w:rPr>
          <w:noProof/>
        </w:rPr>
        <w:t>(14)</w:t>
      </w:r>
      <w:r w:rsidRPr="00795C22">
        <w:rPr>
          <w:noProof/>
        </w:rPr>
        <w:tab/>
      </w:r>
      <w:r w:rsidR="00A55583">
        <w:rPr>
          <w:noProof/>
        </w:rPr>
        <w:t xml:space="preserve">Member States </w:t>
      </w:r>
      <w:r w:rsidR="00F16E92">
        <w:rPr>
          <w:noProof/>
        </w:rPr>
        <w:t xml:space="preserve">should </w:t>
      </w:r>
      <w:r w:rsidR="00E118A3">
        <w:rPr>
          <w:noProof/>
        </w:rPr>
        <w:t xml:space="preserve">swiftly </w:t>
      </w:r>
      <w:r w:rsidR="00F16E92">
        <w:rPr>
          <w:noProof/>
        </w:rPr>
        <w:t>adopt</w:t>
      </w:r>
      <w:r w:rsidR="00A55583">
        <w:rPr>
          <w:noProof/>
        </w:rPr>
        <w:t xml:space="preserve"> </w:t>
      </w:r>
      <w:r w:rsidR="00FC2558">
        <w:rPr>
          <w:noProof/>
        </w:rPr>
        <w:t>specific</w:t>
      </w:r>
      <w:r w:rsidR="00FC2558" w:rsidRPr="00D965E2">
        <w:rPr>
          <w:noProof/>
        </w:rPr>
        <w:t xml:space="preserve"> </w:t>
      </w:r>
      <w:r w:rsidR="00F16E92" w:rsidRPr="00F16E92">
        <w:rPr>
          <w:noProof/>
        </w:rPr>
        <w:t xml:space="preserve">plans to designate </w:t>
      </w:r>
      <w:bookmarkStart w:id="3" w:name="_Hlk196841800"/>
      <w:r w:rsidR="00F16E92" w:rsidRPr="00F16E92">
        <w:rPr>
          <w:noProof/>
        </w:rPr>
        <w:t>dedicated infrastructure areas for the development of grid and storage projects</w:t>
      </w:r>
      <w:bookmarkEnd w:id="3"/>
      <w:r w:rsidR="00E118A3">
        <w:rPr>
          <w:noProof/>
        </w:rPr>
        <w:t xml:space="preserve"> in </w:t>
      </w:r>
      <w:r w:rsidR="00FC2558">
        <w:rPr>
          <w:noProof/>
        </w:rPr>
        <w:t>line</w:t>
      </w:r>
      <w:r w:rsidR="00FC2558" w:rsidRPr="00D965E2">
        <w:rPr>
          <w:noProof/>
        </w:rPr>
        <w:t xml:space="preserve"> </w:t>
      </w:r>
      <w:r w:rsidR="00E118A3">
        <w:rPr>
          <w:noProof/>
        </w:rPr>
        <w:t>with</w:t>
      </w:r>
      <w:r w:rsidR="00F16E92">
        <w:rPr>
          <w:noProof/>
        </w:rPr>
        <w:t xml:space="preserve"> </w:t>
      </w:r>
      <w:r w:rsidR="00B14D5B">
        <w:rPr>
          <w:noProof/>
        </w:rPr>
        <w:t>A</w:t>
      </w:r>
      <w:r w:rsidR="00F16E92">
        <w:rPr>
          <w:noProof/>
        </w:rPr>
        <w:t>rticle15e of</w:t>
      </w:r>
      <w:r w:rsidR="00F16E92" w:rsidRPr="00F16E92">
        <w:rPr>
          <w:noProof/>
        </w:rPr>
        <w:t xml:space="preserve"> </w:t>
      </w:r>
      <w:r w:rsidR="00A55583">
        <w:rPr>
          <w:noProof/>
        </w:rPr>
        <w:t>the D</w:t>
      </w:r>
      <w:r w:rsidR="008F464D">
        <w:rPr>
          <w:noProof/>
        </w:rPr>
        <w:t>irective</w:t>
      </w:r>
      <w:r w:rsidR="00F16E92">
        <w:rPr>
          <w:noProof/>
        </w:rPr>
        <w:t>.</w:t>
      </w:r>
    </w:p>
    <w:p w:rsidR="00F16E92" w:rsidRDefault="00795C22" w:rsidP="00795C22">
      <w:pPr>
        <w:pStyle w:val="Point0"/>
        <w:rPr>
          <w:noProof/>
        </w:rPr>
      </w:pPr>
      <w:r w:rsidRPr="00795C22">
        <w:rPr>
          <w:noProof/>
        </w:rPr>
        <w:t>(15)</w:t>
      </w:r>
      <w:r w:rsidRPr="00795C22">
        <w:rPr>
          <w:noProof/>
        </w:rPr>
        <w:tab/>
      </w:r>
      <w:r w:rsidR="00C22F45">
        <w:rPr>
          <w:noProof/>
        </w:rPr>
        <w:t xml:space="preserve">When designating </w:t>
      </w:r>
      <w:r w:rsidR="00A55583">
        <w:rPr>
          <w:noProof/>
        </w:rPr>
        <w:t>such areas</w:t>
      </w:r>
      <w:r w:rsidR="00C22F45">
        <w:rPr>
          <w:noProof/>
        </w:rPr>
        <w:t xml:space="preserve">, </w:t>
      </w:r>
      <w:r w:rsidR="00F16E92">
        <w:rPr>
          <w:noProof/>
        </w:rPr>
        <w:t xml:space="preserve">Member </w:t>
      </w:r>
      <w:r w:rsidR="00C22F45">
        <w:rPr>
          <w:noProof/>
        </w:rPr>
        <w:t>S</w:t>
      </w:r>
      <w:r w:rsidR="00F16E92">
        <w:rPr>
          <w:noProof/>
        </w:rPr>
        <w:t xml:space="preserve">tates should </w:t>
      </w:r>
      <w:r w:rsidR="000B03A7">
        <w:rPr>
          <w:noProof/>
        </w:rPr>
        <w:t xml:space="preserve">cooperate with system operators </w:t>
      </w:r>
      <w:r w:rsidR="00C14185">
        <w:rPr>
          <w:noProof/>
        </w:rPr>
        <w:t xml:space="preserve">to consider the needs of the electricity system and </w:t>
      </w:r>
      <w:r w:rsidR="008C3154">
        <w:rPr>
          <w:noProof/>
        </w:rPr>
        <w:t>ensure synergies</w:t>
      </w:r>
      <w:r w:rsidR="0053330C">
        <w:rPr>
          <w:noProof/>
        </w:rPr>
        <w:t xml:space="preserve"> with</w:t>
      </w:r>
      <w:r w:rsidR="00F16E92">
        <w:rPr>
          <w:noProof/>
        </w:rPr>
        <w:t xml:space="preserve"> exi</w:t>
      </w:r>
      <w:r w:rsidR="00BB44AB">
        <w:rPr>
          <w:noProof/>
        </w:rPr>
        <w:t>s</w:t>
      </w:r>
      <w:r w:rsidR="00F16E92">
        <w:rPr>
          <w:noProof/>
        </w:rPr>
        <w:t>ting plans</w:t>
      </w:r>
      <w:r w:rsidR="00C14185">
        <w:rPr>
          <w:noProof/>
        </w:rPr>
        <w:t xml:space="preserve">, assessments and </w:t>
      </w:r>
      <w:r w:rsidR="00F16E92">
        <w:rPr>
          <w:noProof/>
        </w:rPr>
        <w:t xml:space="preserve">areas already identified </w:t>
      </w:r>
      <w:r w:rsidR="00C14185">
        <w:rPr>
          <w:noProof/>
        </w:rPr>
        <w:t>under</w:t>
      </w:r>
      <w:r w:rsidR="00F16E92">
        <w:rPr>
          <w:noProof/>
        </w:rPr>
        <w:t xml:space="preserve"> other processes</w:t>
      </w:r>
      <w:r w:rsidR="00FC2558">
        <w:rPr>
          <w:noProof/>
        </w:rPr>
        <w:t>. These may include</w:t>
      </w:r>
      <w:r w:rsidR="00F67E74">
        <w:rPr>
          <w:noProof/>
        </w:rPr>
        <w:t xml:space="preserve"> network development plans,</w:t>
      </w:r>
      <w:r w:rsidR="00F16E92">
        <w:rPr>
          <w:noProof/>
        </w:rPr>
        <w:t xml:space="preserve"> national energy and climate plans, </w:t>
      </w:r>
      <w:r w:rsidR="1CD5E9C0">
        <w:rPr>
          <w:noProof/>
        </w:rPr>
        <w:t xml:space="preserve">national air pollution control programmes, </w:t>
      </w:r>
      <w:r w:rsidR="00F16E92">
        <w:rPr>
          <w:noProof/>
        </w:rPr>
        <w:t>maritime spatial plans</w:t>
      </w:r>
      <w:r w:rsidR="00F67E74">
        <w:rPr>
          <w:noProof/>
        </w:rPr>
        <w:t>,</w:t>
      </w:r>
      <w:r w:rsidR="001C05C6" w:rsidRPr="001C05C6">
        <w:rPr>
          <w:noProof/>
        </w:rPr>
        <w:t xml:space="preserve"> </w:t>
      </w:r>
      <w:r w:rsidR="001C05C6">
        <w:rPr>
          <w:noProof/>
        </w:rPr>
        <w:t>f</w:t>
      </w:r>
      <w:r w:rsidR="001C05C6" w:rsidRPr="001C05C6">
        <w:rPr>
          <w:noProof/>
        </w:rPr>
        <w:t xml:space="preserve">lexibility </w:t>
      </w:r>
      <w:r w:rsidR="001C05C6">
        <w:rPr>
          <w:noProof/>
        </w:rPr>
        <w:t>n</w:t>
      </w:r>
      <w:r w:rsidR="001C05C6" w:rsidRPr="001C05C6">
        <w:rPr>
          <w:noProof/>
        </w:rPr>
        <w:t xml:space="preserve">eeds </w:t>
      </w:r>
      <w:r w:rsidR="00534C73" w:rsidRPr="001C05C6">
        <w:rPr>
          <w:noProof/>
        </w:rPr>
        <w:t>assessments</w:t>
      </w:r>
      <w:r w:rsidR="00947092" w:rsidRPr="001C05C6">
        <w:rPr>
          <w:noProof/>
        </w:rPr>
        <w:t xml:space="preserve"> </w:t>
      </w:r>
      <w:r w:rsidR="00FC2558">
        <w:rPr>
          <w:noProof/>
        </w:rPr>
        <w:t xml:space="preserve">and </w:t>
      </w:r>
      <w:r w:rsidR="00A55583">
        <w:rPr>
          <w:noProof/>
        </w:rPr>
        <w:t xml:space="preserve">the mapping performed in </w:t>
      </w:r>
      <w:r w:rsidR="00FC2558">
        <w:rPr>
          <w:noProof/>
        </w:rPr>
        <w:t>line</w:t>
      </w:r>
      <w:r w:rsidR="00FC2558" w:rsidRPr="00D965E2">
        <w:rPr>
          <w:noProof/>
        </w:rPr>
        <w:t xml:space="preserve"> </w:t>
      </w:r>
      <w:r w:rsidR="00A55583">
        <w:rPr>
          <w:noProof/>
        </w:rPr>
        <w:t xml:space="preserve">with </w:t>
      </w:r>
      <w:r w:rsidR="0022507A">
        <w:rPr>
          <w:noProof/>
        </w:rPr>
        <w:t xml:space="preserve">the designation of renewables acceleration areas and </w:t>
      </w:r>
      <w:r w:rsidR="00A55583">
        <w:rPr>
          <w:noProof/>
        </w:rPr>
        <w:t>Article</w:t>
      </w:r>
      <w:r w:rsidR="00C22F45">
        <w:rPr>
          <w:noProof/>
        </w:rPr>
        <w:t xml:space="preserve"> </w:t>
      </w:r>
      <w:r w:rsidR="00A55583">
        <w:rPr>
          <w:noProof/>
        </w:rPr>
        <w:t>15b of the D</w:t>
      </w:r>
      <w:r w:rsidR="008F464D">
        <w:rPr>
          <w:noProof/>
        </w:rPr>
        <w:t>irective</w:t>
      </w:r>
      <w:r w:rsidR="00F16E92">
        <w:rPr>
          <w:noProof/>
        </w:rPr>
        <w:t>.</w:t>
      </w:r>
    </w:p>
    <w:p w:rsidR="00E8796E" w:rsidRPr="0093034F" w:rsidRDefault="00795C22" w:rsidP="00795C22">
      <w:pPr>
        <w:pStyle w:val="Point0"/>
        <w:rPr>
          <w:noProof/>
        </w:rPr>
      </w:pPr>
      <w:bookmarkStart w:id="4" w:name="_Hlk200957151"/>
      <w:r w:rsidRPr="00795C22">
        <w:rPr>
          <w:noProof/>
        </w:rPr>
        <w:t>(16)</w:t>
      </w:r>
      <w:r w:rsidRPr="00795C22">
        <w:rPr>
          <w:noProof/>
        </w:rPr>
        <w:tab/>
      </w:r>
      <w:r w:rsidR="00E8796E" w:rsidRPr="0093034F">
        <w:rPr>
          <w:noProof/>
        </w:rPr>
        <w:t>To accelerate the roll</w:t>
      </w:r>
      <w:r w:rsidR="00E8796E">
        <w:rPr>
          <w:noProof/>
        </w:rPr>
        <w:t>-</w:t>
      </w:r>
      <w:r w:rsidR="00E8796E" w:rsidRPr="0093034F">
        <w:rPr>
          <w:noProof/>
        </w:rPr>
        <w:t>out of cross-border infrastructure in particular in view of completing the Energy Union, Member States should closely work together in the definition of grids and storage areas nearing their borders that may fall under Article 15e, a</w:t>
      </w:r>
      <w:r w:rsidR="00620484" w:rsidRPr="0093034F">
        <w:rPr>
          <w:noProof/>
        </w:rPr>
        <w:t>n</w:t>
      </w:r>
      <w:r w:rsidR="00E8796E" w:rsidRPr="0093034F">
        <w:rPr>
          <w:noProof/>
        </w:rPr>
        <w:t>d coordinate the relevant stakeholder consultation, the mitigation rulebook and possible compensation measures applicable in case of significant environmental impacts in these areas that cannot be avoided.</w:t>
      </w:r>
    </w:p>
    <w:bookmarkEnd w:id="4"/>
    <w:p w:rsidR="00F16E92" w:rsidRDefault="00795C22" w:rsidP="00795C22">
      <w:pPr>
        <w:pStyle w:val="Point0"/>
        <w:rPr>
          <w:noProof/>
        </w:rPr>
      </w:pPr>
      <w:r w:rsidRPr="00795C22">
        <w:rPr>
          <w:noProof/>
        </w:rPr>
        <w:t>(17)</w:t>
      </w:r>
      <w:r w:rsidRPr="00795C22">
        <w:rPr>
          <w:noProof/>
        </w:rPr>
        <w:tab/>
      </w:r>
      <w:r w:rsidR="00FF14F1">
        <w:rPr>
          <w:noProof/>
        </w:rPr>
        <w:t xml:space="preserve">Where </w:t>
      </w:r>
      <w:r w:rsidR="00A5529A">
        <w:rPr>
          <w:noProof/>
        </w:rPr>
        <w:t xml:space="preserve">significant environmental impacts expected from the construction and operation of the projects in these areas </w:t>
      </w:r>
      <w:r w:rsidR="006F4362">
        <w:rPr>
          <w:noProof/>
        </w:rPr>
        <w:t>cannot be avoided,</w:t>
      </w:r>
      <w:r w:rsidR="0088231D">
        <w:rPr>
          <w:noProof/>
        </w:rPr>
        <w:t xml:space="preserve"> such impact should be duly mitigated or, where not possible, compensated for.</w:t>
      </w:r>
      <w:r w:rsidR="00C912D5">
        <w:rPr>
          <w:noProof/>
        </w:rPr>
        <w:t xml:space="preserve"> </w:t>
      </w:r>
      <w:r w:rsidR="00F16E92">
        <w:rPr>
          <w:noProof/>
        </w:rPr>
        <w:t xml:space="preserve">Member </w:t>
      </w:r>
      <w:r w:rsidR="00A55583">
        <w:rPr>
          <w:noProof/>
        </w:rPr>
        <w:t>S</w:t>
      </w:r>
      <w:r w:rsidR="00F16E92">
        <w:rPr>
          <w:noProof/>
        </w:rPr>
        <w:t xml:space="preserve">tates </w:t>
      </w:r>
      <w:r w:rsidR="4249BEB7">
        <w:rPr>
          <w:noProof/>
        </w:rPr>
        <w:t xml:space="preserve">shall comply with the respective provisions of </w:t>
      </w:r>
      <w:r w:rsidR="5EF7A365">
        <w:rPr>
          <w:noProof/>
        </w:rPr>
        <w:t xml:space="preserve">Article 15e of </w:t>
      </w:r>
      <w:r w:rsidR="4249BEB7">
        <w:rPr>
          <w:noProof/>
        </w:rPr>
        <w:t xml:space="preserve">the Directive </w:t>
      </w:r>
      <w:r w:rsidR="005FA616">
        <w:rPr>
          <w:noProof/>
        </w:rPr>
        <w:t xml:space="preserve">with view to </w:t>
      </w:r>
      <w:r w:rsidR="23A5C66B">
        <w:rPr>
          <w:noProof/>
        </w:rPr>
        <w:t xml:space="preserve">avoid or </w:t>
      </w:r>
      <w:r w:rsidR="30A4A7A5">
        <w:rPr>
          <w:noProof/>
        </w:rPr>
        <w:t>reduce</w:t>
      </w:r>
      <w:r w:rsidR="00F16E92">
        <w:rPr>
          <w:noProof/>
        </w:rPr>
        <w:t xml:space="preserve"> </w:t>
      </w:r>
      <w:r w:rsidR="00DD3B14">
        <w:rPr>
          <w:noProof/>
        </w:rPr>
        <w:t>the</w:t>
      </w:r>
      <w:r w:rsidR="00F16E92">
        <w:rPr>
          <w:noProof/>
        </w:rPr>
        <w:t xml:space="preserve"> impacts </w:t>
      </w:r>
      <w:r w:rsidR="00C22F45">
        <w:rPr>
          <w:noProof/>
        </w:rPr>
        <w:t xml:space="preserve">and adopt a </w:t>
      </w:r>
      <w:r w:rsidR="00947092">
        <w:rPr>
          <w:noProof/>
        </w:rPr>
        <w:t xml:space="preserve">dedicated </w:t>
      </w:r>
      <w:r w:rsidR="00C22F45">
        <w:rPr>
          <w:noProof/>
        </w:rPr>
        <w:t xml:space="preserve">mitigation rulebook </w:t>
      </w:r>
      <w:r w:rsidR="00947092">
        <w:rPr>
          <w:noProof/>
        </w:rPr>
        <w:t>t</w:t>
      </w:r>
      <w:r w:rsidR="00C22F45">
        <w:rPr>
          <w:noProof/>
        </w:rPr>
        <w:t xml:space="preserve">hat sets </w:t>
      </w:r>
      <w:r w:rsidR="000475FF">
        <w:rPr>
          <w:noProof/>
        </w:rPr>
        <w:t xml:space="preserve">rules for </w:t>
      </w:r>
      <w:r w:rsidR="00C22F45">
        <w:rPr>
          <w:noProof/>
        </w:rPr>
        <w:t>appropriate</w:t>
      </w:r>
      <w:r w:rsidR="00DF2D3C">
        <w:rPr>
          <w:noProof/>
        </w:rPr>
        <w:t xml:space="preserve"> and proportionate</w:t>
      </w:r>
      <w:r w:rsidR="00C22F45">
        <w:rPr>
          <w:noProof/>
        </w:rPr>
        <w:t xml:space="preserve"> mitigation</w:t>
      </w:r>
      <w:r w:rsidR="003E6E63">
        <w:rPr>
          <w:noProof/>
        </w:rPr>
        <w:t xml:space="preserve"> </w:t>
      </w:r>
      <w:r w:rsidR="009969F4">
        <w:rPr>
          <w:noProof/>
        </w:rPr>
        <w:t>measures</w:t>
      </w:r>
      <w:r w:rsidR="00A55583">
        <w:rPr>
          <w:noProof/>
        </w:rPr>
        <w:t>.</w:t>
      </w:r>
    </w:p>
    <w:p w:rsidR="008515FF" w:rsidRDefault="00795C22" w:rsidP="00795C22">
      <w:pPr>
        <w:pStyle w:val="Point0"/>
        <w:rPr>
          <w:noProof/>
        </w:rPr>
      </w:pPr>
      <w:r w:rsidRPr="00795C22">
        <w:rPr>
          <w:noProof/>
        </w:rPr>
        <w:t>(18)</w:t>
      </w:r>
      <w:r w:rsidRPr="00795C22">
        <w:rPr>
          <w:noProof/>
        </w:rPr>
        <w:tab/>
      </w:r>
      <w:r w:rsidR="008515FF">
        <w:rPr>
          <w:noProof/>
        </w:rPr>
        <w:t>Member States should make</w:t>
      </w:r>
      <w:r w:rsidR="00A55583">
        <w:rPr>
          <w:noProof/>
        </w:rPr>
        <w:t xml:space="preserve"> </w:t>
      </w:r>
      <w:r w:rsidR="005401AA" w:rsidRPr="00D965E2">
        <w:rPr>
          <w:noProof/>
        </w:rPr>
        <w:t xml:space="preserve">as much </w:t>
      </w:r>
      <w:r w:rsidR="008515FF">
        <w:rPr>
          <w:noProof/>
        </w:rPr>
        <w:t xml:space="preserve">use of </w:t>
      </w:r>
      <w:r w:rsidR="00A9703B">
        <w:rPr>
          <w:noProof/>
        </w:rPr>
        <w:t>e</w:t>
      </w:r>
      <w:r w:rsidR="008515FF">
        <w:rPr>
          <w:noProof/>
        </w:rPr>
        <w:t>xi</w:t>
      </w:r>
      <w:r w:rsidR="00FE1694">
        <w:rPr>
          <w:noProof/>
        </w:rPr>
        <w:t>s</w:t>
      </w:r>
      <w:r w:rsidR="008515FF">
        <w:rPr>
          <w:noProof/>
        </w:rPr>
        <w:t xml:space="preserve">ting digital tools </w:t>
      </w:r>
      <w:r w:rsidR="009969F4">
        <w:rPr>
          <w:noProof/>
        </w:rPr>
        <w:t xml:space="preserve">as possible </w:t>
      </w:r>
      <w:r w:rsidR="00C22F45">
        <w:rPr>
          <w:noProof/>
        </w:rPr>
        <w:t>when</w:t>
      </w:r>
      <w:r w:rsidR="008515FF">
        <w:rPr>
          <w:noProof/>
        </w:rPr>
        <w:t xml:space="preserve"> implement</w:t>
      </w:r>
      <w:r w:rsidR="00C22F45">
        <w:rPr>
          <w:noProof/>
        </w:rPr>
        <w:t>ing</w:t>
      </w:r>
      <w:r w:rsidR="008515FF">
        <w:rPr>
          <w:noProof/>
        </w:rPr>
        <w:t xml:space="preserve"> the recommendations under points (</w:t>
      </w:r>
      <w:r w:rsidR="00DD46B2">
        <w:rPr>
          <w:noProof/>
        </w:rPr>
        <w:t>13</w:t>
      </w:r>
      <w:r w:rsidR="008515FF">
        <w:rPr>
          <w:noProof/>
        </w:rPr>
        <w:t xml:space="preserve">) </w:t>
      </w:r>
      <w:r w:rsidR="00A55583">
        <w:rPr>
          <w:noProof/>
        </w:rPr>
        <w:t>to</w:t>
      </w:r>
      <w:r w:rsidR="008515FF">
        <w:rPr>
          <w:noProof/>
        </w:rPr>
        <w:t xml:space="preserve"> (</w:t>
      </w:r>
      <w:r w:rsidR="00DD46B2">
        <w:rPr>
          <w:noProof/>
        </w:rPr>
        <w:t>1</w:t>
      </w:r>
      <w:r w:rsidR="00CB4F0E">
        <w:rPr>
          <w:noProof/>
        </w:rPr>
        <w:t>7</w:t>
      </w:r>
      <w:r w:rsidR="008515FF">
        <w:rPr>
          <w:noProof/>
        </w:rPr>
        <w:t>).</w:t>
      </w:r>
    </w:p>
    <w:p w:rsidR="00C22F45" w:rsidRDefault="00795C22" w:rsidP="00795C22">
      <w:pPr>
        <w:pStyle w:val="Point0"/>
        <w:rPr>
          <w:noProof/>
        </w:rPr>
      </w:pPr>
      <w:r w:rsidRPr="00795C22">
        <w:rPr>
          <w:noProof/>
        </w:rPr>
        <w:t>(19)</w:t>
      </w:r>
      <w:r w:rsidRPr="00795C22">
        <w:rPr>
          <w:noProof/>
        </w:rPr>
        <w:tab/>
      </w:r>
      <w:r w:rsidR="002B3ECC">
        <w:rPr>
          <w:noProof/>
        </w:rPr>
        <w:t xml:space="preserve">Once </w:t>
      </w:r>
      <w:r w:rsidR="00A55583" w:rsidRPr="00A55583">
        <w:rPr>
          <w:noProof/>
        </w:rPr>
        <w:t>areas for grid and storage infrastructure</w:t>
      </w:r>
      <w:r w:rsidR="002B3ECC">
        <w:rPr>
          <w:noProof/>
        </w:rPr>
        <w:t xml:space="preserve"> have been set up</w:t>
      </w:r>
      <w:r w:rsidR="0054594E">
        <w:rPr>
          <w:noProof/>
        </w:rPr>
        <w:t>,</w:t>
      </w:r>
      <w:r w:rsidR="0054594E" w:rsidRPr="00DD3B14">
        <w:rPr>
          <w:noProof/>
        </w:rPr>
        <w:t xml:space="preserve"> </w:t>
      </w:r>
      <w:r w:rsidR="00C22F45" w:rsidRPr="00DD3B14">
        <w:rPr>
          <w:noProof/>
        </w:rPr>
        <w:t xml:space="preserve">Member </w:t>
      </w:r>
      <w:r w:rsidR="0054594E">
        <w:rPr>
          <w:noProof/>
        </w:rPr>
        <w:t>S</w:t>
      </w:r>
      <w:r w:rsidR="00C22F45" w:rsidRPr="00DD3B14">
        <w:rPr>
          <w:noProof/>
        </w:rPr>
        <w:t xml:space="preserve">tates </w:t>
      </w:r>
      <w:r w:rsidR="00CF3E2A">
        <w:rPr>
          <w:noProof/>
        </w:rPr>
        <w:t>may</w:t>
      </w:r>
      <w:r w:rsidR="00CF3E2A" w:rsidRPr="00DD3B14">
        <w:rPr>
          <w:noProof/>
        </w:rPr>
        <w:t xml:space="preserve"> </w:t>
      </w:r>
      <w:r w:rsidR="00C22F45">
        <w:rPr>
          <w:noProof/>
        </w:rPr>
        <w:t xml:space="preserve">make use of the </w:t>
      </w:r>
      <w:r w:rsidR="00A55583">
        <w:rPr>
          <w:noProof/>
        </w:rPr>
        <w:t>exemptions from certain environmental assessments</w:t>
      </w:r>
      <w:r w:rsidR="00C22F45">
        <w:rPr>
          <w:noProof/>
        </w:rPr>
        <w:t xml:space="preserve"> </w:t>
      </w:r>
      <w:r w:rsidR="002B3ECC">
        <w:rPr>
          <w:noProof/>
        </w:rPr>
        <w:t>under</w:t>
      </w:r>
      <w:r w:rsidR="00C22F45">
        <w:rPr>
          <w:noProof/>
        </w:rPr>
        <w:t xml:space="preserve"> </w:t>
      </w:r>
      <w:r w:rsidR="00A55583">
        <w:rPr>
          <w:noProof/>
        </w:rPr>
        <w:t>A</w:t>
      </w:r>
      <w:r w:rsidR="00C22F45">
        <w:rPr>
          <w:noProof/>
        </w:rPr>
        <w:t>rticle</w:t>
      </w:r>
      <w:r w:rsidR="002B3ECC">
        <w:rPr>
          <w:noProof/>
        </w:rPr>
        <w:t xml:space="preserve"> </w:t>
      </w:r>
      <w:r w:rsidR="00C22F45">
        <w:rPr>
          <w:noProof/>
        </w:rPr>
        <w:t>15e(2)</w:t>
      </w:r>
      <w:r w:rsidR="003E6E63">
        <w:rPr>
          <w:noProof/>
        </w:rPr>
        <w:t xml:space="preserve"> of</w:t>
      </w:r>
      <w:r w:rsidR="003E6E63" w:rsidRPr="00F16E92">
        <w:rPr>
          <w:noProof/>
        </w:rPr>
        <w:t xml:space="preserve"> </w:t>
      </w:r>
      <w:r w:rsidR="00A55583">
        <w:rPr>
          <w:noProof/>
        </w:rPr>
        <w:t xml:space="preserve">the </w:t>
      </w:r>
      <w:r w:rsidR="005A174D">
        <w:rPr>
          <w:noProof/>
        </w:rPr>
        <w:t xml:space="preserve">Directive </w:t>
      </w:r>
      <w:r w:rsidR="009969F4">
        <w:rPr>
          <w:noProof/>
        </w:rPr>
        <w:t xml:space="preserve">if justified to </w:t>
      </w:r>
      <w:r w:rsidR="002B3ECC">
        <w:rPr>
          <w:noProof/>
        </w:rPr>
        <w:t>speed up</w:t>
      </w:r>
      <w:r w:rsidR="002B3ECC" w:rsidRPr="00D965E2">
        <w:rPr>
          <w:noProof/>
        </w:rPr>
        <w:t xml:space="preserve"> </w:t>
      </w:r>
      <w:r w:rsidR="009969F4">
        <w:rPr>
          <w:noProof/>
        </w:rPr>
        <w:t xml:space="preserve">the deployment of renewable energy </w:t>
      </w:r>
      <w:r w:rsidR="005929B7">
        <w:rPr>
          <w:noProof/>
        </w:rPr>
        <w:t xml:space="preserve">and the connection of end-users to the electricity grid, </w:t>
      </w:r>
      <w:r w:rsidR="009A62C5">
        <w:rPr>
          <w:noProof/>
        </w:rPr>
        <w:t xml:space="preserve">including industrial consumers, </w:t>
      </w:r>
      <w:r w:rsidR="009969F4">
        <w:rPr>
          <w:noProof/>
        </w:rPr>
        <w:t>in order to achieve the climate and renewable energy targets</w:t>
      </w:r>
      <w:r w:rsidR="00C22F45">
        <w:rPr>
          <w:noProof/>
        </w:rPr>
        <w:t>.</w:t>
      </w:r>
    </w:p>
    <w:p w:rsidR="00C22F45" w:rsidRDefault="00795C22" w:rsidP="00795C22">
      <w:pPr>
        <w:pStyle w:val="Point0"/>
        <w:rPr>
          <w:noProof/>
        </w:rPr>
      </w:pPr>
      <w:r w:rsidRPr="00795C22">
        <w:rPr>
          <w:noProof/>
        </w:rPr>
        <w:t>(20)</w:t>
      </w:r>
      <w:r w:rsidRPr="00795C22">
        <w:rPr>
          <w:noProof/>
        </w:rPr>
        <w:tab/>
      </w:r>
      <w:r w:rsidR="00C22F45">
        <w:rPr>
          <w:noProof/>
        </w:rPr>
        <w:t xml:space="preserve">When projects are </w:t>
      </w:r>
      <w:r w:rsidR="00F605FC">
        <w:rPr>
          <w:noProof/>
        </w:rPr>
        <w:t>deployed</w:t>
      </w:r>
      <w:r w:rsidR="00C22F45">
        <w:rPr>
          <w:noProof/>
        </w:rPr>
        <w:t xml:space="preserve"> in the </w:t>
      </w:r>
      <w:r w:rsidR="00C22F45" w:rsidRPr="00F16E92">
        <w:rPr>
          <w:noProof/>
        </w:rPr>
        <w:t xml:space="preserve">dedicated </w:t>
      </w:r>
      <w:r w:rsidR="00A55583">
        <w:rPr>
          <w:noProof/>
        </w:rPr>
        <w:t>grid and storage</w:t>
      </w:r>
      <w:r w:rsidR="00C22F45" w:rsidRPr="00F16E92">
        <w:rPr>
          <w:noProof/>
        </w:rPr>
        <w:t xml:space="preserve"> areas</w:t>
      </w:r>
      <w:r w:rsidR="00C22F45">
        <w:rPr>
          <w:noProof/>
        </w:rPr>
        <w:t xml:space="preserve">, Member States </w:t>
      </w:r>
      <w:r w:rsidR="00622DF5">
        <w:rPr>
          <w:noProof/>
        </w:rPr>
        <w:t xml:space="preserve">shall </w:t>
      </w:r>
      <w:r w:rsidR="00C22F45">
        <w:rPr>
          <w:noProof/>
        </w:rPr>
        <w:t>establish an appropriate</w:t>
      </w:r>
      <w:r w:rsidR="00A55583">
        <w:rPr>
          <w:noProof/>
        </w:rPr>
        <w:t xml:space="preserve"> expedited</w:t>
      </w:r>
      <w:r w:rsidR="00C22F45">
        <w:rPr>
          <w:noProof/>
        </w:rPr>
        <w:t xml:space="preserve"> screening process</w:t>
      </w:r>
      <w:r w:rsidR="006F4362">
        <w:rPr>
          <w:noProof/>
        </w:rPr>
        <w:t xml:space="preserve"> based on </w:t>
      </w:r>
      <w:r w:rsidR="009969F4">
        <w:rPr>
          <w:noProof/>
        </w:rPr>
        <w:t>available</w:t>
      </w:r>
      <w:r w:rsidR="006F4362">
        <w:rPr>
          <w:noProof/>
        </w:rPr>
        <w:t xml:space="preserve"> environmental data</w:t>
      </w:r>
      <w:r w:rsidR="00C22F45">
        <w:rPr>
          <w:noProof/>
        </w:rPr>
        <w:t xml:space="preserve"> to </w:t>
      </w:r>
      <w:r w:rsidR="009969F4">
        <w:rPr>
          <w:noProof/>
        </w:rPr>
        <w:t>verify</w:t>
      </w:r>
      <w:r w:rsidR="00C22F45">
        <w:rPr>
          <w:noProof/>
        </w:rPr>
        <w:t xml:space="preserve"> </w:t>
      </w:r>
      <w:r w:rsidR="009969F4">
        <w:rPr>
          <w:noProof/>
        </w:rPr>
        <w:t xml:space="preserve">that there are no </w:t>
      </w:r>
      <w:r w:rsidR="00A55583">
        <w:rPr>
          <w:noProof/>
        </w:rPr>
        <w:t>highly likely</w:t>
      </w:r>
      <w:r w:rsidR="00C22F45">
        <w:rPr>
          <w:noProof/>
        </w:rPr>
        <w:t xml:space="preserve"> </w:t>
      </w:r>
      <w:r w:rsidR="00C22F45" w:rsidRPr="00C22F45">
        <w:rPr>
          <w:noProof/>
        </w:rPr>
        <w:t>significant unforeseen adverse effects</w:t>
      </w:r>
      <w:r w:rsidR="00C22F45">
        <w:rPr>
          <w:noProof/>
        </w:rPr>
        <w:t xml:space="preserve"> on the environment that result from the construction or operation</w:t>
      </w:r>
      <w:r w:rsidR="00F605FC">
        <w:rPr>
          <w:noProof/>
        </w:rPr>
        <w:t xml:space="preserve"> of the projects</w:t>
      </w:r>
      <w:r w:rsidR="00C22F45">
        <w:rPr>
          <w:noProof/>
        </w:rPr>
        <w:t>.</w:t>
      </w:r>
    </w:p>
    <w:p w:rsidR="00C22F45" w:rsidRDefault="00795C22" w:rsidP="00795C22">
      <w:pPr>
        <w:pStyle w:val="Point0"/>
        <w:rPr>
          <w:noProof/>
        </w:rPr>
      </w:pPr>
      <w:r w:rsidRPr="00795C22">
        <w:rPr>
          <w:noProof/>
        </w:rPr>
        <w:t>(21)</w:t>
      </w:r>
      <w:r w:rsidRPr="00795C22">
        <w:rPr>
          <w:noProof/>
        </w:rPr>
        <w:tab/>
      </w:r>
      <w:r w:rsidR="7A90A3A8">
        <w:rPr>
          <w:noProof/>
        </w:rPr>
        <w:t>When implementing the recommendations under points (</w:t>
      </w:r>
      <w:r w:rsidR="00221189">
        <w:rPr>
          <w:noProof/>
        </w:rPr>
        <w:t>13</w:t>
      </w:r>
      <w:r w:rsidR="7A90A3A8">
        <w:rPr>
          <w:noProof/>
        </w:rPr>
        <w:t>) to (</w:t>
      </w:r>
      <w:r w:rsidR="00B140BD">
        <w:rPr>
          <w:noProof/>
        </w:rPr>
        <w:t>20</w:t>
      </w:r>
      <w:r w:rsidR="7A90A3A8">
        <w:rPr>
          <w:noProof/>
        </w:rPr>
        <w:t xml:space="preserve">), Member States are encouraged to </w:t>
      </w:r>
      <w:r w:rsidR="009E4E87">
        <w:rPr>
          <w:noProof/>
        </w:rPr>
        <w:t>consider</w:t>
      </w:r>
      <w:r w:rsidR="7A90A3A8">
        <w:rPr>
          <w:noProof/>
        </w:rPr>
        <w:t xml:space="preserve"> the practices described in the </w:t>
      </w:r>
      <w:r w:rsidR="4A26461F">
        <w:rPr>
          <w:noProof/>
        </w:rPr>
        <w:t>g</w:t>
      </w:r>
      <w:r w:rsidR="3A6CB7DF">
        <w:rPr>
          <w:noProof/>
        </w:rPr>
        <w:t>uidance on the establishment of areas for grid and storage infrastructure necessary to integrate renewable e</w:t>
      </w:r>
      <w:r w:rsidR="00F61970">
        <w:rPr>
          <w:noProof/>
        </w:rPr>
        <w:t>nergy</w:t>
      </w:r>
      <w:r w:rsidR="3A6CB7DF">
        <w:rPr>
          <w:noProof/>
        </w:rPr>
        <w:t xml:space="preserve"> into the electricity system</w:t>
      </w:r>
      <w:r w:rsidR="67A7C869">
        <w:rPr>
          <w:noProof/>
        </w:rPr>
        <w:t xml:space="preserve"> </w:t>
      </w:r>
      <w:r w:rsidR="00F61970" w:rsidRPr="00F61970">
        <w:rPr>
          <w:noProof/>
        </w:rPr>
        <w:t>adopted by the Commission on the same day as the Recommendation</w:t>
      </w:r>
      <w:r w:rsidR="00C22F45" w:rsidRPr="007EC0CE">
        <w:rPr>
          <w:rStyle w:val="FootnoteReference"/>
          <w:noProof/>
        </w:rPr>
        <w:footnoteReference w:id="8"/>
      </w:r>
      <w:r w:rsidR="67A7C869">
        <w:rPr>
          <w:noProof/>
        </w:rPr>
        <w:t>.</w:t>
      </w:r>
    </w:p>
    <w:p w:rsidR="00FA29B6" w:rsidRDefault="00FA29B6" w:rsidP="009F2644">
      <w:pPr>
        <w:pStyle w:val="Titrearticle"/>
        <w:rPr>
          <w:noProof/>
        </w:rPr>
      </w:pPr>
      <w:r>
        <w:rPr>
          <w:noProof/>
        </w:rPr>
        <w:t>FAVOURABLE FINANCIAL FRAMEWORKS</w:t>
      </w:r>
      <w:r w:rsidR="00470D94" w:rsidRPr="00470D94">
        <w:rPr>
          <w:noProof/>
        </w:rPr>
        <w:t xml:space="preserve"> </w:t>
      </w:r>
      <w:bookmarkStart w:id="5" w:name="_Hlk196942304"/>
      <w:r w:rsidR="00470D94">
        <w:rPr>
          <w:noProof/>
        </w:rPr>
        <w:t xml:space="preserve">FOR </w:t>
      </w:r>
      <w:r w:rsidR="00470D94" w:rsidRPr="00470D94">
        <w:rPr>
          <w:noProof/>
        </w:rPr>
        <w:t>INNOVATIVE TECHNOLOGIES AND FORMS OF RENEWABLE ENERGY DEPLOYMENT</w:t>
      </w:r>
      <w:bookmarkEnd w:id="5"/>
    </w:p>
    <w:p w:rsidR="00FA29B6" w:rsidRDefault="00795C22" w:rsidP="00795C22">
      <w:pPr>
        <w:pStyle w:val="Point0"/>
        <w:rPr>
          <w:noProof/>
        </w:rPr>
      </w:pPr>
      <w:r w:rsidRPr="00795C22">
        <w:rPr>
          <w:noProof/>
        </w:rPr>
        <w:t>(22)</w:t>
      </w:r>
      <w:r w:rsidRPr="00795C22">
        <w:rPr>
          <w:noProof/>
        </w:rPr>
        <w:tab/>
      </w:r>
      <w:r w:rsidR="2E959A55">
        <w:rPr>
          <w:noProof/>
        </w:rPr>
        <w:t>Member States are encouraged to consider combining different renewable technologies, including innovative forms of deployment</w:t>
      </w:r>
      <w:r w:rsidR="65A9DA1F">
        <w:rPr>
          <w:noProof/>
        </w:rPr>
        <w:t xml:space="preserve"> and innovative renewable energy technologies</w:t>
      </w:r>
      <w:r w:rsidR="2E959A55">
        <w:rPr>
          <w:noProof/>
        </w:rPr>
        <w:t>, on the same site,</w:t>
      </w:r>
      <w:r w:rsidR="4F085E96">
        <w:rPr>
          <w:noProof/>
        </w:rPr>
        <w:t xml:space="preserve"> including offshore</w:t>
      </w:r>
      <w:r w:rsidR="00325F8D">
        <w:rPr>
          <w:noProof/>
        </w:rPr>
        <w:t xml:space="preserve">. This is </w:t>
      </w:r>
      <w:r w:rsidR="2E959A55">
        <w:rPr>
          <w:noProof/>
        </w:rPr>
        <w:t xml:space="preserve">known as hybridisation. </w:t>
      </w:r>
      <w:r w:rsidR="00B005FA">
        <w:rPr>
          <w:noProof/>
        </w:rPr>
        <w:t xml:space="preserve">Hybridisation utilises the complementary nature of different renewable energy sources, resulting in a more efficient, reliable and stable power system. </w:t>
      </w:r>
      <w:r w:rsidR="3D6F2180">
        <w:rPr>
          <w:noProof/>
        </w:rPr>
        <w:t>Sharing the grid connection</w:t>
      </w:r>
      <w:r w:rsidR="2E959A55">
        <w:rPr>
          <w:noProof/>
        </w:rPr>
        <w:t xml:space="preserve"> could </w:t>
      </w:r>
      <w:r w:rsidR="3D6F2180">
        <w:rPr>
          <w:noProof/>
        </w:rPr>
        <w:t xml:space="preserve">help </w:t>
      </w:r>
      <w:r w:rsidR="00C34D17">
        <w:rPr>
          <w:noProof/>
        </w:rPr>
        <w:t xml:space="preserve">to </w:t>
      </w:r>
      <w:r w:rsidR="65A9DA1F">
        <w:rPr>
          <w:noProof/>
        </w:rPr>
        <w:t>reduce the cost</w:t>
      </w:r>
      <w:r w:rsidR="2E959A55">
        <w:rPr>
          <w:noProof/>
        </w:rPr>
        <w:t xml:space="preserve"> </w:t>
      </w:r>
      <w:r w:rsidR="65A9DA1F">
        <w:rPr>
          <w:noProof/>
        </w:rPr>
        <w:t>of these innovative projects</w:t>
      </w:r>
      <w:r w:rsidR="1E2184FB">
        <w:rPr>
          <w:noProof/>
        </w:rPr>
        <w:t xml:space="preserve">, </w:t>
      </w:r>
      <w:r w:rsidR="3D6F2180">
        <w:rPr>
          <w:noProof/>
        </w:rPr>
        <w:t xml:space="preserve">help </w:t>
      </w:r>
      <w:r w:rsidR="006C4018">
        <w:rPr>
          <w:noProof/>
        </w:rPr>
        <w:t>stabilise the</w:t>
      </w:r>
      <w:r w:rsidR="00C34D17">
        <w:rPr>
          <w:noProof/>
        </w:rPr>
        <w:t xml:space="preserve"> </w:t>
      </w:r>
      <w:r w:rsidR="3D6F2180">
        <w:rPr>
          <w:noProof/>
        </w:rPr>
        <w:t>grid and limit the need for grid expansion</w:t>
      </w:r>
      <w:r w:rsidR="006C4018">
        <w:rPr>
          <w:noProof/>
        </w:rPr>
        <w:t xml:space="preserve"> and storage</w:t>
      </w:r>
      <w:r w:rsidR="4A9D8425">
        <w:rPr>
          <w:noProof/>
        </w:rPr>
        <w:t xml:space="preserve"> and provide a more programmable supply and support services to the grid</w:t>
      </w:r>
      <w:r w:rsidR="3D6F2180">
        <w:rPr>
          <w:noProof/>
        </w:rPr>
        <w:t xml:space="preserve">. </w:t>
      </w:r>
      <w:r w:rsidR="761748FE">
        <w:rPr>
          <w:noProof/>
        </w:rPr>
        <w:t>In doing so, Member States should consult the Recommendation</w:t>
      </w:r>
      <w:r w:rsidR="00F37CD1">
        <w:rPr>
          <w:rStyle w:val="FootnoteReference"/>
          <w:noProof/>
        </w:rPr>
        <w:footnoteReference w:id="9"/>
      </w:r>
      <w:r w:rsidR="761748FE">
        <w:rPr>
          <w:noProof/>
        </w:rPr>
        <w:t xml:space="preserve"> and Guidance</w:t>
      </w:r>
      <w:r w:rsidR="00E206D8">
        <w:rPr>
          <w:rStyle w:val="FootnoteReference"/>
          <w:noProof/>
        </w:rPr>
        <w:footnoteReference w:id="10"/>
      </w:r>
      <w:r w:rsidR="761748FE">
        <w:rPr>
          <w:noProof/>
        </w:rPr>
        <w:t xml:space="preserve"> on permit-granting procedures for renewable energy projects.</w:t>
      </w:r>
    </w:p>
    <w:p w:rsidR="005F3FD7" w:rsidRDefault="00795C22" w:rsidP="00795C22">
      <w:pPr>
        <w:pStyle w:val="Point0"/>
        <w:rPr>
          <w:noProof/>
        </w:rPr>
      </w:pPr>
      <w:r w:rsidRPr="00795C22">
        <w:rPr>
          <w:noProof/>
        </w:rPr>
        <w:t>(23)</w:t>
      </w:r>
      <w:r w:rsidRPr="00795C22">
        <w:rPr>
          <w:noProof/>
        </w:rPr>
        <w:tab/>
      </w:r>
      <w:r w:rsidR="44586431">
        <w:rPr>
          <w:noProof/>
        </w:rPr>
        <w:t xml:space="preserve">Member States </w:t>
      </w:r>
      <w:r w:rsidR="62F49A18">
        <w:rPr>
          <w:noProof/>
        </w:rPr>
        <w:t xml:space="preserve">may </w:t>
      </w:r>
      <w:r w:rsidR="44586431">
        <w:rPr>
          <w:noProof/>
        </w:rPr>
        <w:t>design support schemes in a way that encourages the participation of innovative forms of deployment</w:t>
      </w:r>
      <w:r w:rsidR="176546EA">
        <w:rPr>
          <w:noProof/>
        </w:rPr>
        <w:t xml:space="preserve"> and innovative renewable energy technologies</w:t>
      </w:r>
      <w:r w:rsidR="44586431">
        <w:rPr>
          <w:noProof/>
        </w:rPr>
        <w:t xml:space="preserve">, </w:t>
      </w:r>
      <w:r w:rsidR="10AD6FDE">
        <w:rPr>
          <w:noProof/>
        </w:rPr>
        <w:t xml:space="preserve">ensuring that the </w:t>
      </w:r>
      <w:r w:rsidR="62F49A18">
        <w:rPr>
          <w:noProof/>
        </w:rPr>
        <w:t xml:space="preserve">pre-qualification and award </w:t>
      </w:r>
      <w:r w:rsidR="10AD6FDE">
        <w:rPr>
          <w:noProof/>
        </w:rPr>
        <w:t xml:space="preserve">criteria </w:t>
      </w:r>
      <w:r w:rsidR="512ACFF6">
        <w:rPr>
          <w:noProof/>
        </w:rPr>
        <w:t xml:space="preserve">enable </w:t>
      </w:r>
      <w:r w:rsidR="10AD6FDE">
        <w:rPr>
          <w:noProof/>
        </w:rPr>
        <w:t>the</w:t>
      </w:r>
      <w:r w:rsidR="176546EA">
        <w:rPr>
          <w:noProof/>
        </w:rPr>
        <w:t>ir</w:t>
      </w:r>
      <w:r w:rsidR="10AD6FDE">
        <w:rPr>
          <w:noProof/>
        </w:rPr>
        <w:t xml:space="preserve"> </w:t>
      </w:r>
      <w:r w:rsidR="516D4B24">
        <w:rPr>
          <w:noProof/>
        </w:rPr>
        <w:t xml:space="preserve">eligibility and </w:t>
      </w:r>
      <w:r w:rsidR="10AD6FDE">
        <w:rPr>
          <w:noProof/>
        </w:rPr>
        <w:t>successful participation</w:t>
      </w:r>
      <w:r w:rsidR="62F49A18">
        <w:rPr>
          <w:noProof/>
        </w:rPr>
        <w:t xml:space="preserve"> while maintaining the competitiveness of the schemes</w:t>
      </w:r>
      <w:r w:rsidR="44586431">
        <w:rPr>
          <w:noProof/>
        </w:rPr>
        <w:t xml:space="preserve">. </w:t>
      </w:r>
      <w:r w:rsidR="494019F4">
        <w:rPr>
          <w:noProof/>
        </w:rPr>
        <w:t xml:space="preserve">Where appropriate, Member States should </w:t>
      </w:r>
      <w:r w:rsidR="15390BF4">
        <w:rPr>
          <w:noProof/>
        </w:rPr>
        <w:t>c</w:t>
      </w:r>
      <w:r w:rsidR="275DB79D">
        <w:rPr>
          <w:noProof/>
        </w:rPr>
        <w:t>onsider</w:t>
      </w:r>
      <w:r w:rsidR="15390BF4">
        <w:rPr>
          <w:noProof/>
        </w:rPr>
        <w:t xml:space="preserve"> </w:t>
      </w:r>
      <w:r w:rsidR="494019F4">
        <w:rPr>
          <w:noProof/>
        </w:rPr>
        <w:t>promot</w:t>
      </w:r>
      <w:r w:rsidR="275DB79D">
        <w:rPr>
          <w:noProof/>
        </w:rPr>
        <w:t>ing</w:t>
      </w:r>
      <w:r w:rsidR="494019F4">
        <w:rPr>
          <w:noProof/>
        </w:rPr>
        <w:t xml:space="preserve"> further the participation of innovative forms of deployment and innovative renewable energy technologies, including by introducing non-price criteria rewarding innovation</w:t>
      </w:r>
      <w:r w:rsidR="15390BF4" w:rsidRPr="4C12634E">
        <w:rPr>
          <w:noProof/>
          <w:lang w:val="en-IE"/>
        </w:rPr>
        <w:t xml:space="preserve"> by introducing a requirement to meet a minimum level of improvement in key performance indicators which goes beyond the state of the art of technologies and solutions that are already on the market</w:t>
      </w:r>
      <w:r w:rsidR="494019F4">
        <w:rPr>
          <w:noProof/>
        </w:rPr>
        <w:t xml:space="preserve">, </w:t>
      </w:r>
      <w:r w:rsidR="15390BF4">
        <w:rPr>
          <w:noProof/>
        </w:rPr>
        <w:t xml:space="preserve">by means of setting out separate baskets for them </w:t>
      </w:r>
      <w:r w:rsidR="494019F4">
        <w:rPr>
          <w:noProof/>
        </w:rPr>
        <w:t>or designing specific tendering procedure</w:t>
      </w:r>
      <w:r w:rsidR="11C6298F">
        <w:rPr>
          <w:noProof/>
        </w:rPr>
        <w:t>s</w:t>
      </w:r>
      <w:r w:rsidR="494019F4">
        <w:rPr>
          <w:noProof/>
        </w:rPr>
        <w:t xml:space="preserve"> for them</w:t>
      </w:r>
      <w:r w:rsidR="000B401C">
        <w:rPr>
          <w:rStyle w:val="FootnoteReference"/>
          <w:noProof/>
        </w:rPr>
        <w:footnoteReference w:id="11"/>
      </w:r>
      <w:r w:rsidR="494019F4">
        <w:rPr>
          <w:noProof/>
        </w:rPr>
        <w:t xml:space="preserve">. </w:t>
      </w:r>
      <w:r w:rsidR="10AD6FDE">
        <w:rPr>
          <w:noProof/>
        </w:rPr>
        <w:t>When designing support schemes for renewables</w:t>
      </w:r>
      <w:r w:rsidR="0F85D4BB">
        <w:rPr>
          <w:noProof/>
        </w:rPr>
        <w:t xml:space="preserve">, Member States </w:t>
      </w:r>
      <w:r w:rsidR="176B5F27">
        <w:rPr>
          <w:noProof/>
        </w:rPr>
        <w:t>should consult Recommendation</w:t>
      </w:r>
      <w:r w:rsidR="00DB1FC4">
        <w:rPr>
          <w:rStyle w:val="FootnoteReference"/>
          <w:noProof/>
        </w:rPr>
        <w:footnoteReference w:id="12"/>
      </w:r>
      <w:r w:rsidR="176B5F27">
        <w:rPr>
          <w:noProof/>
        </w:rPr>
        <w:t xml:space="preserve"> and Guidance</w:t>
      </w:r>
      <w:r w:rsidR="00F725D3">
        <w:rPr>
          <w:rStyle w:val="FootnoteReference"/>
          <w:noProof/>
        </w:rPr>
        <w:footnoteReference w:id="13"/>
      </w:r>
      <w:r w:rsidR="176B5F27">
        <w:rPr>
          <w:noProof/>
        </w:rPr>
        <w:t xml:space="preserve"> on design elements of renewable energy auctions</w:t>
      </w:r>
      <w:r w:rsidR="6DC6587A">
        <w:rPr>
          <w:noProof/>
        </w:rPr>
        <w:t xml:space="preserve"> and the Implementing Act</w:t>
      </w:r>
      <w:r w:rsidR="00E206D8">
        <w:rPr>
          <w:rStyle w:val="FootnoteReference"/>
          <w:noProof/>
        </w:rPr>
        <w:footnoteReference w:id="14"/>
      </w:r>
      <w:r w:rsidR="6DC6587A">
        <w:rPr>
          <w:noProof/>
        </w:rPr>
        <w:t xml:space="preserve"> on non-price criteria in renewable energy auctions</w:t>
      </w:r>
      <w:r w:rsidR="1C06196D">
        <w:rPr>
          <w:noProof/>
        </w:rPr>
        <w:t xml:space="preserve"> under the Net-Zero Industry Act</w:t>
      </w:r>
      <w:r w:rsidR="176B5F27">
        <w:rPr>
          <w:noProof/>
        </w:rPr>
        <w:t>.</w:t>
      </w:r>
      <w:r w:rsidR="40CD17CF">
        <w:rPr>
          <w:noProof/>
        </w:rPr>
        <w:t xml:space="preserve"> </w:t>
      </w:r>
    </w:p>
    <w:p w:rsidR="008E275D" w:rsidRDefault="00795C22" w:rsidP="00795C22">
      <w:pPr>
        <w:pStyle w:val="Point0"/>
        <w:rPr>
          <w:noProof/>
        </w:rPr>
      </w:pPr>
      <w:r w:rsidRPr="00795C22">
        <w:rPr>
          <w:noProof/>
        </w:rPr>
        <w:t>(24)</w:t>
      </w:r>
      <w:r w:rsidRPr="00795C22">
        <w:rPr>
          <w:noProof/>
        </w:rPr>
        <w:tab/>
      </w:r>
      <w:r w:rsidR="4F085E96">
        <w:rPr>
          <w:noProof/>
        </w:rPr>
        <w:t xml:space="preserve">Member States should </w:t>
      </w:r>
      <w:r w:rsidR="00F7733A">
        <w:rPr>
          <w:noProof/>
        </w:rPr>
        <w:t xml:space="preserve">consider </w:t>
      </w:r>
      <w:r w:rsidR="4F085E96">
        <w:rPr>
          <w:noProof/>
        </w:rPr>
        <w:t>design</w:t>
      </w:r>
      <w:r w:rsidR="00F7733A">
        <w:rPr>
          <w:noProof/>
        </w:rPr>
        <w:t>ing</w:t>
      </w:r>
      <w:r w:rsidR="4F085E96">
        <w:rPr>
          <w:noProof/>
        </w:rPr>
        <w:t xml:space="preserve"> support schemes </w:t>
      </w:r>
      <w:r w:rsidR="543145A3">
        <w:rPr>
          <w:noProof/>
        </w:rPr>
        <w:t>for offshore ren</w:t>
      </w:r>
      <w:r w:rsidR="4827FA79">
        <w:rPr>
          <w:noProof/>
        </w:rPr>
        <w:t>e</w:t>
      </w:r>
      <w:r w:rsidR="543145A3">
        <w:rPr>
          <w:noProof/>
        </w:rPr>
        <w:t xml:space="preserve">wable </w:t>
      </w:r>
      <w:r w:rsidR="377F7740">
        <w:rPr>
          <w:noProof/>
        </w:rPr>
        <w:t xml:space="preserve">energy </w:t>
      </w:r>
      <w:r w:rsidR="543145A3">
        <w:rPr>
          <w:noProof/>
        </w:rPr>
        <w:t xml:space="preserve">deployment </w:t>
      </w:r>
      <w:r w:rsidR="4F085E96">
        <w:rPr>
          <w:noProof/>
        </w:rPr>
        <w:t>in a way that encourages the participation of all relevant innovative forms of deployment and innovative renewable energy technologies, including offshore floating wind, ocean energy and offshore floating</w:t>
      </w:r>
      <w:r w:rsidR="00710F42">
        <w:rPr>
          <w:noProof/>
        </w:rPr>
        <w:t xml:space="preserve"> </w:t>
      </w:r>
      <w:r w:rsidR="079DDE05">
        <w:rPr>
          <w:noProof/>
        </w:rPr>
        <w:t>solar</w:t>
      </w:r>
      <w:r w:rsidR="06FE4777">
        <w:rPr>
          <w:noProof/>
        </w:rPr>
        <w:t xml:space="preserve">, while </w:t>
      </w:r>
      <w:r w:rsidR="00325F8D">
        <w:rPr>
          <w:noProof/>
        </w:rPr>
        <w:t>considering</w:t>
      </w:r>
      <w:r w:rsidR="06FE4777">
        <w:rPr>
          <w:noProof/>
        </w:rPr>
        <w:t xml:space="preserve"> the potential for synergies between technologies</w:t>
      </w:r>
      <w:r w:rsidR="4F085E96">
        <w:rPr>
          <w:noProof/>
        </w:rPr>
        <w:t>.</w:t>
      </w:r>
    </w:p>
    <w:p w:rsidR="00E56C63" w:rsidRDefault="00795C22" w:rsidP="00795C22">
      <w:pPr>
        <w:pStyle w:val="Point0"/>
        <w:rPr>
          <w:noProof/>
        </w:rPr>
      </w:pPr>
      <w:r w:rsidRPr="00795C22">
        <w:rPr>
          <w:noProof/>
        </w:rPr>
        <w:t>(25)</w:t>
      </w:r>
      <w:r w:rsidRPr="00795C22">
        <w:rPr>
          <w:noProof/>
        </w:rPr>
        <w:tab/>
      </w:r>
      <w:r w:rsidR="79DD9A03">
        <w:rPr>
          <w:noProof/>
        </w:rPr>
        <w:t xml:space="preserve">Member States should </w:t>
      </w:r>
      <w:r w:rsidR="6DC6587A">
        <w:rPr>
          <w:noProof/>
        </w:rPr>
        <w:t xml:space="preserve">consider </w:t>
      </w:r>
      <w:r w:rsidR="79DD9A03">
        <w:rPr>
          <w:noProof/>
        </w:rPr>
        <w:t>promot</w:t>
      </w:r>
      <w:r w:rsidR="6DC6587A">
        <w:rPr>
          <w:noProof/>
        </w:rPr>
        <w:t>ing</w:t>
      </w:r>
      <w:r w:rsidR="79DD9A03">
        <w:rPr>
          <w:noProof/>
        </w:rPr>
        <w:t xml:space="preserve"> the development of agrisolar with </w:t>
      </w:r>
      <w:r w:rsidR="65DFCCAB">
        <w:rPr>
          <w:noProof/>
        </w:rPr>
        <w:t xml:space="preserve">specific </w:t>
      </w:r>
      <w:r w:rsidR="79DD9A03">
        <w:rPr>
          <w:noProof/>
        </w:rPr>
        <w:t xml:space="preserve">policies through their </w:t>
      </w:r>
      <w:r w:rsidR="65DFCCAB">
        <w:rPr>
          <w:noProof/>
        </w:rPr>
        <w:t>c</w:t>
      </w:r>
      <w:r w:rsidR="57D1A629">
        <w:rPr>
          <w:noProof/>
        </w:rPr>
        <w:t xml:space="preserve">ommon </w:t>
      </w:r>
      <w:r w:rsidR="65DFCCAB">
        <w:rPr>
          <w:noProof/>
        </w:rPr>
        <w:t>a</w:t>
      </w:r>
      <w:r w:rsidR="57D1A629">
        <w:rPr>
          <w:noProof/>
        </w:rPr>
        <w:t xml:space="preserve">gricultural </w:t>
      </w:r>
      <w:r w:rsidR="65DFCCAB">
        <w:rPr>
          <w:noProof/>
        </w:rPr>
        <w:t>p</w:t>
      </w:r>
      <w:r w:rsidR="57D1A629">
        <w:rPr>
          <w:noProof/>
        </w:rPr>
        <w:t xml:space="preserve">olicy </w:t>
      </w:r>
      <w:r w:rsidR="65DFCCAB">
        <w:rPr>
          <w:noProof/>
        </w:rPr>
        <w:t>s</w:t>
      </w:r>
      <w:r w:rsidR="79DD9A03">
        <w:rPr>
          <w:noProof/>
        </w:rPr>
        <w:t xml:space="preserve">trategic </w:t>
      </w:r>
      <w:r w:rsidR="65DFCCAB">
        <w:rPr>
          <w:noProof/>
        </w:rPr>
        <w:t>p</w:t>
      </w:r>
      <w:r w:rsidR="79DD9A03">
        <w:rPr>
          <w:noProof/>
        </w:rPr>
        <w:t>lans</w:t>
      </w:r>
      <w:r w:rsidR="512ACFF6">
        <w:rPr>
          <w:noProof/>
        </w:rPr>
        <w:t>. They should also</w:t>
      </w:r>
      <w:r w:rsidR="6BA2F530">
        <w:rPr>
          <w:noProof/>
        </w:rPr>
        <w:t xml:space="preserve"> </w:t>
      </w:r>
      <w:r w:rsidR="79DD9A03">
        <w:rPr>
          <w:noProof/>
        </w:rPr>
        <w:t>establish eligibility conditions for the gra</w:t>
      </w:r>
      <w:r w:rsidR="57D1A629">
        <w:rPr>
          <w:noProof/>
        </w:rPr>
        <w:t>n</w:t>
      </w:r>
      <w:r w:rsidR="79DD9A03">
        <w:rPr>
          <w:noProof/>
        </w:rPr>
        <w:t>ting of income support that allow</w:t>
      </w:r>
      <w:r w:rsidR="65DFCCAB">
        <w:rPr>
          <w:noProof/>
        </w:rPr>
        <w:t>s</w:t>
      </w:r>
      <w:r w:rsidR="79DD9A03">
        <w:rPr>
          <w:noProof/>
        </w:rPr>
        <w:t xml:space="preserve"> farmers to benefit from it when having agrisolar installations.</w:t>
      </w:r>
      <w:r w:rsidR="3006B797">
        <w:rPr>
          <w:noProof/>
        </w:rPr>
        <w:t xml:space="preserve"> </w:t>
      </w:r>
    </w:p>
    <w:p w:rsidR="00F33250" w:rsidRDefault="00795C22" w:rsidP="00795C22">
      <w:pPr>
        <w:pStyle w:val="Point0"/>
        <w:rPr>
          <w:noProof/>
        </w:rPr>
      </w:pPr>
      <w:r w:rsidRPr="00795C22">
        <w:rPr>
          <w:noProof/>
        </w:rPr>
        <w:t>(26)</w:t>
      </w:r>
      <w:r w:rsidRPr="00795C22">
        <w:rPr>
          <w:noProof/>
        </w:rPr>
        <w:tab/>
      </w:r>
      <w:r w:rsidR="72718246">
        <w:rPr>
          <w:noProof/>
        </w:rPr>
        <w:t xml:space="preserve">For the purposes of installing solar energy in buildings </w:t>
      </w:r>
      <w:r w:rsidR="00452327">
        <w:rPr>
          <w:noProof/>
        </w:rPr>
        <w:t>under</w:t>
      </w:r>
      <w:r w:rsidR="72E18C9E">
        <w:rPr>
          <w:noProof/>
        </w:rPr>
        <w:t xml:space="preserve"> </w:t>
      </w:r>
      <w:r w:rsidR="72718246">
        <w:rPr>
          <w:noProof/>
        </w:rPr>
        <w:t>Article</w:t>
      </w:r>
      <w:r w:rsidR="00C912D5">
        <w:rPr>
          <w:noProof/>
        </w:rPr>
        <w:t xml:space="preserve"> </w:t>
      </w:r>
      <w:r w:rsidR="72718246">
        <w:rPr>
          <w:noProof/>
        </w:rPr>
        <w:t>10 of Directive</w:t>
      </w:r>
      <w:r w:rsidR="72E18C9E">
        <w:rPr>
          <w:noProof/>
        </w:rPr>
        <w:t xml:space="preserve"> (EU) 2024/1275</w:t>
      </w:r>
      <w:r w:rsidR="002632C8">
        <w:rPr>
          <w:noProof/>
        </w:rPr>
        <w:t xml:space="preserve"> of the European Parliament and of the Council</w:t>
      </w:r>
      <w:r w:rsidR="72718246">
        <w:rPr>
          <w:rStyle w:val="FootnoteReference"/>
          <w:noProof/>
        </w:rPr>
        <w:footnoteReference w:id="15"/>
      </w:r>
      <w:r w:rsidR="72718246">
        <w:rPr>
          <w:noProof/>
        </w:rPr>
        <w:t>, Member States should promote the deployment of building-integrated solar in the framework of public procurement of solar energy products through the application of non-price criteria.</w:t>
      </w:r>
    </w:p>
    <w:p w:rsidR="00E14DF4" w:rsidRDefault="00795C22" w:rsidP="00795C22">
      <w:pPr>
        <w:pStyle w:val="Point0"/>
        <w:rPr>
          <w:noProof/>
        </w:rPr>
      </w:pPr>
      <w:r w:rsidRPr="00795C22">
        <w:rPr>
          <w:noProof/>
        </w:rPr>
        <w:t>(27)</w:t>
      </w:r>
      <w:r w:rsidRPr="00795C22">
        <w:rPr>
          <w:noProof/>
        </w:rPr>
        <w:tab/>
      </w:r>
      <w:r w:rsidR="407BF2AC">
        <w:rPr>
          <w:noProof/>
        </w:rPr>
        <w:t>When implementing the recommendations under points (</w:t>
      </w:r>
      <w:r w:rsidR="00221189">
        <w:rPr>
          <w:noProof/>
        </w:rPr>
        <w:t>2</w:t>
      </w:r>
      <w:r w:rsidR="00B140BD">
        <w:rPr>
          <w:noProof/>
        </w:rPr>
        <w:t>2</w:t>
      </w:r>
      <w:r w:rsidR="407BF2AC">
        <w:rPr>
          <w:noProof/>
        </w:rPr>
        <w:t xml:space="preserve">) </w:t>
      </w:r>
      <w:r w:rsidR="60917B31">
        <w:rPr>
          <w:noProof/>
        </w:rPr>
        <w:t>to</w:t>
      </w:r>
      <w:r w:rsidR="407BF2AC">
        <w:rPr>
          <w:noProof/>
        </w:rPr>
        <w:t xml:space="preserve"> (</w:t>
      </w:r>
      <w:r w:rsidR="06E1BE33">
        <w:rPr>
          <w:noProof/>
        </w:rPr>
        <w:t>2</w:t>
      </w:r>
      <w:r w:rsidR="00B140BD">
        <w:rPr>
          <w:noProof/>
        </w:rPr>
        <w:t>6</w:t>
      </w:r>
      <w:r w:rsidR="407BF2AC">
        <w:rPr>
          <w:noProof/>
        </w:rPr>
        <w:t xml:space="preserve">), Member States are encouraged to take into account the practices described in </w:t>
      </w:r>
      <w:r w:rsidR="00D965E2">
        <w:rPr>
          <w:noProof/>
        </w:rPr>
        <w:t>S</w:t>
      </w:r>
      <w:r w:rsidR="407BF2AC">
        <w:rPr>
          <w:noProof/>
        </w:rPr>
        <w:t>ection 3 of the guidance</w:t>
      </w:r>
      <w:r w:rsidR="006B31E1">
        <w:rPr>
          <w:noProof/>
        </w:rPr>
        <w:t xml:space="preserve"> on innovative technologies and forms of renewable energy deployment</w:t>
      </w:r>
      <w:r w:rsidR="407BF2AC">
        <w:rPr>
          <w:rStyle w:val="FootnoteReference"/>
          <w:noProof/>
        </w:rPr>
        <w:footnoteReference w:id="16"/>
      </w:r>
      <w:r w:rsidR="2D6171B6">
        <w:rPr>
          <w:noProof/>
        </w:rPr>
        <w:t xml:space="preserve">, </w:t>
      </w:r>
      <w:r w:rsidR="0C99641F">
        <w:rPr>
          <w:noProof/>
        </w:rPr>
        <w:t>adopted by the Commission on the same day as the Recommendation</w:t>
      </w:r>
      <w:r w:rsidR="13DE4B66">
        <w:rPr>
          <w:noProof/>
        </w:rPr>
        <w:t>.</w:t>
      </w:r>
    </w:p>
    <w:p w:rsidR="00FA29B6" w:rsidRDefault="00FA29B6" w:rsidP="009F2644">
      <w:pPr>
        <w:pStyle w:val="Titrearticle"/>
        <w:rPr>
          <w:noProof/>
        </w:rPr>
      </w:pPr>
      <w:r>
        <w:rPr>
          <w:noProof/>
        </w:rPr>
        <w:t>INCREASING KNOWLEDGE AND EXPERIENCE</w:t>
      </w:r>
      <w:r w:rsidR="00470D94">
        <w:rPr>
          <w:noProof/>
        </w:rPr>
        <w:t xml:space="preserve"> ON </w:t>
      </w:r>
      <w:r w:rsidR="00470D94" w:rsidRPr="00470D94">
        <w:rPr>
          <w:noProof/>
        </w:rPr>
        <w:t>INNOVATIVE TECHNOLOGIES AND FORMS OF RENEWABLE ENERGY DEPLOYMENT</w:t>
      </w:r>
    </w:p>
    <w:p w:rsidR="00E14DF4" w:rsidRDefault="00795C22" w:rsidP="00795C22">
      <w:pPr>
        <w:pStyle w:val="Point0"/>
        <w:rPr>
          <w:noProof/>
        </w:rPr>
      </w:pPr>
      <w:r w:rsidRPr="00795C22">
        <w:rPr>
          <w:noProof/>
        </w:rPr>
        <w:t>(28)</w:t>
      </w:r>
      <w:r w:rsidRPr="00795C22">
        <w:rPr>
          <w:noProof/>
        </w:rPr>
        <w:tab/>
      </w:r>
      <w:r w:rsidR="00D245B1">
        <w:rPr>
          <w:noProof/>
        </w:rPr>
        <w:t xml:space="preserve">Member States are encouraged to promote continued research </w:t>
      </w:r>
      <w:r w:rsidR="00325F8D">
        <w:rPr>
          <w:noProof/>
        </w:rPr>
        <w:t xml:space="preserve">into </w:t>
      </w:r>
      <w:r w:rsidR="00D245B1">
        <w:rPr>
          <w:noProof/>
        </w:rPr>
        <w:t>innovative forms of deployment</w:t>
      </w:r>
      <w:r w:rsidR="005F3FD7">
        <w:rPr>
          <w:noProof/>
        </w:rPr>
        <w:t xml:space="preserve"> and innovative renewable energy technologies</w:t>
      </w:r>
      <w:r w:rsidR="00D245B1">
        <w:rPr>
          <w:noProof/>
        </w:rPr>
        <w:t>, including via pilot projects</w:t>
      </w:r>
      <w:r w:rsidR="001B4CA4">
        <w:rPr>
          <w:noProof/>
        </w:rPr>
        <w:t>, demonstration, testing</w:t>
      </w:r>
      <w:r w:rsidR="00D245B1">
        <w:rPr>
          <w:noProof/>
        </w:rPr>
        <w:t xml:space="preserve"> and studies</w:t>
      </w:r>
      <w:r w:rsidR="00D75C65">
        <w:rPr>
          <w:noProof/>
        </w:rPr>
        <w:t>,</w:t>
      </w:r>
      <w:r w:rsidR="00D245B1">
        <w:rPr>
          <w:noProof/>
        </w:rPr>
        <w:t xml:space="preserve"> </w:t>
      </w:r>
      <w:r w:rsidR="00D75C65">
        <w:rPr>
          <w:noProof/>
        </w:rPr>
        <w:t>that is to say</w:t>
      </w:r>
      <w:r w:rsidR="00D245B1">
        <w:rPr>
          <w:noProof/>
        </w:rPr>
        <w:t xml:space="preserve"> on their potential</w:t>
      </w:r>
      <w:r w:rsidR="53A166DE">
        <w:rPr>
          <w:noProof/>
        </w:rPr>
        <w:t xml:space="preserve"> to contribute to the Union’s renewable energy target, and their likely</w:t>
      </w:r>
      <w:r w:rsidR="00D245B1">
        <w:rPr>
          <w:noProof/>
        </w:rPr>
        <w:t xml:space="preserve"> environmental impact</w:t>
      </w:r>
      <w:r w:rsidR="004E137E">
        <w:rPr>
          <w:noProof/>
        </w:rPr>
        <w:t>s</w:t>
      </w:r>
      <w:r w:rsidR="00D245B1">
        <w:rPr>
          <w:noProof/>
        </w:rPr>
        <w:t>.</w:t>
      </w:r>
    </w:p>
    <w:p w:rsidR="00D245B1" w:rsidRDefault="00795C22" w:rsidP="00795C22">
      <w:pPr>
        <w:pStyle w:val="Point0"/>
        <w:rPr>
          <w:noProof/>
        </w:rPr>
      </w:pPr>
      <w:r w:rsidRPr="00795C22">
        <w:rPr>
          <w:noProof/>
        </w:rPr>
        <w:t>(29)</w:t>
      </w:r>
      <w:r w:rsidRPr="00795C22">
        <w:rPr>
          <w:noProof/>
        </w:rPr>
        <w:tab/>
      </w:r>
      <w:r w:rsidR="00D245B1">
        <w:rPr>
          <w:noProof/>
        </w:rPr>
        <w:t xml:space="preserve">Member States are encouraged to monitor their innovative projects </w:t>
      </w:r>
      <w:r w:rsidR="00325F8D">
        <w:rPr>
          <w:noProof/>
        </w:rPr>
        <w:t xml:space="preserve">regularly </w:t>
      </w:r>
      <w:r w:rsidR="00D245B1">
        <w:rPr>
          <w:noProof/>
        </w:rPr>
        <w:t>and disseminate widely the knowledge acquired</w:t>
      </w:r>
      <w:r w:rsidR="4DCBE924">
        <w:rPr>
          <w:noProof/>
        </w:rPr>
        <w:t>, including among Member States</w:t>
      </w:r>
      <w:r w:rsidR="00D245B1">
        <w:rPr>
          <w:noProof/>
        </w:rPr>
        <w:t>.</w:t>
      </w:r>
    </w:p>
    <w:p w:rsidR="004C3050" w:rsidRPr="004C3050" w:rsidRDefault="00795C22" w:rsidP="00795C22">
      <w:pPr>
        <w:pStyle w:val="Point0"/>
        <w:rPr>
          <w:noProof/>
          <w:lang w:val="en-IE"/>
        </w:rPr>
      </w:pPr>
      <w:r w:rsidRPr="00795C22">
        <w:rPr>
          <w:noProof/>
        </w:rPr>
        <w:t>(30)</w:t>
      </w:r>
      <w:r w:rsidRPr="00795C22">
        <w:rPr>
          <w:noProof/>
        </w:rPr>
        <w:tab/>
      </w:r>
      <w:r w:rsidR="00D245B1">
        <w:rPr>
          <w:noProof/>
        </w:rPr>
        <w:t>Member States should foster cooperation among the different public authorities involved in creati</w:t>
      </w:r>
      <w:r w:rsidR="00452327">
        <w:rPr>
          <w:noProof/>
        </w:rPr>
        <w:t>ng</w:t>
      </w:r>
      <w:r w:rsidR="00D245B1">
        <w:rPr>
          <w:noProof/>
        </w:rPr>
        <w:t xml:space="preserve"> and maint</w:t>
      </w:r>
      <w:r w:rsidR="00452327">
        <w:rPr>
          <w:noProof/>
        </w:rPr>
        <w:t>aining</w:t>
      </w:r>
      <w:r w:rsidR="00D245B1">
        <w:rPr>
          <w:noProof/>
        </w:rPr>
        <w:t xml:space="preserve"> the regulatory framework of innovative forms </w:t>
      </w:r>
      <w:r w:rsidR="00D245B1" w:rsidRPr="00056690">
        <w:rPr>
          <w:noProof/>
        </w:rPr>
        <w:t>of deployment</w:t>
      </w:r>
      <w:r w:rsidR="005F3FD7" w:rsidRPr="00056690">
        <w:rPr>
          <w:noProof/>
        </w:rPr>
        <w:t xml:space="preserve"> and innovative renewable energy technologies</w:t>
      </w:r>
      <w:r w:rsidR="4FD6EABF" w:rsidRPr="00056690">
        <w:rPr>
          <w:noProof/>
        </w:rPr>
        <w:t xml:space="preserve"> and among themselves</w:t>
      </w:r>
      <w:r w:rsidR="00D245B1" w:rsidRPr="00056690">
        <w:rPr>
          <w:noProof/>
        </w:rPr>
        <w:t>, including by creating specific meetings or fora to promote exchange.</w:t>
      </w:r>
      <w:r w:rsidR="004C3050">
        <w:rPr>
          <w:rFonts w:eastAsia="Times New Roman"/>
          <w:noProof/>
          <w:color w:val="000000" w:themeColor="text1"/>
          <w:szCs w:val="24"/>
        </w:rPr>
        <w:t xml:space="preserve"> </w:t>
      </w:r>
      <w:r w:rsidR="004C3050" w:rsidRPr="00056690">
        <w:rPr>
          <w:noProof/>
        </w:rPr>
        <w:t>National-level coordination should be combined with efforts to ensure standardisation</w:t>
      </w:r>
      <w:r w:rsidR="004C3050" w:rsidRPr="004C3050">
        <w:rPr>
          <w:noProof/>
        </w:rPr>
        <w:t xml:space="preserve"> and interoperability across Member States.</w:t>
      </w:r>
      <w:r w:rsidR="004C3050" w:rsidRPr="004C3050">
        <w:rPr>
          <w:noProof/>
          <w:lang w:val="en-IE"/>
        </w:rPr>
        <w:t xml:space="preserve"> </w:t>
      </w:r>
    </w:p>
    <w:p w:rsidR="0093034F" w:rsidRDefault="00795C22" w:rsidP="00795C22">
      <w:pPr>
        <w:pStyle w:val="Point0"/>
        <w:rPr>
          <w:noProof/>
        </w:rPr>
      </w:pPr>
      <w:bookmarkStart w:id="6" w:name="_Hlk199228967"/>
      <w:r w:rsidRPr="00795C22">
        <w:rPr>
          <w:noProof/>
        </w:rPr>
        <w:t>(31)</w:t>
      </w:r>
      <w:r w:rsidRPr="00795C22">
        <w:rPr>
          <w:noProof/>
        </w:rPr>
        <w:tab/>
      </w:r>
      <w:r w:rsidR="00D245B1">
        <w:rPr>
          <w:noProof/>
        </w:rPr>
        <w:t>Member States should a</w:t>
      </w:r>
      <w:r w:rsidR="00182F6D">
        <w:rPr>
          <w:noProof/>
        </w:rPr>
        <w:t xml:space="preserve">ddress </w:t>
      </w:r>
      <w:r w:rsidR="00D245B1">
        <w:rPr>
          <w:noProof/>
        </w:rPr>
        <w:t xml:space="preserve">the </w:t>
      </w:r>
      <w:r w:rsidR="00182F6D">
        <w:rPr>
          <w:noProof/>
        </w:rPr>
        <w:t>lack of experience and skills</w:t>
      </w:r>
      <w:r w:rsidR="00D245B1">
        <w:rPr>
          <w:noProof/>
        </w:rPr>
        <w:t xml:space="preserve"> in the public administration </w:t>
      </w:r>
      <w:r w:rsidR="000E5C9A">
        <w:rPr>
          <w:noProof/>
        </w:rPr>
        <w:t>with</w:t>
      </w:r>
      <w:r w:rsidR="00D245B1">
        <w:rPr>
          <w:noProof/>
        </w:rPr>
        <w:t xml:space="preserve"> the professionals working with these innovative forms of deployment </w:t>
      </w:r>
      <w:r w:rsidR="005F3FD7">
        <w:rPr>
          <w:noProof/>
        </w:rPr>
        <w:t>and innovative renewable energy technologies</w:t>
      </w:r>
      <w:r w:rsidR="00620484">
        <w:rPr>
          <w:noProof/>
        </w:rPr>
        <w:t>.</w:t>
      </w:r>
      <w:r w:rsidR="00C44BCC">
        <w:rPr>
          <w:noProof/>
        </w:rPr>
        <w:t xml:space="preserve"> In this regard,</w:t>
      </w:r>
      <w:r w:rsidR="20AC4998">
        <w:rPr>
          <w:noProof/>
        </w:rPr>
        <w:t xml:space="preserve"> </w:t>
      </w:r>
      <w:r w:rsidR="00CF7DEB">
        <w:rPr>
          <w:noProof/>
        </w:rPr>
        <w:t xml:space="preserve">Member States </w:t>
      </w:r>
      <w:r w:rsidR="001C1D88">
        <w:rPr>
          <w:noProof/>
        </w:rPr>
        <w:t xml:space="preserve">are encouraged to </w:t>
      </w:r>
      <w:r w:rsidR="4F698236">
        <w:rPr>
          <w:noProof/>
        </w:rPr>
        <w:t xml:space="preserve">promote adapted training and capacity-building activities. In doing so, Member States </w:t>
      </w:r>
      <w:r w:rsidR="00CF7DEB">
        <w:rPr>
          <w:noProof/>
        </w:rPr>
        <w:t xml:space="preserve">could also make use of the </w:t>
      </w:r>
      <w:r w:rsidR="298AC11E">
        <w:rPr>
          <w:noProof/>
        </w:rPr>
        <w:t>opportunities</w:t>
      </w:r>
      <w:r w:rsidR="7E12E3FF">
        <w:rPr>
          <w:noProof/>
        </w:rPr>
        <w:t xml:space="preserve"> provided at EU level, such as the </w:t>
      </w:r>
      <w:r w:rsidR="00C44BCC">
        <w:rPr>
          <w:noProof/>
        </w:rPr>
        <w:t>European Commission</w:t>
      </w:r>
      <w:r w:rsidR="001C1D88">
        <w:rPr>
          <w:noProof/>
        </w:rPr>
        <w:t>’s</w:t>
      </w:r>
      <w:r w:rsidR="00C44BCC">
        <w:rPr>
          <w:noProof/>
        </w:rPr>
        <w:t xml:space="preserve"> financial and technical assistance</w:t>
      </w:r>
      <w:r w:rsidR="001C1D88">
        <w:rPr>
          <w:noProof/>
        </w:rPr>
        <w:t xml:space="preserve"> </w:t>
      </w:r>
      <w:r w:rsidR="001C1D88" w:rsidRPr="00C912D5">
        <w:rPr>
          <w:noProof/>
        </w:rPr>
        <w:t xml:space="preserve">delivered through programmes like Cohesion 4 Transition, </w:t>
      </w:r>
      <w:r w:rsidR="0FB295B7" w:rsidRPr="00C912D5">
        <w:rPr>
          <w:noProof/>
        </w:rPr>
        <w:t xml:space="preserve">the </w:t>
      </w:r>
      <w:r w:rsidR="001C1D88" w:rsidRPr="00C912D5">
        <w:rPr>
          <w:noProof/>
        </w:rPr>
        <w:t>Life programme</w:t>
      </w:r>
      <w:r w:rsidR="006AD6D8" w:rsidRPr="00C912D5">
        <w:rPr>
          <w:noProof/>
        </w:rPr>
        <w:t xml:space="preserve"> o</w:t>
      </w:r>
      <w:r w:rsidR="00D245B1">
        <w:rPr>
          <w:noProof/>
        </w:rPr>
        <w:t>r</w:t>
      </w:r>
      <w:r w:rsidR="006AD6D8" w:rsidRPr="00C912D5">
        <w:rPr>
          <w:noProof/>
        </w:rPr>
        <w:t xml:space="preserve"> the</w:t>
      </w:r>
      <w:r w:rsidR="00C44BCC" w:rsidRPr="00C912D5">
        <w:rPr>
          <w:noProof/>
        </w:rPr>
        <w:t xml:space="preserve"> </w:t>
      </w:r>
      <w:r w:rsidR="00CF7DEB" w:rsidRPr="00C912D5">
        <w:rPr>
          <w:noProof/>
        </w:rPr>
        <w:t xml:space="preserve">Pact for Skills. </w:t>
      </w:r>
      <w:bookmarkEnd w:id="6"/>
    </w:p>
    <w:p w:rsidR="007EC0CE" w:rsidRPr="0093034F" w:rsidRDefault="00795C22" w:rsidP="00795C22">
      <w:pPr>
        <w:pStyle w:val="Point0"/>
        <w:rPr>
          <w:noProof/>
        </w:rPr>
      </w:pPr>
      <w:r w:rsidRPr="00795C22">
        <w:rPr>
          <w:noProof/>
        </w:rPr>
        <w:t>(32)</w:t>
      </w:r>
      <w:r w:rsidRPr="00795C22">
        <w:rPr>
          <w:noProof/>
        </w:rPr>
        <w:tab/>
      </w:r>
      <w:r w:rsidR="407BF2AC" w:rsidRPr="00C912D5">
        <w:rPr>
          <w:noProof/>
        </w:rPr>
        <w:t>When</w:t>
      </w:r>
      <w:r w:rsidR="407BF2AC">
        <w:rPr>
          <w:noProof/>
        </w:rPr>
        <w:t xml:space="preserve"> implementing the recommendations under points (</w:t>
      </w:r>
      <w:r w:rsidR="06E1BE33">
        <w:rPr>
          <w:noProof/>
        </w:rPr>
        <w:t>2</w:t>
      </w:r>
      <w:r w:rsidR="00B140BD">
        <w:rPr>
          <w:noProof/>
        </w:rPr>
        <w:t>8</w:t>
      </w:r>
      <w:r w:rsidR="407BF2AC">
        <w:rPr>
          <w:noProof/>
        </w:rPr>
        <w:t>) to (</w:t>
      </w:r>
      <w:r w:rsidR="00221189">
        <w:rPr>
          <w:noProof/>
        </w:rPr>
        <w:t>3</w:t>
      </w:r>
      <w:r w:rsidR="00B140BD">
        <w:rPr>
          <w:noProof/>
        </w:rPr>
        <w:t>1</w:t>
      </w:r>
      <w:r w:rsidR="407BF2AC">
        <w:rPr>
          <w:noProof/>
        </w:rPr>
        <w:t xml:space="preserve">), Member States are encouraged to </w:t>
      </w:r>
      <w:r w:rsidR="00325F8D">
        <w:rPr>
          <w:noProof/>
        </w:rPr>
        <w:t>consider</w:t>
      </w:r>
      <w:r w:rsidR="407BF2AC">
        <w:rPr>
          <w:noProof/>
        </w:rPr>
        <w:t xml:space="preserve"> the practices described in </w:t>
      </w:r>
      <w:r w:rsidR="00D965E2">
        <w:rPr>
          <w:noProof/>
        </w:rPr>
        <w:t>S</w:t>
      </w:r>
      <w:r w:rsidR="407BF2AC">
        <w:rPr>
          <w:noProof/>
        </w:rPr>
        <w:t>ection 4 of the guidance</w:t>
      </w:r>
      <w:r w:rsidR="4A3916D6">
        <w:rPr>
          <w:noProof/>
        </w:rPr>
        <w:t xml:space="preserve"> on innovative technologies and forms of renewable energy deployment, </w:t>
      </w:r>
      <w:r w:rsidR="3AF9088D">
        <w:rPr>
          <w:noProof/>
        </w:rPr>
        <w:t>adopted by the Commission on the same day as the Recommendation.</w:t>
      </w:r>
    </w:p>
    <w:p w:rsidR="007EC0CE" w:rsidRDefault="09BD5D39" w:rsidP="00DD46B2">
      <w:pPr>
        <w:pStyle w:val="Titrearticle"/>
        <w:rPr>
          <w:noProof/>
        </w:rPr>
      </w:pPr>
      <w:r>
        <w:rPr>
          <w:noProof/>
        </w:rPr>
        <w:t>FUTURE</w:t>
      </w:r>
      <w:r w:rsidR="512ACFF6">
        <w:rPr>
          <w:noProof/>
        </w:rPr>
        <w:t>-</w:t>
      </w:r>
      <w:r>
        <w:rPr>
          <w:noProof/>
        </w:rPr>
        <w:t xml:space="preserve">PROOF </w:t>
      </w:r>
      <w:r w:rsidR="3741DB6A">
        <w:rPr>
          <w:noProof/>
        </w:rPr>
        <w:t xml:space="preserve">ELECTRICITY </w:t>
      </w:r>
      <w:r>
        <w:rPr>
          <w:noProof/>
        </w:rPr>
        <w:t>NETWORK CHARGES TO REDUCE ENERGY SYSTEM COSTS</w:t>
      </w:r>
    </w:p>
    <w:p w:rsidR="18219992" w:rsidRDefault="00795C22" w:rsidP="00795C22">
      <w:pPr>
        <w:pStyle w:val="Point0"/>
        <w:rPr>
          <w:noProof/>
        </w:rPr>
      </w:pPr>
      <w:r w:rsidRPr="00795C22">
        <w:rPr>
          <w:noProof/>
        </w:rPr>
        <w:t>(33)</w:t>
      </w:r>
      <w:r w:rsidRPr="00795C22">
        <w:rPr>
          <w:noProof/>
        </w:rPr>
        <w:tab/>
      </w:r>
      <w:r w:rsidR="5DCA8D81">
        <w:rPr>
          <w:noProof/>
        </w:rPr>
        <w:t xml:space="preserve">A well-planned and careful approach to household and industrial consumers is required to enable users to adapt to the design of more cost-reflective tariffs. Thorough stakeholder involvement and a gradual phase-in of the relevant changes should be envisaged to manage short-term effects on particular user categories.   </w:t>
      </w:r>
    </w:p>
    <w:p w:rsidR="18219992" w:rsidRDefault="00795C22" w:rsidP="00795C22">
      <w:pPr>
        <w:pStyle w:val="Point0"/>
        <w:rPr>
          <w:noProof/>
        </w:rPr>
      </w:pPr>
      <w:r w:rsidRPr="00795C22">
        <w:rPr>
          <w:noProof/>
        </w:rPr>
        <w:t>(34)</w:t>
      </w:r>
      <w:r w:rsidRPr="00795C22">
        <w:rPr>
          <w:noProof/>
        </w:rPr>
        <w:tab/>
      </w:r>
      <w:r w:rsidR="038B0CB5">
        <w:rPr>
          <w:noProof/>
        </w:rPr>
        <w:t xml:space="preserve">To ensure cost-effective grid operation and the delivery of important projects </w:t>
      </w:r>
      <w:r w:rsidR="3D2D88E4">
        <w:rPr>
          <w:noProof/>
        </w:rPr>
        <w:t xml:space="preserve">contributing </w:t>
      </w:r>
      <w:r w:rsidR="038B0CB5">
        <w:rPr>
          <w:noProof/>
        </w:rPr>
        <w:t xml:space="preserve">to the integrated market, NRAs should assess the potential for </w:t>
      </w:r>
      <w:r w:rsidR="65DFCCAB">
        <w:rPr>
          <w:noProof/>
        </w:rPr>
        <w:t>incentive-based</w:t>
      </w:r>
      <w:r w:rsidR="038B0CB5">
        <w:rPr>
          <w:noProof/>
        </w:rPr>
        <w:t xml:space="preserve"> regulation and adapt the related set of performance indicators and benchmarks for network operators.</w:t>
      </w:r>
    </w:p>
    <w:p w:rsidR="18219992" w:rsidRDefault="00795C22" w:rsidP="00795C22">
      <w:pPr>
        <w:pStyle w:val="Point0"/>
        <w:rPr>
          <w:noProof/>
        </w:rPr>
      </w:pPr>
      <w:r w:rsidRPr="00795C22">
        <w:rPr>
          <w:noProof/>
        </w:rPr>
        <w:t>(35)</w:t>
      </w:r>
      <w:r w:rsidRPr="00795C22">
        <w:rPr>
          <w:noProof/>
        </w:rPr>
        <w:tab/>
      </w:r>
      <w:r w:rsidR="6329994B">
        <w:rPr>
          <w:noProof/>
        </w:rPr>
        <w:t xml:space="preserve">NRAs should use tariff design to incentivise the reduction of peak load consumption, including through adding a capacity element in to the tariff structure that reflects peak load, </w:t>
      </w:r>
      <w:r w:rsidR="590FD7B2">
        <w:rPr>
          <w:noProof/>
        </w:rPr>
        <w:t>combined with a time-of-use energy element to the tariff, especially at times when the grid risks being saturated, to reduce the cost</w:t>
      </w:r>
      <w:r w:rsidR="6329994B">
        <w:rPr>
          <w:noProof/>
        </w:rPr>
        <w:t xml:space="preserve"> of network expansion to the level needed.  </w:t>
      </w:r>
    </w:p>
    <w:p w:rsidR="18219992" w:rsidRDefault="00795C22" w:rsidP="00795C22">
      <w:pPr>
        <w:pStyle w:val="Point0"/>
        <w:rPr>
          <w:noProof/>
        </w:rPr>
      </w:pPr>
      <w:r w:rsidRPr="00795C22">
        <w:rPr>
          <w:noProof/>
        </w:rPr>
        <w:t>(36)</w:t>
      </w:r>
      <w:r w:rsidRPr="00795C22">
        <w:rPr>
          <w:noProof/>
        </w:rPr>
        <w:tab/>
      </w:r>
      <w:r w:rsidR="038B0CB5">
        <w:rPr>
          <w:noProof/>
        </w:rPr>
        <w:t>NRAs should include time-of-use elements in tariff structures, to correlate cost allocation with peak network usage</w:t>
      </w:r>
      <w:r w:rsidR="65DFCCAB">
        <w:rPr>
          <w:noProof/>
        </w:rPr>
        <w:t xml:space="preserve">, </w:t>
      </w:r>
      <w:r w:rsidR="54ECC84B">
        <w:rPr>
          <w:noProof/>
        </w:rPr>
        <w:t xml:space="preserve">in order to incentivise </w:t>
      </w:r>
      <w:r w:rsidR="038B0CB5">
        <w:rPr>
          <w:noProof/>
        </w:rPr>
        <w:t xml:space="preserve">efficient use of the network. Different approaches can be used for time differentiation, from the simpler </w:t>
      </w:r>
      <w:r w:rsidR="132D8D57">
        <w:rPr>
          <w:noProof/>
        </w:rPr>
        <w:t>(e.g.</w:t>
      </w:r>
      <w:r w:rsidR="038B0CB5">
        <w:rPr>
          <w:noProof/>
        </w:rPr>
        <w:t xml:space="preserve"> peak/off-peak, seasons, weekdays/weekends</w:t>
      </w:r>
      <w:r w:rsidR="132D8D57">
        <w:rPr>
          <w:noProof/>
        </w:rPr>
        <w:t>)</w:t>
      </w:r>
      <w:r w:rsidR="038B0CB5">
        <w:rPr>
          <w:noProof/>
        </w:rPr>
        <w:t xml:space="preserve"> to the more complex </w:t>
      </w:r>
      <w:r w:rsidR="132D8D57">
        <w:rPr>
          <w:noProof/>
        </w:rPr>
        <w:t xml:space="preserve">(i.e. </w:t>
      </w:r>
      <w:r w:rsidR="038B0CB5">
        <w:rPr>
          <w:noProof/>
        </w:rPr>
        <w:t>where smart meters can allow for a very dynamic time-of-use element</w:t>
      </w:r>
      <w:r w:rsidR="132D8D57">
        <w:rPr>
          <w:noProof/>
        </w:rPr>
        <w:t>)</w:t>
      </w:r>
      <w:r w:rsidR="038B0CB5">
        <w:rPr>
          <w:noProof/>
        </w:rPr>
        <w:t>.</w:t>
      </w:r>
    </w:p>
    <w:p w:rsidR="18219992" w:rsidRDefault="00795C22" w:rsidP="00795C22">
      <w:pPr>
        <w:pStyle w:val="Point0"/>
        <w:rPr>
          <w:noProof/>
        </w:rPr>
      </w:pPr>
      <w:r w:rsidRPr="00795C22">
        <w:rPr>
          <w:noProof/>
        </w:rPr>
        <w:t>(37)</w:t>
      </w:r>
      <w:r w:rsidRPr="00795C22">
        <w:rPr>
          <w:noProof/>
        </w:rPr>
        <w:tab/>
      </w:r>
      <w:r w:rsidR="038B0CB5">
        <w:rPr>
          <w:noProof/>
        </w:rPr>
        <w:t xml:space="preserve">NRAs should promote the use of locational signals in network tariffs as they provide signals for more useful </w:t>
      </w:r>
      <w:r w:rsidR="4E5C0CAF">
        <w:rPr>
          <w:noProof/>
        </w:rPr>
        <w:t xml:space="preserve">siting </w:t>
      </w:r>
      <w:r w:rsidR="038B0CB5">
        <w:rPr>
          <w:noProof/>
        </w:rPr>
        <w:t xml:space="preserve">of necessary generation and consumption on the grid. Attractive or reduced tariffs can stimulate consumption in places and at times where grid is available and demand is lower than available generation at that network location. </w:t>
      </w:r>
      <w:r w:rsidR="7713F17B">
        <w:rPr>
          <w:noProof/>
        </w:rPr>
        <w:t>Also, i</w:t>
      </w:r>
      <w:r w:rsidR="038B0CB5">
        <w:rPr>
          <w:noProof/>
        </w:rPr>
        <w:t>njection charges</w:t>
      </w:r>
      <w:r w:rsidR="730FEFD5">
        <w:rPr>
          <w:noProof/>
        </w:rPr>
        <w:t xml:space="preserve"> </w:t>
      </w:r>
      <w:r w:rsidR="47827150">
        <w:rPr>
          <w:noProof/>
        </w:rPr>
        <w:t>can be a useful way</w:t>
      </w:r>
      <w:r w:rsidR="132D8D57">
        <w:rPr>
          <w:noProof/>
        </w:rPr>
        <w:t xml:space="preserve"> </w:t>
      </w:r>
      <w:r w:rsidR="033894D4">
        <w:rPr>
          <w:noProof/>
        </w:rPr>
        <w:t xml:space="preserve">to incentivise </w:t>
      </w:r>
      <w:r w:rsidR="038B0CB5">
        <w:rPr>
          <w:noProof/>
        </w:rPr>
        <w:t xml:space="preserve">behaviour and investment decisions of generators. </w:t>
      </w:r>
      <w:r w:rsidR="7E8F1C35">
        <w:rPr>
          <w:noProof/>
        </w:rPr>
        <w:t>Where t</w:t>
      </w:r>
      <w:r w:rsidR="038B0CB5">
        <w:rPr>
          <w:noProof/>
        </w:rPr>
        <w:t xml:space="preserve">ransmission and distribution-connected </w:t>
      </w:r>
      <w:r w:rsidR="097B62C9">
        <w:rPr>
          <w:noProof/>
        </w:rPr>
        <w:t xml:space="preserve">generators pay </w:t>
      </w:r>
      <w:r w:rsidR="038B0CB5">
        <w:rPr>
          <w:noProof/>
        </w:rPr>
        <w:t>injection charges</w:t>
      </w:r>
      <w:r w:rsidR="565272F1">
        <w:rPr>
          <w:noProof/>
        </w:rPr>
        <w:t>, these</w:t>
      </w:r>
      <w:r w:rsidR="038B0CB5">
        <w:rPr>
          <w:noProof/>
        </w:rPr>
        <w:t xml:space="preserve"> should be designed so as to include time-of-use and locational elements to alleviate congestion and incentivise the most efficient use </w:t>
      </w:r>
      <w:r w:rsidR="132D8D57">
        <w:rPr>
          <w:noProof/>
        </w:rPr>
        <w:t xml:space="preserve">of </w:t>
      </w:r>
      <w:r w:rsidR="038B0CB5">
        <w:rPr>
          <w:noProof/>
        </w:rPr>
        <w:t>networks.</w:t>
      </w:r>
      <w:r w:rsidR="21888727">
        <w:rPr>
          <w:noProof/>
        </w:rPr>
        <w:t xml:space="preserve"> They may be particularly relevant where grid upgrades are not a viable or cost-effective solution. </w:t>
      </w:r>
    </w:p>
    <w:p w:rsidR="21888727" w:rsidRDefault="00795C22" w:rsidP="00795C22">
      <w:pPr>
        <w:pStyle w:val="Point0"/>
        <w:rPr>
          <w:noProof/>
        </w:rPr>
      </w:pPr>
      <w:r w:rsidRPr="00795C22">
        <w:rPr>
          <w:noProof/>
        </w:rPr>
        <w:t>(38)</w:t>
      </w:r>
      <w:r w:rsidRPr="00795C22">
        <w:rPr>
          <w:noProof/>
        </w:rPr>
        <w:tab/>
      </w:r>
      <w:r w:rsidR="21888727">
        <w:rPr>
          <w:noProof/>
        </w:rPr>
        <w:t xml:space="preserve">Special tariff regimes can be offered to specific classes of grid </w:t>
      </w:r>
      <w:r w:rsidR="47BFBD36">
        <w:rPr>
          <w:noProof/>
        </w:rPr>
        <w:t>users</w:t>
      </w:r>
      <w:r w:rsidR="009F0943">
        <w:rPr>
          <w:noProof/>
        </w:rPr>
        <w:t xml:space="preserve"> </w:t>
      </w:r>
      <w:r w:rsidR="009F0943" w:rsidRPr="0093034F">
        <w:rPr>
          <w:noProof/>
        </w:rPr>
        <w:t xml:space="preserve">such as energy intensive-users, prosumers, energy communities </w:t>
      </w:r>
      <w:r w:rsidR="005A7093">
        <w:rPr>
          <w:noProof/>
        </w:rPr>
        <w:t xml:space="preserve">and </w:t>
      </w:r>
      <w:r w:rsidR="009F0943" w:rsidRPr="0093034F">
        <w:rPr>
          <w:noProof/>
        </w:rPr>
        <w:t>bi-directional</w:t>
      </w:r>
      <w:r w:rsidR="00620484" w:rsidRPr="0093034F">
        <w:rPr>
          <w:noProof/>
        </w:rPr>
        <w:t xml:space="preserve"> </w:t>
      </w:r>
      <w:r w:rsidR="009F0943" w:rsidRPr="0093034F">
        <w:rPr>
          <w:noProof/>
        </w:rPr>
        <w:t>charging</w:t>
      </w:r>
      <w:r w:rsidR="00B140BD" w:rsidRPr="0093034F">
        <w:rPr>
          <w:noProof/>
        </w:rPr>
        <w:t xml:space="preserve"> in justified cases. T</w:t>
      </w:r>
      <w:r w:rsidR="21888727" w:rsidRPr="0093034F">
        <w:rPr>
          <w:noProof/>
        </w:rPr>
        <w:t>he NRA should provide objective grounds that these grid users, based on their consumption profile</w:t>
      </w:r>
      <w:r w:rsidR="009F0943" w:rsidRPr="0093034F">
        <w:rPr>
          <w:noProof/>
        </w:rPr>
        <w:t xml:space="preserve"> and the flexibility </w:t>
      </w:r>
      <w:r w:rsidR="00B140BD" w:rsidRPr="0093034F">
        <w:rPr>
          <w:noProof/>
        </w:rPr>
        <w:t>they offer to the overall system</w:t>
      </w:r>
      <w:r w:rsidR="21888727" w:rsidRPr="0093034F">
        <w:rPr>
          <w:noProof/>
        </w:rPr>
        <w:t>, have a lower impact on the overall cost of the electricity network.</w:t>
      </w:r>
      <w:r w:rsidR="21888727">
        <w:rPr>
          <w:noProof/>
        </w:rPr>
        <w:t xml:space="preserve"> </w:t>
      </w:r>
    </w:p>
    <w:p w:rsidR="18219992" w:rsidRDefault="00795C22" w:rsidP="00795C22">
      <w:pPr>
        <w:pStyle w:val="Point0"/>
        <w:rPr>
          <w:noProof/>
        </w:rPr>
      </w:pPr>
      <w:r w:rsidRPr="00795C22">
        <w:rPr>
          <w:noProof/>
        </w:rPr>
        <w:t>(39)</w:t>
      </w:r>
      <w:r w:rsidRPr="00795C22">
        <w:rPr>
          <w:noProof/>
        </w:rPr>
        <w:tab/>
      </w:r>
      <w:r w:rsidR="038B0CB5">
        <w:rPr>
          <w:noProof/>
        </w:rPr>
        <w:t xml:space="preserve">Network tariffs for </w:t>
      </w:r>
      <w:r w:rsidR="181108FE">
        <w:rPr>
          <w:noProof/>
        </w:rPr>
        <w:t xml:space="preserve">electricity </w:t>
      </w:r>
      <w:r w:rsidR="038B0CB5">
        <w:rPr>
          <w:noProof/>
        </w:rPr>
        <w:t xml:space="preserve">storage can be used to </w:t>
      </w:r>
      <w:r w:rsidR="26D195CF">
        <w:rPr>
          <w:noProof/>
        </w:rPr>
        <w:t xml:space="preserve">incentivise </w:t>
      </w:r>
      <w:r w:rsidR="6BA2F530">
        <w:rPr>
          <w:noProof/>
        </w:rPr>
        <w:t>grid</w:t>
      </w:r>
      <w:r w:rsidR="132D8D57">
        <w:rPr>
          <w:noProof/>
        </w:rPr>
        <w:t>-</w:t>
      </w:r>
      <w:r w:rsidR="038B0CB5">
        <w:rPr>
          <w:noProof/>
        </w:rPr>
        <w:t>friendly behaviour by storage operators, to direct storage investments to the most appropriate areas and to incenti</w:t>
      </w:r>
      <w:r w:rsidR="470A24F1">
        <w:rPr>
          <w:noProof/>
        </w:rPr>
        <w:t>v</w:t>
      </w:r>
      <w:r w:rsidR="038B0CB5">
        <w:rPr>
          <w:noProof/>
        </w:rPr>
        <w:t>i</w:t>
      </w:r>
      <w:r w:rsidR="0CC402B0">
        <w:rPr>
          <w:noProof/>
        </w:rPr>
        <w:t>s</w:t>
      </w:r>
      <w:r w:rsidR="038B0CB5">
        <w:rPr>
          <w:noProof/>
        </w:rPr>
        <w:t>e charging/discharging at times of most utility to the electricity system. Tariff regimes should account for the particularities of storage</w:t>
      </w:r>
      <w:r w:rsidR="0E468FCA">
        <w:rPr>
          <w:noProof/>
        </w:rPr>
        <w:t xml:space="preserve"> and</w:t>
      </w:r>
      <w:r w:rsidR="038B0CB5">
        <w:rPr>
          <w:noProof/>
        </w:rPr>
        <w:t xml:space="preserve"> avoid </w:t>
      </w:r>
      <w:r w:rsidR="269B81B3">
        <w:rPr>
          <w:noProof/>
        </w:rPr>
        <w:t>‘</w:t>
      </w:r>
      <w:r w:rsidR="038B0CB5">
        <w:rPr>
          <w:noProof/>
        </w:rPr>
        <w:t>double charging</w:t>
      </w:r>
      <w:r w:rsidR="269B81B3">
        <w:rPr>
          <w:noProof/>
        </w:rPr>
        <w:t>’</w:t>
      </w:r>
      <w:r w:rsidR="038B0CB5">
        <w:rPr>
          <w:noProof/>
        </w:rPr>
        <w:t xml:space="preserve"> of storage facilities</w:t>
      </w:r>
      <w:r w:rsidR="4D4C3D60">
        <w:rPr>
          <w:noProof/>
        </w:rPr>
        <w:t>, as</w:t>
      </w:r>
      <w:r w:rsidR="038B0CB5">
        <w:rPr>
          <w:noProof/>
        </w:rPr>
        <w:t xml:space="preserve"> this could discourage deployment of storage assets</w:t>
      </w:r>
      <w:r w:rsidR="444BB192">
        <w:rPr>
          <w:noProof/>
        </w:rPr>
        <w:t>,</w:t>
      </w:r>
      <w:r w:rsidR="0BA17AB1">
        <w:rPr>
          <w:noProof/>
        </w:rPr>
        <w:t xml:space="preserve"> but should reflect the overall cost-impact of the storage on network costs</w:t>
      </w:r>
      <w:r w:rsidR="038B0CB5">
        <w:rPr>
          <w:noProof/>
        </w:rPr>
        <w:t>.</w:t>
      </w:r>
    </w:p>
    <w:p w:rsidR="004B34C0" w:rsidRDefault="00795C22" w:rsidP="00795C22">
      <w:pPr>
        <w:pStyle w:val="Point0"/>
        <w:rPr>
          <w:noProof/>
        </w:rPr>
      </w:pPr>
      <w:r w:rsidRPr="00795C22">
        <w:rPr>
          <w:noProof/>
        </w:rPr>
        <w:t>(40)</w:t>
      </w:r>
      <w:r w:rsidRPr="00795C22">
        <w:rPr>
          <w:noProof/>
        </w:rPr>
        <w:tab/>
      </w:r>
      <w:r w:rsidR="211709EC">
        <w:rPr>
          <w:noProof/>
        </w:rPr>
        <w:t xml:space="preserve">Members States are allowed to inject general government funds into the overall network charges budget within the applicable legal framework, provided this is done in a non-discriminatory manner, does not favour particular categories of network users, does not undermine incentives to adjust behaviour so as to lower overall system costs, and only covers the additional costs resulting from measures to accelerate decarbonisation and market integration. </w:t>
      </w:r>
    </w:p>
    <w:p w:rsidR="18219992" w:rsidRDefault="00795C22" w:rsidP="00795C22">
      <w:pPr>
        <w:pStyle w:val="Point0"/>
        <w:rPr>
          <w:noProof/>
        </w:rPr>
      </w:pPr>
      <w:r w:rsidRPr="00795C22">
        <w:rPr>
          <w:noProof/>
        </w:rPr>
        <w:t>(41)</w:t>
      </w:r>
      <w:r w:rsidRPr="00795C22">
        <w:rPr>
          <w:noProof/>
        </w:rPr>
        <w:tab/>
      </w:r>
      <w:r w:rsidR="038B0CB5">
        <w:rPr>
          <w:noProof/>
        </w:rPr>
        <w:t>While cost cascading may still be justified, a more sophisticated approach could better ensure cost-reflectivity as generation becomes prevalent in distribution networks, even at low voltage levels. NRAs should therefore take account of the changing generation/consumption profiles at the distribution level when applying cost cascading.</w:t>
      </w:r>
    </w:p>
    <w:p w:rsidR="007EC0CE" w:rsidRDefault="00795C22" w:rsidP="00795C22">
      <w:pPr>
        <w:pStyle w:val="Point0"/>
        <w:rPr>
          <w:noProof/>
        </w:rPr>
      </w:pPr>
      <w:r w:rsidRPr="00795C22">
        <w:rPr>
          <w:noProof/>
        </w:rPr>
        <w:t>(42)</w:t>
      </w:r>
      <w:r w:rsidRPr="00795C22">
        <w:rPr>
          <w:noProof/>
        </w:rPr>
        <w:tab/>
      </w:r>
      <w:r w:rsidR="73116970">
        <w:rPr>
          <w:noProof/>
        </w:rPr>
        <w:t>When implementing the recommendations under points (3</w:t>
      </w:r>
      <w:r w:rsidR="00B140BD">
        <w:rPr>
          <w:noProof/>
        </w:rPr>
        <w:t>3</w:t>
      </w:r>
      <w:r w:rsidR="73116970">
        <w:rPr>
          <w:noProof/>
        </w:rPr>
        <w:t>) to (</w:t>
      </w:r>
      <w:r w:rsidR="004B34C0">
        <w:rPr>
          <w:noProof/>
        </w:rPr>
        <w:t>4</w:t>
      </w:r>
      <w:r w:rsidR="00B140BD">
        <w:rPr>
          <w:noProof/>
        </w:rPr>
        <w:t>1</w:t>
      </w:r>
      <w:r w:rsidR="73116970">
        <w:rPr>
          <w:noProof/>
        </w:rPr>
        <w:t xml:space="preserve">), Member States are encouraged to </w:t>
      </w:r>
      <w:r w:rsidR="23EE2BC9">
        <w:rPr>
          <w:noProof/>
        </w:rPr>
        <w:t>consider</w:t>
      </w:r>
      <w:r w:rsidR="73116970">
        <w:rPr>
          <w:noProof/>
        </w:rPr>
        <w:t xml:space="preserve"> the practices described in the </w:t>
      </w:r>
      <w:r w:rsidR="40E1FB50">
        <w:rPr>
          <w:noProof/>
        </w:rPr>
        <w:t>Guidelines</w:t>
      </w:r>
      <w:r w:rsidR="73116970">
        <w:rPr>
          <w:noProof/>
        </w:rPr>
        <w:t xml:space="preserve"> </w:t>
      </w:r>
      <w:r w:rsidR="60DE58F0">
        <w:rPr>
          <w:noProof/>
        </w:rPr>
        <w:t>on future proof network charges to reduce energy system costs</w:t>
      </w:r>
      <w:r w:rsidR="6FB1C9C0">
        <w:rPr>
          <w:noProof/>
        </w:rPr>
        <w:t xml:space="preserve">, </w:t>
      </w:r>
      <w:r w:rsidR="4344BB80">
        <w:rPr>
          <w:noProof/>
        </w:rPr>
        <w:t>adopted by the Commission on the same day as the Recommendation</w:t>
      </w:r>
      <w:r w:rsidR="003A21DE">
        <w:rPr>
          <w:rStyle w:val="FootnoteReference"/>
          <w:noProof/>
        </w:rPr>
        <w:footnoteReference w:id="17"/>
      </w:r>
      <w:r w:rsidR="73116970">
        <w:rPr>
          <w:noProof/>
        </w:rPr>
        <w:t>.</w:t>
      </w:r>
    </w:p>
    <w:p w:rsidR="00DD46B2" w:rsidRDefault="00DD46B2" w:rsidP="00DD46B2">
      <w:pPr>
        <w:pStyle w:val="Titrearticle"/>
        <w:rPr>
          <w:noProof/>
        </w:rPr>
      </w:pPr>
      <w:r>
        <w:rPr>
          <w:noProof/>
        </w:rPr>
        <w:t>MONITORING, REPORTING AND REVIEW</w:t>
      </w:r>
    </w:p>
    <w:p w:rsidR="00DD46B2" w:rsidRPr="005D7BF4" w:rsidRDefault="00795C22" w:rsidP="00795C22">
      <w:pPr>
        <w:pStyle w:val="Point0"/>
        <w:rPr>
          <w:noProof/>
        </w:rPr>
      </w:pPr>
      <w:r w:rsidRPr="00795C22">
        <w:rPr>
          <w:noProof/>
        </w:rPr>
        <w:t>(43)</w:t>
      </w:r>
      <w:r w:rsidRPr="00795C22">
        <w:rPr>
          <w:noProof/>
        </w:rPr>
        <w:tab/>
      </w:r>
      <w:r w:rsidR="00DD46B2">
        <w:rPr>
          <w:noProof/>
        </w:rPr>
        <w:t xml:space="preserve">Member States should carry out an audit of the regulatory and non-regulatory barriers to innovative </w:t>
      </w:r>
      <w:r w:rsidR="00C30AAE">
        <w:rPr>
          <w:noProof/>
        </w:rPr>
        <w:t>technologies and</w:t>
      </w:r>
      <w:r w:rsidR="00DD46B2">
        <w:rPr>
          <w:noProof/>
        </w:rPr>
        <w:t xml:space="preserve"> forms of </w:t>
      </w:r>
      <w:r w:rsidR="00351C95">
        <w:rPr>
          <w:noProof/>
        </w:rPr>
        <w:t xml:space="preserve">innovative </w:t>
      </w:r>
      <w:r w:rsidR="00C30AAE">
        <w:rPr>
          <w:noProof/>
        </w:rPr>
        <w:t>renewable energy</w:t>
      </w:r>
      <w:r w:rsidR="00DD46B2">
        <w:rPr>
          <w:noProof/>
        </w:rPr>
        <w:t xml:space="preserve"> deployment that exist in their territory, which should be reviewed regularly, in order to determine and implement measures to encourage their development and deployment</w:t>
      </w:r>
      <w:r w:rsidR="12ADF648">
        <w:rPr>
          <w:noProof/>
        </w:rPr>
        <w:t>.</w:t>
      </w:r>
    </w:p>
    <w:p w:rsidR="00DD46B2" w:rsidRPr="005D7BF4" w:rsidRDefault="00795C22" w:rsidP="00795C22">
      <w:pPr>
        <w:pStyle w:val="Point0"/>
        <w:rPr>
          <w:noProof/>
        </w:rPr>
      </w:pPr>
      <w:r w:rsidRPr="00795C22">
        <w:rPr>
          <w:noProof/>
        </w:rPr>
        <w:t>(44)</w:t>
      </w:r>
      <w:r w:rsidRPr="00795C22">
        <w:rPr>
          <w:noProof/>
        </w:rPr>
        <w:tab/>
      </w:r>
      <w:r w:rsidR="00DD46B2" w:rsidRPr="005D7BF4">
        <w:rPr>
          <w:noProof/>
        </w:rPr>
        <w:t xml:space="preserve">Member States are encouraged to communicate to the Commission, in particular as part of the integrated national energy and climate progress reports to be submitted </w:t>
      </w:r>
      <w:r w:rsidR="0E468FCA">
        <w:rPr>
          <w:noProof/>
        </w:rPr>
        <w:t>under</w:t>
      </w:r>
      <w:r w:rsidR="00DD46B2" w:rsidRPr="005D7BF4">
        <w:rPr>
          <w:noProof/>
        </w:rPr>
        <w:t xml:space="preserve"> Article17 of Regulation (EU) 2018/1999</w:t>
      </w:r>
      <w:r w:rsidR="00DD46B2" w:rsidRPr="005D7BF4">
        <w:rPr>
          <w:rStyle w:val="FootnoteReference"/>
          <w:noProof/>
        </w:rPr>
        <w:footnoteReference w:id="18"/>
      </w:r>
      <w:r w:rsidR="00DD46B2" w:rsidRPr="005D7BF4">
        <w:rPr>
          <w:noProof/>
        </w:rPr>
        <w:t>, detailed information on the national measures taken in the context of this Recommendation.</w:t>
      </w:r>
    </w:p>
    <w:p w:rsidR="00DD46B2" w:rsidRPr="005D7BF4" w:rsidRDefault="00795C22" w:rsidP="00795C22">
      <w:pPr>
        <w:pStyle w:val="Point0"/>
        <w:rPr>
          <w:noProof/>
        </w:rPr>
      </w:pPr>
      <w:r w:rsidRPr="00795C22">
        <w:rPr>
          <w:noProof/>
        </w:rPr>
        <w:t>(45)</w:t>
      </w:r>
      <w:r w:rsidRPr="00795C22">
        <w:rPr>
          <w:noProof/>
        </w:rPr>
        <w:tab/>
      </w:r>
      <w:r w:rsidR="00DD46B2">
        <w:rPr>
          <w:noProof/>
        </w:rPr>
        <w:t xml:space="preserve">The Commission will assess the information submitted by the Member States and </w:t>
      </w:r>
      <w:r w:rsidR="00DD46B2" w:rsidRPr="00A9703B">
        <w:rPr>
          <w:noProof/>
        </w:rPr>
        <w:t>consider whether further measures are needed to support</w:t>
      </w:r>
      <w:r w:rsidR="00DD46B2">
        <w:rPr>
          <w:noProof/>
        </w:rPr>
        <w:t xml:space="preserve"> </w:t>
      </w:r>
      <w:r w:rsidR="23EE2BC9">
        <w:rPr>
          <w:noProof/>
        </w:rPr>
        <w:t xml:space="preserve">them (i) </w:t>
      </w:r>
      <w:r w:rsidR="00DD46B2">
        <w:rPr>
          <w:noProof/>
        </w:rPr>
        <w:t xml:space="preserve">in promoting the development </w:t>
      </w:r>
      <w:r w:rsidR="5E5DA181">
        <w:rPr>
          <w:noProof/>
        </w:rPr>
        <w:t>and uptake</w:t>
      </w:r>
      <w:r w:rsidR="00DD46B2">
        <w:rPr>
          <w:noProof/>
        </w:rPr>
        <w:t xml:space="preserve"> of innovative renewable energy technologies and forms of deployment or </w:t>
      </w:r>
      <w:r w:rsidR="23EE2BC9">
        <w:rPr>
          <w:noProof/>
        </w:rPr>
        <w:t xml:space="preserve">(ii) </w:t>
      </w:r>
      <w:r w:rsidR="00DD46B2">
        <w:rPr>
          <w:noProof/>
        </w:rPr>
        <w:t>in adopting plans to designate dedicated infrastructure areas for the development of grid and storage projects.</w:t>
      </w:r>
    </w:p>
    <w:p w:rsidR="00DE3CDC" w:rsidRDefault="00E12A0A" w:rsidP="00736C1B">
      <w:pPr>
        <w:pStyle w:val="Fait"/>
        <w:rPr>
          <w:noProof/>
        </w:rPr>
      </w:pPr>
      <w:r>
        <w:rPr>
          <w:noProof/>
        </w:rPr>
        <w:t>Done at Brussels, 2.7.2025</w:t>
      </w:r>
    </w:p>
    <w:p w:rsidR="00DE3CDC" w:rsidRDefault="00DE3CDC" w:rsidP="00736C1B">
      <w:pPr>
        <w:pStyle w:val="Institutionquisigne"/>
        <w:rPr>
          <w:noProof/>
        </w:rPr>
      </w:pPr>
      <w:r w:rsidRPr="00DE3CDC">
        <w:rPr>
          <w:noProof/>
        </w:rPr>
        <w:tab/>
        <w:t>For the Commission</w:t>
      </w:r>
    </w:p>
    <w:p w:rsidR="00DE3CDC" w:rsidRPr="00DE3CDC" w:rsidRDefault="00DE3CDC" w:rsidP="00736C1B">
      <w:pPr>
        <w:pStyle w:val="Personnequisigne"/>
        <w:keepNext/>
        <w:rPr>
          <w:noProof/>
        </w:rPr>
      </w:pPr>
      <w:r w:rsidRPr="00DE3CDC">
        <w:rPr>
          <w:noProof/>
        </w:rPr>
        <w:tab/>
      </w:r>
      <w:r>
        <w:rPr>
          <w:noProof/>
        </w:rPr>
        <w:t>Dan JØRGENSEN</w:t>
      </w:r>
      <w:r w:rsidRPr="00DE3CDC">
        <w:rPr>
          <w:noProof/>
        </w:rPr>
        <w:br/>
      </w:r>
      <w:r w:rsidRPr="00DE3CDC">
        <w:rPr>
          <w:noProof/>
        </w:rPr>
        <w:tab/>
        <w:t>Member of the Commission</w:t>
      </w:r>
    </w:p>
    <w:tbl>
      <w:tblPr>
        <w:tblW w:w="0" w:type="auto"/>
        <w:tblInd w:w="4252" w:type="dxa"/>
        <w:tblCellMar>
          <w:top w:w="567" w:type="dxa"/>
          <w:left w:w="0" w:type="dxa"/>
          <w:right w:w="0" w:type="dxa"/>
        </w:tblCellMar>
        <w:tblLook w:val="0000" w:firstRow="0" w:lastRow="0" w:firstColumn="0" w:lastColumn="0" w:noHBand="0" w:noVBand="0"/>
      </w:tblPr>
      <w:tblGrid>
        <w:gridCol w:w="3765"/>
      </w:tblGrid>
      <w:tr w:rsidR="00DD4AE7">
        <w:trPr>
          <w:cantSplit/>
        </w:trPr>
        <w:tc>
          <w:tcPr>
            <w:tcW w:w="0" w:type="auto"/>
            <w:shd w:val="clear" w:color="auto" w:fill="auto"/>
          </w:tcPr>
          <w:p w:rsidR="00DD4AE7" w:rsidRDefault="00643222">
            <w:pPr>
              <w:rPr>
                <w:noProof/>
              </w:rPr>
            </w:pPr>
            <w:r>
              <w:rPr>
                <w:noProof/>
              </w:rPr>
              <w:pict>
                <v:shape id="_x0000_i1026" type="#_x0000_t75" style="width:188.25pt;height:102pt">
                  <v:imagedata r:id="rId16" o:title=""/>
                </v:shape>
              </w:pict>
            </w:r>
          </w:p>
        </w:tc>
      </w:tr>
    </w:tbl>
    <w:p w:rsidR="00A52C7C" w:rsidRDefault="00A52C7C">
      <w:pPr>
        <w:rPr>
          <w:noProof/>
        </w:rPr>
      </w:pPr>
    </w:p>
    <w:sectPr w:rsidR="00A52C7C" w:rsidSect="002722B4">
      <w:headerReference w:type="even" r:id="rId17"/>
      <w:footerReference w:type="even" r:id="rId18"/>
      <w:footerReference w:type="default" r:id="rId19"/>
      <w:headerReference w:type="first" r:id="rId20"/>
      <w:footerReference w:type="first" r:id="rId21"/>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148" w:rsidRDefault="00CF4148" w:rsidP="00DE3CDC">
      <w:pPr>
        <w:spacing w:before="0" w:after="0"/>
      </w:pPr>
      <w:r>
        <w:separator/>
      </w:r>
    </w:p>
  </w:endnote>
  <w:endnote w:type="continuationSeparator" w:id="0">
    <w:p w:rsidR="00CF4148" w:rsidRDefault="00CF4148" w:rsidP="00DE3CDC">
      <w:pPr>
        <w:spacing w:before="0" w:after="0"/>
      </w:pPr>
      <w:r>
        <w:continuationSeparator/>
      </w:r>
    </w:p>
  </w:endnote>
  <w:endnote w:type="continuationNotice" w:id="1">
    <w:p w:rsidR="00CF4148" w:rsidRDefault="00CF414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2B4" w:rsidRPr="002722B4" w:rsidRDefault="002722B4" w:rsidP="002722B4">
    <w:pPr>
      <w:pStyle w:val="Footer"/>
      <w:rPr>
        <w:rFonts w:ascii="Arial" w:hAnsi="Arial" w:cs="Arial"/>
        <w:b/>
        <w:sz w:val="48"/>
      </w:rPr>
    </w:pPr>
    <w:r w:rsidRPr="002722B4">
      <w:rPr>
        <w:rFonts w:ascii="Arial" w:hAnsi="Arial" w:cs="Arial"/>
        <w:b/>
        <w:sz w:val="48"/>
      </w:rPr>
      <w:t>EN</w:t>
    </w:r>
    <w:r w:rsidRPr="002722B4">
      <w:rPr>
        <w:rFonts w:ascii="Arial" w:hAnsi="Arial" w:cs="Arial"/>
        <w:b/>
        <w:sz w:val="48"/>
      </w:rPr>
      <w:tab/>
    </w:r>
    <w:r w:rsidRPr="002722B4">
      <w:rPr>
        <w:rFonts w:ascii="Arial" w:hAnsi="Arial" w:cs="Arial"/>
        <w:b/>
        <w:sz w:val="48"/>
      </w:rPr>
      <w:tab/>
    </w:r>
    <w:r w:rsidRPr="002722B4">
      <w:tab/>
    </w:r>
    <w:r w:rsidRPr="002722B4">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2B4" w:rsidRPr="002722B4" w:rsidRDefault="002722B4" w:rsidP="002722B4">
    <w:pPr>
      <w:pStyle w:val="Footer"/>
      <w:rPr>
        <w:rFonts w:ascii="Arial" w:hAnsi="Arial" w:cs="Arial"/>
        <w:b/>
        <w:sz w:val="48"/>
      </w:rPr>
    </w:pPr>
    <w:r w:rsidRPr="002722B4">
      <w:rPr>
        <w:rFonts w:ascii="Arial" w:hAnsi="Arial" w:cs="Arial"/>
        <w:b/>
        <w:sz w:val="48"/>
      </w:rPr>
      <w:t>EN</w:t>
    </w:r>
    <w:r w:rsidRPr="002722B4">
      <w:rPr>
        <w:rFonts w:ascii="Arial" w:hAnsi="Arial" w:cs="Arial"/>
        <w:b/>
        <w:sz w:val="48"/>
      </w:rPr>
      <w:tab/>
    </w:r>
    <w:r w:rsidRPr="002722B4">
      <w:rPr>
        <w:rFonts w:ascii="Arial" w:hAnsi="Arial" w:cs="Arial"/>
        <w:b/>
        <w:sz w:val="48"/>
      </w:rPr>
      <w:tab/>
    </w:r>
    <w:r w:rsidRPr="002722B4">
      <w:tab/>
    </w:r>
    <w:r w:rsidRPr="002722B4">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2B4" w:rsidRDefault="002722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2B4" w:rsidRPr="002722B4" w:rsidRDefault="002722B4" w:rsidP="002722B4">
    <w:pPr>
      <w:pStyle w:val="Footer"/>
      <w:rPr>
        <w:rFonts w:ascii="Arial" w:hAnsi="Arial" w:cs="Arial"/>
        <w:b/>
        <w:sz w:val="48"/>
      </w:rPr>
    </w:pPr>
    <w:r w:rsidRPr="002722B4">
      <w:rPr>
        <w:rFonts w:ascii="Arial" w:hAnsi="Arial" w:cs="Arial"/>
        <w:b/>
        <w:sz w:val="48"/>
      </w:rPr>
      <w:t>EN</w:t>
    </w:r>
    <w:r w:rsidRPr="002722B4">
      <w:rPr>
        <w:rFonts w:ascii="Arial" w:hAnsi="Arial" w:cs="Arial"/>
        <w:b/>
        <w:sz w:val="48"/>
      </w:rPr>
      <w:tab/>
    </w:r>
    <w:r>
      <w:fldChar w:fldCharType="begin"/>
    </w:r>
    <w:r>
      <w:instrText xml:space="preserve"> PAGE  \* MERGEFORMAT </w:instrText>
    </w:r>
    <w:r>
      <w:fldChar w:fldCharType="separate"/>
    </w:r>
    <w:r w:rsidR="00736C1B">
      <w:rPr>
        <w:noProof/>
      </w:rPr>
      <w:t>9</w:t>
    </w:r>
    <w:r>
      <w:fldChar w:fldCharType="end"/>
    </w:r>
    <w:r>
      <w:tab/>
    </w:r>
    <w:r w:rsidRPr="002722B4">
      <w:tab/>
    </w:r>
    <w:r w:rsidRPr="002722B4">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2B4" w:rsidRDefault="002722B4" w:rsidP="00272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148" w:rsidRDefault="00CF4148" w:rsidP="00DE3CDC">
      <w:pPr>
        <w:spacing w:before="0" w:after="0"/>
      </w:pPr>
      <w:r>
        <w:separator/>
      </w:r>
    </w:p>
  </w:footnote>
  <w:footnote w:type="continuationSeparator" w:id="0">
    <w:p w:rsidR="00CF4148" w:rsidRDefault="00CF4148" w:rsidP="00DE3CDC">
      <w:pPr>
        <w:spacing w:before="0" w:after="0"/>
      </w:pPr>
      <w:r>
        <w:continuationSeparator/>
      </w:r>
    </w:p>
  </w:footnote>
  <w:footnote w:type="continuationNotice" w:id="1">
    <w:p w:rsidR="00CF4148" w:rsidRDefault="00CF4148">
      <w:pPr>
        <w:spacing w:before="0" w:after="0"/>
      </w:pPr>
    </w:p>
  </w:footnote>
  <w:footnote w:id="2">
    <w:p w:rsidR="00DD4AE7" w:rsidRDefault="598BDE29" w:rsidP="00E57EE6">
      <w:pPr>
        <w:pStyle w:val="FootnoteText"/>
        <w:shd w:val="clear" w:color="auto" w:fill="FFFFFF" w:themeFill="background1"/>
        <w:spacing w:after="75"/>
      </w:pPr>
      <w:r w:rsidRPr="00AC3141">
        <w:rPr>
          <w:rStyle w:val="FootnoteReference"/>
        </w:rPr>
        <w:footnoteRef/>
      </w:r>
      <w:r w:rsidR="00AC3141">
        <w:tab/>
      </w:r>
      <w:r>
        <w:t>COM(2025)79 final</w:t>
      </w:r>
    </w:p>
  </w:footnote>
  <w:footnote w:id="3">
    <w:p w:rsidR="00A9412B" w:rsidRDefault="00A9412B">
      <w:pPr>
        <w:pStyle w:val="FootnoteText"/>
        <w:rPr>
          <w:lang w:val="en-IE"/>
        </w:rPr>
      </w:pPr>
      <w:r>
        <w:rPr>
          <w:rStyle w:val="FootnoteReference"/>
        </w:rPr>
        <w:footnoteRef/>
      </w:r>
      <w:r>
        <w:t xml:space="preserve"> </w:t>
      </w:r>
      <w:r>
        <w:tab/>
        <w:t xml:space="preserve">Directive (EU) 2018/2001 of the European Parliament and of the Council of 11 December 2018 on the promotion of the use of energy from renewable sources (OJ L 328, 21.12.2018, p. 82, ELI: </w:t>
      </w:r>
      <w:hyperlink r:id="rId1" w:history="1">
        <w:r>
          <w:rPr>
            <w:rStyle w:val="Hyperlink"/>
          </w:rPr>
          <w:t>http://data.europa.eu/eli/dir/2018/2001/oj</w:t>
        </w:r>
      </w:hyperlink>
      <w:r>
        <w:t xml:space="preserve"> </w:t>
      </w:r>
    </w:p>
  </w:footnote>
  <w:footnote w:id="4">
    <w:p w:rsidR="598BDE29" w:rsidRPr="00AC3141" w:rsidRDefault="598BDE29" w:rsidP="00091C77">
      <w:pPr>
        <w:pStyle w:val="FootnoteText"/>
      </w:pPr>
      <w:r w:rsidRPr="00AC3141">
        <w:rPr>
          <w:rStyle w:val="FootnoteReference"/>
        </w:rPr>
        <w:footnoteRef/>
      </w:r>
      <w:r w:rsidR="00AC3141">
        <w:tab/>
      </w:r>
      <w:r>
        <w:t>C(2024)2660 final</w:t>
      </w:r>
    </w:p>
  </w:footnote>
  <w:footnote w:id="5">
    <w:p w:rsidR="598BDE29" w:rsidRPr="00AC3141" w:rsidRDefault="598BDE29" w:rsidP="00091C77">
      <w:pPr>
        <w:pStyle w:val="FootnoteText"/>
      </w:pPr>
      <w:r w:rsidRPr="00AC3141">
        <w:rPr>
          <w:rStyle w:val="FootnoteReference"/>
        </w:rPr>
        <w:footnoteRef/>
      </w:r>
      <w:r w:rsidR="00AC3141" w:rsidRPr="00AC3141">
        <w:tab/>
      </w:r>
      <w:r>
        <w:t>SWD</w:t>
      </w:r>
      <w:r w:rsidRPr="00AC3141">
        <w:t>(2024)333</w:t>
      </w:r>
      <w:r>
        <w:t xml:space="preserve"> final</w:t>
      </w:r>
    </w:p>
  </w:footnote>
  <w:footnote w:id="6">
    <w:p w:rsidR="598BDE29" w:rsidRPr="00AC3141" w:rsidRDefault="598BDE29" w:rsidP="00091C77">
      <w:pPr>
        <w:pStyle w:val="FootnoteText"/>
      </w:pPr>
      <w:r w:rsidRPr="00AC3141">
        <w:rPr>
          <w:rStyle w:val="FootnoteReference"/>
        </w:rPr>
        <w:footnoteRef/>
      </w:r>
      <w:r w:rsidR="00AC3141" w:rsidRPr="00AC3141">
        <w:tab/>
      </w:r>
      <w:r>
        <w:t>COM(2022) 221 final</w:t>
      </w:r>
    </w:p>
  </w:footnote>
  <w:footnote w:id="7">
    <w:p w:rsidR="007EC0CE" w:rsidRDefault="007EC0CE" w:rsidP="00072BC9">
      <w:pPr>
        <w:pStyle w:val="FootnoteText"/>
      </w:pPr>
      <w:r w:rsidRPr="00AC3141">
        <w:rPr>
          <w:rStyle w:val="FootnoteReference"/>
        </w:rPr>
        <w:footnoteRef/>
      </w:r>
      <w:r w:rsidR="00AC3141">
        <w:tab/>
      </w:r>
      <w:r w:rsidR="00072BC9">
        <w:t xml:space="preserve">The draft notice has been adopted on the same day as this recommendation: </w:t>
      </w:r>
      <w:r w:rsidR="00072BC9" w:rsidRPr="00082E41">
        <w:t>C(2025)4011</w:t>
      </w:r>
    </w:p>
  </w:footnote>
  <w:footnote w:id="8">
    <w:p w:rsidR="007EC0CE" w:rsidRDefault="007EC0CE" w:rsidP="00CD2897">
      <w:pPr>
        <w:pStyle w:val="FootnoteText"/>
      </w:pPr>
      <w:r w:rsidRPr="00AC3141">
        <w:rPr>
          <w:rStyle w:val="FootnoteReference"/>
        </w:rPr>
        <w:footnoteRef/>
      </w:r>
      <w:r w:rsidR="00AC3141">
        <w:tab/>
      </w:r>
      <w:r>
        <w:t xml:space="preserve">The draft </w:t>
      </w:r>
      <w:r w:rsidR="0045310C">
        <w:t xml:space="preserve">notice on the </w:t>
      </w:r>
      <w:r>
        <w:t>guidance has been adopted on the same day as this recommendation</w:t>
      </w:r>
      <w:r w:rsidR="0045310C">
        <w:t>: C(2025)4012</w:t>
      </w:r>
    </w:p>
  </w:footnote>
  <w:footnote w:id="9">
    <w:p w:rsidR="00F37CD1" w:rsidRPr="00874A8F" w:rsidRDefault="00F37CD1" w:rsidP="00F37CD1">
      <w:pPr>
        <w:pStyle w:val="FootnoteText"/>
        <w:rPr>
          <w:lang w:val="en-IE"/>
        </w:rPr>
      </w:pPr>
      <w:r w:rsidRPr="00AC3141">
        <w:rPr>
          <w:rStyle w:val="FootnoteReference"/>
        </w:rPr>
        <w:footnoteRef/>
      </w:r>
      <w:r w:rsidR="00AC3141">
        <w:tab/>
      </w:r>
      <w:r w:rsidR="00E206D8">
        <w:rPr>
          <w:lang w:val="en-IE"/>
        </w:rPr>
        <w:t>C(</w:t>
      </w:r>
      <w:r w:rsidR="00E206D8" w:rsidRPr="00E206D8">
        <w:rPr>
          <w:lang w:val="en-IE"/>
        </w:rPr>
        <w:t>2024</w:t>
      </w:r>
      <w:r w:rsidR="00E206D8">
        <w:rPr>
          <w:lang w:val="en-IE"/>
        </w:rPr>
        <w:t xml:space="preserve">) </w:t>
      </w:r>
      <w:r>
        <w:rPr>
          <w:lang w:val="en-IE"/>
        </w:rPr>
        <w:t xml:space="preserve">2660 </w:t>
      </w:r>
      <w:r w:rsidR="00E206D8">
        <w:rPr>
          <w:lang w:val="en-IE"/>
        </w:rPr>
        <w:t>final</w:t>
      </w:r>
    </w:p>
  </w:footnote>
  <w:footnote w:id="10">
    <w:p w:rsidR="00E206D8" w:rsidRPr="00874A8F" w:rsidRDefault="00E206D8">
      <w:pPr>
        <w:pStyle w:val="FootnoteText"/>
        <w:rPr>
          <w:lang w:val="en-IE"/>
        </w:rPr>
      </w:pPr>
      <w:r w:rsidRPr="00AC3141">
        <w:rPr>
          <w:rStyle w:val="FootnoteReference"/>
        </w:rPr>
        <w:footnoteRef/>
      </w:r>
      <w:r w:rsidR="00AC3141">
        <w:tab/>
      </w:r>
      <w:r>
        <w:t>SWD(2024)333 final</w:t>
      </w:r>
    </w:p>
  </w:footnote>
  <w:footnote w:id="11">
    <w:p w:rsidR="000B401C" w:rsidRPr="00091C77" w:rsidRDefault="000B401C">
      <w:pPr>
        <w:pStyle w:val="FootnoteText"/>
        <w:rPr>
          <w:lang w:val="en-IE"/>
        </w:rPr>
      </w:pPr>
      <w:r w:rsidRPr="00AC3141">
        <w:rPr>
          <w:rStyle w:val="FootnoteReference"/>
        </w:rPr>
        <w:footnoteRef/>
      </w:r>
      <w:r w:rsidR="00AC3141">
        <w:tab/>
      </w:r>
      <w:r>
        <w:t>In line with point 96 of the Climate, Energy and Environmental Aid Guidelines</w:t>
      </w:r>
      <w:r w:rsidR="00F7733A">
        <w:t xml:space="preserve"> if State aid is at stake</w:t>
      </w:r>
      <w:r>
        <w:t>.</w:t>
      </w:r>
    </w:p>
  </w:footnote>
  <w:footnote w:id="12">
    <w:p w:rsidR="00DB1FC4" w:rsidRPr="00DB1FC4" w:rsidRDefault="00DB1FC4">
      <w:pPr>
        <w:pStyle w:val="FootnoteText"/>
      </w:pPr>
      <w:r w:rsidRPr="002A4203">
        <w:rPr>
          <w:rStyle w:val="FootnoteReference"/>
        </w:rPr>
        <w:footnoteRef/>
      </w:r>
      <w:r w:rsidR="002A4203">
        <w:tab/>
      </w:r>
      <w:r>
        <w:t>C(2024)</w:t>
      </w:r>
      <w:r w:rsidR="00F725D3">
        <w:t>2650</w:t>
      </w:r>
      <w:r>
        <w:t xml:space="preserve"> final</w:t>
      </w:r>
    </w:p>
  </w:footnote>
  <w:footnote w:id="13">
    <w:p w:rsidR="00F725D3" w:rsidRPr="00874A8F" w:rsidRDefault="00F725D3">
      <w:pPr>
        <w:pStyle w:val="FootnoteText"/>
        <w:rPr>
          <w:lang w:val="en-IE"/>
        </w:rPr>
      </w:pPr>
      <w:r w:rsidRPr="002A4203">
        <w:rPr>
          <w:rStyle w:val="FootnoteReference"/>
        </w:rPr>
        <w:footnoteRef/>
      </w:r>
      <w:r w:rsidR="002A4203">
        <w:tab/>
      </w:r>
      <w:r>
        <w:rPr>
          <w:lang w:val="en-IE"/>
        </w:rPr>
        <w:t>SWD(2024)300 final</w:t>
      </w:r>
    </w:p>
  </w:footnote>
  <w:footnote w:id="14">
    <w:p w:rsidR="00E206D8" w:rsidRPr="00874A8F" w:rsidRDefault="00E206D8">
      <w:pPr>
        <w:pStyle w:val="FootnoteText"/>
        <w:rPr>
          <w:lang w:val="en-IE"/>
        </w:rPr>
      </w:pPr>
      <w:r w:rsidRPr="002A4203">
        <w:rPr>
          <w:rStyle w:val="FootnoteReference"/>
        </w:rPr>
        <w:footnoteRef/>
      </w:r>
      <w:r w:rsidR="002A4203">
        <w:tab/>
      </w:r>
      <w:r w:rsidR="598BDE29" w:rsidRPr="598BDE29">
        <w:rPr>
          <w:lang w:val="en-IE"/>
        </w:rPr>
        <w:t xml:space="preserve">Commission implementing regulation specifying the pre-qualification and award criteria for auctions for the deployment of energy from renewable sources - COM(2025)2900  </w:t>
      </w:r>
    </w:p>
  </w:footnote>
  <w:footnote w:id="15">
    <w:p w:rsidR="00056690" w:rsidRDefault="00056690">
      <w:pPr>
        <w:pStyle w:val="FootnoteText"/>
        <w:rPr>
          <w:lang w:val="en-IE"/>
        </w:rPr>
      </w:pPr>
      <w:r>
        <w:rPr>
          <w:rStyle w:val="FootnoteReference"/>
        </w:rPr>
        <w:footnoteRef/>
      </w:r>
      <w:r>
        <w:t xml:space="preserve"> </w:t>
      </w:r>
      <w:r>
        <w:tab/>
      </w:r>
      <w:r>
        <w:rPr>
          <w:lang w:val="en-IE"/>
        </w:rPr>
        <w:t>Directive</w:t>
      </w:r>
      <w:r>
        <w:t xml:space="preserve"> (EU) 2024/1275 of the European Parliament and of the Council of 24 April 2024 on the energy performance of buildings (OJ L, 2024/1275, 8.5.2024, ELI: </w:t>
      </w:r>
      <w:hyperlink r:id="rId2" w:history="1">
        <w:r>
          <w:rPr>
            <w:rStyle w:val="Hyperlink"/>
          </w:rPr>
          <w:t>http://data.europa.eu/eli/dir/2024/1275/oj</w:t>
        </w:r>
      </w:hyperlink>
      <w:r>
        <w:t>)</w:t>
      </w:r>
    </w:p>
  </w:footnote>
  <w:footnote w:id="16">
    <w:p w:rsidR="00056690" w:rsidRDefault="00056690">
      <w:pPr>
        <w:pStyle w:val="FootnoteText"/>
        <w:rPr>
          <w:lang w:val="en-IE"/>
        </w:rPr>
      </w:pPr>
      <w:r>
        <w:rPr>
          <w:rStyle w:val="FootnoteReference"/>
        </w:rPr>
        <w:footnoteRef/>
      </w:r>
      <w:r>
        <w:t xml:space="preserve"> </w:t>
      </w:r>
      <w:r>
        <w:rPr>
          <w:lang w:val="en-IE"/>
        </w:rPr>
        <w:t xml:space="preserve"> </w:t>
      </w:r>
      <w:r>
        <w:rPr>
          <w:lang w:val="en-IE"/>
        </w:rPr>
        <w:tab/>
        <w:t xml:space="preserve">The draft notice has been adopted on the same day as this recommendation: </w:t>
      </w:r>
      <w:r>
        <w:t>C(2025)4011</w:t>
      </w:r>
    </w:p>
  </w:footnote>
  <w:footnote w:id="17">
    <w:p w:rsidR="00DD4AE7" w:rsidRDefault="003A21DE" w:rsidP="003A21DE">
      <w:pPr>
        <w:pStyle w:val="FootnoteText"/>
        <w:rPr>
          <w:lang w:val="en-IE"/>
        </w:rPr>
      </w:pPr>
      <w:r w:rsidRPr="00AC3141">
        <w:rPr>
          <w:rStyle w:val="FootnoteReference"/>
        </w:rPr>
        <w:footnoteRef/>
      </w:r>
      <w:r w:rsidR="00AC3141">
        <w:tab/>
      </w:r>
      <w:r>
        <w:t xml:space="preserve">Draft notice on </w:t>
      </w:r>
      <w:r w:rsidRPr="00006634">
        <w:t>Guidelines on future proof network charges for reduced system costs C(2025)4010</w:t>
      </w:r>
    </w:p>
  </w:footnote>
  <w:footnote w:id="18">
    <w:p w:rsidR="00DD46B2" w:rsidRPr="006D338E" w:rsidRDefault="00DD46B2" w:rsidP="00DD46B2">
      <w:pPr>
        <w:pStyle w:val="FootnoteText"/>
        <w:rPr>
          <w:b/>
          <w:bCs/>
          <w:lang w:val="en-IE"/>
        </w:rPr>
      </w:pPr>
      <w:r w:rsidRPr="00852011">
        <w:rPr>
          <w:rStyle w:val="FootnoteReference"/>
        </w:rPr>
        <w:footnoteRef/>
      </w:r>
      <w:r>
        <w:tab/>
      </w:r>
      <w:r w:rsidRPr="26745189">
        <w:rPr>
          <w:lang w:val="en-IE"/>
        </w:rPr>
        <w:t xml:space="preserve">Regulation (EU) 2018/1999 of the European Parliament and of the Council of 11 December 2018 on the Governance of the Energy Union and Climate Action, </w:t>
      </w:r>
      <w:r>
        <w:t xml:space="preserve">amending Regulations (EC) No 663/2009 and (EC) No 715/2009 of the European Parliament and of the Council, Directives 94/22/EC, 98/70/EC, 2009/31/EC, 2009/73/EC, 2010/31/EU, 2012/27/EU and 2013/30/EU of the European Parliament and of the Council, Council Directives 2009/119/EC and (EU) 2015/652 and repealing Regulation (EU) No 525/2013 of the European Parliament and of the Council </w:t>
      </w:r>
      <w:r w:rsidRPr="00D26684">
        <w:t xml:space="preserve">(OJ L </w:t>
      </w:r>
      <w:r w:rsidRPr="00EB6BC3">
        <w:rPr>
          <w:iCs/>
        </w:rPr>
        <w:t xml:space="preserve">328, 21.12.2018, p. </w:t>
      </w:r>
      <w:r w:rsidRPr="00E47EE5">
        <w:rPr>
          <w:iCs/>
        </w:rPr>
        <w:t xml:space="preserve">1, </w:t>
      </w:r>
      <w:r w:rsidRPr="006D338E">
        <w:rPr>
          <w:iCs/>
        </w:rPr>
        <w:t>ELI: http://data.europa.eu/eli/reg/2018/1999/oj</w:t>
      </w:r>
      <w:r w:rsidRPr="00E47EE5">
        <w:rPr>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2B4" w:rsidRDefault="002722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2B4" w:rsidRDefault="00272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2A2BA5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6D42D98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FD0775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53C316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8"/>
    <w:lvlOverride w:ilvl="0">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 w:numId="22">
    <w:abstractNumId w:val="15"/>
  </w:num>
  <w:num w:numId="23">
    <w:abstractNumId w:val="8"/>
  </w:num>
  <w:num w:numId="24">
    <w:abstractNumId w:val="17"/>
  </w:num>
  <w:num w:numId="25">
    <w:abstractNumId w:val="7"/>
  </w:num>
  <w:num w:numId="26">
    <w:abstractNumId w:val="9"/>
  </w:num>
  <w:num w:numId="27">
    <w:abstractNumId w:val="10"/>
  </w:num>
  <w:num w:numId="28">
    <w:abstractNumId w:val="5"/>
  </w:num>
  <w:num w:numId="29">
    <w:abstractNumId w:val="16"/>
  </w:num>
  <w:num w:numId="30">
    <w:abstractNumId w:val="4"/>
  </w:num>
  <w:num w:numId="31">
    <w:abstractNumId w:val="11"/>
  </w:num>
  <w:num w:numId="32">
    <w:abstractNumId w:val="13"/>
  </w:num>
  <w:num w:numId="33">
    <w:abstractNumId w:val="14"/>
  </w:num>
  <w:num w:numId="34">
    <w:abstractNumId w:val="6"/>
  </w:num>
  <w:num w:numId="35">
    <w:abstractNumId w:val="12"/>
  </w:num>
  <w:num w:numId="36">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6-17 09:57:0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lt;UNUSED&gt;"/>
    <w:docVar w:name="LW_COVERPAGE_EXISTS" w:val="True"/>
    <w:docVar w:name="LW_COVERPAGE_GUID" w:val="19CC6B4A-A056-4405-93A6-C77C8993A8BE"/>
    <w:docVar w:name="LW_COVERPAGE_TYPE" w:val="1"/>
    <w:docVar w:name="LW_CROSSREFERENCE" w:val="&lt;UNUSED&gt;"/>
    <w:docVar w:name="LW_DATE.ADOPT.CP" w:val="of 2.7.2025"/>
    <w:docVar w:name="LW_DATE.ADOPT.CP_DATEFORMAT" w:val="of %DATE%"/>
    <w:docVar w:name="LW_DATE.ADOPT.CP_ISODATE" w:val="2025-07-02"/>
    <w:docVar w:name="LW_DocType" w:val="COM"/>
    <w:docVar w:name="LW_EMISSION" w:val="2.7.2025"/>
    <w:docVar w:name="LW_EMISSION_ISODATE" w:val="2025-07-02"/>
    <w:docVar w:name="LW_EMISSION_LOCATION" w:val="BRX"/>
    <w:docVar w:name="LW_EMISSION_PREFIX" w:val="Brussels, "/>
    <w:docVar w:name="LW_EMISSION_SUFFIX" w:val=" "/>
    <w:docVar w:name="LW_ID_DOCMODEL" w:val="SJ-014"/>
    <w:docVar w:name="LW_ID_DOCSIGNATURE" w:val="SJ-014"/>
    <w:docVar w:name="LW_ID_DOCSTRUCTURE" w:val="COM/AA/NOEEA"/>
    <w:docVar w:name="LW_ID_DOCTYPE" w:val="SJ-014"/>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C"/>
    <w:docVar w:name="LW_REF.INST.NEW_ADOPTED" w:val="final"/>
    <w:docVar w:name="LW_REF.INST.NEW_TEXT" w:val="(2025) 402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n innovative technologies and forms of renewable energy deployment, on the establishment of areas for grid and storage infrastructure necessary to integrate renewable energy into the electricity system in accordance with Article15(e) of revised Directive (EU) 2018/2001 of the European Parliament and of the Council, and on future proof network charges to reduce energy system costs"/>
    <w:docVar w:name="LW_TYPE.DOC.CP" w:val="COMMISSION RECOMMENDATION"/>
    <w:docVar w:name="LwApiVersions" w:val="LW4CoDe 1.24.5.0; LW 9.0, Build 20240221"/>
  </w:docVars>
  <w:rsids>
    <w:rsidRoot w:val="00DE3CDC"/>
    <w:rsid w:val="00002645"/>
    <w:rsid w:val="0000291D"/>
    <w:rsid w:val="000070B7"/>
    <w:rsid w:val="0001015F"/>
    <w:rsid w:val="00011322"/>
    <w:rsid w:val="00012FAE"/>
    <w:rsid w:val="00014B00"/>
    <w:rsid w:val="0002378C"/>
    <w:rsid w:val="000278AF"/>
    <w:rsid w:val="00031133"/>
    <w:rsid w:val="00032297"/>
    <w:rsid w:val="00032458"/>
    <w:rsid w:val="00033426"/>
    <w:rsid w:val="00034927"/>
    <w:rsid w:val="00036941"/>
    <w:rsid w:val="00043596"/>
    <w:rsid w:val="00043CD2"/>
    <w:rsid w:val="000475FF"/>
    <w:rsid w:val="0004787C"/>
    <w:rsid w:val="000479A8"/>
    <w:rsid w:val="000504B2"/>
    <w:rsid w:val="00053D25"/>
    <w:rsid w:val="0005611C"/>
    <w:rsid w:val="00056690"/>
    <w:rsid w:val="0006087D"/>
    <w:rsid w:val="00062ED6"/>
    <w:rsid w:val="00070115"/>
    <w:rsid w:val="000705B4"/>
    <w:rsid w:val="000726AD"/>
    <w:rsid w:val="00072BC9"/>
    <w:rsid w:val="000732B0"/>
    <w:rsid w:val="000809BC"/>
    <w:rsid w:val="00090477"/>
    <w:rsid w:val="0009176A"/>
    <w:rsid w:val="00091C77"/>
    <w:rsid w:val="000950B8"/>
    <w:rsid w:val="00096B87"/>
    <w:rsid w:val="000A6391"/>
    <w:rsid w:val="000A7F6F"/>
    <w:rsid w:val="000B03A7"/>
    <w:rsid w:val="000B12AA"/>
    <w:rsid w:val="000B337C"/>
    <w:rsid w:val="000B401C"/>
    <w:rsid w:val="000B68C6"/>
    <w:rsid w:val="000B7EE9"/>
    <w:rsid w:val="000C2E40"/>
    <w:rsid w:val="000C59C1"/>
    <w:rsid w:val="000C6BDB"/>
    <w:rsid w:val="000D5474"/>
    <w:rsid w:val="000E2239"/>
    <w:rsid w:val="000E5C9A"/>
    <w:rsid w:val="000E6EB3"/>
    <w:rsid w:val="000F131C"/>
    <w:rsid w:val="000F1EBA"/>
    <w:rsid w:val="000F4051"/>
    <w:rsid w:val="000F4DA4"/>
    <w:rsid w:val="000F59C3"/>
    <w:rsid w:val="00100274"/>
    <w:rsid w:val="00102048"/>
    <w:rsid w:val="00104735"/>
    <w:rsid w:val="001065F5"/>
    <w:rsid w:val="00114F10"/>
    <w:rsid w:val="00120729"/>
    <w:rsid w:val="001238EF"/>
    <w:rsid w:val="00123A3A"/>
    <w:rsid w:val="001253C7"/>
    <w:rsid w:val="00130FF2"/>
    <w:rsid w:val="00131F26"/>
    <w:rsid w:val="00132A2F"/>
    <w:rsid w:val="00135D11"/>
    <w:rsid w:val="00135D6C"/>
    <w:rsid w:val="00140B2C"/>
    <w:rsid w:val="00140F2F"/>
    <w:rsid w:val="001411CD"/>
    <w:rsid w:val="001414E5"/>
    <w:rsid w:val="00143435"/>
    <w:rsid w:val="00143532"/>
    <w:rsid w:val="00145BBB"/>
    <w:rsid w:val="00154BA6"/>
    <w:rsid w:val="00155F4A"/>
    <w:rsid w:val="00156ED1"/>
    <w:rsid w:val="001631F6"/>
    <w:rsid w:val="0016544C"/>
    <w:rsid w:val="0016602F"/>
    <w:rsid w:val="00170CA5"/>
    <w:rsid w:val="00171876"/>
    <w:rsid w:val="00176D64"/>
    <w:rsid w:val="00177464"/>
    <w:rsid w:val="0017864C"/>
    <w:rsid w:val="00182F6D"/>
    <w:rsid w:val="001832B5"/>
    <w:rsid w:val="00184237"/>
    <w:rsid w:val="00190011"/>
    <w:rsid w:val="00193281"/>
    <w:rsid w:val="00195970"/>
    <w:rsid w:val="00195B18"/>
    <w:rsid w:val="00197613"/>
    <w:rsid w:val="001A0782"/>
    <w:rsid w:val="001A07D7"/>
    <w:rsid w:val="001A1075"/>
    <w:rsid w:val="001A6D2E"/>
    <w:rsid w:val="001A7846"/>
    <w:rsid w:val="001B08EB"/>
    <w:rsid w:val="001B3CAA"/>
    <w:rsid w:val="001B4CA4"/>
    <w:rsid w:val="001C0077"/>
    <w:rsid w:val="001C05C6"/>
    <w:rsid w:val="001C0E97"/>
    <w:rsid w:val="001C12DD"/>
    <w:rsid w:val="001C1D88"/>
    <w:rsid w:val="001C3D67"/>
    <w:rsid w:val="001C55C2"/>
    <w:rsid w:val="001C61B3"/>
    <w:rsid w:val="001D02A4"/>
    <w:rsid w:val="001D18BD"/>
    <w:rsid w:val="001D1A59"/>
    <w:rsid w:val="001D66A5"/>
    <w:rsid w:val="001E2511"/>
    <w:rsid w:val="001E579F"/>
    <w:rsid w:val="001E6714"/>
    <w:rsid w:val="001E72D3"/>
    <w:rsid w:val="001F0216"/>
    <w:rsid w:val="001F1417"/>
    <w:rsid w:val="001F2E6A"/>
    <w:rsid w:val="001F43A1"/>
    <w:rsid w:val="001F4EB1"/>
    <w:rsid w:val="0020152B"/>
    <w:rsid w:val="00201E0E"/>
    <w:rsid w:val="00202FAF"/>
    <w:rsid w:val="00204C97"/>
    <w:rsid w:val="00206747"/>
    <w:rsid w:val="002072D1"/>
    <w:rsid w:val="00207AB6"/>
    <w:rsid w:val="002107EC"/>
    <w:rsid w:val="00211670"/>
    <w:rsid w:val="002127B1"/>
    <w:rsid w:val="00217C4F"/>
    <w:rsid w:val="00220BE1"/>
    <w:rsid w:val="00220FB6"/>
    <w:rsid w:val="00221189"/>
    <w:rsid w:val="00221EB9"/>
    <w:rsid w:val="002225A8"/>
    <w:rsid w:val="002233D7"/>
    <w:rsid w:val="00223C1D"/>
    <w:rsid w:val="00224B2E"/>
    <w:rsid w:val="0022507A"/>
    <w:rsid w:val="00225ACD"/>
    <w:rsid w:val="00226815"/>
    <w:rsid w:val="002328CA"/>
    <w:rsid w:val="00233DC7"/>
    <w:rsid w:val="00234951"/>
    <w:rsid w:val="00235934"/>
    <w:rsid w:val="00235E7D"/>
    <w:rsid w:val="0024122A"/>
    <w:rsid w:val="00242BAE"/>
    <w:rsid w:val="00244681"/>
    <w:rsid w:val="0024712A"/>
    <w:rsid w:val="00247660"/>
    <w:rsid w:val="00247779"/>
    <w:rsid w:val="00247889"/>
    <w:rsid w:val="00250165"/>
    <w:rsid w:val="00255A91"/>
    <w:rsid w:val="00256BF7"/>
    <w:rsid w:val="00257581"/>
    <w:rsid w:val="00257828"/>
    <w:rsid w:val="00261F99"/>
    <w:rsid w:val="002632C8"/>
    <w:rsid w:val="0027198F"/>
    <w:rsid w:val="002722B4"/>
    <w:rsid w:val="00274F4D"/>
    <w:rsid w:val="002778C9"/>
    <w:rsid w:val="00280EE1"/>
    <w:rsid w:val="00282B45"/>
    <w:rsid w:val="00283561"/>
    <w:rsid w:val="002858BF"/>
    <w:rsid w:val="00285BEE"/>
    <w:rsid w:val="0029341A"/>
    <w:rsid w:val="0029533F"/>
    <w:rsid w:val="00297976"/>
    <w:rsid w:val="002A0A59"/>
    <w:rsid w:val="002A140B"/>
    <w:rsid w:val="002A3EFE"/>
    <w:rsid w:val="002A4203"/>
    <w:rsid w:val="002B01C1"/>
    <w:rsid w:val="002B30AF"/>
    <w:rsid w:val="002B3ECC"/>
    <w:rsid w:val="002B59E9"/>
    <w:rsid w:val="002B5B24"/>
    <w:rsid w:val="002C1A35"/>
    <w:rsid w:val="002D2708"/>
    <w:rsid w:val="002F65B4"/>
    <w:rsid w:val="0030138E"/>
    <w:rsid w:val="003028F6"/>
    <w:rsid w:val="0030374C"/>
    <w:rsid w:val="003049B3"/>
    <w:rsid w:val="0030527A"/>
    <w:rsid w:val="003065EE"/>
    <w:rsid w:val="00310EEF"/>
    <w:rsid w:val="00313984"/>
    <w:rsid w:val="0032080D"/>
    <w:rsid w:val="0032118F"/>
    <w:rsid w:val="0032248F"/>
    <w:rsid w:val="0032545D"/>
    <w:rsid w:val="00325F8D"/>
    <w:rsid w:val="003263F4"/>
    <w:rsid w:val="00326EC3"/>
    <w:rsid w:val="00330EE9"/>
    <w:rsid w:val="00333322"/>
    <w:rsid w:val="0033344A"/>
    <w:rsid w:val="00333D5F"/>
    <w:rsid w:val="00333EE0"/>
    <w:rsid w:val="003340A6"/>
    <w:rsid w:val="003350EF"/>
    <w:rsid w:val="00335F36"/>
    <w:rsid w:val="003374FE"/>
    <w:rsid w:val="00340D8E"/>
    <w:rsid w:val="003424CD"/>
    <w:rsid w:val="0035030D"/>
    <w:rsid w:val="00351C95"/>
    <w:rsid w:val="003527A2"/>
    <w:rsid w:val="00352967"/>
    <w:rsid w:val="0035328B"/>
    <w:rsid w:val="003533FB"/>
    <w:rsid w:val="00355B02"/>
    <w:rsid w:val="003600CC"/>
    <w:rsid w:val="00361613"/>
    <w:rsid w:val="00363E58"/>
    <w:rsid w:val="00364C18"/>
    <w:rsid w:val="00365EAF"/>
    <w:rsid w:val="00366B2C"/>
    <w:rsid w:val="003703DF"/>
    <w:rsid w:val="003745A3"/>
    <w:rsid w:val="00377647"/>
    <w:rsid w:val="00386397"/>
    <w:rsid w:val="003866A2"/>
    <w:rsid w:val="00386CEE"/>
    <w:rsid w:val="00386DA9"/>
    <w:rsid w:val="003917A2"/>
    <w:rsid w:val="003A1CB0"/>
    <w:rsid w:val="003A21DE"/>
    <w:rsid w:val="003A7DCA"/>
    <w:rsid w:val="003B2ECE"/>
    <w:rsid w:val="003B4C67"/>
    <w:rsid w:val="003B4D87"/>
    <w:rsid w:val="003B536D"/>
    <w:rsid w:val="003B74EC"/>
    <w:rsid w:val="003B780B"/>
    <w:rsid w:val="003C339D"/>
    <w:rsid w:val="003C3FFE"/>
    <w:rsid w:val="003C71B8"/>
    <w:rsid w:val="003D58AB"/>
    <w:rsid w:val="003D5EB0"/>
    <w:rsid w:val="003D7D64"/>
    <w:rsid w:val="003E0526"/>
    <w:rsid w:val="003E0930"/>
    <w:rsid w:val="003E1DA0"/>
    <w:rsid w:val="003E6D87"/>
    <w:rsid w:val="003E6E63"/>
    <w:rsid w:val="003F1E4F"/>
    <w:rsid w:val="003F3A07"/>
    <w:rsid w:val="0040132B"/>
    <w:rsid w:val="0040329D"/>
    <w:rsid w:val="00406C22"/>
    <w:rsid w:val="00407119"/>
    <w:rsid w:val="0041525B"/>
    <w:rsid w:val="00415B76"/>
    <w:rsid w:val="00417F7E"/>
    <w:rsid w:val="004201B7"/>
    <w:rsid w:val="0042287C"/>
    <w:rsid w:val="00422B34"/>
    <w:rsid w:val="0042648E"/>
    <w:rsid w:val="00452327"/>
    <w:rsid w:val="0045310C"/>
    <w:rsid w:val="004574AB"/>
    <w:rsid w:val="00457718"/>
    <w:rsid w:val="00460167"/>
    <w:rsid w:val="004602DE"/>
    <w:rsid w:val="004628B4"/>
    <w:rsid w:val="0046354D"/>
    <w:rsid w:val="00463FB6"/>
    <w:rsid w:val="00465F59"/>
    <w:rsid w:val="004676CC"/>
    <w:rsid w:val="00470D94"/>
    <w:rsid w:val="00475808"/>
    <w:rsid w:val="00481E0E"/>
    <w:rsid w:val="00482493"/>
    <w:rsid w:val="00482E44"/>
    <w:rsid w:val="0048405E"/>
    <w:rsid w:val="004905A1"/>
    <w:rsid w:val="00492A0A"/>
    <w:rsid w:val="004936D2"/>
    <w:rsid w:val="004949DE"/>
    <w:rsid w:val="004A0FEA"/>
    <w:rsid w:val="004A68AA"/>
    <w:rsid w:val="004B269C"/>
    <w:rsid w:val="004B34C0"/>
    <w:rsid w:val="004B477B"/>
    <w:rsid w:val="004B5F7C"/>
    <w:rsid w:val="004C0B86"/>
    <w:rsid w:val="004C1A35"/>
    <w:rsid w:val="004C3050"/>
    <w:rsid w:val="004C748E"/>
    <w:rsid w:val="004D0439"/>
    <w:rsid w:val="004D11F7"/>
    <w:rsid w:val="004D5CF8"/>
    <w:rsid w:val="004E02C7"/>
    <w:rsid w:val="004E137E"/>
    <w:rsid w:val="004E13CB"/>
    <w:rsid w:val="004E1417"/>
    <w:rsid w:val="004E4836"/>
    <w:rsid w:val="004F1EDC"/>
    <w:rsid w:val="004F571C"/>
    <w:rsid w:val="004F62A6"/>
    <w:rsid w:val="00503783"/>
    <w:rsid w:val="005038ED"/>
    <w:rsid w:val="0050735C"/>
    <w:rsid w:val="00510C87"/>
    <w:rsid w:val="00516614"/>
    <w:rsid w:val="0051669D"/>
    <w:rsid w:val="00520288"/>
    <w:rsid w:val="005219ED"/>
    <w:rsid w:val="00523F3C"/>
    <w:rsid w:val="00532496"/>
    <w:rsid w:val="0053330C"/>
    <w:rsid w:val="00533FF2"/>
    <w:rsid w:val="00534C73"/>
    <w:rsid w:val="005401AA"/>
    <w:rsid w:val="005433B9"/>
    <w:rsid w:val="0054594E"/>
    <w:rsid w:val="00554CC5"/>
    <w:rsid w:val="0055682F"/>
    <w:rsid w:val="00560AB6"/>
    <w:rsid w:val="00566C5C"/>
    <w:rsid w:val="0057381D"/>
    <w:rsid w:val="00577CB9"/>
    <w:rsid w:val="00585624"/>
    <w:rsid w:val="00586129"/>
    <w:rsid w:val="00586568"/>
    <w:rsid w:val="005929B7"/>
    <w:rsid w:val="00594E6F"/>
    <w:rsid w:val="005A174D"/>
    <w:rsid w:val="005A1B96"/>
    <w:rsid w:val="005A333F"/>
    <w:rsid w:val="005A5A43"/>
    <w:rsid w:val="005A6A58"/>
    <w:rsid w:val="005A7093"/>
    <w:rsid w:val="005B0E0A"/>
    <w:rsid w:val="005B0EE1"/>
    <w:rsid w:val="005B1EB6"/>
    <w:rsid w:val="005B2FC7"/>
    <w:rsid w:val="005B3209"/>
    <w:rsid w:val="005B3432"/>
    <w:rsid w:val="005B49C3"/>
    <w:rsid w:val="005B5EB1"/>
    <w:rsid w:val="005B6954"/>
    <w:rsid w:val="005C30E7"/>
    <w:rsid w:val="005C3D6D"/>
    <w:rsid w:val="005D4F4D"/>
    <w:rsid w:val="005D5A77"/>
    <w:rsid w:val="005D720F"/>
    <w:rsid w:val="005D7BF4"/>
    <w:rsid w:val="005E2E96"/>
    <w:rsid w:val="005E708C"/>
    <w:rsid w:val="005F1B1C"/>
    <w:rsid w:val="005F215B"/>
    <w:rsid w:val="005F2DAA"/>
    <w:rsid w:val="005F3FD7"/>
    <w:rsid w:val="005F4264"/>
    <w:rsid w:val="005FA616"/>
    <w:rsid w:val="00601844"/>
    <w:rsid w:val="00610FAF"/>
    <w:rsid w:val="006123E5"/>
    <w:rsid w:val="00612FE6"/>
    <w:rsid w:val="00614E84"/>
    <w:rsid w:val="0061633A"/>
    <w:rsid w:val="00620484"/>
    <w:rsid w:val="00621760"/>
    <w:rsid w:val="00622A8F"/>
    <w:rsid w:val="00622DF5"/>
    <w:rsid w:val="00625B30"/>
    <w:rsid w:val="00630756"/>
    <w:rsid w:val="006329BE"/>
    <w:rsid w:val="00641AF8"/>
    <w:rsid w:val="006429F9"/>
    <w:rsid w:val="00643222"/>
    <w:rsid w:val="00645BE0"/>
    <w:rsid w:val="00654AA6"/>
    <w:rsid w:val="006555B1"/>
    <w:rsid w:val="00656751"/>
    <w:rsid w:val="006612D1"/>
    <w:rsid w:val="006615D0"/>
    <w:rsid w:val="00663CEC"/>
    <w:rsid w:val="00663D2A"/>
    <w:rsid w:val="00663E4C"/>
    <w:rsid w:val="00663E6C"/>
    <w:rsid w:val="00664600"/>
    <w:rsid w:val="0067521C"/>
    <w:rsid w:val="00677738"/>
    <w:rsid w:val="00682BF8"/>
    <w:rsid w:val="00683549"/>
    <w:rsid w:val="00687CE0"/>
    <w:rsid w:val="00690D62"/>
    <w:rsid w:val="00691AD1"/>
    <w:rsid w:val="0069242A"/>
    <w:rsid w:val="006928C9"/>
    <w:rsid w:val="00693081"/>
    <w:rsid w:val="006956DF"/>
    <w:rsid w:val="006A0BB4"/>
    <w:rsid w:val="006A303B"/>
    <w:rsid w:val="006A4BBF"/>
    <w:rsid w:val="006AD6D8"/>
    <w:rsid w:val="006B0B8B"/>
    <w:rsid w:val="006B17B9"/>
    <w:rsid w:val="006B1AE0"/>
    <w:rsid w:val="006B31E1"/>
    <w:rsid w:val="006B668C"/>
    <w:rsid w:val="006B793D"/>
    <w:rsid w:val="006B7D53"/>
    <w:rsid w:val="006C4018"/>
    <w:rsid w:val="006D3F31"/>
    <w:rsid w:val="006D664A"/>
    <w:rsid w:val="006E2E8E"/>
    <w:rsid w:val="006E4B41"/>
    <w:rsid w:val="006F1067"/>
    <w:rsid w:val="006F1359"/>
    <w:rsid w:val="006F1D21"/>
    <w:rsid w:val="006F38D2"/>
    <w:rsid w:val="006F4362"/>
    <w:rsid w:val="006F46CD"/>
    <w:rsid w:val="006F4A5D"/>
    <w:rsid w:val="00701362"/>
    <w:rsid w:val="00702215"/>
    <w:rsid w:val="007034D0"/>
    <w:rsid w:val="00703686"/>
    <w:rsid w:val="00707164"/>
    <w:rsid w:val="00707242"/>
    <w:rsid w:val="007075F9"/>
    <w:rsid w:val="00710F42"/>
    <w:rsid w:val="00713000"/>
    <w:rsid w:val="007176EF"/>
    <w:rsid w:val="00724504"/>
    <w:rsid w:val="007325FE"/>
    <w:rsid w:val="007349A7"/>
    <w:rsid w:val="007369F0"/>
    <w:rsid w:val="00736C1B"/>
    <w:rsid w:val="00740A75"/>
    <w:rsid w:val="007424C8"/>
    <w:rsid w:val="0074473B"/>
    <w:rsid w:val="00751CED"/>
    <w:rsid w:val="00753D8E"/>
    <w:rsid w:val="0075577D"/>
    <w:rsid w:val="00755D31"/>
    <w:rsid w:val="007563E5"/>
    <w:rsid w:val="00757B4C"/>
    <w:rsid w:val="007603C2"/>
    <w:rsid w:val="007608D6"/>
    <w:rsid w:val="00761FBF"/>
    <w:rsid w:val="00762195"/>
    <w:rsid w:val="00762B18"/>
    <w:rsid w:val="007647B3"/>
    <w:rsid w:val="00765A5C"/>
    <w:rsid w:val="00766720"/>
    <w:rsid w:val="00766A88"/>
    <w:rsid w:val="00772224"/>
    <w:rsid w:val="0077282F"/>
    <w:rsid w:val="00773331"/>
    <w:rsid w:val="007733CE"/>
    <w:rsid w:val="00780474"/>
    <w:rsid w:val="007876AB"/>
    <w:rsid w:val="00791A75"/>
    <w:rsid w:val="00792965"/>
    <w:rsid w:val="007932EF"/>
    <w:rsid w:val="00793585"/>
    <w:rsid w:val="00795C22"/>
    <w:rsid w:val="007B31B8"/>
    <w:rsid w:val="007B534F"/>
    <w:rsid w:val="007C2AAC"/>
    <w:rsid w:val="007C45C8"/>
    <w:rsid w:val="007C587F"/>
    <w:rsid w:val="007C5C61"/>
    <w:rsid w:val="007C7EE6"/>
    <w:rsid w:val="007D3CBA"/>
    <w:rsid w:val="007D786F"/>
    <w:rsid w:val="007E05B0"/>
    <w:rsid w:val="007E3926"/>
    <w:rsid w:val="007E6A60"/>
    <w:rsid w:val="007E7802"/>
    <w:rsid w:val="007EC0CE"/>
    <w:rsid w:val="007F2779"/>
    <w:rsid w:val="007F5235"/>
    <w:rsid w:val="0080173E"/>
    <w:rsid w:val="008034B8"/>
    <w:rsid w:val="00805850"/>
    <w:rsid w:val="0081535A"/>
    <w:rsid w:val="00815F29"/>
    <w:rsid w:val="00820D67"/>
    <w:rsid w:val="00824407"/>
    <w:rsid w:val="00827B99"/>
    <w:rsid w:val="008331E2"/>
    <w:rsid w:val="00834AA4"/>
    <w:rsid w:val="00835AE7"/>
    <w:rsid w:val="008361C7"/>
    <w:rsid w:val="00840EFE"/>
    <w:rsid w:val="00842DFC"/>
    <w:rsid w:val="00850475"/>
    <w:rsid w:val="008515FF"/>
    <w:rsid w:val="008531CF"/>
    <w:rsid w:val="00863CA4"/>
    <w:rsid w:val="0086457D"/>
    <w:rsid w:val="008713EF"/>
    <w:rsid w:val="008720C8"/>
    <w:rsid w:val="00874271"/>
    <w:rsid w:val="00874A8F"/>
    <w:rsid w:val="00874D22"/>
    <w:rsid w:val="008817D9"/>
    <w:rsid w:val="0088231D"/>
    <w:rsid w:val="008839CE"/>
    <w:rsid w:val="0088748F"/>
    <w:rsid w:val="00887C91"/>
    <w:rsid w:val="0089159D"/>
    <w:rsid w:val="008926A2"/>
    <w:rsid w:val="00893B8C"/>
    <w:rsid w:val="008950A0"/>
    <w:rsid w:val="00897864"/>
    <w:rsid w:val="008A15DD"/>
    <w:rsid w:val="008A1E48"/>
    <w:rsid w:val="008A2682"/>
    <w:rsid w:val="008A2914"/>
    <w:rsid w:val="008A2B0D"/>
    <w:rsid w:val="008A2E54"/>
    <w:rsid w:val="008A4E90"/>
    <w:rsid w:val="008B032A"/>
    <w:rsid w:val="008B218C"/>
    <w:rsid w:val="008B3191"/>
    <w:rsid w:val="008B3686"/>
    <w:rsid w:val="008B59A4"/>
    <w:rsid w:val="008C0637"/>
    <w:rsid w:val="008C0F7E"/>
    <w:rsid w:val="008C3154"/>
    <w:rsid w:val="008C3879"/>
    <w:rsid w:val="008C4534"/>
    <w:rsid w:val="008C45DC"/>
    <w:rsid w:val="008C53C4"/>
    <w:rsid w:val="008C7C58"/>
    <w:rsid w:val="008C7C81"/>
    <w:rsid w:val="008D2D6E"/>
    <w:rsid w:val="008D3C95"/>
    <w:rsid w:val="008E275D"/>
    <w:rsid w:val="008E3968"/>
    <w:rsid w:val="008E4A13"/>
    <w:rsid w:val="008E4D8E"/>
    <w:rsid w:val="008E6722"/>
    <w:rsid w:val="008E6D85"/>
    <w:rsid w:val="008F3D34"/>
    <w:rsid w:val="008F4218"/>
    <w:rsid w:val="008F464D"/>
    <w:rsid w:val="008F5F5C"/>
    <w:rsid w:val="008F6ED9"/>
    <w:rsid w:val="00901920"/>
    <w:rsid w:val="009061CC"/>
    <w:rsid w:val="00907BDA"/>
    <w:rsid w:val="009141F0"/>
    <w:rsid w:val="00916093"/>
    <w:rsid w:val="009166E7"/>
    <w:rsid w:val="00917A33"/>
    <w:rsid w:val="00924D00"/>
    <w:rsid w:val="00925D80"/>
    <w:rsid w:val="00927D34"/>
    <w:rsid w:val="00927EED"/>
    <w:rsid w:val="0093034F"/>
    <w:rsid w:val="00930C27"/>
    <w:rsid w:val="00935E5A"/>
    <w:rsid w:val="00935E83"/>
    <w:rsid w:val="0093782F"/>
    <w:rsid w:val="00947092"/>
    <w:rsid w:val="00954BC2"/>
    <w:rsid w:val="009562FC"/>
    <w:rsid w:val="00956480"/>
    <w:rsid w:val="00962070"/>
    <w:rsid w:val="00965EA0"/>
    <w:rsid w:val="009662DE"/>
    <w:rsid w:val="00973710"/>
    <w:rsid w:val="009748A6"/>
    <w:rsid w:val="009755E0"/>
    <w:rsid w:val="00980381"/>
    <w:rsid w:val="00980A45"/>
    <w:rsid w:val="00981200"/>
    <w:rsid w:val="009868F0"/>
    <w:rsid w:val="00993E03"/>
    <w:rsid w:val="009969F4"/>
    <w:rsid w:val="009A12F7"/>
    <w:rsid w:val="009A62C5"/>
    <w:rsid w:val="009B14C5"/>
    <w:rsid w:val="009B40B2"/>
    <w:rsid w:val="009B5D86"/>
    <w:rsid w:val="009B788D"/>
    <w:rsid w:val="009C00BF"/>
    <w:rsid w:val="009C04FD"/>
    <w:rsid w:val="009C3475"/>
    <w:rsid w:val="009C3F0E"/>
    <w:rsid w:val="009C60D6"/>
    <w:rsid w:val="009D00BC"/>
    <w:rsid w:val="009D0705"/>
    <w:rsid w:val="009D2FF5"/>
    <w:rsid w:val="009D3004"/>
    <w:rsid w:val="009D3D7C"/>
    <w:rsid w:val="009D65C1"/>
    <w:rsid w:val="009D6DA0"/>
    <w:rsid w:val="009E4E87"/>
    <w:rsid w:val="009E7163"/>
    <w:rsid w:val="009F0943"/>
    <w:rsid w:val="009F2644"/>
    <w:rsid w:val="009F50DA"/>
    <w:rsid w:val="009F6DAC"/>
    <w:rsid w:val="009F7CDD"/>
    <w:rsid w:val="009F7ED3"/>
    <w:rsid w:val="00A02E87"/>
    <w:rsid w:val="00A107B9"/>
    <w:rsid w:val="00A137C9"/>
    <w:rsid w:val="00A20921"/>
    <w:rsid w:val="00A245CE"/>
    <w:rsid w:val="00A266B8"/>
    <w:rsid w:val="00A27BAB"/>
    <w:rsid w:val="00A305BF"/>
    <w:rsid w:val="00A404DB"/>
    <w:rsid w:val="00A40754"/>
    <w:rsid w:val="00A40DEA"/>
    <w:rsid w:val="00A411AF"/>
    <w:rsid w:val="00A412EE"/>
    <w:rsid w:val="00A42768"/>
    <w:rsid w:val="00A52C7C"/>
    <w:rsid w:val="00A535A6"/>
    <w:rsid w:val="00A54BA1"/>
    <w:rsid w:val="00A5529A"/>
    <w:rsid w:val="00A55583"/>
    <w:rsid w:val="00A55646"/>
    <w:rsid w:val="00A56484"/>
    <w:rsid w:val="00A61F55"/>
    <w:rsid w:val="00A630A0"/>
    <w:rsid w:val="00A70456"/>
    <w:rsid w:val="00A70918"/>
    <w:rsid w:val="00A713A9"/>
    <w:rsid w:val="00A73A29"/>
    <w:rsid w:val="00A8250A"/>
    <w:rsid w:val="00A84A91"/>
    <w:rsid w:val="00A84BD1"/>
    <w:rsid w:val="00A85084"/>
    <w:rsid w:val="00A86CFA"/>
    <w:rsid w:val="00A87FD8"/>
    <w:rsid w:val="00A9412B"/>
    <w:rsid w:val="00A96D85"/>
    <w:rsid w:val="00A9703B"/>
    <w:rsid w:val="00AA0067"/>
    <w:rsid w:val="00AA2023"/>
    <w:rsid w:val="00AA3175"/>
    <w:rsid w:val="00AA5ACB"/>
    <w:rsid w:val="00AB2CD2"/>
    <w:rsid w:val="00AB51D4"/>
    <w:rsid w:val="00AB7BEB"/>
    <w:rsid w:val="00AC19AE"/>
    <w:rsid w:val="00AC2AF5"/>
    <w:rsid w:val="00AC30F0"/>
    <w:rsid w:val="00AC3141"/>
    <w:rsid w:val="00AC4131"/>
    <w:rsid w:val="00AC50B4"/>
    <w:rsid w:val="00AC5DCD"/>
    <w:rsid w:val="00AD0460"/>
    <w:rsid w:val="00AE2223"/>
    <w:rsid w:val="00AE35EB"/>
    <w:rsid w:val="00AF1F4A"/>
    <w:rsid w:val="00AF22CB"/>
    <w:rsid w:val="00B005FA"/>
    <w:rsid w:val="00B01105"/>
    <w:rsid w:val="00B01A62"/>
    <w:rsid w:val="00B02FB1"/>
    <w:rsid w:val="00B138AF"/>
    <w:rsid w:val="00B140BD"/>
    <w:rsid w:val="00B14D5B"/>
    <w:rsid w:val="00B15594"/>
    <w:rsid w:val="00B17062"/>
    <w:rsid w:val="00B178A2"/>
    <w:rsid w:val="00B20D06"/>
    <w:rsid w:val="00B27366"/>
    <w:rsid w:val="00B30161"/>
    <w:rsid w:val="00B31D37"/>
    <w:rsid w:val="00B358BC"/>
    <w:rsid w:val="00B40BFB"/>
    <w:rsid w:val="00B40CBE"/>
    <w:rsid w:val="00B43654"/>
    <w:rsid w:val="00B43F8B"/>
    <w:rsid w:val="00B503FF"/>
    <w:rsid w:val="00B52DCF"/>
    <w:rsid w:val="00B53CC7"/>
    <w:rsid w:val="00B5481A"/>
    <w:rsid w:val="00B54A7D"/>
    <w:rsid w:val="00B55892"/>
    <w:rsid w:val="00B55BDE"/>
    <w:rsid w:val="00B56136"/>
    <w:rsid w:val="00B607E8"/>
    <w:rsid w:val="00B642A9"/>
    <w:rsid w:val="00B6558C"/>
    <w:rsid w:val="00B675B6"/>
    <w:rsid w:val="00B8023F"/>
    <w:rsid w:val="00B8162B"/>
    <w:rsid w:val="00B824DC"/>
    <w:rsid w:val="00B85CAB"/>
    <w:rsid w:val="00B8712B"/>
    <w:rsid w:val="00B9189D"/>
    <w:rsid w:val="00B93BB1"/>
    <w:rsid w:val="00BA042E"/>
    <w:rsid w:val="00BA23A8"/>
    <w:rsid w:val="00BA59EF"/>
    <w:rsid w:val="00BA7734"/>
    <w:rsid w:val="00BB1AD1"/>
    <w:rsid w:val="00BB22F0"/>
    <w:rsid w:val="00BB2EEB"/>
    <w:rsid w:val="00BB44AB"/>
    <w:rsid w:val="00BB6D91"/>
    <w:rsid w:val="00BB781E"/>
    <w:rsid w:val="00BC0BCB"/>
    <w:rsid w:val="00BC34A6"/>
    <w:rsid w:val="00BC5DBC"/>
    <w:rsid w:val="00BC6F9A"/>
    <w:rsid w:val="00BC74CD"/>
    <w:rsid w:val="00BC7FF8"/>
    <w:rsid w:val="00BE3FF2"/>
    <w:rsid w:val="00BF1F50"/>
    <w:rsid w:val="00BF237E"/>
    <w:rsid w:val="00BF626F"/>
    <w:rsid w:val="00BF62EE"/>
    <w:rsid w:val="00C00129"/>
    <w:rsid w:val="00C01052"/>
    <w:rsid w:val="00C02E48"/>
    <w:rsid w:val="00C036C4"/>
    <w:rsid w:val="00C03F5F"/>
    <w:rsid w:val="00C106AF"/>
    <w:rsid w:val="00C12301"/>
    <w:rsid w:val="00C13696"/>
    <w:rsid w:val="00C14185"/>
    <w:rsid w:val="00C15B57"/>
    <w:rsid w:val="00C21392"/>
    <w:rsid w:val="00C22F45"/>
    <w:rsid w:val="00C23749"/>
    <w:rsid w:val="00C25F81"/>
    <w:rsid w:val="00C26367"/>
    <w:rsid w:val="00C271C7"/>
    <w:rsid w:val="00C279ED"/>
    <w:rsid w:val="00C30AAE"/>
    <w:rsid w:val="00C30DAB"/>
    <w:rsid w:val="00C345EE"/>
    <w:rsid w:val="00C34D17"/>
    <w:rsid w:val="00C376FA"/>
    <w:rsid w:val="00C40990"/>
    <w:rsid w:val="00C44BCC"/>
    <w:rsid w:val="00C4503F"/>
    <w:rsid w:val="00C460F6"/>
    <w:rsid w:val="00C6003A"/>
    <w:rsid w:val="00C65D3A"/>
    <w:rsid w:val="00C71D70"/>
    <w:rsid w:val="00C743E5"/>
    <w:rsid w:val="00C75F7C"/>
    <w:rsid w:val="00C7636F"/>
    <w:rsid w:val="00C767B5"/>
    <w:rsid w:val="00C809BA"/>
    <w:rsid w:val="00C87594"/>
    <w:rsid w:val="00C912D5"/>
    <w:rsid w:val="00C917B3"/>
    <w:rsid w:val="00C91F0A"/>
    <w:rsid w:val="00C9539E"/>
    <w:rsid w:val="00CA07F4"/>
    <w:rsid w:val="00CA0C86"/>
    <w:rsid w:val="00CA70BC"/>
    <w:rsid w:val="00CA7FAA"/>
    <w:rsid w:val="00CB1696"/>
    <w:rsid w:val="00CB1914"/>
    <w:rsid w:val="00CB4F0E"/>
    <w:rsid w:val="00CB6D8C"/>
    <w:rsid w:val="00CC6553"/>
    <w:rsid w:val="00CD06EC"/>
    <w:rsid w:val="00CD08F5"/>
    <w:rsid w:val="00CD0CF2"/>
    <w:rsid w:val="00CD2897"/>
    <w:rsid w:val="00CD4A23"/>
    <w:rsid w:val="00CD5EE3"/>
    <w:rsid w:val="00CE0053"/>
    <w:rsid w:val="00CE1841"/>
    <w:rsid w:val="00CE290D"/>
    <w:rsid w:val="00CF3E2A"/>
    <w:rsid w:val="00CF4148"/>
    <w:rsid w:val="00CF679C"/>
    <w:rsid w:val="00CF6CCD"/>
    <w:rsid w:val="00CF7DEB"/>
    <w:rsid w:val="00D00604"/>
    <w:rsid w:val="00D10256"/>
    <w:rsid w:val="00D1219D"/>
    <w:rsid w:val="00D12285"/>
    <w:rsid w:val="00D12BED"/>
    <w:rsid w:val="00D14B72"/>
    <w:rsid w:val="00D20381"/>
    <w:rsid w:val="00D21E1C"/>
    <w:rsid w:val="00D245B1"/>
    <w:rsid w:val="00D2533E"/>
    <w:rsid w:val="00D30908"/>
    <w:rsid w:val="00D320F0"/>
    <w:rsid w:val="00D3250A"/>
    <w:rsid w:val="00D34803"/>
    <w:rsid w:val="00D4178A"/>
    <w:rsid w:val="00D54564"/>
    <w:rsid w:val="00D555C8"/>
    <w:rsid w:val="00D55A68"/>
    <w:rsid w:val="00D55E92"/>
    <w:rsid w:val="00D611CF"/>
    <w:rsid w:val="00D70A82"/>
    <w:rsid w:val="00D72809"/>
    <w:rsid w:val="00D72BE4"/>
    <w:rsid w:val="00D755CD"/>
    <w:rsid w:val="00D75C65"/>
    <w:rsid w:val="00D81EA2"/>
    <w:rsid w:val="00D82228"/>
    <w:rsid w:val="00D83954"/>
    <w:rsid w:val="00D86967"/>
    <w:rsid w:val="00D86E52"/>
    <w:rsid w:val="00D87CD9"/>
    <w:rsid w:val="00D91B51"/>
    <w:rsid w:val="00D92706"/>
    <w:rsid w:val="00D92FD9"/>
    <w:rsid w:val="00D9363E"/>
    <w:rsid w:val="00D94D5A"/>
    <w:rsid w:val="00D95030"/>
    <w:rsid w:val="00D961DC"/>
    <w:rsid w:val="00D96360"/>
    <w:rsid w:val="00D965E2"/>
    <w:rsid w:val="00DA35F4"/>
    <w:rsid w:val="00DA40C6"/>
    <w:rsid w:val="00DA7083"/>
    <w:rsid w:val="00DB1FC4"/>
    <w:rsid w:val="00DB2CD0"/>
    <w:rsid w:val="00DB3C94"/>
    <w:rsid w:val="00DB4486"/>
    <w:rsid w:val="00DB4EDA"/>
    <w:rsid w:val="00DB54A9"/>
    <w:rsid w:val="00DB5F0E"/>
    <w:rsid w:val="00DC51BE"/>
    <w:rsid w:val="00DD1C4B"/>
    <w:rsid w:val="00DD3B14"/>
    <w:rsid w:val="00DD46B2"/>
    <w:rsid w:val="00DD4AE7"/>
    <w:rsid w:val="00DE0200"/>
    <w:rsid w:val="00DE3CDC"/>
    <w:rsid w:val="00DF2D3C"/>
    <w:rsid w:val="00DF3470"/>
    <w:rsid w:val="00DF54B5"/>
    <w:rsid w:val="00DF5A21"/>
    <w:rsid w:val="00E010C0"/>
    <w:rsid w:val="00E03EA0"/>
    <w:rsid w:val="00E043C4"/>
    <w:rsid w:val="00E10060"/>
    <w:rsid w:val="00E118A3"/>
    <w:rsid w:val="00E12A0A"/>
    <w:rsid w:val="00E1471D"/>
    <w:rsid w:val="00E14DF4"/>
    <w:rsid w:val="00E159C4"/>
    <w:rsid w:val="00E206D8"/>
    <w:rsid w:val="00E2210D"/>
    <w:rsid w:val="00E25D6E"/>
    <w:rsid w:val="00E26AD5"/>
    <w:rsid w:val="00E30BFC"/>
    <w:rsid w:val="00E33468"/>
    <w:rsid w:val="00E370A5"/>
    <w:rsid w:val="00E37668"/>
    <w:rsid w:val="00E4031F"/>
    <w:rsid w:val="00E41EC2"/>
    <w:rsid w:val="00E42CBC"/>
    <w:rsid w:val="00E45C2F"/>
    <w:rsid w:val="00E56C63"/>
    <w:rsid w:val="00E57EE6"/>
    <w:rsid w:val="00E64688"/>
    <w:rsid w:val="00E71409"/>
    <w:rsid w:val="00E71ECA"/>
    <w:rsid w:val="00E82889"/>
    <w:rsid w:val="00E8796E"/>
    <w:rsid w:val="00E907E8"/>
    <w:rsid w:val="00E957D8"/>
    <w:rsid w:val="00E977B1"/>
    <w:rsid w:val="00EA3CDE"/>
    <w:rsid w:val="00EA5387"/>
    <w:rsid w:val="00EA623D"/>
    <w:rsid w:val="00EA6C20"/>
    <w:rsid w:val="00EB041B"/>
    <w:rsid w:val="00EB062A"/>
    <w:rsid w:val="00EB0E8E"/>
    <w:rsid w:val="00EB15B0"/>
    <w:rsid w:val="00EB7E26"/>
    <w:rsid w:val="00EC36E6"/>
    <w:rsid w:val="00EC3B10"/>
    <w:rsid w:val="00EC792C"/>
    <w:rsid w:val="00EC7F37"/>
    <w:rsid w:val="00ED072E"/>
    <w:rsid w:val="00ED08CC"/>
    <w:rsid w:val="00ED3558"/>
    <w:rsid w:val="00EE0920"/>
    <w:rsid w:val="00EE3258"/>
    <w:rsid w:val="00EE5CAE"/>
    <w:rsid w:val="00EE612D"/>
    <w:rsid w:val="00EF0547"/>
    <w:rsid w:val="00EF35EA"/>
    <w:rsid w:val="00EF3ADC"/>
    <w:rsid w:val="00EF522C"/>
    <w:rsid w:val="00EF6D98"/>
    <w:rsid w:val="00F02FE4"/>
    <w:rsid w:val="00F04033"/>
    <w:rsid w:val="00F05329"/>
    <w:rsid w:val="00F07139"/>
    <w:rsid w:val="00F111CF"/>
    <w:rsid w:val="00F14E2A"/>
    <w:rsid w:val="00F15B1D"/>
    <w:rsid w:val="00F16E92"/>
    <w:rsid w:val="00F205C7"/>
    <w:rsid w:val="00F2287E"/>
    <w:rsid w:val="00F25AA4"/>
    <w:rsid w:val="00F2786E"/>
    <w:rsid w:val="00F3071C"/>
    <w:rsid w:val="00F33250"/>
    <w:rsid w:val="00F364E3"/>
    <w:rsid w:val="00F37CD1"/>
    <w:rsid w:val="00F421D5"/>
    <w:rsid w:val="00F42926"/>
    <w:rsid w:val="00F438F2"/>
    <w:rsid w:val="00F47386"/>
    <w:rsid w:val="00F51D10"/>
    <w:rsid w:val="00F52745"/>
    <w:rsid w:val="00F52D3B"/>
    <w:rsid w:val="00F54922"/>
    <w:rsid w:val="00F55D0A"/>
    <w:rsid w:val="00F605FC"/>
    <w:rsid w:val="00F61970"/>
    <w:rsid w:val="00F61C40"/>
    <w:rsid w:val="00F6541D"/>
    <w:rsid w:val="00F67E74"/>
    <w:rsid w:val="00F725D3"/>
    <w:rsid w:val="00F7733A"/>
    <w:rsid w:val="00F7749C"/>
    <w:rsid w:val="00F82647"/>
    <w:rsid w:val="00F82F8D"/>
    <w:rsid w:val="00F84FE2"/>
    <w:rsid w:val="00F85381"/>
    <w:rsid w:val="00F877E6"/>
    <w:rsid w:val="00F9045F"/>
    <w:rsid w:val="00F907AB"/>
    <w:rsid w:val="00F91240"/>
    <w:rsid w:val="00F912A1"/>
    <w:rsid w:val="00F94B44"/>
    <w:rsid w:val="00F96C6E"/>
    <w:rsid w:val="00F97EAA"/>
    <w:rsid w:val="00FA026D"/>
    <w:rsid w:val="00FA0635"/>
    <w:rsid w:val="00FA1007"/>
    <w:rsid w:val="00FA1A1F"/>
    <w:rsid w:val="00FA29B6"/>
    <w:rsid w:val="00FA3A11"/>
    <w:rsid w:val="00FA700C"/>
    <w:rsid w:val="00FB04AF"/>
    <w:rsid w:val="00FB18A9"/>
    <w:rsid w:val="00FB5E7D"/>
    <w:rsid w:val="00FB6FAD"/>
    <w:rsid w:val="00FC2558"/>
    <w:rsid w:val="00FC38F8"/>
    <w:rsid w:val="00FC460F"/>
    <w:rsid w:val="00FC4624"/>
    <w:rsid w:val="00FC64E8"/>
    <w:rsid w:val="00FC76D4"/>
    <w:rsid w:val="00FC7B24"/>
    <w:rsid w:val="00FD418C"/>
    <w:rsid w:val="00FD46AB"/>
    <w:rsid w:val="00FD5629"/>
    <w:rsid w:val="00FD6E46"/>
    <w:rsid w:val="00FD6E7B"/>
    <w:rsid w:val="00FE021E"/>
    <w:rsid w:val="00FE0287"/>
    <w:rsid w:val="00FE1694"/>
    <w:rsid w:val="00FE39D7"/>
    <w:rsid w:val="00FE50FE"/>
    <w:rsid w:val="00FE5905"/>
    <w:rsid w:val="00FF14F1"/>
    <w:rsid w:val="00FF1DAF"/>
    <w:rsid w:val="00FF3DCF"/>
    <w:rsid w:val="00FF4994"/>
    <w:rsid w:val="00FF5B4A"/>
    <w:rsid w:val="00FF69D4"/>
    <w:rsid w:val="01461109"/>
    <w:rsid w:val="016D811F"/>
    <w:rsid w:val="0196CDF6"/>
    <w:rsid w:val="01C9D667"/>
    <w:rsid w:val="027F5ECA"/>
    <w:rsid w:val="02D4790D"/>
    <w:rsid w:val="02E76B5E"/>
    <w:rsid w:val="0326537D"/>
    <w:rsid w:val="033894D4"/>
    <w:rsid w:val="038B0CB5"/>
    <w:rsid w:val="03E3EBA4"/>
    <w:rsid w:val="0425BE1C"/>
    <w:rsid w:val="04323C50"/>
    <w:rsid w:val="04A3C76C"/>
    <w:rsid w:val="04C73DA6"/>
    <w:rsid w:val="04EC7E01"/>
    <w:rsid w:val="05513906"/>
    <w:rsid w:val="057E2A9D"/>
    <w:rsid w:val="05A523A3"/>
    <w:rsid w:val="063DD464"/>
    <w:rsid w:val="06E1BE33"/>
    <w:rsid w:val="06E7602A"/>
    <w:rsid w:val="06FE4777"/>
    <w:rsid w:val="073C3CAF"/>
    <w:rsid w:val="07698699"/>
    <w:rsid w:val="0783A2DE"/>
    <w:rsid w:val="079DDE05"/>
    <w:rsid w:val="07B07763"/>
    <w:rsid w:val="07CAF30A"/>
    <w:rsid w:val="080A3154"/>
    <w:rsid w:val="083467B3"/>
    <w:rsid w:val="0850B46F"/>
    <w:rsid w:val="086717F9"/>
    <w:rsid w:val="08893970"/>
    <w:rsid w:val="08E446A8"/>
    <w:rsid w:val="092C6556"/>
    <w:rsid w:val="0957851B"/>
    <w:rsid w:val="097B62C9"/>
    <w:rsid w:val="09BD5D39"/>
    <w:rsid w:val="09E4FDC7"/>
    <w:rsid w:val="0A6B1B29"/>
    <w:rsid w:val="0AC07561"/>
    <w:rsid w:val="0AC9547E"/>
    <w:rsid w:val="0ACAD06C"/>
    <w:rsid w:val="0AEF81BA"/>
    <w:rsid w:val="0AF21012"/>
    <w:rsid w:val="0B4C5BE1"/>
    <w:rsid w:val="0B5BA211"/>
    <w:rsid w:val="0B642A27"/>
    <w:rsid w:val="0B792376"/>
    <w:rsid w:val="0BA12359"/>
    <w:rsid w:val="0BA17AB1"/>
    <w:rsid w:val="0BA9C295"/>
    <w:rsid w:val="0BD92376"/>
    <w:rsid w:val="0C18CBA3"/>
    <w:rsid w:val="0C99641F"/>
    <w:rsid w:val="0CC402B0"/>
    <w:rsid w:val="0CCD173C"/>
    <w:rsid w:val="0CDC26D4"/>
    <w:rsid w:val="0D452258"/>
    <w:rsid w:val="0D4DDFB4"/>
    <w:rsid w:val="0D515C10"/>
    <w:rsid w:val="0D5802D8"/>
    <w:rsid w:val="0DBC0706"/>
    <w:rsid w:val="0DC534D1"/>
    <w:rsid w:val="0E406D2C"/>
    <w:rsid w:val="0E44B437"/>
    <w:rsid w:val="0E468FCA"/>
    <w:rsid w:val="0E47810B"/>
    <w:rsid w:val="0E70007A"/>
    <w:rsid w:val="0E7AE99F"/>
    <w:rsid w:val="0E8D70D2"/>
    <w:rsid w:val="0EACAF8E"/>
    <w:rsid w:val="0F15748C"/>
    <w:rsid w:val="0F77B06C"/>
    <w:rsid w:val="0F85D4BB"/>
    <w:rsid w:val="0F8DD873"/>
    <w:rsid w:val="0F9FB006"/>
    <w:rsid w:val="0FB295B7"/>
    <w:rsid w:val="0FB31C56"/>
    <w:rsid w:val="100206D7"/>
    <w:rsid w:val="1021CDB4"/>
    <w:rsid w:val="102A8520"/>
    <w:rsid w:val="1077CEB7"/>
    <w:rsid w:val="1084AF11"/>
    <w:rsid w:val="10AA0547"/>
    <w:rsid w:val="10AD6FDE"/>
    <w:rsid w:val="1190D87F"/>
    <w:rsid w:val="11B43988"/>
    <w:rsid w:val="11C6298F"/>
    <w:rsid w:val="121F6BB3"/>
    <w:rsid w:val="126EBE4C"/>
    <w:rsid w:val="12774C68"/>
    <w:rsid w:val="1290EC38"/>
    <w:rsid w:val="129E4C95"/>
    <w:rsid w:val="12ADF648"/>
    <w:rsid w:val="12ED9ADA"/>
    <w:rsid w:val="132D8D57"/>
    <w:rsid w:val="134292C8"/>
    <w:rsid w:val="13544116"/>
    <w:rsid w:val="13699BB6"/>
    <w:rsid w:val="1386A7D0"/>
    <w:rsid w:val="13DC6DE3"/>
    <w:rsid w:val="13DE4B66"/>
    <w:rsid w:val="13EAE6DE"/>
    <w:rsid w:val="13FA3185"/>
    <w:rsid w:val="14208909"/>
    <w:rsid w:val="14413DBC"/>
    <w:rsid w:val="1489F7C0"/>
    <w:rsid w:val="14B6E844"/>
    <w:rsid w:val="14EC81A3"/>
    <w:rsid w:val="150B234F"/>
    <w:rsid w:val="15390BF4"/>
    <w:rsid w:val="155B335B"/>
    <w:rsid w:val="1577F004"/>
    <w:rsid w:val="15985912"/>
    <w:rsid w:val="15AE4D64"/>
    <w:rsid w:val="163FC3D5"/>
    <w:rsid w:val="16A9DE8E"/>
    <w:rsid w:val="16DD1CF1"/>
    <w:rsid w:val="16F51833"/>
    <w:rsid w:val="17617958"/>
    <w:rsid w:val="176546EA"/>
    <w:rsid w:val="176B5F27"/>
    <w:rsid w:val="17A675DE"/>
    <w:rsid w:val="181108FE"/>
    <w:rsid w:val="181EB18E"/>
    <w:rsid w:val="18219992"/>
    <w:rsid w:val="183E95AE"/>
    <w:rsid w:val="18D7EBBD"/>
    <w:rsid w:val="192CA82F"/>
    <w:rsid w:val="195F7258"/>
    <w:rsid w:val="1999A144"/>
    <w:rsid w:val="19D4C536"/>
    <w:rsid w:val="1A0E7AB0"/>
    <w:rsid w:val="1A979E56"/>
    <w:rsid w:val="1AC76E48"/>
    <w:rsid w:val="1B818AAE"/>
    <w:rsid w:val="1B85D8CF"/>
    <w:rsid w:val="1B97E269"/>
    <w:rsid w:val="1BB46958"/>
    <w:rsid w:val="1BD7F3A4"/>
    <w:rsid w:val="1BE58A9C"/>
    <w:rsid w:val="1C06196D"/>
    <w:rsid w:val="1C2DFEF9"/>
    <w:rsid w:val="1C4015CE"/>
    <w:rsid w:val="1C9006E7"/>
    <w:rsid w:val="1CD5E9C0"/>
    <w:rsid w:val="1CF61D37"/>
    <w:rsid w:val="1D6D4CB2"/>
    <w:rsid w:val="1E1391BC"/>
    <w:rsid w:val="1E2184FB"/>
    <w:rsid w:val="1E3E2F23"/>
    <w:rsid w:val="1EC4F318"/>
    <w:rsid w:val="1ECB8174"/>
    <w:rsid w:val="1EF6A79D"/>
    <w:rsid w:val="1EFE486F"/>
    <w:rsid w:val="1F347967"/>
    <w:rsid w:val="1F4C7F14"/>
    <w:rsid w:val="1F682336"/>
    <w:rsid w:val="1F7B2A96"/>
    <w:rsid w:val="1F996AE5"/>
    <w:rsid w:val="1FBB6CA6"/>
    <w:rsid w:val="1FD534D7"/>
    <w:rsid w:val="1FE7D9A7"/>
    <w:rsid w:val="201A5377"/>
    <w:rsid w:val="2039AB2B"/>
    <w:rsid w:val="20957690"/>
    <w:rsid w:val="20AC4998"/>
    <w:rsid w:val="20F0C5BF"/>
    <w:rsid w:val="211709EC"/>
    <w:rsid w:val="21592C04"/>
    <w:rsid w:val="21888727"/>
    <w:rsid w:val="21997876"/>
    <w:rsid w:val="21A3FA17"/>
    <w:rsid w:val="22248173"/>
    <w:rsid w:val="2232E1D1"/>
    <w:rsid w:val="224EC0CC"/>
    <w:rsid w:val="22DE141D"/>
    <w:rsid w:val="22E24E28"/>
    <w:rsid w:val="23299F25"/>
    <w:rsid w:val="2343AD42"/>
    <w:rsid w:val="2360F232"/>
    <w:rsid w:val="236A1416"/>
    <w:rsid w:val="23A5C66B"/>
    <w:rsid w:val="23C2E2AB"/>
    <w:rsid w:val="23EE2BC9"/>
    <w:rsid w:val="2422DA53"/>
    <w:rsid w:val="2424D4A5"/>
    <w:rsid w:val="244F5289"/>
    <w:rsid w:val="2469E7A8"/>
    <w:rsid w:val="24776129"/>
    <w:rsid w:val="247A8820"/>
    <w:rsid w:val="24D39590"/>
    <w:rsid w:val="24E7B829"/>
    <w:rsid w:val="24F8C19B"/>
    <w:rsid w:val="2566B1F9"/>
    <w:rsid w:val="257F9CF8"/>
    <w:rsid w:val="258F04BD"/>
    <w:rsid w:val="25AA92BF"/>
    <w:rsid w:val="25D9B98E"/>
    <w:rsid w:val="2653EB37"/>
    <w:rsid w:val="269B81B3"/>
    <w:rsid w:val="26ABCFD0"/>
    <w:rsid w:val="26D195CF"/>
    <w:rsid w:val="26EAF454"/>
    <w:rsid w:val="2706A8DD"/>
    <w:rsid w:val="27092A72"/>
    <w:rsid w:val="2740747B"/>
    <w:rsid w:val="2749314C"/>
    <w:rsid w:val="275DB79D"/>
    <w:rsid w:val="27AB7E51"/>
    <w:rsid w:val="27B455E7"/>
    <w:rsid w:val="27FD879B"/>
    <w:rsid w:val="2839130C"/>
    <w:rsid w:val="284C864E"/>
    <w:rsid w:val="284CD72B"/>
    <w:rsid w:val="2892929E"/>
    <w:rsid w:val="28C6B26A"/>
    <w:rsid w:val="292BE721"/>
    <w:rsid w:val="29469F61"/>
    <w:rsid w:val="296C3A66"/>
    <w:rsid w:val="297DE329"/>
    <w:rsid w:val="298AC11E"/>
    <w:rsid w:val="29DB7DCB"/>
    <w:rsid w:val="29DFE4CF"/>
    <w:rsid w:val="29E156CA"/>
    <w:rsid w:val="2A7D9767"/>
    <w:rsid w:val="2AA1706D"/>
    <w:rsid w:val="2AD4D180"/>
    <w:rsid w:val="2B2B7BB6"/>
    <w:rsid w:val="2B539D2C"/>
    <w:rsid w:val="2B55AA30"/>
    <w:rsid w:val="2BD66D3D"/>
    <w:rsid w:val="2C0B2DDB"/>
    <w:rsid w:val="2C1D065F"/>
    <w:rsid w:val="2C246030"/>
    <w:rsid w:val="2C27237F"/>
    <w:rsid w:val="2C2D14EB"/>
    <w:rsid w:val="2CA56FE8"/>
    <w:rsid w:val="2CA92806"/>
    <w:rsid w:val="2CF82719"/>
    <w:rsid w:val="2D2CEF0E"/>
    <w:rsid w:val="2D337A6D"/>
    <w:rsid w:val="2D357159"/>
    <w:rsid w:val="2D4955A0"/>
    <w:rsid w:val="2D4CCB53"/>
    <w:rsid w:val="2D6171B6"/>
    <w:rsid w:val="2D65B706"/>
    <w:rsid w:val="2D83D48D"/>
    <w:rsid w:val="2D92A6EA"/>
    <w:rsid w:val="2DF75820"/>
    <w:rsid w:val="2E2AB5F9"/>
    <w:rsid w:val="2E959A55"/>
    <w:rsid w:val="2EA1A650"/>
    <w:rsid w:val="2EAB03D9"/>
    <w:rsid w:val="2EDB8B6A"/>
    <w:rsid w:val="2EF2219C"/>
    <w:rsid w:val="2F197197"/>
    <w:rsid w:val="2F29CAC8"/>
    <w:rsid w:val="2F2A7D9B"/>
    <w:rsid w:val="2F495690"/>
    <w:rsid w:val="2F6BAB53"/>
    <w:rsid w:val="2FDF24E3"/>
    <w:rsid w:val="2FEE19E7"/>
    <w:rsid w:val="2FEF88F0"/>
    <w:rsid w:val="3006B797"/>
    <w:rsid w:val="30226C4F"/>
    <w:rsid w:val="303CE6B0"/>
    <w:rsid w:val="303FB5C2"/>
    <w:rsid w:val="30A4A7A5"/>
    <w:rsid w:val="30D563FF"/>
    <w:rsid w:val="3129DC82"/>
    <w:rsid w:val="31C8A2E8"/>
    <w:rsid w:val="31D5B980"/>
    <w:rsid w:val="32540BE0"/>
    <w:rsid w:val="32849719"/>
    <w:rsid w:val="328716A4"/>
    <w:rsid w:val="32E61E16"/>
    <w:rsid w:val="32F4D151"/>
    <w:rsid w:val="3314CC84"/>
    <w:rsid w:val="331DB3B1"/>
    <w:rsid w:val="335A2247"/>
    <w:rsid w:val="335F6750"/>
    <w:rsid w:val="3373A5BC"/>
    <w:rsid w:val="3399AFBE"/>
    <w:rsid w:val="33A8E2FF"/>
    <w:rsid w:val="33CA0551"/>
    <w:rsid w:val="33D4E633"/>
    <w:rsid w:val="33DDB34B"/>
    <w:rsid w:val="348C5CD5"/>
    <w:rsid w:val="34BAA89B"/>
    <w:rsid w:val="34C0B6E8"/>
    <w:rsid w:val="350B19E9"/>
    <w:rsid w:val="35384F91"/>
    <w:rsid w:val="354B22C6"/>
    <w:rsid w:val="35CCF1D7"/>
    <w:rsid w:val="35D340B2"/>
    <w:rsid w:val="35DD8BBD"/>
    <w:rsid w:val="35E435F7"/>
    <w:rsid w:val="35EDD66B"/>
    <w:rsid w:val="3651C0E2"/>
    <w:rsid w:val="365E3716"/>
    <w:rsid w:val="368A38FF"/>
    <w:rsid w:val="36F05328"/>
    <w:rsid w:val="3725D797"/>
    <w:rsid w:val="3741DB6A"/>
    <w:rsid w:val="37500B19"/>
    <w:rsid w:val="377F7740"/>
    <w:rsid w:val="3795E61E"/>
    <w:rsid w:val="37A76511"/>
    <w:rsid w:val="37A8AF6A"/>
    <w:rsid w:val="37AFBC51"/>
    <w:rsid w:val="38103EA0"/>
    <w:rsid w:val="3854CD94"/>
    <w:rsid w:val="3870BA3D"/>
    <w:rsid w:val="387DE7A5"/>
    <w:rsid w:val="387EC9C9"/>
    <w:rsid w:val="38C2176D"/>
    <w:rsid w:val="38FA54B7"/>
    <w:rsid w:val="39001F50"/>
    <w:rsid w:val="395BEAA9"/>
    <w:rsid w:val="396504AF"/>
    <w:rsid w:val="39725AA7"/>
    <w:rsid w:val="39EDA821"/>
    <w:rsid w:val="39F2BA46"/>
    <w:rsid w:val="3A1ECD91"/>
    <w:rsid w:val="3A3C81EC"/>
    <w:rsid w:val="3A692408"/>
    <w:rsid w:val="3A6CB7DF"/>
    <w:rsid w:val="3A86E920"/>
    <w:rsid w:val="3A8FD99A"/>
    <w:rsid w:val="3AD03D58"/>
    <w:rsid w:val="3ADEEB8D"/>
    <w:rsid w:val="3AF9088D"/>
    <w:rsid w:val="3B4B9553"/>
    <w:rsid w:val="3B57F177"/>
    <w:rsid w:val="3B5C03D7"/>
    <w:rsid w:val="3B99B4AD"/>
    <w:rsid w:val="3B9E6E97"/>
    <w:rsid w:val="3BA1E09C"/>
    <w:rsid w:val="3BBC6B78"/>
    <w:rsid w:val="3BD2218B"/>
    <w:rsid w:val="3C388055"/>
    <w:rsid w:val="3CBA349F"/>
    <w:rsid w:val="3CEE89F3"/>
    <w:rsid w:val="3D2BEFEF"/>
    <w:rsid w:val="3D2D782A"/>
    <w:rsid w:val="3D2D88E4"/>
    <w:rsid w:val="3D5C5A73"/>
    <w:rsid w:val="3D5DC31B"/>
    <w:rsid w:val="3D6F2180"/>
    <w:rsid w:val="3E48FF87"/>
    <w:rsid w:val="3E818D04"/>
    <w:rsid w:val="3E84382D"/>
    <w:rsid w:val="3E99ED14"/>
    <w:rsid w:val="3ECB28DF"/>
    <w:rsid w:val="3EED59FB"/>
    <w:rsid w:val="3EEE2B71"/>
    <w:rsid w:val="3EFD1E1D"/>
    <w:rsid w:val="3F1D2C07"/>
    <w:rsid w:val="3F797AB0"/>
    <w:rsid w:val="3FDC9D0B"/>
    <w:rsid w:val="4016658D"/>
    <w:rsid w:val="407BB9F1"/>
    <w:rsid w:val="407BF2AC"/>
    <w:rsid w:val="40995F6A"/>
    <w:rsid w:val="409C860E"/>
    <w:rsid w:val="40CD17CF"/>
    <w:rsid w:val="40E1FB50"/>
    <w:rsid w:val="40EEC2CF"/>
    <w:rsid w:val="41089290"/>
    <w:rsid w:val="4150F75E"/>
    <w:rsid w:val="41675BDE"/>
    <w:rsid w:val="41D236F0"/>
    <w:rsid w:val="41D8C5FF"/>
    <w:rsid w:val="41E0A2D8"/>
    <w:rsid w:val="4249BEB7"/>
    <w:rsid w:val="429849B8"/>
    <w:rsid w:val="429B95C9"/>
    <w:rsid w:val="429FA659"/>
    <w:rsid w:val="433FDA4B"/>
    <w:rsid w:val="4344BB80"/>
    <w:rsid w:val="437C3E8F"/>
    <w:rsid w:val="43865879"/>
    <w:rsid w:val="43CC77FB"/>
    <w:rsid w:val="43DFD620"/>
    <w:rsid w:val="441567A7"/>
    <w:rsid w:val="442FC198"/>
    <w:rsid w:val="444BB192"/>
    <w:rsid w:val="44586431"/>
    <w:rsid w:val="44875AD1"/>
    <w:rsid w:val="449F3D50"/>
    <w:rsid w:val="4518C163"/>
    <w:rsid w:val="45888E3D"/>
    <w:rsid w:val="459C862E"/>
    <w:rsid w:val="45EA8497"/>
    <w:rsid w:val="4601C184"/>
    <w:rsid w:val="4628129D"/>
    <w:rsid w:val="464766F0"/>
    <w:rsid w:val="464BAA2E"/>
    <w:rsid w:val="4678AF9F"/>
    <w:rsid w:val="46A3F5AA"/>
    <w:rsid w:val="46B69556"/>
    <w:rsid w:val="470A24F1"/>
    <w:rsid w:val="470C67CD"/>
    <w:rsid w:val="4710ADC6"/>
    <w:rsid w:val="477EC9DF"/>
    <w:rsid w:val="47827150"/>
    <w:rsid w:val="47BFBD36"/>
    <w:rsid w:val="47EEEB77"/>
    <w:rsid w:val="47FE3EE1"/>
    <w:rsid w:val="4827FA79"/>
    <w:rsid w:val="4833171D"/>
    <w:rsid w:val="483EA266"/>
    <w:rsid w:val="485B8215"/>
    <w:rsid w:val="487FC52D"/>
    <w:rsid w:val="4884C8CA"/>
    <w:rsid w:val="4893D41D"/>
    <w:rsid w:val="48FB724B"/>
    <w:rsid w:val="4915527A"/>
    <w:rsid w:val="494019F4"/>
    <w:rsid w:val="494607AB"/>
    <w:rsid w:val="4981E2FA"/>
    <w:rsid w:val="49980A47"/>
    <w:rsid w:val="49BCB88D"/>
    <w:rsid w:val="49DA87F9"/>
    <w:rsid w:val="4A26461F"/>
    <w:rsid w:val="4A3916D6"/>
    <w:rsid w:val="4A6E1AD5"/>
    <w:rsid w:val="4A9D8425"/>
    <w:rsid w:val="4B10DF0B"/>
    <w:rsid w:val="4B371736"/>
    <w:rsid w:val="4B5639D6"/>
    <w:rsid w:val="4B5E2479"/>
    <w:rsid w:val="4B6A4D24"/>
    <w:rsid w:val="4BD941A5"/>
    <w:rsid w:val="4BE377F0"/>
    <w:rsid w:val="4C12634E"/>
    <w:rsid w:val="4C193182"/>
    <w:rsid w:val="4C28CF9F"/>
    <w:rsid w:val="4C313722"/>
    <w:rsid w:val="4C8D9D39"/>
    <w:rsid w:val="4CA82F3F"/>
    <w:rsid w:val="4CE4CC94"/>
    <w:rsid w:val="4CFD2EA1"/>
    <w:rsid w:val="4D0C8A74"/>
    <w:rsid w:val="4D4C3D60"/>
    <w:rsid w:val="4D6A8CAB"/>
    <w:rsid w:val="4DB0276E"/>
    <w:rsid w:val="4DCBE924"/>
    <w:rsid w:val="4DCBF23B"/>
    <w:rsid w:val="4DF0E92C"/>
    <w:rsid w:val="4DFE58E3"/>
    <w:rsid w:val="4E054D46"/>
    <w:rsid w:val="4E142C3D"/>
    <w:rsid w:val="4E5C0CAF"/>
    <w:rsid w:val="4E6A5534"/>
    <w:rsid w:val="4EA5B602"/>
    <w:rsid w:val="4EF3A983"/>
    <w:rsid w:val="4F07A646"/>
    <w:rsid w:val="4F085E96"/>
    <w:rsid w:val="4F098B24"/>
    <w:rsid w:val="4F698236"/>
    <w:rsid w:val="4F6C7CA0"/>
    <w:rsid w:val="4F8DC60B"/>
    <w:rsid w:val="4FC7B242"/>
    <w:rsid w:val="4FCEADD4"/>
    <w:rsid w:val="4FD6EABF"/>
    <w:rsid w:val="5011E7B8"/>
    <w:rsid w:val="5049CA82"/>
    <w:rsid w:val="504C190E"/>
    <w:rsid w:val="5076F5F6"/>
    <w:rsid w:val="508CFA61"/>
    <w:rsid w:val="509518B2"/>
    <w:rsid w:val="50A4649F"/>
    <w:rsid w:val="50D613CA"/>
    <w:rsid w:val="50F94CAC"/>
    <w:rsid w:val="512ACFF6"/>
    <w:rsid w:val="515A8672"/>
    <w:rsid w:val="516D4B24"/>
    <w:rsid w:val="516D8C5E"/>
    <w:rsid w:val="51B56E96"/>
    <w:rsid w:val="51C04F0F"/>
    <w:rsid w:val="51C32F1B"/>
    <w:rsid w:val="51E67CBA"/>
    <w:rsid w:val="51F020C2"/>
    <w:rsid w:val="52344BBA"/>
    <w:rsid w:val="524760BD"/>
    <w:rsid w:val="52AE3A83"/>
    <w:rsid w:val="52CCF1A2"/>
    <w:rsid w:val="52F6334E"/>
    <w:rsid w:val="532CF6A5"/>
    <w:rsid w:val="53A166DE"/>
    <w:rsid w:val="53C396B4"/>
    <w:rsid w:val="543145A3"/>
    <w:rsid w:val="545E034D"/>
    <w:rsid w:val="54D49C1E"/>
    <w:rsid w:val="54E7CAEE"/>
    <w:rsid w:val="54ECC84B"/>
    <w:rsid w:val="551A3AD2"/>
    <w:rsid w:val="554F3C5C"/>
    <w:rsid w:val="55F9100E"/>
    <w:rsid w:val="565272F1"/>
    <w:rsid w:val="56538F99"/>
    <w:rsid w:val="56631CC9"/>
    <w:rsid w:val="56DD977F"/>
    <w:rsid w:val="56E89F55"/>
    <w:rsid w:val="56FCFD21"/>
    <w:rsid w:val="5738852F"/>
    <w:rsid w:val="576BB29C"/>
    <w:rsid w:val="57D1A629"/>
    <w:rsid w:val="5814CDBA"/>
    <w:rsid w:val="5825603E"/>
    <w:rsid w:val="5879DC5B"/>
    <w:rsid w:val="58802D8B"/>
    <w:rsid w:val="58B97D24"/>
    <w:rsid w:val="58C90741"/>
    <w:rsid w:val="58E5FE91"/>
    <w:rsid w:val="590FD7B2"/>
    <w:rsid w:val="595A2701"/>
    <w:rsid w:val="596D0599"/>
    <w:rsid w:val="598BDE29"/>
    <w:rsid w:val="5A0BBB82"/>
    <w:rsid w:val="5A13B915"/>
    <w:rsid w:val="5A4289E6"/>
    <w:rsid w:val="5AC56542"/>
    <w:rsid w:val="5AE9C7C1"/>
    <w:rsid w:val="5B68DE14"/>
    <w:rsid w:val="5B7938BC"/>
    <w:rsid w:val="5B9FAC91"/>
    <w:rsid w:val="5BB3B73E"/>
    <w:rsid w:val="5BB3EB74"/>
    <w:rsid w:val="5BC5B4F0"/>
    <w:rsid w:val="5BDC53DB"/>
    <w:rsid w:val="5BDF7D0A"/>
    <w:rsid w:val="5C04CA20"/>
    <w:rsid w:val="5C206AD7"/>
    <w:rsid w:val="5C553736"/>
    <w:rsid w:val="5C6B9EEA"/>
    <w:rsid w:val="5C8AF61E"/>
    <w:rsid w:val="5C912438"/>
    <w:rsid w:val="5CD2723D"/>
    <w:rsid w:val="5D0294AF"/>
    <w:rsid w:val="5D5867F8"/>
    <w:rsid w:val="5D5BAE32"/>
    <w:rsid w:val="5D62F584"/>
    <w:rsid w:val="5D6991D4"/>
    <w:rsid w:val="5D9377CD"/>
    <w:rsid w:val="5DCA8D81"/>
    <w:rsid w:val="5E1B196E"/>
    <w:rsid w:val="5E5DA181"/>
    <w:rsid w:val="5E5DBBF9"/>
    <w:rsid w:val="5E6366EF"/>
    <w:rsid w:val="5EC0AA0B"/>
    <w:rsid w:val="5EC71A25"/>
    <w:rsid w:val="5EC91D47"/>
    <w:rsid w:val="5EF7A365"/>
    <w:rsid w:val="5F6B5E21"/>
    <w:rsid w:val="5FF759FC"/>
    <w:rsid w:val="5FFA141F"/>
    <w:rsid w:val="605DFE57"/>
    <w:rsid w:val="60917B31"/>
    <w:rsid w:val="609578B3"/>
    <w:rsid w:val="60DE58F0"/>
    <w:rsid w:val="60F4F6DD"/>
    <w:rsid w:val="610F0B46"/>
    <w:rsid w:val="61174C97"/>
    <w:rsid w:val="6145A761"/>
    <w:rsid w:val="6148AFDB"/>
    <w:rsid w:val="6154890A"/>
    <w:rsid w:val="6194B749"/>
    <w:rsid w:val="619CA15B"/>
    <w:rsid w:val="61B56FA0"/>
    <w:rsid w:val="61BD5C7B"/>
    <w:rsid w:val="621E794F"/>
    <w:rsid w:val="624A4C4B"/>
    <w:rsid w:val="62541415"/>
    <w:rsid w:val="6289458E"/>
    <w:rsid w:val="62A13C48"/>
    <w:rsid w:val="62D04219"/>
    <w:rsid w:val="62F49A18"/>
    <w:rsid w:val="6329994B"/>
    <w:rsid w:val="638F75A2"/>
    <w:rsid w:val="63BE272D"/>
    <w:rsid w:val="63D19C58"/>
    <w:rsid w:val="63D5F179"/>
    <w:rsid w:val="63F479E4"/>
    <w:rsid w:val="64126E3D"/>
    <w:rsid w:val="642D97CD"/>
    <w:rsid w:val="6459B2C4"/>
    <w:rsid w:val="647AF475"/>
    <w:rsid w:val="64A454E9"/>
    <w:rsid w:val="64B67356"/>
    <w:rsid w:val="64BA8D43"/>
    <w:rsid w:val="64C290A6"/>
    <w:rsid w:val="6543F7D8"/>
    <w:rsid w:val="654A1185"/>
    <w:rsid w:val="654A38C3"/>
    <w:rsid w:val="65A9DA1F"/>
    <w:rsid w:val="65DFCCAB"/>
    <w:rsid w:val="65E2505C"/>
    <w:rsid w:val="65F8137F"/>
    <w:rsid w:val="6639AA39"/>
    <w:rsid w:val="663CAC57"/>
    <w:rsid w:val="6646E444"/>
    <w:rsid w:val="665AE487"/>
    <w:rsid w:val="667DF3E3"/>
    <w:rsid w:val="66D05AEE"/>
    <w:rsid w:val="67246C97"/>
    <w:rsid w:val="67635CA3"/>
    <w:rsid w:val="677823D5"/>
    <w:rsid w:val="67A7C869"/>
    <w:rsid w:val="6816DF90"/>
    <w:rsid w:val="68D5087E"/>
    <w:rsid w:val="68F865FE"/>
    <w:rsid w:val="6936541E"/>
    <w:rsid w:val="69A4E271"/>
    <w:rsid w:val="69AF0F63"/>
    <w:rsid w:val="6A0D2662"/>
    <w:rsid w:val="6A6E694E"/>
    <w:rsid w:val="6A907078"/>
    <w:rsid w:val="6AA5E177"/>
    <w:rsid w:val="6ACE39EA"/>
    <w:rsid w:val="6AE41753"/>
    <w:rsid w:val="6AE7F474"/>
    <w:rsid w:val="6B433A32"/>
    <w:rsid w:val="6BA2F530"/>
    <w:rsid w:val="6BA81D1F"/>
    <w:rsid w:val="6BD0878F"/>
    <w:rsid w:val="6BE30F40"/>
    <w:rsid w:val="6BE49B4A"/>
    <w:rsid w:val="6C2742FB"/>
    <w:rsid w:val="6C5AB11E"/>
    <w:rsid w:val="6D2DE34F"/>
    <w:rsid w:val="6D37C8E7"/>
    <w:rsid w:val="6DC6587A"/>
    <w:rsid w:val="6DE045B2"/>
    <w:rsid w:val="6E50E574"/>
    <w:rsid w:val="6E97D5CF"/>
    <w:rsid w:val="6EBB20B0"/>
    <w:rsid w:val="6ECE28F5"/>
    <w:rsid w:val="6F43AFB4"/>
    <w:rsid w:val="6F5369E4"/>
    <w:rsid w:val="6F60E46A"/>
    <w:rsid w:val="6F994CFA"/>
    <w:rsid w:val="6FB1C9C0"/>
    <w:rsid w:val="6FDA0CD8"/>
    <w:rsid w:val="6FF1B7FD"/>
    <w:rsid w:val="7005F086"/>
    <w:rsid w:val="7021AC80"/>
    <w:rsid w:val="70AB4A07"/>
    <w:rsid w:val="70C0F051"/>
    <w:rsid w:val="70D04356"/>
    <w:rsid w:val="70D33468"/>
    <w:rsid w:val="70FC3CDA"/>
    <w:rsid w:val="710C4D5D"/>
    <w:rsid w:val="711164DE"/>
    <w:rsid w:val="714543D8"/>
    <w:rsid w:val="71834F5B"/>
    <w:rsid w:val="7187848B"/>
    <w:rsid w:val="718BB37C"/>
    <w:rsid w:val="71998C20"/>
    <w:rsid w:val="71A9B02C"/>
    <w:rsid w:val="71B51EC8"/>
    <w:rsid w:val="71BE6004"/>
    <w:rsid w:val="71E0C473"/>
    <w:rsid w:val="723BD7F2"/>
    <w:rsid w:val="72718246"/>
    <w:rsid w:val="72ADB061"/>
    <w:rsid w:val="72CBF1F7"/>
    <w:rsid w:val="72E18C9E"/>
    <w:rsid w:val="730FEFD5"/>
    <w:rsid w:val="73116970"/>
    <w:rsid w:val="73298499"/>
    <w:rsid w:val="7347561B"/>
    <w:rsid w:val="735803AA"/>
    <w:rsid w:val="73857B51"/>
    <w:rsid w:val="7453E1FE"/>
    <w:rsid w:val="74A2DA34"/>
    <w:rsid w:val="74D4CE0A"/>
    <w:rsid w:val="74D7131B"/>
    <w:rsid w:val="75112342"/>
    <w:rsid w:val="752AD1BF"/>
    <w:rsid w:val="75387DBE"/>
    <w:rsid w:val="754003D8"/>
    <w:rsid w:val="759003AD"/>
    <w:rsid w:val="75AFC49F"/>
    <w:rsid w:val="75BE8A9F"/>
    <w:rsid w:val="75D71624"/>
    <w:rsid w:val="75DE0837"/>
    <w:rsid w:val="75E2756B"/>
    <w:rsid w:val="7605CEC2"/>
    <w:rsid w:val="761748FE"/>
    <w:rsid w:val="761F3238"/>
    <w:rsid w:val="762ABF82"/>
    <w:rsid w:val="763626F7"/>
    <w:rsid w:val="76405E6F"/>
    <w:rsid w:val="769B3245"/>
    <w:rsid w:val="7713F17B"/>
    <w:rsid w:val="7733AFE1"/>
    <w:rsid w:val="77515319"/>
    <w:rsid w:val="776E9F88"/>
    <w:rsid w:val="7776030B"/>
    <w:rsid w:val="779330C7"/>
    <w:rsid w:val="7797F722"/>
    <w:rsid w:val="77B35065"/>
    <w:rsid w:val="77B43240"/>
    <w:rsid w:val="77C09E2F"/>
    <w:rsid w:val="77C2B3BC"/>
    <w:rsid w:val="781BF5A7"/>
    <w:rsid w:val="783830A0"/>
    <w:rsid w:val="789B3BA4"/>
    <w:rsid w:val="789BF337"/>
    <w:rsid w:val="78B262FD"/>
    <w:rsid w:val="78D55BBC"/>
    <w:rsid w:val="7940128A"/>
    <w:rsid w:val="79447222"/>
    <w:rsid w:val="797037E9"/>
    <w:rsid w:val="797077E8"/>
    <w:rsid w:val="79AFDADE"/>
    <w:rsid w:val="79D65904"/>
    <w:rsid w:val="79DD9A03"/>
    <w:rsid w:val="7A1F2E79"/>
    <w:rsid w:val="7A84D7AF"/>
    <w:rsid w:val="7A89328D"/>
    <w:rsid w:val="7A90A3A8"/>
    <w:rsid w:val="7AEC2331"/>
    <w:rsid w:val="7B110C6C"/>
    <w:rsid w:val="7B2B7FD1"/>
    <w:rsid w:val="7B2D34E8"/>
    <w:rsid w:val="7BAE6C59"/>
    <w:rsid w:val="7C0ED10E"/>
    <w:rsid w:val="7C1B3E85"/>
    <w:rsid w:val="7C546027"/>
    <w:rsid w:val="7C82BE4D"/>
    <w:rsid w:val="7CD8E403"/>
    <w:rsid w:val="7D8ED973"/>
    <w:rsid w:val="7D9ADDCB"/>
    <w:rsid w:val="7E12E3FF"/>
    <w:rsid w:val="7E2596F3"/>
    <w:rsid w:val="7E4885A9"/>
    <w:rsid w:val="7E742F9F"/>
    <w:rsid w:val="7E7A01FC"/>
    <w:rsid w:val="7E8F1C35"/>
    <w:rsid w:val="7E99D95C"/>
    <w:rsid w:val="7EC6AC0F"/>
    <w:rsid w:val="7EF09D34"/>
    <w:rsid w:val="7EF33BEF"/>
    <w:rsid w:val="7F0507F4"/>
    <w:rsid w:val="7F0809A0"/>
    <w:rsid w:val="7F7A0664"/>
    <w:rsid w:val="7F98CC14"/>
    <w:rsid w:val="7FC7AB1E"/>
    <w:rsid w:val="7FE69025"/>
    <w:rsid w:val="7FFCB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5:docId w15:val="{AB78C26E-0260-45D7-A275-447A9240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E3CDC"/>
    <w:pPr>
      <w:spacing w:after="0" w:line="240" w:lineRule="auto"/>
    </w:pPr>
    <w:rPr>
      <w:rFonts w:ascii="Times New Roman" w:hAnsi="Times New Roman" w:cs="Times New Roman"/>
      <w:sz w:val="24"/>
      <w:lang w:val="en-GB"/>
    </w:rPr>
  </w:style>
  <w:style w:type="paragraph" w:styleId="ListParagraph">
    <w:name w:val="List Paragraph"/>
    <w:basedOn w:val="Normal"/>
    <w:uiPriority w:val="34"/>
    <w:qFormat/>
    <w:rsid w:val="00DE3CDC"/>
    <w:pPr>
      <w:ind w:left="720"/>
      <w:contextualSpacing/>
    </w:pPr>
  </w:style>
  <w:style w:type="paragraph" w:styleId="ListBullet">
    <w:name w:val="List Bullet"/>
    <w:basedOn w:val="Normal"/>
    <w:uiPriority w:val="99"/>
    <w:semiHidden/>
    <w:unhideWhenUsed/>
    <w:rsid w:val="00A70918"/>
    <w:pPr>
      <w:numPr>
        <w:numId w:val="1"/>
      </w:numPr>
      <w:contextualSpacing/>
    </w:pPr>
  </w:style>
  <w:style w:type="paragraph" w:styleId="ListBullet2">
    <w:name w:val="List Bullet 2"/>
    <w:basedOn w:val="Normal"/>
    <w:uiPriority w:val="99"/>
    <w:semiHidden/>
    <w:unhideWhenUsed/>
    <w:rsid w:val="00A70918"/>
    <w:pPr>
      <w:numPr>
        <w:numId w:val="2"/>
      </w:numPr>
      <w:contextualSpacing/>
    </w:pPr>
  </w:style>
  <w:style w:type="paragraph" w:styleId="ListBullet3">
    <w:name w:val="List Bullet 3"/>
    <w:basedOn w:val="Normal"/>
    <w:uiPriority w:val="99"/>
    <w:semiHidden/>
    <w:unhideWhenUsed/>
    <w:rsid w:val="00A70918"/>
    <w:pPr>
      <w:numPr>
        <w:numId w:val="3"/>
      </w:numPr>
      <w:contextualSpacing/>
    </w:pPr>
  </w:style>
  <w:style w:type="paragraph" w:styleId="ListBullet4">
    <w:name w:val="List Bullet 4"/>
    <w:basedOn w:val="Normal"/>
    <w:uiPriority w:val="99"/>
    <w:semiHidden/>
    <w:unhideWhenUsed/>
    <w:rsid w:val="00A70918"/>
    <w:pPr>
      <w:numPr>
        <w:numId w:val="4"/>
      </w:numPr>
      <w:contextualSpacing/>
    </w:pPr>
  </w:style>
  <w:style w:type="character" w:styleId="CommentReference">
    <w:name w:val="annotation reference"/>
    <w:basedOn w:val="DefaultParagraphFont"/>
    <w:uiPriority w:val="99"/>
    <w:semiHidden/>
    <w:unhideWhenUsed/>
    <w:rsid w:val="00C376FA"/>
    <w:rPr>
      <w:sz w:val="16"/>
      <w:szCs w:val="16"/>
    </w:rPr>
  </w:style>
  <w:style w:type="paragraph" w:styleId="CommentText">
    <w:name w:val="annotation text"/>
    <w:basedOn w:val="Normal"/>
    <w:link w:val="CommentTextChar"/>
    <w:uiPriority w:val="99"/>
    <w:unhideWhenUsed/>
    <w:rsid w:val="00C376FA"/>
    <w:rPr>
      <w:sz w:val="20"/>
      <w:szCs w:val="20"/>
    </w:rPr>
  </w:style>
  <w:style w:type="character" w:customStyle="1" w:styleId="CommentTextChar">
    <w:name w:val="Comment Text Char"/>
    <w:basedOn w:val="DefaultParagraphFont"/>
    <w:link w:val="CommentText"/>
    <w:uiPriority w:val="99"/>
    <w:rsid w:val="00C376FA"/>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376FA"/>
    <w:rPr>
      <w:b/>
      <w:bCs/>
    </w:rPr>
  </w:style>
  <w:style w:type="character" w:customStyle="1" w:styleId="CommentSubjectChar">
    <w:name w:val="Comment Subject Char"/>
    <w:basedOn w:val="CommentTextChar"/>
    <w:link w:val="CommentSubject"/>
    <w:uiPriority w:val="99"/>
    <w:semiHidden/>
    <w:rsid w:val="00C376FA"/>
    <w:rPr>
      <w:rFonts w:ascii="Times New Roman" w:hAnsi="Times New Roman" w:cs="Times New Roman"/>
      <w:b/>
      <w:bCs/>
      <w:sz w:val="20"/>
      <w:szCs w:val="20"/>
      <w:lang w:val="en-GB"/>
    </w:rPr>
  </w:style>
  <w:style w:type="paragraph" w:styleId="NormalWeb">
    <w:name w:val="Normal (Web)"/>
    <w:basedOn w:val="Normal"/>
    <w:uiPriority w:val="99"/>
    <w:semiHidden/>
    <w:unhideWhenUsed/>
    <w:rsid w:val="008E275D"/>
    <w:pPr>
      <w:spacing w:before="100" w:beforeAutospacing="1" w:after="100" w:afterAutospacing="1"/>
      <w:jc w:val="left"/>
    </w:pPr>
    <w:rPr>
      <w:rFonts w:eastAsia="Times New Roman"/>
      <w:szCs w:val="24"/>
      <w:lang w:val="en-IE" w:eastAsia="en-IE"/>
    </w:rPr>
  </w:style>
  <w:style w:type="paragraph" w:customStyle="1" w:styleId="title-bold">
    <w:name w:val="title-bold"/>
    <w:basedOn w:val="Normal"/>
    <w:rsid w:val="00475808"/>
    <w:pPr>
      <w:spacing w:before="100" w:beforeAutospacing="1" w:after="100" w:afterAutospacing="1"/>
      <w:jc w:val="left"/>
    </w:pPr>
    <w:rPr>
      <w:rFonts w:eastAsia="Times New Roman"/>
      <w:szCs w:val="24"/>
      <w:lang w:val="en-IE" w:eastAsia="en-IE"/>
    </w:rPr>
  </w:style>
  <w:style w:type="character" w:styleId="Emphasis">
    <w:name w:val="Emphasis"/>
    <w:basedOn w:val="DefaultParagraphFont"/>
    <w:uiPriority w:val="20"/>
    <w:qFormat/>
    <w:rsid w:val="00475808"/>
    <w:rPr>
      <w:i/>
      <w:iCs/>
    </w:rPr>
  </w:style>
  <w:style w:type="character" w:styleId="Hyperlink">
    <w:name w:val="Hyperlink"/>
    <w:basedOn w:val="DefaultParagraphFont"/>
    <w:uiPriority w:val="99"/>
    <w:unhideWhenUsed/>
    <w:rsid w:val="00171876"/>
    <w:rPr>
      <w:color w:val="0000FF" w:themeColor="hyperlink"/>
      <w:u w:val="single"/>
    </w:rPr>
  </w:style>
  <w:style w:type="character" w:customStyle="1" w:styleId="UnresolvedMention">
    <w:name w:val="Unresolved Mention"/>
    <w:basedOn w:val="DefaultParagraphFont"/>
    <w:uiPriority w:val="99"/>
    <w:semiHidden/>
    <w:unhideWhenUsed/>
    <w:rsid w:val="00663D2A"/>
    <w:rPr>
      <w:color w:val="605E5C"/>
      <w:shd w:val="clear" w:color="auto" w:fill="E1DFDD"/>
    </w:rPr>
  </w:style>
  <w:style w:type="character" w:customStyle="1" w:styleId="UnresolvedMention1">
    <w:name w:val="Unresolved Mention1"/>
    <w:basedOn w:val="DefaultParagraphFont"/>
    <w:uiPriority w:val="99"/>
    <w:semiHidden/>
    <w:unhideWhenUsed/>
    <w:rsid w:val="00DF5A21"/>
    <w:rPr>
      <w:color w:val="605E5C"/>
      <w:shd w:val="clear" w:color="auto" w:fill="E1DFDD"/>
    </w:rPr>
  </w:style>
  <w:style w:type="paragraph" w:styleId="BalloonText">
    <w:name w:val="Balloon Text"/>
    <w:basedOn w:val="Normal"/>
    <w:link w:val="BalloonTextChar"/>
    <w:uiPriority w:val="99"/>
    <w:semiHidden/>
    <w:unhideWhenUsed/>
    <w:rsid w:val="00DF5A2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A21"/>
    <w:rPr>
      <w:rFonts w:ascii="Segoe UI" w:hAnsi="Segoe UI" w:cs="Segoe UI"/>
      <w:sz w:val="18"/>
      <w:szCs w:val="18"/>
      <w:lang w:val="en-GB"/>
    </w:rPr>
  </w:style>
  <w:style w:type="paragraph" w:styleId="EndnoteText">
    <w:name w:val="endnote text"/>
    <w:basedOn w:val="Normal"/>
    <w:link w:val="EndnoteTextChar"/>
    <w:uiPriority w:val="99"/>
    <w:semiHidden/>
    <w:unhideWhenUsed/>
    <w:rsid w:val="003A21DE"/>
    <w:pPr>
      <w:spacing w:before="0" w:after="0"/>
    </w:pPr>
    <w:rPr>
      <w:sz w:val="20"/>
      <w:szCs w:val="20"/>
    </w:rPr>
  </w:style>
  <w:style w:type="character" w:customStyle="1" w:styleId="EndnoteTextChar">
    <w:name w:val="Endnote Text Char"/>
    <w:basedOn w:val="DefaultParagraphFont"/>
    <w:link w:val="EndnoteText"/>
    <w:uiPriority w:val="99"/>
    <w:semiHidden/>
    <w:rsid w:val="003A21DE"/>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sid w:val="003A21DE"/>
    <w:rPr>
      <w:vertAlign w:val="superscript"/>
    </w:rPr>
  </w:style>
  <w:style w:type="character" w:customStyle="1" w:styleId="HeaderChar">
    <w:name w:val="Header Char"/>
    <w:basedOn w:val="DefaultParagraphFont"/>
    <w:link w:val="Header"/>
    <w:uiPriority w:val="99"/>
    <w:rsid w:val="002722B4"/>
    <w:rPr>
      <w:rFonts w:ascii="Times New Roman" w:hAnsi="Times New Roman" w:cs="Times New Roman"/>
      <w:sz w:val="24"/>
      <w:lang w:val="en-GB"/>
    </w:rPr>
  </w:style>
  <w:style w:type="character" w:customStyle="1" w:styleId="FooterChar">
    <w:name w:val="Footer Char"/>
    <w:basedOn w:val="DefaultParagraphFont"/>
    <w:link w:val="Footer"/>
    <w:uiPriority w:val="99"/>
    <w:rsid w:val="002722B4"/>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2722B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722B4"/>
    <w:pPr>
      <w:spacing w:before="0"/>
      <w:jc w:val="right"/>
    </w:pPr>
    <w:rPr>
      <w:sz w:val="28"/>
    </w:rPr>
  </w:style>
  <w:style w:type="paragraph" w:customStyle="1" w:styleId="FooterSensitivity">
    <w:name w:val="Footer Sensitivity"/>
    <w:basedOn w:val="Normal"/>
    <w:rsid w:val="002722B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Tiret5">
    <w:name w:val="Tiret 5"/>
    <w:basedOn w:val="Point5"/>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NumPar5">
    <w:name w:val="NumPar 5"/>
    <w:basedOn w:val="Normal"/>
    <w:next w:val="Text2"/>
    <w:pPr>
      <w:numPr>
        <w:ilvl w:val="4"/>
        <w:numId w:val="28"/>
      </w:numPr>
    </w:pPr>
  </w:style>
  <w:style w:type="paragraph" w:customStyle="1" w:styleId="NumPar6">
    <w:name w:val="NumPar 6"/>
    <w:basedOn w:val="Normal"/>
    <w:next w:val="Text2"/>
    <w:pPr>
      <w:numPr>
        <w:ilvl w:val="5"/>
        <w:numId w:val="28"/>
      </w:numPr>
    </w:pPr>
  </w:style>
  <w:style w:type="paragraph" w:customStyle="1" w:styleId="NumPar7">
    <w:name w:val="NumPar 7"/>
    <w:basedOn w:val="Normal"/>
    <w:next w:val="Text2"/>
    <w:pPr>
      <w:numPr>
        <w:ilvl w:val="6"/>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2722B4"/>
    <w:pPr>
      <w:tabs>
        <w:tab w:val="center" w:pos="4535"/>
        <w:tab w:val="right" w:pos="9071"/>
      </w:tabs>
      <w:spacing w:before="0"/>
    </w:pPr>
  </w:style>
  <w:style w:type="paragraph" w:customStyle="1" w:styleId="HeaderLandscape">
    <w:name w:val="HeaderLandscape"/>
    <w:basedOn w:val="Normal"/>
    <w:rsid w:val="002722B4"/>
    <w:pPr>
      <w:tabs>
        <w:tab w:val="center" w:pos="7285"/>
        <w:tab w:val="right" w:pos="14003"/>
      </w:tabs>
      <w:spacing w:before="0"/>
    </w:pPr>
  </w:style>
  <w:style w:type="paragraph" w:styleId="Footer">
    <w:name w:val="footer"/>
    <w:basedOn w:val="Normal"/>
    <w:link w:val="FooterChar"/>
    <w:uiPriority w:val="99"/>
    <w:unhideWhenUsed/>
    <w:rsid w:val="002722B4"/>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2722B4"/>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3799">
      <w:bodyDiv w:val="1"/>
      <w:marLeft w:val="0"/>
      <w:marRight w:val="0"/>
      <w:marTop w:val="0"/>
      <w:marBottom w:val="0"/>
      <w:divBdr>
        <w:top w:val="none" w:sz="0" w:space="0" w:color="auto"/>
        <w:left w:val="none" w:sz="0" w:space="0" w:color="auto"/>
        <w:bottom w:val="none" w:sz="0" w:space="0" w:color="auto"/>
        <w:right w:val="none" w:sz="0" w:space="0" w:color="auto"/>
      </w:divBdr>
    </w:div>
    <w:div w:id="38214530">
      <w:bodyDiv w:val="1"/>
      <w:marLeft w:val="0"/>
      <w:marRight w:val="0"/>
      <w:marTop w:val="0"/>
      <w:marBottom w:val="0"/>
      <w:divBdr>
        <w:top w:val="none" w:sz="0" w:space="0" w:color="auto"/>
        <w:left w:val="none" w:sz="0" w:space="0" w:color="auto"/>
        <w:bottom w:val="none" w:sz="0" w:space="0" w:color="auto"/>
        <w:right w:val="none" w:sz="0" w:space="0" w:color="auto"/>
      </w:divBdr>
    </w:div>
    <w:div w:id="228467799">
      <w:bodyDiv w:val="1"/>
      <w:marLeft w:val="0"/>
      <w:marRight w:val="0"/>
      <w:marTop w:val="0"/>
      <w:marBottom w:val="0"/>
      <w:divBdr>
        <w:top w:val="none" w:sz="0" w:space="0" w:color="auto"/>
        <w:left w:val="none" w:sz="0" w:space="0" w:color="auto"/>
        <w:bottom w:val="none" w:sz="0" w:space="0" w:color="auto"/>
        <w:right w:val="none" w:sz="0" w:space="0" w:color="auto"/>
      </w:divBdr>
    </w:div>
    <w:div w:id="271011395">
      <w:bodyDiv w:val="1"/>
      <w:marLeft w:val="0"/>
      <w:marRight w:val="0"/>
      <w:marTop w:val="0"/>
      <w:marBottom w:val="0"/>
      <w:divBdr>
        <w:top w:val="none" w:sz="0" w:space="0" w:color="auto"/>
        <w:left w:val="none" w:sz="0" w:space="0" w:color="auto"/>
        <w:bottom w:val="none" w:sz="0" w:space="0" w:color="auto"/>
        <w:right w:val="none" w:sz="0" w:space="0" w:color="auto"/>
      </w:divBdr>
    </w:div>
    <w:div w:id="469398546">
      <w:bodyDiv w:val="1"/>
      <w:marLeft w:val="0"/>
      <w:marRight w:val="0"/>
      <w:marTop w:val="0"/>
      <w:marBottom w:val="0"/>
      <w:divBdr>
        <w:top w:val="none" w:sz="0" w:space="0" w:color="auto"/>
        <w:left w:val="none" w:sz="0" w:space="0" w:color="auto"/>
        <w:bottom w:val="none" w:sz="0" w:space="0" w:color="auto"/>
        <w:right w:val="none" w:sz="0" w:space="0" w:color="auto"/>
      </w:divBdr>
    </w:div>
    <w:div w:id="722943499">
      <w:bodyDiv w:val="1"/>
      <w:marLeft w:val="0"/>
      <w:marRight w:val="0"/>
      <w:marTop w:val="0"/>
      <w:marBottom w:val="0"/>
      <w:divBdr>
        <w:top w:val="none" w:sz="0" w:space="0" w:color="auto"/>
        <w:left w:val="none" w:sz="0" w:space="0" w:color="auto"/>
        <w:bottom w:val="none" w:sz="0" w:space="0" w:color="auto"/>
        <w:right w:val="none" w:sz="0" w:space="0" w:color="auto"/>
      </w:divBdr>
    </w:div>
    <w:div w:id="1033111711">
      <w:bodyDiv w:val="1"/>
      <w:marLeft w:val="0"/>
      <w:marRight w:val="0"/>
      <w:marTop w:val="0"/>
      <w:marBottom w:val="0"/>
      <w:divBdr>
        <w:top w:val="none" w:sz="0" w:space="0" w:color="auto"/>
        <w:left w:val="none" w:sz="0" w:space="0" w:color="auto"/>
        <w:bottom w:val="none" w:sz="0" w:space="0" w:color="auto"/>
        <w:right w:val="none" w:sz="0" w:space="0" w:color="auto"/>
      </w:divBdr>
    </w:div>
    <w:div w:id="1533690840">
      <w:bodyDiv w:val="1"/>
      <w:marLeft w:val="0"/>
      <w:marRight w:val="0"/>
      <w:marTop w:val="0"/>
      <w:marBottom w:val="0"/>
      <w:divBdr>
        <w:top w:val="none" w:sz="0" w:space="0" w:color="auto"/>
        <w:left w:val="none" w:sz="0" w:space="0" w:color="auto"/>
        <w:bottom w:val="none" w:sz="0" w:space="0" w:color="auto"/>
        <w:right w:val="none" w:sz="0" w:space="0" w:color="auto"/>
      </w:divBdr>
    </w:div>
    <w:div w:id="1891266397">
      <w:bodyDiv w:val="1"/>
      <w:marLeft w:val="0"/>
      <w:marRight w:val="0"/>
      <w:marTop w:val="0"/>
      <w:marBottom w:val="0"/>
      <w:divBdr>
        <w:top w:val="none" w:sz="0" w:space="0" w:color="auto"/>
        <w:left w:val="none" w:sz="0" w:space="0" w:color="auto"/>
        <w:bottom w:val="none" w:sz="0" w:space="0" w:color="auto"/>
        <w:right w:val="none" w:sz="0" w:space="0" w:color="auto"/>
      </w:divBdr>
    </w:div>
    <w:div w:id="202450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gi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data.europa.eu/eli/dir/2024/1275/oj" TargetMode="External"/><Relationship Id="rId1" Type="http://schemas.openxmlformats.org/officeDocument/2006/relationships/hyperlink" Target="http://data.europa.eu/eli/dir/2018/2001/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D2C354A9B80F4897019BC7E2880A88" ma:contentTypeVersion="11" ma:contentTypeDescription="Create a new document." ma:contentTypeScope="" ma:versionID="70a0bae7b85988ecce2102e1e192c190">
  <xsd:schema xmlns:xsd="http://www.w3.org/2001/XMLSchema" xmlns:xs="http://www.w3.org/2001/XMLSchema" xmlns:p="http://schemas.microsoft.com/office/2006/metadata/properties" xmlns:ns2="2a565401-6124-4834-af4c-bc1a772a6083" xmlns:ns3="ed350a78-f7eb-44a2-bb43-fd61cd942e28" targetNamespace="http://schemas.microsoft.com/office/2006/metadata/properties" ma:root="true" ma:fieldsID="0471f6766bfac0cb02b88bb2c1e67d9d" ns2:_="" ns3:_="">
    <xsd:import namespace="2a565401-6124-4834-af4c-bc1a772a6083"/>
    <xsd:import namespace="ed350a78-f7eb-44a2-bb43-fd61cd942e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65401-6124-4834-af4c-bc1a772a6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350a78-f7eb-44a2-bb43-fd61cd942e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98c7e1-a285-462b-825c-14f984010e94}" ma:internalName="TaxCatchAll" ma:showField="CatchAllData" ma:web="ed350a78-f7eb-44a2-bb43-fd61cd942e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565401-6124-4834-af4c-bc1a772a6083">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ed350a78-f7eb-44a2-bb43-fd61cd942e2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20D94BF79903409A44EFD8C6ED4DE5" ma:contentTypeVersion="17" ma:contentTypeDescription="Create a new document." ma:contentTypeScope="" ma:versionID="f94be184749d38c1e2199d399cc1df6a">
  <xsd:schema xmlns:xsd="http://www.w3.org/2001/XMLSchema" xmlns:xs="http://www.w3.org/2001/XMLSchema" xmlns:p="http://schemas.microsoft.com/office/2006/metadata/properties" xmlns:ns2="fb6c068c-bc2d-4620-b517-6a4d82a7e161" xmlns:ns3="604b4288-15a6-4b36-801c-a9875e40b072" targetNamespace="http://schemas.microsoft.com/office/2006/metadata/properties" ma:root="true" ma:fieldsID="faa72d551d379532495c4e98229c2ab5" ns2:_="" ns3:_="">
    <xsd:import namespace="fb6c068c-bc2d-4620-b517-6a4d82a7e161"/>
    <xsd:import namespace="604b4288-15a6-4b36-801c-a9875e40b0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Datecreated_x002f_received_x002f_modified"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c068c-bc2d-4620-b517-6a4d82a7e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Datecreated_x002f_received_x002f_modified" ma:index="16" nillable="true" ma:displayName="Date created/received/modified" ma:format="Dropdown" ma:internalName="Datecreated_x002f_received_x002f_modified">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4b4288-15a6-4b36-801c-a9875e40b0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e6f62dd-2e42-4a2c-bb0e-32559e24dd7a}" ma:internalName="TaxCatchAll" ma:showField="CatchAllData" ma:web="604b4288-15a6-4b36-801c-a9875e40b0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B8766-D203-4A1B-AB7E-70ADC58AD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65401-6124-4834-af4c-bc1a772a6083"/>
    <ds:schemaRef ds:uri="ed350a78-f7eb-44a2-bb43-fd61cd942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DE7B28-6E2D-4282-99AB-B8C07325A57E}">
  <ds:schemaRefs>
    <ds:schemaRef ds:uri="http://schemas.microsoft.com/office/2006/metadata/properties"/>
    <ds:schemaRef ds:uri="http://schemas.microsoft.com/office/infopath/2007/PartnerControls"/>
    <ds:schemaRef ds:uri="2a565401-6124-4834-af4c-bc1a772a6083"/>
    <ds:schemaRef ds:uri="ed350a78-f7eb-44a2-bb43-fd61cd942e28"/>
  </ds:schemaRefs>
</ds:datastoreItem>
</file>

<file path=customXml/itemProps3.xml><?xml version="1.0" encoding="utf-8"?>
<ds:datastoreItem xmlns:ds="http://schemas.openxmlformats.org/officeDocument/2006/customXml" ds:itemID="{D5B283F6-34A7-49F3-9A26-2AAF8F930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c068c-bc2d-4620-b517-6a4d82a7e161"/>
    <ds:schemaRef ds:uri="604b4288-15a6-4b36-801c-a9875e40b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63F44D-587A-4475-B5EA-E20ED50E9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EEB6A2-DC37-4104-8972-32DF438EBD30}">
  <ds:schemaRefs>
    <ds:schemaRef ds:uri="http://schemas.microsoft.com/sharepoint/v3/contenttype/forms"/>
  </ds:schemaRefs>
</ds:datastoreItem>
</file>

<file path=customXml/itemProps6.xml><?xml version="1.0" encoding="utf-8"?>
<ds:datastoreItem xmlns:ds="http://schemas.openxmlformats.org/officeDocument/2006/customXml" ds:itemID="{3D5B81DA-EF7A-4402-8818-D021E9E7E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933</TotalTime>
  <Pages>10</Pages>
  <Words>3723</Words>
  <Characters>21226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23</cp:revision>
  <dcterms:created xsi:type="dcterms:W3CDTF">2025-06-18T13:06:00Z</dcterms:created>
  <dcterms:modified xsi:type="dcterms:W3CDTF">2025-07-01T14:15:00Z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COM/AA/NOEEA</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SJ-014</vt:lpwstr>
  </property>
  <property fmtid="{D5CDD505-2E9C-101B-9397-08002B2CF9AE}" pid="10" name="MSIP_Label_6bd9ddd1-4d20-43f6-abfa-fc3c07406f94_Enabled">
    <vt:lpwstr>true</vt:lpwstr>
  </property>
  <property fmtid="{D5CDD505-2E9C-101B-9397-08002B2CF9AE}" pid="11" name="MSIP_Label_6bd9ddd1-4d20-43f6-abfa-fc3c07406f94_SetDate">
    <vt:lpwstr>2024-05-08T10:15:03Z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2ba447b7-bd48-469f-9e1f-70badb41babb</vt:lpwstr>
  </property>
  <property fmtid="{D5CDD505-2E9C-101B-9397-08002B2CF9AE}" pid="16" name="MSIP_Label_6bd9ddd1-4d20-43f6-abfa-fc3c07406f94_ContentBits">
    <vt:lpwstr>0</vt:lpwstr>
  </property>
  <property fmtid="{D5CDD505-2E9C-101B-9397-08002B2CF9AE}" pid="17" name="ContentTypeId">
    <vt:lpwstr>0x01010078D2C354A9B80F4897019BC7E2880A88</vt:lpwstr>
  </property>
  <property fmtid="{D5CDD505-2E9C-101B-9397-08002B2CF9AE}" pid="18" name="MediaServiceImageTags">
    <vt:lpwstr/>
  </property>
  <property fmtid="{D5CDD505-2E9C-101B-9397-08002B2CF9AE}" pid="19" name="DQCStatus">
    <vt:lpwstr>Yellow (DQC version 03)</vt:lpwstr>
  </property>
</Properties>
</file>