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2FABD" w14:textId="47B39EBF" w:rsidR="00452C13" w:rsidRPr="00B021AA" w:rsidRDefault="00592496" w:rsidP="00592496">
      <w:pPr>
        <w:pStyle w:val="Pagedecouverture"/>
        <w:rPr>
          <w:noProof/>
        </w:rPr>
      </w:pPr>
      <w:r>
        <w:rPr>
          <w:noProof/>
        </w:rPr>
        <w:pict w14:anchorId="1BE6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C1CBD28-1898-43D4-9D64-FAA986B2EE18" style="width:455.25pt;height:414pt">
            <v:imagedata r:id="rId11" o:title=""/>
          </v:shape>
        </w:pict>
      </w:r>
    </w:p>
    <w:p w14:paraId="1519F0DD" w14:textId="77777777" w:rsidR="00452C13" w:rsidRPr="00B021AA" w:rsidRDefault="00452C13" w:rsidP="00452C13">
      <w:pPr>
        <w:rPr>
          <w:noProof/>
        </w:rPr>
        <w:sectPr w:rsidR="00452C13" w:rsidRPr="00B021AA" w:rsidSect="00592496">
          <w:footerReference w:type="even" r:id="rId12"/>
          <w:footerReference w:type="default" r:id="rId13"/>
          <w:pgSz w:w="11907" w:h="16839"/>
          <w:pgMar w:top="1134" w:right="1417" w:bottom="1134" w:left="1417" w:header="709" w:footer="709" w:gutter="0"/>
          <w:pgNumType w:start="0"/>
          <w:cols w:space="720"/>
          <w:docGrid w:linePitch="360"/>
        </w:sectPr>
      </w:pPr>
    </w:p>
    <w:p w14:paraId="1BDD16E0" w14:textId="77777777" w:rsidR="006B7ED0" w:rsidRPr="00B021AA" w:rsidRDefault="006B7ED0" w:rsidP="006B7ED0">
      <w:pPr>
        <w:pStyle w:val="Exposdesmotifstitre"/>
        <w:rPr>
          <w:noProof/>
        </w:rPr>
      </w:pPr>
      <w:bookmarkStart w:id="0" w:name="_GoBack"/>
      <w:bookmarkEnd w:id="0"/>
      <w:r w:rsidRPr="00B021AA">
        <w:rPr>
          <w:noProof/>
        </w:rPr>
        <w:lastRenderedPageBreak/>
        <w:t>EXPLANATORY MEMORANDUM</w:t>
      </w:r>
    </w:p>
    <w:p w14:paraId="0BC33E0F" w14:textId="77777777" w:rsidR="006B7ED0" w:rsidRPr="00B021AA" w:rsidRDefault="006B7ED0" w:rsidP="006B7ED0">
      <w:pPr>
        <w:pStyle w:val="ManualHeading1"/>
        <w:rPr>
          <w:noProof/>
        </w:rPr>
      </w:pPr>
      <w:r>
        <w:rPr>
          <w:noProof/>
        </w:rPr>
        <w:t>1.</w:t>
      </w:r>
      <w:r>
        <w:rPr>
          <w:noProof/>
        </w:rPr>
        <w:tab/>
      </w:r>
      <w:r w:rsidRPr="00B021AA">
        <w:rPr>
          <w:noProof/>
        </w:rPr>
        <w:t>CONTEXT OF THE DELEGATED ACT</w:t>
      </w:r>
    </w:p>
    <w:p w14:paraId="5C307F25" w14:textId="77777777" w:rsidR="006B7ED0" w:rsidRPr="00B021AA" w:rsidRDefault="006B7ED0" w:rsidP="006B7ED0">
      <w:pPr>
        <w:rPr>
          <w:noProof/>
        </w:rPr>
      </w:pPr>
      <w:r w:rsidRPr="00B021AA">
        <w:rPr>
          <w:noProof/>
        </w:rPr>
        <w:t>Regulation (EU) 2022/2554 of the European Parliament and of the Council of 14 December 2022 on digital operational resilience for the financial sector and amending Regulations (EC) No 1060/2009, (EU) No 648/2012, (EU) No 600/2014, (EU) No 909/2014 and (EU) 2016/1011 (the Digital Operational Resilience Act ‘DORA’) was published on 27 December 2022 and entered into force on 17 January 2023</w:t>
      </w:r>
      <w:r w:rsidRPr="00B021AA">
        <w:rPr>
          <w:rStyle w:val="FootnoteReference"/>
          <w:noProof/>
        </w:rPr>
        <w:footnoteReference w:id="2"/>
      </w:r>
      <w:r w:rsidRPr="00B021AA">
        <w:rPr>
          <w:noProof/>
        </w:rPr>
        <w:t>. This Regulation provides a comprehensive legal framework addressing various, core components of the digital operational resilience of financial entities. DORA enhances the overall conduct of ICT risk management, establishes testing rules for ICT systems and increases financial supervisors’ awareness of cyber risks through an EU harmoni</w:t>
      </w:r>
      <w:r>
        <w:rPr>
          <w:noProof/>
        </w:rPr>
        <w:t>s</w:t>
      </w:r>
      <w:r w:rsidRPr="00B021AA">
        <w:rPr>
          <w:noProof/>
        </w:rPr>
        <w:t>ed incident reporting scheme.</w:t>
      </w:r>
    </w:p>
    <w:p w14:paraId="4B8A8309" w14:textId="77777777" w:rsidR="006B7ED0" w:rsidRPr="00B021AA" w:rsidRDefault="006B7ED0" w:rsidP="006B7ED0">
      <w:pPr>
        <w:rPr>
          <w:noProof/>
        </w:rPr>
      </w:pPr>
      <w:r w:rsidRPr="00B021AA">
        <w:rPr>
          <w:noProof/>
        </w:rPr>
        <w:t xml:space="preserve">To address potential systemic and concentration risks posed by the financial sectors’ reliance on a small number of ICT third-party service providers, the Regulation introduces an </w:t>
      </w:r>
      <w:r>
        <w:rPr>
          <w:noProof/>
        </w:rPr>
        <w:t>E</w:t>
      </w:r>
      <w:r w:rsidRPr="00B021AA">
        <w:rPr>
          <w:noProof/>
        </w:rPr>
        <w:t>U oversight framework for ICT third-party service providers deemed critical (CTPPs). As Lead Overseers (LOs), each of the three European Supervisory Authorities (‘ESAs’) will have the power to monitor on pan-European scale the activity of CTPPs in the context of their ICT services to the financial sector. In particular, DORA entrusts the ESAs with exclusive competence to designate ICT third-party service providers as critical. The Regulation also give</w:t>
      </w:r>
      <w:r>
        <w:rPr>
          <w:noProof/>
        </w:rPr>
        <w:t>s</w:t>
      </w:r>
      <w:r w:rsidRPr="00B021AA">
        <w:rPr>
          <w:noProof/>
        </w:rPr>
        <w:t xml:space="preserve"> the LOs a set of tasks and power</w:t>
      </w:r>
      <w:r>
        <w:rPr>
          <w:noProof/>
        </w:rPr>
        <w:t>s</w:t>
      </w:r>
      <w:r w:rsidRPr="00B021AA">
        <w:rPr>
          <w:noProof/>
        </w:rPr>
        <w:t xml:space="preserve"> to oversee the activity of CTPPs.</w:t>
      </w:r>
    </w:p>
    <w:p w14:paraId="1BD1CCE2" w14:textId="77777777" w:rsidR="006B7ED0" w:rsidRPr="00B021AA" w:rsidRDefault="006B7ED0" w:rsidP="006B7ED0">
      <w:pPr>
        <w:rPr>
          <w:noProof/>
        </w:rPr>
      </w:pPr>
      <w:r w:rsidRPr="00B021AA">
        <w:rPr>
          <w:noProof/>
        </w:rPr>
        <w:t>To ensure th</w:t>
      </w:r>
      <w:r>
        <w:rPr>
          <w:noProof/>
        </w:rPr>
        <w:t>at</w:t>
      </w:r>
      <w:r w:rsidRPr="00B021AA">
        <w:rPr>
          <w:noProof/>
        </w:rPr>
        <w:t xml:space="preserve"> LOs </w:t>
      </w:r>
      <w:r>
        <w:rPr>
          <w:noProof/>
        </w:rPr>
        <w:t xml:space="preserve">have the </w:t>
      </w:r>
      <w:r w:rsidRPr="00B021AA">
        <w:rPr>
          <w:noProof/>
        </w:rPr>
        <w:t xml:space="preserve">necessary resources to effectively carry on the oversight tasks under DORA, Article 43 empowers </w:t>
      </w:r>
      <w:r>
        <w:rPr>
          <w:noProof/>
        </w:rPr>
        <w:t xml:space="preserve">them </w:t>
      </w:r>
      <w:r w:rsidRPr="00B021AA">
        <w:rPr>
          <w:noProof/>
        </w:rPr>
        <w:t>to charge fees to each designated CTPP to cover all the expenditure incurred by the LOs in relation to the conduct of oversight tasks. More specifically, the fees collected from CTPPs would need to cover the necessary expenditure in relation to the conduct of oversight tasks, including the costs which may be incurred because of the work carried out by the joint examination teams, and the cost of advice provided by independent experts in relation to matters falling under the remit of direct oversight activities. The fees charged to CTPPs shall be proportionate to the turnover of the critical ICT third-party service providers concerned.</w:t>
      </w:r>
    </w:p>
    <w:p w14:paraId="5AADC10F" w14:textId="77777777" w:rsidR="006B7ED0" w:rsidRPr="00B021AA" w:rsidRDefault="006B7ED0" w:rsidP="006B7ED0">
      <w:pPr>
        <w:rPr>
          <w:noProof/>
        </w:rPr>
      </w:pPr>
      <w:r w:rsidRPr="00B021AA">
        <w:rPr>
          <w:noProof/>
        </w:rPr>
        <w:t>Finally, Article 43(2) empowers t</w:t>
      </w:r>
      <w:r>
        <w:rPr>
          <w:noProof/>
        </w:rPr>
        <w:t>he</w:t>
      </w:r>
      <w:r w:rsidRPr="00B021AA">
        <w:rPr>
          <w:noProof/>
        </w:rPr>
        <w:t xml:space="preserve"> Commission to adopt a delegated act to determine the amount of the fees and the way in which they are to be paid.</w:t>
      </w:r>
    </w:p>
    <w:p w14:paraId="56D436D0" w14:textId="77777777" w:rsidR="006B7ED0" w:rsidRPr="00B021AA" w:rsidRDefault="006B7ED0" w:rsidP="006B7ED0">
      <w:pPr>
        <w:pStyle w:val="ManualHeading1"/>
        <w:rPr>
          <w:noProof/>
        </w:rPr>
      </w:pPr>
      <w:r>
        <w:rPr>
          <w:noProof/>
        </w:rPr>
        <w:t>2.</w:t>
      </w:r>
      <w:r>
        <w:rPr>
          <w:noProof/>
        </w:rPr>
        <w:tab/>
      </w:r>
      <w:r w:rsidRPr="00B021AA">
        <w:rPr>
          <w:noProof/>
        </w:rPr>
        <w:t>CONSULTATIONS PRIOR TO THE ADOPTION OF THE ACT</w:t>
      </w:r>
    </w:p>
    <w:p w14:paraId="2647A5A7" w14:textId="77777777" w:rsidR="006B7ED0" w:rsidRPr="00B021AA" w:rsidRDefault="006B7ED0" w:rsidP="006B7ED0">
      <w:pPr>
        <w:rPr>
          <w:rStyle w:val="Strong"/>
          <w:noProof/>
        </w:rPr>
      </w:pPr>
      <w:r w:rsidRPr="00B021AA">
        <w:rPr>
          <w:rStyle w:val="Strong"/>
          <w:noProof/>
        </w:rPr>
        <w:t>Procedural aspects</w:t>
      </w:r>
    </w:p>
    <w:p w14:paraId="25AAB436" w14:textId="77777777" w:rsidR="006B7ED0" w:rsidRPr="00B021AA" w:rsidRDefault="006B7ED0" w:rsidP="006B7ED0">
      <w:pPr>
        <w:rPr>
          <w:noProof/>
        </w:rPr>
      </w:pPr>
      <w:r w:rsidRPr="00B021AA">
        <w:rPr>
          <w:noProof/>
        </w:rPr>
        <w:t>On 21 December 2022, the Commission asked the ESAs for</w:t>
      </w:r>
      <w:r>
        <w:rPr>
          <w:noProof/>
        </w:rPr>
        <w:t xml:space="preserve"> </w:t>
      </w:r>
      <w:r w:rsidRPr="00B021AA">
        <w:rPr>
          <w:noProof/>
        </w:rPr>
        <w:t>‘technical advice’</w:t>
      </w:r>
      <w:r>
        <w:rPr>
          <w:noProof/>
        </w:rPr>
        <w:t xml:space="preserve"> </w:t>
      </w:r>
      <w:r w:rsidRPr="00B021AA">
        <w:rPr>
          <w:noProof/>
        </w:rPr>
        <w:t xml:space="preserve">on a Commission delegated act </w:t>
      </w:r>
      <w:r>
        <w:rPr>
          <w:noProof/>
        </w:rPr>
        <w:t xml:space="preserve">to </w:t>
      </w:r>
      <w:r w:rsidRPr="00B021AA">
        <w:rPr>
          <w:noProof/>
        </w:rPr>
        <w:t xml:space="preserve">further </w:t>
      </w:r>
      <w:r>
        <w:rPr>
          <w:noProof/>
        </w:rPr>
        <w:t xml:space="preserve">specify </w:t>
      </w:r>
      <w:r w:rsidRPr="00B021AA">
        <w:rPr>
          <w:noProof/>
        </w:rPr>
        <w:t xml:space="preserve">the criteria to be considered by the ESAs when assessing the critical nature of ICT third-party service providers, as well as on determining the amount of the fees and the way in which they are to be paid by CTPPs. </w:t>
      </w:r>
    </w:p>
    <w:p w14:paraId="20D04C78" w14:textId="77777777" w:rsidR="006B7ED0" w:rsidRPr="00B021AA" w:rsidRDefault="006B7ED0" w:rsidP="006B7ED0">
      <w:pPr>
        <w:rPr>
          <w:noProof/>
        </w:rPr>
      </w:pPr>
      <w:r w:rsidRPr="00B021AA">
        <w:rPr>
          <w:noProof/>
        </w:rPr>
        <w:t xml:space="preserve">The ESAs conducted a public consultation on </w:t>
      </w:r>
      <w:r>
        <w:rPr>
          <w:noProof/>
        </w:rPr>
        <w:t xml:space="preserve">their </w:t>
      </w:r>
      <w:r w:rsidRPr="00B021AA">
        <w:rPr>
          <w:noProof/>
        </w:rPr>
        <w:t xml:space="preserve">draft technical advice </w:t>
      </w:r>
      <w:r>
        <w:rPr>
          <w:noProof/>
        </w:rPr>
        <w:t>between</w:t>
      </w:r>
      <w:r w:rsidRPr="00B021AA">
        <w:rPr>
          <w:noProof/>
        </w:rPr>
        <w:t xml:space="preserve"> 26 May and 23 June 2023</w:t>
      </w:r>
      <w:r w:rsidRPr="00B021AA">
        <w:rPr>
          <w:rStyle w:val="FootnoteReference"/>
          <w:noProof/>
        </w:rPr>
        <w:footnoteReference w:id="3"/>
      </w:r>
      <w:r w:rsidRPr="00B021AA">
        <w:rPr>
          <w:noProof/>
        </w:rPr>
        <w:t>. In total, the ESAs received 41 responses to the consultation paper. The ESAs sent their technical advice to the Commission on 29 September 2023.</w:t>
      </w:r>
    </w:p>
    <w:p w14:paraId="72124AB1" w14:textId="77777777" w:rsidR="006B7ED0" w:rsidRPr="00B021AA" w:rsidRDefault="006B7ED0" w:rsidP="006B7ED0">
      <w:pPr>
        <w:rPr>
          <w:noProof/>
        </w:rPr>
      </w:pPr>
      <w:r w:rsidRPr="00B021AA">
        <w:rPr>
          <w:noProof/>
        </w:rPr>
        <w:t>On 29 September 2023, the Commission consulted the Expert Group on Banking, Payments and Insurance (EGBPI) on the content of this delegated act. The Expert Group supported the Commission’s approach regarding the delegated act on the amount of the fees and the way in which they are to be paid. Representatives in the Expert Group did not raise any point.</w:t>
      </w:r>
    </w:p>
    <w:p w14:paraId="42C863DC" w14:textId="77777777" w:rsidR="006B7ED0" w:rsidRPr="00B021AA" w:rsidRDefault="006B7ED0" w:rsidP="006B7ED0">
      <w:pPr>
        <w:rPr>
          <w:rStyle w:val="Strong"/>
          <w:noProof/>
        </w:rPr>
      </w:pPr>
      <w:r w:rsidRPr="00B021AA">
        <w:rPr>
          <w:b/>
          <w:bCs/>
          <w:noProof/>
        </w:rPr>
        <w:t>Stakeholder</w:t>
      </w:r>
      <w:r w:rsidRPr="00B021AA">
        <w:rPr>
          <w:rStyle w:val="Strong"/>
          <w:noProof/>
        </w:rPr>
        <w:t xml:space="preserve"> views</w:t>
      </w:r>
    </w:p>
    <w:p w14:paraId="1CABB6A1" w14:textId="77777777" w:rsidR="006B7ED0" w:rsidRPr="00B021AA" w:rsidRDefault="006B7ED0" w:rsidP="006B7ED0">
      <w:pPr>
        <w:rPr>
          <w:noProof/>
        </w:rPr>
      </w:pPr>
      <w:r>
        <w:rPr>
          <w:noProof/>
        </w:rPr>
        <w:t xml:space="preserve">Throughout </w:t>
      </w:r>
      <w:r w:rsidRPr="00B021AA">
        <w:rPr>
          <w:noProof/>
        </w:rPr>
        <w:t>the abovementioned consultations, as well as ad hoc contributions, the Commission received a wide range of</w:t>
      </w:r>
      <w:r>
        <w:rPr>
          <w:noProof/>
        </w:rPr>
        <w:t xml:space="preserve"> </w:t>
      </w:r>
      <w:r w:rsidRPr="00B021AA">
        <w:rPr>
          <w:noProof/>
        </w:rPr>
        <w:t xml:space="preserve">views on the content of the delegated act. Those views mainly expressed the need to define a narrower basis for the applicable turnover, the need for further clarity on the methods </w:t>
      </w:r>
      <w:r>
        <w:rPr>
          <w:noProof/>
        </w:rPr>
        <w:t>to</w:t>
      </w:r>
      <w:r w:rsidRPr="00B021AA">
        <w:rPr>
          <w:noProof/>
        </w:rPr>
        <w:t xml:space="preserve"> calculat</w:t>
      </w:r>
      <w:r>
        <w:rPr>
          <w:noProof/>
        </w:rPr>
        <w:t>e</w:t>
      </w:r>
      <w:r w:rsidRPr="00B021AA">
        <w:rPr>
          <w:noProof/>
        </w:rPr>
        <w:t xml:space="preserve"> the fees, the payment of the fees and the opt-in application.</w:t>
      </w:r>
    </w:p>
    <w:p w14:paraId="028A11D0" w14:textId="77777777" w:rsidR="006B7ED0" w:rsidRPr="00B021AA" w:rsidRDefault="006B7ED0" w:rsidP="006B7ED0">
      <w:pPr>
        <w:rPr>
          <w:rStyle w:val="Emphasis"/>
          <w:noProof/>
        </w:rPr>
      </w:pPr>
      <w:r w:rsidRPr="00B021AA">
        <w:rPr>
          <w:rStyle w:val="Emphasis"/>
          <w:noProof/>
        </w:rPr>
        <w:t>Applicable turnover</w:t>
      </w:r>
    </w:p>
    <w:p w14:paraId="05DA0B71" w14:textId="77777777" w:rsidR="006B7ED0" w:rsidRPr="00B021AA" w:rsidRDefault="006B7ED0" w:rsidP="006B7ED0">
      <w:pPr>
        <w:rPr>
          <w:noProof/>
        </w:rPr>
      </w:pPr>
      <w:r w:rsidRPr="00B021AA">
        <w:rPr>
          <w:noProof/>
        </w:rPr>
        <w:t xml:space="preserve">In their responses to the public consultation </w:t>
      </w:r>
      <w:r>
        <w:rPr>
          <w:noProof/>
        </w:rPr>
        <w:t xml:space="preserve">organised </w:t>
      </w:r>
      <w:r w:rsidRPr="00B021AA">
        <w:rPr>
          <w:noProof/>
        </w:rPr>
        <w:t>by the ESAs, several market participants made various suggestions to tailor the applicable turnover on a limited scope of revenues, such as from ICT services, from clients of the financial sectors, from critical ICT services etc, from revenues generated by the provision of services to European clients only, etc. In their feedback, stakeholders were also no</w:t>
      </w:r>
      <w:r>
        <w:rPr>
          <w:noProof/>
        </w:rPr>
        <w:t>t</w:t>
      </w:r>
      <w:r w:rsidRPr="00B021AA">
        <w:rPr>
          <w:noProof/>
        </w:rPr>
        <w:t xml:space="preserve"> able to confirm that independent auditors would be able to audit and certify such ad hoc applicable turnover / financial statements. A very limited number of respondents, suggested alternative approaches, such as a standard fee applying to all CTPPs equally, in addition to a flexible fee that will depend on the turnover of the relevant CTPPs individually, to take into account the size of the client base of the CTPPs in the determination of the applicable turnover, that the fees charged to the CTPPs should reflect the quality of the risk management governance of the CTPPs, etc.</w:t>
      </w:r>
    </w:p>
    <w:p w14:paraId="18F5AE58" w14:textId="77777777" w:rsidR="006B7ED0" w:rsidRPr="00B021AA" w:rsidRDefault="006B7ED0" w:rsidP="006B7ED0">
      <w:pPr>
        <w:rPr>
          <w:rStyle w:val="Emphasis"/>
          <w:noProof/>
        </w:rPr>
      </w:pPr>
      <w:r w:rsidRPr="00B021AA">
        <w:rPr>
          <w:rStyle w:val="Emphasis"/>
          <w:noProof/>
        </w:rPr>
        <w:t>Methods of calculation</w:t>
      </w:r>
    </w:p>
    <w:p w14:paraId="242E2A99" w14:textId="77777777" w:rsidR="006B7ED0" w:rsidRPr="00B021AA" w:rsidRDefault="006B7ED0" w:rsidP="006B7ED0">
      <w:pPr>
        <w:rPr>
          <w:noProof/>
        </w:rPr>
      </w:pPr>
      <w:r w:rsidRPr="00B021AA">
        <w:rPr>
          <w:noProof/>
        </w:rPr>
        <w:t xml:space="preserve">Respondents to the public consultation </w:t>
      </w:r>
      <w:r>
        <w:rPr>
          <w:noProof/>
        </w:rPr>
        <w:t xml:space="preserve">organised </w:t>
      </w:r>
      <w:r w:rsidRPr="00B021AA">
        <w:rPr>
          <w:noProof/>
        </w:rPr>
        <w:t xml:space="preserve">by the ESAs suggested to define fees that reflect the actual cost of oversight, not on the basis of estimation or minimum fees. They also suggested some information on the total expenditure to be disclosed, as well as the methodology. Other respondents proposed surpluses to be reduced from the oversight fees paid during the subsequent year, despite the principle of universality. There were also stakeholders that disagreed with the fact that the minimum fees should be indexed on inflation and suggested </w:t>
      </w:r>
      <w:r>
        <w:rPr>
          <w:noProof/>
        </w:rPr>
        <w:t xml:space="preserve">that they </w:t>
      </w:r>
      <w:r w:rsidRPr="00B021AA">
        <w:rPr>
          <w:noProof/>
        </w:rPr>
        <w:t>rather be indexed on the annual evaluation of the aggregated applicable turnover of all CTPPs.</w:t>
      </w:r>
    </w:p>
    <w:p w14:paraId="1A24E280" w14:textId="77777777" w:rsidR="006B7ED0" w:rsidRPr="00B021AA" w:rsidRDefault="006B7ED0" w:rsidP="006B7ED0">
      <w:pPr>
        <w:rPr>
          <w:rStyle w:val="Emphasis"/>
          <w:noProof/>
        </w:rPr>
      </w:pPr>
      <w:r w:rsidRPr="00B021AA">
        <w:rPr>
          <w:rStyle w:val="Emphasis"/>
          <w:noProof/>
        </w:rPr>
        <w:t>Payment of the fees and the opt-in application</w:t>
      </w:r>
    </w:p>
    <w:p w14:paraId="1411F918" w14:textId="77777777" w:rsidR="006B7ED0" w:rsidRPr="00B021AA" w:rsidRDefault="006B7ED0" w:rsidP="006B7ED0">
      <w:pPr>
        <w:rPr>
          <w:noProof/>
        </w:rPr>
      </w:pPr>
      <w:r w:rsidRPr="00B021AA">
        <w:rPr>
          <w:noProof/>
        </w:rPr>
        <w:t>Some market participants proposed to extend the payment term from 30 to 60 days, so as to be less intrusive and align it with established internal practices across CTPPs. Respondents also suggested th</w:t>
      </w:r>
      <w:r>
        <w:rPr>
          <w:noProof/>
        </w:rPr>
        <w:t>at the</w:t>
      </w:r>
      <w:r w:rsidRPr="00B021AA">
        <w:rPr>
          <w:noProof/>
        </w:rPr>
        <w:t xml:space="preserve"> ESAs should ensure the ICT providers </w:t>
      </w:r>
      <w:r>
        <w:rPr>
          <w:noProof/>
        </w:rPr>
        <w:t xml:space="preserve">are able to </w:t>
      </w:r>
      <w:r w:rsidRPr="00B021AA">
        <w:rPr>
          <w:noProof/>
        </w:rPr>
        <w:t xml:space="preserve">predict the amount of the oversight fees, </w:t>
      </w:r>
      <w:r>
        <w:rPr>
          <w:noProof/>
        </w:rPr>
        <w:t xml:space="preserve">so that </w:t>
      </w:r>
      <w:r w:rsidRPr="00B021AA">
        <w:rPr>
          <w:noProof/>
        </w:rPr>
        <w:t>the</w:t>
      </w:r>
      <w:r>
        <w:rPr>
          <w:noProof/>
        </w:rPr>
        <w:t>y</w:t>
      </w:r>
      <w:r w:rsidRPr="00B021AA">
        <w:rPr>
          <w:noProof/>
        </w:rPr>
        <w:t xml:space="preserve"> </w:t>
      </w:r>
      <w:r>
        <w:rPr>
          <w:noProof/>
        </w:rPr>
        <w:t>can</w:t>
      </w:r>
      <w:r w:rsidRPr="00B021AA">
        <w:rPr>
          <w:noProof/>
        </w:rPr>
        <w:t xml:space="preserve"> take such fees into account when </w:t>
      </w:r>
      <w:r>
        <w:rPr>
          <w:noProof/>
        </w:rPr>
        <w:t xml:space="preserve">drawing up </w:t>
      </w:r>
      <w:r w:rsidRPr="00B021AA">
        <w:rPr>
          <w:noProof/>
        </w:rPr>
        <w:t>their budget</w:t>
      </w:r>
      <w:r>
        <w:rPr>
          <w:noProof/>
        </w:rPr>
        <w:t>s</w:t>
      </w:r>
      <w:r w:rsidRPr="00B021AA">
        <w:rPr>
          <w:noProof/>
        </w:rPr>
        <w:t>.</w:t>
      </w:r>
    </w:p>
    <w:p w14:paraId="108DCC79" w14:textId="77777777" w:rsidR="006B7ED0" w:rsidRDefault="006B7ED0" w:rsidP="006B7ED0">
      <w:pPr>
        <w:rPr>
          <w:noProof/>
        </w:rPr>
      </w:pPr>
      <w:r>
        <w:rPr>
          <w:noProof/>
        </w:rPr>
        <w:t>On</w:t>
      </w:r>
      <w:r w:rsidRPr="00B021AA">
        <w:rPr>
          <w:noProof/>
        </w:rPr>
        <w:t xml:space="preserve"> </w:t>
      </w:r>
      <w:r>
        <w:rPr>
          <w:noProof/>
        </w:rPr>
        <w:t xml:space="preserve">the </w:t>
      </w:r>
      <w:r w:rsidRPr="00B021AA">
        <w:rPr>
          <w:noProof/>
        </w:rPr>
        <w:t>opt-in application fee, some stakeholders suggested a scaled fee instead of a fixed fee, while others found the proposal of the ESAs to be appropriate and justified.</w:t>
      </w:r>
    </w:p>
    <w:p w14:paraId="6F7667AD" w14:textId="6D64991D" w:rsidR="006B7ED0" w:rsidRDefault="006B7ED0" w:rsidP="006B7ED0">
      <w:pPr>
        <w:rPr>
          <w:noProof/>
        </w:rPr>
      </w:pPr>
      <w:r w:rsidRPr="00371F2B">
        <w:rPr>
          <w:noProof/>
        </w:rPr>
        <w:t xml:space="preserve">In line with the Commission’s Better Regulation guidelines, the delegated act was subject to a four-weeks feedback period on the ‘Have Your Say’ portal from </w:t>
      </w:r>
      <w:r>
        <w:rPr>
          <w:noProof/>
        </w:rPr>
        <w:t>16 November 2023</w:t>
      </w:r>
      <w:r w:rsidRPr="00371F2B">
        <w:rPr>
          <w:noProof/>
        </w:rPr>
        <w:t xml:space="preserve"> to </w:t>
      </w:r>
      <w:r>
        <w:rPr>
          <w:noProof/>
        </w:rPr>
        <w:t>14 December 2023</w:t>
      </w:r>
      <w:r w:rsidRPr="00371F2B">
        <w:rPr>
          <w:noProof/>
        </w:rPr>
        <w:t>.</w:t>
      </w:r>
      <w:r>
        <w:rPr>
          <w:noProof/>
        </w:rPr>
        <w:t xml:space="preserve"> 20</w:t>
      </w:r>
      <w:r w:rsidRPr="00371F2B">
        <w:rPr>
          <w:noProof/>
        </w:rPr>
        <w:t xml:space="preserve"> contributions were received. In general, </w:t>
      </w:r>
      <w:r>
        <w:rPr>
          <w:noProof/>
        </w:rPr>
        <w:t>businesses and their associations</w:t>
      </w:r>
      <w:r w:rsidRPr="00371F2B">
        <w:rPr>
          <w:noProof/>
        </w:rPr>
        <w:t xml:space="preserve"> highlighte</w:t>
      </w:r>
      <w:r>
        <w:rPr>
          <w:noProof/>
        </w:rPr>
        <w:t xml:space="preserve">d the following elements: the listed fee for the first year of designation was labelled as not being proportional, the need to </w:t>
      </w:r>
      <w:r>
        <w:rPr>
          <w:rFonts w:eastAsia="Times New Roman"/>
          <w:noProof/>
        </w:rPr>
        <w:t>request the ESAs to share detailed information on each of the designated CTPPs with all other designated CTPPs so as to allow them to verify the fees calculations, the need to insert specific procedural requirements in the act, such as requirements to motivate decisions, etc.</w:t>
      </w:r>
    </w:p>
    <w:p w14:paraId="2C743818" w14:textId="1637D172" w:rsidR="006B7ED0" w:rsidRPr="00B021AA" w:rsidRDefault="006B7ED0" w:rsidP="006B7ED0">
      <w:pPr>
        <w:rPr>
          <w:noProof/>
        </w:rPr>
      </w:pPr>
      <w:r w:rsidRPr="00B021AA">
        <w:rPr>
          <w:noProof/>
        </w:rPr>
        <w:t xml:space="preserve">The Commission has fully considered all feedback received, including the technical advice provided by the ESAs, the responses to ESAs’ public consultation, the </w:t>
      </w:r>
      <w:r>
        <w:rPr>
          <w:noProof/>
        </w:rPr>
        <w:t xml:space="preserve">EGBPI’s </w:t>
      </w:r>
      <w:r w:rsidRPr="00B021AA">
        <w:rPr>
          <w:noProof/>
        </w:rPr>
        <w:t>feedback, as well as other input provided to the Commission by stakeholders. On this basis, the Commission is adopti</w:t>
      </w:r>
      <w:r w:rsidR="001329DA">
        <w:rPr>
          <w:noProof/>
        </w:rPr>
        <w:t>ng</w:t>
      </w:r>
      <w:r w:rsidRPr="00B021AA">
        <w:rPr>
          <w:noProof/>
        </w:rPr>
        <w:t xml:space="preserve"> under Article 43(2) of DORA this delegated act further specifying the amount of the fees and </w:t>
      </w:r>
      <w:r>
        <w:rPr>
          <w:noProof/>
        </w:rPr>
        <w:t>arrangements under</w:t>
      </w:r>
      <w:r w:rsidRPr="00B021AA">
        <w:rPr>
          <w:noProof/>
        </w:rPr>
        <w:t xml:space="preserve"> which they are to be paid by CTPPs.</w:t>
      </w:r>
      <w:r>
        <w:rPr>
          <w:noProof/>
        </w:rPr>
        <w:t xml:space="preserve"> </w:t>
      </w:r>
      <w:r w:rsidRPr="00B021AA">
        <w:rPr>
          <w:noProof/>
        </w:rPr>
        <w:t xml:space="preserve">The delegated act </w:t>
      </w:r>
      <w:r>
        <w:rPr>
          <w:noProof/>
        </w:rPr>
        <w:t>is in line with</w:t>
      </w:r>
      <w:r w:rsidRPr="00B021AA">
        <w:rPr>
          <w:noProof/>
        </w:rPr>
        <w:t xml:space="preserve"> the technical advice received from the ESAs.</w:t>
      </w:r>
    </w:p>
    <w:p w14:paraId="0198C3AB" w14:textId="77777777" w:rsidR="006B7ED0" w:rsidRPr="00B021AA" w:rsidRDefault="006B7ED0" w:rsidP="006B7ED0">
      <w:pPr>
        <w:pStyle w:val="ManualHeading1"/>
        <w:rPr>
          <w:noProof/>
        </w:rPr>
      </w:pPr>
      <w:r>
        <w:rPr>
          <w:noProof/>
        </w:rPr>
        <w:t>3.</w:t>
      </w:r>
      <w:r>
        <w:rPr>
          <w:noProof/>
        </w:rPr>
        <w:tab/>
      </w:r>
      <w:r w:rsidRPr="00B021AA">
        <w:rPr>
          <w:noProof/>
        </w:rPr>
        <w:t>LEGAL ELEMENTS OF THE DELEGATED ACT</w:t>
      </w:r>
    </w:p>
    <w:p w14:paraId="5C972D85" w14:textId="77777777" w:rsidR="006B7ED0" w:rsidRPr="00B021AA" w:rsidRDefault="006B7ED0" w:rsidP="006B7ED0">
      <w:pPr>
        <w:rPr>
          <w:noProof/>
        </w:rPr>
      </w:pPr>
      <w:r w:rsidRPr="00B021AA">
        <w:rPr>
          <w:noProof/>
        </w:rPr>
        <w:t>Article 1 specifies the estimated expenditure for the fees</w:t>
      </w:r>
      <w:r>
        <w:rPr>
          <w:noProof/>
        </w:rPr>
        <w:t>.</w:t>
      </w:r>
    </w:p>
    <w:p w14:paraId="2EBA1C36" w14:textId="77777777" w:rsidR="006B7ED0" w:rsidRPr="00B021AA" w:rsidRDefault="006B7ED0" w:rsidP="006B7ED0">
      <w:pPr>
        <w:rPr>
          <w:noProof/>
        </w:rPr>
      </w:pPr>
      <w:r w:rsidRPr="00B021AA">
        <w:rPr>
          <w:noProof/>
        </w:rPr>
        <w:t>Article 2 specifies the applicable turnover that is to be used to calculate the fees to be charged to the CTPPs.</w:t>
      </w:r>
    </w:p>
    <w:p w14:paraId="34D92134" w14:textId="77777777" w:rsidR="006B7ED0" w:rsidRPr="00B021AA" w:rsidRDefault="006B7ED0" w:rsidP="006B7ED0">
      <w:pPr>
        <w:rPr>
          <w:noProof/>
        </w:rPr>
      </w:pPr>
      <w:r w:rsidRPr="00B021AA">
        <w:rPr>
          <w:noProof/>
        </w:rPr>
        <w:t>Article 3 specifies the calculation method to be used by the ESAs for the calculation of the annual fees to be charged to CTPPs and establishes specific fees’ thresholds.</w:t>
      </w:r>
    </w:p>
    <w:p w14:paraId="08DB9CB7" w14:textId="77777777" w:rsidR="006B7ED0" w:rsidRDefault="006B7ED0" w:rsidP="006B7ED0">
      <w:pPr>
        <w:rPr>
          <w:noProof/>
        </w:rPr>
      </w:pPr>
      <w:r w:rsidRPr="00B021AA">
        <w:rPr>
          <w:noProof/>
        </w:rPr>
        <w:t xml:space="preserve">Article 4 specifies </w:t>
      </w:r>
      <w:r>
        <w:rPr>
          <w:noProof/>
        </w:rPr>
        <w:t>the o</w:t>
      </w:r>
      <w:r w:rsidRPr="009910AB">
        <w:rPr>
          <w:noProof/>
        </w:rPr>
        <w:t xml:space="preserve">versight fees in </w:t>
      </w:r>
      <w:r>
        <w:rPr>
          <w:noProof/>
        </w:rPr>
        <w:t>relation to</w:t>
      </w:r>
      <w:r w:rsidRPr="00F66399">
        <w:rPr>
          <w:noProof/>
        </w:rPr>
        <w:t xml:space="preserve"> the first published list of designated critical ICT third-party service providers</w:t>
      </w:r>
      <w:r>
        <w:rPr>
          <w:noProof/>
        </w:rPr>
        <w:t>,</w:t>
      </w:r>
      <w:r w:rsidRPr="00F66399">
        <w:rPr>
          <w:noProof/>
        </w:rPr>
        <w:t xml:space="preserve"> </w:t>
      </w:r>
      <w:r>
        <w:rPr>
          <w:noProof/>
        </w:rPr>
        <w:t xml:space="preserve">the first </w:t>
      </w:r>
      <w:r w:rsidRPr="009910AB">
        <w:rPr>
          <w:noProof/>
        </w:rPr>
        <w:t>year of designation</w:t>
      </w:r>
      <w:r>
        <w:rPr>
          <w:noProof/>
        </w:rPr>
        <w:t xml:space="preserve"> </w:t>
      </w:r>
      <w:r w:rsidRPr="009910AB">
        <w:rPr>
          <w:noProof/>
        </w:rPr>
        <w:t xml:space="preserve">and </w:t>
      </w:r>
      <w:r>
        <w:rPr>
          <w:noProof/>
        </w:rPr>
        <w:t xml:space="preserve">the fee for the </w:t>
      </w:r>
      <w:r w:rsidRPr="009910AB">
        <w:rPr>
          <w:noProof/>
        </w:rPr>
        <w:t>‘opt-in’ requests</w:t>
      </w:r>
      <w:r>
        <w:rPr>
          <w:noProof/>
        </w:rPr>
        <w:t>.</w:t>
      </w:r>
    </w:p>
    <w:p w14:paraId="6C17BD45" w14:textId="77777777" w:rsidR="006B7ED0" w:rsidRDefault="006B7ED0" w:rsidP="006B7ED0">
      <w:pPr>
        <w:rPr>
          <w:noProof/>
        </w:rPr>
      </w:pPr>
      <w:r>
        <w:rPr>
          <w:noProof/>
        </w:rPr>
        <w:t xml:space="preserve">Article 5 specifies </w:t>
      </w:r>
      <w:r w:rsidRPr="00B021AA">
        <w:rPr>
          <w:noProof/>
        </w:rPr>
        <w:t>the</w:t>
      </w:r>
      <w:r>
        <w:rPr>
          <w:noProof/>
        </w:rPr>
        <w:t xml:space="preserve"> arrangements for paying</w:t>
      </w:r>
      <w:r w:rsidRPr="00B021AA">
        <w:rPr>
          <w:noProof/>
        </w:rPr>
        <w:t xml:space="preserve"> the fees.</w:t>
      </w:r>
    </w:p>
    <w:p w14:paraId="65C4E106" w14:textId="77777777" w:rsidR="006B7ED0" w:rsidRPr="00B021AA" w:rsidRDefault="006B7ED0" w:rsidP="006B7ED0">
      <w:pPr>
        <w:rPr>
          <w:noProof/>
        </w:rPr>
      </w:pPr>
      <w:r>
        <w:rPr>
          <w:noProof/>
        </w:rPr>
        <w:t>Article 6 specifies the means of communication between the Lead Overseers and the critical ICT third-party service providers.</w:t>
      </w:r>
    </w:p>
    <w:p w14:paraId="4CF97ED1" w14:textId="77777777" w:rsidR="006B7ED0" w:rsidRPr="00B021AA" w:rsidRDefault="006B7ED0" w:rsidP="006B7ED0">
      <w:pPr>
        <w:rPr>
          <w:noProof/>
        </w:rPr>
      </w:pPr>
      <w:r w:rsidRPr="00B021AA">
        <w:rPr>
          <w:noProof/>
        </w:rPr>
        <w:t xml:space="preserve">Article </w:t>
      </w:r>
      <w:r>
        <w:rPr>
          <w:noProof/>
        </w:rPr>
        <w:t>7</w:t>
      </w:r>
      <w:r w:rsidRPr="00B021AA">
        <w:rPr>
          <w:noProof/>
        </w:rPr>
        <w:t xml:space="preserve"> provides the date of the entry into force of the </w:t>
      </w:r>
      <w:r>
        <w:rPr>
          <w:noProof/>
        </w:rPr>
        <w:t>a</w:t>
      </w:r>
      <w:r w:rsidRPr="00B021AA">
        <w:rPr>
          <w:noProof/>
        </w:rPr>
        <w:t>ct.</w:t>
      </w:r>
    </w:p>
    <w:p w14:paraId="1A82F763" w14:textId="77777777" w:rsidR="006B7ED0" w:rsidRPr="00B021AA" w:rsidRDefault="006B7ED0" w:rsidP="006B7ED0">
      <w:pPr>
        <w:rPr>
          <w:noProof/>
        </w:rPr>
        <w:sectPr w:rsidR="006B7ED0" w:rsidRPr="00B021AA" w:rsidSect="0059249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D59542D" w14:textId="6AD57FAF" w:rsidR="006B7ED0" w:rsidRPr="00B021AA" w:rsidRDefault="007D5E57" w:rsidP="007D5E57">
      <w:pPr>
        <w:pStyle w:val="Typedudocument"/>
        <w:rPr>
          <w:noProof/>
        </w:rPr>
      </w:pPr>
      <w:r w:rsidRPr="007D5E57">
        <w:rPr>
          <w:noProof/>
        </w:rPr>
        <w:t>COMMISSION DELEGATED REGULATION (EU) …/...</w:t>
      </w:r>
    </w:p>
    <w:p w14:paraId="56FF1990" w14:textId="61D767EA" w:rsidR="006B7ED0" w:rsidRPr="00B021AA" w:rsidRDefault="007D5E57" w:rsidP="007D5E57">
      <w:pPr>
        <w:pStyle w:val="Datedadoption"/>
        <w:rPr>
          <w:noProof/>
        </w:rPr>
      </w:pPr>
      <w:r>
        <w:rPr>
          <w:noProof/>
        </w:rPr>
        <w:t>of 22.2.2024</w:t>
      </w:r>
    </w:p>
    <w:p w14:paraId="138493A4" w14:textId="6E6283EC" w:rsidR="006B7ED0" w:rsidRPr="00B021AA" w:rsidRDefault="007D5E57" w:rsidP="007D5E57">
      <w:pPr>
        <w:pStyle w:val="Titreobjet"/>
        <w:rPr>
          <w:noProof/>
        </w:rPr>
      </w:pPr>
      <w:r w:rsidRPr="007D5E57">
        <w:rPr>
          <w:noProof/>
        </w:rPr>
        <w:t>supplementing Regulation (EU) 2022/2554 of the European Parliament and of the Council by determining the amount of the oversight fees to be charged by the Lead Overseer to critical ICT third-party service providers and the way in which those fees are to be paid</w:t>
      </w:r>
    </w:p>
    <w:p w14:paraId="6020A463" w14:textId="491CB57D" w:rsidR="006B7ED0" w:rsidRPr="00B021AA" w:rsidRDefault="007D5E57" w:rsidP="007D5E57">
      <w:pPr>
        <w:pStyle w:val="IntrtEEE"/>
        <w:rPr>
          <w:noProof/>
        </w:rPr>
      </w:pPr>
      <w:r w:rsidRPr="007D5E57">
        <w:rPr>
          <w:noProof/>
        </w:rPr>
        <w:t>(Text with EEA relevance)</w:t>
      </w:r>
    </w:p>
    <w:p w14:paraId="5F4F5170" w14:textId="77777777" w:rsidR="006B7ED0" w:rsidRPr="00B021AA" w:rsidRDefault="006B7ED0" w:rsidP="006B7ED0">
      <w:pPr>
        <w:pStyle w:val="Institutionquiagit"/>
        <w:rPr>
          <w:noProof/>
        </w:rPr>
      </w:pPr>
      <w:r w:rsidRPr="00B021AA">
        <w:rPr>
          <w:noProof/>
        </w:rPr>
        <w:t>THE EUROPEAN COMMISSION,</w:t>
      </w:r>
    </w:p>
    <w:p w14:paraId="00F42FFA" w14:textId="77777777" w:rsidR="006B7ED0" w:rsidRPr="00B021AA" w:rsidRDefault="006B7ED0" w:rsidP="006B7ED0">
      <w:pPr>
        <w:rPr>
          <w:noProof/>
        </w:rPr>
      </w:pPr>
      <w:r w:rsidRPr="00B021AA">
        <w:rPr>
          <w:noProof/>
          <w:color w:val="000000"/>
        </w:rPr>
        <w:t>Having regard to the Treaty on the Functioning of the European Union</w:t>
      </w:r>
      <w:r w:rsidRPr="00B021AA">
        <w:rPr>
          <w:noProof/>
        </w:rPr>
        <w:t>,</w:t>
      </w:r>
    </w:p>
    <w:p w14:paraId="32E127B8" w14:textId="77777777" w:rsidR="006B7ED0" w:rsidRPr="00B021AA" w:rsidRDefault="006B7ED0" w:rsidP="006B7ED0">
      <w:pPr>
        <w:rPr>
          <w:noProof/>
        </w:rPr>
      </w:pPr>
      <w:r w:rsidRPr="00B021AA">
        <w:rPr>
          <w:noProof/>
        </w:rPr>
        <w:t>Having regard to Regulation (EU) 2022/2554 of the European Parliament and of the Council of 14 December 2022 on digital operational resilience for the financial sector and amending Regulations (EC) No 1060/2009, (EU) No 648/2012, (EU) No 600/2014, (EU) No 909/2014 and (EU) 2016/1011</w:t>
      </w:r>
      <w:r w:rsidRPr="00B021AA">
        <w:rPr>
          <w:rStyle w:val="FootnoteReference"/>
          <w:noProof/>
        </w:rPr>
        <w:footnoteReference w:id="4"/>
      </w:r>
      <w:r w:rsidRPr="00B021AA">
        <w:rPr>
          <w:noProof/>
        </w:rPr>
        <w:t>, and in particular Article 43(2) thereof,</w:t>
      </w:r>
    </w:p>
    <w:p w14:paraId="02BD8388" w14:textId="77777777" w:rsidR="006B7ED0" w:rsidRPr="00B021AA" w:rsidRDefault="006B7ED0" w:rsidP="006B7ED0">
      <w:pPr>
        <w:rPr>
          <w:noProof/>
        </w:rPr>
      </w:pPr>
      <w:r w:rsidRPr="00B021AA">
        <w:rPr>
          <w:noProof/>
        </w:rPr>
        <w:t>Whereas:</w:t>
      </w:r>
    </w:p>
    <w:p w14:paraId="3B6BB489" w14:textId="77777777" w:rsidR="006B7ED0" w:rsidRPr="004111FD" w:rsidRDefault="006B7ED0" w:rsidP="006B7ED0">
      <w:pPr>
        <w:pStyle w:val="ManualConsidrant"/>
        <w:rPr>
          <w:noProof/>
        </w:rPr>
      </w:pPr>
      <w:r>
        <w:rPr>
          <w:noProof/>
        </w:rPr>
        <w:t>(1)</w:t>
      </w:r>
      <w:r>
        <w:rPr>
          <w:noProof/>
        </w:rPr>
        <w:tab/>
      </w:r>
      <w:r w:rsidRPr="004111FD">
        <w:rPr>
          <w:noProof/>
        </w:rPr>
        <w:t xml:space="preserve">An annual </w:t>
      </w:r>
      <w:r>
        <w:rPr>
          <w:noProof/>
        </w:rPr>
        <w:t>oversight</w:t>
      </w:r>
      <w:r w:rsidRPr="004111FD">
        <w:rPr>
          <w:noProof/>
        </w:rPr>
        <w:t xml:space="preserve"> fee should be established to </w:t>
      </w:r>
      <w:r>
        <w:rPr>
          <w:noProof/>
        </w:rPr>
        <w:t xml:space="preserve">fully </w:t>
      </w:r>
      <w:r w:rsidRPr="004111FD">
        <w:rPr>
          <w:noProof/>
        </w:rPr>
        <w:t xml:space="preserve">cover the </w:t>
      </w:r>
      <w:r>
        <w:rPr>
          <w:noProof/>
        </w:rPr>
        <w:t>Lead Overseer’s and the other European Supervisory Authorities’ necessary expenditure when</w:t>
      </w:r>
      <w:r w:rsidRPr="004111FD">
        <w:rPr>
          <w:noProof/>
        </w:rPr>
        <w:t xml:space="preserve"> performing </w:t>
      </w:r>
      <w:r>
        <w:rPr>
          <w:noProof/>
        </w:rPr>
        <w:t>oversight</w:t>
      </w:r>
      <w:r w:rsidRPr="004111FD">
        <w:rPr>
          <w:noProof/>
        </w:rPr>
        <w:t xml:space="preserve"> tasks in the context of Regulation (EU) 202</w:t>
      </w:r>
      <w:r>
        <w:rPr>
          <w:noProof/>
        </w:rPr>
        <w:t>2</w:t>
      </w:r>
      <w:r w:rsidRPr="004111FD">
        <w:rPr>
          <w:noProof/>
        </w:rPr>
        <w:t>/</w:t>
      </w:r>
      <w:r>
        <w:rPr>
          <w:noProof/>
        </w:rPr>
        <w:t xml:space="preserve">2554. </w:t>
      </w:r>
      <w:r w:rsidRPr="004111FD">
        <w:rPr>
          <w:noProof/>
        </w:rPr>
        <w:t xml:space="preserve">The annual </w:t>
      </w:r>
      <w:r>
        <w:rPr>
          <w:noProof/>
        </w:rPr>
        <w:t>oversight</w:t>
      </w:r>
      <w:r w:rsidRPr="004111FD">
        <w:rPr>
          <w:noProof/>
        </w:rPr>
        <w:t xml:space="preserve"> fee should also cover the </w:t>
      </w:r>
      <w:r>
        <w:rPr>
          <w:noProof/>
        </w:rPr>
        <w:t xml:space="preserve">estimated </w:t>
      </w:r>
      <w:r w:rsidRPr="004111FD">
        <w:rPr>
          <w:noProof/>
        </w:rPr>
        <w:t>costs by competent authorities to whom tasks are delegated by the</w:t>
      </w:r>
      <w:r>
        <w:rPr>
          <w:noProof/>
        </w:rPr>
        <w:t xml:space="preserve"> European Supervisory Authorities</w:t>
      </w:r>
      <w:r w:rsidRPr="004111FD">
        <w:rPr>
          <w:noProof/>
        </w:rPr>
        <w:t xml:space="preserve">. </w:t>
      </w:r>
    </w:p>
    <w:p w14:paraId="2DF9CFD7" w14:textId="77777777" w:rsidR="006B7ED0" w:rsidRDefault="006B7ED0" w:rsidP="006B7ED0">
      <w:pPr>
        <w:pStyle w:val="ManualConsidrant"/>
        <w:rPr>
          <w:noProof/>
        </w:rPr>
      </w:pPr>
      <w:r>
        <w:rPr>
          <w:noProof/>
        </w:rPr>
        <w:t>(2)</w:t>
      </w:r>
      <w:r>
        <w:rPr>
          <w:noProof/>
        </w:rPr>
        <w:tab/>
        <w:t xml:space="preserve">In line with the principle of annuality and the principle of full cost recovery, the annual oversight fees should be calculated on the basis of the direct and indirect costs estimated by the ESAs to perform their oversight tasks. The annual oversight fees should be adjusted every year to match the estimated costs. </w:t>
      </w:r>
    </w:p>
    <w:p w14:paraId="63A738A8" w14:textId="77777777" w:rsidR="006B7ED0" w:rsidRDefault="006B7ED0" w:rsidP="006B7ED0">
      <w:pPr>
        <w:pStyle w:val="ManualConsidrant"/>
        <w:rPr>
          <w:noProof/>
        </w:rPr>
      </w:pPr>
      <w:r>
        <w:rPr>
          <w:noProof/>
        </w:rPr>
        <w:t>(3)</w:t>
      </w:r>
      <w:r>
        <w:rPr>
          <w:noProof/>
        </w:rPr>
        <w:tab/>
        <w:t xml:space="preserve">To ensure the fair allocation of oversight fees which, at the same time, reflects the actual administrative effort devoted to each overseen provider, the annual oversight fee should be proportionate to the turnover generated by the ICT third-party service provider in the Union </w:t>
      </w:r>
      <w:r w:rsidRPr="00B021AA">
        <w:rPr>
          <w:noProof/>
        </w:rPr>
        <w:t xml:space="preserve">from the provision of </w:t>
      </w:r>
      <w:r>
        <w:rPr>
          <w:noProof/>
        </w:rPr>
        <w:t xml:space="preserve">the </w:t>
      </w:r>
      <w:r w:rsidRPr="00B021AA">
        <w:rPr>
          <w:noProof/>
        </w:rPr>
        <w:t>ICT services</w:t>
      </w:r>
      <w:r>
        <w:rPr>
          <w:noProof/>
        </w:rPr>
        <w:t xml:space="preserve"> to financial services clients.</w:t>
      </w:r>
    </w:p>
    <w:p w14:paraId="21355ECC" w14:textId="77777777" w:rsidR="006B7ED0" w:rsidRDefault="006B7ED0" w:rsidP="006B7ED0">
      <w:pPr>
        <w:pStyle w:val="ManualConsidrant"/>
        <w:rPr>
          <w:noProof/>
        </w:rPr>
      </w:pPr>
      <w:r>
        <w:rPr>
          <w:noProof/>
        </w:rPr>
        <w:t>(4)</w:t>
      </w:r>
      <w:r>
        <w:rPr>
          <w:noProof/>
        </w:rPr>
        <w:tab/>
        <w:t xml:space="preserve">To ensure the accuracy of the financial information needed to calculate the applicable turnover, all figures provided by the ICT third-party service providers should be audited. Considering that information on the applicable turnover is necessary for the Lead Overseer to establish the amount of the oversight fee charged to each critical ICT third-party service provider yearly to cover the costs of the oversight, the Lead Overseer should consider the worldwide revenues of ICT third-party service provider generated irrespective of the types of clients in the case where the critical ICT third-party service provider does not provide for tailored information on the </w:t>
      </w:r>
      <w:r w:rsidRPr="00B021AA">
        <w:rPr>
          <w:noProof/>
        </w:rPr>
        <w:t xml:space="preserve">revenues generated </w:t>
      </w:r>
      <w:r>
        <w:rPr>
          <w:noProof/>
        </w:rPr>
        <w:t xml:space="preserve">in the Union </w:t>
      </w:r>
      <w:r w:rsidRPr="00B021AA">
        <w:rPr>
          <w:noProof/>
        </w:rPr>
        <w:t xml:space="preserve">from the provision of </w:t>
      </w:r>
      <w:r>
        <w:rPr>
          <w:noProof/>
        </w:rPr>
        <w:t xml:space="preserve">the </w:t>
      </w:r>
      <w:r w:rsidRPr="00B021AA">
        <w:rPr>
          <w:noProof/>
        </w:rPr>
        <w:t>ICT services</w:t>
      </w:r>
      <w:r>
        <w:rPr>
          <w:noProof/>
        </w:rPr>
        <w:t xml:space="preserve"> to financial entities. </w:t>
      </w:r>
    </w:p>
    <w:p w14:paraId="178282D1" w14:textId="77777777" w:rsidR="006B7ED0" w:rsidRDefault="006B7ED0" w:rsidP="006B7ED0">
      <w:pPr>
        <w:pStyle w:val="ManualConsidrant"/>
        <w:rPr>
          <w:noProof/>
        </w:rPr>
      </w:pPr>
      <w:r>
        <w:rPr>
          <w:noProof/>
        </w:rPr>
        <w:t>(5)</w:t>
      </w:r>
      <w:r>
        <w:rPr>
          <w:noProof/>
        </w:rPr>
        <w:tab/>
        <w:t>A minimum annual oversight fee should be imposed on each critical ICT third-party service provider, given that certain</w:t>
      </w:r>
      <w:r w:rsidRPr="00837FCD">
        <w:rPr>
          <w:noProof/>
        </w:rPr>
        <w:t xml:space="preserve"> </w:t>
      </w:r>
      <w:r>
        <w:rPr>
          <w:noProof/>
        </w:rPr>
        <w:t>fixed administrative costs apply for the oversight of all critical ICT third-party service providers, irrespective of the amount of turnover accrued.</w:t>
      </w:r>
    </w:p>
    <w:p w14:paraId="04E14314" w14:textId="77777777" w:rsidR="006B7ED0" w:rsidRDefault="006B7ED0" w:rsidP="006B7ED0">
      <w:pPr>
        <w:pStyle w:val="ManualConsidrant"/>
        <w:rPr>
          <w:noProof/>
        </w:rPr>
      </w:pPr>
      <w:r>
        <w:rPr>
          <w:noProof/>
        </w:rPr>
        <w:t>(6)</w:t>
      </w:r>
      <w:r>
        <w:rPr>
          <w:noProof/>
        </w:rPr>
        <w:tab/>
        <w:t xml:space="preserve">To cater for the specific costs incurred during the first year of designation and oversight of critical ICT third-party service-providers, related among others to the designation process and the appointment of the Lead Overseer, a fixed fee should be established. To reflect the costs incurred for the oversight following the designation of the critical ICT third-party service provider, this fee should be adjusted to the period of time in that first year during which the critical ICT third-party service provider has been designated. It should replace the annual oversight fee for that year. </w:t>
      </w:r>
    </w:p>
    <w:p w14:paraId="50D6FDC1" w14:textId="77777777" w:rsidR="006B7ED0" w:rsidRDefault="006B7ED0" w:rsidP="006B7ED0">
      <w:pPr>
        <w:pStyle w:val="ManualConsidrant"/>
        <w:rPr>
          <w:noProof/>
        </w:rPr>
      </w:pPr>
      <w:r>
        <w:rPr>
          <w:noProof/>
        </w:rPr>
        <w:t>(7)</w:t>
      </w:r>
      <w:r>
        <w:rPr>
          <w:noProof/>
        </w:rPr>
        <w:tab/>
        <w:t xml:space="preserve">To cover the additional costs related to the designation of critical ICT third-party service providers that voluntary request to be designated </w:t>
      </w:r>
      <w:r w:rsidRPr="00F725F4">
        <w:rPr>
          <w:noProof/>
        </w:rPr>
        <w:t>as critical in accordance with Article 31(11) of Regulation (EU) 2022/2554</w:t>
      </w:r>
      <w:r>
        <w:rPr>
          <w:noProof/>
        </w:rPr>
        <w:t>, an additional fixed fee should be established. In order to discourage unfounded requests, such additional fixed fee should not be reimbursed if an ICT third-party service provider withdraws its request during the registration process, nor if the request is rejected.</w:t>
      </w:r>
    </w:p>
    <w:p w14:paraId="62D1A463" w14:textId="77777777" w:rsidR="006B7ED0" w:rsidRDefault="006B7ED0" w:rsidP="006B7ED0">
      <w:pPr>
        <w:pStyle w:val="ManualConsidrant"/>
        <w:rPr>
          <w:noProof/>
          <w:lang w:eastAsia="en-IE"/>
        </w:rPr>
      </w:pPr>
      <w:r>
        <w:rPr>
          <w:noProof/>
        </w:rPr>
        <w:t>(8)</w:t>
      </w:r>
      <w:r>
        <w:rPr>
          <w:noProof/>
        </w:rPr>
        <w:tab/>
      </w:r>
      <w:r>
        <w:rPr>
          <w:noProof/>
          <w:lang w:eastAsia="en-IE"/>
        </w:rPr>
        <w:t>To ensure the timely payment of oversight fees, those fees should be paid within 30 days from the date of issuance of the Lead Overseer’s debit note. To simplify the fee payment flows, and to ensure ESAs have the necessary funds to carry out their planned supervisory activities, annual oversight fees should be paid in a single instalment during the first four months of the calendar year for which such fees are due by critical ICT third-party service providers subject to oversight activities on 1 January of that year or, in the case of critical ICT third-party service providers designated throughout that year, at the latest by the end of that year.</w:t>
      </w:r>
    </w:p>
    <w:p w14:paraId="1F9C4A8D" w14:textId="77777777" w:rsidR="006B7ED0" w:rsidRDefault="006B7ED0" w:rsidP="006B7ED0">
      <w:pPr>
        <w:pStyle w:val="ManualConsidrant"/>
        <w:rPr>
          <w:noProof/>
        </w:rPr>
      </w:pPr>
      <w:r>
        <w:rPr>
          <w:noProof/>
        </w:rPr>
        <w:t>(9)</w:t>
      </w:r>
      <w:r>
        <w:rPr>
          <w:noProof/>
        </w:rPr>
        <w:tab/>
        <w:t>All the f</w:t>
      </w:r>
      <w:r w:rsidRPr="004E4DFA">
        <w:rPr>
          <w:noProof/>
        </w:rPr>
        <w:t xml:space="preserve">ees charged should be set at a level such as to avoid a </w:t>
      </w:r>
      <w:r>
        <w:rPr>
          <w:noProof/>
        </w:rPr>
        <w:t xml:space="preserve">deficit or a </w:t>
      </w:r>
      <w:r w:rsidRPr="004E4DFA">
        <w:rPr>
          <w:noProof/>
        </w:rPr>
        <w:t>significant accumulation of surplus. Where a significant positive or negative budget result becomes recurrent, the level of the fees sh</w:t>
      </w:r>
      <w:r>
        <w:rPr>
          <w:noProof/>
        </w:rPr>
        <w:t>ould</w:t>
      </w:r>
      <w:r w:rsidRPr="004E4DFA">
        <w:rPr>
          <w:noProof/>
        </w:rPr>
        <w:t xml:space="preserve"> be revised</w:t>
      </w:r>
      <w:r>
        <w:rPr>
          <w:noProof/>
        </w:rPr>
        <w:t>.</w:t>
      </w:r>
    </w:p>
    <w:p w14:paraId="49E4BBDE" w14:textId="77777777" w:rsidR="006B7ED0" w:rsidRPr="00B021AA" w:rsidRDefault="006B7ED0" w:rsidP="006B7ED0">
      <w:pPr>
        <w:pStyle w:val="Formuledadoption"/>
        <w:rPr>
          <w:noProof/>
        </w:rPr>
      </w:pPr>
      <w:r w:rsidRPr="00B021AA">
        <w:rPr>
          <w:noProof/>
        </w:rPr>
        <w:t>HAS ADOPTED THIS REGULATION:</w:t>
      </w:r>
    </w:p>
    <w:p w14:paraId="670819C6" w14:textId="77777777" w:rsidR="006B7ED0" w:rsidRPr="00371F2B" w:rsidRDefault="006B7ED0" w:rsidP="006B7ED0">
      <w:pPr>
        <w:pStyle w:val="Titrearticle"/>
        <w:rPr>
          <w:noProof/>
        </w:rPr>
      </w:pPr>
      <w:r>
        <w:rPr>
          <w:noProof/>
          <w:szCs w:val="24"/>
        </w:rPr>
        <w:br w:type="page"/>
      </w:r>
      <w:r w:rsidRPr="00BE0AE7">
        <w:rPr>
          <w:noProof/>
        </w:rPr>
        <w:t xml:space="preserve">Article </w:t>
      </w:r>
      <w:r>
        <w:rPr>
          <w:noProof/>
        </w:rPr>
        <w:t>1</w:t>
      </w:r>
      <w:r>
        <w:rPr>
          <w:noProof/>
        </w:rPr>
        <w:br/>
      </w:r>
      <w:r w:rsidRPr="00371F2B">
        <w:rPr>
          <w:noProof/>
        </w:rPr>
        <w:t>Estimation of the expenditures of the Lead Overseers when performing their oversight duties</w:t>
      </w:r>
    </w:p>
    <w:p w14:paraId="3CD1B0E0" w14:textId="77777777" w:rsidR="006B7ED0" w:rsidRPr="008F1FC4" w:rsidRDefault="006B7ED0" w:rsidP="006B7ED0">
      <w:pPr>
        <w:pStyle w:val="ManualNumPar1"/>
        <w:rPr>
          <w:noProof/>
        </w:rPr>
      </w:pPr>
      <w:r>
        <w:rPr>
          <w:noProof/>
        </w:rPr>
        <w:t>1.</w:t>
      </w:r>
      <w:r>
        <w:rPr>
          <w:noProof/>
        </w:rPr>
        <w:tab/>
      </w:r>
      <w:r w:rsidRPr="008F1FC4">
        <w:rPr>
          <w:noProof/>
        </w:rPr>
        <w:t>In each year, the Lead Overseer and the other European Supervisory Authorities shall estimate the overall annual costs that are expected to be incurred for the performance of their oversight duties. The amount of the overall annual costs estimated shall be the basis for determining the overall amount of oversight fees charged.</w:t>
      </w:r>
    </w:p>
    <w:p w14:paraId="537B4316" w14:textId="77777777" w:rsidR="006B7ED0" w:rsidRPr="00B021AA" w:rsidRDefault="006B7ED0" w:rsidP="006B7ED0">
      <w:pPr>
        <w:pStyle w:val="ManualNumPar1"/>
        <w:rPr>
          <w:noProof/>
        </w:rPr>
      </w:pPr>
      <w:r>
        <w:rPr>
          <w:noProof/>
        </w:rPr>
        <w:t>2.</w:t>
      </w:r>
      <w:r>
        <w:rPr>
          <w:noProof/>
        </w:rPr>
        <w:tab/>
        <w:t xml:space="preserve">When estimating the annual overall costs, </w:t>
      </w:r>
      <w:r w:rsidRPr="00B021AA">
        <w:rPr>
          <w:noProof/>
        </w:rPr>
        <w:t xml:space="preserve">the </w:t>
      </w:r>
      <w:r w:rsidRPr="00830A02">
        <w:rPr>
          <w:noProof/>
        </w:rPr>
        <w:t>Lead Overseer</w:t>
      </w:r>
      <w:r w:rsidRPr="00B021AA">
        <w:rPr>
          <w:noProof/>
        </w:rPr>
        <w:t xml:space="preserve"> shall take into account the following </w:t>
      </w:r>
      <w:r>
        <w:rPr>
          <w:noProof/>
        </w:rPr>
        <w:t>direct and indirect costs</w:t>
      </w:r>
      <w:r w:rsidRPr="00B021AA">
        <w:rPr>
          <w:noProof/>
        </w:rPr>
        <w:t>:</w:t>
      </w:r>
    </w:p>
    <w:p w14:paraId="3AC9884C" w14:textId="77777777" w:rsidR="006B7ED0" w:rsidRDefault="006B7ED0" w:rsidP="006B7ED0">
      <w:pPr>
        <w:pStyle w:val="Point1"/>
        <w:rPr>
          <w:noProof/>
        </w:rPr>
      </w:pPr>
      <w:r>
        <w:rPr>
          <w:noProof/>
        </w:rPr>
        <w:t>(a)</w:t>
      </w:r>
      <w:r>
        <w:rPr>
          <w:noProof/>
        </w:rPr>
        <w:tab/>
        <w:t>costs related to t</w:t>
      </w:r>
      <w:r w:rsidRPr="00B021AA">
        <w:rPr>
          <w:noProof/>
        </w:rPr>
        <w:t xml:space="preserve">he designation of </w:t>
      </w:r>
      <w:r w:rsidRPr="00D2760C">
        <w:rPr>
          <w:noProof/>
        </w:rPr>
        <w:t>ICT third-party service providers</w:t>
      </w:r>
      <w:r>
        <w:rPr>
          <w:noProof/>
        </w:rPr>
        <w:t xml:space="preserve"> as critical;</w:t>
      </w:r>
    </w:p>
    <w:p w14:paraId="607E9543" w14:textId="77777777" w:rsidR="006B7ED0" w:rsidRPr="00B021AA" w:rsidRDefault="006B7ED0" w:rsidP="006B7ED0">
      <w:pPr>
        <w:pStyle w:val="Point1"/>
        <w:rPr>
          <w:noProof/>
        </w:rPr>
      </w:pPr>
      <w:r>
        <w:rPr>
          <w:noProof/>
        </w:rPr>
        <w:t>(b)</w:t>
      </w:r>
      <w:r>
        <w:rPr>
          <w:noProof/>
        </w:rPr>
        <w:tab/>
      </w:r>
      <w:r w:rsidRPr="002E1D80">
        <w:rPr>
          <w:noProof/>
        </w:rPr>
        <w:t xml:space="preserve">costs related to </w:t>
      </w:r>
      <w:r w:rsidRPr="00B021AA">
        <w:rPr>
          <w:noProof/>
        </w:rPr>
        <w:t>the appointment of the Lead Overseer;</w:t>
      </w:r>
    </w:p>
    <w:p w14:paraId="73311A61" w14:textId="77777777" w:rsidR="006B7ED0" w:rsidRDefault="006B7ED0" w:rsidP="006B7ED0">
      <w:pPr>
        <w:pStyle w:val="Point1"/>
        <w:rPr>
          <w:noProof/>
        </w:rPr>
      </w:pPr>
      <w:r>
        <w:rPr>
          <w:noProof/>
        </w:rPr>
        <w:t>(c)</w:t>
      </w:r>
      <w:r>
        <w:rPr>
          <w:noProof/>
        </w:rPr>
        <w:tab/>
      </w:r>
      <w:r w:rsidRPr="002E1D80">
        <w:rPr>
          <w:noProof/>
        </w:rPr>
        <w:t xml:space="preserve">costs related to </w:t>
      </w:r>
      <w:r w:rsidRPr="00B021AA">
        <w:rPr>
          <w:noProof/>
        </w:rPr>
        <w:t xml:space="preserve">the </w:t>
      </w:r>
      <w:r>
        <w:rPr>
          <w:noProof/>
        </w:rPr>
        <w:t xml:space="preserve">actual </w:t>
      </w:r>
      <w:r w:rsidRPr="00B021AA">
        <w:rPr>
          <w:noProof/>
        </w:rPr>
        <w:t>oversight</w:t>
      </w:r>
      <w:r>
        <w:rPr>
          <w:noProof/>
        </w:rPr>
        <w:t xml:space="preserve"> </w:t>
      </w:r>
      <w:r w:rsidRPr="00B021AA">
        <w:rPr>
          <w:noProof/>
        </w:rPr>
        <w:t xml:space="preserve">of </w:t>
      </w:r>
      <w:r w:rsidRPr="00D2760C">
        <w:rPr>
          <w:noProof/>
        </w:rPr>
        <w:t>critical ICT third-party service providers</w:t>
      </w:r>
      <w:r w:rsidRPr="00B021AA">
        <w:rPr>
          <w:noProof/>
        </w:rPr>
        <w:t>, including</w:t>
      </w:r>
      <w:r>
        <w:rPr>
          <w:noProof/>
        </w:rPr>
        <w:t xml:space="preserve"> the following:</w:t>
      </w:r>
    </w:p>
    <w:p w14:paraId="3DCE02C9" w14:textId="77777777" w:rsidR="006B7ED0" w:rsidRDefault="006B7ED0" w:rsidP="006B7ED0">
      <w:pPr>
        <w:pStyle w:val="Point2"/>
        <w:rPr>
          <w:noProof/>
        </w:rPr>
      </w:pPr>
      <w:r>
        <w:rPr>
          <w:noProof/>
        </w:rPr>
        <w:t>(i)</w:t>
      </w:r>
      <w:r w:rsidRPr="002A2001">
        <w:rPr>
          <w:noProof/>
        </w:rPr>
        <w:tab/>
      </w:r>
      <w:r>
        <w:rPr>
          <w:noProof/>
        </w:rPr>
        <w:t xml:space="preserve">costs related to the work carried out by </w:t>
      </w:r>
      <w:r w:rsidRPr="00B021AA">
        <w:rPr>
          <w:noProof/>
        </w:rPr>
        <w:t>the joint examination team</w:t>
      </w:r>
      <w:r>
        <w:rPr>
          <w:noProof/>
        </w:rPr>
        <w:t>;</w:t>
      </w:r>
    </w:p>
    <w:p w14:paraId="234DA320" w14:textId="77777777" w:rsidR="006B7ED0" w:rsidRPr="00B021AA" w:rsidRDefault="006B7ED0" w:rsidP="006B7ED0">
      <w:pPr>
        <w:pStyle w:val="Point2"/>
        <w:rPr>
          <w:noProof/>
        </w:rPr>
      </w:pPr>
      <w:r>
        <w:rPr>
          <w:noProof/>
        </w:rPr>
        <w:t>(ii)</w:t>
      </w:r>
      <w:r w:rsidRPr="002A2001">
        <w:rPr>
          <w:noProof/>
        </w:rPr>
        <w:tab/>
      </w:r>
      <w:r>
        <w:rPr>
          <w:noProof/>
        </w:rPr>
        <w:t>costs of advice provided by</w:t>
      </w:r>
      <w:r w:rsidRPr="00B021AA" w:rsidDel="002E1D80">
        <w:rPr>
          <w:noProof/>
        </w:rPr>
        <w:t xml:space="preserve"> </w:t>
      </w:r>
      <w:r w:rsidRPr="00B021AA">
        <w:rPr>
          <w:noProof/>
        </w:rPr>
        <w:t>independent experts;</w:t>
      </w:r>
    </w:p>
    <w:p w14:paraId="7477CEC0" w14:textId="77777777" w:rsidR="006B7ED0" w:rsidRPr="00B021AA" w:rsidRDefault="006B7ED0" w:rsidP="006B7ED0">
      <w:pPr>
        <w:pStyle w:val="Point1"/>
        <w:rPr>
          <w:noProof/>
        </w:rPr>
      </w:pPr>
      <w:r>
        <w:rPr>
          <w:noProof/>
        </w:rPr>
        <w:t>(d)</w:t>
      </w:r>
      <w:r>
        <w:rPr>
          <w:noProof/>
        </w:rPr>
        <w:tab/>
        <w:t xml:space="preserve">costs </w:t>
      </w:r>
      <w:r w:rsidRPr="00B021AA">
        <w:rPr>
          <w:noProof/>
        </w:rPr>
        <w:t>related to the follow-up of the recommendations issued by the Lead Overseers</w:t>
      </w:r>
      <w:r>
        <w:rPr>
          <w:noProof/>
        </w:rPr>
        <w:t xml:space="preserve"> in accordance with Article 35(1), point (d), of Regulation </w:t>
      </w:r>
      <w:r w:rsidRPr="00454E2C">
        <w:rPr>
          <w:noProof/>
        </w:rPr>
        <w:t>(EU) 2022/2554</w:t>
      </w:r>
      <w:r w:rsidRPr="00B021AA">
        <w:rPr>
          <w:noProof/>
        </w:rPr>
        <w:t>;</w:t>
      </w:r>
    </w:p>
    <w:p w14:paraId="33438A92" w14:textId="77777777" w:rsidR="006B7ED0" w:rsidRPr="00B021AA" w:rsidRDefault="006B7ED0" w:rsidP="006B7ED0">
      <w:pPr>
        <w:pStyle w:val="Point1"/>
        <w:rPr>
          <w:noProof/>
        </w:rPr>
      </w:pPr>
      <w:r>
        <w:rPr>
          <w:noProof/>
        </w:rPr>
        <w:t>(e)</w:t>
      </w:r>
      <w:r>
        <w:rPr>
          <w:noProof/>
        </w:rPr>
        <w:tab/>
        <w:t xml:space="preserve">costs </w:t>
      </w:r>
      <w:r w:rsidRPr="00B021AA">
        <w:rPr>
          <w:noProof/>
        </w:rPr>
        <w:t>related to the governance of the oversight framework</w:t>
      </w:r>
      <w:r>
        <w:rPr>
          <w:noProof/>
        </w:rPr>
        <w:t>.</w:t>
      </w:r>
    </w:p>
    <w:p w14:paraId="4127CF64" w14:textId="77777777" w:rsidR="006B7ED0" w:rsidRPr="00925120" w:rsidRDefault="006B7ED0" w:rsidP="006B7ED0">
      <w:pPr>
        <w:pStyle w:val="Titrearticle"/>
        <w:rPr>
          <w:iCs/>
          <w:noProof/>
        </w:rPr>
      </w:pPr>
      <w:r w:rsidRPr="00BE0AE7">
        <w:rPr>
          <w:iCs/>
          <w:noProof/>
        </w:rPr>
        <w:t xml:space="preserve">Article </w:t>
      </w:r>
      <w:r>
        <w:rPr>
          <w:iCs/>
          <w:noProof/>
        </w:rPr>
        <w:t>2</w:t>
      </w:r>
      <w:r>
        <w:rPr>
          <w:iCs/>
          <w:noProof/>
        </w:rPr>
        <w:br/>
      </w:r>
      <w:r>
        <w:rPr>
          <w:noProof/>
        </w:rPr>
        <w:t>Applicable turnover of critical ICT third-party service-providers for the calculation of the oversight fees</w:t>
      </w:r>
    </w:p>
    <w:p w14:paraId="2F4C0CB1" w14:textId="77777777" w:rsidR="006B7ED0" w:rsidRDefault="006B7ED0" w:rsidP="006B7ED0">
      <w:pPr>
        <w:pStyle w:val="ManualNumPar1"/>
        <w:rPr>
          <w:noProof/>
        </w:rPr>
      </w:pPr>
      <w:r>
        <w:rPr>
          <w:noProof/>
        </w:rPr>
        <w:t>1.</w:t>
      </w:r>
      <w:r>
        <w:rPr>
          <w:noProof/>
        </w:rPr>
        <w:tab/>
        <w:t>For the purposes of Article 3, the turnover of a c</w:t>
      </w:r>
      <w:r w:rsidRPr="002B512C">
        <w:rPr>
          <w:noProof/>
        </w:rPr>
        <w:t>ritical ICT third-party service</w:t>
      </w:r>
      <w:r>
        <w:rPr>
          <w:noProof/>
        </w:rPr>
        <w:t xml:space="preserve"> </w:t>
      </w:r>
      <w:r w:rsidRPr="002B512C">
        <w:rPr>
          <w:noProof/>
        </w:rPr>
        <w:t>provider</w:t>
      </w:r>
      <w:r>
        <w:rPr>
          <w:noProof/>
        </w:rPr>
        <w:t xml:space="preserve"> shall be its </w:t>
      </w:r>
      <w:r w:rsidRPr="00B021AA">
        <w:rPr>
          <w:noProof/>
        </w:rPr>
        <w:t xml:space="preserve">revenues generated </w:t>
      </w:r>
      <w:r>
        <w:rPr>
          <w:noProof/>
        </w:rPr>
        <w:t xml:space="preserve">in the Union </w:t>
      </w:r>
      <w:r w:rsidRPr="00B021AA">
        <w:rPr>
          <w:noProof/>
        </w:rPr>
        <w:t xml:space="preserve">from the provision of </w:t>
      </w:r>
      <w:r>
        <w:rPr>
          <w:noProof/>
        </w:rPr>
        <w:t xml:space="preserve">the </w:t>
      </w:r>
      <w:r w:rsidRPr="00B021AA">
        <w:rPr>
          <w:noProof/>
        </w:rPr>
        <w:t>ICT services</w:t>
      </w:r>
      <w:r w:rsidRPr="003A0F66">
        <w:rPr>
          <w:noProof/>
        </w:rPr>
        <w:t xml:space="preserve"> </w:t>
      </w:r>
      <w:r>
        <w:rPr>
          <w:noProof/>
        </w:rPr>
        <w:t>listed in the implementing technical standards adopted pursuant to Article 28(9) of Regulation (EU) 2022/2554 and provided</w:t>
      </w:r>
      <w:r w:rsidRPr="00237C00">
        <w:rPr>
          <w:noProof/>
        </w:rPr>
        <w:t xml:space="preserve"> to </w:t>
      </w:r>
      <w:r>
        <w:rPr>
          <w:noProof/>
        </w:rPr>
        <w:t xml:space="preserve">the </w:t>
      </w:r>
      <w:r w:rsidRPr="00237C00">
        <w:rPr>
          <w:noProof/>
        </w:rPr>
        <w:t xml:space="preserve">financial </w:t>
      </w:r>
      <w:r>
        <w:rPr>
          <w:noProof/>
        </w:rPr>
        <w:t>entities</w:t>
      </w:r>
      <w:r w:rsidRPr="00237C00">
        <w:rPr>
          <w:noProof/>
        </w:rPr>
        <w:t xml:space="preserve"> </w:t>
      </w:r>
      <w:r>
        <w:rPr>
          <w:noProof/>
        </w:rPr>
        <w:t xml:space="preserve">listed </w:t>
      </w:r>
      <w:r w:rsidRPr="00237C00">
        <w:rPr>
          <w:noProof/>
        </w:rPr>
        <w:t>in Art</w:t>
      </w:r>
      <w:r>
        <w:rPr>
          <w:noProof/>
        </w:rPr>
        <w:t xml:space="preserve">icle 2(1) </w:t>
      </w:r>
      <w:r w:rsidRPr="00237C00">
        <w:rPr>
          <w:noProof/>
        </w:rPr>
        <w:t>of Regulation (EU) 2022/2554</w:t>
      </w:r>
      <w:r>
        <w:rPr>
          <w:noProof/>
        </w:rPr>
        <w:t>.</w:t>
      </w:r>
    </w:p>
    <w:p w14:paraId="138FA238" w14:textId="77777777" w:rsidR="006B7ED0" w:rsidRPr="00EE35A4" w:rsidRDefault="006B7ED0" w:rsidP="006B7ED0">
      <w:pPr>
        <w:pStyle w:val="ManualNumPar1"/>
        <w:rPr>
          <w:noProof/>
        </w:rPr>
      </w:pPr>
      <w:r>
        <w:rPr>
          <w:noProof/>
        </w:rPr>
        <w:t>2.</w:t>
      </w:r>
      <w:r>
        <w:rPr>
          <w:noProof/>
        </w:rPr>
        <w:tab/>
        <w:t>C</w:t>
      </w:r>
      <w:r w:rsidRPr="00B34DF4">
        <w:rPr>
          <w:noProof/>
        </w:rPr>
        <w:t>ritical ICT third-party service</w:t>
      </w:r>
      <w:r>
        <w:rPr>
          <w:noProof/>
        </w:rPr>
        <w:t>-</w:t>
      </w:r>
      <w:r w:rsidRPr="00B34DF4">
        <w:rPr>
          <w:noProof/>
        </w:rPr>
        <w:t>provider</w:t>
      </w:r>
      <w:r>
        <w:rPr>
          <w:noProof/>
        </w:rPr>
        <w:t>s</w:t>
      </w:r>
      <w:r w:rsidRPr="00B021AA">
        <w:rPr>
          <w:noProof/>
        </w:rPr>
        <w:t xml:space="preserve"> shall provide the </w:t>
      </w:r>
      <w:r w:rsidRPr="0000315A">
        <w:rPr>
          <w:noProof/>
        </w:rPr>
        <w:t>Lead Overseer</w:t>
      </w:r>
      <w:r w:rsidRPr="00B021AA">
        <w:rPr>
          <w:noProof/>
        </w:rPr>
        <w:t>, on an annual basis</w:t>
      </w:r>
      <w:r>
        <w:rPr>
          <w:noProof/>
        </w:rPr>
        <w:t xml:space="preserve"> in year n-1</w:t>
      </w:r>
      <w:r w:rsidRPr="00B021AA">
        <w:rPr>
          <w:noProof/>
        </w:rPr>
        <w:t xml:space="preserve"> with </w:t>
      </w:r>
      <w:r>
        <w:rPr>
          <w:noProof/>
        </w:rPr>
        <w:t>audited figures specifying the turnover referred to in paragraph 1 for year n-2</w:t>
      </w:r>
      <w:r w:rsidRPr="00B021AA">
        <w:rPr>
          <w:noProof/>
        </w:rPr>
        <w:t xml:space="preserve">. </w:t>
      </w:r>
      <w:bookmarkStart w:id="1" w:name="_Hlk150266832"/>
      <w:r>
        <w:rPr>
          <w:noProof/>
        </w:rPr>
        <w:t>C</w:t>
      </w:r>
      <w:r w:rsidRPr="00B34DF4">
        <w:rPr>
          <w:noProof/>
        </w:rPr>
        <w:t>ritical ICT third-party service</w:t>
      </w:r>
      <w:r>
        <w:rPr>
          <w:noProof/>
        </w:rPr>
        <w:t xml:space="preserve"> </w:t>
      </w:r>
      <w:r w:rsidRPr="00B34DF4">
        <w:rPr>
          <w:noProof/>
        </w:rPr>
        <w:t>providers</w:t>
      </w:r>
      <w:r>
        <w:rPr>
          <w:noProof/>
        </w:rPr>
        <w:t xml:space="preserve"> shall </w:t>
      </w:r>
      <w:bookmarkEnd w:id="1"/>
      <w:r>
        <w:rPr>
          <w:noProof/>
        </w:rPr>
        <w:t>provide those figures</w:t>
      </w:r>
      <w:r w:rsidRPr="00B021AA">
        <w:rPr>
          <w:noProof/>
        </w:rPr>
        <w:t xml:space="preserve"> to the </w:t>
      </w:r>
      <w:r w:rsidRPr="0000315A">
        <w:rPr>
          <w:noProof/>
        </w:rPr>
        <w:t>Lead Overseer</w:t>
      </w:r>
      <w:r>
        <w:rPr>
          <w:noProof/>
        </w:rPr>
        <w:t xml:space="preserve"> by</w:t>
      </w:r>
      <w:r w:rsidRPr="00B021AA">
        <w:rPr>
          <w:noProof/>
        </w:rPr>
        <w:t xml:space="preserve"> 3</w:t>
      </w:r>
      <w:r>
        <w:rPr>
          <w:noProof/>
        </w:rPr>
        <w:t>1 </w:t>
      </w:r>
      <w:r w:rsidRPr="00B021AA">
        <w:rPr>
          <w:noProof/>
        </w:rPr>
        <w:t>December</w:t>
      </w:r>
      <w:r>
        <w:rPr>
          <w:noProof/>
        </w:rPr>
        <w:t xml:space="preserve"> each year.</w:t>
      </w:r>
      <w:r w:rsidRPr="00B021AA">
        <w:rPr>
          <w:noProof/>
        </w:rPr>
        <w:t xml:space="preserve"> </w:t>
      </w:r>
    </w:p>
    <w:p w14:paraId="084EEF80" w14:textId="77777777" w:rsidR="006B7ED0" w:rsidRPr="00CC5475" w:rsidRDefault="006B7ED0" w:rsidP="006B7ED0">
      <w:pPr>
        <w:pStyle w:val="ManualNumPar1"/>
        <w:rPr>
          <w:noProof/>
        </w:rPr>
      </w:pPr>
      <w:r>
        <w:rPr>
          <w:noProof/>
        </w:rPr>
        <w:t>3.</w:t>
      </w:r>
      <w:r>
        <w:rPr>
          <w:noProof/>
        </w:rPr>
        <w:tab/>
      </w:r>
      <w:r w:rsidRPr="00CC5475">
        <w:rPr>
          <w:noProof/>
        </w:rPr>
        <w:t>Where the critical ICT third-party service provider does not provide the Lead Overseer with audited figures by the date referred to in paragraph 2 that are limited to or entirely include revenues generated from the provision of services to financial entities listed  in Article 2(1) of Regulation (EU) 2022/2554, the Lead Overseer shall consider the turnover generated in the Union from the provision of the ICT services listed in the implementing technical standards adopted pursuant to Article 28(9) of Regulation (EU) 2022/2554 irrespective of the type of clients of the critical ICT third-party service provider.</w:t>
      </w:r>
    </w:p>
    <w:p w14:paraId="5746BAF8" w14:textId="77777777" w:rsidR="006B7ED0" w:rsidRDefault="006B7ED0" w:rsidP="006B7ED0">
      <w:pPr>
        <w:pStyle w:val="Text1"/>
        <w:rPr>
          <w:noProof/>
        </w:rPr>
      </w:pPr>
      <w:r w:rsidRPr="00CC5475">
        <w:rPr>
          <w:noProof/>
        </w:rPr>
        <w:t>Where the critical ICT third-party service provider does not provide the Lead Overseer with audited figures by the date referred to in paragraph 2 that are limited to or entirely include revenues generated in the Union from the provision of ICT services referred to in the implementing technical standards adopted pursuant to Article 28(9) of Regulation (EU) 2022/2554, the Lead Overseer shall</w:t>
      </w:r>
      <w:r>
        <w:rPr>
          <w:noProof/>
        </w:rPr>
        <w:t xml:space="preserve"> consider the worldwide </w:t>
      </w:r>
      <w:r w:rsidRPr="001E64C5">
        <w:rPr>
          <w:noProof/>
        </w:rPr>
        <w:t xml:space="preserve">turnover </w:t>
      </w:r>
      <w:r>
        <w:rPr>
          <w:noProof/>
        </w:rPr>
        <w:t xml:space="preserve">generated </w:t>
      </w:r>
      <w:r w:rsidRPr="00B021AA">
        <w:rPr>
          <w:noProof/>
        </w:rPr>
        <w:t xml:space="preserve">from the provision of </w:t>
      </w:r>
      <w:r>
        <w:rPr>
          <w:noProof/>
        </w:rPr>
        <w:t xml:space="preserve">those </w:t>
      </w:r>
      <w:r w:rsidRPr="00B021AA">
        <w:rPr>
          <w:noProof/>
        </w:rPr>
        <w:t>ICT services</w:t>
      </w:r>
      <w:r>
        <w:rPr>
          <w:noProof/>
        </w:rPr>
        <w:t>.</w:t>
      </w:r>
    </w:p>
    <w:p w14:paraId="4F7FA225" w14:textId="77777777" w:rsidR="006B7ED0" w:rsidRDefault="006B7ED0" w:rsidP="006B7ED0">
      <w:pPr>
        <w:pStyle w:val="Text1"/>
        <w:rPr>
          <w:noProof/>
        </w:rPr>
      </w:pPr>
      <w:r w:rsidRPr="005B2BAD">
        <w:rPr>
          <w:noProof/>
        </w:rPr>
        <w:t>Where the critical ICT third-party service provider does not provide the Lead Overseer with audited figures by the date referred to in paragraph 2 that are limited to or entirely include revenues generated from the provision of ICT services to financial entities listed  in Article 2(1) of Regulation (EU) 2022/2554, and it does not provide the Lead Overseer with audited figures by the date referred to in paragraph 2 that are limited to revenues generated in the Union, the Lead Overseer shall consider the worldwide turnover irrespective of the type of clients of the critical ICT third-party service provider.</w:t>
      </w:r>
    </w:p>
    <w:p w14:paraId="6E7C4E6A" w14:textId="77777777" w:rsidR="006B7ED0" w:rsidRPr="00624634" w:rsidRDefault="006B7ED0" w:rsidP="006B7ED0">
      <w:pPr>
        <w:pStyle w:val="ManualNumPar1"/>
        <w:rPr>
          <w:noProof/>
        </w:rPr>
      </w:pPr>
      <w:r>
        <w:rPr>
          <w:noProof/>
        </w:rPr>
        <w:t>4.</w:t>
      </w:r>
      <w:r>
        <w:rPr>
          <w:noProof/>
        </w:rPr>
        <w:tab/>
        <w:t>Where</w:t>
      </w:r>
      <w:r w:rsidRPr="00B021AA">
        <w:rPr>
          <w:noProof/>
        </w:rPr>
        <w:t xml:space="preserve"> </w:t>
      </w:r>
      <w:r w:rsidRPr="00DA263B">
        <w:rPr>
          <w:noProof/>
        </w:rPr>
        <w:t xml:space="preserve">critical ICT third-party service providers </w:t>
      </w:r>
      <w:r>
        <w:rPr>
          <w:noProof/>
        </w:rPr>
        <w:t xml:space="preserve">report </w:t>
      </w:r>
      <w:r w:rsidRPr="00B021AA">
        <w:rPr>
          <w:noProof/>
        </w:rPr>
        <w:t>the revenues in a currency</w:t>
      </w:r>
      <w:r>
        <w:rPr>
          <w:noProof/>
        </w:rPr>
        <w:t xml:space="preserve"> </w:t>
      </w:r>
      <w:r w:rsidRPr="00B021AA">
        <w:rPr>
          <w:noProof/>
        </w:rPr>
        <w:t xml:space="preserve">other than the euro, the Lead Overseer shall convert </w:t>
      </w:r>
      <w:r>
        <w:rPr>
          <w:noProof/>
        </w:rPr>
        <w:t>those revenues</w:t>
      </w:r>
      <w:r w:rsidRPr="00B021AA">
        <w:rPr>
          <w:noProof/>
        </w:rPr>
        <w:t xml:space="preserve"> into euro using the average euro foreign exchange rate applicable to the period during which the revenues were recorded, as published by the European Central Bank.</w:t>
      </w:r>
    </w:p>
    <w:p w14:paraId="31D924B5" w14:textId="77777777" w:rsidR="006B7ED0" w:rsidRPr="00892C62" w:rsidRDefault="006B7ED0" w:rsidP="006B7ED0">
      <w:pPr>
        <w:pStyle w:val="Titrearticle"/>
        <w:rPr>
          <w:noProof/>
        </w:rPr>
      </w:pPr>
      <w:r w:rsidRPr="00892C62">
        <w:rPr>
          <w:noProof/>
        </w:rPr>
        <w:t>Article 3</w:t>
      </w:r>
      <w:r w:rsidRPr="00892C62">
        <w:rPr>
          <w:noProof/>
        </w:rPr>
        <w:br/>
        <w:t>Calculation of the oversight fees</w:t>
      </w:r>
    </w:p>
    <w:p w14:paraId="7261F251" w14:textId="77777777" w:rsidR="006B7ED0" w:rsidRDefault="006B7ED0" w:rsidP="006B7ED0">
      <w:pPr>
        <w:pStyle w:val="ManualNumPar1"/>
        <w:rPr>
          <w:noProof/>
        </w:rPr>
      </w:pPr>
      <w:r>
        <w:rPr>
          <w:noProof/>
        </w:rPr>
        <w:t>1.</w:t>
      </w:r>
      <w:r>
        <w:rPr>
          <w:noProof/>
        </w:rPr>
        <w:tab/>
      </w:r>
      <w:r w:rsidRPr="00892C62">
        <w:rPr>
          <w:bCs/>
          <w:noProof/>
        </w:rPr>
        <w:t xml:space="preserve">For each </w:t>
      </w:r>
      <w:r>
        <w:rPr>
          <w:noProof/>
        </w:rPr>
        <w:t>critical ICT third-party service, the annual oversight fee for a given year (n) shall be the overall annual costs estimated referred to in Article 1 adjusted by the turnover coefficient referred to in paragraph 2 based on its applicable turnover for the year n-2.</w:t>
      </w:r>
    </w:p>
    <w:p w14:paraId="329A00F7" w14:textId="77777777" w:rsidR="006B7ED0" w:rsidRPr="00AC61E0" w:rsidRDefault="006B7ED0" w:rsidP="006B7ED0">
      <w:pPr>
        <w:pStyle w:val="ManualNumPar1"/>
        <w:rPr>
          <w:noProof/>
        </w:rPr>
      </w:pPr>
      <w:r>
        <w:rPr>
          <w:noProof/>
        </w:rPr>
        <w:t>2.</w:t>
      </w:r>
      <w:r>
        <w:rPr>
          <w:noProof/>
        </w:rPr>
        <w:tab/>
        <w:t xml:space="preserve">For each critical ICT third-party service provider, the </w:t>
      </w:r>
      <w:r w:rsidRPr="00B021AA">
        <w:rPr>
          <w:noProof/>
        </w:rPr>
        <w:t xml:space="preserve">turnover </w:t>
      </w:r>
      <w:r>
        <w:rPr>
          <w:noProof/>
        </w:rPr>
        <w:t>coefficient shall be based on the applicable turnover referred to in Article 2 and shall be calculated as follows</w:t>
      </w:r>
      <w:r w:rsidRPr="00B021AA">
        <w:rPr>
          <w:noProof/>
        </w:rPr>
        <w:t>:</w:t>
      </w:r>
    </w:p>
    <w:p w14:paraId="5923E12A" w14:textId="77777777" w:rsidR="006B7ED0" w:rsidRPr="00594D56" w:rsidRDefault="006B7ED0" w:rsidP="006B7ED0">
      <w:pPr>
        <w:rPr>
          <w:rFonts w:eastAsiaTheme="minorEastAsia"/>
          <w:noProof/>
          <w:sz w:val="16"/>
          <w:szCs w:val="16"/>
        </w:rPr>
      </w:pPr>
      <m:oMathPara>
        <m:oMath>
          <m:r>
            <m:rPr>
              <m:sty m:val="p"/>
            </m:rPr>
            <w:rPr>
              <w:rFonts w:ascii="Cambria Math" w:hAnsi="Cambria Math"/>
              <w:noProof/>
              <w:sz w:val="16"/>
              <w:szCs w:val="16"/>
            </w:rPr>
            <m:t xml:space="preserve">        Turnover coefficient in year (n)=</m:t>
          </m:r>
          <m:f>
            <m:fPr>
              <m:ctrlPr>
                <w:rPr>
                  <w:rFonts w:ascii="Cambria Math" w:hAnsi="Cambria Math"/>
                  <w:iCs/>
                  <w:noProof/>
                  <w:sz w:val="16"/>
                  <w:szCs w:val="16"/>
                </w:rPr>
              </m:ctrlPr>
            </m:fPr>
            <m:num>
              <m:r>
                <m:rPr>
                  <m:sty m:val="p"/>
                </m:rPr>
                <w:rPr>
                  <w:rFonts w:ascii="Cambria Math" w:hAnsi="Cambria Math"/>
                  <w:noProof/>
                  <w:sz w:val="16"/>
                  <w:szCs w:val="16"/>
                </w:rPr>
                <m:t>applicable turnover of critical ICT thirdparty service provider concerned in year (n-2)</m:t>
              </m:r>
            </m:num>
            <m:den>
              <m:r>
                <m:rPr>
                  <m:sty m:val="p"/>
                </m:rPr>
                <w:rPr>
                  <w:rFonts w:ascii="Cambria Math" w:hAnsi="Cambria Math"/>
                  <w:noProof/>
                  <w:sz w:val="16"/>
                  <w:szCs w:val="16"/>
                </w:rPr>
                <m:t>applicable turnover of all critical ICT third party serviceproviders in year (n-2)</m:t>
              </m:r>
            </m:den>
          </m:f>
        </m:oMath>
      </m:oMathPara>
    </w:p>
    <w:p w14:paraId="5081F581" w14:textId="77777777" w:rsidR="006B7ED0" w:rsidRPr="00892C62" w:rsidRDefault="006B7ED0" w:rsidP="006B7ED0">
      <w:pPr>
        <w:pStyle w:val="ManualNumPar1"/>
        <w:rPr>
          <w:noProof/>
        </w:rPr>
      </w:pPr>
      <w:r>
        <w:rPr>
          <w:noProof/>
        </w:rPr>
        <w:t>3.</w:t>
      </w:r>
      <w:r>
        <w:rPr>
          <w:noProof/>
        </w:rPr>
        <w:tab/>
      </w:r>
      <w:r w:rsidRPr="000B541E">
        <w:rPr>
          <w:noProof/>
        </w:rPr>
        <w:t xml:space="preserve">In no case shall </w:t>
      </w:r>
      <w:r>
        <w:rPr>
          <w:noProof/>
        </w:rPr>
        <w:t>the</w:t>
      </w:r>
      <w:r w:rsidRPr="000B541E">
        <w:rPr>
          <w:noProof/>
        </w:rPr>
        <w:t xml:space="preserve"> critical ICT third-party service</w:t>
      </w:r>
      <w:r>
        <w:rPr>
          <w:noProof/>
        </w:rPr>
        <w:t xml:space="preserve"> </w:t>
      </w:r>
      <w:r w:rsidRPr="000B541E">
        <w:rPr>
          <w:noProof/>
        </w:rPr>
        <w:t>provider pay an annual oversight fee that is less than EUR 50 000</w:t>
      </w:r>
      <w:bookmarkStart w:id="2" w:name="_Hlk150268190"/>
      <w:r w:rsidRPr="000B541E">
        <w:rPr>
          <w:noProof/>
        </w:rPr>
        <w:t>.</w:t>
      </w:r>
      <w:bookmarkEnd w:id="2"/>
    </w:p>
    <w:p w14:paraId="24B42943" w14:textId="77777777" w:rsidR="006B7ED0" w:rsidRPr="00892C62" w:rsidRDefault="006B7ED0" w:rsidP="006B7ED0">
      <w:pPr>
        <w:pStyle w:val="Titrearticle"/>
        <w:rPr>
          <w:noProof/>
        </w:rPr>
      </w:pPr>
      <w:r w:rsidRPr="00892C62">
        <w:rPr>
          <w:noProof/>
        </w:rPr>
        <w:t>Article 4</w:t>
      </w:r>
      <w:r w:rsidRPr="00892C62">
        <w:rPr>
          <w:noProof/>
        </w:rPr>
        <w:br/>
        <w:t xml:space="preserve">Oversight fees in year of designation and </w:t>
      </w:r>
      <w:r>
        <w:rPr>
          <w:noProof/>
        </w:rPr>
        <w:t>‘</w:t>
      </w:r>
      <w:r w:rsidRPr="00892C62">
        <w:rPr>
          <w:noProof/>
        </w:rPr>
        <w:t>opt-in</w:t>
      </w:r>
      <w:r>
        <w:rPr>
          <w:noProof/>
        </w:rPr>
        <w:t>’</w:t>
      </w:r>
      <w:r w:rsidRPr="00892C62">
        <w:rPr>
          <w:noProof/>
        </w:rPr>
        <w:t xml:space="preserve"> requests </w:t>
      </w:r>
    </w:p>
    <w:p w14:paraId="2E9FA930" w14:textId="77777777" w:rsidR="006B7ED0" w:rsidRPr="00F66399" w:rsidRDefault="006B7ED0" w:rsidP="006B7ED0">
      <w:pPr>
        <w:pStyle w:val="ManualNumPar1"/>
        <w:rPr>
          <w:noProof/>
        </w:rPr>
      </w:pPr>
      <w:r>
        <w:rPr>
          <w:noProof/>
        </w:rPr>
        <w:t>1.</w:t>
      </w:r>
      <w:r>
        <w:rPr>
          <w:noProof/>
        </w:rPr>
        <w:tab/>
      </w:r>
      <w:r w:rsidRPr="00F66399">
        <w:rPr>
          <w:noProof/>
        </w:rPr>
        <w:t xml:space="preserve">By way of derogation from Article 3, </w:t>
      </w:r>
      <w:bookmarkStart w:id="3" w:name="_Hlk153806292"/>
      <w:r w:rsidRPr="00F66399">
        <w:rPr>
          <w:noProof/>
        </w:rPr>
        <w:t xml:space="preserve">for the first published list of designated critical ICT third-party service providers </w:t>
      </w:r>
      <w:bookmarkEnd w:id="3"/>
      <w:r w:rsidRPr="00F66399">
        <w:rPr>
          <w:noProof/>
        </w:rPr>
        <w:t xml:space="preserve">as per </w:t>
      </w:r>
      <w:r w:rsidRPr="00F66399">
        <w:rPr>
          <w:rFonts w:cstheme="minorHAnsi"/>
          <w:iCs/>
          <w:noProof/>
        </w:rPr>
        <w:t xml:space="preserve">Article 31(9) of </w:t>
      </w:r>
      <w:r w:rsidRPr="00F66399">
        <w:rPr>
          <w:noProof/>
        </w:rPr>
        <w:t xml:space="preserve">Regulation (EU) 2022/2554, the oversight fees shall be equally split among the designated critical ICT third-party service providers. The fee to be charged to each critical ICT third-party service provider shall be </w:t>
      </w:r>
      <w:bookmarkStart w:id="4" w:name="_Hlk153795167"/>
      <w:r w:rsidRPr="00F66399">
        <w:rPr>
          <w:noProof/>
        </w:rPr>
        <w:t>calculated by dividing the overall estimated expenditure of the Lead Overseers with the number of designated critical ICT third-party service providers</w:t>
      </w:r>
      <w:bookmarkEnd w:id="4"/>
      <w:r w:rsidRPr="00F66399">
        <w:rPr>
          <w:noProof/>
        </w:rPr>
        <w:t>.</w:t>
      </w:r>
    </w:p>
    <w:p w14:paraId="3E2A529B" w14:textId="77777777" w:rsidR="006B7ED0" w:rsidRPr="00F66399" w:rsidRDefault="006B7ED0" w:rsidP="006B7ED0">
      <w:pPr>
        <w:pStyle w:val="ManualNumPar1"/>
        <w:rPr>
          <w:noProof/>
        </w:rPr>
      </w:pPr>
      <w:r>
        <w:rPr>
          <w:noProof/>
        </w:rPr>
        <w:t>2.</w:t>
      </w:r>
      <w:r>
        <w:rPr>
          <w:noProof/>
        </w:rPr>
        <w:tab/>
      </w:r>
      <w:r w:rsidRPr="00F66399">
        <w:rPr>
          <w:noProof/>
        </w:rPr>
        <w:t xml:space="preserve">By way of derogation from Article 3 and paragraph 1 above, for the first year in which an ICT third-party service provider is designated as critical, </w:t>
      </w:r>
      <w:bookmarkStart w:id="5" w:name="_Hlk148112597"/>
      <w:r w:rsidRPr="00F66399">
        <w:rPr>
          <w:noProof/>
        </w:rPr>
        <w:t>it</w:t>
      </w:r>
      <w:bookmarkEnd w:id="5"/>
      <w:r w:rsidRPr="00F66399">
        <w:rPr>
          <w:noProof/>
        </w:rPr>
        <w:t xml:space="preserve"> shall pay a fixed oversight fee which is equal to the amount paid by each ICT third party service provider under paragraph 1. Where the period of the oversight activities of such critical ICT third-party service provider does not correspond to a full year, that oversight fee shall be equal to the amount paid by each ICT third party service provider under paragraph 1, multiplied by the number of calendar days from the designation of the ICT third-party service provider as critical until the end of that year and divided by the total number of days in that year.</w:t>
      </w:r>
    </w:p>
    <w:p w14:paraId="78AFD8AD" w14:textId="77777777" w:rsidR="006B7ED0" w:rsidRPr="007B0FDA" w:rsidRDefault="006B7ED0" w:rsidP="006B7ED0">
      <w:pPr>
        <w:pStyle w:val="ManualNumPar1"/>
        <w:rPr>
          <w:noProof/>
        </w:rPr>
      </w:pPr>
      <w:r>
        <w:rPr>
          <w:noProof/>
        </w:rPr>
        <w:t>3.</w:t>
      </w:r>
      <w:r>
        <w:rPr>
          <w:noProof/>
        </w:rPr>
        <w:tab/>
      </w:r>
      <w:r w:rsidRPr="007B0FDA">
        <w:rPr>
          <w:rFonts w:cstheme="minorHAnsi"/>
          <w:iCs/>
          <w:noProof/>
        </w:rPr>
        <w:t>Where an ICT third-party service</w:t>
      </w:r>
      <w:r>
        <w:rPr>
          <w:rFonts w:cstheme="minorHAnsi"/>
          <w:iCs/>
          <w:noProof/>
        </w:rPr>
        <w:t xml:space="preserve"> </w:t>
      </w:r>
      <w:r w:rsidRPr="007B0FDA">
        <w:rPr>
          <w:rFonts w:cstheme="minorHAnsi"/>
          <w:iCs/>
          <w:noProof/>
        </w:rPr>
        <w:t xml:space="preserve">provider requests to be designated as critical in accordance with Article 31(11) of </w:t>
      </w:r>
      <w:r w:rsidRPr="007B0FDA">
        <w:rPr>
          <w:noProof/>
        </w:rPr>
        <w:t>Regulation (EU) 2022/2554, it</w:t>
      </w:r>
      <w:r w:rsidRPr="007B0FDA">
        <w:rPr>
          <w:rFonts w:cstheme="minorHAnsi"/>
          <w:iCs/>
          <w:noProof/>
        </w:rPr>
        <w:t xml:space="preserve"> shall pay a </w:t>
      </w:r>
      <w:bookmarkStart w:id="6" w:name="_Hlk146871686"/>
      <w:r w:rsidRPr="007B0FDA">
        <w:rPr>
          <w:rFonts w:cstheme="minorHAnsi"/>
          <w:iCs/>
          <w:noProof/>
        </w:rPr>
        <w:t>fixed opt-in fee of</w:t>
      </w:r>
      <w:r w:rsidRPr="007B0FDA">
        <w:rPr>
          <w:noProof/>
        </w:rPr>
        <w:t xml:space="preserve"> EUR </w:t>
      </w:r>
      <w:r w:rsidRPr="007B0FDA">
        <w:rPr>
          <w:rFonts w:cstheme="minorHAnsi"/>
          <w:iCs/>
          <w:noProof/>
          <w:color w:val="000000" w:themeColor="text1"/>
        </w:rPr>
        <w:t>50 000</w:t>
      </w:r>
      <w:bookmarkEnd w:id="6"/>
      <w:r w:rsidRPr="007B0FDA">
        <w:rPr>
          <w:rFonts w:cstheme="minorHAnsi"/>
          <w:iCs/>
          <w:noProof/>
        </w:rPr>
        <w:t xml:space="preserve">. The </w:t>
      </w:r>
      <w:r>
        <w:rPr>
          <w:rFonts w:cstheme="minorHAnsi"/>
          <w:iCs/>
          <w:noProof/>
        </w:rPr>
        <w:t xml:space="preserve">recipient </w:t>
      </w:r>
      <w:r w:rsidRPr="00F66399">
        <w:rPr>
          <w:rFonts w:cstheme="minorHAnsi"/>
          <w:iCs/>
          <w:noProof/>
        </w:rPr>
        <w:t>ESA</w:t>
      </w:r>
      <w:r w:rsidRPr="007B0FDA">
        <w:rPr>
          <w:rFonts w:cstheme="minorHAnsi"/>
          <w:iCs/>
          <w:noProof/>
        </w:rPr>
        <w:t xml:space="preserve"> shall not reimburse that fixed opt-in fee where the request to be designated as critical is rejected or withdrawn by the ICT third-party service provider. </w:t>
      </w:r>
    </w:p>
    <w:p w14:paraId="0D1852EC" w14:textId="77777777" w:rsidR="006B7ED0" w:rsidRPr="00892C62" w:rsidRDefault="006B7ED0" w:rsidP="006B7ED0">
      <w:pPr>
        <w:pStyle w:val="Titrearticle"/>
        <w:rPr>
          <w:iCs/>
          <w:noProof/>
        </w:rPr>
      </w:pPr>
      <w:r w:rsidRPr="00BE0AE7">
        <w:rPr>
          <w:iCs/>
          <w:noProof/>
        </w:rPr>
        <w:t xml:space="preserve">Article </w:t>
      </w:r>
      <w:r>
        <w:rPr>
          <w:iCs/>
          <w:noProof/>
        </w:rPr>
        <w:t>5</w:t>
      </w:r>
      <w:r>
        <w:rPr>
          <w:iCs/>
          <w:noProof/>
        </w:rPr>
        <w:br/>
      </w:r>
      <w:r>
        <w:rPr>
          <w:noProof/>
        </w:rPr>
        <w:t>Payment of the oversight fees</w:t>
      </w:r>
    </w:p>
    <w:p w14:paraId="7931D4C3" w14:textId="77777777" w:rsidR="006B7ED0" w:rsidRDefault="006B7ED0" w:rsidP="006B7ED0">
      <w:pPr>
        <w:pStyle w:val="ManualNumPar1"/>
        <w:rPr>
          <w:noProof/>
        </w:rPr>
      </w:pPr>
      <w:r>
        <w:rPr>
          <w:noProof/>
        </w:rPr>
        <w:t>1.</w:t>
      </w:r>
      <w:r>
        <w:rPr>
          <w:noProof/>
        </w:rPr>
        <w:tab/>
        <w:t xml:space="preserve">Critical </w:t>
      </w:r>
      <w:r w:rsidRPr="00D2760C">
        <w:rPr>
          <w:noProof/>
        </w:rPr>
        <w:t>ICT third-party service providers</w:t>
      </w:r>
      <w:r>
        <w:rPr>
          <w:noProof/>
        </w:rPr>
        <w:t xml:space="preserve"> shall pay the oversight fees referred to in Article 43 of </w:t>
      </w:r>
      <w:r w:rsidRPr="00F35A11">
        <w:rPr>
          <w:noProof/>
        </w:rPr>
        <w:t>Regulation (EU) 2022/2554</w:t>
      </w:r>
      <w:r>
        <w:rPr>
          <w:noProof/>
        </w:rPr>
        <w:t xml:space="preserve"> to the Lead Overseer on an annual basis.</w:t>
      </w:r>
    </w:p>
    <w:p w14:paraId="07BC436A" w14:textId="77777777" w:rsidR="006B7ED0" w:rsidRPr="00B021AA" w:rsidRDefault="006B7ED0" w:rsidP="006B7ED0">
      <w:pPr>
        <w:pStyle w:val="ManualNumPar1"/>
        <w:rPr>
          <w:noProof/>
        </w:rPr>
      </w:pPr>
      <w:r>
        <w:rPr>
          <w:noProof/>
        </w:rPr>
        <w:t>2.</w:t>
      </w:r>
      <w:r>
        <w:rPr>
          <w:noProof/>
        </w:rPr>
        <w:tab/>
      </w:r>
      <w:r w:rsidRPr="00B021AA">
        <w:rPr>
          <w:noProof/>
        </w:rPr>
        <w:t xml:space="preserve">All </w:t>
      </w:r>
      <w:r>
        <w:rPr>
          <w:noProof/>
        </w:rPr>
        <w:t xml:space="preserve">oversight </w:t>
      </w:r>
      <w:r w:rsidRPr="00B021AA">
        <w:rPr>
          <w:noProof/>
        </w:rPr>
        <w:t xml:space="preserve">fees shall be invoiced and paid in euro. Debit notes for </w:t>
      </w:r>
      <w:r>
        <w:rPr>
          <w:noProof/>
        </w:rPr>
        <w:t xml:space="preserve">oversight </w:t>
      </w:r>
      <w:r w:rsidRPr="00B021AA">
        <w:rPr>
          <w:noProof/>
        </w:rPr>
        <w:t xml:space="preserve">fees shall set payment terms of at least 30 days. </w:t>
      </w:r>
    </w:p>
    <w:p w14:paraId="5C72F5AC" w14:textId="77777777" w:rsidR="006B7ED0" w:rsidRPr="00B021AA" w:rsidRDefault="006B7ED0" w:rsidP="006B7ED0">
      <w:pPr>
        <w:pStyle w:val="ManualNumPar1"/>
        <w:rPr>
          <w:noProof/>
          <w:szCs w:val="24"/>
        </w:rPr>
      </w:pPr>
      <w:r>
        <w:rPr>
          <w:noProof/>
        </w:rPr>
        <w:t>3.</w:t>
      </w:r>
      <w:r>
        <w:rPr>
          <w:noProof/>
        </w:rPr>
        <w:tab/>
      </w:r>
      <w:r w:rsidRPr="00B021AA">
        <w:rPr>
          <w:noProof/>
        </w:rPr>
        <w:t xml:space="preserve">All </w:t>
      </w:r>
      <w:r>
        <w:rPr>
          <w:noProof/>
        </w:rPr>
        <w:t xml:space="preserve">oversight </w:t>
      </w:r>
      <w:r w:rsidRPr="00B021AA">
        <w:rPr>
          <w:noProof/>
        </w:rPr>
        <w:t xml:space="preserve">fees shall be paid based on a single instalment basis. </w:t>
      </w:r>
      <w:r>
        <w:rPr>
          <w:noProof/>
        </w:rPr>
        <w:t>C</w:t>
      </w:r>
      <w:r w:rsidRPr="00E3183A">
        <w:rPr>
          <w:noProof/>
        </w:rPr>
        <w:t>ritical ICT third-party service</w:t>
      </w:r>
      <w:r>
        <w:rPr>
          <w:noProof/>
        </w:rPr>
        <w:t>-</w:t>
      </w:r>
      <w:r w:rsidRPr="00E3183A">
        <w:rPr>
          <w:noProof/>
        </w:rPr>
        <w:t>provider</w:t>
      </w:r>
      <w:r>
        <w:rPr>
          <w:noProof/>
        </w:rPr>
        <w:t>s</w:t>
      </w:r>
      <w:r w:rsidRPr="00B021AA">
        <w:rPr>
          <w:noProof/>
        </w:rPr>
        <w:t xml:space="preserve"> </w:t>
      </w:r>
      <w:r>
        <w:rPr>
          <w:noProof/>
        </w:rPr>
        <w:t>which will be subject to oversight activities on 1</w:t>
      </w:r>
      <w:r>
        <w:rPr>
          <w:noProof/>
          <w:vertAlign w:val="superscript"/>
        </w:rPr>
        <w:t xml:space="preserve"> </w:t>
      </w:r>
      <w:r w:rsidRPr="00B021AA">
        <w:rPr>
          <w:noProof/>
        </w:rPr>
        <w:t xml:space="preserve">January </w:t>
      </w:r>
      <w:r>
        <w:rPr>
          <w:noProof/>
        </w:rPr>
        <w:t>of</w:t>
      </w:r>
      <w:r w:rsidRPr="00B021AA">
        <w:rPr>
          <w:noProof/>
        </w:rPr>
        <w:t xml:space="preserve"> </w:t>
      </w:r>
      <w:r>
        <w:rPr>
          <w:noProof/>
        </w:rPr>
        <w:t xml:space="preserve">a given </w:t>
      </w:r>
      <w:r w:rsidRPr="00B021AA">
        <w:rPr>
          <w:noProof/>
        </w:rPr>
        <w:t>year</w:t>
      </w:r>
      <w:r>
        <w:rPr>
          <w:noProof/>
        </w:rPr>
        <w:t xml:space="preserve"> shall pay</w:t>
      </w:r>
      <w:r w:rsidRPr="00B021AA">
        <w:rPr>
          <w:noProof/>
        </w:rPr>
        <w:t xml:space="preserve"> the debit note by </w:t>
      </w:r>
      <w:r>
        <w:rPr>
          <w:noProof/>
        </w:rPr>
        <w:t>30</w:t>
      </w:r>
      <w:r w:rsidRPr="00B021AA">
        <w:rPr>
          <w:noProof/>
        </w:rPr>
        <w:t xml:space="preserve"> April of th</w:t>
      </w:r>
      <w:r>
        <w:rPr>
          <w:noProof/>
        </w:rPr>
        <w:t>at</w:t>
      </w:r>
      <w:r w:rsidRPr="00B021AA">
        <w:rPr>
          <w:noProof/>
        </w:rPr>
        <w:t xml:space="preserve"> year. </w:t>
      </w:r>
      <w:r>
        <w:rPr>
          <w:noProof/>
        </w:rPr>
        <w:t>C</w:t>
      </w:r>
      <w:r w:rsidRPr="00E3183A">
        <w:rPr>
          <w:noProof/>
        </w:rPr>
        <w:t>ritical ICT third-party service</w:t>
      </w:r>
      <w:r>
        <w:rPr>
          <w:noProof/>
        </w:rPr>
        <w:t>-</w:t>
      </w:r>
      <w:r w:rsidRPr="00E3183A">
        <w:rPr>
          <w:noProof/>
        </w:rPr>
        <w:t>provider</w:t>
      </w:r>
      <w:r>
        <w:rPr>
          <w:noProof/>
        </w:rPr>
        <w:t>s</w:t>
      </w:r>
      <w:r w:rsidRPr="00B021AA">
        <w:rPr>
          <w:noProof/>
        </w:rPr>
        <w:t xml:space="preserve"> designated throughout the year</w:t>
      </w:r>
      <w:r>
        <w:rPr>
          <w:noProof/>
        </w:rPr>
        <w:t xml:space="preserve"> shall pay</w:t>
      </w:r>
      <w:r w:rsidRPr="00B021AA">
        <w:rPr>
          <w:noProof/>
        </w:rPr>
        <w:t xml:space="preserve"> the fees </w:t>
      </w:r>
      <w:r>
        <w:rPr>
          <w:noProof/>
        </w:rPr>
        <w:t xml:space="preserve">referred to in </w:t>
      </w:r>
      <w:r w:rsidRPr="00B021AA">
        <w:rPr>
          <w:noProof/>
        </w:rPr>
        <w:t xml:space="preserve">Article </w:t>
      </w:r>
      <w:r>
        <w:rPr>
          <w:noProof/>
        </w:rPr>
        <w:t xml:space="preserve">4 </w:t>
      </w:r>
      <w:r w:rsidRPr="00B021AA">
        <w:rPr>
          <w:noProof/>
        </w:rPr>
        <w:t>in a single instalment</w:t>
      </w:r>
      <w:r>
        <w:rPr>
          <w:noProof/>
        </w:rPr>
        <w:t xml:space="preserve"> by 31 December of that year. </w:t>
      </w:r>
    </w:p>
    <w:p w14:paraId="4147C238" w14:textId="77777777" w:rsidR="006B7ED0" w:rsidRPr="00892C62" w:rsidRDefault="006B7ED0" w:rsidP="006B7ED0">
      <w:pPr>
        <w:pStyle w:val="ManualNumPar1"/>
        <w:rPr>
          <w:noProof/>
          <w:szCs w:val="24"/>
        </w:rPr>
      </w:pPr>
      <w:r>
        <w:rPr>
          <w:noProof/>
        </w:rPr>
        <w:t>4.</w:t>
      </w:r>
      <w:r>
        <w:rPr>
          <w:noProof/>
        </w:rPr>
        <w:tab/>
      </w:r>
      <w:r w:rsidRPr="00B021AA">
        <w:rPr>
          <w:noProof/>
        </w:rPr>
        <w:t>Any late payment shall incur the default interest laid down in Article 99 of Regulation (EU, Euratom) 2018/1046</w:t>
      </w:r>
      <w:r w:rsidRPr="00440EE4">
        <w:rPr>
          <w:noProof/>
          <w:szCs w:val="24"/>
        </w:rPr>
        <w:t>.</w:t>
      </w:r>
    </w:p>
    <w:p w14:paraId="78F2A60C" w14:textId="77777777" w:rsidR="006B7ED0" w:rsidRPr="00FE1696" w:rsidRDefault="006B7ED0" w:rsidP="006B7ED0">
      <w:pPr>
        <w:pStyle w:val="Titrearticle"/>
        <w:rPr>
          <w:noProof/>
        </w:rPr>
      </w:pPr>
      <w:r w:rsidRPr="004C1A5D">
        <w:rPr>
          <w:noProof/>
        </w:rPr>
        <w:t xml:space="preserve">Article </w:t>
      </w:r>
      <w:r>
        <w:rPr>
          <w:noProof/>
        </w:rPr>
        <w:t>6</w:t>
      </w:r>
      <w:r>
        <w:rPr>
          <w:noProof/>
        </w:rPr>
        <w:br/>
      </w:r>
      <w:bookmarkStart w:id="7" w:name="_Hlk153807945"/>
      <w:r>
        <w:rPr>
          <w:noProof/>
        </w:rPr>
        <w:t>Communication between the Lead Overseer and critical ICT third-party service providers</w:t>
      </w:r>
      <w:bookmarkEnd w:id="7"/>
    </w:p>
    <w:p w14:paraId="0FD9140C" w14:textId="77777777" w:rsidR="006B7ED0" w:rsidRPr="00B021AA" w:rsidRDefault="006B7ED0" w:rsidP="006B7ED0">
      <w:pPr>
        <w:rPr>
          <w:noProof/>
        </w:rPr>
      </w:pPr>
      <w:r>
        <w:rPr>
          <w:noProof/>
        </w:rPr>
        <w:t xml:space="preserve">For the purposes of this Regulation, all communication between </w:t>
      </w:r>
      <w:r w:rsidRPr="00B021AA">
        <w:rPr>
          <w:noProof/>
        </w:rPr>
        <w:t>the E</w:t>
      </w:r>
      <w:r>
        <w:rPr>
          <w:noProof/>
        </w:rPr>
        <w:t xml:space="preserve">uropean </w:t>
      </w:r>
      <w:r w:rsidRPr="00B021AA">
        <w:rPr>
          <w:noProof/>
        </w:rPr>
        <w:t>S</w:t>
      </w:r>
      <w:r>
        <w:rPr>
          <w:noProof/>
        </w:rPr>
        <w:t xml:space="preserve">upervisory Authorities </w:t>
      </w:r>
      <w:r w:rsidRPr="00B021AA">
        <w:rPr>
          <w:noProof/>
        </w:rPr>
        <w:t xml:space="preserve">and </w:t>
      </w:r>
      <w:r>
        <w:rPr>
          <w:noProof/>
        </w:rPr>
        <w:t>c</w:t>
      </w:r>
      <w:r w:rsidRPr="00E3183A">
        <w:rPr>
          <w:noProof/>
        </w:rPr>
        <w:t>ritical ICT third-party service providers</w:t>
      </w:r>
      <w:r w:rsidRPr="00B021AA">
        <w:rPr>
          <w:noProof/>
        </w:rPr>
        <w:t xml:space="preserve"> shall take place by electronic means.</w:t>
      </w:r>
    </w:p>
    <w:p w14:paraId="15E2C33D" w14:textId="77777777" w:rsidR="006B7ED0" w:rsidRPr="00FE1696" w:rsidRDefault="006B7ED0" w:rsidP="006B7ED0">
      <w:pPr>
        <w:pStyle w:val="Titrearticle"/>
        <w:rPr>
          <w:noProof/>
        </w:rPr>
      </w:pPr>
      <w:r w:rsidRPr="00FE1696">
        <w:rPr>
          <w:noProof/>
        </w:rPr>
        <w:t>Article 7</w:t>
      </w:r>
      <w:r w:rsidRPr="00FE1696">
        <w:rPr>
          <w:rStyle w:val="CommentReference"/>
          <w:noProof/>
          <w:sz w:val="24"/>
          <w:szCs w:val="22"/>
        </w:rPr>
        <w:br/>
      </w:r>
      <w:r w:rsidRPr="00FE1696">
        <w:rPr>
          <w:noProof/>
        </w:rPr>
        <w:t>Entry into force and date of application</w:t>
      </w:r>
    </w:p>
    <w:p w14:paraId="3768BB73" w14:textId="77777777" w:rsidR="006B7ED0" w:rsidRDefault="006B7ED0" w:rsidP="006B7ED0">
      <w:pPr>
        <w:rPr>
          <w:noProof/>
        </w:rPr>
      </w:pPr>
      <w:r w:rsidRPr="00B021AA">
        <w:rPr>
          <w:noProof/>
        </w:rPr>
        <w:t xml:space="preserve">This Regulation shall enter into force on the </w:t>
      </w:r>
      <w:r>
        <w:rPr>
          <w:noProof/>
        </w:rPr>
        <w:t xml:space="preserve">twentieth </w:t>
      </w:r>
      <w:r w:rsidRPr="00B021AA">
        <w:rPr>
          <w:noProof/>
        </w:rPr>
        <w:t xml:space="preserve">day following that of its publication in the </w:t>
      </w:r>
      <w:r w:rsidRPr="009E1614">
        <w:rPr>
          <w:i/>
          <w:noProof/>
        </w:rPr>
        <w:t>Official Journal of the European Union</w:t>
      </w:r>
      <w:r w:rsidRPr="00B021AA">
        <w:rPr>
          <w:noProof/>
        </w:rPr>
        <w:t>.</w:t>
      </w:r>
    </w:p>
    <w:p w14:paraId="47EBFEC6" w14:textId="77777777" w:rsidR="006B7ED0" w:rsidRPr="00B021AA" w:rsidRDefault="006B7ED0" w:rsidP="006B7ED0">
      <w:pPr>
        <w:rPr>
          <w:noProof/>
        </w:rPr>
      </w:pPr>
      <w:r w:rsidRPr="00B021AA">
        <w:rPr>
          <w:noProof/>
        </w:rPr>
        <w:t>This Regulation shall be binding in its entirety and directly applicable in all Member States.</w:t>
      </w:r>
    </w:p>
    <w:p w14:paraId="4399BD28" w14:textId="26463C7B" w:rsidR="006B7ED0" w:rsidRPr="00B021AA" w:rsidRDefault="007D5E57" w:rsidP="00180546">
      <w:pPr>
        <w:pStyle w:val="Fait"/>
        <w:rPr>
          <w:noProof/>
        </w:rPr>
      </w:pPr>
      <w:r>
        <w:rPr>
          <w:noProof/>
        </w:rPr>
        <w:t>Done at Brussels, 22.2.2024</w:t>
      </w:r>
    </w:p>
    <w:p w14:paraId="7BFA8F74" w14:textId="77777777" w:rsidR="006B7ED0" w:rsidRPr="00B021AA" w:rsidRDefault="006B7ED0" w:rsidP="00180546">
      <w:pPr>
        <w:pStyle w:val="Institutionquisigne"/>
        <w:rPr>
          <w:noProof/>
        </w:rPr>
      </w:pPr>
      <w:r w:rsidRPr="00B021AA">
        <w:rPr>
          <w:noProof/>
        </w:rPr>
        <w:tab/>
        <w:t>For the Commission</w:t>
      </w:r>
    </w:p>
    <w:p w14:paraId="565E52DF" w14:textId="130B5396" w:rsidR="006B7ED0" w:rsidRPr="00E94E0A" w:rsidRDefault="00AE3377" w:rsidP="006B7ED0">
      <w:pPr>
        <w:pStyle w:val="Personnequisigne"/>
        <w:rPr>
          <w:noProof/>
          <w:lang w:val="de-CH"/>
        </w:rPr>
      </w:pPr>
      <w:r>
        <w:rPr>
          <w:noProof/>
        </w:rPr>
        <w:tab/>
        <w:t>The President</w:t>
      </w:r>
      <w:r>
        <w:rPr>
          <w:noProof/>
        </w:rPr>
        <w:br/>
      </w:r>
      <w:r>
        <w:rPr>
          <w:noProof/>
        </w:rPr>
        <w:tab/>
        <w:t>Ursula VON DER LEYEN</w:t>
      </w:r>
    </w:p>
    <w:sectPr w:rsidR="006B7ED0" w:rsidRPr="00E94E0A" w:rsidSect="0059249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631D0" w14:textId="77777777" w:rsidR="009663EF" w:rsidRDefault="009663EF" w:rsidP="00452C13">
      <w:pPr>
        <w:spacing w:before="0" w:after="0"/>
      </w:pPr>
      <w:r>
        <w:separator/>
      </w:r>
    </w:p>
  </w:endnote>
  <w:endnote w:type="continuationSeparator" w:id="0">
    <w:p w14:paraId="2CFA5637" w14:textId="77777777" w:rsidR="009663EF" w:rsidRDefault="009663EF" w:rsidP="00452C13">
      <w:pPr>
        <w:spacing w:before="0" w:after="0"/>
      </w:pPr>
      <w:r>
        <w:continuationSeparator/>
      </w:r>
    </w:p>
  </w:endnote>
  <w:endnote w:type="continuationNotice" w:id="1">
    <w:p w14:paraId="5AD8DE2C" w14:textId="77777777" w:rsidR="009663EF" w:rsidRDefault="009663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5396" w14:textId="3B6A332A" w:rsidR="00592496" w:rsidRPr="00592496" w:rsidRDefault="00592496" w:rsidP="00592496">
    <w:pPr>
      <w:pStyle w:val="Footer"/>
      <w:rPr>
        <w:rFonts w:ascii="Arial" w:hAnsi="Arial" w:cs="Arial"/>
        <w:b/>
        <w:sz w:val="48"/>
      </w:rPr>
    </w:pPr>
    <w:r w:rsidRPr="00592496">
      <w:rPr>
        <w:rFonts w:ascii="Arial" w:hAnsi="Arial" w:cs="Arial"/>
        <w:b/>
        <w:sz w:val="48"/>
      </w:rPr>
      <w:t>EN</w:t>
    </w:r>
    <w:r w:rsidRPr="00592496">
      <w:rPr>
        <w:rFonts w:ascii="Arial" w:hAnsi="Arial" w:cs="Arial"/>
        <w:b/>
        <w:sz w:val="48"/>
      </w:rPr>
      <w:tab/>
    </w:r>
    <w:r w:rsidRPr="00592496">
      <w:rPr>
        <w:rFonts w:ascii="Arial" w:hAnsi="Arial" w:cs="Arial"/>
        <w:b/>
        <w:sz w:val="48"/>
      </w:rPr>
      <w:tab/>
    </w:r>
    <w:r w:rsidRPr="00592496">
      <w:tab/>
    </w:r>
    <w:r w:rsidRPr="0059249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1966" w14:textId="1D551153" w:rsidR="00592496" w:rsidRPr="00592496" w:rsidRDefault="00592496" w:rsidP="00592496">
    <w:pPr>
      <w:pStyle w:val="Footer"/>
      <w:rPr>
        <w:rFonts w:ascii="Arial" w:hAnsi="Arial" w:cs="Arial"/>
        <w:b/>
        <w:sz w:val="48"/>
      </w:rPr>
    </w:pPr>
    <w:r w:rsidRPr="00592496">
      <w:rPr>
        <w:rFonts w:ascii="Arial" w:hAnsi="Arial" w:cs="Arial"/>
        <w:b/>
        <w:sz w:val="48"/>
      </w:rPr>
      <w:t>EN</w:t>
    </w:r>
    <w:r w:rsidRPr="00592496">
      <w:rPr>
        <w:rFonts w:ascii="Arial" w:hAnsi="Arial" w:cs="Arial"/>
        <w:b/>
        <w:sz w:val="48"/>
      </w:rPr>
      <w:tab/>
    </w:r>
    <w:r w:rsidRPr="00592496">
      <w:rPr>
        <w:rFonts w:ascii="Arial" w:hAnsi="Arial" w:cs="Arial"/>
        <w:b/>
        <w:sz w:val="48"/>
      </w:rPr>
      <w:tab/>
    </w:r>
    <w:r w:rsidRPr="00592496">
      <w:tab/>
    </w:r>
    <w:r w:rsidRPr="0059249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A436" w14:textId="77777777" w:rsidR="00592496" w:rsidRDefault="00592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7577" w14:textId="71D0380A" w:rsidR="00592496" w:rsidRPr="00592496" w:rsidRDefault="00592496" w:rsidP="00592496">
    <w:pPr>
      <w:pStyle w:val="Footer"/>
      <w:rPr>
        <w:rFonts w:ascii="Arial" w:hAnsi="Arial" w:cs="Arial"/>
        <w:b/>
        <w:sz w:val="48"/>
      </w:rPr>
    </w:pPr>
    <w:r w:rsidRPr="00592496">
      <w:rPr>
        <w:rFonts w:ascii="Arial" w:hAnsi="Arial" w:cs="Arial"/>
        <w:b/>
        <w:sz w:val="48"/>
      </w:rPr>
      <w:t>EN</w:t>
    </w:r>
    <w:r w:rsidRPr="00592496">
      <w:rPr>
        <w:rFonts w:ascii="Arial" w:hAnsi="Arial" w:cs="Arial"/>
        <w:b/>
        <w:sz w:val="48"/>
      </w:rPr>
      <w:tab/>
    </w:r>
    <w:r>
      <w:fldChar w:fldCharType="begin"/>
    </w:r>
    <w:r>
      <w:instrText xml:space="preserve"> PAGE  \* MERGEFORMAT </w:instrText>
    </w:r>
    <w:r>
      <w:fldChar w:fldCharType="separate"/>
    </w:r>
    <w:r w:rsidR="00180546">
      <w:rPr>
        <w:noProof/>
      </w:rPr>
      <w:t>8</w:t>
    </w:r>
    <w:r>
      <w:fldChar w:fldCharType="end"/>
    </w:r>
    <w:r>
      <w:tab/>
    </w:r>
    <w:r w:rsidRPr="00592496">
      <w:tab/>
    </w:r>
    <w:r w:rsidRPr="0059249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1430" w14:textId="77777777" w:rsidR="00592496" w:rsidRDefault="00592496" w:rsidP="00592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91DD8" w14:textId="77777777" w:rsidR="009663EF" w:rsidRDefault="009663EF" w:rsidP="00452C13">
      <w:pPr>
        <w:spacing w:before="0" w:after="0"/>
      </w:pPr>
      <w:r>
        <w:separator/>
      </w:r>
    </w:p>
  </w:footnote>
  <w:footnote w:type="continuationSeparator" w:id="0">
    <w:p w14:paraId="34E964ED" w14:textId="77777777" w:rsidR="009663EF" w:rsidRDefault="009663EF" w:rsidP="00452C13">
      <w:pPr>
        <w:spacing w:before="0" w:after="0"/>
      </w:pPr>
      <w:r>
        <w:continuationSeparator/>
      </w:r>
    </w:p>
  </w:footnote>
  <w:footnote w:type="continuationNotice" w:id="1">
    <w:p w14:paraId="20C9564F" w14:textId="77777777" w:rsidR="009663EF" w:rsidRDefault="009663EF">
      <w:pPr>
        <w:spacing w:before="0" w:after="0"/>
      </w:pPr>
    </w:p>
  </w:footnote>
  <w:footnote w:id="2">
    <w:p w14:paraId="7B9E070E" w14:textId="77777777" w:rsidR="006B7ED0" w:rsidRPr="00A70BAF" w:rsidRDefault="006B7ED0" w:rsidP="006B7ED0">
      <w:pPr>
        <w:pStyle w:val="FootnoteText"/>
        <w:ind w:left="567" w:hanging="567"/>
        <w:rPr>
          <w:lang w:val="es-ES"/>
        </w:rPr>
      </w:pPr>
      <w:r w:rsidRPr="004578E1">
        <w:rPr>
          <w:rStyle w:val="FootnoteReference"/>
        </w:rPr>
        <w:footnoteRef/>
      </w:r>
      <w:r w:rsidRPr="00A70BAF">
        <w:rPr>
          <w:lang w:val="es-ES"/>
        </w:rPr>
        <w:tab/>
        <w:t>OJ L 333, 27.12.2022, p. 1–79</w:t>
      </w:r>
    </w:p>
  </w:footnote>
  <w:footnote w:id="3">
    <w:p w14:paraId="7881A050" w14:textId="77777777" w:rsidR="006B7ED0" w:rsidRPr="00A70BAF" w:rsidRDefault="006B7ED0" w:rsidP="006B7ED0">
      <w:pPr>
        <w:pStyle w:val="FootnoteText"/>
        <w:ind w:left="567" w:hanging="567"/>
        <w:rPr>
          <w:lang w:val="es-ES"/>
        </w:rPr>
      </w:pPr>
      <w:r w:rsidRPr="004578E1">
        <w:rPr>
          <w:rStyle w:val="FootnoteReference"/>
        </w:rPr>
        <w:footnoteRef/>
      </w:r>
      <w:r w:rsidRPr="00A70BAF">
        <w:rPr>
          <w:lang w:val="es-ES"/>
        </w:rPr>
        <w:tab/>
        <w:t>https://www.esma.europa.eu/sites/default/files/2023-09/Joint-ESAs__response_to_the_Call_for_advice_on_the_designation_criteria_and_fees_for_the_DORA_oversight_framework_final.pdf</w:t>
      </w:r>
      <w:r w:rsidRPr="00A70BAF" w:rsidDel="00CF3547">
        <w:rPr>
          <w:highlight w:val="yellow"/>
          <w:lang w:val="es-ES"/>
        </w:rPr>
        <w:t xml:space="preserve"> </w:t>
      </w:r>
    </w:p>
  </w:footnote>
  <w:footnote w:id="4">
    <w:p w14:paraId="1FF02390" w14:textId="77777777" w:rsidR="006B7ED0" w:rsidRPr="00E94E0A" w:rsidRDefault="006B7ED0" w:rsidP="006B7ED0">
      <w:pPr>
        <w:pStyle w:val="FootnoteText"/>
        <w:ind w:left="567" w:hanging="567"/>
        <w:rPr>
          <w:lang w:val="es-ES"/>
        </w:rPr>
      </w:pPr>
      <w:r w:rsidRPr="004578E1">
        <w:rPr>
          <w:rStyle w:val="FootnoteReference"/>
        </w:rPr>
        <w:footnoteRef/>
      </w:r>
      <w:r w:rsidRPr="00E94E0A">
        <w:rPr>
          <w:lang w:val="es-ES"/>
        </w:rPr>
        <w:tab/>
        <w:t>OJ L 333, 27.12.2022, p. 1, http://data.europa.eu/eli/reg/2022/2554/oj.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8823D" w14:textId="77777777" w:rsidR="00592496" w:rsidRDefault="00592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B235" w14:textId="77777777" w:rsidR="00592496" w:rsidRDefault="00592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E0EBA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6EC593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99E6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DE4CC1E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FC084FF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2"/>
  </w:num>
  <w:num w:numId="3">
    <w:abstractNumId w:val="1"/>
  </w:num>
  <w:num w:numId="4">
    <w:abstractNumId w:val="0"/>
  </w:num>
  <w:num w:numId="5">
    <w:abstractNumId w:val="3"/>
  </w:num>
  <w:num w:numId="6">
    <w:abstractNumId w:val="19"/>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8"/>
  </w:num>
  <w:num w:numId="17">
    <w:abstractNumId w:val="8"/>
  </w:num>
  <w:num w:numId="18">
    <w:abstractNumId w:val="10"/>
  </w:num>
  <w:num w:numId="19">
    <w:abstractNumId w:val="11"/>
  </w:num>
  <w:num w:numId="20">
    <w:abstractNumId w:val="6"/>
  </w:num>
  <w:num w:numId="21">
    <w:abstractNumId w:val="17"/>
  </w:num>
  <w:num w:numId="22">
    <w:abstractNumId w:val="5"/>
  </w:num>
  <w:num w:numId="23">
    <w:abstractNumId w:val="12"/>
  </w:num>
  <w:num w:numId="24">
    <w:abstractNumId w:val="14"/>
  </w:num>
  <w:num w:numId="25">
    <w:abstractNumId w:val="15"/>
  </w:num>
  <w:num w:numId="26">
    <w:abstractNumId w:val="7"/>
  </w:num>
  <w:num w:numId="27">
    <w:abstractNumId w:val="13"/>
  </w:num>
  <w:num w:numId="28">
    <w:abstractNumId w:val="19"/>
  </w:num>
  <w:num w:numId="29">
    <w:abstractNumId w:val="16"/>
  </w:num>
  <w:num w:numId="30">
    <w:abstractNumId w:val="9"/>
  </w:num>
  <w:num w:numId="31">
    <w:abstractNumId w:val="18"/>
  </w:num>
  <w:num w:numId="32">
    <w:abstractNumId w:val="8"/>
  </w:num>
  <w:num w:numId="33">
    <w:abstractNumId w:val="10"/>
  </w:num>
  <w:num w:numId="34">
    <w:abstractNumId w:val="11"/>
  </w:num>
  <w:num w:numId="35">
    <w:abstractNumId w:val="6"/>
  </w:num>
  <w:num w:numId="36">
    <w:abstractNumId w:val="17"/>
  </w:num>
  <w:num w:numId="37">
    <w:abstractNumId w:val="5"/>
  </w:num>
  <w:num w:numId="38">
    <w:abstractNumId w:val="12"/>
  </w:num>
  <w:num w:numId="39">
    <w:abstractNumId w:val="14"/>
  </w:num>
  <w:num w:numId="40">
    <w:abstractNumId w:val="15"/>
  </w:num>
  <w:num w:numId="41">
    <w:abstractNumId w:val="7"/>
  </w:num>
  <w:num w:numId="42">
    <w:abstractNumId w:val="13"/>
  </w:num>
  <w:num w:numId="4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2-22 10:30: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C1CBD28-1898-43D4-9D64-FAA986B2EE18"/>
    <w:docVar w:name="LW_COVERPAGE_TYPE" w:val="1"/>
    <w:docVar w:name="LW_CROSSREFERENCE" w:val="&lt;UNUSED&gt;"/>
    <w:docVar w:name="LW_DATE.ADOPT.CP" w:val="of 22.2.2024"/>
    <w:docVar w:name="LW_DATE.ADOPT.CP_DATEFORMAT" w:val="of %DATE%"/>
    <w:docVar w:name="LW_DATE.ADOPT.CP_ISODATE" w:val="2024-02-22"/>
    <w:docVar w:name="LW_DocType" w:val="COM"/>
    <w:docVar w:name="LW_EMISSION" w:val="22.2.2024"/>
    <w:docVar w:name="LW_EMISSION_ISODATE" w:val="2024-02-22"/>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NSERT_EXP.MOTIFS.NEW" w:val="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4) 9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pplementing Regulation (EU) 2022/2554 of the European Parliament and of the Council by determining the amount of the oversight fees to be charged by the Lead Overseer to critical ICT third-party service providers and the way in which those fees are to be paid"/>
    <w:docVar w:name="LW_TYPE.DOC.CP" w:val="COMMISSION DELEGATED REGULATION (EU) \u8230?/..."/>
    <w:docVar w:name="LwApiVersions" w:val="LW4CoDe 1.24.4.0; LW 9.0, Build 20240125"/>
  </w:docVars>
  <w:rsids>
    <w:rsidRoot w:val="00452C13"/>
    <w:rsid w:val="0000315A"/>
    <w:rsid w:val="00015FC5"/>
    <w:rsid w:val="000216F2"/>
    <w:rsid w:val="000239AC"/>
    <w:rsid w:val="00023EEB"/>
    <w:rsid w:val="00025552"/>
    <w:rsid w:val="00030B78"/>
    <w:rsid w:val="00031AE6"/>
    <w:rsid w:val="0003382F"/>
    <w:rsid w:val="00036B1B"/>
    <w:rsid w:val="00046D83"/>
    <w:rsid w:val="00047670"/>
    <w:rsid w:val="00053CAD"/>
    <w:rsid w:val="00053FE3"/>
    <w:rsid w:val="000542E1"/>
    <w:rsid w:val="00062B61"/>
    <w:rsid w:val="0006405D"/>
    <w:rsid w:val="00065A17"/>
    <w:rsid w:val="000726FC"/>
    <w:rsid w:val="00072F6F"/>
    <w:rsid w:val="00074767"/>
    <w:rsid w:val="00075375"/>
    <w:rsid w:val="000755CB"/>
    <w:rsid w:val="000802C2"/>
    <w:rsid w:val="000803F2"/>
    <w:rsid w:val="00085790"/>
    <w:rsid w:val="00087F14"/>
    <w:rsid w:val="00095B80"/>
    <w:rsid w:val="000A3D7D"/>
    <w:rsid w:val="000A59D8"/>
    <w:rsid w:val="000B3F2F"/>
    <w:rsid w:val="000B4ABC"/>
    <w:rsid w:val="000B541E"/>
    <w:rsid w:val="000B5BA8"/>
    <w:rsid w:val="000B65D1"/>
    <w:rsid w:val="000B7865"/>
    <w:rsid w:val="000C10D3"/>
    <w:rsid w:val="000C28C5"/>
    <w:rsid w:val="000C6D47"/>
    <w:rsid w:val="000C766B"/>
    <w:rsid w:val="000D142B"/>
    <w:rsid w:val="000D610D"/>
    <w:rsid w:val="000E236D"/>
    <w:rsid w:val="000E4D75"/>
    <w:rsid w:val="000E5367"/>
    <w:rsid w:val="000F5D5E"/>
    <w:rsid w:val="0010094F"/>
    <w:rsid w:val="001063CE"/>
    <w:rsid w:val="001065F5"/>
    <w:rsid w:val="00110E1C"/>
    <w:rsid w:val="00114FF1"/>
    <w:rsid w:val="00115A22"/>
    <w:rsid w:val="00116457"/>
    <w:rsid w:val="00120632"/>
    <w:rsid w:val="001215AE"/>
    <w:rsid w:val="00122FAE"/>
    <w:rsid w:val="001238EF"/>
    <w:rsid w:val="00124334"/>
    <w:rsid w:val="001248E8"/>
    <w:rsid w:val="00130618"/>
    <w:rsid w:val="00130BDC"/>
    <w:rsid w:val="001329DA"/>
    <w:rsid w:val="00137BE0"/>
    <w:rsid w:val="0014058F"/>
    <w:rsid w:val="00141533"/>
    <w:rsid w:val="00143374"/>
    <w:rsid w:val="001453FE"/>
    <w:rsid w:val="00147944"/>
    <w:rsid w:val="00147C39"/>
    <w:rsid w:val="00151348"/>
    <w:rsid w:val="00152F70"/>
    <w:rsid w:val="00154B48"/>
    <w:rsid w:val="0015622D"/>
    <w:rsid w:val="001660E2"/>
    <w:rsid w:val="00172304"/>
    <w:rsid w:val="00172736"/>
    <w:rsid w:val="00173273"/>
    <w:rsid w:val="00180546"/>
    <w:rsid w:val="00182DD5"/>
    <w:rsid w:val="00185766"/>
    <w:rsid w:val="00187F2A"/>
    <w:rsid w:val="001916C4"/>
    <w:rsid w:val="0019460C"/>
    <w:rsid w:val="00197613"/>
    <w:rsid w:val="001A15D1"/>
    <w:rsid w:val="001A353A"/>
    <w:rsid w:val="001A3A33"/>
    <w:rsid w:val="001B0E1C"/>
    <w:rsid w:val="001B4F4B"/>
    <w:rsid w:val="001B4F63"/>
    <w:rsid w:val="001B6169"/>
    <w:rsid w:val="001C22E7"/>
    <w:rsid w:val="001C638B"/>
    <w:rsid w:val="001C72B1"/>
    <w:rsid w:val="001D3732"/>
    <w:rsid w:val="001D4320"/>
    <w:rsid w:val="001E46B1"/>
    <w:rsid w:val="001E4F37"/>
    <w:rsid w:val="001E5878"/>
    <w:rsid w:val="001E64C5"/>
    <w:rsid w:val="001E73C5"/>
    <w:rsid w:val="001E796A"/>
    <w:rsid w:val="001F3EA4"/>
    <w:rsid w:val="001F5B95"/>
    <w:rsid w:val="002005E2"/>
    <w:rsid w:val="00203E10"/>
    <w:rsid w:val="00214B3A"/>
    <w:rsid w:val="0021611D"/>
    <w:rsid w:val="002175EE"/>
    <w:rsid w:val="00220B26"/>
    <w:rsid w:val="00224680"/>
    <w:rsid w:val="00224C03"/>
    <w:rsid w:val="0023151B"/>
    <w:rsid w:val="00233C3C"/>
    <w:rsid w:val="00233DC7"/>
    <w:rsid w:val="002364A5"/>
    <w:rsid w:val="00237C00"/>
    <w:rsid w:val="00247009"/>
    <w:rsid w:val="00247779"/>
    <w:rsid w:val="002516B1"/>
    <w:rsid w:val="00255364"/>
    <w:rsid w:val="002647AD"/>
    <w:rsid w:val="002678FD"/>
    <w:rsid w:val="00270EF9"/>
    <w:rsid w:val="0027224B"/>
    <w:rsid w:val="00276B5B"/>
    <w:rsid w:val="0028126E"/>
    <w:rsid w:val="002857F7"/>
    <w:rsid w:val="00285BEE"/>
    <w:rsid w:val="0028763C"/>
    <w:rsid w:val="002909CE"/>
    <w:rsid w:val="002932AE"/>
    <w:rsid w:val="0029533F"/>
    <w:rsid w:val="00297209"/>
    <w:rsid w:val="002A2001"/>
    <w:rsid w:val="002A5279"/>
    <w:rsid w:val="002B30AF"/>
    <w:rsid w:val="002B3B12"/>
    <w:rsid w:val="002B3F5F"/>
    <w:rsid w:val="002B512C"/>
    <w:rsid w:val="002B58A2"/>
    <w:rsid w:val="002B646B"/>
    <w:rsid w:val="002B6BBF"/>
    <w:rsid w:val="002C1579"/>
    <w:rsid w:val="002C4CB8"/>
    <w:rsid w:val="002C6B98"/>
    <w:rsid w:val="002C6BA9"/>
    <w:rsid w:val="002D2817"/>
    <w:rsid w:val="002D3F29"/>
    <w:rsid w:val="002D4E30"/>
    <w:rsid w:val="002E065D"/>
    <w:rsid w:val="002E1D60"/>
    <w:rsid w:val="002E1D80"/>
    <w:rsid w:val="002E291D"/>
    <w:rsid w:val="002E3C7A"/>
    <w:rsid w:val="002E792D"/>
    <w:rsid w:val="002F4609"/>
    <w:rsid w:val="002F5AE5"/>
    <w:rsid w:val="00300E95"/>
    <w:rsid w:val="003101C9"/>
    <w:rsid w:val="003102C8"/>
    <w:rsid w:val="00316D27"/>
    <w:rsid w:val="003174A0"/>
    <w:rsid w:val="00321D12"/>
    <w:rsid w:val="0032320E"/>
    <w:rsid w:val="0032663E"/>
    <w:rsid w:val="003266BC"/>
    <w:rsid w:val="003267D3"/>
    <w:rsid w:val="00326F4F"/>
    <w:rsid w:val="003270A8"/>
    <w:rsid w:val="00327251"/>
    <w:rsid w:val="003272DF"/>
    <w:rsid w:val="0033012C"/>
    <w:rsid w:val="00332A9F"/>
    <w:rsid w:val="0033344A"/>
    <w:rsid w:val="003373C9"/>
    <w:rsid w:val="003402F2"/>
    <w:rsid w:val="0034390B"/>
    <w:rsid w:val="00343E87"/>
    <w:rsid w:val="00346BEF"/>
    <w:rsid w:val="00351D89"/>
    <w:rsid w:val="00354C20"/>
    <w:rsid w:val="003562D0"/>
    <w:rsid w:val="003617EF"/>
    <w:rsid w:val="00361C48"/>
    <w:rsid w:val="00361EB0"/>
    <w:rsid w:val="00363090"/>
    <w:rsid w:val="00365898"/>
    <w:rsid w:val="00365ADD"/>
    <w:rsid w:val="00366FCC"/>
    <w:rsid w:val="00371F2B"/>
    <w:rsid w:val="00374692"/>
    <w:rsid w:val="00376FA9"/>
    <w:rsid w:val="00381865"/>
    <w:rsid w:val="003831B7"/>
    <w:rsid w:val="003836A0"/>
    <w:rsid w:val="003870E7"/>
    <w:rsid w:val="00387A93"/>
    <w:rsid w:val="00395D82"/>
    <w:rsid w:val="003A0F66"/>
    <w:rsid w:val="003A1A08"/>
    <w:rsid w:val="003A33CD"/>
    <w:rsid w:val="003A3AB6"/>
    <w:rsid w:val="003A4F84"/>
    <w:rsid w:val="003A556C"/>
    <w:rsid w:val="003B006A"/>
    <w:rsid w:val="003B4DED"/>
    <w:rsid w:val="003B5559"/>
    <w:rsid w:val="003B7674"/>
    <w:rsid w:val="003C0630"/>
    <w:rsid w:val="003C57AC"/>
    <w:rsid w:val="003C71B7"/>
    <w:rsid w:val="003D5167"/>
    <w:rsid w:val="003D6E99"/>
    <w:rsid w:val="003E6927"/>
    <w:rsid w:val="003F2191"/>
    <w:rsid w:val="003F23D7"/>
    <w:rsid w:val="003F52B3"/>
    <w:rsid w:val="00403841"/>
    <w:rsid w:val="00404F75"/>
    <w:rsid w:val="00405EEC"/>
    <w:rsid w:val="004064BB"/>
    <w:rsid w:val="004111FD"/>
    <w:rsid w:val="004147E6"/>
    <w:rsid w:val="00415B62"/>
    <w:rsid w:val="00420808"/>
    <w:rsid w:val="00426181"/>
    <w:rsid w:val="0042648E"/>
    <w:rsid w:val="00433377"/>
    <w:rsid w:val="00434952"/>
    <w:rsid w:val="004364B3"/>
    <w:rsid w:val="004368E2"/>
    <w:rsid w:val="00436C10"/>
    <w:rsid w:val="00440EE4"/>
    <w:rsid w:val="00442D64"/>
    <w:rsid w:val="0044434B"/>
    <w:rsid w:val="0044522C"/>
    <w:rsid w:val="00447E05"/>
    <w:rsid w:val="00452C13"/>
    <w:rsid w:val="004534A8"/>
    <w:rsid w:val="00453D4A"/>
    <w:rsid w:val="00454467"/>
    <w:rsid w:val="004548D3"/>
    <w:rsid w:val="00454E2C"/>
    <w:rsid w:val="004578E1"/>
    <w:rsid w:val="00457CB5"/>
    <w:rsid w:val="004641E3"/>
    <w:rsid w:val="00471ABE"/>
    <w:rsid w:val="00476AAB"/>
    <w:rsid w:val="00485EBE"/>
    <w:rsid w:val="004879CC"/>
    <w:rsid w:val="004918D1"/>
    <w:rsid w:val="0049250E"/>
    <w:rsid w:val="004936D2"/>
    <w:rsid w:val="004946B6"/>
    <w:rsid w:val="0049509D"/>
    <w:rsid w:val="004A46D0"/>
    <w:rsid w:val="004A4B58"/>
    <w:rsid w:val="004A5862"/>
    <w:rsid w:val="004B3196"/>
    <w:rsid w:val="004C1A5D"/>
    <w:rsid w:val="004C3D9C"/>
    <w:rsid w:val="004C4D39"/>
    <w:rsid w:val="004D0C31"/>
    <w:rsid w:val="004D1194"/>
    <w:rsid w:val="004D3B3A"/>
    <w:rsid w:val="004D7274"/>
    <w:rsid w:val="004D7FDF"/>
    <w:rsid w:val="004E07D3"/>
    <w:rsid w:val="004E14F1"/>
    <w:rsid w:val="004E1EB9"/>
    <w:rsid w:val="004E2126"/>
    <w:rsid w:val="004E242E"/>
    <w:rsid w:val="004E25B1"/>
    <w:rsid w:val="004E37CA"/>
    <w:rsid w:val="004E58B2"/>
    <w:rsid w:val="004F0AA1"/>
    <w:rsid w:val="004F2C7F"/>
    <w:rsid w:val="004F6889"/>
    <w:rsid w:val="00500B5E"/>
    <w:rsid w:val="00505181"/>
    <w:rsid w:val="00506CC3"/>
    <w:rsid w:val="00510D13"/>
    <w:rsid w:val="00510E04"/>
    <w:rsid w:val="005126A2"/>
    <w:rsid w:val="00514BCD"/>
    <w:rsid w:val="00514EA5"/>
    <w:rsid w:val="00515F08"/>
    <w:rsid w:val="005202C2"/>
    <w:rsid w:val="005206E6"/>
    <w:rsid w:val="00527FD2"/>
    <w:rsid w:val="005303AF"/>
    <w:rsid w:val="0053168A"/>
    <w:rsid w:val="005355B5"/>
    <w:rsid w:val="00536326"/>
    <w:rsid w:val="00540B25"/>
    <w:rsid w:val="005413DF"/>
    <w:rsid w:val="00541840"/>
    <w:rsid w:val="00541CB0"/>
    <w:rsid w:val="00546A0A"/>
    <w:rsid w:val="00552544"/>
    <w:rsid w:val="005577FC"/>
    <w:rsid w:val="00560E8A"/>
    <w:rsid w:val="00570B19"/>
    <w:rsid w:val="00573E73"/>
    <w:rsid w:val="00582AC8"/>
    <w:rsid w:val="00582BA9"/>
    <w:rsid w:val="00584779"/>
    <w:rsid w:val="0058560E"/>
    <w:rsid w:val="00585962"/>
    <w:rsid w:val="00586F52"/>
    <w:rsid w:val="00590A5C"/>
    <w:rsid w:val="00591BA0"/>
    <w:rsid w:val="00592496"/>
    <w:rsid w:val="0059338B"/>
    <w:rsid w:val="00594D56"/>
    <w:rsid w:val="00595376"/>
    <w:rsid w:val="00595E26"/>
    <w:rsid w:val="00596A70"/>
    <w:rsid w:val="005A1BA5"/>
    <w:rsid w:val="005B1EB6"/>
    <w:rsid w:val="005B3B0D"/>
    <w:rsid w:val="005B483C"/>
    <w:rsid w:val="005C0BC0"/>
    <w:rsid w:val="005C1F37"/>
    <w:rsid w:val="005C560A"/>
    <w:rsid w:val="005D1184"/>
    <w:rsid w:val="005D7983"/>
    <w:rsid w:val="005E19D1"/>
    <w:rsid w:val="005E7D39"/>
    <w:rsid w:val="005F2049"/>
    <w:rsid w:val="005F3351"/>
    <w:rsid w:val="005F33C7"/>
    <w:rsid w:val="005F4EF8"/>
    <w:rsid w:val="005F6B4E"/>
    <w:rsid w:val="005F6C78"/>
    <w:rsid w:val="006013AE"/>
    <w:rsid w:val="006029EE"/>
    <w:rsid w:val="006041BA"/>
    <w:rsid w:val="00604494"/>
    <w:rsid w:val="00605BF1"/>
    <w:rsid w:val="00606E19"/>
    <w:rsid w:val="006075C8"/>
    <w:rsid w:val="00615B3E"/>
    <w:rsid w:val="00624634"/>
    <w:rsid w:val="0063381A"/>
    <w:rsid w:val="00640F3D"/>
    <w:rsid w:val="00642628"/>
    <w:rsid w:val="00642A96"/>
    <w:rsid w:val="00642C99"/>
    <w:rsid w:val="0064368A"/>
    <w:rsid w:val="00643DA9"/>
    <w:rsid w:val="00644B4D"/>
    <w:rsid w:val="00646CF1"/>
    <w:rsid w:val="006470E8"/>
    <w:rsid w:val="00660B07"/>
    <w:rsid w:val="006675AE"/>
    <w:rsid w:val="00667C35"/>
    <w:rsid w:val="00670301"/>
    <w:rsid w:val="006734A3"/>
    <w:rsid w:val="00675F2A"/>
    <w:rsid w:val="00681144"/>
    <w:rsid w:val="00683F83"/>
    <w:rsid w:val="00685A6E"/>
    <w:rsid w:val="006912FD"/>
    <w:rsid w:val="006928E8"/>
    <w:rsid w:val="00694E10"/>
    <w:rsid w:val="006B7ED0"/>
    <w:rsid w:val="006C0BB8"/>
    <w:rsid w:val="006C18AB"/>
    <w:rsid w:val="006C2579"/>
    <w:rsid w:val="006C4234"/>
    <w:rsid w:val="006C4839"/>
    <w:rsid w:val="006C602D"/>
    <w:rsid w:val="006C782D"/>
    <w:rsid w:val="006D05E7"/>
    <w:rsid w:val="006D4B77"/>
    <w:rsid w:val="006D57E9"/>
    <w:rsid w:val="006D59C4"/>
    <w:rsid w:val="006D6125"/>
    <w:rsid w:val="006D6B5F"/>
    <w:rsid w:val="006D7EFA"/>
    <w:rsid w:val="006E256F"/>
    <w:rsid w:val="006E772C"/>
    <w:rsid w:val="006F348A"/>
    <w:rsid w:val="006F460F"/>
    <w:rsid w:val="00700777"/>
    <w:rsid w:val="0070132F"/>
    <w:rsid w:val="00701C50"/>
    <w:rsid w:val="00703E26"/>
    <w:rsid w:val="007052C6"/>
    <w:rsid w:val="0071122B"/>
    <w:rsid w:val="0071467B"/>
    <w:rsid w:val="00717104"/>
    <w:rsid w:val="0072150C"/>
    <w:rsid w:val="00722492"/>
    <w:rsid w:val="0072577A"/>
    <w:rsid w:val="007264A1"/>
    <w:rsid w:val="00730C37"/>
    <w:rsid w:val="00734F66"/>
    <w:rsid w:val="00741D93"/>
    <w:rsid w:val="00742FE8"/>
    <w:rsid w:val="00743286"/>
    <w:rsid w:val="00743C60"/>
    <w:rsid w:val="007465D1"/>
    <w:rsid w:val="007652D2"/>
    <w:rsid w:val="00770775"/>
    <w:rsid w:val="00772857"/>
    <w:rsid w:val="00773331"/>
    <w:rsid w:val="0077364F"/>
    <w:rsid w:val="0077627B"/>
    <w:rsid w:val="0078312F"/>
    <w:rsid w:val="00783255"/>
    <w:rsid w:val="00783516"/>
    <w:rsid w:val="0078534F"/>
    <w:rsid w:val="007932EF"/>
    <w:rsid w:val="007948E3"/>
    <w:rsid w:val="00796EB8"/>
    <w:rsid w:val="007A127B"/>
    <w:rsid w:val="007A2361"/>
    <w:rsid w:val="007A2E38"/>
    <w:rsid w:val="007A3DF4"/>
    <w:rsid w:val="007A3F1E"/>
    <w:rsid w:val="007A6B52"/>
    <w:rsid w:val="007B0977"/>
    <w:rsid w:val="007B0FDA"/>
    <w:rsid w:val="007B3639"/>
    <w:rsid w:val="007B506A"/>
    <w:rsid w:val="007B5949"/>
    <w:rsid w:val="007C2642"/>
    <w:rsid w:val="007C2E67"/>
    <w:rsid w:val="007C3CF9"/>
    <w:rsid w:val="007C59FC"/>
    <w:rsid w:val="007C5BD2"/>
    <w:rsid w:val="007D33A7"/>
    <w:rsid w:val="007D5E57"/>
    <w:rsid w:val="007D6C0B"/>
    <w:rsid w:val="007E05B0"/>
    <w:rsid w:val="007E62C2"/>
    <w:rsid w:val="007F358E"/>
    <w:rsid w:val="007F4043"/>
    <w:rsid w:val="007F52BD"/>
    <w:rsid w:val="007F7397"/>
    <w:rsid w:val="00802B09"/>
    <w:rsid w:val="008041A4"/>
    <w:rsid w:val="00804E31"/>
    <w:rsid w:val="00816AE0"/>
    <w:rsid w:val="00816F04"/>
    <w:rsid w:val="00817845"/>
    <w:rsid w:val="00830A02"/>
    <w:rsid w:val="00830BCC"/>
    <w:rsid w:val="00831105"/>
    <w:rsid w:val="00832FCD"/>
    <w:rsid w:val="00834E13"/>
    <w:rsid w:val="00837309"/>
    <w:rsid w:val="00837FCD"/>
    <w:rsid w:val="00843E18"/>
    <w:rsid w:val="00850360"/>
    <w:rsid w:val="00851CE1"/>
    <w:rsid w:val="008529E1"/>
    <w:rsid w:val="0085407B"/>
    <w:rsid w:val="008552C3"/>
    <w:rsid w:val="00855B0B"/>
    <w:rsid w:val="0085675C"/>
    <w:rsid w:val="008628D8"/>
    <w:rsid w:val="00863EC9"/>
    <w:rsid w:val="00863F66"/>
    <w:rsid w:val="00865700"/>
    <w:rsid w:val="008718E2"/>
    <w:rsid w:val="00874D22"/>
    <w:rsid w:val="008762DA"/>
    <w:rsid w:val="00877006"/>
    <w:rsid w:val="00880C39"/>
    <w:rsid w:val="00882FC4"/>
    <w:rsid w:val="008905E8"/>
    <w:rsid w:val="00892C62"/>
    <w:rsid w:val="008962F8"/>
    <w:rsid w:val="00896C39"/>
    <w:rsid w:val="00897195"/>
    <w:rsid w:val="008A2914"/>
    <w:rsid w:val="008A7396"/>
    <w:rsid w:val="008B1E0A"/>
    <w:rsid w:val="008B61DC"/>
    <w:rsid w:val="008B6D33"/>
    <w:rsid w:val="008C021D"/>
    <w:rsid w:val="008C05DD"/>
    <w:rsid w:val="008C516B"/>
    <w:rsid w:val="008C5401"/>
    <w:rsid w:val="008C550F"/>
    <w:rsid w:val="008C682C"/>
    <w:rsid w:val="008C6BE4"/>
    <w:rsid w:val="008C7B6F"/>
    <w:rsid w:val="008D357B"/>
    <w:rsid w:val="008D3D84"/>
    <w:rsid w:val="008D61F9"/>
    <w:rsid w:val="008D70A6"/>
    <w:rsid w:val="008D7140"/>
    <w:rsid w:val="008E4D8E"/>
    <w:rsid w:val="008F09AC"/>
    <w:rsid w:val="008F0BE6"/>
    <w:rsid w:val="008F0D4B"/>
    <w:rsid w:val="008F15E6"/>
    <w:rsid w:val="008F1FC4"/>
    <w:rsid w:val="008F392F"/>
    <w:rsid w:val="008F68B7"/>
    <w:rsid w:val="009006DB"/>
    <w:rsid w:val="009035D0"/>
    <w:rsid w:val="009049EB"/>
    <w:rsid w:val="00906B16"/>
    <w:rsid w:val="00906FB3"/>
    <w:rsid w:val="0091476C"/>
    <w:rsid w:val="00916FB7"/>
    <w:rsid w:val="0092175D"/>
    <w:rsid w:val="009223B7"/>
    <w:rsid w:val="00925120"/>
    <w:rsid w:val="00926686"/>
    <w:rsid w:val="009266BE"/>
    <w:rsid w:val="00931BD0"/>
    <w:rsid w:val="00932B94"/>
    <w:rsid w:val="00932C15"/>
    <w:rsid w:val="009330BE"/>
    <w:rsid w:val="00936798"/>
    <w:rsid w:val="009372BA"/>
    <w:rsid w:val="00940CF9"/>
    <w:rsid w:val="009425B1"/>
    <w:rsid w:val="0094434A"/>
    <w:rsid w:val="009456E0"/>
    <w:rsid w:val="00950895"/>
    <w:rsid w:val="00950A27"/>
    <w:rsid w:val="009511D8"/>
    <w:rsid w:val="00956467"/>
    <w:rsid w:val="0096202D"/>
    <w:rsid w:val="00962225"/>
    <w:rsid w:val="00963756"/>
    <w:rsid w:val="009663DF"/>
    <w:rsid w:val="009663EF"/>
    <w:rsid w:val="00966B8F"/>
    <w:rsid w:val="00974AA5"/>
    <w:rsid w:val="0098147E"/>
    <w:rsid w:val="00985CFF"/>
    <w:rsid w:val="0098723C"/>
    <w:rsid w:val="0098753B"/>
    <w:rsid w:val="009910AB"/>
    <w:rsid w:val="00993C5C"/>
    <w:rsid w:val="009A0912"/>
    <w:rsid w:val="009A5989"/>
    <w:rsid w:val="009B0F42"/>
    <w:rsid w:val="009B67AB"/>
    <w:rsid w:val="009C0601"/>
    <w:rsid w:val="009D07D6"/>
    <w:rsid w:val="009D1E17"/>
    <w:rsid w:val="009D2E77"/>
    <w:rsid w:val="009D3775"/>
    <w:rsid w:val="009D6871"/>
    <w:rsid w:val="009E0923"/>
    <w:rsid w:val="009E1614"/>
    <w:rsid w:val="009E1C10"/>
    <w:rsid w:val="009E3D68"/>
    <w:rsid w:val="009E5F9F"/>
    <w:rsid w:val="009E7C27"/>
    <w:rsid w:val="009F23C0"/>
    <w:rsid w:val="009F4ED2"/>
    <w:rsid w:val="009F5672"/>
    <w:rsid w:val="00A0043A"/>
    <w:rsid w:val="00A0130D"/>
    <w:rsid w:val="00A04E38"/>
    <w:rsid w:val="00A0652E"/>
    <w:rsid w:val="00A06EF4"/>
    <w:rsid w:val="00A1136A"/>
    <w:rsid w:val="00A13A4C"/>
    <w:rsid w:val="00A1575F"/>
    <w:rsid w:val="00A15E86"/>
    <w:rsid w:val="00A15F1A"/>
    <w:rsid w:val="00A174C2"/>
    <w:rsid w:val="00A178D4"/>
    <w:rsid w:val="00A17B79"/>
    <w:rsid w:val="00A2059A"/>
    <w:rsid w:val="00A25AB1"/>
    <w:rsid w:val="00A279C1"/>
    <w:rsid w:val="00A27D72"/>
    <w:rsid w:val="00A3190E"/>
    <w:rsid w:val="00A31CA7"/>
    <w:rsid w:val="00A35230"/>
    <w:rsid w:val="00A37E89"/>
    <w:rsid w:val="00A431DE"/>
    <w:rsid w:val="00A44B76"/>
    <w:rsid w:val="00A44CDB"/>
    <w:rsid w:val="00A45425"/>
    <w:rsid w:val="00A45DA2"/>
    <w:rsid w:val="00A47D4F"/>
    <w:rsid w:val="00A52B6C"/>
    <w:rsid w:val="00A5307B"/>
    <w:rsid w:val="00A5529E"/>
    <w:rsid w:val="00A5653D"/>
    <w:rsid w:val="00A56DE8"/>
    <w:rsid w:val="00A56E76"/>
    <w:rsid w:val="00A61BAE"/>
    <w:rsid w:val="00A62C8C"/>
    <w:rsid w:val="00A64722"/>
    <w:rsid w:val="00A6473D"/>
    <w:rsid w:val="00A702D5"/>
    <w:rsid w:val="00A7080A"/>
    <w:rsid w:val="00A70BAF"/>
    <w:rsid w:val="00A8126C"/>
    <w:rsid w:val="00A828B8"/>
    <w:rsid w:val="00A8390F"/>
    <w:rsid w:val="00A85726"/>
    <w:rsid w:val="00A87046"/>
    <w:rsid w:val="00A8798F"/>
    <w:rsid w:val="00A911E2"/>
    <w:rsid w:val="00A92C0E"/>
    <w:rsid w:val="00A92EB4"/>
    <w:rsid w:val="00A94A44"/>
    <w:rsid w:val="00A972F7"/>
    <w:rsid w:val="00AA0171"/>
    <w:rsid w:val="00AA0C7B"/>
    <w:rsid w:val="00AA5E99"/>
    <w:rsid w:val="00AB2F52"/>
    <w:rsid w:val="00AB3E2F"/>
    <w:rsid w:val="00AB5056"/>
    <w:rsid w:val="00AC0DAE"/>
    <w:rsid w:val="00AC1266"/>
    <w:rsid w:val="00AC1C05"/>
    <w:rsid w:val="00AC1E98"/>
    <w:rsid w:val="00AC2854"/>
    <w:rsid w:val="00AC3247"/>
    <w:rsid w:val="00AC4EAF"/>
    <w:rsid w:val="00AC61E0"/>
    <w:rsid w:val="00AC6AF3"/>
    <w:rsid w:val="00AD20B0"/>
    <w:rsid w:val="00AE2FF6"/>
    <w:rsid w:val="00AE3377"/>
    <w:rsid w:val="00AE4E74"/>
    <w:rsid w:val="00AF0635"/>
    <w:rsid w:val="00B021AA"/>
    <w:rsid w:val="00B06029"/>
    <w:rsid w:val="00B10ED3"/>
    <w:rsid w:val="00B13857"/>
    <w:rsid w:val="00B1441C"/>
    <w:rsid w:val="00B15984"/>
    <w:rsid w:val="00B23A4F"/>
    <w:rsid w:val="00B258C4"/>
    <w:rsid w:val="00B30D12"/>
    <w:rsid w:val="00B30E18"/>
    <w:rsid w:val="00B34380"/>
    <w:rsid w:val="00B34DF4"/>
    <w:rsid w:val="00B413F7"/>
    <w:rsid w:val="00B42B05"/>
    <w:rsid w:val="00B46A15"/>
    <w:rsid w:val="00B50236"/>
    <w:rsid w:val="00B53BF0"/>
    <w:rsid w:val="00B5421E"/>
    <w:rsid w:val="00B60663"/>
    <w:rsid w:val="00B623F1"/>
    <w:rsid w:val="00B64FE0"/>
    <w:rsid w:val="00B67097"/>
    <w:rsid w:val="00B700D4"/>
    <w:rsid w:val="00B713D7"/>
    <w:rsid w:val="00B73DD4"/>
    <w:rsid w:val="00B7616B"/>
    <w:rsid w:val="00B82786"/>
    <w:rsid w:val="00B846EF"/>
    <w:rsid w:val="00B85145"/>
    <w:rsid w:val="00B90504"/>
    <w:rsid w:val="00B91E58"/>
    <w:rsid w:val="00B94A6D"/>
    <w:rsid w:val="00B97619"/>
    <w:rsid w:val="00BA1DE8"/>
    <w:rsid w:val="00BA2EC4"/>
    <w:rsid w:val="00BA31E4"/>
    <w:rsid w:val="00BA3DAB"/>
    <w:rsid w:val="00BA4B38"/>
    <w:rsid w:val="00BA6AF3"/>
    <w:rsid w:val="00BB5D9D"/>
    <w:rsid w:val="00BC1202"/>
    <w:rsid w:val="00BC1544"/>
    <w:rsid w:val="00BC2BA0"/>
    <w:rsid w:val="00BC31D8"/>
    <w:rsid w:val="00BD03F7"/>
    <w:rsid w:val="00BD1007"/>
    <w:rsid w:val="00BD2358"/>
    <w:rsid w:val="00BD301E"/>
    <w:rsid w:val="00BE0AE7"/>
    <w:rsid w:val="00BE0E8B"/>
    <w:rsid w:val="00BE1AED"/>
    <w:rsid w:val="00BE5ACD"/>
    <w:rsid w:val="00BE7A4C"/>
    <w:rsid w:val="00BF36F2"/>
    <w:rsid w:val="00BF64D8"/>
    <w:rsid w:val="00BF6ED7"/>
    <w:rsid w:val="00C049A2"/>
    <w:rsid w:val="00C07A07"/>
    <w:rsid w:val="00C11409"/>
    <w:rsid w:val="00C12301"/>
    <w:rsid w:val="00C2248E"/>
    <w:rsid w:val="00C22D0F"/>
    <w:rsid w:val="00C27832"/>
    <w:rsid w:val="00C27E71"/>
    <w:rsid w:val="00C32580"/>
    <w:rsid w:val="00C353ED"/>
    <w:rsid w:val="00C40C83"/>
    <w:rsid w:val="00C42520"/>
    <w:rsid w:val="00C46DC4"/>
    <w:rsid w:val="00C50156"/>
    <w:rsid w:val="00C52626"/>
    <w:rsid w:val="00C5530F"/>
    <w:rsid w:val="00C570C7"/>
    <w:rsid w:val="00C57B0A"/>
    <w:rsid w:val="00C6280E"/>
    <w:rsid w:val="00C63BA3"/>
    <w:rsid w:val="00C6400A"/>
    <w:rsid w:val="00C65758"/>
    <w:rsid w:val="00C73C50"/>
    <w:rsid w:val="00C74B4C"/>
    <w:rsid w:val="00C755C9"/>
    <w:rsid w:val="00C756AE"/>
    <w:rsid w:val="00C91E99"/>
    <w:rsid w:val="00C9421D"/>
    <w:rsid w:val="00C94D25"/>
    <w:rsid w:val="00C95861"/>
    <w:rsid w:val="00C96227"/>
    <w:rsid w:val="00C96575"/>
    <w:rsid w:val="00CA03F2"/>
    <w:rsid w:val="00CA2AAE"/>
    <w:rsid w:val="00CA4A78"/>
    <w:rsid w:val="00CA598C"/>
    <w:rsid w:val="00CB1D97"/>
    <w:rsid w:val="00CB22D7"/>
    <w:rsid w:val="00CB3C3D"/>
    <w:rsid w:val="00CB7544"/>
    <w:rsid w:val="00CC19CF"/>
    <w:rsid w:val="00CC390D"/>
    <w:rsid w:val="00CC3AA3"/>
    <w:rsid w:val="00CC3C88"/>
    <w:rsid w:val="00CC3ED5"/>
    <w:rsid w:val="00CC5A3A"/>
    <w:rsid w:val="00CC7949"/>
    <w:rsid w:val="00CC7B86"/>
    <w:rsid w:val="00CD339F"/>
    <w:rsid w:val="00CD489A"/>
    <w:rsid w:val="00CD7BA3"/>
    <w:rsid w:val="00CE267C"/>
    <w:rsid w:val="00CE3BC7"/>
    <w:rsid w:val="00CF0881"/>
    <w:rsid w:val="00CF3547"/>
    <w:rsid w:val="00D00288"/>
    <w:rsid w:val="00D0152B"/>
    <w:rsid w:val="00D06CB2"/>
    <w:rsid w:val="00D07495"/>
    <w:rsid w:val="00D07CA0"/>
    <w:rsid w:val="00D13054"/>
    <w:rsid w:val="00D134AE"/>
    <w:rsid w:val="00D20381"/>
    <w:rsid w:val="00D20B99"/>
    <w:rsid w:val="00D215B5"/>
    <w:rsid w:val="00D216F9"/>
    <w:rsid w:val="00D219E0"/>
    <w:rsid w:val="00D21A39"/>
    <w:rsid w:val="00D240F9"/>
    <w:rsid w:val="00D24C57"/>
    <w:rsid w:val="00D2760C"/>
    <w:rsid w:val="00D348FF"/>
    <w:rsid w:val="00D4384A"/>
    <w:rsid w:val="00D450B7"/>
    <w:rsid w:val="00D529E4"/>
    <w:rsid w:val="00D53121"/>
    <w:rsid w:val="00D54CC9"/>
    <w:rsid w:val="00D55F5B"/>
    <w:rsid w:val="00D56735"/>
    <w:rsid w:val="00D71A8D"/>
    <w:rsid w:val="00D7223F"/>
    <w:rsid w:val="00D73400"/>
    <w:rsid w:val="00D7345E"/>
    <w:rsid w:val="00D73C06"/>
    <w:rsid w:val="00D74E44"/>
    <w:rsid w:val="00D77523"/>
    <w:rsid w:val="00D81C77"/>
    <w:rsid w:val="00D834A9"/>
    <w:rsid w:val="00D9593A"/>
    <w:rsid w:val="00DA0656"/>
    <w:rsid w:val="00DA263B"/>
    <w:rsid w:val="00DA7EA8"/>
    <w:rsid w:val="00DB05C4"/>
    <w:rsid w:val="00DB1FFE"/>
    <w:rsid w:val="00DB40BF"/>
    <w:rsid w:val="00DB70AB"/>
    <w:rsid w:val="00DC3147"/>
    <w:rsid w:val="00DD0427"/>
    <w:rsid w:val="00DD05D6"/>
    <w:rsid w:val="00DD2C12"/>
    <w:rsid w:val="00DD3CF3"/>
    <w:rsid w:val="00DE0C2C"/>
    <w:rsid w:val="00DE27AF"/>
    <w:rsid w:val="00DE2AD7"/>
    <w:rsid w:val="00DF140D"/>
    <w:rsid w:val="00DF1CC4"/>
    <w:rsid w:val="00DF3182"/>
    <w:rsid w:val="00DF771D"/>
    <w:rsid w:val="00DF7B33"/>
    <w:rsid w:val="00E017B0"/>
    <w:rsid w:val="00E10D9B"/>
    <w:rsid w:val="00E127DA"/>
    <w:rsid w:val="00E1762E"/>
    <w:rsid w:val="00E21665"/>
    <w:rsid w:val="00E248FF"/>
    <w:rsid w:val="00E24ABC"/>
    <w:rsid w:val="00E25379"/>
    <w:rsid w:val="00E3183A"/>
    <w:rsid w:val="00E3187F"/>
    <w:rsid w:val="00E357E6"/>
    <w:rsid w:val="00E3741B"/>
    <w:rsid w:val="00E37616"/>
    <w:rsid w:val="00E4122D"/>
    <w:rsid w:val="00E42EE6"/>
    <w:rsid w:val="00E46534"/>
    <w:rsid w:val="00E469B9"/>
    <w:rsid w:val="00E50C4D"/>
    <w:rsid w:val="00E52929"/>
    <w:rsid w:val="00E533BF"/>
    <w:rsid w:val="00E57AC9"/>
    <w:rsid w:val="00E6700D"/>
    <w:rsid w:val="00E71D94"/>
    <w:rsid w:val="00E74111"/>
    <w:rsid w:val="00E74848"/>
    <w:rsid w:val="00E77DCF"/>
    <w:rsid w:val="00E830CA"/>
    <w:rsid w:val="00E84962"/>
    <w:rsid w:val="00E94AFD"/>
    <w:rsid w:val="00E94E0A"/>
    <w:rsid w:val="00E95BE9"/>
    <w:rsid w:val="00E97804"/>
    <w:rsid w:val="00EA4810"/>
    <w:rsid w:val="00EA58A9"/>
    <w:rsid w:val="00EB1960"/>
    <w:rsid w:val="00EB38E3"/>
    <w:rsid w:val="00EB3988"/>
    <w:rsid w:val="00EB41DD"/>
    <w:rsid w:val="00EC5DE1"/>
    <w:rsid w:val="00ED35D8"/>
    <w:rsid w:val="00ED3C75"/>
    <w:rsid w:val="00ED3CD9"/>
    <w:rsid w:val="00ED7453"/>
    <w:rsid w:val="00ED752C"/>
    <w:rsid w:val="00EE35A4"/>
    <w:rsid w:val="00EF0F2C"/>
    <w:rsid w:val="00EF1864"/>
    <w:rsid w:val="00EF2254"/>
    <w:rsid w:val="00EF71D0"/>
    <w:rsid w:val="00EF751F"/>
    <w:rsid w:val="00EF7C1A"/>
    <w:rsid w:val="00F071DC"/>
    <w:rsid w:val="00F1098B"/>
    <w:rsid w:val="00F11D93"/>
    <w:rsid w:val="00F25DC3"/>
    <w:rsid w:val="00F277E7"/>
    <w:rsid w:val="00F27CEB"/>
    <w:rsid w:val="00F301A5"/>
    <w:rsid w:val="00F31ECD"/>
    <w:rsid w:val="00F35A11"/>
    <w:rsid w:val="00F3785B"/>
    <w:rsid w:val="00F420C4"/>
    <w:rsid w:val="00F4251B"/>
    <w:rsid w:val="00F4748B"/>
    <w:rsid w:val="00F51E74"/>
    <w:rsid w:val="00F530CC"/>
    <w:rsid w:val="00F546A1"/>
    <w:rsid w:val="00F54C24"/>
    <w:rsid w:val="00F554D2"/>
    <w:rsid w:val="00F55961"/>
    <w:rsid w:val="00F60199"/>
    <w:rsid w:val="00F60B22"/>
    <w:rsid w:val="00F60FC3"/>
    <w:rsid w:val="00F617B7"/>
    <w:rsid w:val="00F639BF"/>
    <w:rsid w:val="00F660F6"/>
    <w:rsid w:val="00F671C0"/>
    <w:rsid w:val="00F725F4"/>
    <w:rsid w:val="00F741CD"/>
    <w:rsid w:val="00F74E25"/>
    <w:rsid w:val="00F75E8F"/>
    <w:rsid w:val="00F8361D"/>
    <w:rsid w:val="00F83D4C"/>
    <w:rsid w:val="00F8674E"/>
    <w:rsid w:val="00F87A59"/>
    <w:rsid w:val="00F92398"/>
    <w:rsid w:val="00F953F5"/>
    <w:rsid w:val="00F96030"/>
    <w:rsid w:val="00F96149"/>
    <w:rsid w:val="00F97C9A"/>
    <w:rsid w:val="00FA2AFF"/>
    <w:rsid w:val="00FA31DC"/>
    <w:rsid w:val="00FB1C65"/>
    <w:rsid w:val="00FB42CF"/>
    <w:rsid w:val="00FB5708"/>
    <w:rsid w:val="00FC1AF8"/>
    <w:rsid w:val="00FC360D"/>
    <w:rsid w:val="00FC38F8"/>
    <w:rsid w:val="00FC48FE"/>
    <w:rsid w:val="00FC5BD8"/>
    <w:rsid w:val="00FC689F"/>
    <w:rsid w:val="00FC7C31"/>
    <w:rsid w:val="00FD095E"/>
    <w:rsid w:val="00FD568B"/>
    <w:rsid w:val="00FD676E"/>
    <w:rsid w:val="00FE1696"/>
    <w:rsid w:val="00FE2C04"/>
    <w:rsid w:val="00FE7963"/>
    <w:rsid w:val="00FF1EB0"/>
    <w:rsid w:val="00FF6268"/>
    <w:rsid w:val="00F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14D060"/>
  <w15:docId w15:val="{44B6743F-012A-4CF6-A364-A6FD6892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D4B"/>
    <w:rPr>
      <w:sz w:val="16"/>
      <w:szCs w:val="16"/>
    </w:rPr>
  </w:style>
  <w:style w:type="paragraph" w:styleId="CommentText">
    <w:name w:val="annotation text"/>
    <w:basedOn w:val="Normal"/>
    <w:link w:val="CommentTextChar"/>
    <w:uiPriority w:val="99"/>
    <w:unhideWhenUsed/>
    <w:rsid w:val="008F0D4B"/>
    <w:rPr>
      <w:sz w:val="20"/>
      <w:szCs w:val="20"/>
    </w:rPr>
  </w:style>
  <w:style w:type="character" w:customStyle="1" w:styleId="CommentTextChar">
    <w:name w:val="Comment Text Char"/>
    <w:basedOn w:val="DefaultParagraphFont"/>
    <w:link w:val="CommentText"/>
    <w:uiPriority w:val="99"/>
    <w:rsid w:val="008F0D4B"/>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8F0D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4B"/>
    <w:rPr>
      <w:rFonts w:ascii="Segoe UI" w:hAnsi="Segoe UI" w:cs="Segoe UI"/>
      <w:sz w:val="18"/>
      <w:szCs w:val="18"/>
      <w:lang w:val="en-GB"/>
    </w:rPr>
  </w:style>
  <w:style w:type="paragraph" w:styleId="ListParagraph">
    <w:name w:val="List Paragraph"/>
    <w:aliases w:val="Paragraphe EI,Paragraphe de liste1,EC,Normal bullet 2,Bullet list,List Paragraph1,Numbered List,1st level - Bullet List Paragraph,Lettre d'introduction,Medium Grid 1 - Accent 21,List Paragraph11,Dot pt,3,Paragrafo elenco,Issue Action POC"/>
    <w:basedOn w:val="Normal"/>
    <w:link w:val="ListParagraphChar"/>
    <w:uiPriority w:val="34"/>
    <w:qFormat/>
    <w:rsid w:val="00025552"/>
    <w:pPr>
      <w:ind w:left="720"/>
      <w:contextualSpacing/>
    </w:pPr>
  </w:style>
  <w:style w:type="paragraph" w:styleId="ListBullet">
    <w:name w:val="List Bullet"/>
    <w:basedOn w:val="Normal"/>
    <w:uiPriority w:val="99"/>
    <w:semiHidden/>
    <w:unhideWhenUsed/>
    <w:rsid w:val="00361EB0"/>
    <w:pPr>
      <w:numPr>
        <w:numId w:val="1"/>
      </w:numPr>
      <w:contextualSpacing/>
    </w:pPr>
  </w:style>
  <w:style w:type="paragraph" w:styleId="ListBullet2">
    <w:name w:val="List Bullet 2"/>
    <w:basedOn w:val="Normal"/>
    <w:uiPriority w:val="99"/>
    <w:semiHidden/>
    <w:unhideWhenUsed/>
    <w:rsid w:val="00361EB0"/>
    <w:pPr>
      <w:numPr>
        <w:numId w:val="2"/>
      </w:numPr>
      <w:contextualSpacing/>
    </w:pPr>
  </w:style>
  <w:style w:type="paragraph" w:styleId="ListBullet3">
    <w:name w:val="List Bullet 3"/>
    <w:basedOn w:val="Normal"/>
    <w:uiPriority w:val="99"/>
    <w:semiHidden/>
    <w:unhideWhenUsed/>
    <w:rsid w:val="00361EB0"/>
    <w:pPr>
      <w:numPr>
        <w:numId w:val="3"/>
      </w:numPr>
      <w:contextualSpacing/>
    </w:pPr>
  </w:style>
  <w:style w:type="paragraph" w:styleId="ListBullet4">
    <w:name w:val="List Bullet 4"/>
    <w:basedOn w:val="Normal"/>
    <w:uiPriority w:val="99"/>
    <w:semiHidden/>
    <w:unhideWhenUsed/>
    <w:rsid w:val="00361EB0"/>
    <w:pPr>
      <w:numPr>
        <w:numId w:val="4"/>
      </w:numPr>
      <w:contextualSpacing/>
    </w:pPr>
  </w:style>
  <w:style w:type="table" w:customStyle="1" w:styleId="TableGrid42">
    <w:name w:val="Table Grid42"/>
    <w:basedOn w:val="TableNormal"/>
    <w:next w:val="TableGrid"/>
    <w:uiPriority w:val="39"/>
    <w:rsid w:val="003562D0"/>
    <w:pPr>
      <w:spacing w:after="0" w:line="240" w:lineRule="auto"/>
    </w:pPr>
    <w:rPr>
      <w:rFonts w:ascii="Calibri" w:eastAsia="Times New Roman"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Medium Grid 1 - Accent 21 Char"/>
    <w:basedOn w:val="DefaultParagraphFont"/>
    <w:link w:val="ListParagraph"/>
    <w:uiPriority w:val="34"/>
    <w:qFormat/>
    <w:locked/>
    <w:rsid w:val="00CA4A78"/>
    <w:rPr>
      <w:rFonts w:ascii="Times New Roman" w:hAnsi="Times New Roman" w:cs="Times New Roman"/>
      <w:sz w:val="24"/>
      <w:lang w:val="en-GB"/>
    </w:rPr>
  </w:style>
  <w:style w:type="paragraph" w:styleId="ListNumber">
    <w:name w:val="List Number"/>
    <w:basedOn w:val="Normal"/>
    <w:uiPriority w:val="99"/>
    <w:unhideWhenUsed/>
    <w:rsid w:val="003A1A08"/>
    <w:pPr>
      <w:numPr>
        <w:numId w:val="5"/>
      </w:numPr>
      <w:contextualSpacing/>
    </w:pPr>
  </w:style>
  <w:style w:type="paragraph" w:customStyle="1" w:styleId="EIOPA-Body-v1">
    <w:name w:val="EIOPA-Body-v1"/>
    <w:basedOn w:val="Normal"/>
    <w:link w:val="EIOPA-Body-v1Char"/>
    <w:qFormat/>
    <w:rsid w:val="006D59C4"/>
    <w:pPr>
      <w:spacing w:line="259" w:lineRule="auto"/>
      <w:jc w:val="left"/>
    </w:pPr>
    <w:rPr>
      <w:rFonts w:ascii="Lucida Sans" w:hAnsi="Lucida Sans" w:cstheme="minorBidi"/>
      <w:sz w:val="20"/>
    </w:rPr>
  </w:style>
  <w:style w:type="character" w:customStyle="1" w:styleId="EIOPA-Body-v1Char">
    <w:name w:val="EIOPA-Body-v1 Char"/>
    <w:basedOn w:val="DefaultParagraphFont"/>
    <w:link w:val="EIOPA-Body-v1"/>
    <w:rsid w:val="006D59C4"/>
    <w:rPr>
      <w:rFonts w:ascii="Lucida Sans" w:hAnsi="Lucida Sans"/>
      <w:sz w:val="20"/>
      <w:lang w:val="en-GB"/>
    </w:rPr>
  </w:style>
  <w:style w:type="paragraph" w:styleId="Revision">
    <w:name w:val="Revision"/>
    <w:hidden/>
    <w:uiPriority w:val="99"/>
    <w:semiHidden/>
    <w:rsid w:val="009C0601"/>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8529E1"/>
    <w:rPr>
      <w:b/>
      <w:bCs/>
    </w:rPr>
  </w:style>
  <w:style w:type="character" w:customStyle="1" w:styleId="CommentSubjectChar">
    <w:name w:val="Comment Subject Char"/>
    <w:basedOn w:val="CommentTextChar"/>
    <w:link w:val="CommentSubject"/>
    <w:uiPriority w:val="99"/>
    <w:semiHidden/>
    <w:rsid w:val="008529E1"/>
    <w:rPr>
      <w:rFonts w:ascii="Times New Roman" w:hAnsi="Times New Roman" w:cs="Times New Roman"/>
      <w:b/>
      <w:bCs/>
      <w:sz w:val="20"/>
      <w:szCs w:val="20"/>
      <w:lang w:val="en-GB"/>
    </w:rPr>
  </w:style>
  <w:style w:type="character" w:styleId="Hyperlink">
    <w:name w:val="Hyperlink"/>
    <w:basedOn w:val="DefaultParagraphFont"/>
    <w:uiPriority w:val="99"/>
    <w:semiHidden/>
    <w:unhideWhenUsed/>
    <w:rsid w:val="000C28C5"/>
    <w:rPr>
      <w:color w:val="0000FF" w:themeColor="hyperlink"/>
      <w:u w:val="single"/>
    </w:rPr>
  </w:style>
  <w:style w:type="character" w:styleId="Strong">
    <w:name w:val="Strong"/>
    <w:basedOn w:val="DefaultParagraphFont"/>
    <w:uiPriority w:val="22"/>
    <w:qFormat/>
    <w:rsid w:val="007F4043"/>
    <w:rPr>
      <w:b/>
      <w:bCs/>
    </w:rPr>
  </w:style>
  <w:style w:type="character" w:styleId="Emphasis">
    <w:name w:val="Emphasis"/>
    <w:basedOn w:val="DefaultParagraphFont"/>
    <w:uiPriority w:val="20"/>
    <w:qFormat/>
    <w:rsid w:val="007F4043"/>
    <w:rPr>
      <w:i/>
      <w:iCs/>
    </w:rPr>
  </w:style>
  <w:style w:type="paragraph" w:customStyle="1" w:styleId="Manualpoint">
    <w:name w:val="Manual point"/>
    <w:basedOn w:val="Tiret2"/>
    <w:rsid w:val="00AC1C05"/>
  </w:style>
  <w:style w:type="character" w:customStyle="1" w:styleId="HeaderChar">
    <w:name w:val="Header Char"/>
    <w:basedOn w:val="DefaultParagraphFont"/>
    <w:link w:val="Header"/>
    <w:uiPriority w:val="99"/>
    <w:rsid w:val="00592496"/>
    <w:rPr>
      <w:rFonts w:ascii="Times New Roman" w:hAnsi="Times New Roman" w:cs="Times New Roman"/>
      <w:sz w:val="24"/>
      <w:lang w:val="en-GB"/>
    </w:rPr>
  </w:style>
  <w:style w:type="character" w:customStyle="1" w:styleId="FooterChar">
    <w:name w:val="Footer Char"/>
    <w:basedOn w:val="DefaultParagraphFont"/>
    <w:link w:val="Footer"/>
    <w:uiPriority w:val="99"/>
    <w:rsid w:val="0059249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9249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92496"/>
    <w:pPr>
      <w:spacing w:before="0"/>
      <w:jc w:val="right"/>
    </w:pPr>
    <w:rPr>
      <w:sz w:val="28"/>
    </w:rPr>
  </w:style>
  <w:style w:type="paragraph" w:customStyle="1" w:styleId="FooterSensitivity">
    <w:name w:val="Footer Sensitivity"/>
    <w:basedOn w:val="Normal"/>
    <w:rsid w:val="0059249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Tiret5">
    <w:name w:val="Tiret 5"/>
    <w:basedOn w:val="Point5"/>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NumPar5">
    <w:name w:val="NumPar 5"/>
    <w:basedOn w:val="Normal"/>
    <w:next w:val="Text2"/>
    <w:pPr>
      <w:numPr>
        <w:ilvl w:val="4"/>
        <w:numId w:val="35"/>
      </w:numPr>
    </w:pPr>
  </w:style>
  <w:style w:type="paragraph" w:customStyle="1" w:styleId="NumPar6">
    <w:name w:val="NumPar 6"/>
    <w:basedOn w:val="Normal"/>
    <w:next w:val="Text2"/>
    <w:pPr>
      <w:numPr>
        <w:ilvl w:val="5"/>
        <w:numId w:val="35"/>
      </w:numPr>
    </w:pPr>
  </w:style>
  <w:style w:type="paragraph" w:customStyle="1" w:styleId="NumPar7">
    <w:name w:val="NumPar 7"/>
    <w:basedOn w:val="Normal"/>
    <w:next w:val="Text2"/>
    <w:pPr>
      <w:numPr>
        <w:ilvl w:val="6"/>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92496"/>
    <w:pPr>
      <w:tabs>
        <w:tab w:val="center" w:pos="4535"/>
        <w:tab w:val="right" w:pos="9071"/>
      </w:tabs>
      <w:spacing w:before="0"/>
    </w:pPr>
  </w:style>
  <w:style w:type="paragraph" w:customStyle="1" w:styleId="HeaderLandscape">
    <w:name w:val="HeaderLandscape"/>
    <w:basedOn w:val="Normal"/>
    <w:rsid w:val="00592496"/>
    <w:pPr>
      <w:tabs>
        <w:tab w:val="center" w:pos="7285"/>
        <w:tab w:val="right" w:pos="14003"/>
      </w:tabs>
      <w:spacing w:before="0"/>
    </w:pPr>
  </w:style>
  <w:style w:type="paragraph" w:styleId="Footer">
    <w:name w:val="footer"/>
    <w:basedOn w:val="Normal"/>
    <w:link w:val="FooterChar"/>
    <w:uiPriority w:val="99"/>
    <w:unhideWhenUsed/>
    <w:rsid w:val="0059249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9249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3997">
      <w:bodyDiv w:val="1"/>
      <w:marLeft w:val="0"/>
      <w:marRight w:val="0"/>
      <w:marTop w:val="0"/>
      <w:marBottom w:val="0"/>
      <w:divBdr>
        <w:top w:val="none" w:sz="0" w:space="0" w:color="auto"/>
        <w:left w:val="none" w:sz="0" w:space="0" w:color="auto"/>
        <w:bottom w:val="none" w:sz="0" w:space="0" w:color="auto"/>
        <w:right w:val="none" w:sz="0" w:space="0" w:color="auto"/>
      </w:divBdr>
    </w:div>
    <w:div w:id="686710350">
      <w:bodyDiv w:val="1"/>
      <w:marLeft w:val="0"/>
      <w:marRight w:val="0"/>
      <w:marTop w:val="0"/>
      <w:marBottom w:val="0"/>
      <w:divBdr>
        <w:top w:val="none" w:sz="0" w:space="0" w:color="auto"/>
        <w:left w:val="none" w:sz="0" w:space="0" w:color="auto"/>
        <w:bottom w:val="none" w:sz="0" w:space="0" w:color="auto"/>
        <w:right w:val="none" w:sz="0" w:space="0" w:color="auto"/>
      </w:divBdr>
    </w:div>
    <w:div w:id="744184947">
      <w:bodyDiv w:val="1"/>
      <w:marLeft w:val="0"/>
      <w:marRight w:val="0"/>
      <w:marTop w:val="0"/>
      <w:marBottom w:val="0"/>
      <w:divBdr>
        <w:top w:val="none" w:sz="0" w:space="0" w:color="auto"/>
        <w:left w:val="none" w:sz="0" w:space="0" w:color="auto"/>
        <w:bottom w:val="none" w:sz="0" w:space="0" w:color="auto"/>
        <w:right w:val="none" w:sz="0" w:space="0" w:color="auto"/>
      </w:divBdr>
    </w:div>
    <w:div w:id="871572344">
      <w:bodyDiv w:val="1"/>
      <w:marLeft w:val="0"/>
      <w:marRight w:val="0"/>
      <w:marTop w:val="0"/>
      <w:marBottom w:val="0"/>
      <w:divBdr>
        <w:top w:val="none" w:sz="0" w:space="0" w:color="auto"/>
        <w:left w:val="none" w:sz="0" w:space="0" w:color="auto"/>
        <w:bottom w:val="none" w:sz="0" w:space="0" w:color="auto"/>
        <w:right w:val="none" w:sz="0" w:space="0" w:color="auto"/>
      </w:divBdr>
    </w:div>
    <w:div w:id="999386247">
      <w:bodyDiv w:val="1"/>
      <w:marLeft w:val="0"/>
      <w:marRight w:val="0"/>
      <w:marTop w:val="0"/>
      <w:marBottom w:val="0"/>
      <w:divBdr>
        <w:top w:val="none" w:sz="0" w:space="0" w:color="auto"/>
        <w:left w:val="none" w:sz="0" w:space="0" w:color="auto"/>
        <w:bottom w:val="none" w:sz="0" w:space="0" w:color="auto"/>
        <w:right w:val="none" w:sz="0" w:space="0" w:color="auto"/>
      </w:divBdr>
    </w:div>
    <w:div w:id="1050887106">
      <w:bodyDiv w:val="1"/>
      <w:marLeft w:val="0"/>
      <w:marRight w:val="0"/>
      <w:marTop w:val="0"/>
      <w:marBottom w:val="0"/>
      <w:divBdr>
        <w:top w:val="none" w:sz="0" w:space="0" w:color="auto"/>
        <w:left w:val="none" w:sz="0" w:space="0" w:color="auto"/>
        <w:bottom w:val="none" w:sz="0" w:space="0" w:color="auto"/>
        <w:right w:val="none" w:sz="0" w:space="0" w:color="auto"/>
      </w:divBdr>
    </w:div>
    <w:div w:id="12715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54C7-0C86-4D6E-81A2-55F15C6A294A}">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2.xml><?xml version="1.0" encoding="utf-8"?>
<ds:datastoreItem xmlns:ds="http://schemas.openxmlformats.org/officeDocument/2006/customXml" ds:itemID="{E26F9267-DFAB-41F1-9112-2CF8B1DB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C3059-CDB6-4768-81E7-C60D8216C7DB}">
  <ds:schemaRefs>
    <ds:schemaRef ds:uri="http://schemas.microsoft.com/sharepoint/v3/contenttype/forms"/>
  </ds:schemaRefs>
</ds:datastoreItem>
</file>

<file path=customXml/itemProps4.xml><?xml version="1.0" encoding="utf-8"?>
<ds:datastoreItem xmlns:ds="http://schemas.openxmlformats.org/officeDocument/2006/customXml" ds:itemID="{E3B25B6E-3C53-4A57-B8EE-4B57C7985435}">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23</TotalTime>
  <Pages>9</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52</cp:revision>
  <dcterms:created xsi:type="dcterms:W3CDTF">2023-12-20T13:08:00Z</dcterms:created>
  <dcterms:modified xsi:type="dcterms:W3CDTF">2024-02-22T09:30:00Z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MSIP_Label_6bd9ddd1-4d20-43f6-abfa-fc3c07406f94_Enabled">
    <vt:lpwstr>true</vt:lpwstr>
  </property>
  <property fmtid="{D5CDD505-2E9C-101B-9397-08002B2CF9AE}" pid="5" name="MSIP_Label_6bd9ddd1-4d20-43f6-abfa-fc3c07406f94_SetDate">
    <vt:lpwstr>2023-06-12T12:48:22Z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3fb54677-7dc1-4b59-86c2-a0705060ad78</vt:lpwstr>
  </property>
  <property fmtid="{D5CDD505-2E9C-101B-9397-08002B2CF9AE}" pid="10" name="MSIP_Label_6bd9ddd1-4d20-43f6-abfa-fc3c07406f94_ContentBits">
    <vt:lpwstr>0</vt:lpwstr>
  </property>
  <property fmtid="{D5CDD505-2E9C-101B-9397-08002B2CF9AE}" pid="11" name="Crea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evel of sensitivity">
    <vt:lpwstr>Standard treatment</vt:lpwstr>
  </property>
  <property fmtid="{D5CDD505-2E9C-101B-9397-08002B2CF9AE}" pid="15" name="LWTemplateID">
    <vt:lpwstr>SJ-003</vt:lpwstr>
  </property>
  <property fmtid="{D5CDD505-2E9C-101B-9397-08002B2CF9AE}" pid="16" name="ContentTypeId">
    <vt:lpwstr>0x010100258AA79CEB83498886A3A086811232500033285A78CCB54F4DA2ECE5FA2B2AF218</vt:lpwstr>
  </property>
  <property fmtid="{D5CDD505-2E9C-101B-9397-08002B2CF9AE}" pid="17" name="ERISKeywords">
    <vt:lpwstr/>
  </property>
  <property fmtid="{D5CDD505-2E9C-101B-9397-08002B2CF9AE}" pid="18" name="ERISDocumentType">
    <vt:lpwstr/>
  </property>
  <property fmtid="{D5CDD505-2E9C-101B-9397-08002B2CF9AE}" pid="19" name="Last edited using">
    <vt:lpwstr>LW 9.0, Build 20230317</vt:lpwstr>
  </property>
  <property fmtid="{D5CDD505-2E9C-101B-9397-08002B2CF9AE}" pid="20" name="DQCStatus">
    <vt:lpwstr>Green (DQC version 03)</vt:lpwstr>
  </property>
  <property name="OP_sanitized" fmtid="{D5CDD505-2E9C-101B-9397-08002B2CF9AE}" pid="21">
    <vt:lpwstr>True</vt:lpwstr>
  </property>
</Properties>
</file>