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6725A" w14:textId="1B0A6200" w:rsidR="0065658F" w:rsidRDefault="00D84739" w:rsidP="00D84739">
      <w:pPr>
        <w:pStyle w:val="Pagedecouverture"/>
        <w:rPr>
          <w:noProof/>
        </w:rPr>
      </w:pPr>
      <w:r>
        <w:rPr>
          <w:noProof/>
        </w:rPr>
        <w:pict w14:anchorId="17601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C120E07C-BF36-40CB-9FF1-56896651938D" style="width:455.25pt;height:355.5pt">
            <v:imagedata r:id="rId7" o:title=""/>
          </v:shape>
        </w:pict>
      </w:r>
    </w:p>
    <w:p w14:paraId="3FEDE866" w14:textId="77777777" w:rsidR="0065658F" w:rsidRDefault="0065658F" w:rsidP="0065658F">
      <w:pPr>
        <w:rPr>
          <w:noProof/>
        </w:rPr>
        <w:sectPr w:rsidR="0065658F" w:rsidSect="00D84739">
          <w:footerReference w:type="default" r:id="rId8"/>
          <w:pgSz w:w="11907" w:h="16839"/>
          <w:pgMar w:top="1134" w:right="1417" w:bottom="1134" w:left="1417" w:header="709" w:footer="709" w:gutter="0"/>
          <w:pgNumType w:start="0"/>
          <w:cols w:space="720"/>
          <w:docGrid w:linePitch="360"/>
        </w:sectPr>
      </w:pPr>
    </w:p>
    <w:p w14:paraId="24F954B8" w14:textId="77777777" w:rsidR="0065658F" w:rsidRPr="00FB18DC" w:rsidRDefault="0065658F" w:rsidP="00A75600">
      <w:pPr>
        <w:pStyle w:val="Exposdesmotifstitre"/>
        <w:rPr>
          <w:noProof/>
        </w:rPr>
      </w:pPr>
      <w:bookmarkStart w:id="0" w:name="_GoBack"/>
      <w:bookmarkEnd w:id="0"/>
      <w:r w:rsidRPr="00FB18DC">
        <w:rPr>
          <w:noProof/>
        </w:rPr>
        <w:lastRenderedPageBreak/>
        <w:t>EXPLANATORY MEMORANDUM</w:t>
      </w:r>
    </w:p>
    <w:p w14:paraId="0C33CB26" w14:textId="77777777" w:rsidR="0065658F" w:rsidRDefault="0065658F" w:rsidP="00FB18DC">
      <w:pPr>
        <w:pStyle w:val="ManualHeading1"/>
        <w:rPr>
          <w:noProof/>
        </w:rPr>
      </w:pPr>
      <w:r w:rsidRPr="00FB18DC">
        <w:rPr>
          <w:noProof/>
        </w:rPr>
        <w:t>1.</w:t>
      </w:r>
      <w:r w:rsidRPr="00FB18DC">
        <w:rPr>
          <w:noProof/>
        </w:rPr>
        <w:tab/>
      </w:r>
      <w:r>
        <w:rPr>
          <w:noProof/>
        </w:rPr>
        <w:t>CONTEXT OF THE DELEGATED ACT</w:t>
      </w:r>
    </w:p>
    <w:p w14:paraId="3A051C0A" w14:textId="61012BCA" w:rsidR="0065658F" w:rsidRPr="00603F97" w:rsidRDefault="0065658F" w:rsidP="0065658F">
      <w:pPr>
        <w:rPr>
          <w:noProof/>
        </w:rPr>
      </w:pPr>
      <w:r w:rsidRPr="00603F97">
        <w:rPr>
          <w:noProof/>
        </w:rPr>
        <w:t>Under Article 23(1), first subparagraph point (e) and second subparagraph, of Regulation</w:t>
      </w:r>
      <w:r w:rsidRPr="007D1DE9">
        <w:rPr>
          <w:noProof/>
        </w:rPr>
        <w:t xml:space="preserve"> </w:t>
      </w:r>
      <w:r w:rsidR="006059E9">
        <w:rPr>
          <w:noProof/>
        </w:rPr>
        <w:t xml:space="preserve">(EU) </w:t>
      </w:r>
      <w:r w:rsidRPr="00603F97">
        <w:rPr>
          <w:noProof/>
        </w:rPr>
        <w:t>2021/691 of the European Parliament and the Council</w:t>
      </w:r>
      <w:r>
        <w:rPr>
          <w:rStyle w:val="FootnoteReference"/>
          <w:noProof/>
        </w:rPr>
        <w:footnoteReference w:id="1"/>
      </w:r>
      <w:r w:rsidRPr="00603F97">
        <w:rPr>
          <w:noProof/>
        </w:rPr>
        <w:t xml:space="preserve">, in the programming period 2021-2027, Member States must report irregularities, including fraud, related to the </w:t>
      </w:r>
      <w:r w:rsidRPr="007D1DE9">
        <w:rPr>
          <w:noProof/>
        </w:rPr>
        <w:t>European Globalisation Adjustment Fund for Displaced Workers</w:t>
      </w:r>
      <w:r w:rsidRPr="00603F97">
        <w:rPr>
          <w:noProof/>
        </w:rPr>
        <w:t xml:space="preserve"> (EGF), to the Commission.</w:t>
      </w:r>
    </w:p>
    <w:p w14:paraId="71117E0D" w14:textId="77777777" w:rsidR="0065658F" w:rsidRPr="00603F97" w:rsidRDefault="0065658F" w:rsidP="0065658F">
      <w:pPr>
        <w:rPr>
          <w:noProof/>
        </w:rPr>
      </w:pPr>
      <w:r w:rsidRPr="00603F97">
        <w:rPr>
          <w:noProof/>
        </w:rPr>
        <w:t>The Union’s financial interests should be protected in the same way irrespective of the source of funding used and in accordance with the specific objectives for which funding was provided. For other EU funds, Regulation (EU) 2021/1060 of the European Parliament and of the Council</w:t>
      </w:r>
      <w:r>
        <w:rPr>
          <w:rStyle w:val="FootnoteReference"/>
          <w:noProof/>
        </w:rPr>
        <w:footnoteReference w:id="2"/>
      </w:r>
      <w:r w:rsidRPr="00603F97">
        <w:rPr>
          <w:noProof/>
        </w:rPr>
        <w:t xml:space="preserve"> provide detailed rules for the reporting of irregularities. To ensure that uniform rules apply in respect of all the funds, provisions analogous and equivalent are enacted for the reporting obligations related to the EGF.</w:t>
      </w:r>
    </w:p>
    <w:p w14:paraId="471DB16F" w14:textId="40252859" w:rsidR="0065658F" w:rsidRPr="007D1DE9" w:rsidRDefault="0065658F" w:rsidP="0065658F">
      <w:pPr>
        <w:rPr>
          <w:noProof/>
        </w:rPr>
      </w:pPr>
      <w:r w:rsidRPr="00603F97">
        <w:rPr>
          <w:noProof/>
        </w:rPr>
        <w:t>Th</w:t>
      </w:r>
      <w:r w:rsidR="00932C57">
        <w:rPr>
          <w:noProof/>
        </w:rPr>
        <w:t>is</w:t>
      </w:r>
      <w:r w:rsidRPr="00603F97">
        <w:rPr>
          <w:noProof/>
        </w:rPr>
        <w:t xml:space="preserve"> </w:t>
      </w:r>
      <w:r w:rsidR="00932C57">
        <w:rPr>
          <w:noProof/>
        </w:rPr>
        <w:t>delegated act</w:t>
      </w:r>
      <w:r w:rsidR="00932C57" w:rsidRPr="00603F97">
        <w:rPr>
          <w:noProof/>
        </w:rPr>
        <w:t xml:space="preserve"> </w:t>
      </w:r>
      <w:r w:rsidRPr="00603F97">
        <w:rPr>
          <w:noProof/>
        </w:rPr>
        <w:t xml:space="preserve">also takes into account Commission Delegated Regulations (EU) 2015/1971, </w:t>
      </w:r>
      <w:r w:rsidR="00C450C0">
        <w:rPr>
          <w:noProof/>
        </w:rPr>
        <w:t xml:space="preserve">(EU) </w:t>
      </w:r>
      <w:r w:rsidRPr="00603F97">
        <w:rPr>
          <w:noProof/>
        </w:rPr>
        <w:t>2015/1972,</w:t>
      </w:r>
      <w:r w:rsidR="00C450C0">
        <w:rPr>
          <w:noProof/>
        </w:rPr>
        <w:t xml:space="preserve"> (EU)</w:t>
      </w:r>
      <w:r w:rsidRPr="00603F97">
        <w:rPr>
          <w:noProof/>
        </w:rPr>
        <w:t xml:space="preserve"> 2015/1973 and </w:t>
      </w:r>
      <w:r w:rsidR="00C450C0">
        <w:rPr>
          <w:noProof/>
        </w:rPr>
        <w:t xml:space="preserve">(EU) </w:t>
      </w:r>
      <w:r w:rsidRPr="00603F97">
        <w:rPr>
          <w:noProof/>
        </w:rPr>
        <w:t>2015/1974, which laid down specific provisions for reporting of irregularities relating to the various EU funds in the previous programming period 2014-2020.</w:t>
      </w:r>
    </w:p>
    <w:p w14:paraId="592CBAC7" w14:textId="77777777" w:rsidR="0065658F" w:rsidRDefault="0065658F" w:rsidP="00FB18DC">
      <w:pPr>
        <w:pStyle w:val="ManualHeading1"/>
        <w:rPr>
          <w:noProof/>
        </w:rPr>
      </w:pPr>
      <w:r w:rsidRPr="00FB18DC">
        <w:rPr>
          <w:noProof/>
        </w:rPr>
        <w:t>2.</w:t>
      </w:r>
      <w:r w:rsidRPr="00FB18DC">
        <w:rPr>
          <w:noProof/>
        </w:rPr>
        <w:tab/>
      </w:r>
      <w:r>
        <w:rPr>
          <w:noProof/>
        </w:rPr>
        <w:t>CONSULTATIONS PRIOR TO THE ADOPTION OF THE ACT</w:t>
      </w:r>
    </w:p>
    <w:p w14:paraId="24063AC3" w14:textId="77777777" w:rsidR="0065658F" w:rsidRDefault="0065658F" w:rsidP="0065658F">
      <w:pPr>
        <w:rPr>
          <w:noProof/>
          <w:sz w:val="22"/>
        </w:rPr>
      </w:pPr>
      <w:r>
        <w:rPr>
          <w:noProof/>
        </w:rPr>
        <w:t>In accordance with the principles laid down in the Interinstitutional Agreement of 13 April 2016 on Better Law-Making, the Commission consulted experts designated by each Member State in the preparation of the draft delegated act.</w:t>
      </w:r>
    </w:p>
    <w:p w14:paraId="1E0915D8" w14:textId="77777777" w:rsidR="0065658F" w:rsidRDefault="0065658F" w:rsidP="0065658F">
      <w:pPr>
        <w:rPr>
          <w:noProof/>
        </w:rPr>
      </w:pPr>
      <w:r>
        <w:rPr>
          <w:noProof/>
        </w:rPr>
        <w:t xml:space="preserve">The consultation took place in the Advisory Committee for the Coordination of Fraud Prevention (COCOLAF) meetings of 12 December 2022, 4 May 2023 and 22 June 2023. </w:t>
      </w:r>
      <w:r>
        <w:rPr>
          <w:noProof/>
          <w:lang w:eastAsia="en-GB"/>
        </w:rPr>
        <w:t>The Commission took account of the views and positions expressed during the consultation.</w:t>
      </w:r>
    </w:p>
    <w:p w14:paraId="5D97D27D" w14:textId="77777777" w:rsidR="0065658F" w:rsidRDefault="0065658F" w:rsidP="0065658F">
      <w:pPr>
        <w:rPr>
          <w:noProof/>
          <w:lang w:eastAsia="en-GB"/>
        </w:rPr>
      </w:pPr>
      <w:r>
        <w:rPr>
          <w:noProof/>
          <w:lang w:eastAsia="en-GB"/>
        </w:rPr>
        <w:t xml:space="preserve">At these meetings, the Commission gave a full presentation of the draft provisions and a thorough exchange of views took place on all aspects of the draft delegated act. The meetings allowed the Commission to clarify its approach, to hear experts’ views on the draft and to refine it accordingly. Experts were also able to submit written comments following each meeting. </w:t>
      </w:r>
    </w:p>
    <w:p w14:paraId="2472E924" w14:textId="77777777" w:rsidR="0065658F" w:rsidRDefault="0065658F" w:rsidP="0065658F">
      <w:pPr>
        <w:rPr>
          <w:noProof/>
        </w:rPr>
      </w:pPr>
      <w:r>
        <w:rPr>
          <w:noProof/>
        </w:rPr>
        <w:t>Moreover, the draft delegated act had been published for feedback on the Commission's website for four weeks. No contributions had been received.</w:t>
      </w:r>
    </w:p>
    <w:p w14:paraId="6766DAD9" w14:textId="77777777" w:rsidR="0065658F" w:rsidRDefault="0065658F" w:rsidP="00FB18DC">
      <w:pPr>
        <w:pStyle w:val="ManualHeading1"/>
        <w:rPr>
          <w:noProof/>
        </w:rPr>
      </w:pPr>
      <w:r w:rsidRPr="00FB18DC">
        <w:rPr>
          <w:noProof/>
        </w:rPr>
        <w:t>3.</w:t>
      </w:r>
      <w:r w:rsidRPr="00FB18DC">
        <w:rPr>
          <w:noProof/>
        </w:rPr>
        <w:tab/>
      </w:r>
      <w:r>
        <w:rPr>
          <w:noProof/>
        </w:rPr>
        <w:t>LEGAL ELEMENTS OF THE DELEGATED ACT</w:t>
      </w:r>
    </w:p>
    <w:p w14:paraId="6FE6AFB0" w14:textId="77777777" w:rsidR="0065658F" w:rsidRPr="00603F97" w:rsidRDefault="0065658F" w:rsidP="0065658F">
      <w:pPr>
        <w:rPr>
          <w:noProof/>
        </w:rPr>
      </w:pPr>
      <w:r w:rsidRPr="00603F97">
        <w:rPr>
          <w:noProof/>
        </w:rPr>
        <w:t>The right to adopt a delegated act is provided for by Article 23(6) of Regulation (EU) 2021/691.</w:t>
      </w:r>
    </w:p>
    <w:p w14:paraId="7FEEF29D" w14:textId="77777777" w:rsidR="0065658F" w:rsidRDefault="0065658F" w:rsidP="00815964">
      <w:pPr>
        <w:rPr>
          <w:noProof/>
        </w:rPr>
        <w:sectPr w:rsidR="0065658F" w:rsidSect="00D84739">
          <w:footerReference w:type="default" r:id="rId9"/>
          <w:footerReference w:type="first" r:id="rId10"/>
          <w:pgSz w:w="11907" w:h="16839"/>
          <w:pgMar w:top="1134" w:right="1417" w:bottom="1134" w:left="1417" w:header="709" w:footer="709" w:gutter="0"/>
          <w:cols w:space="708"/>
          <w:docGrid w:linePitch="360"/>
        </w:sectPr>
      </w:pPr>
    </w:p>
    <w:p w14:paraId="0CDE5EA9" w14:textId="77777777" w:rsidR="0065658F" w:rsidRPr="00937BA9" w:rsidRDefault="0065658F" w:rsidP="0065658F">
      <w:pPr>
        <w:pStyle w:val="Typedudocument"/>
        <w:rPr>
          <w:noProof/>
        </w:rPr>
      </w:pPr>
      <w:r w:rsidRPr="0065658F">
        <w:rPr>
          <w:noProof/>
        </w:rPr>
        <w:t>COMMISSION DELEGATED REGULATION (EU) …/...</w:t>
      </w:r>
    </w:p>
    <w:p w14:paraId="49E222FB" w14:textId="1695E20E" w:rsidR="0065658F" w:rsidRPr="00CE4FF7" w:rsidRDefault="006F2FAA" w:rsidP="0065658F">
      <w:pPr>
        <w:pStyle w:val="Datedadoption"/>
        <w:rPr>
          <w:noProof/>
        </w:rPr>
      </w:pPr>
      <w:r>
        <w:t>of 18.12.2023</w:t>
      </w:r>
    </w:p>
    <w:p w14:paraId="0364C9C2" w14:textId="77777777" w:rsidR="0065658F" w:rsidRPr="00CE4FF7" w:rsidRDefault="0065658F" w:rsidP="0065658F">
      <w:pPr>
        <w:pStyle w:val="Titreobjet"/>
        <w:rPr>
          <w:noProof/>
        </w:rPr>
      </w:pPr>
      <w:r w:rsidRPr="0065658F">
        <w:rPr>
          <w:noProof/>
        </w:rPr>
        <w:t>supplementing Regulation (EU) 2021/691 of the European Parliament and of the Council with specific provisions on the reporting of irregularities concerning the European Globalisation Adjustment Fund for Displaced Workers (EGF)</w:t>
      </w:r>
    </w:p>
    <w:p w14:paraId="4C9CD165" w14:textId="77777777" w:rsidR="0065658F" w:rsidRPr="00937BA9" w:rsidRDefault="0065658F" w:rsidP="009343DF">
      <w:pPr>
        <w:pStyle w:val="Institutionquiagit"/>
        <w:rPr>
          <w:noProof/>
        </w:rPr>
      </w:pPr>
      <w:r w:rsidRPr="00937BA9">
        <w:rPr>
          <w:noProof/>
        </w:rPr>
        <w:t>THE EUROPEAN COMMISSION,</w:t>
      </w:r>
    </w:p>
    <w:p w14:paraId="3719F931" w14:textId="77777777" w:rsidR="0065658F" w:rsidRPr="007D1DE9" w:rsidRDefault="0065658F" w:rsidP="0065658F">
      <w:pPr>
        <w:rPr>
          <w:noProof/>
        </w:rPr>
      </w:pPr>
      <w:r w:rsidRPr="007D1DE9">
        <w:rPr>
          <w:noProof/>
          <w:color w:val="000000"/>
        </w:rPr>
        <w:t>Having regard to the Treaty on the Functioning of the European Union</w:t>
      </w:r>
      <w:r w:rsidRPr="007D1DE9">
        <w:rPr>
          <w:noProof/>
        </w:rPr>
        <w:t>,</w:t>
      </w:r>
    </w:p>
    <w:p w14:paraId="7A799D0C" w14:textId="77777777" w:rsidR="0065658F" w:rsidRPr="007D1DE9" w:rsidRDefault="0065658F" w:rsidP="0065658F">
      <w:pPr>
        <w:rPr>
          <w:noProof/>
        </w:rPr>
      </w:pPr>
      <w:r w:rsidRPr="007D1DE9">
        <w:rPr>
          <w:noProof/>
        </w:rPr>
        <w:t>Having regard to Regulation (EU) 2021/691 of the European Parliament and of the Council of 28 April 2021 on the European Globalisation Adjustment Fund for Displaced Workers (EGF) and repealing Regulation (EU) No 1309/2013</w:t>
      </w:r>
      <w:r w:rsidRPr="007D1DE9">
        <w:rPr>
          <w:rStyle w:val="FootnoteReference"/>
          <w:noProof/>
        </w:rPr>
        <w:footnoteReference w:id="3"/>
      </w:r>
      <w:r w:rsidRPr="007D1DE9">
        <w:rPr>
          <w:noProof/>
        </w:rPr>
        <w:t>, and in particular Article 23(6) thereof,</w:t>
      </w:r>
    </w:p>
    <w:p w14:paraId="268AC3CE" w14:textId="77777777" w:rsidR="0065658F" w:rsidRPr="007D1DE9" w:rsidRDefault="0065658F" w:rsidP="0065658F">
      <w:pPr>
        <w:rPr>
          <w:noProof/>
        </w:rPr>
      </w:pPr>
      <w:r w:rsidRPr="007D1DE9">
        <w:rPr>
          <w:noProof/>
        </w:rPr>
        <w:t>Whereas:</w:t>
      </w:r>
    </w:p>
    <w:p w14:paraId="348685C9" w14:textId="6418118D" w:rsidR="0065658F" w:rsidRPr="00C1089E" w:rsidRDefault="00374AA6" w:rsidP="00374AA6">
      <w:pPr>
        <w:pStyle w:val="Point0"/>
        <w:rPr>
          <w:noProof/>
        </w:rPr>
      </w:pPr>
      <w:r w:rsidRPr="00374AA6">
        <w:t>(1)</w:t>
      </w:r>
      <w:r w:rsidRPr="00374AA6">
        <w:tab/>
      </w:r>
      <w:r w:rsidR="0065658F" w:rsidRPr="00603F97">
        <w:rPr>
          <w:noProof/>
        </w:rPr>
        <w:t>The purpose of this Regulation is to supplement the provision set out in the first subparagraph, point (e) and the second subparagraph of Article 23(1) of Regulation (EU) 2021/691 relating to the obligation of Member States to report irregularities to the Commission concerning the EGF. To enable the Commission to perform its responsibilities concerning the protection of the Union’s financial interests, in particular to perform risk analysis, develop systems for more effective risk identification and produce reports for the purposes of such tasks, it is necessary to set out the criteria for determining the cases of irregularities that Member States are to report to the Commission and to specify which data are to be provided.</w:t>
      </w:r>
    </w:p>
    <w:p w14:paraId="27C74298" w14:textId="057B3E77" w:rsidR="0065658F" w:rsidRPr="00F516CE" w:rsidRDefault="00374AA6" w:rsidP="00374AA6">
      <w:pPr>
        <w:pStyle w:val="Point0"/>
        <w:rPr>
          <w:noProof/>
        </w:rPr>
      </w:pPr>
      <w:r w:rsidRPr="00374AA6">
        <w:t>(2)</w:t>
      </w:r>
      <w:r w:rsidRPr="00374AA6">
        <w:tab/>
      </w:r>
      <w:r w:rsidR="0065658F" w:rsidRPr="00F516CE">
        <w:rPr>
          <w:noProof/>
        </w:rPr>
        <w:t xml:space="preserve">The financial interests of the Union should be protected in the same way irrespective of the funds concerned and the objectives for which such funds are established. To that end, Article 23(6) of Regulation (EU) 2021/691 empowers the Commission to adopt rules to supplement the provisions on Member States’ obligation to report irregularities relating to the financing of the EGF.  </w:t>
      </w:r>
      <w:r w:rsidR="0065658F" w:rsidRPr="00603F97">
        <w:rPr>
          <w:noProof/>
        </w:rPr>
        <w:t>Such rules should be equivalent to the detailed rules on the reporting of irregularities set out in Annex XII, Section 1, to</w:t>
      </w:r>
      <w:r w:rsidR="0065658F" w:rsidRPr="00F516CE" w:rsidDel="00694CF7">
        <w:rPr>
          <w:noProof/>
        </w:rPr>
        <w:t xml:space="preserve"> </w:t>
      </w:r>
      <w:r w:rsidR="0065658F" w:rsidRPr="00603F97">
        <w:rPr>
          <w:noProof/>
        </w:rPr>
        <w:t>Regulation (EU) 2021/1060 of the European Parliament and of the Council</w:t>
      </w:r>
      <w:r w:rsidR="0065658F" w:rsidRPr="00F516CE">
        <w:rPr>
          <w:rStyle w:val="FootnoteReference"/>
          <w:noProof/>
        </w:rPr>
        <w:footnoteReference w:id="4"/>
      </w:r>
      <w:r w:rsidR="0065658F" w:rsidRPr="00603F97">
        <w:rPr>
          <w:noProof/>
        </w:rPr>
        <w:t xml:space="preserve"> and in line with the rules set out in Commission Delegated Regulation (EU) </w:t>
      </w:r>
      <w:r w:rsidR="00DA4DA4" w:rsidRPr="00DA4DA4">
        <w:rPr>
          <w:noProof/>
        </w:rPr>
        <w:t>…/…</w:t>
      </w:r>
      <w:r w:rsidR="00C657F3" w:rsidRPr="00F516CE">
        <w:rPr>
          <w:rStyle w:val="FootnoteReference"/>
          <w:noProof/>
        </w:rPr>
        <w:footnoteReference w:id="5"/>
      </w:r>
      <w:r w:rsidR="00C657F3" w:rsidRPr="00603F97">
        <w:rPr>
          <w:noProof/>
        </w:rPr>
        <w:t xml:space="preserve"> </w:t>
      </w:r>
      <w:r w:rsidR="00DA4DA4" w:rsidRPr="00DA4DA4">
        <w:rPr>
          <w:noProof/>
        </w:rPr>
        <w:t xml:space="preserve"> </w:t>
      </w:r>
      <w:r w:rsidR="00DA4DA4">
        <w:rPr>
          <w:noProof/>
        </w:rPr>
        <w:t>[</w:t>
      </w:r>
      <w:r w:rsidR="004058F3" w:rsidRPr="006E3055">
        <w:rPr>
          <w:i/>
          <w:iCs/>
          <w:noProof/>
        </w:rPr>
        <w:t>OP – please insert reference to</w:t>
      </w:r>
      <w:r w:rsidR="004058F3">
        <w:rPr>
          <w:noProof/>
        </w:rPr>
        <w:t xml:space="preserve"> </w:t>
      </w:r>
      <w:r w:rsidR="00DA4DA4" w:rsidRPr="00DA4DA4">
        <w:rPr>
          <w:i/>
          <w:noProof/>
        </w:rPr>
        <w:t>Delegated Regulation supplementing Regulation (EU) 2021/2116</w:t>
      </w:r>
      <w:r w:rsidR="004058F3">
        <w:rPr>
          <w:i/>
          <w:noProof/>
        </w:rPr>
        <w:t xml:space="preserve"> – C(2023) </w:t>
      </w:r>
      <w:r w:rsidR="006642DC">
        <w:rPr>
          <w:i/>
          <w:noProof/>
        </w:rPr>
        <w:t>8459</w:t>
      </w:r>
      <w:r w:rsidR="00DA4DA4">
        <w:rPr>
          <w:noProof/>
        </w:rPr>
        <w:t>]</w:t>
      </w:r>
      <w:r w:rsidR="0065658F" w:rsidRPr="00603F97">
        <w:rPr>
          <w:noProof/>
        </w:rPr>
        <w:t xml:space="preserve">. </w:t>
      </w:r>
    </w:p>
    <w:p w14:paraId="22527B24" w14:textId="5657E865" w:rsidR="0065658F" w:rsidRDefault="00374AA6" w:rsidP="00374AA6">
      <w:pPr>
        <w:pStyle w:val="Point0"/>
        <w:rPr>
          <w:noProof/>
        </w:rPr>
      </w:pPr>
      <w:r w:rsidRPr="00374AA6">
        <w:t>(3)</w:t>
      </w:r>
      <w:r w:rsidRPr="00374AA6">
        <w:tab/>
      </w:r>
      <w:r w:rsidR="0065658F" w:rsidRPr="007D1DE9">
        <w:rPr>
          <w:noProof/>
        </w:rPr>
        <w:t xml:space="preserve">To enable a consistent application of the reporting requirements across the Member States, it is necessary </w:t>
      </w:r>
      <w:r w:rsidR="0065658F">
        <w:rPr>
          <w:noProof/>
        </w:rPr>
        <w:t xml:space="preserve">to define </w:t>
      </w:r>
      <w:r w:rsidR="0065658F" w:rsidRPr="007D1DE9">
        <w:rPr>
          <w:noProof/>
        </w:rPr>
        <w:t>the term ‘suspected fraud’, taking into account the definition of fraud and other criminal offences in Article 3(2)</w:t>
      </w:r>
      <w:r w:rsidR="0065658F">
        <w:rPr>
          <w:noProof/>
        </w:rPr>
        <w:t xml:space="preserve">, points </w:t>
      </w:r>
      <w:r w:rsidR="0065658F" w:rsidRPr="007D1DE9">
        <w:rPr>
          <w:noProof/>
        </w:rPr>
        <w:t>(a) and (b)</w:t>
      </w:r>
      <w:r w:rsidR="0065658F">
        <w:rPr>
          <w:noProof/>
        </w:rPr>
        <w:t>,</w:t>
      </w:r>
      <w:r w:rsidR="0065658F" w:rsidRPr="007D1DE9">
        <w:rPr>
          <w:noProof/>
        </w:rPr>
        <w:t xml:space="preserve"> and Article 4</w:t>
      </w:r>
      <w:r w:rsidR="0065658F">
        <w:rPr>
          <w:noProof/>
        </w:rPr>
        <w:t>(1), (2) and (3),</w:t>
      </w:r>
      <w:r w:rsidR="0065658F" w:rsidRPr="007D1DE9">
        <w:rPr>
          <w:noProof/>
        </w:rPr>
        <w:t xml:space="preserve"> of Directive (EU) 2017/1371 of the European Parliament and of the Council</w:t>
      </w:r>
      <w:r w:rsidR="0065658F" w:rsidRPr="007D1DE9">
        <w:rPr>
          <w:rStyle w:val="FootnoteReference"/>
          <w:noProof/>
        </w:rPr>
        <w:footnoteReference w:id="6"/>
      </w:r>
      <w:r w:rsidR="0065658F" w:rsidRPr="007D1DE9">
        <w:rPr>
          <w:noProof/>
        </w:rPr>
        <w:t xml:space="preserve"> and, for the Member States not bound by that Directive, </w:t>
      </w:r>
      <w:r w:rsidR="0065658F">
        <w:rPr>
          <w:noProof/>
        </w:rPr>
        <w:t xml:space="preserve">in </w:t>
      </w:r>
      <w:r w:rsidR="0065658F" w:rsidRPr="007D1DE9">
        <w:rPr>
          <w:noProof/>
        </w:rPr>
        <w:t>Article 1(1)</w:t>
      </w:r>
      <w:r w:rsidR="0065658F">
        <w:rPr>
          <w:noProof/>
        </w:rPr>
        <w:t xml:space="preserve">, point </w:t>
      </w:r>
      <w:r w:rsidR="0065658F" w:rsidRPr="007D1DE9">
        <w:rPr>
          <w:noProof/>
        </w:rPr>
        <w:t>(a)</w:t>
      </w:r>
      <w:r w:rsidR="0065658F">
        <w:rPr>
          <w:noProof/>
        </w:rPr>
        <w:t>,</w:t>
      </w:r>
      <w:r w:rsidR="0065658F" w:rsidRPr="007D1DE9">
        <w:rPr>
          <w:noProof/>
        </w:rPr>
        <w:t xml:space="preserve"> </w:t>
      </w:r>
      <w:r w:rsidR="0065658F">
        <w:rPr>
          <w:noProof/>
        </w:rPr>
        <w:t xml:space="preserve">of </w:t>
      </w:r>
      <w:r w:rsidR="0065658F" w:rsidRPr="007D1DE9">
        <w:rPr>
          <w:noProof/>
        </w:rPr>
        <w:t xml:space="preserve">the </w:t>
      </w:r>
      <w:r w:rsidR="0065658F" w:rsidRPr="00D1254E">
        <w:rPr>
          <w:noProof/>
        </w:rPr>
        <w:t>Convention drawn up on the basis of Article K.3 of the Treaty on European Union, on the protection of the European Communities' financial interests</w:t>
      </w:r>
      <w:r w:rsidR="0065658F" w:rsidRPr="007D1DE9">
        <w:rPr>
          <w:rStyle w:val="FootnoteReference"/>
          <w:noProof/>
        </w:rPr>
        <w:footnoteReference w:id="7"/>
      </w:r>
      <w:r w:rsidR="0065658F" w:rsidRPr="007D1DE9">
        <w:rPr>
          <w:noProof/>
        </w:rPr>
        <w:t xml:space="preserve">. </w:t>
      </w:r>
    </w:p>
    <w:p w14:paraId="514AD737" w14:textId="37C9DE0A" w:rsidR="0065658F" w:rsidRDefault="00374AA6" w:rsidP="00374AA6">
      <w:pPr>
        <w:pStyle w:val="Point0"/>
        <w:rPr>
          <w:noProof/>
        </w:rPr>
      </w:pPr>
      <w:r w:rsidRPr="00374AA6">
        <w:t>(4)</w:t>
      </w:r>
      <w:r w:rsidRPr="00374AA6">
        <w:tab/>
      </w:r>
      <w:r w:rsidR="0065658F" w:rsidRPr="007D1DE9">
        <w:rPr>
          <w:noProof/>
        </w:rPr>
        <w:t xml:space="preserve">Similarly, the term ‘primary administrative or judicial finding’ should be defined to ensure effectiveness and consistency in the implementation of the reporting obligations. </w:t>
      </w:r>
    </w:p>
    <w:p w14:paraId="3F2F293B" w14:textId="6E93D11B" w:rsidR="0065658F" w:rsidRPr="007D1DE9" w:rsidRDefault="00374AA6" w:rsidP="00374AA6">
      <w:pPr>
        <w:pStyle w:val="Point0"/>
        <w:rPr>
          <w:noProof/>
        </w:rPr>
      </w:pPr>
      <w:r w:rsidRPr="00374AA6">
        <w:t>(5)</w:t>
      </w:r>
      <w:r w:rsidRPr="00374AA6">
        <w:tab/>
      </w:r>
      <w:r w:rsidR="0065658F">
        <w:rPr>
          <w:noProof/>
        </w:rPr>
        <w:t xml:space="preserve">It is necessary to clarify that the </w:t>
      </w:r>
      <w:r w:rsidR="0065658F" w:rsidRPr="007D1DE9">
        <w:rPr>
          <w:noProof/>
        </w:rPr>
        <w:t xml:space="preserve">expression ‘economic operator’ </w:t>
      </w:r>
      <w:r w:rsidR="0065658F">
        <w:rPr>
          <w:noProof/>
        </w:rPr>
        <w:t>f</w:t>
      </w:r>
      <w:r w:rsidR="0065658F" w:rsidRPr="007D1DE9">
        <w:rPr>
          <w:noProof/>
        </w:rPr>
        <w:t xml:space="preserve">or the purposes of </w:t>
      </w:r>
      <w:r w:rsidR="0065658F">
        <w:rPr>
          <w:noProof/>
        </w:rPr>
        <w:t xml:space="preserve">applying the notion of </w:t>
      </w:r>
      <w:r w:rsidR="0065658F" w:rsidRPr="007D1DE9">
        <w:rPr>
          <w:noProof/>
        </w:rPr>
        <w:t>‘irregularity’ within the meaning</w:t>
      </w:r>
      <w:r w:rsidR="0065658F">
        <w:rPr>
          <w:noProof/>
        </w:rPr>
        <w:t xml:space="preserve"> </w:t>
      </w:r>
      <w:r w:rsidR="0065658F" w:rsidRPr="007D1DE9">
        <w:rPr>
          <w:noProof/>
        </w:rPr>
        <w:t xml:space="preserve">of Article 3(4) of Regulation (EU) 2021/691, </w:t>
      </w:r>
      <w:r w:rsidR="0065658F">
        <w:rPr>
          <w:noProof/>
        </w:rPr>
        <w:t>should mean</w:t>
      </w:r>
      <w:r w:rsidR="0065658F" w:rsidRPr="007D1DE9">
        <w:rPr>
          <w:noProof/>
        </w:rPr>
        <w:t xml:space="preserve"> any natural or legal person or other entity taking part in the implementation of assistance from the Fund, with the exception of a Member State exercising its prerogatives as a public authority within the meaning of Article 2</w:t>
      </w:r>
      <w:r w:rsidR="0065658F">
        <w:rPr>
          <w:noProof/>
        </w:rPr>
        <w:t xml:space="preserve">, point </w:t>
      </w:r>
      <w:r w:rsidR="0065658F" w:rsidRPr="007D1DE9">
        <w:rPr>
          <w:noProof/>
        </w:rPr>
        <w:t>(30)</w:t>
      </w:r>
      <w:r w:rsidR="0065658F">
        <w:rPr>
          <w:noProof/>
        </w:rPr>
        <w:t>,</w:t>
      </w:r>
      <w:r w:rsidR="0065658F" w:rsidRPr="007D1DE9">
        <w:rPr>
          <w:noProof/>
        </w:rPr>
        <w:t xml:space="preserve"> of Regulation (EU) 2021/1060.</w:t>
      </w:r>
    </w:p>
    <w:p w14:paraId="0F4D8485" w14:textId="2C26FBBA" w:rsidR="0065658F" w:rsidRPr="007D1DE9" w:rsidRDefault="00374AA6" w:rsidP="00374AA6">
      <w:pPr>
        <w:pStyle w:val="Point0"/>
        <w:rPr>
          <w:noProof/>
        </w:rPr>
      </w:pPr>
      <w:r w:rsidRPr="00374AA6">
        <w:t>(6)</w:t>
      </w:r>
      <w:r w:rsidRPr="00374AA6">
        <w:tab/>
      </w:r>
      <w:r w:rsidR="0065658F" w:rsidRPr="007D1DE9">
        <w:rPr>
          <w:noProof/>
        </w:rPr>
        <w:t>Regulation (EU) 2021/1060 specifies the reporting threshold below which irregularities do not need to be reported to the Commission</w:t>
      </w:r>
      <w:r w:rsidR="0065658F">
        <w:rPr>
          <w:noProof/>
        </w:rPr>
        <w:t>,</w:t>
      </w:r>
      <w:r w:rsidR="0065658F" w:rsidRPr="007D1DE9">
        <w:rPr>
          <w:noProof/>
        </w:rPr>
        <w:t xml:space="preserve"> and cases for which there is no need for reporting. </w:t>
      </w:r>
      <w:r w:rsidR="0065658F">
        <w:rPr>
          <w:noProof/>
        </w:rPr>
        <w:t>T</w:t>
      </w:r>
      <w:r w:rsidR="0065658F" w:rsidRPr="007D1DE9">
        <w:rPr>
          <w:noProof/>
        </w:rPr>
        <w:t xml:space="preserve">o strike a balance between the administrative burden on Member States and the common interest in the provision of accurate data for analysis in the Union’s fight against fraud, it is appropriate to align the reporting thresholds and the derogations for the reporting of irregularities under this </w:t>
      </w:r>
      <w:r w:rsidR="0065658F">
        <w:rPr>
          <w:noProof/>
        </w:rPr>
        <w:t xml:space="preserve">Delegated </w:t>
      </w:r>
      <w:r w:rsidR="0065658F" w:rsidRPr="00F516CE">
        <w:rPr>
          <w:noProof/>
        </w:rPr>
        <w:t>Regulation with those under Regulation (EU) 2021/1060.</w:t>
      </w:r>
    </w:p>
    <w:p w14:paraId="2BE18BC1" w14:textId="0FAE48AE" w:rsidR="0065658F" w:rsidRPr="007D1DE9" w:rsidRDefault="00374AA6" w:rsidP="00374AA6">
      <w:pPr>
        <w:pStyle w:val="Point0"/>
        <w:rPr>
          <w:noProof/>
        </w:rPr>
      </w:pPr>
      <w:r w:rsidRPr="00374AA6">
        <w:t>(7)</w:t>
      </w:r>
      <w:r w:rsidRPr="00374AA6">
        <w:tab/>
      </w:r>
      <w:r w:rsidR="0065658F" w:rsidRPr="007D1DE9">
        <w:rPr>
          <w:noProof/>
        </w:rPr>
        <w:t>To ensure consistency of reporting</w:t>
      </w:r>
      <w:r w:rsidR="0065658F">
        <w:rPr>
          <w:noProof/>
        </w:rPr>
        <w:t>,</w:t>
      </w:r>
      <w:r w:rsidR="0065658F" w:rsidRPr="007D1DE9">
        <w:rPr>
          <w:noProof/>
        </w:rPr>
        <w:t xml:space="preserve"> it is necessary to set criteria for determining the cases of irregularity to be initially reported and the data to be provided in such initial reports.</w:t>
      </w:r>
    </w:p>
    <w:p w14:paraId="06BB2FC0" w14:textId="26A128FD" w:rsidR="0065658F" w:rsidRPr="007D1DE9" w:rsidRDefault="00374AA6" w:rsidP="00374AA6">
      <w:pPr>
        <w:pStyle w:val="Point0"/>
        <w:rPr>
          <w:noProof/>
        </w:rPr>
      </w:pPr>
      <w:r w:rsidRPr="00374AA6">
        <w:t>(8)</w:t>
      </w:r>
      <w:r w:rsidRPr="00374AA6">
        <w:tab/>
      </w:r>
      <w:r w:rsidR="0065658F" w:rsidRPr="007D1DE9">
        <w:rPr>
          <w:noProof/>
        </w:rPr>
        <w:t xml:space="preserve">To ensure the data provided to the Commission is accurate, </w:t>
      </w:r>
      <w:r w:rsidR="0065658F" w:rsidRPr="00B34B8C">
        <w:rPr>
          <w:noProof/>
        </w:rPr>
        <w:t>follow-up reporting</w:t>
      </w:r>
      <w:r w:rsidR="0065658F" w:rsidRPr="007D1DE9">
        <w:rPr>
          <w:noProof/>
        </w:rPr>
        <w:t xml:space="preserve"> is necessary. Member States should, therefore, provide the Commission with up-to-date information on any significant progress in the administrative and legal procedures or proceedings related to each initial report.</w:t>
      </w:r>
    </w:p>
    <w:p w14:paraId="56239AE9" w14:textId="56CD8CD8" w:rsidR="0065658F" w:rsidRDefault="00374AA6" w:rsidP="00374AA6">
      <w:pPr>
        <w:pStyle w:val="Point0"/>
        <w:rPr>
          <w:noProof/>
        </w:rPr>
      </w:pPr>
      <w:r w:rsidRPr="00374AA6">
        <w:t>(9)</w:t>
      </w:r>
      <w:r w:rsidRPr="00374AA6">
        <w:tab/>
      </w:r>
      <w:r w:rsidR="0065658F" w:rsidRPr="007D1DE9">
        <w:rPr>
          <w:noProof/>
        </w:rPr>
        <w:t xml:space="preserve">Where it is necessary for the purpose of this Regulation to process personal data, this </w:t>
      </w:r>
      <w:r w:rsidR="0065658F">
        <w:rPr>
          <w:noProof/>
        </w:rPr>
        <w:t>should</w:t>
      </w:r>
      <w:r w:rsidR="0065658F" w:rsidRPr="007D1DE9">
        <w:rPr>
          <w:noProof/>
        </w:rPr>
        <w:t xml:space="preserve"> be carried out in accordance with Union law on the protection of personal data. In light of Regulation (EU) 2016/679 of the European Parliament and of the Council</w:t>
      </w:r>
      <w:r w:rsidR="0065658F" w:rsidRPr="007D1DE9">
        <w:rPr>
          <w:rStyle w:val="FootnoteReference"/>
          <w:noProof/>
        </w:rPr>
        <w:footnoteReference w:id="8"/>
      </w:r>
      <w:r w:rsidR="0065658F" w:rsidRPr="007D1DE9">
        <w:rPr>
          <w:noProof/>
        </w:rPr>
        <w:t xml:space="preserve"> and Regulation </w:t>
      </w:r>
      <w:r w:rsidR="0065658F">
        <w:rPr>
          <w:noProof/>
        </w:rPr>
        <w:t xml:space="preserve">(EU) </w:t>
      </w:r>
      <w:r w:rsidR="0065658F" w:rsidRPr="007D1DE9">
        <w:rPr>
          <w:noProof/>
        </w:rPr>
        <w:t>2018/1725 of the European Parliament and of the Council</w:t>
      </w:r>
      <w:r w:rsidR="0065658F" w:rsidRPr="007D1DE9">
        <w:rPr>
          <w:rStyle w:val="FootnoteReference"/>
          <w:noProof/>
        </w:rPr>
        <w:footnoteReference w:id="9"/>
      </w:r>
      <w:r w:rsidR="0065658F" w:rsidRPr="007D1DE9">
        <w:rPr>
          <w:noProof/>
        </w:rPr>
        <w:t>, the Commission and the Member States should, in relation to the information provided pursuant to this Regulation, prevent any unauthorised disclosure of, or access to, personal data. In addition, this Regulation should specify the purposes for which the Commission and the Member States may process that data.</w:t>
      </w:r>
      <w:r w:rsidR="0065658F">
        <w:rPr>
          <w:noProof/>
        </w:rPr>
        <w:t xml:space="preserve"> </w:t>
      </w:r>
      <w:r w:rsidR="0065658F" w:rsidRPr="00445105">
        <w:rPr>
          <w:noProof/>
        </w:rPr>
        <w:t>Any further use thereof is without prejudice to Article 6(4) of Regulation (EU) 2016/679</w:t>
      </w:r>
      <w:r w:rsidR="0065658F">
        <w:rPr>
          <w:noProof/>
        </w:rPr>
        <w:t>.</w:t>
      </w:r>
    </w:p>
    <w:p w14:paraId="2EFAC565" w14:textId="12E7845D" w:rsidR="0065658F" w:rsidRPr="007D1DE9" w:rsidRDefault="00374AA6" w:rsidP="00374AA6">
      <w:pPr>
        <w:pStyle w:val="Point0"/>
        <w:rPr>
          <w:noProof/>
        </w:rPr>
      </w:pPr>
      <w:r w:rsidRPr="00374AA6">
        <w:t>(10)</w:t>
      </w:r>
      <w:r w:rsidRPr="00374AA6">
        <w:tab/>
      </w:r>
      <w:r w:rsidR="0065658F" w:rsidRPr="00A22C2B">
        <w:rPr>
          <w:noProof/>
        </w:rPr>
        <w:t>The obligations of Member States to report irregularities to the Commission via the Irregularity Management System (IMS) under Regulation (EU) 2021/691 </w:t>
      </w:r>
      <w:r w:rsidR="0065658F">
        <w:rPr>
          <w:noProof/>
        </w:rPr>
        <w:t>should be applied</w:t>
      </w:r>
      <w:r w:rsidR="0065658F" w:rsidRPr="00A22C2B">
        <w:rPr>
          <w:noProof/>
        </w:rPr>
        <w:t xml:space="preserve"> without prejudice to their obligations pursuant to Regulation (EU, Euratom) </w:t>
      </w:r>
      <w:r w:rsidR="006059E9">
        <w:rPr>
          <w:noProof/>
        </w:rPr>
        <w:t xml:space="preserve">No </w:t>
      </w:r>
      <w:r w:rsidR="0065658F" w:rsidRPr="00A22C2B">
        <w:rPr>
          <w:noProof/>
        </w:rPr>
        <w:t>883/2013</w:t>
      </w:r>
      <w:r w:rsidR="0065658F">
        <w:rPr>
          <w:noProof/>
        </w:rPr>
        <w:t xml:space="preserve"> of </w:t>
      </w:r>
      <w:r w:rsidR="0065658F" w:rsidRPr="00A22C2B">
        <w:rPr>
          <w:noProof/>
        </w:rPr>
        <w:t>the European Parliament and of the Council</w:t>
      </w:r>
      <w:r w:rsidR="0065658F">
        <w:rPr>
          <w:rStyle w:val="FootnoteReference"/>
          <w:noProof/>
        </w:rPr>
        <w:footnoteReference w:id="10"/>
      </w:r>
      <w:r w:rsidR="0065658F" w:rsidRPr="00A22C2B">
        <w:rPr>
          <w:noProof/>
        </w:rPr>
        <w:t xml:space="preserve"> and Council Regulation (EU) 2017/1939</w:t>
      </w:r>
      <w:r w:rsidR="0065658F">
        <w:rPr>
          <w:noProof/>
        </w:rPr>
        <w:t>.</w:t>
      </w:r>
      <w:r w:rsidR="0065658F">
        <w:rPr>
          <w:rStyle w:val="FootnoteReference"/>
          <w:noProof/>
        </w:rPr>
        <w:footnoteReference w:id="11"/>
      </w:r>
    </w:p>
    <w:p w14:paraId="65738AFB" w14:textId="5874C647" w:rsidR="0065658F" w:rsidRPr="007D1DE9" w:rsidRDefault="00374AA6" w:rsidP="00374AA6">
      <w:pPr>
        <w:pStyle w:val="Point0"/>
        <w:rPr>
          <w:noProof/>
        </w:rPr>
      </w:pPr>
      <w:r w:rsidRPr="00374AA6">
        <w:t>(11)</w:t>
      </w:r>
      <w:r w:rsidRPr="00374AA6">
        <w:tab/>
      </w:r>
      <w:r w:rsidR="0065658F" w:rsidRPr="007D1DE9">
        <w:rPr>
          <w:noProof/>
        </w:rPr>
        <w:t>The European Data Protection Supervisor was consulted on this Regulation in accordance with Article 42(1) of Regulation (EU) 2018/1725.</w:t>
      </w:r>
    </w:p>
    <w:p w14:paraId="1CA7B07A" w14:textId="66EE20FF" w:rsidR="0065658F" w:rsidRPr="007D1DE9" w:rsidRDefault="00374AA6" w:rsidP="00374AA6">
      <w:pPr>
        <w:pStyle w:val="Point0"/>
        <w:rPr>
          <w:noProof/>
        </w:rPr>
      </w:pPr>
      <w:r w:rsidRPr="00374AA6">
        <w:t>(12)</w:t>
      </w:r>
      <w:r w:rsidRPr="00374AA6">
        <w:tab/>
      </w:r>
      <w:r w:rsidR="0065658F" w:rsidRPr="007D1DE9">
        <w:rPr>
          <w:noProof/>
        </w:rPr>
        <w:t>As reportable irregularities could already have occurred</w:t>
      </w:r>
      <w:r w:rsidR="0065658F">
        <w:rPr>
          <w:noProof/>
        </w:rPr>
        <w:t xml:space="preserve"> and it is of the interest of the Union to address such irregularities</w:t>
      </w:r>
      <w:r w:rsidR="0065658F" w:rsidRPr="007D1DE9">
        <w:rPr>
          <w:noProof/>
        </w:rPr>
        <w:t xml:space="preserve">, this Regulation should apply </w:t>
      </w:r>
      <w:r w:rsidR="0065658F">
        <w:rPr>
          <w:noProof/>
        </w:rPr>
        <w:t>as soon as possible</w:t>
      </w:r>
      <w:r w:rsidR="0065658F" w:rsidRPr="007D1DE9">
        <w:rPr>
          <w:noProof/>
        </w:rPr>
        <w:t xml:space="preserve">. </w:t>
      </w:r>
      <w:r w:rsidR="0065658F">
        <w:rPr>
          <w:noProof/>
        </w:rPr>
        <w:t>It</w:t>
      </w:r>
      <w:r w:rsidR="0065658F" w:rsidRPr="007D1DE9">
        <w:rPr>
          <w:noProof/>
        </w:rPr>
        <w:t xml:space="preserve"> should therefore enter into force on the day following that of its publication in the </w:t>
      </w:r>
      <w:r w:rsidR="0065658F" w:rsidRPr="00275CF9">
        <w:rPr>
          <w:i/>
          <w:noProof/>
        </w:rPr>
        <w:t>Official Journal of the European Union</w:t>
      </w:r>
      <w:r w:rsidR="0065658F" w:rsidRPr="007D1DE9">
        <w:rPr>
          <w:noProof/>
        </w:rPr>
        <w:t>,</w:t>
      </w:r>
    </w:p>
    <w:p w14:paraId="682A045F" w14:textId="77777777" w:rsidR="0065658F" w:rsidRPr="00937BA9" w:rsidRDefault="0065658F" w:rsidP="009343DF">
      <w:pPr>
        <w:pStyle w:val="Formuledadoption"/>
        <w:rPr>
          <w:noProof/>
        </w:rPr>
      </w:pPr>
      <w:r w:rsidRPr="00937BA9">
        <w:rPr>
          <w:noProof/>
        </w:rPr>
        <w:t>HAS ADOPTED THIS REGULATION:</w:t>
      </w:r>
    </w:p>
    <w:p w14:paraId="2EF6985D" w14:textId="77777777" w:rsidR="0065658F" w:rsidRPr="007D1DE9" w:rsidRDefault="0065658F" w:rsidP="0065658F">
      <w:pPr>
        <w:pStyle w:val="Titrearticle"/>
        <w:rPr>
          <w:noProof/>
        </w:rPr>
      </w:pPr>
      <w:r w:rsidRPr="007D1DE9">
        <w:rPr>
          <w:noProof/>
        </w:rPr>
        <w:t>Article 1</w:t>
      </w:r>
    </w:p>
    <w:p w14:paraId="453FF82F" w14:textId="77777777" w:rsidR="0065658F" w:rsidRPr="006E3055" w:rsidRDefault="0065658F" w:rsidP="0065658F">
      <w:pPr>
        <w:jc w:val="center"/>
        <w:rPr>
          <w:b/>
          <w:bCs/>
          <w:noProof/>
        </w:rPr>
      </w:pPr>
      <w:r w:rsidRPr="006E3055">
        <w:rPr>
          <w:b/>
          <w:bCs/>
          <w:noProof/>
        </w:rPr>
        <w:t>Subject matter</w:t>
      </w:r>
    </w:p>
    <w:p w14:paraId="4220F918" w14:textId="77777777" w:rsidR="0065658F" w:rsidRPr="007D1DE9" w:rsidRDefault="0065658F" w:rsidP="0065658F">
      <w:pPr>
        <w:rPr>
          <w:noProof/>
        </w:rPr>
      </w:pPr>
      <w:r w:rsidRPr="00603F97">
        <w:rPr>
          <w:noProof/>
        </w:rPr>
        <w:t>This Regulation sets out the criteria for determining the cases of irregularity to be reported by Member States and the data to be provided in that context.</w:t>
      </w:r>
    </w:p>
    <w:p w14:paraId="0600D547" w14:textId="77777777" w:rsidR="0065658F" w:rsidRPr="007D1DE9" w:rsidRDefault="0065658F" w:rsidP="0065658F">
      <w:pPr>
        <w:pStyle w:val="Titrearticle"/>
        <w:rPr>
          <w:noProof/>
        </w:rPr>
      </w:pPr>
      <w:r w:rsidRPr="007D1DE9">
        <w:rPr>
          <w:noProof/>
        </w:rPr>
        <w:t>Article 2</w:t>
      </w:r>
    </w:p>
    <w:p w14:paraId="6902CA2D" w14:textId="77777777" w:rsidR="0065658F" w:rsidRPr="007D1DE9" w:rsidRDefault="0065658F" w:rsidP="0065658F">
      <w:pPr>
        <w:jc w:val="center"/>
        <w:rPr>
          <w:b/>
          <w:noProof/>
        </w:rPr>
      </w:pPr>
      <w:r w:rsidRPr="007D1DE9">
        <w:rPr>
          <w:b/>
          <w:noProof/>
        </w:rPr>
        <w:t>Definitions</w:t>
      </w:r>
    </w:p>
    <w:p w14:paraId="2B1301D5" w14:textId="77777777" w:rsidR="0065658F" w:rsidRPr="007D1DE9" w:rsidRDefault="0065658F" w:rsidP="0065658F">
      <w:pPr>
        <w:rPr>
          <w:noProof/>
        </w:rPr>
      </w:pPr>
      <w:r w:rsidRPr="00C1089E">
        <w:rPr>
          <w:noProof/>
        </w:rPr>
        <w:t>The definitions laid down in Regulation (EU) 2021/691 shall apply. In addition, for the purposes of this Regulation, the following definitions shall apply:</w:t>
      </w:r>
    </w:p>
    <w:p w14:paraId="133A07EC" w14:textId="0CB716B0" w:rsidR="0065658F" w:rsidRPr="007D1DE9" w:rsidRDefault="00374AA6" w:rsidP="00374AA6">
      <w:pPr>
        <w:pStyle w:val="Point0"/>
        <w:rPr>
          <w:noProof/>
        </w:rPr>
      </w:pPr>
      <w:r w:rsidRPr="00374AA6">
        <w:t>(a)</w:t>
      </w:r>
      <w:r w:rsidRPr="00374AA6">
        <w:tab/>
      </w:r>
      <w:r w:rsidR="0065658F" w:rsidRPr="007D1DE9">
        <w:rPr>
          <w:noProof/>
        </w:rPr>
        <w:t xml:space="preserve">‘suspected fraud’ means an irregularity that gives rise to the initiation of administrative or judicial proceedings at national level in order to establish the presence of </w:t>
      </w:r>
      <w:r w:rsidR="0065658F">
        <w:rPr>
          <w:noProof/>
        </w:rPr>
        <w:t xml:space="preserve">intentional behaviour, in particular </w:t>
      </w:r>
      <w:r w:rsidR="0065658F" w:rsidRPr="007D1DE9">
        <w:rPr>
          <w:noProof/>
        </w:rPr>
        <w:t>fraud or other criminal offences, as referred to</w:t>
      </w:r>
      <w:r w:rsidR="0065658F">
        <w:rPr>
          <w:noProof/>
        </w:rPr>
        <w:t>, respectively,</w:t>
      </w:r>
      <w:r w:rsidR="0065658F" w:rsidRPr="007D1DE9">
        <w:rPr>
          <w:noProof/>
        </w:rPr>
        <w:t xml:space="preserve"> in Article 3(2)</w:t>
      </w:r>
      <w:r w:rsidR="0065658F">
        <w:rPr>
          <w:noProof/>
        </w:rPr>
        <w:t>, points</w:t>
      </w:r>
      <w:r w:rsidR="0065658F" w:rsidRPr="007D1DE9">
        <w:rPr>
          <w:noProof/>
        </w:rPr>
        <w:t xml:space="preserve"> (a) and (b)</w:t>
      </w:r>
      <w:r w:rsidR="0065658F">
        <w:rPr>
          <w:noProof/>
        </w:rPr>
        <w:t>,</w:t>
      </w:r>
      <w:r w:rsidR="0065658F" w:rsidRPr="007D1DE9">
        <w:rPr>
          <w:noProof/>
        </w:rPr>
        <w:t xml:space="preserve"> and Article 4(1</w:t>
      </w:r>
      <w:r w:rsidR="0065658F">
        <w:rPr>
          <w:noProof/>
        </w:rPr>
        <w:t>), (2) and (3),</w:t>
      </w:r>
      <w:r w:rsidR="0065658F" w:rsidRPr="007D1DE9">
        <w:rPr>
          <w:noProof/>
        </w:rPr>
        <w:t xml:space="preserve"> of Directive (EU) 2017/1371 and, for the Member States not bound by that Directive, Article 1(1)</w:t>
      </w:r>
      <w:r w:rsidR="0065658F">
        <w:rPr>
          <w:noProof/>
        </w:rPr>
        <w:t xml:space="preserve">, point </w:t>
      </w:r>
      <w:r w:rsidR="0065658F" w:rsidRPr="007D1DE9">
        <w:rPr>
          <w:noProof/>
        </w:rPr>
        <w:t>(a)</w:t>
      </w:r>
      <w:r w:rsidR="0065658F">
        <w:rPr>
          <w:noProof/>
        </w:rPr>
        <w:t>,</w:t>
      </w:r>
      <w:r w:rsidR="0065658F" w:rsidRPr="007D1DE9">
        <w:rPr>
          <w:noProof/>
        </w:rPr>
        <w:t xml:space="preserve"> of the </w:t>
      </w:r>
      <w:r w:rsidR="0065658F" w:rsidRPr="00D1254E">
        <w:rPr>
          <w:noProof/>
        </w:rPr>
        <w:t>Convention drawn up on the basis of Article K.3 of the Treaty on European Union, on the protection of the European Communities' financial interests</w:t>
      </w:r>
      <w:r w:rsidR="0065658F">
        <w:rPr>
          <w:noProof/>
        </w:rPr>
        <w:t>;</w:t>
      </w:r>
    </w:p>
    <w:p w14:paraId="344E9D69" w14:textId="4797E5DF" w:rsidR="0065658F" w:rsidRPr="007D1DE9" w:rsidRDefault="00374AA6" w:rsidP="00374AA6">
      <w:pPr>
        <w:pStyle w:val="Point0"/>
        <w:rPr>
          <w:noProof/>
        </w:rPr>
      </w:pPr>
      <w:r w:rsidRPr="00374AA6">
        <w:t>(b)</w:t>
      </w:r>
      <w:r w:rsidRPr="00374AA6">
        <w:tab/>
      </w:r>
      <w:r w:rsidR="0065658F" w:rsidRPr="007D1DE9">
        <w:rPr>
          <w:noProof/>
        </w:rPr>
        <w:t>‘primary administrative or judicial finding’ means a first written assessment by a competent authority, either administrative or judicial, which has concluded on the basis of specific facts that an irregularity may have been committed, regardless of the possibility that this conclusion may subsequently have to be revised or withdrawn as a result of developments in the course of the administrative or judicial procedure.</w:t>
      </w:r>
    </w:p>
    <w:p w14:paraId="46F99338" w14:textId="77777777" w:rsidR="0065658F" w:rsidRPr="007D1DE9" w:rsidRDefault="0065658F" w:rsidP="0065658F">
      <w:pPr>
        <w:rPr>
          <w:noProof/>
        </w:rPr>
      </w:pPr>
    </w:p>
    <w:p w14:paraId="6F91AF85" w14:textId="77777777" w:rsidR="0065658F" w:rsidRPr="007D1DE9" w:rsidRDefault="0065658F" w:rsidP="0065658F">
      <w:pPr>
        <w:pStyle w:val="Titrearticle"/>
        <w:rPr>
          <w:noProof/>
        </w:rPr>
      </w:pPr>
      <w:r w:rsidRPr="007D1DE9">
        <w:rPr>
          <w:noProof/>
        </w:rPr>
        <w:t>Article 3</w:t>
      </w:r>
    </w:p>
    <w:p w14:paraId="43077BE6" w14:textId="77777777" w:rsidR="0065658F" w:rsidRPr="007D1DE9" w:rsidRDefault="0065658F" w:rsidP="0065658F">
      <w:pPr>
        <w:jc w:val="center"/>
        <w:rPr>
          <w:b/>
          <w:noProof/>
        </w:rPr>
      </w:pPr>
      <w:r w:rsidRPr="007D1DE9">
        <w:rPr>
          <w:b/>
          <w:noProof/>
        </w:rPr>
        <w:t>Reporting</w:t>
      </w:r>
    </w:p>
    <w:p w14:paraId="112906B1" w14:textId="77777777" w:rsidR="0065658F" w:rsidRPr="00C1089E" w:rsidRDefault="0065658F" w:rsidP="0065658F">
      <w:pPr>
        <w:rPr>
          <w:noProof/>
        </w:rPr>
      </w:pPr>
      <w:r w:rsidRPr="00C1089E">
        <w:rPr>
          <w:noProof/>
        </w:rPr>
        <w:t>1. Member States shall report to the Commission irregularities that have been the subject of a primary administrative or judicial finding.</w:t>
      </w:r>
    </w:p>
    <w:p w14:paraId="6DF2697F" w14:textId="77777777" w:rsidR="0065658F" w:rsidRPr="00C1089E" w:rsidRDefault="0065658F" w:rsidP="0065658F">
      <w:pPr>
        <w:rPr>
          <w:noProof/>
        </w:rPr>
      </w:pPr>
      <w:r w:rsidRPr="00C1089E">
        <w:rPr>
          <w:noProof/>
        </w:rPr>
        <w:t>2. By way of derogation from paragraph 1, Member States shall not report to the Commission:</w:t>
      </w:r>
    </w:p>
    <w:p w14:paraId="07C62BFE" w14:textId="0D9FD415" w:rsidR="0065658F" w:rsidRPr="00C1089E" w:rsidRDefault="00374AA6" w:rsidP="00374AA6">
      <w:pPr>
        <w:pStyle w:val="Point0"/>
        <w:rPr>
          <w:noProof/>
        </w:rPr>
      </w:pPr>
      <w:r w:rsidRPr="00374AA6">
        <w:t>(c)</w:t>
      </w:r>
      <w:r w:rsidRPr="00374AA6">
        <w:tab/>
      </w:r>
      <w:r w:rsidR="0065658F" w:rsidRPr="00C1089E">
        <w:rPr>
          <w:noProof/>
        </w:rPr>
        <w:t>irregularities involving a contribution from the Fund of under EUR 10 000; this derogation shall not apply to irregularities which are interlinked and which involve a total contribution from the Fund of over EUR 10 000, even when no individual irregularity exceeds that ceiling on its own;</w:t>
      </w:r>
    </w:p>
    <w:p w14:paraId="589276AE" w14:textId="4A53D85A" w:rsidR="0065658F" w:rsidRPr="00C1089E" w:rsidRDefault="00374AA6" w:rsidP="00374AA6">
      <w:pPr>
        <w:pStyle w:val="Point0"/>
        <w:rPr>
          <w:noProof/>
        </w:rPr>
      </w:pPr>
      <w:r w:rsidRPr="00374AA6">
        <w:t>(d)</w:t>
      </w:r>
      <w:r w:rsidRPr="00374AA6">
        <w:tab/>
      </w:r>
      <w:r w:rsidR="0065658F" w:rsidRPr="00C1089E">
        <w:rPr>
          <w:noProof/>
        </w:rPr>
        <w:t>cases where the irregularity consists solely of the failure to execute, in whole or in part, a measure supported by the EGF owing to the non-fraudulent bankruptcy of the economic operator involved in the implementation of the EGF;</w:t>
      </w:r>
    </w:p>
    <w:p w14:paraId="05DFCF06" w14:textId="55C6E534" w:rsidR="0065658F" w:rsidRPr="00C1089E" w:rsidRDefault="00374AA6" w:rsidP="00374AA6">
      <w:pPr>
        <w:pStyle w:val="Point0"/>
        <w:rPr>
          <w:noProof/>
        </w:rPr>
      </w:pPr>
      <w:r w:rsidRPr="00374AA6">
        <w:t>(e)</w:t>
      </w:r>
      <w:r w:rsidRPr="00374AA6">
        <w:tab/>
      </w:r>
      <w:r w:rsidR="0065658F" w:rsidRPr="00C1089E">
        <w:rPr>
          <w:noProof/>
        </w:rPr>
        <w:t>cases brought to the attention of the managing authority or other competent authority by the economic operator involved in the implementation of the EGF voluntarily and before detection by either authority, whether before or after the payment of the public contribution;</w:t>
      </w:r>
    </w:p>
    <w:p w14:paraId="7615DC8A" w14:textId="0FE4C0D8" w:rsidR="0065658F" w:rsidRPr="00C1089E" w:rsidRDefault="00374AA6" w:rsidP="00374AA6">
      <w:pPr>
        <w:pStyle w:val="Point0"/>
        <w:rPr>
          <w:noProof/>
        </w:rPr>
      </w:pPr>
      <w:r w:rsidRPr="00374AA6">
        <w:t>(f)</w:t>
      </w:r>
      <w:r w:rsidRPr="00374AA6">
        <w:tab/>
      </w:r>
      <w:r w:rsidR="0065658F" w:rsidRPr="00C1089E">
        <w:rPr>
          <w:noProof/>
        </w:rPr>
        <w:t>cases which are detected and corrected by the managing authority or other competent authority, before inclusion in the statement of expenditure submitted with the final report on the implementation of the financial contribution to the Commission.</w:t>
      </w:r>
    </w:p>
    <w:p w14:paraId="3FBA7F49" w14:textId="77777777" w:rsidR="0065658F" w:rsidRPr="00B02224" w:rsidRDefault="0065658F" w:rsidP="0065658F">
      <w:pPr>
        <w:rPr>
          <w:noProof/>
          <w:szCs w:val="24"/>
        </w:rPr>
      </w:pPr>
      <w:r w:rsidRPr="00C1089E">
        <w:rPr>
          <w:noProof/>
          <w:szCs w:val="24"/>
        </w:rPr>
        <w:t>The derogations in points (c) and (d) of the preceding subparagraph shall not apply to the cases of irregularity as referred to in Article 2, point (a).</w:t>
      </w:r>
    </w:p>
    <w:p w14:paraId="70B1F5BF" w14:textId="77777777" w:rsidR="0065658F" w:rsidRPr="007D1DE9" w:rsidRDefault="0065658F" w:rsidP="0065658F">
      <w:pPr>
        <w:rPr>
          <w:noProof/>
        </w:rPr>
      </w:pPr>
      <w:r w:rsidRPr="007D1DE9">
        <w:rPr>
          <w:noProof/>
        </w:rPr>
        <w:t>3. In the initial report</w:t>
      </w:r>
      <w:r>
        <w:rPr>
          <w:noProof/>
        </w:rPr>
        <w:t xml:space="preserve"> of the irregularities</w:t>
      </w:r>
      <w:r w:rsidRPr="007D1DE9">
        <w:rPr>
          <w:noProof/>
        </w:rPr>
        <w:t>, Member States shall provide the following information:</w:t>
      </w:r>
    </w:p>
    <w:p w14:paraId="762DA59B" w14:textId="020188AB" w:rsidR="0065658F" w:rsidRPr="007D1DE9" w:rsidRDefault="00374AA6" w:rsidP="00374AA6">
      <w:pPr>
        <w:pStyle w:val="Point0"/>
        <w:rPr>
          <w:noProof/>
        </w:rPr>
      </w:pPr>
      <w:r w:rsidRPr="00374AA6">
        <w:t>(g)</w:t>
      </w:r>
      <w:r w:rsidRPr="00374AA6">
        <w:tab/>
      </w:r>
      <w:r w:rsidR="0065658F" w:rsidRPr="007D1DE9">
        <w:rPr>
          <w:noProof/>
        </w:rPr>
        <w:t xml:space="preserve">the identifiers of the EGF case (common identification code (CCI) number and case title), the measure and </w:t>
      </w:r>
      <w:r w:rsidR="0065658F">
        <w:rPr>
          <w:noProof/>
        </w:rPr>
        <w:t xml:space="preserve">the </w:t>
      </w:r>
      <w:r w:rsidR="0065658F" w:rsidRPr="007D1DE9">
        <w:rPr>
          <w:noProof/>
        </w:rPr>
        <w:t>operation concerned;</w:t>
      </w:r>
    </w:p>
    <w:p w14:paraId="50372A03" w14:textId="69DDEE08" w:rsidR="0065658F" w:rsidRPr="007D1DE9" w:rsidRDefault="00374AA6" w:rsidP="00374AA6">
      <w:pPr>
        <w:pStyle w:val="Point0"/>
        <w:rPr>
          <w:noProof/>
        </w:rPr>
      </w:pPr>
      <w:r w:rsidRPr="00374AA6">
        <w:t>(h)</w:t>
      </w:r>
      <w:r w:rsidRPr="00374AA6">
        <w:tab/>
      </w:r>
      <w:r w:rsidR="0065658F" w:rsidRPr="007D1DE9">
        <w:rPr>
          <w:noProof/>
        </w:rPr>
        <w:t>the identity of the natural or legal persons concerned, or both, or of any other entity having a role in the commission of the irregularity and their role, unless that information is irrelevant for the purposes of combating irregularities, given the nature of the irregularity concerned;</w:t>
      </w:r>
    </w:p>
    <w:p w14:paraId="6F5394EC" w14:textId="61648F65" w:rsidR="0065658F" w:rsidRPr="007D1DE9" w:rsidRDefault="00374AA6" w:rsidP="00374AA6">
      <w:pPr>
        <w:pStyle w:val="Point0"/>
        <w:rPr>
          <w:noProof/>
        </w:rPr>
      </w:pPr>
      <w:r w:rsidRPr="00374AA6">
        <w:t>(i)</w:t>
      </w:r>
      <w:r w:rsidRPr="00374AA6">
        <w:tab/>
      </w:r>
      <w:r w:rsidR="0065658F" w:rsidRPr="007D1DE9">
        <w:rPr>
          <w:noProof/>
        </w:rPr>
        <w:t>the national ID number</w:t>
      </w:r>
      <w:r w:rsidR="0065658F">
        <w:rPr>
          <w:noProof/>
        </w:rPr>
        <w:t xml:space="preserve"> of the </w:t>
      </w:r>
      <w:r w:rsidR="0065658F" w:rsidRPr="007D2119">
        <w:rPr>
          <w:noProof/>
        </w:rPr>
        <w:t>persons concerned</w:t>
      </w:r>
      <w:r w:rsidR="0065658F" w:rsidRPr="007D1DE9">
        <w:rPr>
          <w:noProof/>
        </w:rPr>
        <w:t>;</w:t>
      </w:r>
    </w:p>
    <w:p w14:paraId="748507C9" w14:textId="5F0F19FB" w:rsidR="0065658F" w:rsidRPr="007D1DE9" w:rsidRDefault="00374AA6" w:rsidP="00374AA6">
      <w:pPr>
        <w:pStyle w:val="Point0"/>
        <w:rPr>
          <w:noProof/>
        </w:rPr>
      </w:pPr>
      <w:r w:rsidRPr="00374AA6">
        <w:t>(j)</w:t>
      </w:r>
      <w:r w:rsidRPr="00374AA6">
        <w:tab/>
      </w:r>
      <w:r w:rsidR="0065658F" w:rsidRPr="007D1DE9">
        <w:rPr>
          <w:noProof/>
        </w:rPr>
        <w:t>the VAT number</w:t>
      </w:r>
      <w:r w:rsidR="0065658F">
        <w:rPr>
          <w:noProof/>
        </w:rPr>
        <w:t xml:space="preserve"> </w:t>
      </w:r>
      <w:r w:rsidR="0065658F" w:rsidRPr="006039D5">
        <w:rPr>
          <w:noProof/>
        </w:rPr>
        <w:t>of the persons concerned</w:t>
      </w:r>
      <w:r w:rsidR="0065658F" w:rsidRPr="007D1DE9">
        <w:rPr>
          <w:noProof/>
        </w:rPr>
        <w:t>;</w:t>
      </w:r>
    </w:p>
    <w:p w14:paraId="2E889325" w14:textId="3A656637" w:rsidR="0065658F" w:rsidRPr="007D1DE9" w:rsidRDefault="00374AA6" w:rsidP="00374AA6">
      <w:pPr>
        <w:pStyle w:val="Point0"/>
        <w:rPr>
          <w:noProof/>
        </w:rPr>
      </w:pPr>
      <w:r w:rsidRPr="00374AA6">
        <w:t>(k)</w:t>
      </w:r>
      <w:r w:rsidRPr="00374AA6">
        <w:tab/>
      </w:r>
      <w:r w:rsidR="0065658F" w:rsidRPr="007D1DE9">
        <w:rPr>
          <w:noProof/>
        </w:rPr>
        <w:t>the region or area where the operation has been carried out, identified using appropriate information such as the NUTS (nomenclature of territorial units for statistics) level;</w:t>
      </w:r>
    </w:p>
    <w:p w14:paraId="4881C649" w14:textId="36461A22" w:rsidR="0065658F" w:rsidRPr="007D1DE9" w:rsidRDefault="00374AA6" w:rsidP="00374AA6">
      <w:pPr>
        <w:pStyle w:val="Point0"/>
        <w:rPr>
          <w:noProof/>
        </w:rPr>
      </w:pPr>
      <w:r w:rsidRPr="00374AA6">
        <w:t>(l)</w:t>
      </w:r>
      <w:r w:rsidRPr="00374AA6">
        <w:tab/>
      </w:r>
      <w:r w:rsidR="0065658F" w:rsidRPr="007D1DE9">
        <w:rPr>
          <w:noProof/>
        </w:rPr>
        <w:t xml:space="preserve">the provision or provisions, at </w:t>
      </w:r>
      <w:r w:rsidR="0065658F">
        <w:rPr>
          <w:noProof/>
        </w:rPr>
        <w:t>Union</w:t>
      </w:r>
      <w:r w:rsidR="0065658F" w:rsidRPr="007D1DE9">
        <w:rPr>
          <w:noProof/>
        </w:rPr>
        <w:t xml:space="preserve"> and national level, which have been infringed;</w:t>
      </w:r>
    </w:p>
    <w:p w14:paraId="35A0C22D" w14:textId="50325726" w:rsidR="0065658F" w:rsidRPr="007D1DE9" w:rsidRDefault="00374AA6" w:rsidP="00374AA6">
      <w:pPr>
        <w:pStyle w:val="Point0"/>
        <w:rPr>
          <w:noProof/>
        </w:rPr>
      </w:pPr>
      <w:r w:rsidRPr="00374AA6">
        <w:t>(m)</w:t>
      </w:r>
      <w:r w:rsidRPr="00374AA6">
        <w:tab/>
      </w:r>
      <w:r w:rsidR="0065658F" w:rsidRPr="007D1DE9">
        <w:rPr>
          <w:noProof/>
        </w:rPr>
        <w:t>the date and source of the first information leading to the suspicion that an irregularity has been committed;</w:t>
      </w:r>
    </w:p>
    <w:p w14:paraId="73460226" w14:textId="01FC8977" w:rsidR="0065658F" w:rsidRPr="002422E0" w:rsidRDefault="00374AA6" w:rsidP="00374AA6">
      <w:pPr>
        <w:pStyle w:val="Point0"/>
        <w:rPr>
          <w:noProof/>
        </w:rPr>
      </w:pPr>
      <w:r w:rsidRPr="00374AA6">
        <w:t>(n)</w:t>
      </w:r>
      <w:r w:rsidRPr="00374AA6">
        <w:tab/>
      </w:r>
      <w:r w:rsidR="0065658F" w:rsidRPr="007D1DE9">
        <w:rPr>
          <w:noProof/>
        </w:rPr>
        <w:t xml:space="preserve">the </w:t>
      </w:r>
      <w:r w:rsidR="0065658F" w:rsidRPr="002422E0">
        <w:rPr>
          <w:noProof/>
        </w:rPr>
        <w:t>practices (modi operandi) employed in committing the irregularity;</w:t>
      </w:r>
    </w:p>
    <w:p w14:paraId="5FCD68C9" w14:textId="1D3E818C" w:rsidR="0065658F" w:rsidRPr="007D1DE9" w:rsidRDefault="00374AA6" w:rsidP="00374AA6">
      <w:pPr>
        <w:pStyle w:val="Point0"/>
        <w:rPr>
          <w:noProof/>
        </w:rPr>
      </w:pPr>
      <w:r w:rsidRPr="00374AA6">
        <w:t>(o)</w:t>
      </w:r>
      <w:r w:rsidRPr="00374AA6">
        <w:tab/>
      </w:r>
      <w:r w:rsidR="0065658F" w:rsidRPr="002422E0">
        <w:rPr>
          <w:noProof/>
        </w:rPr>
        <w:t>where appropriate, whether the practice</w:t>
      </w:r>
      <w:r w:rsidR="0065658F" w:rsidRPr="007D1DE9">
        <w:rPr>
          <w:noProof/>
        </w:rPr>
        <w:t xml:space="preserve"> </w:t>
      </w:r>
      <w:r w:rsidR="0065658F" w:rsidRPr="00DC07DF">
        <w:rPr>
          <w:noProof/>
        </w:rPr>
        <w:t>gives rise to</w:t>
      </w:r>
      <w:r w:rsidR="0065658F">
        <w:rPr>
          <w:noProof/>
        </w:rPr>
        <w:t xml:space="preserve"> </w:t>
      </w:r>
      <w:r w:rsidR="0065658F" w:rsidRPr="00DC07DF">
        <w:rPr>
          <w:noProof/>
        </w:rPr>
        <w:t>suspected fraud</w:t>
      </w:r>
      <w:r w:rsidR="0065658F" w:rsidRPr="007D1DE9">
        <w:rPr>
          <w:noProof/>
        </w:rPr>
        <w:t>;</w:t>
      </w:r>
    </w:p>
    <w:p w14:paraId="6639BFF5" w14:textId="4242F1AE" w:rsidR="0065658F" w:rsidRPr="007D1DE9" w:rsidRDefault="00374AA6" w:rsidP="00374AA6">
      <w:pPr>
        <w:pStyle w:val="Point0"/>
        <w:rPr>
          <w:noProof/>
        </w:rPr>
      </w:pPr>
      <w:r w:rsidRPr="00374AA6">
        <w:t>(p)</w:t>
      </w:r>
      <w:r w:rsidRPr="00374AA6">
        <w:tab/>
      </w:r>
      <w:r w:rsidR="0065658F" w:rsidRPr="007D1DE9">
        <w:rPr>
          <w:noProof/>
        </w:rPr>
        <w:t>the manner in which the irregularity was discovered;</w:t>
      </w:r>
    </w:p>
    <w:p w14:paraId="50860B25" w14:textId="178E1EDE" w:rsidR="0065658F" w:rsidRPr="007D1DE9" w:rsidRDefault="00374AA6" w:rsidP="00374AA6">
      <w:pPr>
        <w:pStyle w:val="Point0"/>
        <w:rPr>
          <w:noProof/>
        </w:rPr>
      </w:pPr>
      <w:r w:rsidRPr="00374AA6">
        <w:t>(q)</w:t>
      </w:r>
      <w:r w:rsidRPr="00374AA6">
        <w:tab/>
      </w:r>
      <w:r w:rsidR="0065658F" w:rsidRPr="007D1DE9">
        <w:rPr>
          <w:noProof/>
        </w:rPr>
        <w:t>the OLAF (European Anti-Fraud Office) case number</w:t>
      </w:r>
      <w:r w:rsidR="0065658F">
        <w:rPr>
          <w:noProof/>
        </w:rPr>
        <w:t>,</w:t>
      </w:r>
      <w:r w:rsidR="0065658F" w:rsidRPr="007D1DE9">
        <w:rPr>
          <w:noProof/>
        </w:rPr>
        <w:t xml:space="preserve"> where applicable;</w:t>
      </w:r>
    </w:p>
    <w:p w14:paraId="41666EEC" w14:textId="2F317624" w:rsidR="0065658F" w:rsidRPr="007D1DE9" w:rsidRDefault="00374AA6" w:rsidP="00374AA6">
      <w:pPr>
        <w:pStyle w:val="Point0"/>
        <w:rPr>
          <w:noProof/>
        </w:rPr>
      </w:pPr>
      <w:r w:rsidRPr="00374AA6">
        <w:t>(r)</w:t>
      </w:r>
      <w:r w:rsidRPr="00374AA6">
        <w:tab/>
      </w:r>
      <w:r w:rsidR="0065658F" w:rsidRPr="007D1DE9">
        <w:rPr>
          <w:noProof/>
        </w:rPr>
        <w:t>where appropriate, the Member States involved;</w:t>
      </w:r>
    </w:p>
    <w:p w14:paraId="11BA1D78" w14:textId="43C31CB7" w:rsidR="0065658F" w:rsidRPr="007D1DE9" w:rsidRDefault="00374AA6" w:rsidP="00374AA6">
      <w:pPr>
        <w:pStyle w:val="Point0"/>
        <w:rPr>
          <w:noProof/>
        </w:rPr>
      </w:pPr>
      <w:r w:rsidRPr="00374AA6">
        <w:t>(s)</w:t>
      </w:r>
      <w:r w:rsidRPr="00374AA6">
        <w:tab/>
      </w:r>
      <w:r w:rsidR="0065658F" w:rsidRPr="007D1DE9">
        <w:rPr>
          <w:noProof/>
        </w:rPr>
        <w:t>the period during which, or the date on which, the irregularity was committed;</w:t>
      </w:r>
    </w:p>
    <w:p w14:paraId="2C092DE1" w14:textId="2F3FF5BD" w:rsidR="0065658F" w:rsidRPr="007D1DE9" w:rsidRDefault="00374AA6" w:rsidP="00374AA6">
      <w:pPr>
        <w:pStyle w:val="Point0"/>
        <w:rPr>
          <w:noProof/>
        </w:rPr>
      </w:pPr>
      <w:r w:rsidRPr="00374AA6">
        <w:t>(t)</w:t>
      </w:r>
      <w:r w:rsidRPr="00374AA6">
        <w:tab/>
      </w:r>
      <w:r w:rsidR="0065658F" w:rsidRPr="007D1DE9">
        <w:rPr>
          <w:noProof/>
        </w:rPr>
        <w:t>the date on which the primary administrative or judicial finding on the irregularity was established;</w:t>
      </w:r>
    </w:p>
    <w:p w14:paraId="7731EDCC" w14:textId="3F4E05C4" w:rsidR="0065658F" w:rsidRPr="007D1DE9" w:rsidRDefault="00374AA6" w:rsidP="00374AA6">
      <w:pPr>
        <w:pStyle w:val="Point0"/>
        <w:rPr>
          <w:noProof/>
        </w:rPr>
      </w:pPr>
      <w:r w:rsidRPr="00374AA6">
        <w:t>(u)</w:t>
      </w:r>
      <w:r w:rsidRPr="00374AA6">
        <w:tab/>
      </w:r>
      <w:r w:rsidR="0065658F" w:rsidRPr="007D1DE9">
        <w:rPr>
          <w:noProof/>
        </w:rPr>
        <w:t>the total amount of expenditure, expressed in terms of the Union’s contribution and the national co-financing, including private contributions, if any;</w:t>
      </w:r>
    </w:p>
    <w:p w14:paraId="517C9BE0" w14:textId="270D2B97" w:rsidR="0065658F" w:rsidRPr="007D1DE9" w:rsidRDefault="00374AA6" w:rsidP="00374AA6">
      <w:pPr>
        <w:pStyle w:val="Point0"/>
        <w:rPr>
          <w:noProof/>
        </w:rPr>
      </w:pPr>
      <w:r w:rsidRPr="00374AA6">
        <w:t>(v)</w:t>
      </w:r>
      <w:r w:rsidRPr="00374AA6">
        <w:tab/>
      </w:r>
      <w:r w:rsidR="0065658F" w:rsidRPr="007D1DE9">
        <w:rPr>
          <w:noProof/>
        </w:rPr>
        <w:t>the amount affected by the irregularity expressed in terms of the Union’s contribution and the national co-financing, including private contributions, if any;</w:t>
      </w:r>
    </w:p>
    <w:p w14:paraId="3474C874" w14:textId="4BE83A30" w:rsidR="0065658F" w:rsidRPr="007D1DE9" w:rsidRDefault="00374AA6" w:rsidP="00374AA6">
      <w:pPr>
        <w:pStyle w:val="Point0"/>
        <w:rPr>
          <w:noProof/>
        </w:rPr>
      </w:pPr>
      <w:r w:rsidRPr="00374AA6">
        <w:t>(w)</w:t>
      </w:r>
      <w:r w:rsidRPr="00374AA6">
        <w:tab/>
      </w:r>
      <w:r w:rsidR="0065658F" w:rsidRPr="007D1DE9">
        <w:rPr>
          <w:noProof/>
        </w:rPr>
        <w:t>in cases of suspected fraud, and where no payment of the public contribution has been made to the economic operator involved in the implementation of the EGF, the amount which would have been unduly paid had the irregularity not been identified, expressed in terms of the Union’s contribution and the national co-financing, including private contributions, if any;</w:t>
      </w:r>
    </w:p>
    <w:p w14:paraId="7F3AC914" w14:textId="627F623A" w:rsidR="0065658F" w:rsidRPr="007D1DE9" w:rsidRDefault="00374AA6" w:rsidP="00374AA6">
      <w:pPr>
        <w:pStyle w:val="Point0"/>
        <w:rPr>
          <w:noProof/>
        </w:rPr>
      </w:pPr>
      <w:r w:rsidRPr="00374AA6">
        <w:t>(x)</w:t>
      </w:r>
      <w:r w:rsidRPr="00374AA6">
        <w:tab/>
      </w:r>
      <w:r w:rsidR="0065658F" w:rsidRPr="007D1DE9">
        <w:rPr>
          <w:noProof/>
        </w:rPr>
        <w:t>the nature of the irregular expenditure.</w:t>
      </w:r>
    </w:p>
    <w:p w14:paraId="0D40F449" w14:textId="77777777" w:rsidR="0065658F" w:rsidRPr="007D1DE9" w:rsidRDefault="0065658F" w:rsidP="0065658F">
      <w:pPr>
        <w:rPr>
          <w:noProof/>
        </w:rPr>
      </w:pPr>
      <w:r w:rsidRPr="007D1DE9">
        <w:rPr>
          <w:noProof/>
        </w:rPr>
        <w:t>4. Where national provisions provide for the confidentiality of investigations, reporting of the information shall be subject to the authorisation of the competent tribunal, court or other body in accordance with national rules.</w:t>
      </w:r>
    </w:p>
    <w:p w14:paraId="0FE85D47" w14:textId="77777777" w:rsidR="0065658F" w:rsidRPr="007D1DE9" w:rsidRDefault="0065658F" w:rsidP="0065658F">
      <w:pPr>
        <w:rPr>
          <w:noProof/>
        </w:rPr>
      </w:pPr>
      <w:r w:rsidRPr="007D1DE9">
        <w:rPr>
          <w:noProof/>
        </w:rPr>
        <w:t xml:space="preserve">5. Where some of the information referred to in paragraph 3, in particular information concerning the </w:t>
      </w:r>
      <w:r w:rsidRPr="002422E0">
        <w:rPr>
          <w:noProof/>
        </w:rPr>
        <w:t>practices</w:t>
      </w:r>
      <w:r w:rsidRPr="007D1DE9">
        <w:rPr>
          <w:noProof/>
        </w:rPr>
        <w:t xml:space="preserve"> employed in committing the irregularity and the manner in which it was discovered, is not available or needs to be rectified or complemented, Member States shall provide the Commission with the missing or correct information in follow-up reports of irregularities.</w:t>
      </w:r>
    </w:p>
    <w:p w14:paraId="604F2E94" w14:textId="77777777" w:rsidR="0065658F" w:rsidRPr="007D1DE9" w:rsidRDefault="0065658F" w:rsidP="0065658F">
      <w:pPr>
        <w:rPr>
          <w:noProof/>
        </w:rPr>
      </w:pPr>
      <w:r w:rsidRPr="007D1DE9">
        <w:rPr>
          <w:noProof/>
        </w:rPr>
        <w:t>6. Member States shall keep the Commission informed o</w:t>
      </w:r>
      <w:r w:rsidR="004D0445">
        <w:rPr>
          <w:noProof/>
        </w:rPr>
        <w:t>f</w:t>
      </w:r>
      <w:r w:rsidRPr="007D1DE9">
        <w:rPr>
          <w:noProof/>
        </w:rPr>
        <w:t xml:space="preserve"> the initiation, conclusion or abandonment of any procedures or proceedings for imposing administrative measures, administrative penalties or criminal penalties, with regard to the reported irregularities, as well as </w:t>
      </w:r>
      <w:r>
        <w:rPr>
          <w:noProof/>
        </w:rPr>
        <w:t xml:space="preserve">of </w:t>
      </w:r>
      <w:r w:rsidRPr="007D1DE9">
        <w:rPr>
          <w:noProof/>
        </w:rPr>
        <w:t>the outcome of those procedures or proceedings. With regard to irregularities for which penalties have been imposed, Member States shall also indicate:</w:t>
      </w:r>
    </w:p>
    <w:p w14:paraId="58BAD009" w14:textId="6D6BFABF" w:rsidR="0065658F" w:rsidRPr="007D1DE9" w:rsidRDefault="00374AA6" w:rsidP="00374AA6">
      <w:pPr>
        <w:pStyle w:val="Point0"/>
        <w:rPr>
          <w:noProof/>
        </w:rPr>
      </w:pPr>
      <w:r w:rsidRPr="00374AA6">
        <w:t>(a)</w:t>
      </w:r>
      <w:r w:rsidRPr="00374AA6">
        <w:tab/>
      </w:r>
      <w:r w:rsidR="0065658F" w:rsidRPr="007D1DE9">
        <w:rPr>
          <w:noProof/>
        </w:rPr>
        <w:t>whether the penalties are of an administrative or a criminal nature</w:t>
      </w:r>
      <w:r w:rsidR="0065658F" w:rsidRPr="009951DA">
        <w:rPr>
          <w:noProof/>
        </w:rPr>
        <w:t xml:space="preserve"> </w:t>
      </w:r>
      <w:r w:rsidR="0065658F" w:rsidRPr="007D1DE9">
        <w:rPr>
          <w:noProof/>
        </w:rPr>
        <w:t>and details of the penalties;</w:t>
      </w:r>
    </w:p>
    <w:p w14:paraId="11CBD52B" w14:textId="3C824A5F" w:rsidR="0065658F" w:rsidRPr="007D1DE9" w:rsidRDefault="00374AA6" w:rsidP="00374AA6">
      <w:pPr>
        <w:pStyle w:val="Point0"/>
        <w:rPr>
          <w:noProof/>
        </w:rPr>
      </w:pPr>
      <w:r w:rsidRPr="00374AA6">
        <w:t>(b)</w:t>
      </w:r>
      <w:r w:rsidRPr="00374AA6">
        <w:tab/>
      </w:r>
      <w:r w:rsidR="0065658F" w:rsidRPr="007D1DE9">
        <w:rPr>
          <w:noProof/>
        </w:rPr>
        <w:t>whether the penalties result from a breach of Union or national law;</w:t>
      </w:r>
    </w:p>
    <w:p w14:paraId="53BD9BAD" w14:textId="7ED7EBE9" w:rsidR="0065658F" w:rsidRPr="007D1DE9" w:rsidRDefault="00374AA6" w:rsidP="00374AA6">
      <w:pPr>
        <w:pStyle w:val="Point0"/>
        <w:rPr>
          <w:noProof/>
        </w:rPr>
      </w:pPr>
      <w:r w:rsidRPr="00374AA6">
        <w:t>(c)</w:t>
      </w:r>
      <w:r w:rsidRPr="00374AA6">
        <w:tab/>
      </w:r>
      <w:r w:rsidR="0065658F" w:rsidRPr="007D1DE9">
        <w:rPr>
          <w:noProof/>
        </w:rPr>
        <w:t>whether fraud was established.</w:t>
      </w:r>
    </w:p>
    <w:p w14:paraId="2C0A1982" w14:textId="77777777" w:rsidR="0065658F" w:rsidRPr="007D1DE9" w:rsidRDefault="0065658F" w:rsidP="0065658F">
      <w:pPr>
        <w:rPr>
          <w:noProof/>
        </w:rPr>
      </w:pPr>
      <w:r w:rsidRPr="007D1DE9">
        <w:rPr>
          <w:noProof/>
        </w:rPr>
        <w:t>7. At the Commission’s written request, Member State</w:t>
      </w:r>
      <w:r>
        <w:rPr>
          <w:noProof/>
        </w:rPr>
        <w:t>s</w:t>
      </w:r>
      <w:r w:rsidRPr="007D1DE9">
        <w:rPr>
          <w:noProof/>
        </w:rPr>
        <w:t xml:space="preserve"> shall provide information in relation to a specific irregularity or group of irregularities.</w:t>
      </w:r>
    </w:p>
    <w:p w14:paraId="1A816C04" w14:textId="77777777" w:rsidR="0065658F" w:rsidRPr="007D1DE9" w:rsidRDefault="0065658F" w:rsidP="0065658F">
      <w:pPr>
        <w:pStyle w:val="Titrearticle"/>
        <w:rPr>
          <w:noProof/>
        </w:rPr>
      </w:pPr>
      <w:r w:rsidRPr="007D1DE9">
        <w:rPr>
          <w:noProof/>
        </w:rPr>
        <w:t>Article 4</w:t>
      </w:r>
    </w:p>
    <w:p w14:paraId="72199C7B" w14:textId="77777777" w:rsidR="0065658F" w:rsidRPr="007D1DE9" w:rsidRDefault="0065658F" w:rsidP="0065658F">
      <w:pPr>
        <w:jc w:val="center"/>
        <w:rPr>
          <w:b/>
          <w:noProof/>
        </w:rPr>
      </w:pPr>
      <w:r w:rsidRPr="007D1DE9">
        <w:rPr>
          <w:b/>
          <w:noProof/>
        </w:rPr>
        <w:t>Use and processing of information reported</w:t>
      </w:r>
    </w:p>
    <w:p w14:paraId="5B952261" w14:textId="77777777" w:rsidR="0065658F" w:rsidRPr="007D1DE9" w:rsidRDefault="0065658F" w:rsidP="0065658F">
      <w:pPr>
        <w:rPr>
          <w:noProof/>
        </w:rPr>
      </w:pPr>
      <w:r w:rsidRPr="007D1DE9">
        <w:rPr>
          <w:noProof/>
        </w:rPr>
        <w:t>1. The Commission may use any information provided by Member States in accordance with this Regulation to perform risk analysis, using information technology support, and may, on the basis of the information obtained, produce reports and develop systems serving to identify risks more effectively.</w:t>
      </w:r>
    </w:p>
    <w:p w14:paraId="0354BB48" w14:textId="77777777" w:rsidR="0065658F" w:rsidRPr="007D1DE9" w:rsidRDefault="0065658F" w:rsidP="0065658F">
      <w:pPr>
        <w:rPr>
          <w:noProof/>
        </w:rPr>
      </w:pPr>
      <w:r w:rsidRPr="007D1DE9">
        <w:rPr>
          <w:noProof/>
        </w:rPr>
        <w:t xml:space="preserve">2. Information provided under this Regulation shall be covered by professional secrecy and protected in the same way as it would be protected by the national legislation of the Member State that provided it and by the </w:t>
      </w:r>
      <w:r>
        <w:rPr>
          <w:noProof/>
        </w:rPr>
        <w:t xml:space="preserve">relevant </w:t>
      </w:r>
      <w:r w:rsidRPr="007D1DE9">
        <w:rPr>
          <w:noProof/>
        </w:rPr>
        <w:t>provisions applicable to the Union’s institutions. Member States and the Commission shall take all necessary precautions to ensure that the information remains confidential.</w:t>
      </w:r>
    </w:p>
    <w:p w14:paraId="64A17D0A" w14:textId="77777777" w:rsidR="0065658F" w:rsidRPr="007D1DE9" w:rsidRDefault="0065658F" w:rsidP="0065658F">
      <w:pPr>
        <w:rPr>
          <w:noProof/>
        </w:rPr>
      </w:pPr>
      <w:r w:rsidRPr="007D1DE9">
        <w:rPr>
          <w:noProof/>
        </w:rPr>
        <w:t xml:space="preserve">3. The information referred to in paragraph 2 </w:t>
      </w:r>
      <w:r>
        <w:rPr>
          <w:noProof/>
        </w:rPr>
        <w:t>shall</w:t>
      </w:r>
      <w:r w:rsidRPr="007D1DE9">
        <w:rPr>
          <w:noProof/>
        </w:rPr>
        <w:t xml:space="preserve"> not, in particular, be disclosed to persons other than those in the Member States or within the Union’s institutions, agencies, offices and bodies whose duties require that they have access to it, unless the Member State providing it has given its express consent.</w:t>
      </w:r>
    </w:p>
    <w:p w14:paraId="2246D835" w14:textId="77777777" w:rsidR="0065658F" w:rsidRPr="007D1DE9" w:rsidRDefault="0065658F" w:rsidP="0065658F">
      <w:pPr>
        <w:rPr>
          <w:noProof/>
        </w:rPr>
      </w:pPr>
      <w:r w:rsidRPr="007D1DE9">
        <w:rPr>
          <w:noProof/>
        </w:rPr>
        <w:t xml:space="preserve">4. The information referred to in paragraph 2 </w:t>
      </w:r>
      <w:r>
        <w:rPr>
          <w:noProof/>
        </w:rPr>
        <w:t>shall</w:t>
      </w:r>
      <w:r w:rsidRPr="007D1DE9">
        <w:rPr>
          <w:noProof/>
        </w:rPr>
        <w:t xml:space="preserve"> not be used for any purposes other than the protection of the Union’s financial interests</w:t>
      </w:r>
      <w:r>
        <w:rPr>
          <w:noProof/>
        </w:rPr>
        <w:t>,</w:t>
      </w:r>
      <w:r w:rsidRPr="007D1DE9">
        <w:rPr>
          <w:noProof/>
        </w:rPr>
        <w:t xml:space="preserve"> unless the </w:t>
      </w:r>
      <w:r>
        <w:rPr>
          <w:noProof/>
        </w:rPr>
        <w:t xml:space="preserve">Member State providing </w:t>
      </w:r>
      <w:r w:rsidRPr="007D1DE9">
        <w:rPr>
          <w:noProof/>
        </w:rPr>
        <w:t xml:space="preserve">it </w:t>
      </w:r>
      <w:r>
        <w:rPr>
          <w:noProof/>
        </w:rPr>
        <w:t xml:space="preserve">has </w:t>
      </w:r>
      <w:r w:rsidRPr="007D1DE9">
        <w:rPr>
          <w:noProof/>
        </w:rPr>
        <w:t xml:space="preserve">given </w:t>
      </w:r>
      <w:r>
        <w:rPr>
          <w:noProof/>
        </w:rPr>
        <w:t xml:space="preserve">its </w:t>
      </w:r>
      <w:r w:rsidRPr="007D1DE9">
        <w:rPr>
          <w:noProof/>
        </w:rPr>
        <w:t>express consent.</w:t>
      </w:r>
    </w:p>
    <w:p w14:paraId="12E11F21" w14:textId="77777777" w:rsidR="0065658F" w:rsidRPr="007D1DE9" w:rsidRDefault="0065658F" w:rsidP="0065658F">
      <w:pPr>
        <w:pStyle w:val="Titrearticle"/>
        <w:rPr>
          <w:noProof/>
        </w:rPr>
      </w:pPr>
      <w:r w:rsidRPr="007D1DE9">
        <w:rPr>
          <w:noProof/>
        </w:rPr>
        <w:t>Article 5</w:t>
      </w:r>
    </w:p>
    <w:p w14:paraId="6173FF77" w14:textId="77777777" w:rsidR="0065658F" w:rsidRPr="007D1DE9" w:rsidRDefault="0065658F" w:rsidP="0065658F">
      <w:pPr>
        <w:jc w:val="center"/>
        <w:rPr>
          <w:b/>
          <w:noProof/>
          <w:szCs w:val="24"/>
        </w:rPr>
      </w:pPr>
      <w:r w:rsidRPr="007D1DE9">
        <w:rPr>
          <w:b/>
          <w:noProof/>
          <w:szCs w:val="24"/>
        </w:rPr>
        <w:t>Entry into force</w:t>
      </w:r>
    </w:p>
    <w:p w14:paraId="3A1C6733" w14:textId="77777777" w:rsidR="0065658F" w:rsidRPr="007D1DE9" w:rsidRDefault="0065658F" w:rsidP="0065658F">
      <w:pPr>
        <w:rPr>
          <w:noProof/>
        </w:rPr>
      </w:pPr>
      <w:r w:rsidRPr="007D1DE9">
        <w:rPr>
          <w:noProof/>
        </w:rPr>
        <w:t xml:space="preserve">This Regulation shall enter into force on the day following that of its publication in the </w:t>
      </w:r>
      <w:r w:rsidRPr="007D1DE9">
        <w:rPr>
          <w:i/>
          <w:noProof/>
        </w:rPr>
        <w:t>Official Journal of the European Union</w:t>
      </w:r>
      <w:r w:rsidRPr="007D1DE9">
        <w:rPr>
          <w:noProof/>
        </w:rPr>
        <w:t>.</w:t>
      </w:r>
    </w:p>
    <w:p w14:paraId="6EAFE9BD" w14:textId="77777777" w:rsidR="0065658F" w:rsidRPr="007D1DE9" w:rsidRDefault="0065658F" w:rsidP="0065658F">
      <w:pPr>
        <w:pStyle w:val="Applicationdirecte"/>
        <w:rPr>
          <w:noProof/>
        </w:rPr>
      </w:pPr>
      <w:r w:rsidRPr="007D1DE9">
        <w:rPr>
          <w:noProof/>
        </w:rPr>
        <w:t>This Regulation shall be binding in its entirety and directly applicable in all Member States.</w:t>
      </w:r>
    </w:p>
    <w:p w14:paraId="6DA6EC2C" w14:textId="3723B5A4" w:rsidR="0065658F" w:rsidRPr="007D1DE9" w:rsidRDefault="00BA2B92" w:rsidP="00A5413E">
      <w:pPr>
        <w:pStyle w:val="Fait"/>
        <w:rPr>
          <w:noProof/>
        </w:rPr>
      </w:pPr>
      <w:r w:rsidRPr="00BA2B92">
        <w:t>Done at Brussels, 18.12.2023</w:t>
      </w:r>
    </w:p>
    <w:p w14:paraId="220C1289" w14:textId="77777777" w:rsidR="004058F3" w:rsidRDefault="0065658F" w:rsidP="00A5413E">
      <w:pPr>
        <w:pStyle w:val="Institutionquisigne"/>
        <w:rPr>
          <w:noProof/>
        </w:rPr>
      </w:pPr>
      <w:r w:rsidRPr="0065658F">
        <w:rPr>
          <w:noProof/>
        </w:rPr>
        <w:tab/>
      </w:r>
      <w:r w:rsidR="004058F3">
        <w:rPr>
          <w:noProof/>
        </w:rPr>
        <w:t>For the Commission</w:t>
      </w:r>
    </w:p>
    <w:p w14:paraId="442FDD99" w14:textId="5208907C" w:rsidR="004058F3" w:rsidRPr="006E3055" w:rsidRDefault="007044E7" w:rsidP="00A5413E">
      <w:pPr>
        <w:pStyle w:val="Personnequisigne"/>
        <w:keepNext/>
        <w:rPr>
          <w:noProof/>
          <w:lang w:val="de-DE"/>
        </w:rPr>
      </w:pPr>
      <w:r>
        <w:tab/>
        <w:t>The President</w:t>
      </w:r>
      <w:r>
        <w:br/>
      </w:r>
      <w:r>
        <w:tab/>
        <w:t>Ursula VON DER LEYEN</w:t>
      </w:r>
    </w:p>
    <w:p w14:paraId="3EE8AB65" w14:textId="2B10F3D9" w:rsidR="0065658F" w:rsidRPr="00275CF9" w:rsidRDefault="0065658F" w:rsidP="004058F3">
      <w:pPr>
        <w:pStyle w:val="Institutionquisigne"/>
        <w:rPr>
          <w:noProof/>
          <w:lang w:val="de-DE"/>
        </w:rPr>
      </w:pPr>
    </w:p>
    <w:sectPr w:rsidR="0065658F" w:rsidRPr="00275CF9" w:rsidSect="00D8473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CB324" w14:textId="77777777" w:rsidR="00582D47" w:rsidRDefault="00582D47" w:rsidP="0065658F">
      <w:pPr>
        <w:spacing w:before="0" w:after="0"/>
      </w:pPr>
      <w:r>
        <w:separator/>
      </w:r>
    </w:p>
  </w:endnote>
  <w:endnote w:type="continuationSeparator" w:id="0">
    <w:p w14:paraId="487F4281" w14:textId="77777777" w:rsidR="00582D47" w:rsidRDefault="00582D47" w:rsidP="006565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BB31" w14:textId="51121DFD" w:rsidR="0065658F" w:rsidRPr="00D84739" w:rsidRDefault="00D84739" w:rsidP="00D84739">
    <w:pPr>
      <w:pStyle w:val="Footer"/>
      <w:rPr>
        <w:rFonts w:ascii="Arial" w:hAnsi="Arial" w:cs="Arial"/>
        <w:b/>
        <w:sz w:val="48"/>
      </w:rPr>
    </w:pPr>
    <w:r w:rsidRPr="00D84739">
      <w:rPr>
        <w:rFonts w:ascii="Arial" w:hAnsi="Arial" w:cs="Arial"/>
        <w:b/>
        <w:sz w:val="48"/>
      </w:rPr>
      <w:t>EN</w:t>
    </w:r>
    <w:r w:rsidRPr="00D84739">
      <w:rPr>
        <w:rFonts w:ascii="Arial" w:hAnsi="Arial" w:cs="Arial"/>
        <w:b/>
        <w:sz w:val="48"/>
      </w:rPr>
      <w:tab/>
    </w:r>
    <w:r w:rsidRPr="00D84739">
      <w:rPr>
        <w:rFonts w:ascii="Arial" w:hAnsi="Arial" w:cs="Arial"/>
        <w:b/>
        <w:sz w:val="48"/>
      </w:rPr>
      <w:tab/>
    </w:r>
    <w:r w:rsidRPr="00D84739">
      <w:tab/>
    </w:r>
    <w:r w:rsidRPr="00D8473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831A" w14:textId="539E0950" w:rsidR="00D84739" w:rsidRPr="00D84739" w:rsidRDefault="00D84739" w:rsidP="00D84739">
    <w:pPr>
      <w:pStyle w:val="Footer"/>
      <w:rPr>
        <w:rFonts w:ascii="Arial" w:hAnsi="Arial" w:cs="Arial"/>
        <w:b/>
        <w:sz w:val="48"/>
      </w:rPr>
    </w:pPr>
    <w:r w:rsidRPr="00D84739">
      <w:rPr>
        <w:rFonts w:ascii="Arial" w:hAnsi="Arial" w:cs="Arial"/>
        <w:b/>
        <w:sz w:val="48"/>
      </w:rPr>
      <w:t>EN</w:t>
    </w:r>
    <w:r w:rsidRPr="00D84739">
      <w:rPr>
        <w:rFonts w:ascii="Arial" w:hAnsi="Arial" w:cs="Arial"/>
        <w:b/>
        <w:sz w:val="48"/>
      </w:rPr>
      <w:tab/>
    </w:r>
    <w:r>
      <w:fldChar w:fldCharType="begin"/>
    </w:r>
    <w:r>
      <w:instrText xml:space="preserve"> PAGE  \* MERGEFORMAT </w:instrText>
    </w:r>
    <w:r>
      <w:fldChar w:fldCharType="separate"/>
    </w:r>
    <w:r w:rsidR="00A5413E">
      <w:rPr>
        <w:noProof/>
      </w:rPr>
      <w:t>7</w:t>
    </w:r>
    <w:r>
      <w:fldChar w:fldCharType="end"/>
    </w:r>
    <w:r>
      <w:tab/>
    </w:r>
    <w:r w:rsidRPr="00D84739">
      <w:tab/>
    </w:r>
    <w:r w:rsidRPr="00D8473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8F60F" w14:textId="77777777" w:rsidR="00D84739" w:rsidRPr="00D84739" w:rsidRDefault="00D84739" w:rsidP="00D84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FDB54" w14:textId="77777777" w:rsidR="00582D47" w:rsidRDefault="00582D47" w:rsidP="0065658F">
      <w:pPr>
        <w:spacing w:before="0" w:after="0"/>
      </w:pPr>
      <w:r>
        <w:separator/>
      </w:r>
    </w:p>
  </w:footnote>
  <w:footnote w:type="continuationSeparator" w:id="0">
    <w:p w14:paraId="4A15FEC9" w14:textId="77777777" w:rsidR="00582D47" w:rsidRDefault="00582D47" w:rsidP="0065658F">
      <w:pPr>
        <w:spacing w:before="0" w:after="0"/>
      </w:pPr>
      <w:r>
        <w:continuationSeparator/>
      </w:r>
    </w:p>
  </w:footnote>
  <w:footnote w:id="1">
    <w:p w14:paraId="410C646D" w14:textId="77777777" w:rsidR="0065658F" w:rsidRPr="0039474D" w:rsidRDefault="0065658F" w:rsidP="0065658F">
      <w:pPr>
        <w:pStyle w:val="FootnoteText"/>
      </w:pPr>
      <w:r w:rsidRPr="00603F97">
        <w:rPr>
          <w:rStyle w:val="FootnoteReference"/>
        </w:rPr>
        <w:footnoteRef/>
      </w:r>
      <w:r>
        <w:tab/>
      </w:r>
      <w:r w:rsidRPr="0039474D">
        <w:t>Regulation (EU) 2021/691 of the European Parliament and of the Council of 28 April 2021 on the European Globalisation Adjustment Fund for Displaced Workers (EGF) and repealing Regulation (EU) No 1309/2013</w:t>
      </w:r>
      <w:r>
        <w:t xml:space="preserve"> (</w:t>
      </w:r>
      <w:r w:rsidRPr="00E063FD">
        <w:t>OJ L 153, 3.5.2021, p. 48</w:t>
      </w:r>
      <w:r>
        <w:t>).</w:t>
      </w:r>
    </w:p>
  </w:footnote>
  <w:footnote w:id="2">
    <w:p w14:paraId="1375908D" w14:textId="77777777" w:rsidR="0065658F" w:rsidRPr="007D1DE9" w:rsidRDefault="0065658F" w:rsidP="0065658F">
      <w:pPr>
        <w:pStyle w:val="FootnoteText"/>
      </w:pPr>
      <w:r w:rsidRPr="00603F97">
        <w:rPr>
          <w:rStyle w:val="FootnoteReference"/>
        </w:rPr>
        <w:footnoteRef/>
      </w:r>
      <w:r>
        <w:tab/>
      </w:r>
      <w:r w:rsidRPr="007D1DE9">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
    <w:p w14:paraId="20373ABB" w14:textId="77777777" w:rsidR="0065658F" w:rsidRPr="0039474D" w:rsidRDefault="0065658F" w:rsidP="0065658F">
      <w:pPr>
        <w:pStyle w:val="FootnoteText"/>
      </w:pPr>
    </w:p>
  </w:footnote>
  <w:footnote w:id="3">
    <w:p w14:paraId="01D4D2AE" w14:textId="77777777" w:rsidR="0065658F" w:rsidRPr="007D1DE9" w:rsidRDefault="0065658F" w:rsidP="0065658F">
      <w:pPr>
        <w:pStyle w:val="FootnoteText"/>
      </w:pPr>
      <w:r w:rsidRPr="007D1DE9">
        <w:rPr>
          <w:rStyle w:val="FootnoteReference"/>
        </w:rPr>
        <w:footnoteRef/>
      </w:r>
      <w:r w:rsidRPr="007D1DE9">
        <w:tab/>
        <w:t>OJ L 153, 3.5.2021, p. 48.</w:t>
      </w:r>
    </w:p>
  </w:footnote>
  <w:footnote w:id="4">
    <w:p w14:paraId="5CA32045" w14:textId="77777777" w:rsidR="0065658F" w:rsidRPr="007D1DE9" w:rsidRDefault="0065658F" w:rsidP="0065658F">
      <w:pPr>
        <w:pStyle w:val="FootnoteText"/>
      </w:pPr>
      <w:r w:rsidRPr="007D1DE9">
        <w:rPr>
          <w:rStyle w:val="FootnoteReference"/>
        </w:rPr>
        <w:footnoteRef/>
      </w:r>
      <w:r w:rsidRPr="007D1DE9">
        <w:tab/>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
  </w:footnote>
  <w:footnote w:id="5">
    <w:p w14:paraId="7919E6B5" w14:textId="3E82BEB8" w:rsidR="00C657F3" w:rsidRPr="006E3055" w:rsidRDefault="00C657F3" w:rsidP="00C657F3">
      <w:pPr>
        <w:pStyle w:val="FootnoteText"/>
        <w:rPr>
          <w:i/>
          <w:iCs/>
        </w:rPr>
      </w:pPr>
      <w:r w:rsidRPr="007D1DE9">
        <w:rPr>
          <w:rStyle w:val="FootnoteReference"/>
        </w:rPr>
        <w:footnoteRef/>
      </w:r>
      <w:r w:rsidRPr="007D1DE9">
        <w:tab/>
        <w:t>Commission Delegated Regulation (EU) …</w:t>
      </w:r>
      <w:r w:rsidR="00C450C0">
        <w:t>/</w:t>
      </w:r>
      <w:r w:rsidR="00C450C0" w:rsidRPr="007D1DE9">
        <w:t> </w:t>
      </w:r>
      <w:r w:rsidRPr="007D1DE9">
        <w:t>… supplementing Regulation (EU) 2021/2116 of the European Parliament and of the Council with specific provisions on the reporting of irregularities concerning the European Agricultural Guarantee Fund and the European Agricultural Fund for Rural Development and repealing Commission Regulation (E</w:t>
      </w:r>
      <w:r w:rsidR="006059E9">
        <w:t>U</w:t>
      </w:r>
      <w:r w:rsidRPr="007D1DE9">
        <w:t xml:space="preserve">) </w:t>
      </w:r>
      <w:r w:rsidR="006C732B">
        <w:t>2015/1971</w:t>
      </w:r>
      <w:r w:rsidRPr="007D1DE9">
        <w:t xml:space="preserve"> </w:t>
      </w:r>
      <w:r w:rsidR="004058F3" w:rsidRPr="006E3055">
        <w:rPr>
          <w:i/>
          <w:iCs/>
        </w:rPr>
        <w:t xml:space="preserve">[OP – please insert reference to the Commission Delegated Regulation C(2023) </w:t>
      </w:r>
      <w:r w:rsidR="006642DC">
        <w:rPr>
          <w:i/>
          <w:iCs/>
        </w:rPr>
        <w:t>8459</w:t>
      </w:r>
      <w:r w:rsidR="004058F3" w:rsidRPr="006E3055">
        <w:rPr>
          <w:i/>
          <w:iCs/>
        </w:rPr>
        <w:t>]</w:t>
      </w:r>
      <w:r w:rsidRPr="006E3055">
        <w:rPr>
          <w:i/>
          <w:iCs/>
        </w:rPr>
        <w:t>.</w:t>
      </w:r>
    </w:p>
  </w:footnote>
  <w:footnote w:id="6">
    <w:p w14:paraId="71B4B752" w14:textId="77777777" w:rsidR="0065658F" w:rsidRPr="007D1DE9" w:rsidRDefault="0065658F" w:rsidP="0065658F">
      <w:pPr>
        <w:pStyle w:val="FootnoteText"/>
      </w:pPr>
      <w:r w:rsidRPr="007D1DE9">
        <w:rPr>
          <w:rStyle w:val="FootnoteReference"/>
        </w:rPr>
        <w:footnoteRef/>
      </w:r>
      <w:r w:rsidRPr="007D1DE9">
        <w:tab/>
        <w:t>Directive (EU) 2017/1371 of the European Parliament and of the Council of 5 July 2017 on the fight against fraud to the Union’s financial interests by means of criminal law, OJ L 198, 28.7.2017, p. 29.</w:t>
      </w:r>
    </w:p>
  </w:footnote>
  <w:footnote w:id="7">
    <w:p w14:paraId="3CE9B183" w14:textId="77777777" w:rsidR="0065658F" w:rsidRPr="007D1DE9" w:rsidRDefault="0065658F" w:rsidP="0065658F">
      <w:pPr>
        <w:pStyle w:val="FootnoteText"/>
      </w:pPr>
      <w:r w:rsidRPr="007D1DE9">
        <w:rPr>
          <w:rStyle w:val="FootnoteReference"/>
        </w:rPr>
        <w:footnoteRef/>
      </w:r>
      <w:r w:rsidRPr="007D1DE9">
        <w:tab/>
        <w:t>OJ C 316, 27.11.1995, p. 49.</w:t>
      </w:r>
    </w:p>
  </w:footnote>
  <w:footnote w:id="8">
    <w:p w14:paraId="6C4BB7A4" w14:textId="77777777" w:rsidR="0065658F" w:rsidRPr="007D1DE9" w:rsidRDefault="0065658F" w:rsidP="0065658F">
      <w:pPr>
        <w:pStyle w:val="FootnoteText"/>
      </w:pPr>
      <w:r w:rsidRPr="007D1DE9">
        <w:rPr>
          <w:rStyle w:val="FootnoteReference"/>
        </w:rPr>
        <w:footnoteRef/>
      </w:r>
      <w:r w:rsidRPr="007D1DE9">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9">
    <w:p w14:paraId="2FD1129A" w14:textId="77777777" w:rsidR="0065658F" w:rsidRPr="007D1DE9" w:rsidRDefault="0065658F" w:rsidP="0065658F">
      <w:pPr>
        <w:pStyle w:val="FootnoteText"/>
      </w:pPr>
      <w:r w:rsidRPr="007D1DE9">
        <w:rPr>
          <w:rStyle w:val="FootnoteReference"/>
        </w:rPr>
        <w:footnoteRef/>
      </w:r>
      <w:r w:rsidRPr="007D1DE9">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10">
    <w:p w14:paraId="02C379E3" w14:textId="77777777" w:rsidR="0065658F" w:rsidRPr="00A22C2B" w:rsidRDefault="0065658F" w:rsidP="0065658F">
      <w:pPr>
        <w:pStyle w:val="FootnoteText"/>
      </w:pPr>
      <w:r w:rsidRPr="00603F97">
        <w:rPr>
          <w:rStyle w:val="FootnoteReference"/>
        </w:rPr>
        <w:footnoteRef/>
      </w:r>
      <w:r>
        <w:tab/>
      </w:r>
      <w:r w:rsidRPr="00A22C2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18.9.2013, p. 1–22).</w:t>
      </w:r>
    </w:p>
  </w:footnote>
  <w:footnote w:id="11">
    <w:p w14:paraId="2027A813" w14:textId="77777777" w:rsidR="0065658F" w:rsidRPr="00A22C2B" w:rsidRDefault="0065658F" w:rsidP="0065658F">
      <w:pPr>
        <w:pStyle w:val="FootnoteText"/>
      </w:pPr>
      <w:r w:rsidRPr="00603F97">
        <w:rPr>
          <w:rStyle w:val="FootnoteReference"/>
        </w:rPr>
        <w:footnoteRef/>
      </w:r>
      <w:r>
        <w:tab/>
      </w:r>
      <w:r w:rsidRPr="00A22C2B">
        <w:t>Council Regulation (EU) 2017/1939 of 12 October 2017 implementing enhanced cooperation on the establishment of the European Public Prosecutor’s Office (‘the EPPO’), (OJ L 283, 31.10.2017, p. 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C108D24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138A69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FBA1E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040B75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98A0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3D670D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341E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B884E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2-11 09:44: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120E07C-BF36-40CB-9FF1-56896651938D"/>
    <w:docVar w:name="LW_COVERPAGE_TYPE" w:val="1"/>
    <w:docVar w:name="LW_CROSSREFERENCE" w:val="&lt;UNUSED&gt;"/>
    <w:docVar w:name="LW_DATE.ADOPT.CP" w:val="of 18.12.2023"/>
    <w:docVar w:name="LW_DATE.ADOPT.CP_DATEFORMAT" w:val="of %DATE%"/>
    <w:docVar w:name="LW_DATE.ADOPT.CP_ISODATE" w:val="2023-12-18"/>
    <w:docVar w:name="LW_DocType" w:val="COM"/>
    <w:docVar w:name="LW_EMISSION" w:val="18.12.2023"/>
    <w:docVar w:name="LW_EMISSION_ISODATE" w:val="2023-12-18"/>
    <w:docVar w:name="LW_EMISSION_LOCATION" w:val="BRX"/>
    <w:docVar w:name="LW_EMISSION_PREFIX" w:val="Brussels, "/>
    <w:docVar w:name="LW_EMISSION_SUFFIX" w:val=" "/>
    <w:docVar w:name="LW_ID_DOCMODEL" w:val="SJ-003"/>
    <w:docVar w:name="LW_ID_DOCSIGNATURE" w:val="SJ-003"/>
    <w:docVar w:name="LW_ID_DOCSTRUCTURE" w:val="COM/AA"/>
    <w:docVar w:name="LW_ID_DOCTYPE" w:val="SJ-003"/>
    <w:docVar w:name="LW_INSERT_EXP.MOTIFS.NEW" w:val="1"/>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3) 84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pplementing Regulation (EU) 2021/691 of the European Parliament and of the Council with specific provisions on the reporting of irregularities concerning the European Globalisation Adjustment Fund for Displaced Workers (EGF)"/>
    <w:docVar w:name="LW_TYPE.DOC.CP" w:val="COMMISSION DELEGATED REGULATION (EU) …/..."/>
    <w:docVar w:name="LwApiVersions" w:val="LW4CoDe 1.23.2.0; LW 8.0, Build 20211117"/>
  </w:docVars>
  <w:rsids>
    <w:rsidRoot w:val="0065658F"/>
    <w:rsid w:val="000B494A"/>
    <w:rsid w:val="000F4843"/>
    <w:rsid w:val="001065F5"/>
    <w:rsid w:val="001238EF"/>
    <w:rsid w:val="001556D7"/>
    <w:rsid w:val="00197613"/>
    <w:rsid w:val="001F2A3E"/>
    <w:rsid w:val="002130AC"/>
    <w:rsid w:val="00233DC7"/>
    <w:rsid w:val="00236BFB"/>
    <w:rsid w:val="00247779"/>
    <w:rsid w:val="00275CF9"/>
    <w:rsid w:val="00285BEE"/>
    <w:rsid w:val="0029533F"/>
    <w:rsid w:val="002B2471"/>
    <w:rsid w:val="002B30AF"/>
    <w:rsid w:val="0030405F"/>
    <w:rsid w:val="0033344A"/>
    <w:rsid w:val="00374AA6"/>
    <w:rsid w:val="00397554"/>
    <w:rsid w:val="004058F3"/>
    <w:rsid w:val="0042648E"/>
    <w:rsid w:val="00433146"/>
    <w:rsid w:val="0045534B"/>
    <w:rsid w:val="004936D2"/>
    <w:rsid w:val="004D0445"/>
    <w:rsid w:val="00505F5A"/>
    <w:rsid w:val="00582D47"/>
    <w:rsid w:val="00586D3D"/>
    <w:rsid w:val="005B1EB6"/>
    <w:rsid w:val="005E3DF4"/>
    <w:rsid w:val="006059E9"/>
    <w:rsid w:val="006318A4"/>
    <w:rsid w:val="0065658F"/>
    <w:rsid w:val="006579FE"/>
    <w:rsid w:val="006642DC"/>
    <w:rsid w:val="0067767E"/>
    <w:rsid w:val="006B3B24"/>
    <w:rsid w:val="006C732B"/>
    <w:rsid w:val="006E3055"/>
    <w:rsid w:val="006F2FAA"/>
    <w:rsid w:val="00700510"/>
    <w:rsid w:val="007044E7"/>
    <w:rsid w:val="00747713"/>
    <w:rsid w:val="00773331"/>
    <w:rsid w:val="007932EF"/>
    <w:rsid w:val="007A166A"/>
    <w:rsid w:val="007E05B0"/>
    <w:rsid w:val="007F41A0"/>
    <w:rsid w:val="00834D14"/>
    <w:rsid w:val="00846218"/>
    <w:rsid w:val="00874D22"/>
    <w:rsid w:val="008A2914"/>
    <w:rsid w:val="008E4D8E"/>
    <w:rsid w:val="00906C73"/>
    <w:rsid w:val="00916F00"/>
    <w:rsid w:val="00922689"/>
    <w:rsid w:val="00932C57"/>
    <w:rsid w:val="00971BCC"/>
    <w:rsid w:val="00A34F7F"/>
    <w:rsid w:val="00A5413E"/>
    <w:rsid w:val="00BA2B92"/>
    <w:rsid w:val="00C12301"/>
    <w:rsid w:val="00C450C0"/>
    <w:rsid w:val="00C657F3"/>
    <w:rsid w:val="00D20381"/>
    <w:rsid w:val="00D42E8F"/>
    <w:rsid w:val="00D84739"/>
    <w:rsid w:val="00DA4DA4"/>
    <w:rsid w:val="00E30A38"/>
    <w:rsid w:val="00E74149"/>
    <w:rsid w:val="00F30CAE"/>
    <w:rsid w:val="00F7232D"/>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C4FF6C"/>
  <w15:docId w15:val="{F425C406-BF13-4606-AE93-26809F18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F41A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F41A0"/>
    <w:pPr>
      <w:spacing w:after="0"/>
    </w:pPr>
  </w:style>
  <w:style w:type="paragraph" w:styleId="ListBullet">
    <w:name w:val="List Bullet"/>
    <w:basedOn w:val="Normal"/>
    <w:uiPriority w:val="99"/>
    <w:semiHidden/>
    <w:unhideWhenUsed/>
    <w:rsid w:val="007F41A0"/>
    <w:pPr>
      <w:numPr>
        <w:numId w:val="2"/>
      </w:numPr>
      <w:contextualSpacing/>
    </w:pPr>
  </w:style>
  <w:style w:type="paragraph" w:styleId="ListBullet2">
    <w:name w:val="List Bullet 2"/>
    <w:basedOn w:val="Normal"/>
    <w:uiPriority w:val="99"/>
    <w:semiHidden/>
    <w:unhideWhenUsed/>
    <w:rsid w:val="007F41A0"/>
    <w:pPr>
      <w:numPr>
        <w:numId w:val="3"/>
      </w:numPr>
      <w:contextualSpacing/>
    </w:pPr>
  </w:style>
  <w:style w:type="paragraph" w:styleId="ListBullet3">
    <w:name w:val="List Bullet 3"/>
    <w:basedOn w:val="Normal"/>
    <w:uiPriority w:val="99"/>
    <w:semiHidden/>
    <w:unhideWhenUsed/>
    <w:rsid w:val="007F41A0"/>
    <w:pPr>
      <w:numPr>
        <w:numId w:val="4"/>
      </w:numPr>
      <w:contextualSpacing/>
    </w:pPr>
  </w:style>
  <w:style w:type="paragraph" w:styleId="ListBullet4">
    <w:name w:val="List Bullet 4"/>
    <w:basedOn w:val="Normal"/>
    <w:uiPriority w:val="99"/>
    <w:semiHidden/>
    <w:unhideWhenUsed/>
    <w:rsid w:val="007F41A0"/>
    <w:pPr>
      <w:numPr>
        <w:numId w:val="5"/>
      </w:numPr>
      <w:contextualSpacing/>
    </w:pPr>
  </w:style>
  <w:style w:type="paragraph" w:styleId="ListNumber">
    <w:name w:val="List Number"/>
    <w:basedOn w:val="Normal"/>
    <w:uiPriority w:val="99"/>
    <w:semiHidden/>
    <w:unhideWhenUsed/>
    <w:rsid w:val="007F41A0"/>
    <w:pPr>
      <w:numPr>
        <w:numId w:val="6"/>
      </w:numPr>
      <w:contextualSpacing/>
    </w:pPr>
  </w:style>
  <w:style w:type="paragraph" w:styleId="ListNumber2">
    <w:name w:val="List Number 2"/>
    <w:basedOn w:val="Normal"/>
    <w:uiPriority w:val="99"/>
    <w:semiHidden/>
    <w:unhideWhenUsed/>
    <w:rsid w:val="007F41A0"/>
    <w:pPr>
      <w:numPr>
        <w:numId w:val="7"/>
      </w:numPr>
      <w:contextualSpacing/>
    </w:pPr>
  </w:style>
  <w:style w:type="paragraph" w:styleId="ListNumber3">
    <w:name w:val="List Number 3"/>
    <w:basedOn w:val="Normal"/>
    <w:uiPriority w:val="99"/>
    <w:semiHidden/>
    <w:unhideWhenUsed/>
    <w:rsid w:val="007F41A0"/>
    <w:pPr>
      <w:numPr>
        <w:numId w:val="8"/>
      </w:numPr>
      <w:contextualSpacing/>
    </w:pPr>
  </w:style>
  <w:style w:type="paragraph" w:styleId="ListNumber4">
    <w:name w:val="List Number 4"/>
    <w:basedOn w:val="Normal"/>
    <w:uiPriority w:val="99"/>
    <w:semiHidden/>
    <w:unhideWhenUsed/>
    <w:rsid w:val="007F41A0"/>
    <w:pPr>
      <w:numPr>
        <w:numId w:val="9"/>
      </w:numPr>
      <w:contextualSpacing/>
    </w:pPr>
  </w:style>
  <w:style w:type="paragraph" w:styleId="Revision">
    <w:name w:val="Revision"/>
    <w:hidden/>
    <w:uiPriority w:val="99"/>
    <w:semiHidden/>
    <w:rsid w:val="004058F3"/>
    <w:pPr>
      <w:spacing w:after="0" w:line="240" w:lineRule="auto"/>
    </w:pPr>
    <w:rPr>
      <w:rFonts w:ascii="Times New Roman" w:hAnsi="Times New Roman" w:cs="Times New Roman"/>
      <w:sz w:val="24"/>
      <w:lang w:val="en-GB"/>
    </w:rPr>
  </w:style>
  <w:style w:type="paragraph" w:styleId="BalloonText">
    <w:name w:val="Balloon Text"/>
    <w:basedOn w:val="Normal"/>
    <w:link w:val="BalloonTextChar"/>
    <w:uiPriority w:val="99"/>
    <w:semiHidden/>
    <w:unhideWhenUsed/>
    <w:rsid w:val="006E305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55"/>
    <w:rPr>
      <w:rFonts w:ascii="Segoe UI" w:hAnsi="Segoe UI" w:cs="Segoe UI"/>
      <w:sz w:val="18"/>
      <w:szCs w:val="18"/>
      <w:lang w:val="en-GB"/>
    </w:rPr>
  </w:style>
  <w:style w:type="paragraph" w:styleId="Header">
    <w:name w:val="header"/>
    <w:basedOn w:val="Normal"/>
    <w:link w:val="HeaderChar"/>
    <w:uiPriority w:val="99"/>
    <w:unhideWhenUsed/>
    <w:rsid w:val="00D84739"/>
    <w:pPr>
      <w:tabs>
        <w:tab w:val="center" w:pos="4535"/>
        <w:tab w:val="right" w:pos="9071"/>
      </w:tabs>
      <w:spacing w:before="0"/>
    </w:pPr>
  </w:style>
  <w:style w:type="character" w:customStyle="1" w:styleId="HeaderChar">
    <w:name w:val="Header Char"/>
    <w:basedOn w:val="DefaultParagraphFont"/>
    <w:link w:val="Header"/>
    <w:uiPriority w:val="99"/>
    <w:rsid w:val="00D84739"/>
    <w:rPr>
      <w:rFonts w:ascii="Times New Roman" w:hAnsi="Times New Roman" w:cs="Times New Roman"/>
      <w:sz w:val="24"/>
      <w:lang w:val="en-GB"/>
    </w:rPr>
  </w:style>
  <w:style w:type="paragraph" w:styleId="Footer">
    <w:name w:val="footer"/>
    <w:basedOn w:val="Normal"/>
    <w:link w:val="FooterChar"/>
    <w:uiPriority w:val="99"/>
    <w:unhideWhenUsed/>
    <w:rsid w:val="00D8473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8473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84739"/>
    <w:pPr>
      <w:tabs>
        <w:tab w:val="center" w:pos="7285"/>
        <w:tab w:val="right" w:pos="14003"/>
      </w:tabs>
      <w:spacing w:before="0"/>
    </w:pPr>
  </w:style>
  <w:style w:type="paragraph" w:customStyle="1" w:styleId="FooterLandscape">
    <w:name w:val="FooterLandscape"/>
    <w:basedOn w:val="Normal"/>
    <w:rsid w:val="00D8473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8473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84739"/>
    <w:pPr>
      <w:spacing w:before="0"/>
      <w:jc w:val="right"/>
    </w:pPr>
    <w:rPr>
      <w:sz w:val="28"/>
    </w:rPr>
  </w:style>
  <w:style w:type="paragraph" w:customStyle="1" w:styleId="FooterSensitivity">
    <w:name w:val="Footer Sensitivity"/>
    <w:basedOn w:val="Normal"/>
    <w:rsid w:val="00D8473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8</Pages>
  <Words>2564</Words>
  <Characters>14000</Characters>
  <Application>Microsoft Office Word</Application>
  <DocSecurity>0</DocSecurity>
  <Lines>245</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40</cp:revision>
  <dcterms:created xsi:type="dcterms:W3CDTF">2023-12-06T14:37:00Z</dcterms:created>
  <dcterms:modified xsi:type="dcterms:W3CDTF">2023-12-11T08:44:00Z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2023-12-04T11:56:31Z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423fde6d-481f-4d16-8d59-2c771f297823</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