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C2" w:rsidRPr="00DC2D56" w:rsidRDefault="00C344C6" w:rsidP="00C344C6">
      <w:pPr>
        <w:pStyle w:val="Pagedecouverture"/>
        <w:rPr>
          <w:noProof/>
          <w:lang w:val="en-IE"/>
        </w:rPr>
      </w:pPr>
      <w:r>
        <w:rPr>
          <w:noProof/>
          <w:lang w:val="en-I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BF7D8761-1C9B-42A9-9DF6-138CDA4F1035" style="width:455.25pt;height:414pt">
            <v:imagedata r:id="rId11" o:title=""/>
          </v:shape>
        </w:pict>
      </w:r>
    </w:p>
    <w:p w:rsidR="008E70C2" w:rsidRPr="00DC2D56" w:rsidRDefault="008E70C2" w:rsidP="008E70C2">
      <w:pPr>
        <w:rPr>
          <w:noProof/>
          <w:lang w:val="en-IE"/>
        </w:rPr>
        <w:sectPr w:rsidR="008E70C2" w:rsidRPr="00DC2D56" w:rsidSect="00C344C6">
          <w:footerReference w:type="even" r:id="rId12"/>
          <w:footerReference w:type="defaul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757BAF" w:rsidRPr="00DC2D56" w:rsidRDefault="008E70C2" w:rsidP="00BE433E">
      <w:pPr>
        <w:pStyle w:val="Exposdesmotifstitre"/>
        <w:rPr>
          <w:noProof/>
          <w:lang w:val="en-IE"/>
        </w:rPr>
      </w:pPr>
      <w:bookmarkStart w:id="0" w:name="_GoBack"/>
      <w:bookmarkEnd w:id="0"/>
      <w:r w:rsidRPr="00DC2D56">
        <w:rPr>
          <w:noProof/>
          <w:lang w:val="en-IE"/>
        </w:rPr>
        <w:lastRenderedPageBreak/>
        <w:t>EXPLANATORY MEMORANDUM</w:t>
      </w:r>
    </w:p>
    <w:p w:rsidR="008E70C2" w:rsidRPr="00DC2D56" w:rsidRDefault="008E70C2">
      <w:pPr>
        <w:pStyle w:val="ManualHeading1"/>
        <w:rPr>
          <w:noProof/>
          <w:lang w:val="en-IE"/>
        </w:rPr>
      </w:pPr>
      <w:r w:rsidRPr="00DC2D56">
        <w:rPr>
          <w:noProof/>
          <w:lang w:val="en-IE"/>
        </w:rPr>
        <w:t>1.</w:t>
      </w:r>
      <w:r w:rsidRPr="00DC2D56">
        <w:rPr>
          <w:noProof/>
          <w:lang w:val="en-IE"/>
        </w:rPr>
        <w:tab/>
        <w:t>CONTEXT OF THE PROPOSAL</w:t>
      </w:r>
    </w:p>
    <w:p w:rsidR="008E70C2" w:rsidRPr="00DC2D56" w:rsidRDefault="008E70C2">
      <w:pPr>
        <w:pStyle w:val="ManualHeading2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color w:val="000000"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color w:val="000000"/>
          <w:u w:color="000000"/>
          <w:bdr w:val="nil"/>
          <w:lang w:val="en-IE" w:eastAsia="en-GB"/>
        </w:rPr>
        <w:tab/>
      </w:r>
      <w:r w:rsidRPr="00DC2D56">
        <w:rPr>
          <w:rFonts w:eastAsia="Arial Unicode MS"/>
          <w:noProof/>
          <w:lang w:val="en-IE"/>
        </w:rPr>
        <w:t>Reasons for and objectives of the proposal</w:t>
      </w:r>
    </w:p>
    <w:p w:rsidR="0004057A" w:rsidRPr="00DC2D56" w:rsidRDefault="00382A39" w:rsidP="00C34CCF">
      <w:pPr>
        <w:spacing w:before="0" w:after="240"/>
        <w:rPr>
          <w:noProof/>
          <w:lang w:val="en-IE"/>
        </w:rPr>
      </w:pPr>
      <w:r>
        <w:rPr>
          <w:noProof/>
          <w:lang w:val="en-IE"/>
        </w:rPr>
        <w:t>T</w:t>
      </w:r>
      <w:r w:rsidRPr="00DC2D56">
        <w:rPr>
          <w:noProof/>
          <w:lang w:val="en-IE"/>
        </w:rPr>
        <w:t>he Competitiveness Compass</w:t>
      </w:r>
      <w:r w:rsidR="005D75F4">
        <w:rPr>
          <w:noProof/>
          <w:lang w:val="en-IE"/>
        </w:rPr>
        <w:t> </w:t>
      </w:r>
      <w:r w:rsidRPr="00DC2D56">
        <w:rPr>
          <w:rStyle w:val="FootnoteReference"/>
          <w:noProof/>
          <w:lang w:val="en-IE"/>
        </w:rPr>
        <w:footnoteReference w:id="2"/>
      </w:r>
      <w:r w:rsidRPr="00DC2D56">
        <w:rPr>
          <w:noProof/>
          <w:lang w:val="en-IE"/>
        </w:rPr>
        <w:t xml:space="preserve"> </w:t>
      </w:r>
      <w:r>
        <w:rPr>
          <w:noProof/>
          <w:lang w:val="en-IE"/>
        </w:rPr>
        <w:t xml:space="preserve">is </w:t>
      </w:r>
      <w:r w:rsidRPr="00DC2D56">
        <w:rPr>
          <w:noProof/>
          <w:lang w:val="en-IE"/>
        </w:rPr>
        <w:t>guid</w:t>
      </w:r>
      <w:r>
        <w:rPr>
          <w:noProof/>
          <w:lang w:val="en-IE"/>
        </w:rPr>
        <w:t>ing</w:t>
      </w:r>
      <w:r w:rsidRPr="00DC2D56">
        <w:rPr>
          <w:noProof/>
          <w:lang w:val="en-IE"/>
        </w:rPr>
        <w:t xml:space="preserve"> the economic policy of the Commission in the current mandate</w:t>
      </w:r>
      <w:r>
        <w:rPr>
          <w:noProof/>
          <w:lang w:val="en-IE"/>
        </w:rPr>
        <w:t>. It</w:t>
      </w:r>
      <w:r w:rsidRPr="00DC2D56">
        <w:rPr>
          <w:noProof/>
          <w:lang w:val="en-IE"/>
        </w:rPr>
        <w:t xml:space="preserve"> </w:t>
      </w:r>
      <w:r>
        <w:rPr>
          <w:noProof/>
          <w:lang w:val="en-IE"/>
        </w:rPr>
        <w:t>b</w:t>
      </w:r>
      <w:r w:rsidR="00B93652" w:rsidRPr="00DC2D56">
        <w:rPr>
          <w:noProof/>
          <w:lang w:val="en-IE"/>
        </w:rPr>
        <w:t>uild</w:t>
      </w:r>
      <w:r>
        <w:rPr>
          <w:noProof/>
          <w:lang w:val="en-IE"/>
        </w:rPr>
        <w:t>s</w:t>
      </w:r>
      <w:r w:rsidR="00B93652" w:rsidRPr="00DC2D56">
        <w:rPr>
          <w:noProof/>
          <w:lang w:val="en-IE"/>
        </w:rPr>
        <w:t xml:space="preserve"> on</w:t>
      </w:r>
      <w:r w:rsidR="00E26A2E" w:rsidRPr="00DC2D56">
        <w:rPr>
          <w:noProof/>
          <w:lang w:val="en-IE"/>
        </w:rPr>
        <w:t xml:space="preserve"> the </w:t>
      </w:r>
      <w:r w:rsidRPr="00DC2D56">
        <w:rPr>
          <w:noProof/>
          <w:lang w:val="en-IE"/>
        </w:rPr>
        <w:t>European Council</w:t>
      </w:r>
      <w:r>
        <w:rPr>
          <w:noProof/>
          <w:lang w:val="en-IE"/>
        </w:rPr>
        <w:t>’s</w:t>
      </w:r>
      <w:r w:rsidRPr="00DC2D56">
        <w:rPr>
          <w:noProof/>
          <w:lang w:val="en-IE"/>
        </w:rPr>
        <w:t xml:space="preserve"> </w:t>
      </w:r>
      <w:r w:rsidR="00E26A2E" w:rsidRPr="00DC2D56">
        <w:rPr>
          <w:noProof/>
          <w:lang w:val="en-IE"/>
        </w:rPr>
        <w:t>Budapest Declaration</w:t>
      </w:r>
      <w:r w:rsidR="005D75F4">
        <w:rPr>
          <w:noProof/>
          <w:lang w:val="en-IE"/>
        </w:rPr>
        <w:t> </w:t>
      </w:r>
      <w:r w:rsidR="0065538E" w:rsidRPr="00DC2D56">
        <w:rPr>
          <w:rStyle w:val="FootnoteReference"/>
          <w:noProof/>
          <w:lang w:val="en-IE"/>
        </w:rPr>
        <w:footnoteReference w:id="3"/>
      </w:r>
      <w:r w:rsidR="00E26A2E" w:rsidRPr="00DC2D56">
        <w:rPr>
          <w:noProof/>
          <w:lang w:val="en-IE"/>
        </w:rPr>
        <w:t xml:space="preserve"> and</w:t>
      </w:r>
      <w:r w:rsidR="00A23DEA" w:rsidRPr="00DC2D56">
        <w:rPr>
          <w:noProof/>
          <w:lang w:val="en-IE"/>
        </w:rPr>
        <w:t xml:space="preserve"> </w:t>
      </w:r>
      <w:r w:rsidR="00E26A2E" w:rsidRPr="00DC2D56">
        <w:rPr>
          <w:noProof/>
          <w:lang w:val="en-IE"/>
        </w:rPr>
        <w:t>the Antwerp Declaration</w:t>
      </w:r>
      <w:r w:rsidR="005D75F4">
        <w:rPr>
          <w:noProof/>
          <w:lang w:val="en-IE"/>
        </w:rPr>
        <w:t> </w:t>
      </w:r>
      <w:r w:rsidR="00056A19" w:rsidRPr="00DC2D56">
        <w:rPr>
          <w:rStyle w:val="FootnoteReference"/>
          <w:noProof/>
          <w:lang w:val="en-IE"/>
        </w:rPr>
        <w:footnoteReference w:id="4"/>
      </w:r>
      <w:r w:rsidR="00E26A2E" w:rsidRPr="00DC2D56">
        <w:rPr>
          <w:noProof/>
          <w:lang w:val="en-IE"/>
        </w:rPr>
        <w:t xml:space="preserve"> of European business and trade union representatives</w:t>
      </w:r>
      <w:r w:rsidR="00067B93" w:rsidRPr="00DC2D56">
        <w:rPr>
          <w:noProof/>
          <w:lang w:val="en-IE"/>
        </w:rPr>
        <w:t xml:space="preserve">. </w:t>
      </w:r>
      <w:r w:rsidR="000A01C6" w:rsidRPr="00DC2D56">
        <w:rPr>
          <w:noProof/>
          <w:lang w:val="en-IE"/>
        </w:rPr>
        <w:t xml:space="preserve">The </w:t>
      </w:r>
      <w:r w:rsidR="00302B3E" w:rsidRPr="00DC2D56">
        <w:rPr>
          <w:noProof/>
          <w:lang w:val="en-IE"/>
        </w:rPr>
        <w:t xml:space="preserve">Competitiveness </w:t>
      </w:r>
      <w:r w:rsidR="000A01C6" w:rsidRPr="00DC2D56">
        <w:rPr>
          <w:noProof/>
          <w:lang w:val="en-IE"/>
        </w:rPr>
        <w:t>Compass</w:t>
      </w:r>
      <w:r w:rsidR="00FC746B" w:rsidRPr="00DC2D56">
        <w:rPr>
          <w:noProof/>
          <w:lang w:val="en-IE"/>
        </w:rPr>
        <w:t xml:space="preserve"> </w:t>
      </w:r>
      <w:r w:rsidR="00364063" w:rsidRPr="00DC2D56">
        <w:rPr>
          <w:noProof/>
          <w:lang w:val="en-IE"/>
        </w:rPr>
        <w:t>defines</w:t>
      </w:r>
      <w:r w:rsidR="00CC0946" w:rsidRPr="00DC2D56">
        <w:rPr>
          <w:noProof/>
          <w:lang w:val="en-IE"/>
        </w:rPr>
        <w:t xml:space="preserve"> </w:t>
      </w:r>
      <w:r w:rsidR="00CC0946" w:rsidRPr="00DC2D56">
        <w:rPr>
          <w:i/>
          <w:iCs/>
          <w:noProof/>
          <w:lang w:val="en-IE"/>
        </w:rPr>
        <w:t>a</w:t>
      </w:r>
      <w:r w:rsidR="00CC0946" w:rsidRPr="00DC2D56">
        <w:rPr>
          <w:noProof/>
          <w:lang w:val="en-IE"/>
        </w:rPr>
        <w:t xml:space="preserve"> </w:t>
      </w:r>
      <w:r w:rsidR="00CC0946" w:rsidRPr="00DC2D56">
        <w:rPr>
          <w:i/>
          <w:iCs/>
          <w:noProof/>
          <w:lang w:val="en-IE"/>
        </w:rPr>
        <w:t>joint roadmap for</w:t>
      </w:r>
      <w:r w:rsidR="003843CD" w:rsidRPr="00DC2D56">
        <w:rPr>
          <w:i/>
          <w:iCs/>
          <w:noProof/>
          <w:lang w:val="en-IE"/>
        </w:rPr>
        <w:t xml:space="preserve"> decarbonisation </w:t>
      </w:r>
      <w:r w:rsidR="00CC0946" w:rsidRPr="00DC2D56">
        <w:rPr>
          <w:i/>
          <w:iCs/>
          <w:noProof/>
          <w:lang w:val="en-IE"/>
        </w:rPr>
        <w:t>and competitiveness</w:t>
      </w:r>
      <w:r w:rsidR="00940AB7" w:rsidRPr="00DC2D56">
        <w:rPr>
          <w:noProof/>
          <w:lang w:val="en-IE"/>
        </w:rPr>
        <w:t xml:space="preserve"> as one of three transformational imperatives</w:t>
      </w:r>
      <w:r w:rsidR="00F77415">
        <w:rPr>
          <w:noProof/>
          <w:lang w:val="en-IE"/>
        </w:rPr>
        <w:t xml:space="preserve"> to boost competitiveness</w:t>
      </w:r>
      <w:r w:rsidR="00940AB7" w:rsidRPr="00DC2D56">
        <w:rPr>
          <w:noProof/>
          <w:lang w:val="en-IE"/>
        </w:rPr>
        <w:t>.</w:t>
      </w:r>
    </w:p>
    <w:p w:rsidR="00BF4FD5" w:rsidRPr="00DC2D56" w:rsidRDefault="00DD0CD8" w:rsidP="00C34CCF">
      <w:pPr>
        <w:spacing w:before="0" w:after="240"/>
        <w:rPr>
          <w:noProof/>
          <w:lang w:val="en-IE"/>
        </w:rPr>
      </w:pPr>
      <w:r w:rsidRPr="00DC2D56">
        <w:rPr>
          <w:noProof/>
          <w:lang w:val="en-IE"/>
        </w:rPr>
        <w:t>This imperative is developed in the Clean Industrial Deal</w:t>
      </w:r>
      <w:r w:rsidR="005D75F4">
        <w:rPr>
          <w:noProof/>
          <w:lang w:val="en-IE"/>
        </w:rPr>
        <w:t> </w:t>
      </w:r>
      <w:r w:rsidRPr="00DC2D56">
        <w:rPr>
          <w:rStyle w:val="FootnoteReference"/>
          <w:rFonts w:eastAsia="Arial Unicode MS"/>
          <w:noProof/>
          <w:lang w:val="en-IE"/>
        </w:rPr>
        <w:footnoteReference w:id="5"/>
      </w:r>
      <w:r w:rsidRPr="00DC2D56">
        <w:rPr>
          <w:noProof/>
          <w:lang w:val="en-IE"/>
        </w:rPr>
        <w:t xml:space="preserve">. </w:t>
      </w:r>
      <w:r w:rsidR="00126D67" w:rsidRPr="00DC2D56">
        <w:rPr>
          <w:noProof/>
          <w:lang w:val="en-IE"/>
        </w:rPr>
        <w:t>It</w:t>
      </w:r>
      <w:r w:rsidR="005004F2" w:rsidRPr="00DC2D56">
        <w:rPr>
          <w:noProof/>
          <w:lang w:val="en-IE"/>
        </w:rPr>
        <w:t xml:space="preserve"> aims</w:t>
      </w:r>
      <w:r w:rsidR="00F46028" w:rsidRPr="00DC2D56">
        <w:rPr>
          <w:noProof/>
          <w:lang w:val="en-IE"/>
        </w:rPr>
        <w:t xml:space="preserve"> to strengthen the </w:t>
      </w:r>
      <w:r w:rsidR="003C0250">
        <w:rPr>
          <w:noProof/>
          <w:lang w:val="en-IE"/>
        </w:rPr>
        <w:t xml:space="preserve">EU’s </w:t>
      </w:r>
      <w:r w:rsidR="00F46028" w:rsidRPr="00DC2D56">
        <w:rPr>
          <w:noProof/>
          <w:lang w:val="en-IE"/>
        </w:rPr>
        <w:t xml:space="preserve">competitiveness while </w:t>
      </w:r>
      <w:r w:rsidR="00B45817">
        <w:rPr>
          <w:noProof/>
          <w:lang w:val="en-IE"/>
        </w:rPr>
        <w:t>remaining on track to achieve</w:t>
      </w:r>
      <w:r w:rsidR="00F46028" w:rsidRPr="00DC2D56">
        <w:rPr>
          <w:noProof/>
          <w:lang w:val="en-IE"/>
        </w:rPr>
        <w:t xml:space="preserve"> climate </w:t>
      </w:r>
      <w:r w:rsidR="00E902C0" w:rsidRPr="00DC2D56">
        <w:rPr>
          <w:noProof/>
          <w:lang w:val="en-IE"/>
        </w:rPr>
        <w:t>neutrality.</w:t>
      </w:r>
      <w:r w:rsidR="00B408AB" w:rsidRPr="00DC2D56">
        <w:rPr>
          <w:noProof/>
          <w:lang w:val="en-IE"/>
        </w:rPr>
        <w:t xml:space="preserve"> The focus is</w:t>
      </w:r>
      <w:r w:rsidR="0057004B" w:rsidRPr="00DC2D56">
        <w:rPr>
          <w:noProof/>
          <w:lang w:val="en-IE"/>
        </w:rPr>
        <w:t xml:space="preserve"> </w:t>
      </w:r>
      <w:r w:rsidR="00B408AB" w:rsidRPr="00DC2D56">
        <w:rPr>
          <w:noProof/>
          <w:lang w:val="en-IE"/>
        </w:rPr>
        <w:t xml:space="preserve">on supporting and creating the right conditions for companies to </w:t>
      </w:r>
      <w:r w:rsidR="005179E8">
        <w:rPr>
          <w:noProof/>
          <w:lang w:val="en-IE"/>
        </w:rPr>
        <w:t>achieve</w:t>
      </w:r>
      <w:r w:rsidR="005179E8" w:rsidRPr="00DC2D56">
        <w:rPr>
          <w:noProof/>
          <w:lang w:val="en-IE"/>
        </w:rPr>
        <w:t xml:space="preserve"> </w:t>
      </w:r>
      <w:r w:rsidR="00983C8F">
        <w:rPr>
          <w:noProof/>
          <w:lang w:val="en-IE"/>
        </w:rPr>
        <w:t xml:space="preserve">this </w:t>
      </w:r>
      <w:r w:rsidR="00B408AB" w:rsidRPr="00DC2D56">
        <w:rPr>
          <w:noProof/>
          <w:lang w:val="en-IE"/>
        </w:rPr>
        <w:t>goal.</w:t>
      </w:r>
      <w:r w:rsidR="00E902C0" w:rsidRPr="00DC2D56">
        <w:rPr>
          <w:noProof/>
          <w:lang w:val="en-IE"/>
        </w:rPr>
        <w:t xml:space="preserve"> It also aims to </w:t>
      </w:r>
      <w:r w:rsidR="007038C1" w:rsidRPr="00DC2D56">
        <w:rPr>
          <w:noProof/>
          <w:lang w:val="en-IE"/>
        </w:rPr>
        <w:t xml:space="preserve">increase the </w:t>
      </w:r>
      <w:r w:rsidR="00BE70C6">
        <w:rPr>
          <w:noProof/>
          <w:lang w:val="en-IE"/>
        </w:rPr>
        <w:t xml:space="preserve">EU’s </w:t>
      </w:r>
      <w:r w:rsidR="007038C1" w:rsidRPr="00DC2D56">
        <w:rPr>
          <w:noProof/>
          <w:lang w:val="en-IE"/>
        </w:rPr>
        <w:t>economic</w:t>
      </w:r>
      <w:r w:rsidR="009D077D" w:rsidRPr="00DC2D56">
        <w:rPr>
          <w:noProof/>
          <w:lang w:val="en-IE"/>
        </w:rPr>
        <w:t xml:space="preserve"> and ener</w:t>
      </w:r>
      <w:r w:rsidR="00A56D9E" w:rsidRPr="00DC2D56">
        <w:rPr>
          <w:noProof/>
          <w:lang w:val="en-IE"/>
        </w:rPr>
        <w:t>gy</w:t>
      </w:r>
      <w:r w:rsidR="007038C1" w:rsidRPr="00DC2D56">
        <w:rPr>
          <w:noProof/>
          <w:lang w:val="en-IE"/>
        </w:rPr>
        <w:t xml:space="preserve"> security </w:t>
      </w:r>
      <w:r w:rsidR="00071091" w:rsidRPr="00DC2D56">
        <w:rPr>
          <w:noProof/>
          <w:lang w:val="en-IE"/>
        </w:rPr>
        <w:t xml:space="preserve">by </w:t>
      </w:r>
      <w:r w:rsidR="0018282E" w:rsidRPr="00DC2D56">
        <w:rPr>
          <w:noProof/>
          <w:lang w:val="en-IE"/>
        </w:rPr>
        <w:t xml:space="preserve">decreasing </w:t>
      </w:r>
      <w:r w:rsidR="00BE70C6">
        <w:rPr>
          <w:noProof/>
          <w:lang w:val="en-IE"/>
        </w:rPr>
        <w:t xml:space="preserve">its </w:t>
      </w:r>
      <w:r w:rsidR="0018282E" w:rsidRPr="00DC2D56">
        <w:rPr>
          <w:noProof/>
          <w:lang w:val="en-IE"/>
        </w:rPr>
        <w:t xml:space="preserve">dependence on imported fossil fuels and </w:t>
      </w:r>
      <w:r w:rsidR="00EA21E4" w:rsidRPr="00DC2D56">
        <w:rPr>
          <w:noProof/>
          <w:lang w:val="en-IE"/>
        </w:rPr>
        <w:t>increasing the share of energy produce</w:t>
      </w:r>
      <w:r w:rsidR="00CB4FA1" w:rsidRPr="00DC2D56">
        <w:rPr>
          <w:noProof/>
          <w:lang w:val="en-IE"/>
        </w:rPr>
        <w:t>d</w:t>
      </w:r>
      <w:r w:rsidR="00EA21E4" w:rsidRPr="00DC2D56">
        <w:rPr>
          <w:noProof/>
          <w:lang w:val="en-IE"/>
        </w:rPr>
        <w:t xml:space="preserve"> from decarbonised generation </w:t>
      </w:r>
      <w:r w:rsidR="00BE70C6">
        <w:rPr>
          <w:noProof/>
          <w:lang w:val="en-IE"/>
        </w:rPr>
        <w:t>with</w:t>
      </w:r>
      <w:r w:rsidR="00EA21E4" w:rsidRPr="00DC2D56">
        <w:rPr>
          <w:noProof/>
          <w:lang w:val="en-IE"/>
        </w:rPr>
        <w:t xml:space="preserve">in </w:t>
      </w:r>
      <w:r w:rsidR="00BE70C6">
        <w:rPr>
          <w:noProof/>
          <w:lang w:val="en-IE"/>
        </w:rPr>
        <w:t>the EU</w:t>
      </w:r>
      <w:r w:rsidR="00183D6B" w:rsidRPr="00DC2D56">
        <w:rPr>
          <w:noProof/>
          <w:lang w:val="en-IE"/>
        </w:rPr>
        <w:t>.</w:t>
      </w:r>
      <w:r w:rsidR="00DA0352" w:rsidRPr="00DC2D56">
        <w:rPr>
          <w:noProof/>
          <w:lang w:val="en-IE"/>
        </w:rPr>
        <w:t xml:space="preserve"> </w:t>
      </w:r>
    </w:p>
    <w:p w:rsidR="00B41731" w:rsidRPr="00DC2D56" w:rsidRDefault="00B41731" w:rsidP="00C34CCF">
      <w:pPr>
        <w:spacing w:before="0" w:after="240"/>
        <w:rPr>
          <w:noProof/>
          <w:lang w:val="en-IE"/>
        </w:rPr>
      </w:pPr>
      <w:r w:rsidRPr="00DC2D56">
        <w:rPr>
          <w:noProof/>
          <w:lang w:val="en-IE"/>
        </w:rPr>
        <w:t xml:space="preserve">The </w:t>
      </w:r>
      <w:r w:rsidR="00183D6B" w:rsidRPr="00DC2D56">
        <w:rPr>
          <w:noProof/>
          <w:lang w:val="en-IE"/>
        </w:rPr>
        <w:t xml:space="preserve">Competitiveness </w:t>
      </w:r>
      <w:r w:rsidRPr="00DC2D56">
        <w:rPr>
          <w:noProof/>
          <w:lang w:val="en-IE"/>
        </w:rPr>
        <w:t xml:space="preserve">Compass </w:t>
      </w:r>
      <w:r w:rsidR="005179E8">
        <w:rPr>
          <w:noProof/>
          <w:lang w:val="en-IE"/>
        </w:rPr>
        <w:t>and</w:t>
      </w:r>
      <w:r w:rsidR="005355AC" w:rsidRPr="00DC2D56">
        <w:rPr>
          <w:noProof/>
          <w:lang w:val="en-IE"/>
        </w:rPr>
        <w:t xml:space="preserve"> </w:t>
      </w:r>
      <w:r w:rsidR="00183D6B" w:rsidRPr="00DC2D56">
        <w:rPr>
          <w:noProof/>
          <w:lang w:val="en-IE"/>
        </w:rPr>
        <w:t xml:space="preserve">the Clean Industrial Deal </w:t>
      </w:r>
      <w:r w:rsidR="00BE70C6">
        <w:rPr>
          <w:noProof/>
          <w:lang w:val="en-IE"/>
        </w:rPr>
        <w:t>pay</w:t>
      </w:r>
      <w:r w:rsidR="00BE70C6" w:rsidRPr="00DC2D56">
        <w:rPr>
          <w:noProof/>
          <w:lang w:val="en-IE"/>
        </w:rPr>
        <w:t xml:space="preserve"> </w:t>
      </w:r>
      <w:r w:rsidR="00257AAF" w:rsidRPr="00DC2D56">
        <w:rPr>
          <w:noProof/>
          <w:lang w:val="en-IE"/>
        </w:rPr>
        <w:t>particular attention to the automotive sector</w:t>
      </w:r>
      <w:r w:rsidR="00CF5FB3" w:rsidRPr="00DC2D56">
        <w:rPr>
          <w:noProof/>
          <w:lang w:val="en-IE"/>
        </w:rPr>
        <w:t>. Th</w:t>
      </w:r>
      <w:r w:rsidR="00BE70C6">
        <w:rPr>
          <w:noProof/>
          <w:lang w:val="en-IE"/>
        </w:rPr>
        <w:t>is</w:t>
      </w:r>
      <w:r w:rsidR="00F13EE9" w:rsidRPr="00DC2D56">
        <w:rPr>
          <w:noProof/>
          <w:lang w:val="en-IE"/>
        </w:rPr>
        <w:t xml:space="preserve"> </w:t>
      </w:r>
      <w:r w:rsidR="00CF5FB3" w:rsidRPr="00DC2D56">
        <w:rPr>
          <w:noProof/>
          <w:lang w:val="en-IE"/>
        </w:rPr>
        <w:t xml:space="preserve">sector </w:t>
      </w:r>
      <w:r w:rsidR="009D72C9" w:rsidRPr="00DC2D56">
        <w:rPr>
          <w:noProof/>
          <w:lang w:val="en-IE"/>
        </w:rPr>
        <w:t xml:space="preserve">is </w:t>
      </w:r>
      <w:r w:rsidR="00716883" w:rsidRPr="00DC2D56">
        <w:rPr>
          <w:noProof/>
          <w:lang w:val="en-IE"/>
        </w:rPr>
        <w:t>undergoing a profound and transformative shift</w:t>
      </w:r>
      <w:r w:rsidR="007A7303" w:rsidRPr="00DC2D56">
        <w:rPr>
          <w:noProof/>
          <w:lang w:val="en-IE"/>
        </w:rPr>
        <w:t xml:space="preserve">, driven by technological changes </w:t>
      </w:r>
      <w:r w:rsidR="00BE70C6">
        <w:rPr>
          <w:noProof/>
          <w:lang w:val="en-IE"/>
        </w:rPr>
        <w:t xml:space="preserve">such as </w:t>
      </w:r>
      <w:r w:rsidR="007A7303" w:rsidRPr="00DC2D56">
        <w:rPr>
          <w:noProof/>
          <w:lang w:val="en-IE"/>
        </w:rPr>
        <w:t>digitali</w:t>
      </w:r>
      <w:r w:rsidR="00A31C11" w:rsidRPr="00DC2D56">
        <w:rPr>
          <w:noProof/>
          <w:lang w:val="en-IE"/>
        </w:rPr>
        <w:t>s</w:t>
      </w:r>
      <w:r w:rsidR="007A7303" w:rsidRPr="00DC2D56">
        <w:rPr>
          <w:noProof/>
          <w:lang w:val="en-IE"/>
        </w:rPr>
        <w:t>ation</w:t>
      </w:r>
      <w:r w:rsidR="00716883" w:rsidRPr="00DC2D56">
        <w:rPr>
          <w:noProof/>
          <w:lang w:val="en-IE"/>
        </w:rPr>
        <w:t xml:space="preserve"> and</w:t>
      </w:r>
      <w:r w:rsidR="007A7303" w:rsidRPr="00DC2D56">
        <w:rPr>
          <w:noProof/>
          <w:lang w:val="en-IE"/>
        </w:rPr>
        <w:t xml:space="preserve"> decarboni</w:t>
      </w:r>
      <w:r w:rsidR="00A31C11" w:rsidRPr="00DC2D56">
        <w:rPr>
          <w:noProof/>
          <w:lang w:val="en-IE"/>
        </w:rPr>
        <w:t>s</w:t>
      </w:r>
      <w:r w:rsidR="007A7303" w:rsidRPr="00DC2D56">
        <w:rPr>
          <w:noProof/>
          <w:lang w:val="en-IE"/>
        </w:rPr>
        <w:t>ation.</w:t>
      </w:r>
      <w:r w:rsidR="00E257C3" w:rsidRPr="00DC2D56">
        <w:rPr>
          <w:noProof/>
          <w:lang w:val="en-IE"/>
        </w:rPr>
        <w:t xml:space="preserve"> </w:t>
      </w:r>
      <w:r w:rsidR="000D0E6E" w:rsidRPr="00DC2D56">
        <w:rPr>
          <w:noProof/>
          <w:lang w:val="en-IE"/>
        </w:rPr>
        <w:t>With this in mind</w:t>
      </w:r>
      <w:r w:rsidR="000F249A" w:rsidRPr="00DC2D56">
        <w:rPr>
          <w:noProof/>
          <w:lang w:val="en-IE"/>
        </w:rPr>
        <w:t>, t</w:t>
      </w:r>
      <w:r w:rsidR="002B7F61" w:rsidRPr="00DC2D56">
        <w:rPr>
          <w:noProof/>
          <w:lang w:val="en-IE"/>
        </w:rPr>
        <w:t xml:space="preserve">he </w:t>
      </w:r>
      <w:r w:rsidR="000F249A" w:rsidRPr="00DC2D56">
        <w:rPr>
          <w:noProof/>
          <w:lang w:val="en-IE"/>
        </w:rPr>
        <w:t xml:space="preserve">Commission </w:t>
      </w:r>
      <w:r w:rsidR="005179E8">
        <w:rPr>
          <w:noProof/>
          <w:lang w:val="en-IE"/>
        </w:rPr>
        <w:t xml:space="preserve">has </w:t>
      </w:r>
      <w:r w:rsidR="000F249A" w:rsidRPr="00DC2D56">
        <w:rPr>
          <w:noProof/>
          <w:lang w:val="en-IE"/>
        </w:rPr>
        <w:t xml:space="preserve">adopted </w:t>
      </w:r>
      <w:r w:rsidR="004934F0">
        <w:rPr>
          <w:noProof/>
          <w:lang w:val="en-IE"/>
        </w:rPr>
        <w:t>an</w:t>
      </w:r>
      <w:r w:rsidR="004934F0" w:rsidRPr="00DC2D56">
        <w:rPr>
          <w:noProof/>
          <w:lang w:val="en-IE"/>
        </w:rPr>
        <w:t xml:space="preserve"> </w:t>
      </w:r>
      <w:r w:rsidR="00F0408A">
        <w:rPr>
          <w:rFonts w:eastAsia="Arial Unicode MS"/>
          <w:noProof/>
          <w:lang w:val="en-IE"/>
        </w:rPr>
        <w:t>I</w:t>
      </w:r>
      <w:r w:rsidR="000F249A" w:rsidRPr="00DC2D56">
        <w:rPr>
          <w:rFonts w:eastAsia="Arial Unicode MS"/>
          <w:noProof/>
          <w:lang w:val="en-IE"/>
        </w:rPr>
        <w:t xml:space="preserve">ndustrial </w:t>
      </w:r>
      <w:r w:rsidR="00F0408A">
        <w:rPr>
          <w:rFonts w:eastAsia="Arial Unicode MS"/>
          <w:noProof/>
          <w:lang w:val="en-IE"/>
        </w:rPr>
        <w:t>A</w:t>
      </w:r>
      <w:r w:rsidR="000F249A" w:rsidRPr="00DC2D56">
        <w:rPr>
          <w:rFonts w:eastAsia="Arial Unicode MS"/>
          <w:noProof/>
          <w:lang w:val="en-IE"/>
        </w:rPr>
        <w:t xml:space="preserve">ction </w:t>
      </w:r>
      <w:r w:rsidR="00F0408A">
        <w:rPr>
          <w:rFonts w:eastAsia="Arial Unicode MS"/>
          <w:noProof/>
          <w:lang w:val="en-IE"/>
        </w:rPr>
        <w:t>P</w:t>
      </w:r>
      <w:r w:rsidR="000F249A" w:rsidRPr="00DC2D56">
        <w:rPr>
          <w:rFonts w:eastAsia="Arial Unicode MS"/>
          <w:noProof/>
          <w:lang w:val="en-IE"/>
        </w:rPr>
        <w:t xml:space="preserve">lan for the </w:t>
      </w:r>
      <w:r w:rsidR="00F0408A">
        <w:rPr>
          <w:rFonts w:eastAsia="Arial Unicode MS"/>
          <w:noProof/>
          <w:lang w:val="en-IE"/>
        </w:rPr>
        <w:t>European</w:t>
      </w:r>
      <w:r w:rsidR="00BE70C6" w:rsidRPr="00DC2D56">
        <w:rPr>
          <w:rFonts w:eastAsia="Arial Unicode MS"/>
          <w:noProof/>
          <w:lang w:val="en-IE"/>
        </w:rPr>
        <w:t xml:space="preserve"> </w:t>
      </w:r>
      <w:r w:rsidR="000F249A" w:rsidRPr="00DC2D56">
        <w:rPr>
          <w:rFonts w:eastAsia="Arial Unicode MS"/>
          <w:noProof/>
          <w:lang w:val="en-IE"/>
        </w:rPr>
        <w:t>automotive sector</w:t>
      </w:r>
      <w:r w:rsidR="00DC04F2">
        <w:rPr>
          <w:noProof/>
          <w:lang w:val="en-IE"/>
        </w:rPr>
        <w:t> </w:t>
      </w:r>
      <w:r w:rsidR="00F13EE9" w:rsidRPr="00DC2D56">
        <w:rPr>
          <w:rStyle w:val="FootnoteReference"/>
          <w:rFonts w:eastAsia="Arial Unicode MS"/>
          <w:noProof/>
          <w:lang w:val="en-IE"/>
        </w:rPr>
        <w:footnoteReference w:id="6"/>
      </w:r>
      <w:r w:rsidR="000F249A" w:rsidRPr="00DC2D56">
        <w:rPr>
          <w:rFonts w:eastAsia="Arial Unicode MS"/>
          <w:noProof/>
          <w:lang w:val="en-IE"/>
        </w:rPr>
        <w:t>.</w:t>
      </w:r>
    </w:p>
    <w:p w:rsidR="00935AE5" w:rsidRPr="00DC2D56" w:rsidRDefault="00455825" w:rsidP="00C34CCF">
      <w:pPr>
        <w:spacing w:before="0" w:after="240"/>
        <w:rPr>
          <w:noProof/>
          <w:lang w:val="en-IE"/>
        </w:rPr>
      </w:pPr>
      <w:r w:rsidRPr="00DC2D56">
        <w:rPr>
          <w:noProof/>
          <w:lang w:val="en-IE"/>
        </w:rPr>
        <w:t>The</w:t>
      </w:r>
      <w:r w:rsidR="00611F96" w:rsidRPr="00DC2D56">
        <w:rPr>
          <w:noProof/>
          <w:lang w:val="en-IE"/>
        </w:rPr>
        <w:t xml:space="preserve">se </w:t>
      </w:r>
      <w:r w:rsidR="00983C8F">
        <w:rPr>
          <w:noProof/>
          <w:lang w:val="en-IE"/>
        </w:rPr>
        <w:t xml:space="preserve">three </w:t>
      </w:r>
      <w:r w:rsidR="00611F96" w:rsidRPr="00DC2D56">
        <w:rPr>
          <w:noProof/>
          <w:lang w:val="en-IE"/>
        </w:rPr>
        <w:t>strategies</w:t>
      </w:r>
      <w:r w:rsidRPr="00DC2D56">
        <w:rPr>
          <w:noProof/>
          <w:lang w:val="en-IE"/>
        </w:rPr>
        <w:t xml:space="preserve"> </w:t>
      </w:r>
      <w:r w:rsidR="00B37C7D" w:rsidRPr="00DC2D56">
        <w:rPr>
          <w:rFonts w:eastAsia="Arial Unicode MS"/>
          <w:noProof/>
          <w:lang w:val="en-IE"/>
        </w:rPr>
        <w:t>identify</w:t>
      </w:r>
      <w:r w:rsidR="00245ED1" w:rsidRPr="00DC2D56">
        <w:rPr>
          <w:rFonts w:eastAsia="Arial Unicode MS"/>
          <w:noProof/>
          <w:lang w:val="en-IE"/>
        </w:rPr>
        <w:t xml:space="preserve"> </w:t>
      </w:r>
      <w:r w:rsidR="0094052E" w:rsidRPr="00DC2D56">
        <w:rPr>
          <w:rFonts w:eastAsia="Arial Unicode MS"/>
          <w:noProof/>
          <w:lang w:val="en-IE"/>
        </w:rPr>
        <w:t>decarbonisation as a powerful driver of growth</w:t>
      </w:r>
      <w:r w:rsidR="001C060F" w:rsidRPr="00DC2D56">
        <w:rPr>
          <w:noProof/>
          <w:lang w:val="en-IE"/>
        </w:rPr>
        <w:t xml:space="preserve"> and </w:t>
      </w:r>
      <w:r w:rsidR="008350BB" w:rsidRPr="00DC2D56">
        <w:rPr>
          <w:noProof/>
          <w:lang w:val="en-IE"/>
        </w:rPr>
        <w:t xml:space="preserve">put forward concrete measures </w:t>
      </w:r>
      <w:r w:rsidR="00E6339A" w:rsidRPr="00DC2D56">
        <w:rPr>
          <w:noProof/>
          <w:lang w:val="en-IE"/>
        </w:rPr>
        <w:t>to</w:t>
      </w:r>
      <w:r w:rsidR="00B31514" w:rsidRPr="00DC2D56">
        <w:rPr>
          <w:noProof/>
          <w:lang w:val="en-IE"/>
        </w:rPr>
        <w:t xml:space="preserve"> provide</w:t>
      </w:r>
      <w:r w:rsidR="00E6339A" w:rsidRPr="00DC2D56">
        <w:rPr>
          <w:noProof/>
          <w:lang w:val="en-IE"/>
        </w:rPr>
        <w:t xml:space="preserve"> </w:t>
      </w:r>
      <w:r w:rsidR="004934F0">
        <w:rPr>
          <w:noProof/>
          <w:lang w:val="en-IE"/>
        </w:rPr>
        <w:t>EU</w:t>
      </w:r>
      <w:r w:rsidR="004934F0" w:rsidRPr="00DC2D56">
        <w:rPr>
          <w:noProof/>
          <w:lang w:val="en-IE"/>
        </w:rPr>
        <w:t xml:space="preserve"> </w:t>
      </w:r>
      <w:r w:rsidR="0037587B" w:rsidRPr="00DC2D56">
        <w:rPr>
          <w:noProof/>
          <w:lang w:val="en-IE"/>
        </w:rPr>
        <w:t xml:space="preserve">industries with a stronger business case for </w:t>
      </w:r>
      <w:r w:rsidR="00DC1501" w:rsidRPr="00DC2D56">
        <w:rPr>
          <w:noProof/>
          <w:lang w:val="en-IE"/>
        </w:rPr>
        <w:t>clean production</w:t>
      </w:r>
      <w:r w:rsidR="005E4B7E" w:rsidRPr="00DC2D56">
        <w:rPr>
          <w:noProof/>
          <w:lang w:val="en-IE"/>
        </w:rPr>
        <w:t xml:space="preserve">. </w:t>
      </w:r>
      <w:r w:rsidR="00361CBA" w:rsidRPr="00DC2D56">
        <w:rPr>
          <w:noProof/>
          <w:lang w:val="en-IE"/>
        </w:rPr>
        <w:t>Th</w:t>
      </w:r>
      <w:r w:rsidR="00321E9C" w:rsidRPr="00DC2D56">
        <w:rPr>
          <w:noProof/>
          <w:lang w:val="en-IE"/>
        </w:rPr>
        <w:t xml:space="preserve">e </w:t>
      </w:r>
      <w:r w:rsidR="004934F0">
        <w:rPr>
          <w:noProof/>
          <w:lang w:val="en-IE"/>
        </w:rPr>
        <w:t>a</w:t>
      </w:r>
      <w:r w:rsidR="00361CBA" w:rsidRPr="00DC2D56">
        <w:rPr>
          <w:noProof/>
          <w:lang w:val="en-IE"/>
        </w:rPr>
        <w:t xml:space="preserve">ction </w:t>
      </w:r>
      <w:r w:rsidR="004934F0">
        <w:rPr>
          <w:noProof/>
          <w:lang w:val="en-IE"/>
        </w:rPr>
        <w:t>p</w:t>
      </w:r>
      <w:r w:rsidR="00361CBA" w:rsidRPr="00DC2D56">
        <w:rPr>
          <w:noProof/>
          <w:lang w:val="en-IE"/>
        </w:rPr>
        <w:t xml:space="preserve">lan </w:t>
      </w:r>
      <w:r w:rsidR="00F84894">
        <w:rPr>
          <w:rFonts w:eastAsia="Arial Unicode MS"/>
          <w:noProof/>
          <w:lang w:val="en-IE"/>
        </w:rPr>
        <w:t>contains</w:t>
      </w:r>
      <w:r w:rsidR="00F84894" w:rsidRPr="00DC2D56">
        <w:rPr>
          <w:rFonts w:eastAsia="Arial Unicode MS"/>
          <w:noProof/>
          <w:lang w:val="en-IE"/>
        </w:rPr>
        <w:t xml:space="preserve"> </w:t>
      </w:r>
      <w:r w:rsidR="00361CBA" w:rsidRPr="00DC2D56">
        <w:rPr>
          <w:rFonts w:eastAsia="Arial Unicode MS"/>
          <w:noProof/>
          <w:lang w:val="en-IE"/>
        </w:rPr>
        <w:t>specific incentives to boost the uptake of zero-emission vehicles, including heavy-duty vehicles</w:t>
      </w:r>
      <w:r w:rsidR="00515FEB" w:rsidRPr="00DC2D56">
        <w:rPr>
          <w:rFonts w:eastAsia="Arial Unicode MS"/>
          <w:noProof/>
          <w:lang w:val="en-IE"/>
        </w:rPr>
        <w:t>.</w:t>
      </w:r>
    </w:p>
    <w:p w:rsidR="00522C96" w:rsidRPr="00DC2D56" w:rsidRDefault="00D31F35" w:rsidP="0075335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 xml:space="preserve">In 2022, </w:t>
      </w:r>
      <w:r w:rsidR="00ED61DC" w:rsidRPr="00DC2D56">
        <w:rPr>
          <w:rFonts w:eastAsia="Arial Unicode MS"/>
          <w:noProof/>
          <w:lang w:val="en-IE"/>
        </w:rPr>
        <w:t xml:space="preserve">the </w:t>
      </w:r>
      <w:r w:rsidR="00C5677E" w:rsidRPr="00DC2D56">
        <w:rPr>
          <w:rFonts w:eastAsia="Arial Unicode MS"/>
          <w:noProof/>
          <w:lang w:val="en-IE"/>
        </w:rPr>
        <w:t>h</w:t>
      </w:r>
      <w:r w:rsidR="009C490F" w:rsidRPr="00DC2D56">
        <w:rPr>
          <w:rFonts w:eastAsia="Arial Unicode MS"/>
          <w:noProof/>
          <w:lang w:val="en-IE"/>
        </w:rPr>
        <w:t>eavy-duty road transport</w:t>
      </w:r>
      <w:r w:rsidR="001002CA" w:rsidRPr="00DC2D56">
        <w:rPr>
          <w:rFonts w:eastAsia="Arial Unicode MS"/>
          <w:noProof/>
          <w:lang w:val="en-IE"/>
        </w:rPr>
        <w:t xml:space="preserve"> sector</w:t>
      </w:r>
      <w:r w:rsidR="009C490F" w:rsidRPr="00DC2D56">
        <w:rPr>
          <w:rFonts w:eastAsia="Arial Unicode MS"/>
          <w:noProof/>
          <w:lang w:val="en-IE"/>
        </w:rPr>
        <w:t xml:space="preserve"> </w:t>
      </w:r>
      <w:r w:rsidR="00935222" w:rsidRPr="00DC2D56">
        <w:rPr>
          <w:rFonts w:eastAsia="Arial Unicode MS"/>
          <w:noProof/>
          <w:lang w:val="en-IE"/>
        </w:rPr>
        <w:t>cause</w:t>
      </w:r>
      <w:r w:rsidR="00E54DBC" w:rsidRPr="00DC2D56">
        <w:rPr>
          <w:rFonts w:eastAsia="Arial Unicode MS"/>
          <w:noProof/>
          <w:lang w:val="en-IE"/>
        </w:rPr>
        <w:t xml:space="preserve">d </w:t>
      </w:r>
      <w:r w:rsidR="00935222" w:rsidRPr="00DC2D56">
        <w:rPr>
          <w:rFonts w:eastAsia="Arial Unicode MS"/>
          <w:noProof/>
          <w:lang w:val="en-IE"/>
        </w:rPr>
        <w:t>27.</w:t>
      </w:r>
      <w:r w:rsidR="00EE2F5F">
        <w:rPr>
          <w:rFonts w:eastAsia="Arial Unicode MS"/>
          <w:noProof/>
          <w:lang w:val="en-IE"/>
        </w:rPr>
        <w:t>5</w:t>
      </w:r>
      <w:r w:rsidR="00935222" w:rsidRPr="00DC2D56">
        <w:rPr>
          <w:rFonts w:eastAsia="Arial Unicode MS"/>
          <w:noProof/>
          <w:lang w:val="en-IE"/>
        </w:rPr>
        <w:t xml:space="preserve">% of road transport </w:t>
      </w:r>
      <w:r w:rsidR="00BB5DE7">
        <w:rPr>
          <w:rFonts w:eastAsia="Arial Unicode MS"/>
          <w:noProof/>
          <w:lang w:val="en-IE"/>
        </w:rPr>
        <w:t>CO</w:t>
      </w:r>
      <w:r w:rsidR="00BB5DE7">
        <w:rPr>
          <w:rFonts w:eastAsia="Arial Unicode MS"/>
          <w:noProof/>
          <w:vertAlign w:val="subscript"/>
          <w:lang w:val="en-IE"/>
        </w:rPr>
        <w:t>2</w:t>
      </w:r>
      <w:r w:rsidR="00BB5DE7">
        <w:rPr>
          <w:rFonts w:eastAsia="Arial Unicode MS"/>
          <w:noProof/>
          <w:lang w:val="en-IE"/>
        </w:rPr>
        <w:t xml:space="preserve"> </w:t>
      </w:r>
      <w:r w:rsidR="00935222" w:rsidRPr="00DC2D56">
        <w:rPr>
          <w:rFonts w:eastAsia="Arial Unicode MS"/>
          <w:noProof/>
          <w:lang w:val="en-IE"/>
        </w:rPr>
        <w:t>emissions</w:t>
      </w:r>
      <w:r w:rsidR="00DC04F2">
        <w:rPr>
          <w:noProof/>
          <w:lang w:val="en-IE"/>
        </w:rPr>
        <w:t> </w:t>
      </w:r>
      <w:r w:rsidR="00F040C7" w:rsidRPr="00DC2D56">
        <w:rPr>
          <w:rStyle w:val="FootnoteReference"/>
          <w:rFonts w:eastAsia="Arial Unicode MS"/>
          <w:noProof/>
          <w:lang w:val="en-IE"/>
        </w:rPr>
        <w:footnoteReference w:id="7"/>
      </w:r>
      <w:r w:rsidR="00935222" w:rsidRPr="00DC2D56">
        <w:rPr>
          <w:rFonts w:eastAsia="Arial Unicode MS"/>
          <w:noProof/>
          <w:lang w:val="en-IE"/>
        </w:rPr>
        <w:t xml:space="preserve"> despite </w:t>
      </w:r>
      <w:r w:rsidR="002A57D7" w:rsidRPr="00DC2D56">
        <w:rPr>
          <w:rFonts w:eastAsia="Arial Unicode MS"/>
          <w:noProof/>
          <w:lang w:val="en-IE"/>
        </w:rPr>
        <w:t>making up</w:t>
      </w:r>
      <w:r w:rsidR="00F84894">
        <w:rPr>
          <w:rFonts w:eastAsia="Arial Unicode MS"/>
          <w:noProof/>
          <w:lang w:val="en-IE"/>
        </w:rPr>
        <w:t xml:space="preserve"> only</w:t>
      </w:r>
      <w:r w:rsidR="002A57D7" w:rsidRPr="00DC2D56">
        <w:rPr>
          <w:rFonts w:eastAsia="Arial Unicode MS"/>
          <w:noProof/>
          <w:lang w:val="en-IE"/>
        </w:rPr>
        <w:t xml:space="preserve"> </w:t>
      </w:r>
      <w:r w:rsidR="00935222" w:rsidRPr="00DC2D56">
        <w:rPr>
          <w:rFonts w:eastAsia="Arial Unicode MS"/>
          <w:noProof/>
          <w:lang w:val="en-IE"/>
        </w:rPr>
        <w:t xml:space="preserve">2.4% of </w:t>
      </w:r>
      <w:r w:rsidR="00A80650" w:rsidRPr="00DC2D56">
        <w:rPr>
          <w:rFonts w:eastAsia="Arial Unicode MS"/>
          <w:noProof/>
          <w:lang w:val="en-IE"/>
        </w:rPr>
        <w:t xml:space="preserve">the </w:t>
      </w:r>
      <w:r w:rsidR="00935222" w:rsidRPr="00DC2D56">
        <w:rPr>
          <w:rFonts w:eastAsia="Arial Unicode MS"/>
          <w:noProof/>
          <w:lang w:val="en-IE"/>
        </w:rPr>
        <w:t>vehicle</w:t>
      </w:r>
      <w:r w:rsidR="00A80650" w:rsidRPr="00DC2D56">
        <w:rPr>
          <w:rFonts w:eastAsia="Arial Unicode MS"/>
          <w:noProof/>
          <w:lang w:val="en-IE"/>
        </w:rPr>
        <w:t xml:space="preserve"> fleet</w:t>
      </w:r>
      <w:r w:rsidR="00DC04F2">
        <w:rPr>
          <w:noProof/>
          <w:lang w:val="en-IE"/>
        </w:rPr>
        <w:t> </w:t>
      </w:r>
      <w:r w:rsidR="00A80650" w:rsidRPr="00DC2D56">
        <w:rPr>
          <w:rStyle w:val="FootnoteReference"/>
          <w:rFonts w:eastAsia="Arial Unicode MS"/>
          <w:noProof/>
          <w:lang w:val="en-IE"/>
        </w:rPr>
        <w:footnoteReference w:id="8"/>
      </w:r>
      <w:r w:rsidR="00935222" w:rsidRPr="00DC2D56">
        <w:rPr>
          <w:rFonts w:eastAsia="Arial Unicode MS"/>
          <w:noProof/>
          <w:lang w:val="en-IE"/>
        </w:rPr>
        <w:t>.</w:t>
      </w:r>
      <w:r w:rsidR="00A80650" w:rsidRPr="00DC2D56">
        <w:rPr>
          <w:rFonts w:eastAsia="Arial Unicode MS"/>
          <w:noProof/>
          <w:lang w:val="en-IE"/>
        </w:rPr>
        <w:t xml:space="preserve"> </w:t>
      </w:r>
      <w:r w:rsidR="00DA6008" w:rsidRPr="00DC2D56">
        <w:rPr>
          <w:rFonts w:eastAsia="Arial Unicode MS"/>
          <w:noProof/>
          <w:lang w:val="en-IE"/>
        </w:rPr>
        <w:t>CO</w:t>
      </w:r>
      <w:r w:rsidR="00DA6008" w:rsidRPr="00DC2D56">
        <w:rPr>
          <w:rFonts w:eastAsia="Arial Unicode MS"/>
          <w:noProof/>
          <w:vertAlign w:val="subscript"/>
          <w:lang w:val="en-IE"/>
        </w:rPr>
        <w:t>2</w:t>
      </w:r>
      <w:r w:rsidR="00DA6008" w:rsidRPr="00DC2D56">
        <w:rPr>
          <w:rFonts w:eastAsia="Arial Unicode MS"/>
          <w:noProof/>
          <w:lang w:val="en-IE"/>
        </w:rPr>
        <w:t xml:space="preserve"> emissions in </w:t>
      </w:r>
      <w:r w:rsidR="00E311C1" w:rsidRPr="00DC2D56">
        <w:rPr>
          <w:rFonts w:eastAsia="Arial Unicode MS"/>
          <w:noProof/>
          <w:lang w:val="en-IE"/>
        </w:rPr>
        <w:t>th</w:t>
      </w:r>
      <w:r w:rsidR="00E311C1">
        <w:rPr>
          <w:rFonts w:eastAsia="Arial Unicode MS"/>
          <w:noProof/>
          <w:lang w:val="en-IE"/>
        </w:rPr>
        <w:t>e heavy-duty road transport</w:t>
      </w:r>
      <w:r w:rsidR="00E311C1" w:rsidRPr="00DC2D56">
        <w:rPr>
          <w:rFonts w:eastAsia="Arial Unicode MS"/>
          <w:noProof/>
          <w:lang w:val="en-IE"/>
        </w:rPr>
        <w:t xml:space="preserve"> </w:t>
      </w:r>
      <w:r w:rsidR="00DA6008" w:rsidRPr="00DC2D56">
        <w:rPr>
          <w:rFonts w:eastAsia="Arial Unicode MS"/>
          <w:noProof/>
          <w:lang w:val="en-IE"/>
        </w:rPr>
        <w:t xml:space="preserve">sector </w:t>
      </w:r>
      <w:r w:rsidR="00E83D06" w:rsidRPr="00DC2D56">
        <w:rPr>
          <w:rFonts w:eastAsia="Arial Unicode MS"/>
          <w:noProof/>
          <w:lang w:val="en-IE"/>
        </w:rPr>
        <w:t>account</w:t>
      </w:r>
      <w:r w:rsidR="00E83D06">
        <w:rPr>
          <w:rFonts w:eastAsia="Arial Unicode MS"/>
          <w:noProof/>
          <w:lang w:val="en-IE"/>
        </w:rPr>
        <w:t>ed</w:t>
      </w:r>
      <w:r w:rsidR="00E83D06" w:rsidRPr="00DC2D56">
        <w:rPr>
          <w:rFonts w:eastAsia="Arial Unicode MS"/>
          <w:noProof/>
          <w:lang w:val="en-IE"/>
        </w:rPr>
        <w:t xml:space="preserve"> for more than </w:t>
      </w:r>
      <w:r w:rsidR="001D26E7">
        <w:rPr>
          <w:rFonts w:eastAsia="Arial Unicode MS"/>
          <w:noProof/>
          <w:lang w:val="en-IE"/>
        </w:rPr>
        <w:t>6.9</w:t>
      </w:r>
      <w:r w:rsidR="00E83D06" w:rsidRPr="00DC2D56">
        <w:rPr>
          <w:rFonts w:eastAsia="Arial Unicode MS"/>
          <w:noProof/>
          <w:lang w:val="en-IE"/>
        </w:rPr>
        <w:t xml:space="preserve">% of all emissions in the </w:t>
      </w:r>
      <w:r w:rsidR="00E83D06">
        <w:rPr>
          <w:rFonts w:eastAsia="Arial Unicode MS"/>
          <w:noProof/>
          <w:lang w:val="en-IE"/>
        </w:rPr>
        <w:t xml:space="preserve">EU </w:t>
      </w:r>
      <w:r w:rsidR="00E83D06" w:rsidRPr="00DC2D56">
        <w:rPr>
          <w:rFonts w:eastAsia="Arial Unicode MS"/>
          <w:noProof/>
          <w:lang w:val="en-IE"/>
        </w:rPr>
        <w:t xml:space="preserve">and </w:t>
      </w:r>
      <w:r w:rsidR="00CE7F1B">
        <w:rPr>
          <w:rFonts w:eastAsia="Arial Unicode MS"/>
          <w:noProof/>
          <w:lang w:val="en-IE"/>
        </w:rPr>
        <w:t>were</w:t>
      </w:r>
      <w:r w:rsidR="00CE7F1B" w:rsidRPr="00DC2D56">
        <w:rPr>
          <w:rFonts w:eastAsia="Arial Unicode MS"/>
          <w:noProof/>
          <w:lang w:val="en-IE"/>
        </w:rPr>
        <w:t xml:space="preserve"> </w:t>
      </w:r>
      <w:r w:rsidR="001854D4" w:rsidRPr="00DC2D56">
        <w:rPr>
          <w:rFonts w:eastAsia="Arial Unicode MS"/>
          <w:noProof/>
          <w:lang w:val="en-IE"/>
        </w:rPr>
        <w:t>2</w:t>
      </w:r>
      <w:r w:rsidR="00CE7F1B">
        <w:rPr>
          <w:rFonts w:eastAsia="Arial Unicode MS"/>
          <w:noProof/>
          <w:lang w:val="en-IE"/>
        </w:rPr>
        <w:t>0</w:t>
      </w:r>
      <w:r w:rsidR="001854D4" w:rsidRPr="00DC2D56">
        <w:rPr>
          <w:rFonts w:eastAsia="Arial Unicode MS"/>
          <w:noProof/>
          <w:lang w:val="en-IE"/>
        </w:rPr>
        <w:t xml:space="preserve">% </w:t>
      </w:r>
      <w:r w:rsidR="00DA6008" w:rsidRPr="00DC2D56">
        <w:rPr>
          <w:rFonts w:eastAsia="Arial Unicode MS"/>
          <w:noProof/>
          <w:lang w:val="en-IE"/>
        </w:rPr>
        <w:t>higher than in 199</w:t>
      </w:r>
      <w:r w:rsidR="00B73A7A">
        <w:rPr>
          <w:rFonts w:eastAsia="Arial Unicode MS"/>
          <w:noProof/>
          <w:lang w:val="en-IE"/>
        </w:rPr>
        <w:t>5</w:t>
      </w:r>
      <w:r w:rsidR="00080F30" w:rsidRPr="00DC2D56">
        <w:rPr>
          <w:rFonts w:eastAsia="Arial Unicode MS"/>
          <w:noProof/>
          <w:lang w:val="en-IE"/>
        </w:rPr>
        <w:t>.</w:t>
      </w:r>
      <w:r w:rsidR="009C490F" w:rsidRPr="00DC2D56">
        <w:rPr>
          <w:rFonts w:eastAsia="Arial Unicode MS"/>
          <w:noProof/>
          <w:lang w:val="en-IE"/>
        </w:rPr>
        <w:t xml:space="preserve"> </w:t>
      </w:r>
    </w:p>
    <w:p w:rsidR="003B184E" w:rsidRPr="00DC2D56" w:rsidRDefault="00522C96" w:rsidP="0075335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 xml:space="preserve">Road freight transport is </w:t>
      </w:r>
      <w:r w:rsidR="001002CA" w:rsidRPr="00DC2D56">
        <w:rPr>
          <w:rFonts w:eastAsia="Arial Unicode MS"/>
          <w:noProof/>
          <w:lang w:val="en-IE"/>
        </w:rPr>
        <w:t xml:space="preserve">a </w:t>
      </w:r>
      <w:r w:rsidR="00CB3AD0">
        <w:rPr>
          <w:rFonts w:eastAsia="Arial Unicode MS"/>
          <w:noProof/>
          <w:lang w:val="en-IE"/>
        </w:rPr>
        <w:t>‘</w:t>
      </w:r>
      <w:r w:rsidR="001002CA" w:rsidRPr="00DC2D56">
        <w:rPr>
          <w:rFonts w:eastAsia="Arial Unicode MS"/>
          <w:noProof/>
          <w:lang w:val="en-IE"/>
        </w:rPr>
        <w:t>hard-to-abate sector</w:t>
      </w:r>
      <w:r w:rsidR="00CB3AD0">
        <w:rPr>
          <w:rFonts w:eastAsia="Arial Unicode MS"/>
          <w:noProof/>
          <w:lang w:val="en-IE"/>
        </w:rPr>
        <w:t>’</w:t>
      </w:r>
      <w:r w:rsidR="001002CA" w:rsidRPr="00DC2D56">
        <w:rPr>
          <w:rFonts w:eastAsia="Arial Unicode MS"/>
          <w:noProof/>
          <w:lang w:val="en-IE"/>
        </w:rPr>
        <w:t xml:space="preserve">, meaning that the cost of </w:t>
      </w:r>
      <w:r w:rsidRPr="00DC2D56">
        <w:rPr>
          <w:rFonts w:eastAsia="Arial Unicode MS"/>
          <w:noProof/>
          <w:lang w:val="en-IE"/>
        </w:rPr>
        <w:t>reducing</w:t>
      </w:r>
      <w:r w:rsidR="001002CA" w:rsidRPr="00DC2D56">
        <w:rPr>
          <w:rFonts w:eastAsia="Arial Unicode MS"/>
          <w:noProof/>
          <w:lang w:val="en-IE"/>
        </w:rPr>
        <w:t xml:space="preserve"> its emissions is </w:t>
      </w:r>
      <w:r w:rsidR="005C090B" w:rsidRPr="00DC2D56">
        <w:rPr>
          <w:rFonts w:eastAsia="Arial Unicode MS"/>
          <w:noProof/>
          <w:lang w:val="en-IE"/>
        </w:rPr>
        <w:t>higher</w:t>
      </w:r>
      <w:r w:rsidR="001002CA" w:rsidRPr="00DC2D56">
        <w:rPr>
          <w:rFonts w:eastAsia="Arial Unicode MS"/>
          <w:noProof/>
          <w:lang w:val="en-IE"/>
        </w:rPr>
        <w:t xml:space="preserve"> than in other </w:t>
      </w:r>
      <w:r w:rsidR="00664B76" w:rsidRPr="00DC2D56">
        <w:rPr>
          <w:rFonts w:eastAsia="Arial Unicode MS"/>
          <w:noProof/>
          <w:lang w:val="en-IE"/>
        </w:rPr>
        <w:t xml:space="preserve">economy </w:t>
      </w:r>
      <w:r w:rsidR="001002CA" w:rsidRPr="00DC2D56">
        <w:rPr>
          <w:rFonts w:eastAsia="Arial Unicode MS"/>
          <w:noProof/>
          <w:lang w:val="en-IE"/>
        </w:rPr>
        <w:t xml:space="preserve">sectors. </w:t>
      </w:r>
      <w:r w:rsidR="005C090B" w:rsidRPr="00DC2D56">
        <w:rPr>
          <w:rFonts w:eastAsia="Arial Unicode MS"/>
          <w:noProof/>
          <w:lang w:val="en-IE"/>
        </w:rPr>
        <w:t>Furthermore, t</w:t>
      </w:r>
      <w:r w:rsidR="001002CA" w:rsidRPr="00DC2D56">
        <w:rPr>
          <w:rFonts w:eastAsia="Arial Unicode MS"/>
          <w:noProof/>
          <w:lang w:val="en-IE"/>
        </w:rPr>
        <w:t xml:space="preserve">he market of road freight </w:t>
      </w:r>
      <w:r w:rsidR="00664B76" w:rsidRPr="00DC2D56">
        <w:rPr>
          <w:rFonts w:eastAsia="Arial Unicode MS"/>
          <w:noProof/>
          <w:lang w:val="en-IE"/>
        </w:rPr>
        <w:t xml:space="preserve">transport services </w:t>
      </w:r>
      <w:r w:rsidR="001002CA" w:rsidRPr="00DC2D56">
        <w:rPr>
          <w:rFonts w:eastAsia="Arial Unicode MS"/>
          <w:noProof/>
          <w:lang w:val="en-IE"/>
        </w:rPr>
        <w:t xml:space="preserve">is highly competitive and </w:t>
      </w:r>
      <w:r w:rsidR="00C5781A" w:rsidRPr="00DC2D56">
        <w:rPr>
          <w:rFonts w:eastAsia="Arial Unicode MS"/>
          <w:noProof/>
          <w:lang w:val="en-IE"/>
        </w:rPr>
        <w:t xml:space="preserve">is </w:t>
      </w:r>
      <w:r w:rsidR="001002CA" w:rsidRPr="00DC2D56">
        <w:rPr>
          <w:rFonts w:eastAsia="Arial Unicode MS"/>
          <w:noProof/>
          <w:lang w:val="en-IE"/>
        </w:rPr>
        <w:t>characterised by low profit margins</w:t>
      </w:r>
      <w:r w:rsidR="003E68CD" w:rsidRPr="00DC2D56">
        <w:rPr>
          <w:rFonts w:eastAsia="Arial Unicode MS"/>
          <w:noProof/>
          <w:lang w:val="en-IE"/>
        </w:rPr>
        <w:t xml:space="preserve">, which </w:t>
      </w:r>
      <w:r w:rsidRPr="00DC2D56">
        <w:rPr>
          <w:rFonts w:eastAsia="Arial Unicode MS"/>
          <w:noProof/>
          <w:lang w:val="en-IE"/>
        </w:rPr>
        <w:t>constrain</w:t>
      </w:r>
      <w:r w:rsidR="003E68CD" w:rsidRPr="00DC2D56">
        <w:rPr>
          <w:rFonts w:eastAsia="Arial Unicode MS"/>
          <w:noProof/>
          <w:lang w:val="en-IE"/>
        </w:rPr>
        <w:t xml:space="preserve"> investment in expensive abatement technologies such as zero-emission vehicles.</w:t>
      </w:r>
    </w:p>
    <w:p w:rsidR="00DC4408" w:rsidRPr="00DC2D56" w:rsidRDefault="00941F5F" w:rsidP="0075335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bookmarkStart w:id="1" w:name="_Hlk194859895"/>
      <w:r w:rsidRPr="00DC2D56">
        <w:rPr>
          <w:rFonts w:eastAsia="Arial Unicode MS"/>
          <w:noProof/>
          <w:lang w:val="en-IE"/>
        </w:rPr>
        <w:t>I</w:t>
      </w:r>
      <w:r w:rsidR="00EE48B6" w:rsidRPr="00DC2D56">
        <w:rPr>
          <w:rFonts w:eastAsia="Arial Unicode MS"/>
          <w:noProof/>
          <w:lang w:val="en-IE"/>
        </w:rPr>
        <w:t xml:space="preserve">nnovation </w:t>
      </w:r>
      <w:r w:rsidR="00D32548" w:rsidRPr="00DC2D56">
        <w:rPr>
          <w:rFonts w:eastAsia="Arial Unicode MS"/>
          <w:noProof/>
          <w:lang w:val="en-IE"/>
        </w:rPr>
        <w:t>from heavy-duty vehicles manufacturers</w:t>
      </w:r>
      <w:r w:rsidR="006535DC">
        <w:rPr>
          <w:rFonts w:eastAsia="Arial Unicode MS"/>
          <w:noProof/>
          <w:lang w:val="en-IE"/>
        </w:rPr>
        <w:t xml:space="preserve"> ha</w:t>
      </w:r>
      <w:r w:rsidR="006E09FA">
        <w:rPr>
          <w:rFonts w:eastAsia="Arial Unicode MS"/>
          <w:noProof/>
          <w:lang w:val="en-IE"/>
        </w:rPr>
        <w:t>s</w:t>
      </w:r>
      <w:r w:rsidR="006535DC">
        <w:rPr>
          <w:rFonts w:eastAsia="Arial Unicode MS"/>
          <w:noProof/>
          <w:lang w:val="en-IE"/>
        </w:rPr>
        <w:t xml:space="preserve"> </w:t>
      </w:r>
      <w:r w:rsidRPr="00DC2D56">
        <w:rPr>
          <w:rFonts w:eastAsia="Arial Unicode MS"/>
          <w:noProof/>
          <w:lang w:val="en-IE"/>
        </w:rPr>
        <w:t>in recent years</w:t>
      </w:r>
      <w:r w:rsidR="00EE48B6" w:rsidRPr="00DC2D56">
        <w:rPr>
          <w:rFonts w:eastAsia="Arial Unicode MS"/>
          <w:noProof/>
          <w:lang w:val="en-IE"/>
        </w:rPr>
        <w:t xml:space="preserve"> </w:t>
      </w:r>
      <w:r w:rsidR="006535DC" w:rsidRPr="00DC2D56">
        <w:rPr>
          <w:rFonts w:eastAsia="Arial Unicode MS"/>
          <w:noProof/>
          <w:lang w:val="en-IE"/>
        </w:rPr>
        <w:t xml:space="preserve">led </w:t>
      </w:r>
      <w:r w:rsidR="00EE48B6" w:rsidRPr="00DC2D56">
        <w:rPr>
          <w:rFonts w:eastAsia="Arial Unicode MS"/>
          <w:noProof/>
          <w:lang w:val="en-IE"/>
        </w:rPr>
        <w:t>to the roll</w:t>
      </w:r>
      <w:r w:rsidR="006535DC">
        <w:rPr>
          <w:rFonts w:eastAsia="Arial Unicode MS"/>
          <w:noProof/>
          <w:lang w:val="en-IE"/>
        </w:rPr>
        <w:t>-</w:t>
      </w:r>
      <w:r w:rsidR="00EE48B6" w:rsidRPr="00DC2D56">
        <w:rPr>
          <w:rFonts w:eastAsia="Arial Unicode MS"/>
          <w:noProof/>
          <w:lang w:val="en-IE"/>
        </w:rPr>
        <w:t xml:space="preserve">out of </w:t>
      </w:r>
      <w:r w:rsidR="00D32548" w:rsidRPr="00DC2D56">
        <w:rPr>
          <w:rFonts w:eastAsia="Arial Unicode MS"/>
          <w:noProof/>
          <w:lang w:val="en-IE"/>
        </w:rPr>
        <w:t xml:space="preserve">zero-emission </w:t>
      </w:r>
      <w:r w:rsidR="00EE48B6" w:rsidRPr="00DC2D56">
        <w:rPr>
          <w:rFonts w:eastAsia="Arial Unicode MS"/>
          <w:noProof/>
          <w:lang w:val="en-IE"/>
        </w:rPr>
        <w:t>models</w:t>
      </w:r>
      <w:r w:rsidR="006535DC">
        <w:rPr>
          <w:rFonts w:eastAsia="Arial Unicode MS"/>
          <w:noProof/>
          <w:lang w:val="en-IE"/>
        </w:rPr>
        <w:t xml:space="preserve"> that</w:t>
      </w:r>
      <w:r w:rsidRPr="00DC2D56">
        <w:rPr>
          <w:rFonts w:eastAsia="Arial Unicode MS"/>
          <w:noProof/>
          <w:lang w:val="en-IE"/>
        </w:rPr>
        <w:t xml:space="preserve"> cover </w:t>
      </w:r>
      <w:r w:rsidR="00BD1D32">
        <w:rPr>
          <w:rFonts w:eastAsia="Arial Unicode MS"/>
          <w:noProof/>
          <w:lang w:val="en-IE"/>
        </w:rPr>
        <w:t>all</w:t>
      </w:r>
      <w:r w:rsidR="00AD2267" w:rsidRPr="00DC2D56">
        <w:rPr>
          <w:rFonts w:eastAsia="Arial Unicode MS"/>
          <w:noProof/>
          <w:lang w:val="en-IE"/>
        </w:rPr>
        <w:t xml:space="preserve"> </w:t>
      </w:r>
      <w:r w:rsidR="00EE48B6" w:rsidRPr="00DC2D56">
        <w:rPr>
          <w:rFonts w:eastAsia="Arial Unicode MS"/>
          <w:noProof/>
          <w:lang w:val="en-IE"/>
        </w:rPr>
        <w:t>use cases</w:t>
      </w:r>
      <w:r w:rsidR="00AD2267" w:rsidRPr="00DC2D56">
        <w:rPr>
          <w:rFonts w:eastAsia="Arial Unicode MS"/>
          <w:noProof/>
          <w:lang w:val="en-IE"/>
        </w:rPr>
        <w:t>, including long-haul</w:t>
      </w:r>
      <w:r w:rsidR="00960ACB">
        <w:rPr>
          <w:noProof/>
          <w:lang w:val="en-IE"/>
        </w:rPr>
        <w:t> </w:t>
      </w:r>
      <w:r w:rsidR="00EE48B6" w:rsidRPr="00DC2D56">
        <w:rPr>
          <w:rStyle w:val="FootnoteReference"/>
          <w:rFonts w:eastAsia="Arial Unicode MS"/>
          <w:noProof/>
          <w:lang w:val="en-IE"/>
        </w:rPr>
        <w:footnoteReference w:id="9"/>
      </w:r>
      <w:r w:rsidR="00EE48B6" w:rsidRPr="00DC2D56">
        <w:rPr>
          <w:rFonts w:eastAsia="Arial Unicode MS"/>
          <w:noProof/>
          <w:lang w:val="en-IE"/>
        </w:rPr>
        <w:t xml:space="preserve">. </w:t>
      </w:r>
      <w:bookmarkEnd w:id="1"/>
      <w:r w:rsidR="00CA005A" w:rsidRPr="00DC2D56">
        <w:rPr>
          <w:rFonts w:eastAsia="Arial Unicode MS"/>
          <w:noProof/>
          <w:lang w:val="en-IE"/>
        </w:rPr>
        <w:t>The</w:t>
      </w:r>
      <w:r w:rsidR="006D5427" w:rsidRPr="00DC2D56">
        <w:rPr>
          <w:rFonts w:eastAsia="Arial Unicode MS"/>
          <w:noProof/>
          <w:lang w:val="en-IE"/>
        </w:rPr>
        <w:t>ir</w:t>
      </w:r>
      <w:r w:rsidR="00CA005A" w:rsidRPr="00DC2D56">
        <w:rPr>
          <w:rFonts w:eastAsia="Arial Unicode MS"/>
          <w:noProof/>
          <w:lang w:val="en-IE"/>
        </w:rPr>
        <w:t xml:space="preserve"> deployment </w:t>
      </w:r>
      <w:r w:rsidR="006535DC">
        <w:rPr>
          <w:rFonts w:eastAsia="Arial Unicode MS"/>
          <w:noProof/>
          <w:lang w:val="en-IE"/>
        </w:rPr>
        <w:t xml:space="preserve">has increased </w:t>
      </w:r>
      <w:r w:rsidR="00AA5591">
        <w:rPr>
          <w:rFonts w:eastAsia="Arial Unicode MS"/>
          <w:noProof/>
          <w:lang w:val="en-IE"/>
        </w:rPr>
        <w:t>substantially</w:t>
      </w:r>
      <w:r w:rsidR="006535DC">
        <w:rPr>
          <w:rFonts w:eastAsia="Arial Unicode MS"/>
          <w:noProof/>
          <w:lang w:val="en-IE"/>
        </w:rPr>
        <w:t xml:space="preserve"> </w:t>
      </w:r>
      <w:r w:rsidR="00CA005A" w:rsidRPr="00DC2D56">
        <w:rPr>
          <w:rFonts w:eastAsia="Arial Unicode MS"/>
          <w:noProof/>
          <w:lang w:val="en-IE"/>
        </w:rPr>
        <w:t>since 2019</w:t>
      </w:r>
      <w:r w:rsidR="00AA5591">
        <w:rPr>
          <w:noProof/>
          <w:lang w:val="en-IE"/>
        </w:rPr>
        <w:t> </w:t>
      </w:r>
      <w:r w:rsidR="004046FE" w:rsidRPr="00DC2D56">
        <w:rPr>
          <w:rStyle w:val="FootnoteReference"/>
          <w:rFonts w:eastAsia="Arial Unicode MS"/>
          <w:noProof/>
          <w:lang w:val="en-IE"/>
        </w:rPr>
        <w:footnoteReference w:id="10"/>
      </w:r>
      <w:r w:rsidR="00847D72" w:rsidRPr="00DC2D56">
        <w:rPr>
          <w:rFonts w:eastAsia="Arial Unicode MS"/>
          <w:noProof/>
          <w:lang w:val="en-IE"/>
        </w:rPr>
        <w:t>. I</w:t>
      </w:r>
      <w:r w:rsidR="009C169B" w:rsidRPr="00DC2D56">
        <w:rPr>
          <w:rFonts w:eastAsia="Arial Unicode MS"/>
          <w:noProof/>
          <w:lang w:val="en-IE"/>
        </w:rPr>
        <w:t>n 2024</w:t>
      </w:r>
      <w:r w:rsidR="00BF5842" w:rsidRPr="00DC2D56">
        <w:rPr>
          <w:rFonts w:eastAsia="Arial Unicode MS"/>
          <w:noProof/>
          <w:lang w:val="en-IE"/>
        </w:rPr>
        <w:t>,</w:t>
      </w:r>
      <w:r w:rsidR="009C169B" w:rsidRPr="00DC2D56">
        <w:rPr>
          <w:rFonts w:eastAsia="Arial Unicode MS"/>
          <w:noProof/>
          <w:lang w:val="en-IE"/>
        </w:rPr>
        <w:t xml:space="preserve"> </w:t>
      </w:r>
      <w:r w:rsidR="00EB632E">
        <w:rPr>
          <w:rFonts w:eastAsia="Arial Unicode MS"/>
          <w:noProof/>
          <w:lang w:val="en-IE"/>
        </w:rPr>
        <w:t>3.9</w:t>
      </w:r>
      <w:r w:rsidR="009C169B" w:rsidRPr="00DC2D56">
        <w:rPr>
          <w:rFonts w:eastAsia="Arial Unicode MS"/>
          <w:noProof/>
          <w:lang w:val="en-IE"/>
        </w:rPr>
        <w:t xml:space="preserve">% of </w:t>
      </w:r>
      <w:r w:rsidR="00B75235" w:rsidRPr="00DC2D56">
        <w:rPr>
          <w:rFonts w:eastAsia="Arial Unicode MS"/>
          <w:noProof/>
          <w:lang w:val="en-IE"/>
        </w:rPr>
        <w:t xml:space="preserve">all </w:t>
      </w:r>
      <w:r w:rsidR="002237C2" w:rsidRPr="00DC2D56">
        <w:rPr>
          <w:rFonts w:eastAsia="Arial Unicode MS"/>
          <w:noProof/>
          <w:lang w:val="en-IE"/>
        </w:rPr>
        <w:t>new heavy-duty vehicles were zero-emission</w:t>
      </w:r>
      <w:r w:rsidR="00BF5842" w:rsidRPr="00DC2D56">
        <w:rPr>
          <w:rFonts w:eastAsia="Arial Unicode MS"/>
          <w:noProof/>
          <w:lang w:val="en-IE"/>
        </w:rPr>
        <w:t xml:space="preserve"> vehicle</w:t>
      </w:r>
      <w:r w:rsidR="002237C2" w:rsidRPr="00DC2D56">
        <w:rPr>
          <w:rFonts w:eastAsia="Arial Unicode MS"/>
          <w:noProof/>
          <w:lang w:val="en-IE"/>
        </w:rPr>
        <w:t>s</w:t>
      </w:r>
      <w:r w:rsidR="00AA5591">
        <w:rPr>
          <w:noProof/>
          <w:lang w:val="en-IE"/>
        </w:rPr>
        <w:t> </w:t>
      </w:r>
      <w:r w:rsidR="004046FE" w:rsidRPr="00DC2D56">
        <w:rPr>
          <w:rStyle w:val="FootnoteReference"/>
          <w:rFonts w:eastAsia="Arial Unicode MS"/>
          <w:noProof/>
          <w:lang w:val="en-IE"/>
        </w:rPr>
        <w:footnoteReference w:id="11"/>
      </w:r>
      <w:r w:rsidR="004046FE" w:rsidRPr="00DC2D56">
        <w:rPr>
          <w:rFonts w:eastAsia="Arial Unicode MS"/>
          <w:noProof/>
          <w:lang w:val="en-IE"/>
        </w:rPr>
        <w:t xml:space="preserve">, </w:t>
      </w:r>
      <w:r w:rsidR="00E54DBC" w:rsidRPr="00DC2D56">
        <w:rPr>
          <w:rFonts w:eastAsia="Arial Unicode MS"/>
          <w:noProof/>
          <w:lang w:val="en-IE"/>
        </w:rPr>
        <w:t xml:space="preserve">including </w:t>
      </w:r>
      <w:r w:rsidR="002237C2" w:rsidRPr="00DC2D56">
        <w:rPr>
          <w:rFonts w:eastAsia="Arial Unicode MS"/>
          <w:noProof/>
          <w:lang w:val="en-IE"/>
        </w:rPr>
        <w:t>1</w:t>
      </w:r>
      <w:r w:rsidR="00753356" w:rsidRPr="00DC2D56">
        <w:rPr>
          <w:rFonts w:eastAsia="Arial Unicode MS"/>
          <w:noProof/>
          <w:lang w:val="en-IE"/>
        </w:rPr>
        <w:t>.</w:t>
      </w:r>
      <w:r w:rsidR="002237C2" w:rsidRPr="00DC2D56">
        <w:rPr>
          <w:rFonts w:eastAsia="Arial Unicode MS"/>
          <w:noProof/>
          <w:lang w:val="en-IE"/>
        </w:rPr>
        <w:t xml:space="preserve">2% </w:t>
      </w:r>
      <w:r w:rsidR="00B75235" w:rsidRPr="00DC2D56">
        <w:rPr>
          <w:rFonts w:eastAsia="Arial Unicode MS"/>
          <w:noProof/>
          <w:lang w:val="en-IE"/>
        </w:rPr>
        <w:t>of</w:t>
      </w:r>
      <w:r w:rsidR="00292C63" w:rsidRPr="00DC2D56">
        <w:rPr>
          <w:rFonts w:eastAsia="Arial Unicode MS"/>
          <w:noProof/>
          <w:lang w:val="en-IE"/>
        </w:rPr>
        <w:t xml:space="preserve"> new</w:t>
      </w:r>
      <w:r w:rsidR="002237C2" w:rsidRPr="00DC2D56">
        <w:rPr>
          <w:rFonts w:eastAsia="Arial Unicode MS"/>
          <w:noProof/>
          <w:lang w:val="en-IE"/>
        </w:rPr>
        <w:t xml:space="preserve"> </w:t>
      </w:r>
      <w:r w:rsidR="0077729B" w:rsidRPr="00DC2D56">
        <w:rPr>
          <w:rFonts w:eastAsia="Arial Unicode MS"/>
          <w:noProof/>
          <w:lang w:val="en-IE"/>
        </w:rPr>
        <w:t xml:space="preserve">heavy </w:t>
      </w:r>
      <w:r w:rsidR="002237C2" w:rsidRPr="00DC2D56">
        <w:rPr>
          <w:rFonts w:eastAsia="Arial Unicode MS"/>
          <w:noProof/>
          <w:lang w:val="en-IE"/>
        </w:rPr>
        <w:t xml:space="preserve">goods vehicles </w:t>
      </w:r>
      <w:r w:rsidR="006535DC">
        <w:rPr>
          <w:rFonts w:eastAsia="Arial Unicode MS"/>
          <w:noProof/>
          <w:lang w:val="en-IE"/>
        </w:rPr>
        <w:t>weighing more than</w:t>
      </w:r>
      <w:r w:rsidR="006535DC" w:rsidRPr="00DC2D56">
        <w:rPr>
          <w:rFonts w:eastAsia="Arial Unicode MS"/>
          <w:noProof/>
          <w:lang w:val="en-IE"/>
        </w:rPr>
        <w:t xml:space="preserve"> </w:t>
      </w:r>
      <w:r w:rsidR="002237C2" w:rsidRPr="00DC2D56">
        <w:rPr>
          <w:rFonts w:eastAsia="Arial Unicode MS"/>
          <w:noProof/>
          <w:lang w:val="en-IE"/>
        </w:rPr>
        <w:t xml:space="preserve">12 tonnes. </w:t>
      </w:r>
      <w:r w:rsidR="006535DC">
        <w:rPr>
          <w:rFonts w:eastAsia="Arial Unicode MS"/>
          <w:noProof/>
          <w:lang w:val="en-IE"/>
        </w:rPr>
        <w:t>However</w:t>
      </w:r>
      <w:r w:rsidR="00FD3857" w:rsidRPr="00DC2D56">
        <w:rPr>
          <w:rFonts w:eastAsia="Arial Unicode MS"/>
          <w:noProof/>
          <w:lang w:val="en-IE"/>
        </w:rPr>
        <w:t xml:space="preserve">, </w:t>
      </w:r>
      <w:r w:rsidR="00F85E08" w:rsidRPr="00DC2D56">
        <w:rPr>
          <w:rFonts w:eastAsia="Arial Unicode MS"/>
          <w:noProof/>
          <w:lang w:val="en-IE"/>
        </w:rPr>
        <w:t>t</w:t>
      </w:r>
      <w:r w:rsidR="00945C05" w:rsidRPr="00DC2D56">
        <w:rPr>
          <w:rFonts w:eastAsia="Arial Unicode MS"/>
          <w:noProof/>
          <w:lang w:val="en-IE"/>
        </w:rPr>
        <w:t>he share of</w:t>
      </w:r>
      <w:r w:rsidR="00BE14D0" w:rsidRPr="00DC2D56">
        <w:rPr>
          <w:rFonts w:eastAsia="Arial Unicode MS"/>
          <w:noProof/>
          <w:lang w:val="en-IE"/>
        </w:rPr>
        <w:t xml:space="preserve"> </w:t>
      </w:r>
      <w:r w:rsidR="00945C05" w:rsidRPr="00DC2D56">
        <w:rPr>
          <w:rFonts w:eastAsia="Arial Unicode MS"/>
          <w:noProof/>
          <w:lang w:val="en-IE"/>
        </w:rPr>
        <w:t xml:space="preserve">zero-emission vehicles in the </w:t>
      </w:r>
      <w:r w:rsidR="00EB632E" w:rsidRPr="00DC2D56">
        <w:rPr>
          <w:rFonts w:eastAsia="Arial Unicode MS"/>
          <w:noProof/>
          <w:lang w:val="en-IE"/>
        </w:rPr>
        <w:t xml:space="preserve">heavy-duty </w:t>
      </w:r>
      <w:r w:rsidR="00945C05" w:rsidRPr="00DC2D56">
        <w:rPr>
          <w:rFonts w:eastAsia="Arial Unicode MS"/>
          <w:noProof/>
          <w:lang w:val="en-IE"/>
        </w:rPr>
        <w:t xml:space="preserve">vehicle fleet </w:t>
      </w:r>
      <w:r w:rsidR="00F85E08" w:rsidRPr="00DC2D56">
        <w:rPr>
          <w:rFonts w:eastAsia="Arial Unicode MS"/>
          <w:noProof/>
          <w:lang w:val="en-IE"/>
        </w:rPr>
        <w:t>remains</w:t>
      </w:r>
      <w:r w:rsidR="00945C05" w:rsidRPr="00DC2D56">
        <w:rPr>
          <w:rFonts w:eastAsia="Arial Unicode MS"/>
          <w:noProof/>
          <w:lang w:val="en-IE"/>
        </w:rPr>
        <w:t xml:space="preserve"> </w:t>
      </w:r>
      <w:r w:rsidR="00B276BC" w:rsidRPr="00DC2D56">
        <w:rPr>
          <w:rFonts w:eastAsia="Arial Unicode MS"/>
          <w:noProof/>
          <w:lang w:val="en-IE"/>
        </w:rPr>
        <w:t>extremely</w:t>
      </w:r>
      <w:r w:rsidR="00945C05" w:rsidRPr="00DC2D56">
        <w:rPr>
          <w:rFonts w:eastAsia="Arial Unicode MS"/>
          <w:noProof/>
          <w:lang w:val="en-IE"/>
        </w:rPr>
        <w:t xml:space="preserve"> low</w:t>
      </w:r>
      <w:r w:rsidR="00AA5591">
        <w:rPr>
          <w:noProof/>
          <w:lang w:val="en-IE"/>
        </w:rPr>
        <w:t> </w:t>
      </w:r>
      <w:r w:rsidR="00FD3857" w:rsidRPr="00DC2D56">
        <w:rPr>
          <w:rStyle w:val="FootnoteReference"/>
          <w:rFonts w:eastAsia="Arial Unicode MS"/>
          <w:noProof/>
          <w:lang w:val="en-IE"/>
        </w:rPr>
        <w:footnoteReference w:id="12"/>
      </w:r>
      <w:r w:rsidR="00F85E08" w:rsidRPr="00DC2D56">
        <w:rPr>
          <w:rFonts w:eastAsia="Arial Unicode MS"/>
          <w:noProof/>
          <w:lang w:val="en-IE"/>
        </w:rPr>
        <w:t>.</w:t>
      </w:r>
    </w:p>
    <w:p w:rsidR="009C490F" w:rsidRPr="00DC2D56" w:rsidRDefault="006535DC" w:rsidP="0075335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>
        <w:rPr>
          <w:rFonts w:eastAsia="Arial Unicode MS"/>
          <w:noProof/>
          <w:lang w:val="en-IE"/>
        </w:rPr>
        <w:t>T</w:t>
      </w:r>
      <w:r w:rsidR="0094778A" w:rsidRPr="00DC2D56">
        <w:rPr>
          <w:rFonts w:eastAsia="Arial Unicode MS"/>
          <w:noProof/>
          <w:lang w:val="en-IE"/>
        </w:rPr>
        <w:t xml:space="preserve">he </w:t>
      </w:r>
      <w:r w:rsidR="00FB4AA7" w:rsidRPr="00DC2D56">
        <w:rPr>
          <w:rFonts w:eastAsia="Arial Unicode MS"/>
          <w:noProof/>
          <w:lang w:val="en-IE"/>
        </w:rPr>
        <w:t xml:space="preserve">2025 </w:t>
      </w:r>
      <w:r w:rsidR="0094778A" w:rsidRPr="00DC2D56">
        <w:rPr>
          <w:rFonts w:eastAsia="Arial Unicode MS"/>
          <w:noProof/>
          <w:lang w:val="en-IE"/>
        </w:rPr>
        <w:t>CO</w:t>
      </w:r>
      <w:r w:rsidR="0094778A" w:rsidRPr="00DC2D56">
        <w:rPr>
          <w:rFonts w:eastAsia="Arial Unicode MS"/>
          <w:noProof/>
          <w:vertAlign w:val="subscript"/>
          <w:lang w:val="en-IE"/>
        </w:rPr>
        <w:t>2</w:t>
      </w:r>
      <w:r w:rsidR="0094778A" w:rsidRPr="00DC2D56">
        <w:rPr>
          <w:rFonts w:eastAsia="Arial Unicode MS"/>
          <w:noProof/>
          <w:lang w:val="en-IE"/>
        </w:rPr>
        <w:t xml:space="preserve"> reduction target </w:t>
      </w:r>
      <w:r w:rsidR="00FB4AA7" w:rsidRPr="00DC2D56">
        <w:rPr>
          <w:rFonts w:eastAsia="Arial Unicode MS"/>
          <w:noProof/>
          <w:lang w:val="en-IE"/>
        </w:rPr>
        <w:t>for</w:t>
      </w:r>
      <w:r w:rsidR="00C07C89" w:rsidRPr="00DC2D56">
        <w:rPr>
          <w:rFonts w:eastAsia="Arial Unicode MS"/>
          <w:noProof/>
          <w:lang w:val="en-IE"/>
        </w:rPr>
        <w:t xml:space="preserve"> heavy-duty</w:t>
      </w:r>
      <w:r w:rsidR="00FB4AA7" w:rsidRPr="00DC2D56">
        <w:rPr>
          <w:rFonts w:eastAsia="Arial Unicode MS"/>
          <w:noProof/>
          <w:lang w:val="en-IE"/>
        </w:rPr>
        <w:t xml:space="preserve"> vehicles </w:t>
      </w:r>
      <w:r w:rsidR="00254E2D" w:rsidRPr="00DC2D56">
        <w:rPr>
          <w:rFonts w:eastAsia="Arial Unicode MS"/>
          <w:noProof/>
          <w:lang w:val="en-IE"/>
        </w:rPr>
        <w:t>of 15%</w:t>
      </w:r>
      <w:r w:rsidR="00FB4AA7" w:rsidRPr="00DC2D56">
        <w:rPr>
          <w:rFonts w:eastAsia="Arial Unicode MS"/>
          <w:noProof/>
          <w:lang w:val="en-IE"/>
        </w:rPr>
        <w:t xml:space="preserve"> compared </w:t>
      </w:r>
      <w:r>
        <w:rPr>
          <w:rFonts w:eastAsia="Arial Unicode MS"/>
          <w:noProof/>
          <w:lang w:val="en-IE"/>
        </w:rPr>
        <w:t>with</w:t>
      </w:r>
      <w:r w:rsidRPr="00DC2D56">
        <w:rPr>
          <w:rFonts w:eastAsia="Arial Unicode MS"/>
          <w:noProof/>
          <w:lang w:val="en-IE"/>
        </w:rPr>
        <w:t xml:space="preserve"> </w:t>
      </w:r>
      <w:r w:rsidR="00FB4AA7" w:rsidRPr="00DC2D56">
        <w:rPr>
          <w:rFonts w:eastAsia="Arial Unicode MS"/>
          <w:noProof/>
          <w:lang w:val="en-IE"/>
        </w:rPr>
        <w:t>2019</w:t>
      </w:r>
      <w:r>
        <w:rPr>
          <w:rFonts w:eastAsia="Arial Unicode MS"/>
          <w:noProof/>
          <w:lang w:val="en-IE"/>
        </w:rPr>
        <w:t xml:space="preserve"> values</w:t>
      </w:r>
      <w:r w:rsidR="00270C6F">
        <w:rPr>
          <w:noProof/>
          <w:lang w:val="en-IE"/>
        </w:rPr>
        <w:t> </w:t>
      </w:r>
      <w:r w:rsidR="00254E2D" w:rsidRPr="00DC2D56">
        <w:rPr>
          <w:rStyle w:val="FootnoteReference"/>
          <w:rFonts w:eastAsia="Arial Unicode MS"/>
          <w:noProof/>
          <w:lang w:val="en-IE"/>
        </w:rPr>
        <w:footnoteReference w:id="13"/>
      </w:r>
      <w:r w:rsidR="0094778A" w:rsidRPr="00DC2D56">
        <w:rPr>
          <w:rFonts w:eastAsia="Arial Unicode MS"/>
          <w:noProof/>
          <w:lang w:val="en-IE"/>
        </w:rPr>
        <w:t xml:space="preserve"> </w:t>
      </w:r>
      <w:r w:rsidR="00804971" w:rsidRPr="00DC2D56">
        <w:rPr>
          <w:rFonts w:eastAsia="Arial Unicode MS"/>
          <w:noProof/>
          <w:lang w:val="en-IE"/>
        </w:rPr>
        <w:t xml:space="preserve">can be </w:t>
      </w:r>
      <w:r>
        <w:rPr>
          <w:rFonts w:eastAsia="Arial Unicode MS"/>
          <w:noProof/>
          <w:lang w:val="en-IE"/>
        </w:rPr>
        <w:t xml:space="preserve">achieved </w:t>
      </w:r>
      <w:r w:rsidR="000C693C" w:rsidRPr="00DC2D56">
        <w:rPr>
          <w:rFonts w:eastAsia="Arial Unicode MS"/>
          <w:noProof/>
          <w:lang w:val="en-IE"/>
        </w:rPr>
        <w:t>through</w:t>
      </w:r>
      <w:r w:rsidR="00804971" w:rsidRPr="00DC2D56">
        <w:rPr>
          <w:rFonts w:eastAsia="Arial Unicode MS"/>
          <w:noProof/>
          <w:lang w:val="en-IE"/>
        </w:rPr>
        <w:t xml:space="preserve"> efficiency improvements in conventional vehicles, </w:t>
      </w:r>
      <w:r>
        <w:rPr>
          <w:rFonts w:eastAsia="Arial Unicode MS"/>
          <w:noProof/>
          <w:lang w:val="en-IE"/>
        </w:rPr>
        <w:t xml:space="preserve">but </w:t>
      </w:r>
      <w:r w:rsidR="00EC7F78" w:rsidRPr="00DC2D56">
        <w:rPr>
          <w:rFonts w:eastAsia="Arial Unicode MS"/>
          <w:noProof/>
          <w:lang w:val="en-IE"/>
        </w:rPr>
        <w:t xml:space="preserve">the </w:t>
      </w:r>
      <w:r w:rsidR="00A532C9" w:rsidRPr="00DC2D56">
        <w:rPr>
          <w:rFonts w:eastAsia="Arial Unicode MS"/>
          <w:noProof/>
          <w:lang w:val="en-IE"/>
        </w:rPr>
        <w:t xml:space="preserve">deployment </w:t>
      </w:r>
      <w:r w:rsidR="00EC7F78" w:rsidRPr="00DC2D56">
        <w:rPr>
          <w:rFonts w:eastAsia="Arial Unicode MS"/>
          <w:noProof/>
          <w:lang w:val="en-IE"/>
        </w:rPr>
        <w:t xml:space="preserve">of zero-emission vehicles must rapidly increase to achieve subsequent </w:t>
      </w:r>
      <w:r w:rsidR="003076AF" w:rsidRPr="00DC2D56">
        <w:rPr>
          <w:rFonts w:eastAsia="Arial Unicode MS"/>
          <w:noProof/>
          <w:lang w:val="en-IE"/>
        </w:rPr>
        <w:t>targets</w:t>
      </w:r>
      <w:r w:rsidR="003076AF">
        <w:rPr>
          <w:rFonts w:eastAsia="Arial Unicode MS"/>
          <w:noProof/>
          <w:lang w:val="en-IE"/>
        </w:rPr>
        <w:t> </w:t>
      </w:r>
      <w:r w:rsidR="003076AF">
        <w:rPr>
          <w:rStyle w:val="FootnoteReference"/>
          <w:rFonts w:eastAsia="Arial Unicode MS"/>
          <w:noProof/>
          <w:lang w:val="en-IE"/>
        </w:rPr>
        <w:footnoteReference w:id="14"/>
      </w:r>
      <w:r w:rsidR="003076AF" w:rsidRPr="00DC2D56">
        <w:rPr>
          <w:rFonts w:eastAsia="Arial Unicode MS"/>
          <w:noProof/>
          <w:lang w:val="en-IE"/>
        </w:rPr>
        <w:t xml:space="preserve">. </w:t>
      </w:r>
      <w:r w:rsidR="0095049A" w:rsidRPr="00DC2D56">
        <w:rPr>
          <w:rFonts w:eastAsia="Arial Unicode MS"/>
          <w:noProof/>
          <w:lang w:val="en-IE"/>
        </w:rPr>
        <w:t xml:space="preserve">However, the </w:t>
      </w:r>
      <w:r w:rsidR="00314DC5" w:rsidRPr="00DC2D56">
        <w:rPr>
          <w:rFonts w:eastAsia="Arial Unicode MS"/>
          <w:noProof/>
          <w:lang w:val="en-IE"/>
        </w:rPr>
        <w:t xml:space="preserve">upfront investment </w:t>
      </w:r>
      <w:r w:rsidR="00DF62E5" w:rsidRPr="00DC2D56">
        <w:rPr>
          <w:rFonts w:eastAsia="Arial Unicode MS"/>
          <w:noProof/>
          <w:lang w:val="en-IE"/>
        </w:rPr>
        <w:t>for acquiring a</w:t>
      </w:r>
      <w:r w:rsidR="0095049A" w:rsidRPr="00DC2D56">
        <w:rPr>
          <w:rFonts w:eastAsia="Arial Unicode MS"/>
          <w:noProof/>
          <w:lang w:val="en-IE"/>
        </w:rPr>
        <w:t xml:space="preserve"> zero-emission vehicle </w:t>
      </w:r>
      <w:r w:rsidR="00973220" w:rsidRPr="00DC2D56">
        <w:rPr>
          <w:rFonts w:eastAsia="Arial Unicode MS"/>
          <w:noProof/>
          <w:lang w:val="en-IE"/>
        </w:rPr>
        <w:t xml:space="preserve">is </w:t>
      </w:r>
      <w:r w:rsidR="003076AF">
        <w:rPr>
          <w:rFonts w:eastAsia="Arial Unicode MS"/>
          <w:noProof/>
          <w:lang w:val="en-IE"/>
        </w:rPr>
        <w:t xml:space="preserve">approximately </w:t>
      </w:r>
      <w:r w:rsidR="00973220" w:rsidRPr="00DC2D56">
        <w:rPr>
          <w:rFonts w:eastAsia="Arial Unicode MS"/>
          <w:noProof/>
          <w:lang w:val="en-IE"/>
        </w:rPr>
        <w:t>2.5 time</w:t>
      </w:r>
      <w:r w:rsidR="00ED61DC" w:rsidRPr="00DC2D56">
        <w:rPr>
          <w:rFonts w:eastAsia="Arial Unicode MS"/>
          <w:noProof/>
          <w:lang w:val="en-IE"/>
        </w:rPr>
        <w:t>s</w:t>
      </w:r>
      <w:r w:rsidR="00973220" w:rsidRPr="00DC2D56">
        <w:rPr>
          <w:rFonts w:eastAsia="Arial Unicode MS"/>
          <w:noProof/>
          <w:lang w:val="en-IE"/>
        </w:rPr>
        <w:t xml:space="preserve"> higher </w:t>
      </w:r>
      <w:r w:rsidR="00DF62E5" w:rsidRPr="00DC2D56">
        <w:rPr>
          <w:rFonts w:eastAsia="Arial Unicode MS"/>
          <w:noProof/>
          <w:lang w:val="en-IE"/>
        </w:rPr>
        <w:t xml:space="preserve">than </w:t>
      </w:r>
      <w:r w:rsidR="00973220" w:rsidRPr="00DC2D56">
        <w:rPr>
          <w:rFonts w:eastAsia="Arial Unicode MS"/>
          <w:noProof/>
          <w:lang w:val="en-IE"/>
        </w:rPr>
        <w:t>the cost of equivalent conventional vehicles</w:t>
      </w:r>
      <w:r w:rsidR="00270C6F">
        <w:rPr>
          <w:noProof/>
          <w:lang w:val="en-IE"/>
        </w:rPr>
        <w:t> </w:t>
      </w:r>
      <w:r w:rsidR="008F6DDB" w:rsidRPr="00DC2D56">
        <w:rPr>
          <w:rStyle w:val="FootnoteReference"/>
          <w:rFonts w:eastAsia="Arial Unicode MS"/>
          <w:noProof/>
          <w:lang w:val="en-IE"/>
        </w:rPr>
        <w:footnoteReference w:id="15"/>
      </w:r>
      <w:r w:rsidR="00314DC5" w:rsidRPr="00DC2D56">
        <w:rPr>
          <w:rFonts w:eastAsia="Arial Unicode MS"/>
          <w:noProof/>
          <w:lang w:val="en-IE"/>
        </w:rPr>
        <w:t xml:space="preserve"> and </w:t>
      </w:r>
      <w:r w:rsidR="0095049A" w:rsidRPr="00DC2D56">
        <w:rPr>
          <w:rFonts w:eastAsia="Arial Unicode MS"/>
          <w:noProof/>
          <w:lang w:val="en-IE"/>
        </w:rPr>
        <w:t xml:space="preserve">remains one of the main barriers </w:t>
      </w:r>
      <w:r w:rsidR="00517F53" w:rsidRPr="00DC2D56">
        <w:rPr>
          <w:rFonts w:eastAsia="Arial Unicode MS"/>
          <w:noProof/>
          <w:lang w:val="en-IE"/>
        </w:rPr>
        <w:t xml:space="preserve">to </w:t>
      </w:r>
      <w:r w:rsidR="0095049A" w:rsidRPr="00DC2D56">
        <w:rPr>
          <w:rFonts w:eastAsia="Arial Unicode MS"/>
          <w:noProof/>
          <w:lang w:val="en-IE"/>
        </w:rPr>
        <w:t>the</w:t>
      </w:r>
      <w:r w:rsidR="00FF1402">
        <w:rPr>
          <w:rFonts w:eastAsia="Arial Unicode MS"/>
          <w:noProof/>
          <w:lang w:val="en-IE"/>
        </w:rPr>
        <w:t>ir</w:t>
      </w:r>
      <w:r w:rsidR="0095049A" w:rsidRPr="00DC2D56">
        <w:rPr>
          <w:rFonts w:eastAsia="Arial Unicode MS"/>
          <w:noProof/>
          <w:lang w:val="en-IE"/>
        </w:rPr>
        <w:t xml:space="preserve"> wide</w:t>
      </w:r>
      <w:r w:rsidR="001002CA" w:rsidRPr="00DC2D56">
        <w:rPr>
          <w:rFonts w:eastAsia="Arial Unicode MS"/>
          <w:noProof/>
          <w:lang w:val="en-IE"/>
        </w:rPr>
        <w:t>r</w:t>
      </w:r>
      <w:r w:rsidR="0095049A" w:rsidRPr="00DC2D56">
        <w:rPr>
          <w:rFonts w:eastAsia="Arial Unicode MS"/>
          <w:noProof/>
          <w:lang w:val="en-IE"/>
        </w:rPr>
        <w:t xml:space="preserve"> deployment.</w:t>
      </w:r>
    </w:p>
    <w:p w:rsidR="009A73AD" w:rsidRPr="00DC2D56" w:rsidRDefault="00724B4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 xml:space="preserve">Unlike the market </w:t>
      </w:r>
      <w:r w:rsidR="00AD12F6">
        <w:rPr>
          <w:rFonts w:eastAsia="Arial Unicode MS"/>
          <w:noProof/>
          <w:lang w:val="en-IE"/>
        </w:rPr>
        <w:t>for</w:t>
      </w:r>
      <w:r w:rsidRPr="00DC2D56">
        <w:rPr>
          <w:rFonts w:eastAsia="Arial Unicode MS"/>
          <w:noProof/>
          <w:lang w:val="en-IE"/>
        </w:rPr>
        <w:t xml:space="preserve"> passenger cars, the market </w:t>
      </w:r>
      <w:r w:rsidR="00AD12F6">
        <w:rPr>
          <w:rFonts w:eastAsia="Arial Unicode MS"/>
          <w:noProof/>
          <w:lang w:val="en-IE"/>
        </w:rPr>
        <w:t>for</w:t>
      </w:r>
      <w:r w:rsidRPr="00DC2D56">
        <w:rPr>
          <w:rFonts w:eastAsia="Arial Unicode MS"/>
          <w:noProof/>
          <w:lang w:val="en-IE"/>
        </w:rPr>
        <w:t xml:space="preserve"> heavy-duty vehicles is a business-to-business market. </w:t>
      </w:r>
      <w:r w:rsidR="002C5447" w:rsidRPr="00DC2D56">
        <w:rPr>
          <w:rFonts w:eastAsia="Arial Unicode MS"/>
          <w:noProof/>
          <w:lang w:val="en-IE"/>
        </w:rPr>
        <w:t xml:space="preserve">Investment choices are driven by </w:t>
      </w:r>
      <w:r w:rsidR="00A32EA3">
        <w:rPr>
          <w:rFonts w:eastAsia="Arial Unicode MS"/>
          <w:noProof/>
          <w:lang w:val="en-IE"/>
        </w:rPr>
        <w:t xml:space="preserve">a vehicle’s </w:t>
      </w:r>
      <w:r w:rsidR="002C5447" w:rsidRPr="00DC2D56">
        <w:rPr>
          <w:rFonts w:eastAsia="Arial Unicode MS"/>
          <w:noProof/>
          <w:lang w:val="en-IE"/>
        </w:rPr>
        <w:t xml:space="preserve">cost over </w:t>
      </w:r>
      <w:r w:rsidR="00A32EA3">
        <w:rPr>
          <w:rFonts w:eastAsia="Arial Unicode MS"/>
          <w:noProof/>
          <w:lang w:val="en-IE"/>
        </w:rPr>
        <w:t xml:space="preserve">its entire </w:t>
      </w:r>
      <w:r w:rsidR="002C5447" w:rsidRPr="00DC2D56">
        <w:rPr>
          <w:rFonts w:eastAsia="Arial Unicode MS"/>
          <w:noProof/>
          <w:lang w:val="en-IE"/>
        </w:rPr>
        <w:t>lifetime</w:t>
      </w:r>
      <w:r w:rsidR="00AD12F6">
        <w:rPr>
          <w:rFonts w:eastAsia="Arial Unicode MS"/>
          <w:noProof/>
          <w:lang w:val="en-IE"/>
        </w:rPr>
        <w:t>. This is</w:t>
      </w:r>
      <w:r w:rsidR="002C5447" w:rsidRPr="00DC2D56">
        <w:rPr>
          <w:rFonts w:eastAsia="Arial Unicode MS"/>
          <w:noProof/>
          <w:lang w:val="en-IE"/>
        </w:rPr>
        <w:t xml:space="preserve"> known as </w:t>
      </w:r>
      <w:r w:rsidRPr="00DC2D56">
        <w:rPr>
          <w:rFonts w:eastAsia="Arial Unicode MS"/>
          <w:noProof/>
          <w:lang w:val="en-IE"/>
        </w:rPr>
        <w:t>the total cost of ownership</w:t>
      </w:r>
      <w:r w:rsidR="00270C6F">
        <w:rPr>
          <w:noProof/>
          <w:lang w:val="en-IE"/>
        </w:rPr>
        <w:t> </w:t>
      </w:r>
      <w:r w:rsidRPr="00DC2D56">
        <w:rPr>
          <w:rStyle w:val="FootnoteReference"/>
          <w:rFonts w:eastAsia="Arial Unicode MS"/>
          <w:noProof/>
          <w:lang w:val="en-IE"/>
        </w:rPr>
        <w:footnoteReference w:id="16"/>
      </w:r>
      <w:r w:rsidR="00300ABD" w:rsidRPr="00DC2D56">
        <w:rPr>
          <w:rFonts w:eastAsia="Arial Unicode MS"/>
          <w:noProof/>
          <w:lang w:val="en-IE"/>
        </w:rPr>
        <w:t xml:space="preserve"> (TCO)</w:t>
      </w:r>
      <w:r w:rsidR="002C5447" w:rsidRPr="00DC2D56">
        <w:rPr>
          <w:rFonts w:eastAsia="Arial Unicode MS"/>
          <w:noProof/>
          <w:lang w:val="en-IE"/>
        </w:rPr>
        <w:t>.</w:t>
      </w:r>
      <w:r w:rsidR="00030CF1" w:rsidRPr="00DC2D56">
        <w:rPr>
          <w:rFonts w:eastAsia="Arial Unicode MS"/>
          <w:noProof/>
          <w:lang w:val="en-IE"/>
        </w:rPr>
        <w:t xml:space="preserve"> </w:t>
      </w:r>
      <w:r w:rsidR="00A82360" w:rsidRPr="00DC2D56">
        <w:rPr>
          <w:rFonts w:eastAsia="Arial Unicode MS"/>
          <w:noProof/>
          <w:lang w:val="en-IE"/>
        </w:rPr>
        <w:t xml:space="preserve">The market </w:t>
      </w:r>
      <w:r w:rsidR="00AD12F6">
        <w:rPr>
          <w:rFonts w:eastAsia="Arial Unicode MS"/>
          <w:noProof/>
          <w:lang w:val="en-IE"/>
        </w:rPr>
        <w:t>for</w:t>
      </w:r>
      <w:r w:rsidR="00A82360" w:rsidRPr="00DC2D56">
        <w:rPr>
          <w:rFonts w:eastAsia="Arial Unicode MS"/>
          <w:noProof/>
          <w:lang w:val="en-IE"/>
        </w:rPr>
        <w:t xml:space="preserve"> heavy-duty vehicles is </w:t>
      </w:r>
      <w:r w:rsidR="002243ED" w:rsidRPr="00DC2D56">
        <w:rPr>
          <w:rFonts w:eastAsia="Arial Unicode MS"/>
          <w:noProof/>
          <w:lang w:val="en-IE"/>
        </w:rPr>
        <w:t>price</w:t>
      </w:r>
      <w:r w:rsidR="002243ED">
        <w:rPr>
          <w:rFonts w:eastAsia="Arial Unicode MS"/>
          <w:noProof/>
          <w:lang w:val="en-IE"/>
        </w:rPr>
        <w:t xml:space="preserve"> sensitive</w:t>
      </w:r>
      <w:r w:rsidR="009A73AD" w:rsidRPr="00DC2D56">
        <w:rPr>
          <w:rFonts w:eastAsia="Arial Unicode MS"/>
          <w:noProof/>
          <w:lang w:val="en-IE"/>
        </w:rPr>
        <w:t xml:space="preserve">. </w:t>
      </w:r>
      <w:r w:rsidR="00A82360" w:rsidRPr="00DC2D56">
        <w:rPr>
          <w:rFonts w:eastAsia="Arial Unicode MS"/>
          <w:noProof/>
          <w:lang w:val="en-IE"/>
        </w:rPr>
        <w:t>This means that</w:t>
      </w:r>
      <w:r w:rsidR="009A73AD" w:rsidRPr="00DC2D56">
        <w:rPr>
          <w:rFonts w:eastAsia="Arial Unicode MS"/>
          <w:noProof/>
          <w:lang w:val="en-IE"/>
        </w:rPr>
        <w:t xml:space="preserve"> the purchase decision of operators when investing in a new vehicle is likely to be </w:t>
      </w:r>
      <w:r w:rsidR="00AD12F6">
        <w:rPr>
          <w:rFonts w:eastAsia="Arial Unicode MS"/>
          <w:noProof/>
          <w:lang w:val="en-IE"/>
        </w:rPr>
        <w:t xml:space="preserve">driven by </w:t>
      </w:r>
      <w:r w:rsidR="009A73AD" w:rsidRPr="00DC2D56">
        <w:rPr>
          <w:rFonts w:eastAsia="Arial Unicode MS"/>
          <w:noProof/>
          <w:lang w:val="en-IE"/>
        </w:rPr>
        <w:t xml:space="preserve">the vehicle’s </w:t>
      </w:r>
      <w:r w:rsidR="00E81357" w:rsidRPr="00DC2D56">
        <w:rPr>
          <w:rFonts w:eastAsia="Arial Unicode MS"/>
          <w:noProof/>
          <w:lang w:val="en-IE"/>
        </w:rPr>
        <w:t>TCO</w:t>
      </w:r>
      <w:r w:rsidR="009A73AD" w:rsidRPr="00DC2D56">
        <w:rPr>
          <w:rFonts w:eastAsia="Arial Unicode MS"/>
          <w:noProof/>
          <w:lang w:val="en-IE"/>
        </w:rPr>
        <w:t>.</w:t>
      </w:r>
      <w:r w:rsidR="00A82360" w:rsidRPr="00DC2D56">
        <w:rPr>
          <w:rFonts w:eastAsia="Arial Unicode MS"/>
          <w:noProof/>
          <w:lang w:val="en-IE"/>
        </w:rPr>
        <w:t xml:space="preserve"> In other words, </w:t>
      </w:r>
      <w:r w:rsidR="005B6C22" w:rsidRPr="00DC2D56">
        <w:rPr>
          <w:rFonts w:eastAsia="Arial Unicode MS"/>
          <w:noProof/>
          <w:lang w:val="en-IE"/>
        </w:rPr>
        <w:t xml:space="preserve">operators </w:t>
      </w:r>
      <w:r w:rsidR="002B709F">
        <w:rPr>
          <w:rFonts w:eastAsia="Arial Unicode MS"/>
          <w:noProof/>
          <w:lang w:val="en-IE"/>
        </w:rPr>
        <w:t xml:space="preserve">will have a </w:t>
      </w:r>
      <w:r w:rsidR="002B709F" w:rsidRPr="00DC2D56">
        <w:rPr>
          <w:rFonts w:eastAsia="Arial Unicode MS"/>
          <w:noProof/>
          <w:lang w:val="en-IE"/>
        </w:rPr>
        <w:t xml:space="preserve">business case </w:t>
      </w:r>
      <w:r w:rsidR="005B6C22" w:rsidRPr="00DC2D56">
        <w:rPr>
          <w:rFonts w:eastAsia="Arial Unicode MS"/>
          <w:noProof/>
          <w:lang w:val="en-IE"/>
        </w:rPr>
        <w:t>to invest in</w:t>
      </w:r>
      <w:r w:rsidR="00FC253B">
        <w:rPr>
          <w:rFonts w:eastAsia="Arial Unicode MS"/>
          <w:noProof/>
          <w:lang w:val="en-IE"/>
        </w:rPr>
        <w:t xml:space="preserve"> a</w:t>
      </w:r>
      <w:r w:rsidR="005B6C22" w:rsidRPr="00DC2D56">
        <w:rPr>
          <w:rFonts w:eastAsia="Arial Unicode MS"/>
          <w:noProof/>
          <w:lang w:val="en-IE"/>
        </w:rPr>
        <w:t xml:space="preserve"> </w:t>
      </w:r>
      <w:r w:rsidR="00A8788A" w:rsidRPr="00DC2D56">
        <w:rPr>
          <w:rFonts w:eastAsia="Arial Unicode MS"/>
          <w:noProof/>
          <w:lang w:val="en-IE"/>
        </w:rPr>
        <w:t xml:space="preserve">zero-emission vehicle once </w:t>
      </w:r>
      <w:r w:rsidR="00B36A5D">
        <w:rPr>
          <w:rFonts w:eastAsia="Arial Unicode MS"/>
          <w:noProof/>
          <w:lang w:val="en-IE"/>
        </w:rPr>
        <w:t>its cost</w:t>
      </w:r>
      <w:r w:rsidR="00B36A5D" w:rsidRPr="00DC2D56">
        <w:rPr>
          <w:rFonts w:eastAsia="Arial Unicode MS"/>
          <w:noProof/>
          <w:lang w:val="en-IE"/>
        </w:rPr>
        <w:t xml:space="preserve"> </w:t>
      </w:r>
      <w:r w:rsidR="00A8788A" w:rsidRPr="00DC2D56">
        <w:rPr>
          <w:rFonts w:eastAsia="Arial Unicode MS"/>
          <w:noProof/>
          <w:lang w:val="en-IE"/>
        </w:rPr>
        <w:t>become</w:t>
      </w:r>
      <w:r w:rsidR="00B36A5D">
        <w:rPr>
          <w:rFonts w:eastAsia="Arial Unicode MS"/>
          <w:noProof/>
          <w:lang w:val="en-IE"/>
        </w:rPr>
        <w:t>s</w:t>
      </w:r>
      <w:r w:rsidR="00A8788A" w:rsidRPr="00DC2D56">
        <w:rPr>
          <w:rFonts w:eastAsia="Arial Unicode MS"/>
          <w:noProof/>
          <w:lang w:val="en-IE"/>
        </w:rPr>
        <w:t xml:space="preserve"> </w:t>
      </w:r>
      <w:r w:rsidR="00B36A5D">
        <w:rPr>
          <w:rFonts w:eastAsia="Arial Unicode MS"/>
          <w:noProof/>
          <w:lang w:val="en-IE"/>
        </w:rPr>
        <w:t xml:space="preserve">lower than the cost of a </w:t>
      </w:r>
      <w:r w:rsidR="00A8788A" w:rsidRPr="00DC2D56">
        <w:rPr>
          <w:rFonts w:eastAsia="Arial Unicode MS"/>
          <w:noProof/>
          <w:lang w:val="en-IE"/>
        </w:rPr>
        <w:t>conventional vehicle powered by fossil fuels.</w:t>
      </w:r>
    </w:p>
    <w:p w:rsidR="009B6962" w:rsidRPr="00DC2D56" w:rsidRDefault="00F836B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 xml:space="preserve">Differentiated road charges may </w:t>
      </w:r>
      <w:r w:rsidR="00A32EA3">
        <w:rPr>
          <w:rFonts w:eastAsia="Arial Unicode MS"/>
          <w:noProof/>
          <w:lang w:val="en-IE"/>
        </w:rPr>
        <w:t>reduce</w:t>
      </w:r>
      <w:r w:rsidR="00A32EA3" w:rsidRPr="00DC2D56">
        <w:rPr>
          <w:rFonts w:eastAsia="Arial Unicode MS"/>
          <w:noProof/>
          <w:lang w:val="en-IE"/>
        </w:rPr>
        <w:t xml:space="preserve"> </w:t>
      </w:r>
      <w:r w:rsidRPr="00DC2D56">
        <w:rPr>
          <w:rFonts w:eastAsia="Arial Unicode MS"/>
          <w:noProof/>
          <w:lang w:val="en-IE"/>
        </w:rPr>
        <w:t xml:space="preserve">operational costs and </w:t>
      </w:r>
      <w:r w:rsidR="00A32EA3">
        <w:rPr>
          <w:rFonts w:eastAsia="Arial Unicode MS"/>
          <w:noProof/>
          <w:lang w:val="en-IE"/>
        </w:rPr>
        <w:t>therefore</w:t>
      </w:r>
      <w:r w:rsidR="00A32EA3" w:rsidRPr="00DC2D56">
        <w:rPr>
          <w:rFonts w:eastAsia="Arial Unicode MS"/>
          <w:noProof/>
          <w:lang w:val="en-IE"/>
        </w:rPr>
        <w:t xml:space="preserve"> </w:t>
      </w:r>
      <w:r w:rsidRPr="00DC2D56">
        <w:rPr>
          <w:rFonts w:eastAsia="Arial Unicode MS"/>
          <w:noProof/>
          <w:lang w:val="en-IE"/>
        </w:rPr>
        <w:t>the TCO of zero-emission vehicles.</w:t>
      </w:r>
      <w:r w:rsidR="007205BA" w:rsidRPr="00DC2D56">
        <w:rPr>
          <w:rFonts w:eastAsia="Arial Unicode MS"/>
          <w:noProof/>
          <w:lang w:val="en-IE"/>
        </w:rPr>
        <w:t xml:space="preserve"> They can thus </w:t>
      </w:r>
      <w:r w:rsidR="002B709F">
        <w:rPr>
          <w:rFonts w:eastAsia="Arial Unicode MS"/>
          <w:noProof/>
          <w:lang w:val="en-IE"/>
        </w:rPr>
        <w:t xml:space="preserve">help </w:t>
      </w:r>
      <w:r w:rsidR="007205BA" w:rsidRPr="00DC2D56">
        <w:rPr>
          <w:rFonts w:eastAsia="Arial Unicode MS"/>
          <w:noProof/>
          <w:lang w:val="en-IE"/>
        </w:rPr>
        <w:t xml:space="preserve">to build a stronger business case </w:t>
      </w:r>
      <w:r w:rsidR="007D5FC7" w:rsidRPr="00DC2D56">
        <w:rPr>
          <w:rFonts w:eastAsia="Arial Unicode MS"/>
          <w:noProof/>
          <w:lang w:val="en-IE"/>
        </w:rPr>
        <w:t>for investing in those vehicles.</w:t>
      </w:r>
    </w:p>
    <w:p w:rsidR="00B37B5D" w:rsidRPr="00DC2D56" w:rsidRDefault="002B709F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>Directive (EU) 2022/362</w:t>
      </w:r>
      <w:r w:rsidR="00D961FB">
        <w:rPr>
          <w:noProof/>
          <w:lang w:val="en-IE"/>
        </w:rPr>
        <w:t> </w:t>
      </w:r>
      <w:r w:rsidR="00D961FB" w:rsidRPr="00DC2D56">
        <w:rPr>
          <w:rStyle w:val="FootnoteReference"/>
          <w:rFonts w:eastAsia="Arial Unicode MS"/>
          <w:noProof/>
          <w:lang w:val="en-IE"/>
        </w:rPr>
        <w:footnoteReference w:id="17"/>
      </w:r>
      <w:r>
        <w:rPr>
          <w:noProof/>
          <w:lang w:val="en-IE"/>
        </w:rPr>
        <w:t xml:space="preserve"> enabled </w:t>
      </w:r>
      <w:r>
        <w:rPr>
          <w:rFonts w:eastAsia="Arial Unicode MS"/>
          <w:noProof/>
          <w:lang w:val="en-IE"/>
        </w:rPr>
        <w:t>r</w:t>
      </w:r>
      <w:r w:rsidR="00436DDD" w:rsidRPr="00DC2D56">
        <w:rPr>
          <w:rFonts w:eastAsia="Arial Unicode MS"/>
          <w:noProof/>
          <w:lang w:val="en-IE"/>
        </w:rPr>
        <w:t>oad</w:t>
      </w:r>
      <w:r w:rsidR="00AB1C54" w:rsidRPr="00DC2D56">
        <w:rPr>
          <w:rFonts w:eastAsia="Arial Unicode MS"/>
          <w:noProof/>
          <w:lang w:val="en-IE"/>
        </w:rPr>
        <w:t xml:space="preserve"> charging</w:t>
      </w:r>
      <w:r w:rsidR="00270C6F">
        <w:rPr>
          <w:noProof/>
          <w:lang w:val="en-IE"/>
        </w:rPr>
        <w:t> </w:t>
      </w:r>
      <w:r w:rsidR="00413DF1" w:rsidRPr="00DC2D56">
        <w:rPr>
          <w:rStyle w:val="FootnoteReference"/>
          <w:rFonts w:eastAsia="Arial Unicode MS"/>
          <w:noProof/>
          <w:lang w:val="en-IE"/>
        </w:rPr>
        <w:footnoteReference w:id="18"/>
      </w:r>
      <w:r w:rsidR="00436DDD" w:rsidRPr="00DC2D56">
        <w:rPr>
          <w:rFonts w:eastAsia="Arial Unicode MS"/>
          <w:noProof/>
          <w:lang w:val="en-IE"/>
        </w:rPr>
        <w:t xml:space="preserve"> </w:t>
      </w:r>
      <w:r w:rsidR="00AB1C54" w:rsidRPr="00DC2D56">
        <w:rPr>
          <w:rFonts w:eastAsia="Arial Unicode MS"/>
          <w:noProof/>
          <w:lang w:val="en-IE"/>
        </w:rPr>
        <w:t>on the basis of CO</w:t>
      </w:r>
      <w:r w:rsidR="00AB1C54" w:rsidRPr="00DC2D56">
        <w:rPr>
          <w:rFonts w:eastAsia="Arial Unicode MS"/>
          <w:noProof/>
          <w:vertAlign w:val="subscript"/>
          <w:lang w:val="en-IE"/>
        </w:rPr>
        <w:t>2</w:t>
      </w:r>
      <w:r w:rsidR="00AB1C54" w:rsidRPr="00DC2D56">
        <w:rPr>
          <w:rFonts w:eastAsia="Arial Unicode MS"/>
          <w:noProof/>
          <w:lang w:val="en-IE"/>
        </w:rPr>
        <w:t xml:space="preserve"> </w:t>
      </w:r>
      <w:r w:rsidR="00B912F5" w:rsidRPr="00DC2D56">
        <w:rPr>
          <w:rFonts w:eastAsia="Arial Unicode MS"/>
          <w:noProof/>
          <w:lang w:val="en-IE"/>
        </w:rPr>
        <w:t>emissions.</w:t>
      </w:r>
      <w:r w:rsidR="003431B3" w:rsidRPr="00DC2D56">
        <w:rPr>
          <w:rFonts w:eastAsia="Arial Unicode MS"/>
          <w:noProof/>
          <w:lang w:val="en-IE"/>
        </w:rPr>
        <w:t xml:space="preserve"> </w:t>
      </w:r>
      <w:r w:rsidRPr="00DC2D56">
        <w:rPr>
          <w:rFonts w:eastAsia="Arial Unicode MS"/>
          <w:noProof/>
          <w:lang w:val="en-IE"/>
        </w:rPr>
        <w:t>Directive (EU) 2022/362</w:t>
      </w:r>
      <w:r w:rsidR="0062748F" w:rsidRPr="00DC2D56">
        <w:rPr>
          <w:rFonts w:eastAsia="Arial Unicode MS"/>
          <w:noProof/>
          <w:lang w:val="en-IE"/>
        </w:rPr>
        <w:t xml:space="preserve"> </w:t>
      </w:r>
      <w:r w:rsidR="00753356" w:rsidRPr="00DC2D56">
        <w:rPr>
          <w:rFonts w:eastAsia="Arial Unicode MS"/>
          <w:noProof/>
          <w:lang w:val="en-IE"/>
        </w:rPr>
        <w:t>amended Directive 1999/62/EC</w:t>
      </w:r>
      <w:r w:rsidR="00D24A6D">
        <w:rPr>
          <w:noProof/>
          <w:lang w:val="en-IE"/>
        </w:rPr>
        <w:t> </w:t>
      </w:r>
      <w:r w:rsidR="00753356" w:rsidRPr="00DC2D56">
        <w:rPr>
          <w:rStyle w:val="FootnoteReference"/>
          <w:rFonts w:eastAsia="Arial Unicode MS"/>
          <w:noProof/>
          <w:lang w:val="en-IE"/>
        </w:rPr>
        <w:footnoteReference w:id="19"/>
      </w:r>
      <w:r w:rsidR="00753356" w:rsidRPr="00DC2D56">
        <w:rPr>
          <w:rFonts w:eastAsia="Arial Unicode MS"/>
          <w:noProof/>
          <w:lang w:val="en-IE"/>
        </w:rPr>
        <w:t xml:space="preserve"> by </w:t>
      </w:r>
      <w:r w:rsidR="0062748F" w:rsidRPr="00DC2D56">
        <w:rPr>
          <w:rFonts w:eastAsia="Arial Unicode MS"/>
          <w:noProof/>
          <w:lang w:val="en-IE"/>
        </w:rPr>
        <w:t>provid</w:t>
      </w:r>
      <w:r w:rsidR="00753356" w:rsidRPr="00DC2D56">
        <w:rPr>
          <w:rFonts w:eastAsia="Arial Unicode MS"/>
          <w:noProof/>
          <w:lang w:val="en-IE"/>
        </w:rPr>
        <w:t>ing</w:t>
      </w:r>
      <w:r w:rsidR="00753356" w:rsidRPr="00DC2D56">
        <w:rPr>
          <w:rFonts w:eastAsia="Arial Unicode MS"/>
          <w:i/>
          <w:iCs/>
          <w:noProof/>
          <w:lang w:val="en-IE"/>
        </w:rPr>
        <w:t>,</w:t>
      </w:r>
      <w:r w:rsidR="00753356" w:rsidRPr="00DC2D56">
        <w:rPr>
          <w:rFonts w:eastAsia="Arial Unicode MS"/>
          <w:noProof/>
          <w:lang w:val="en-IE"/>
        </w:rPr>
        <w:t xml:space="preserve"> </w:t>
      </w:r>
      <w:r w:rsidR="00B779FA" w:rsidRPr="00DC2D56">
        <w:rPr>
          <w:rFonts w:eastAsia="Arial Unicode MS"/>
          <w:noProof/>
          <w:lang w:val="en-IE"/>
        </w:rPr>
        <w:t>among other changes</w:t>
      </w:r>
      <w:r w:rsidR="00753356" w:rsidRPr="00DC2D56">
        <w:rPr>
          <w:rFonts w:eastAsia="Arial Unicode MS"/>
          <w:noProof/>
          <w:lang w:val="en-IE"/>
        </w:rPr>
        <w:t>,</w:t>
      </w:r>
      <w:r w:rsidR="0062748F" w:rsidRPr="00DC2D56">
        <w:rPr>
          <w:rFonts w:eastAsia="Arial Unicode MS"/>
          <w:noProof/>
          <w:lang w:val="en-IE"/>
        </w:rPr>
        <w:t xml:space="preserve"> for the variation of </w:t>
      </w:r>
      <w:r w:rsidR="00C75979" w:rsidRPr="00DC2D56">
        <w:rPr>
          <w:rFonts w:eastAsia="Arial Unicode MS"/>
          <w:noProof/>
          <w:lang w:val="en-IE"/>
        </w:rPr>
        <w:t xml:space="preserve">infrastructure and user </w:t>
      </w:r>
      <w:r w:rsidR="008F1F9A" w:rsidRPr="00DC2D56">
        <w:rPr>
          <w:rFonts w:eastAsia="Arial Unicode MS"/>
          <w:noProof/>
          <w:lang w:val="en-IE"/>
        </w:rPr>
        <w:t>charges</w:t>
      </w:r>
      <w:r w:rsidR="0012548E">
        <w:rPr>
          <w:rFonts w:eastAsia="Arial Unicode MS"/>
          <w:noProof/>
          <w:lang w:val="en-IE"/>
        </w:rPr>
        <w:t xml:space="preserve"> (</w:t>
      </w:r>
      <w:r w:rsidR="00280AFB" w:rsidRPr="00DC2D56">
        <w:rPr>
          <w:rFonts w:eastAsia="Arial Unicode MS"/>
          <w:noProof/>
          <w:lang w:val="en-IE"/>
        </w:rPr>
        <w:t xml:space="preserve">favouring </w:t>
      </w:r>
      <w:r w:rsidR="008F1F9A" w:rsidRPr="00DC2D56">
        <w:rPr>
          <w:rFonts w:eastAsia="Arial Unicode MS"/>
          <w:noProof/>
          <w:lang w:val="en-IE"/>
        </w:rPr>
        <w:t>the deployment of cleaner vehicles</w:t>
      </w:r>
      <w:r w:rsidR="0012548E">
        <w:rPr>
          <w:rFonts w:eastAsia="Arial Unicode MS"/>
          <w:noProof/>
          <w:lang w:val="en-IE"/>
        </w:rPr>
        <w:t>)</w:t>
      </w:r>
      <w:r w:rsidR="008F1F9A" w:rsidRPr="00DC2D56">
        <w:rPr>
          <w:rFonts w:eastAsia="Arial Unicode MS"/>
          <w:noProof/>
          <w:lang w:val="en-IE"/>
        </w:rPr>
        <w:t xml:space="preserve"> </w:t>
      </w:r>
      <w:r w:rsidR="00B37B5D" w:rsidRPr="00DC2D56">
        <w:rPr>
          <w:rFonts w:eastAsia="Arial Unicode MS"/>
          <w:noProof/>
          <w:lang w:val="en-IE"/>
        </w:rPr>
        <w:t>and/</w:t>
      </w:r>
      <w:r w:rsidR="008F1F9A" w:rsidRPr="00DC2D56">
        <w:rPr>
          <w:rFonts w:eastAsia="Arial Unicode MS"/>
          <w:noProof/>
          <w:lang w:val="en-IE"/>
        </w:rPr>
        <w:t>or for the internalisation of externa</w:t>
      </w:r>
      <w:r w:rsidR="00C75979" w:rsidRPr="00DC2D56">
        <w:rPr>
          <w:rFonts w:eastAsia="Arial Unicode MS"/>
          <w:noProof/>
          <w:lang w:val="en-IE"/>
        </w:rPr>
        <w:t xml:space="preserve">l </w:t>
      </w:r>
      <w:r w:rsidR="008F1F9A" w:rsidRPr="00DC2D56">
        <w:rPr>
          <w:rFonts w:eastAsia="Arial Unicode MS"/>
          <w:noProof/>
          <w:lang w:val="en-IE"/>
        </w:rPr>
        <w:t>costs</w:t>
      </w:r>
      <w:r w:rsidR="00270C6F">
        <w:rPr>
          <w:rFonts w:eastAsia="Arial Unicode MS"/>
          <w:noProof/>
          <w:lang w:val="en-IE"/>
        </w:rPr>
        <w:t xml:space="preserve"> of CO</w:t>
      </w:r>
      <w:r w:rsidR="00270C6F">
        <w:rPr>
          <w:rFonts w:eastAsia="Arial Unicode MS"/>
          <w:noProof/>
          <w:vertAlign w:val="subscript"/>
          <w:lang w:val="en-IE"/>
        </w:rPr>
        <w:t>2</w:t>
      </w:r>
      <w:r w:rsidR="0012548E">
        <w:rPr>
          <w:rFonts w:eastAsia="Arial Unicode MS"/>
          <w:noProof/>
          <w:lang w:val="en-IE"/>
        </w:rPr>
        <w:t xml:space="preserve"> (</w:t>
      </w:r>
      <w:r w:rsidR="00280AFB" w:rsidRPr="00DC2D56">
        <w:rPr>
          <w:rFonts w:eastAsia="Arial Unicode MS"/>
          <w:noProof/>
          <w:lang w:val="en-IE"/>
        </w:rPr>
        <w:t xml:space="preserve">penalising </w:t>
      </w:r>
      <w:r w:rsidR="00C75979" w:rsidRPr="00DC2D56">
        <w:rPr>
          <w:rFonts w:eastAsia="Arial Unicode MS"/>
          <w:noProof/>
          <w:lang w:val="en-IE"/>
        </w:rPr>
        <w:t>vehicles</w:t>
      </w:r>
      <w:r w:rsidR="0012548E" w:rsidRPr="0012548E">
        <w:rPr>
          <w:rFonts w:eastAsia="Arial Unicode MS"/>
          <w:noProof/>
          <w:lang w:val="en-IE"/>
        </w:rPr>
        <w:t xml:space="preserve"> </w:t>
      </w:r>
      <w:r w:rsidR="0012548E">
        <w:rPr>
          <w:rFonts w:eastAsia="Arial Unicode MS"/>
          <w:noProof/>
          <w:lang w:val="en-IE"/>
        </w:rPr>
        <w:t xml:space="preserve">that are </w:t>
      </w:r>
      <w:r w:rsidR="0012548E" w:rsidRPr="00DC2D56">
        <w:rPr>
          <w:rFonts w:eastAsia="Arial Unicode MS"/>
          <w:noProof/>
          <w:lang w:val="en-IE"/>
        </w:rPr>
        <w:t>more polluting</w:t>
      </w:r>
      <w:r w:rsidR="0012548E">
        <w:rPr>
          <w:rFonts w:eastAsia="Arial Unicode MS"/>
          <w:noProof/>
          <w:lang w:val="en-IE"/>
        </w:rPr>
        <w:t>)</w:t>
      </w:r>
      <w:r w:rsidR="00280AFB" w:rsidRPr="00DC2D56">
        <w:rPr>
          <w:rFonts w:eastAsia="Arial Unicode MS"/>
          <w:noProof/>
          <w:lang w:val="en-IE"/>
        </w:rPr>
        <w:t>.</w:t>
      </w:r>
      <w:r w:rsidR="00FB1237" w:rsidRPr="00DC2D56">
        <w:rPr>
          <w:rFonts w:eastAsia="Arial Unicode MS"/>
          <w:noProof/>
          <w:lang w:val="en-IE"/>
        </w:rPr>
        <w:t xml:space="preserve"> Both measures </w:t>
      </w:r>
      <w:r w:rsidR="005906AD">
        <w:rPr>
          <w:rFonts w:eastAsia="Arial Unicode MS"/>
          <w:noProof/>
          <w:lang w:val="en-IE"/>
        </w:rPr>
        <w:t>reduce</w:t>
      </w:r>
      <w:r w:rsidR="005906AD" w:rsidRPr="00DC2D56">
        <w:rPr>
          <w:rFonts w:eastAsia="Arial Unicode MS"/>
          <w:noProof/>
          <w:lang w:val="en-IE"/>
        </w:rPr>
        <w:t xml:space="preserve"> </w:t>
      </w:r>
      <w:r w:rsidR="00FB1237" w:rsidRPr="00DC2D56">
        <w:rPr>
          <w:rFonts w:eastAsia="Arial Unicode MS"/>
          <w:noProof/>
          <w:lang w:val="en-IE"/>
        </w:rPr>
        <w:t xml:space="preserve">the gap between the TCO of conventional vehicles and </w:t>
      </w:r>
      <w:r w:rsidR="006C1329">
        <w:rPr>
          <w:rFonts w:eastAsia="Arial Unicode MS"/>
          <w:noProof/>
          <w:lang w:val="en-IE"/>
        </w:rPr>
        <w:t>the TCO</w:t>
      </w:r>
      <w:r w:rsidR="006C1329" w:rsidRPr="00DC2D56">
        <w:rPr>
          <w:rFonts w:eastAsia="Arial Unicode MS"/>
          <w:noProof/>
          <w:lang w:val="en-IE"/>
        </w:rPr>
        <w:t xml:space="preserve"> </w:t>
      </w:r>
      <w:r w:rsidR="00FB1237" w:rsidRPr="00DC2D56">
        <w:rPr>
          <w:rFonts w:eastAsia="Arial Unicode MS"/>
          <w:noProof/>
          <w:lang w:val="en-IE"/>
        </w:rPr>
        <w:t xml:space="preserve">of zero-emission vehicles. </w:t>
      </w:r>
    </w:p>
    <w:p w:rsidR="003A5561" w:rsidRPr="00DC2D56" w:rsidRDefault="00CB748E" w:rsidP="003A556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>
        <w:rPr>
          <w:rFonts w:eastAsia="Arial Unicode MS"/>
          <w:noProof/>
          <w:lang w:val="en-IE"/>
        </w:rPr>
        <w:t>V</w:t>
      </w:r>
      <w:r w:rsidR="003A5561" w:rsidRPr="00DC2D56">
        <w:rPr>
          <w:rFonts w:eastAsia="Arial Unicode MS"/>
          <w:noProof/>
          <w:lang w:val="en-IE"/>
        </w:rPr>
        <w:t>ariation of</w:t>
      </w:r>
      <w:r w:rsidR="00A84F25">
        <w:rPr>
          <w:rFonts w:eastAsia="Arial Unicode MS"/>
          <w:noProof/>
          <w:lang w:val="en-IE"/>
        </w:rPr>
        <w:t xml:space="preserve"> road</w:t>
      </w:r>
      <w:r w:rsidR="003A5561" w:rsidRPr="00DC2D56">
        <w:rPr>
          <w:rFonts w:eastAsia="Arial Unicode MS"/>
          <w:noProof/>
          <w:lang w:val="en-IE"/>
        </w:rPr>
        <w:t xml:space="preserve"> charges </w:t>
      </w:r>
      <w:r w:rsidR="003B438C">
        <w:rPr>
          <w:rFonts w:eastAsia="Arial Unicode MS"/>
          <w:noProof/>
          <w:lang w:val="en-IE"/>
        </w:rPr>
        <w:t>consists in</w:t>
      </w:r>
      <w:r w:rsidR="003B438C" w:rsidRPr="00DC2D56">
        <w:rPr>
          <w:rFonts w:eastAsia="Arial Unicode MS"/>
          <w:noProof/>
          <w:lang w:val="en-IE"/>
        </w:rPr>
        <w:t xml:space="preserve"> </w:t>
      </w:r>
      <w:r w:rsidR="003A5561" w:rsidRPr="00DC2D56">
        <w:rPr>
          <w:rFonts w:eastAsia="Arial Unicode MS"/>
          <w:noProof/>
          <w:lang w:val="en-IE"/>
        </w:rPr>
        <w:t xml:space="preserve">granting a </w:t>
      </w:r>
      <w:r w:rsidRPr="00DC2D56">
        <w:rPr>
          <w:rFonts w:eastAsia="Arial Unicode MS"/>
          <w:noProof/>
          <w:lang w:val="en-IE"/>
        </w:rPr>
        <w:t>50% to 75%</w:t>
      </w:r>
      <w:r>
        <w:rPr>
          <w:rFonts w:eastAsia="Arial Unicode MS"/>
          <w:noProof/>
          <w:lang w:val="en-IE"/>
        </w:rPr>
        <w:t xml:space="preserve"> </w:t>
      </w:r>
      <w:r w:rsidR="003A5561" w:rsidRPr="00DC2D56">
        <w:rPr>
          <w:rFonts w:eastAsia="Arial Unicode MS"/>
          <w:noProof/>
          <w:lang w:val="en-IE"/>
        </w:rPr>
        <w:t xml:space="preserve">reduction </w:t>
      </w:r>
      <w:r>
        <w:rPr>
          <w:rFonts w:eastAsia="Arial Unicode MS"/>
          <w:noProof/>
          <w:lang w:val="en-IE"/>
        </w:rPr>
        <w:t xml:space="preserve">in </w:t>
      </w:r>
      <w:r w:rsidR="003A5561" w:rsidRPr="00DC2D56">
        <w:rPr>
          <w:rFonts w:eastAsia="Arial Unicode MS"/>
          <w:noProof/>
          <w:lang w:val="en-IE"/>
        </w:rPr>
        <w:t xml:space="preserve">infrastructure or user charges </w:t>
      </w:r>
      <w:r>
        <w:rPr>
          <w:rFonts w:eastAsia="Arial Unicode MS"/>
          <w:noProof/>
          <w:lang w:val="en-IE"/>
        </w:rPr>
        <w:t>for</w:t>
      </w:r>
      <w:r w:rsidR="003A5561" w:rsidRPr="00DC2D56">
        <w:rPr>
          <w:rFonts w:eastAsia="Arial Unicode MS"/>
          <w:noProof/>
          <w:lang w:val="en-IE"/>
        </w:rPr>
        <w:t xml:space="preserve"> zero-emission vehicles</w:t>
      </w:r>
      <w:r w:rsidR="00D24A6D">
        <w:rPr>
          <w:noProof/>
          <w:lang w:val="en-IE"/>
        </w:rPr>
        <w:t> </w:t>
      </w:r>
      <w:r w:rsidR="003A5561" w:rsidRPr="00DC2D56">
        <w:rPr>
          <w:rStyle w:val="FootnoteReference"/>
          <w:rFonts w:eastAsia="Arial Unicode MS"/>
          <w:noProof/>
          <w:lang w:val="en-IE"/>
        </w:rPr>
        <w:footnoteReference w:id="20"/>
      </w:r>
      <w:r w:rsidR="003A5561" w:rsidRPr="00DC2D56">
        <w:rPr>
          <w:rFonts w:eastAsia="Arial Unicode MS"/>
          <w:noProof/>
          <w:lang w:val="en-IE"/>
        </w:rPr>
        <w:t>. The external-cost charge adds the external cost for traffic-based CO</w:t>
      </w:r>
      <w:r w:rsidR="003A5561" w:rsidRPr="00DC2D56">
        <w:rPr>
          <w:rFonts w:eastAsia="Arial Unicode MS"/>
          <w:noProof/>
          <w:vertAlign w:val="subscript"/>
          <w:lang w:val="en-IE"/>
        </w:rPr>
        <w:t>2</w:t>
      </w:r>
      <w:r w:rsidR="003A5561" w:rsidRPr="00DC2D56">
        <w:rPr>
          <w:rFonts w:eastAsia="Arial Unicode MS"/>
          <w:noProof/>
          <w:lang w:val="en-IE"/>
        </w:rPr>
        <w:t xml:space="preserve"> emissions to the infrastructure charge. The Directive provides for reference values for this charge</w:t>
      </w:r>
      <w:r w:rsidR="008522C5" w:rsidRPr="00DC2D56">
        <w:rPr>
          <w:rFonts w:eastAsia="Arial Unicode MS"/>
          <w:noProof/>
          <w:lang w:val="en-IE"/>
        </w:rPr>
        <w:t>,</w:t>
      </w:r>
      <w:r w:rsidR="003A5561" w:rsidRPr="00DC2D56">
        <w:rPr>
          <w:rFonts w:eastAsia="Arial Unicode MS"/>
          <w:noProof/>
          <w:lang w:val="en-IE"/>
        </w:rPr>
        <w:t xml:space="preserve"> based on </w:t>
      </w:r>
      <w:r w:rsidR="005D595C">
        <w:rPr>
          <w:rFonts w:eastAsia="Arial Unicode MS"/>
          <w:noProof/>
          <w:lang w:val="en-IE"/>
        </w:rPr>
        <w:t>a</w:t>
      </w:r>
      <w:r w:rsidR="005D595C" w:rsidRPr="00DC2D56">
        <w:rPr>
          <w:rFonts w:eastAsia="Arial Unicode MS"/>
          <w:noProof/>
          <w:lang w:val="en-IE"/>
        </w:rPr>
        <w:t xml:space="preserve"> </w:t>
      </w:r>
      <w:r w:rsidR="003A5561" w:rsidRPr="00DC2D56">
        <w:rPr>
          <w:rFonts w:eastAsia="Arial Unicode MS"/>
          <w:noProof/>
          <w:lang w:val="en-IE"/>
        </w:rPr>
        <w:t>CO</w:t>
      </w:r>
      <w:r w:rsidR="003A5561" w:rsidRPr="00DC2D56">
        <w:rPr>
          <w:rFonts w:eastAsia="Arial Unicode MS"/>
          <w:noProof/>
          <w:vertAlign w:val="subscript"/>
          <w:lang w:val="en-IE"/>
        </w:rPr>
        <w:t xml:space="preserve">2 </w:t>
      </w:r>
      <w:r w:rsidR="003A5561" w:rsidRPr="00DC2D56">
        <w:rPr>
          <w:rFonts w:eastAsia="Arial Unicode MS"/>
          <w:noProof/>
          <w:lang w:val="en-IE"/>
        </w:rPr>
        <w:t xml:space="preserve">price of </w:t>
      </w:r>
      <w:r w:rsidR="005D595C">
        <w:rPr>
          <w:rFonts w:eastAsia="Arial Unicode MS"/>
          <w:noProof/>
          <w:lang w:val="en-IE"/>
        </w:rPr>
        <w:t>EUR </w:t>
      </w:r>
      <w:r w:rsidR="003A5561" w:rsidRPr="00DC2D56">
        <w:rPr>
          <w:rFonts w:eastAsia="Arial Unicode MS"/>
          <w:noProof/>
          <w:lang w:val="en-IE"/>
        </w:rPr>
        <w:t>100 per tonne of CO</w:t>
      </w:r>
      <w:r w:rsidR="003A5561" w:rsidRPr="00DC2D56">
        <w:rPr>
          <w:rFonts w:eastAsia="Arial Unicode MS"/>
          <w:noProof/>
          <w:vertAlign w:val="subscript"/>
          <w:lang w:val="en-IE"/>
        </w:rPr>
        <w:t>2</w:t>
      </w:r>
      <w:r w:rsidR="003A5561" w:rsidRPr="00DC2D56">
        <w:rPr>
          <w:rFonts w:eastAsia="Arial Unicode MS"/>
          <w:noProof/>
          <w:lang w:val="en-IE"/>
        </w:rPr>
        <w:t xml:space="preserve"> emitted</w:t>
      </w:r>
      <w:r w:rsidR="00D24A6D">
        <w:rPr>
          <w:noProof/>
          <w:lang w:val="en-IE"/>
        </w:rPr>
        <w:t> </w:t>
      </w:r>
      <w:r w:rsidR="008522C5" w:rsidRPr="00DC2D56">
        <w:rPr>
          <w:rStyle w:val="FootnoteReference"/>
          <w:rFonts w:eastAsia="Arial Unicode MS"/>
          <w:noProof/>
          <w:lang w:val="en-IE"/>
        </w:rPr>
        <w:footnoteReference w:id="21"/>
      </w:r>
      <w:r w:rsidR="00D24A6D">
        <w:rPr>
          <w:noProof/>
          <w:lang w:val="en-IE"/>
        </w:rPr>
        <w:t>.</w:t>
      </w:r>
    </w:p>
    <w:p w:rsidR="003A5561" w:rsidRPr="00DC2D56" w:rsidRDefault="005D595C" w:rsidP="003A556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>
        <w:rPr>
          <w:rFonts w:eastAsia="Arial Unicode MS"/>
          <w:noProof/>
          <w:lang w:val="en-IE"/>
        </w:rPr>
        <w:t xml:space="preserve">The Directive </w:t>
      </w:r>
      <w:r w:rsidR="003A5561" w:rsidRPr="00DC2D56">
        <w:rPr>
          <w:rFonts w:eastAsia="Arial Unicode MS"/>
          <w:noProof/>
          <w:lang w:val="en-IE"/>
        </w:rPr>
        <w:t>further strengthen</w:t>
      </w:r>
      <w:r>
        <w:rPr>
          <w:rFonts w:eastAsia="Arial Unicode MS"/>
          <w:noProof/>
          <w:lang w:val="en-IE"/>
        </w:rPr>
        <w:t>s</w:t>
      </w:r>
      <w:r w:rsidR="003A5561" w:rsidRPr="00DC2D56">
        <w:rPr>
          <w:rFonts w:eastAsia="Arial Unicode MS"/>
          <w:noProof/>
          <w:lang w:val="en-IE"/>
        </w:rPr>
        <w:t xml:space="preserve"> those two mechanisms</w:t>
      </w:r>
      <w:r>
        <w:rPr>
          <w:rFonts w:eastAsia="Arial Unicode MS"/>
          <w:noProof/>
          <w:lang w:val="en-IE"/>
        </w:rPr>
        <w:t xml:space="preserve"> by allowing </w:t>
      </w:r>
      <w:r w:rsidR="003A5561" w:rsidRPr="00DC2D56">
        <w:rPr>
          <w:rFonts w:eastAsia="Arial Unicode MS"/>
          <w:noProof/>
          <w:lang w:val="en-IE"/>
        </w:rPr>
        <w:t>Member States to</w:t>
      </w:r>
      <w:r w:rsidR="00403C1D" w:rsidRPr="00DC2D56">
        <w:rPr>
          <w:rFonts w:eastAsia="Arial Unicode MS"/>
          <w:noProof/>
          <w:lang w:val="en-IE"/>
        </w:rPr>
        <w:t xml:space="preserve"> </w:t>
      </w:r>
      <w:r w:rsidR="00C43148">
        <w:rPr>
          <w:rFonts w:eastAsia="Arial Unicode MS"/>
          <w:noProof/>
          <w:lang w:val="en-IE"/>
        </w:rPr>
        <w:t xml:space="preserve">set greatly </w:t>
      </w:r>
      <w:r w:rsidR="00403C1D" w:rsidRPr="00DC2D56">
        <w:rPr>
          <w:rFonts w:eastAsia="Arial Unicode MS"/>
          <w:noProof/>
          <w:lang w:val="en-IE"/>
        </w:rPr>
        <w:t>reduced rates or</w:t>
      </w:r>
      <w:r w:rsidR="003A5561" w:rsidRPr="00DC2D56">
        <w:rPr>
          <w:rFonts w:eastAsia="Arial Unicode MS"/>
          <w:noProof/>
          <w:lang w:val="en-IE"/>
        </w:rPr>
        <w:t xml:space="preserve"> </w:t>
      </w:r>
      <w:r w:rsidR="00C43148">
        <w:rPr>
          <w:rFonts w:eastAsia="Arial Unicode MS"/>
          <w:noProof/>
          <w:lang w:val="en-IE"/>
        </w:rPr>
        <w:t xml:space="preserve">even </w:t>
      </w:r>
      <w:r w:rsidR="003A5561" w:rsidRPr="00DC2D56">
        <w:rPr>
          <w:rFonts w:eastAsia="Arial Unicode MS"/>
          <w:noProof/>
          <w:lang w:val="en-IE"/>
        </w:rPr>
        <w:t xml:space="preserve">grant a full exemption </w:t>
      </w:r>
      <w:r w:rsidR="00C43148">
        <w:rPr>
          <w:rFonts w:eastAsia="Arial Unicode MS"/>
          <w:noProof/>
          <w:lang w:val="en-IE"/>
        </w:rPr>
        <w:t xml:space="preserve">for </w:t>
      </w:r>
      <w:r w:rsidR="00403C1D" w:rsidRPr="00DC2D56">
        <w:rPr>
          <w:rFonts w:eastAsia="Arial Unicode MS"/>
          <w:noProof/>
          <w:lang w:val="en-IE"/>
        </w:rPr>
        <w:t>zero</w:t>
      </w:r>
      <w:r w:rsidR="00B953D6">
        <w:rPr>
          <w:rFonts w:eastAsia="Arial Unicode MS"/>
          <w:noProof/>
          <w:lang w:val="en-IE"/>
        </w:rPr>
        <w:t>-</w:t>
      </w:r>
      <w:r w:rsidR="00403C1D" w:rsidRPr="00DC2D56">
        <w:rPr>
          <w:rFonts w:eastAsia="Arial Unicode MS"/>
          <w:noProof/>
          <w:lang w:val="en-IE"/>
        </w:rPr>
        <w:t xml:space="preserve">emission vehicles </w:t>
      </w:r>
      <w:r w:rsidR="003A5561" w:rsidRPr="00DC2D56">
        <w:rPr>
          <w:rFonts w:eastAsia="Arial Unicode MS"/>
          <w:noProof/>
          <w:lang w:val="en-IE"/>
        </w:rPr>
        <w:t>from the infrastructure or user charge until 31</w:t>
      </w:r>
      <w:r w:rsidR="00DC5860">
        <w:rPr>
          <w:rFonts w:eastAsia="Arial Unicode MS"/>
          <w:noProof/>
          <w:lang w:val="en-IE"/>
        </w:rPr>
        <w:t> </w:t>
      </w:r>
      <w:r w:rsidR="003A5561" w:rsidRPr="00DC2D56">
        <w:rPr>
          <w:rFonts w:eastAsia="Arial Unicode MS"/>
          <w:noProof/>
          <w:lang w:val="en-IE"/>
        </w:rPr>
        <w:t>December</w:t>
      </w:r>
      <w:r w:rsidR="00DC5860">
        <w:rPr>
          <w:rFonts w:eastAsia="Arial Unicode MS"/>
          <w:noProof/>
          <w:lang w:val="en-IE"/>
        </w:rPr>
        <w:t> </w:t>
      </w:r>
      <w:r w:rsidR="003A5561" w:rsidRPr="00DC2D56">
        <w:rPr>
          <w:rFonts w:eastAsia="Arial Unicode MS"/>
          <w:noProof/>
          <w:lang w:val="en-IE"/>
        </w:rPr>
        <w:t>2025</w:t>
      </w:r>
      <w:r w:rsidR="008C5A88">
        <w:rPr>
          <w:noProof/>
          <w:lang w:val="en-IE"/>
        </w:rPr>
        <w:t> </w:t>
      </w:r>
      <w:r w:rsidR="00403C1D" w:rsidRPr="00DC2D56">
        <w:rPr>
          <w:rStyle w:val="FootnoteReference"/>
          <w:rFonts w:eastAsia="Arial Unicode MS"/>
          <w:noProof/>
          <w:lang w:val="en-IE"/>
        </w:rPr>
        <w:footnoteReference w:id="22"/>
      </w:r>
      <w:r w:rsidR="003A5561" w:rsidRPr="00DC2D56">
        <w:rPr>
          <w:rFonts w:eastAsia="Arial Unicode MS"/>
          <w:noProof/>
          <w:lang w:val="en-IE"/>
        </w:rPr>
        <w:t xml:space="preserve">. </w:t>
      </w:r>
      <w:r w:rsidR="00C43148">
        <w:rPr>
          <w:rFonts w:eastAsia="Arial Unicode MS"/>
          <w:noProof/>
          <w:lang w:val="en-IE"/>
        </w:rPr>
        <w:t>I</w:t>
      </w:r>
      <w:r w:rsidR="003A5561" w:rsidRPr="00DC2D56">
        <w:rPr>
          <w:rFonts w:eastAsia="Arial Unicode MS"/>
          <w:noProof/>
          <w:lang w:val="en-IE"/>
        </w:rPr>
        <w:t xml:space="preserve">t </w:t>
      </w:r>
      <w:r w:rsidR="00C43148">
        <w:rPr>
          <w:rFonts w:eastAsia="Arial Unicode MS"/>
          <w:noProof/>
          <w:lang w:val="en-IE"/>
        </w:rPr>
        <w:t xml:space="preserve">also </w:t>
      </w:r>
      <w:r w:rsidR="003A5561" w:rsidRPr="00DC2D56">
        <w:rPr>
          <w:rFonts w:eastAsia="Arial Unicode MS"/>
          <w:noProof/>
          <w:lang w:val="en-IE"/>
        </w:rPr>
        <w:t>allows Member State</w:t>
      </w:r>
      <w:r w:rsidR="00403C1D" w:rsidRPr="00DC2D56">
        <w:rPr>
          <w:rFonts w:eastAsia="Arial Unicode MS"/>
          <w:noProof/>
          <w:lang w:val="en-IE"/>
        </w:rPr>
        <w:t>s</w:t>
      </w:r>
      <w:r w:rsidR="003A5561" w:rsidRPr="00DC2D56">
        <w:rPr>
          <w:rFonts w:eastAsia="Arial Unicode MS"/>
          <w:noProof/>
          <w:lang w:val="en-IE"/>
        </w:rPr>
        <w:t xml:space="preserve"> to apply higher external-cost charge</w:t>
      </w:r>
      <w:r w:rsidR="00403C1D" w:rsidRPr="00DC2D56">
        <w:rPr>
          <w:rFonts w:eastAsia="Arial Unicode MS"/>
          <w:noProof/>
          <w:lang w:val="en-IE"/>
        </w:rPr>
        <w:t>s</w:t>
      </w:r>
      <w:r w:rsidR="003A5561" w:rsidRPr="00DC2D56">
        <w:rPr>
          <w:rFonts w:eastAsia="Arial Unicode MS"/>
          <w:noProof/>
          <w:lang w:val="en-IE"/>
        </w:rPr>
        <w:t xml:space="preserve"> for traffic-based CO</w:t>
      </w:r>
      <w:r w:rsidR="003A5561" w:rsidRPr="00DC2D56">
        <w:rPr>
          <w:rFonts w:eastAsia="Arial Unicode MS"/>
          <w:noProof/>
          <w:vertAlign w:val="subscript"/>
          <w:lang w:val="en-IE"/>
        </w:rPr>
        <w:t>2</w:t>
      </w:r>
      <w:r w:rsidR="003A5561" w:rsidRPr="00DC2D56">
        <w:rPr>
          <w:rFonts w:eastAsia="Arial Unicode MS"/>
          <w:noProof/>
          <w:lang w:val="en-IE"/>
        </w:rPr>
        <w:t xml:space="preserve"> emissions up to twice the reference values of the Directive</w:t>
      </w:r>
      <w:r w:rsidR="008C5A88">
        <w:rPr>
          <w:noProof/>
          <w:lang w:val="en-IE"/>
        </w:rPr>
        <w:t> </w:t>
      </w:r>
      <w:r w:rsidR="00403C1D" w:rsidRPr="00DC2D56">
        <w:rPr>
          <w:rStyle w:val="FootnoteReference"/>
          <w:rFonts w:eastAsia="Arial Unicode MS"/>
          <w:noProof/>
          <w:lang w:val="en-IE"/>
        </w:rPr>
        <w:footnoteReference w:id="23"/>
      </w:r>
      <w:r w:rsidR="003A5561" w:rsidRPr="00DC2D56">
        <w:rPr>
          <w:rFonts w:eastAsia="Arial Unicode MS"/>
          <w:noProof/>
          <w:lang w:val="en-IE"/>
        </w:rPr>
        <w:t>.</w:t>
      </w:r>
    </w:p>
    <w:p w:rsidR="00970A50" w:rsidRPr="00DC2D56" w:rsidRDefault="009E1437" w:rsidP="00970A5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ind w:hanging="22"/>
        <w:rPr>
          <w:rFonts w:eastAsia="Arial Unicode MS"/>
          <w:noProof/>
          <w:lang w:val="en-IE"/>
        </w:rPr>
      </w:pPr>
      <w:r>
        <w:rPr>
          <w:rFonts w:eastAsia="Arial Unicode MS"/>
          <w:noProof/>
          <w:lang w:val="en-IE"/>
        </w:rPr>
        <w:t>T</w:t>
      </w:r>
      <w:r w:rsidR="00620EEF" w:rsidRPr="00DC2D56">
        <w:rPr>
          <w:rFonts w:eastAsia="Arial Unicode MS"/>
          <w:noProof/>
          <w:lang w:val="en-IE"/>
        </w:rPr>
        <w:t>he</w:t>
      </w:r>
      <w:r w:rsidR="00A13798" w:rsidRPr="00DC2D56">
        <w:rPr>
          <w:rFonts w:eastAsia="Arial Unicode MS"/>
          <w:noProof/>
          <w:lang w:val="en-IE"/>
        </w:rPr>
        <w:t xml:space="preserve"> monetary support</w:t>
      </w:r>
      <w:r w:rsidR="00F80F6A" w:rsidRPr="00DC2D56">
        <w:rPr>
          <w:rFonts w:eastAsia="Arial Unicode MS"/>
          <w:noProof/>
          <w:lang w:val="en-IE"/>
        </w:rPr>
        <w:t xml:space="preserve"> in a Member State that makes full use of the</w:t>
      </w:r>
      <w:r w:rsidR="002A4834">
        <w:rPr>
          <w:rFonts w:eastAsia="Arial Unicode MS"/>
          <w:noProof/>
          <w:lang w:val="en-IE"/>
        </w:rPr>
        <w:t>se</w:t>
      </w:r>
      <w:r w:rsidR="00F80F6A" w:rsidRPr="00DC2D56">
        <w:rPr>
          <w:rFonts w:eastAsia="Arial Unicode MS"/>
          <w:noProof/>
          <w:lang w:val="en-IE"/>
        </w:rPr>
        <w:t xml:space="preserve"> provisions </w:t>
      </w:r>
      <w:r w:rsidR="002A4834">
        <w:rPr>
          <w:rFonts w:eastAsia="Arial Unicode MS"/>
          <w:noProof/>
          <w:lang w:val="en-IE"/>
        </w:rPr>
        <w:t>to incentivise</w:t>
      </w:r>
      <w:r w:rsidR="00A13798" w:rsidRPr="00DC2D56">
        <w:rPr>
          <w:rFonts w:eastAsia="Arial Unicode MS"/>
          <w:noProof/>
          <w:lang w:val="en-IE"/>
        </w:rPr>
        <w:t xml:space="preserve"> an operator </w:t>
      </w:r>
      <w:r w:rsidR="002A4834">
        <w:rPr>
          <w:rFonts w:eastAsia="Arial Unicode MS"/>
          <w:noProof/>
          <w:lang w:val="en-IE"/>
        </w:rPr>
        <w:t xml:space="preserve">to </w:t>
      </w:r>
      <w:r w:rsidR="00A13798" w:rsidRPr="00DC2D56">
        <w:rPr>
          <w:rFonts w:eastAsia="Arial Unicode MS"/>
          <w:noProof/>
          <w:lang w:val="en-IE"/>
        </w:rPr>
        <w:t xml:space="preserve">invest in a zero-emission </w:t>
      </w:r>
      <w:r w:rsidR="00EF5445" w:rsidRPr="00DC2D56">
        <w:rPr>
          <w:rFonts w:eastAsia="Arial Unicode MS"/>
          <w:noProof/>
          <w:lang w:val="en-IE"/>
        </w:rPr>
        <w:t xml:space="preserve">motor </w:t>
      </w:r>
      <w:r w:rsidR="00C42CCF" w:rsidRPr="00DC2D56">
        <w:rPr>
          <w:rFonts w:eastAsia="Arial Unicode MS"/>
          <w:noProof/>
          <w:lang w:val="en-IE"/>
        </w:rPr>
        <w:t>vehicle</w:t>
      </w:r>
      <w:r w:rsidR="003A0024" w:rsidRPr="00DC2D56">
        <w:rPr>
          <w:rFonts w:eastAsia="Arial Unicode MS"/>
          <w:noProof/>
          <w:lang w:val="en-IE"/>
        </w:rPr>
        <w:t xml:space="preserve"> that can </w:t>
      </w:r>
      <w:r>
        <w:rPr>
          <w:rFonts w:eastAsia="Arial Unicode MS"/>
          <w:noProof/>
          <w:lang w:val="en-IE"/>
        </w:rPr>
        <w:t>weigh</w:t>
      </w:r>
      <w:r w:rsidRPr="00DC2D56">
        <w:rPr>
          <w:rFonts w:eastAsia="Arial Unicode MS"/>
          <w:noProof/>
          <w:lang w:val="en-IE"/>
        </w:rPr>
        <w:t xml:space="preserve"> </w:t>
      </w:r>
      <w:r w:rsidR="003A0024" w:rsidRPr="00DC2D56">
        <w:rPr>
          <w:rFonts w:eastAsia="Arial Unicode MS"/>
          <w:noProof/>
          <w:lang w:val="en-IE"/>
        </w:rPr>
        <w:t>up to 40</w:t>
      </w:r>
      <w:r w:rsidR="002A4834">
        <w:rPr>
          <w:rFonts w:eastAsia="Arial Unicode MS"/>
          <w:noProof/>
          <w:lang w:val="en-IE"/>
        </w:rPr>
        <w:t> </w:t>
      </w:r>
      <w:r w:rsidR="003A0024" w:rsidRPr="00DC2D56">
        <w:rPr>
          <w:rFonts w:eastAsia="Arial Unicode MS"/>
          <w:noProof/>
          <w:lang w:val="en-IE"/>
        </w:rPr>
        <w:t>tonnes</w:t>
      </w:r>
      <w:r w:rsidR="00C42CCF" w:rsidRPr="00DC2D56">
        <w:rPr>
          <w:rFonts w:eastAsia="Arial Unicode MS"/>
          <w:noProof/>
          <w:lang w:val="en-IE"/>
        </w:rPr>
        <w:t xml:space="preserve"> </w:t>
      </w:r>
      <w:r w:rsidR="008632B5" w:rsidRPr="00DC2D56">
        <w:rPr>
          <w:rFonts w:eastAsia="Arial Unicode MS"/>
          <w:noProof/>
          <w:lang w:val="en-IE"/>
        </w:rPr>
        <w:t>is estimated to be</w:t>
      </w:r>
      <w:r w:rsidR="002E5153" w:rsidRPr="00DC2D56">
        <w:rPr>
          <w:rFonts w:eastAsia="Arial Unicode MS"/>
          <w:noProof/>
          <w:lang w:val="en-IE"/>
        </w:rPr>
        <w:t xml:space="preserve"> as high as</w:t>
      </w:r>
      <w:r w:rsidR="00A13798" w:rsidRPr="00DC2D56">
        <w:rPr>
          <w:rFonts w:eastAsia="Arial Unicode MS"/>
          <w:noProof/>
          <w:lang w:val="en-IE"/>
        </w:rPr>
        <w:t xml:space="preserve"> EUR</w:t>
      </w:r>
      <w:r w:rsidR="00DC5860">
        <w:rPr>
          <w:rFonts w:eastAsia="Arial Unicode MS"/>
          <w:noProof/>
          <w:lang w:val="en-IE"/>
        </w:rPr>
        <w:t> </w:t>
      </w:r>
      <w:r w:rsidR="00A13798" w:rsidRPr="00DC2D56">
        <w:rPr>
          <w:rFonts w:eastAsia="Arial Unicode MS"/>
          <w:noProof/>
          <w:lang w:val="en-IE"/>
        </w:rPr>
        <w:t>45</w:t>
      </w:r>
      <w:r w:rsidR="00DC5860">
        <w:rPr>
          <w:rFonts w:eastAsia="Arial Unicode MS"/>
          <w:noProof/>
          <w:lang w:val="en-IE"/>
        </w:rPr>
        <w:t> </w:t>
      </w:r>
      <w:r w:rsidR="00A13798" w:rsidRPr="00DC2D56">
        <w:rPr>
          <w:rFonts w:eastAsia="Arial Unicode MS"/>
          <w:noProof/>
          <w:lang w:val="en-IE"/>
        </w:rPr>
        <w:t xml:space="preserve">000 </w:t>
      </w:r>
      <w:r w:rsidR="005C538C" w:rsidRPr="00DC2D56">
        <w:rPr>
          <w:rFonts w:eastAsia="Arial Unicode MS"/>
          <w:noProof/>
          <w:lang w:val="en-IE"/>
        </w:rPr>
        <w:t xml:space="preserve">in the first </w:t>
      </w:r>
      <w:r w:rsidR="00A13798" w:rsidRPr="00DC2D56">
        <w:rPr>
          <w:rFonts w:eastAsia="Arial Unicode MS"/>
          <w:noProof/>
          <w:lang w:val="en-IE"/>
        </w:rPr>
        <w:t>year</w:t>
      </w:r>
      <w:r w:rsidR="00631578" w:rsidRPr="00DC2D56">
        <w:rPr>
          <w:rFonts w:eastAsia="Arial Unicode MS"/>
          <w:noProof/>
          <w:lang w:val="en-IE"/>
        </w:rPr>
        <w:t xml:space="preserve"> of operation</w:t>
      </w:r>
      <w:r>
        <w:rPr>
          <w:noProof/>
          <w:lang w:val="en-IE"/>
        </w:rPr>
        <w:t> </w:t>
      </w:r>
      <w:r w:rsidR="00A13798" w:rsidRPr="00DC2D56">
        <w:rPr>
          <w:rStyle w:val="FootnoteReference"/>
          <w:rFonts w:eastAsia="Arial Unicode MS"/>
          <w:noProof/>
          <w:lang w:val="en-IE"/>
        </w:rPr>
        <w:footnoteReference w:id="24"/>
      </w:r>
      <w:r w:rsidR="00AB76DD">
        <w:rPr>
          <w:noProof/>
          <w:lang w:val="en-IE"/>
        </w:rPr>
        <w:t>.</w:t>
      </w:r>
      <w:r w:rsidR="005D2D0C" w:rsidRPr="00DC2D56">
        <w:rPr>
          <w:rFonts w:eastAsia="Arial Unicode MS"/>
          <w:noProof/>
          <w:lang w:val="en-IE"/>
        </w:rPr>
        <w:t xml:space="preserve"> </w:t>
      </w:r>
      <w:r w:rsidR="00AB76DD">
        <w:rPr>
          <w:rFonts w:eastAsia="Arial Unicode MS"/>
          <w:noProof/>
          <w:lang w:val="en-IE"/>
        </w:rPr>
        <w:t>S</w:t>
      </w:r>
      <w:r w:rsidR="005D2D0C" w:rsidRPr="00DC2D56">
        <w:rPr>
          <w:rFonts w:eastAsia="Arial Unicode MS"/>
          <w:noProof/>
          <w:lang w:val="en-IE"/>
        </w:rPr>
        <w:t>maller vehicles receiv</w:t>
      </w:r>
      <w:r w:rsidR="00AB76DD">
        <w:rPr>
          <w:rFonts w:eastAsia="Arial Unicode MS"/>
          <w:noProof/>
          <w:lang w:val="en-IE"/>
        </w:rPr>
        <w:t>e</w:t>
      </w:r>
      <w:r w:rsidR="005D2D0C" w:rsidRPr="00DC2D56">
        <w:rPr>
          <w:rFonts w:eastAsia="Arial Unicode MS"/>
          <w:noProof/>
          <w:lang w:val="en-IE"/>
        </w:rPr>
        <w:t xml:space="preserve"> </w:t>
      </w:r>
      <w:r w:rsidR="00AB76DD">
        <w:rPr>
          <w:rFonts w:eastAsia="Arial Unicode MS"/>
          <w:noProof/>
          <w:lang w:val="en-IE"/>
        </w:rPr>
        <w:t xml:space="preserve">a </w:t>
      </w:r>
      <w:r w:rsidR="005D2D0C" w:rsidRPr="00DC2D56">
        <w:rPr>
          <w:rFonts w:eastAsia="Arial Unicode MS"/>
          <w:noProof/>
          <w:lang w:val="en-IE"/>
        </w:rPr>
        <w:t xml:space="preserve">lower </w:t>
      </w:r>
      <w:r w:rsidR="00AB76DD">
        <w:rPr>
          <w:rFonts w:eastAsia="Arial Unicode MS"/>
          <w:noProof/>
          <w:lang w:val="en-IE"/>
        </w:rPr>
        <w:t xml:space="preserve">level of </w:t>
      </w:r>
      <w:r w:rsidR="005D2D0C" w:rsidRPr="00DC2D56">
        <w:rPr>
          <w:rFonts w:eastAsia="Arial Unicode MS"/>
          <w:noProof/>
          <w:lang w:val="en-IE"/>
        </w:rPr>
        <w:t>support</w:t>
      </w:r>
      <w:r w:rsidR="00A13798" w:rsidRPr="00DC2D56">
        <w:rPr>
          <w:rFonts w:eastAsia="Arial Unicode MS"/>
          <w:noProof/>
          <w:lang w:val="en-IE"/>
        </w:rPr>
        <w:t xml:space="preserve">. </w:t>
      </w:r>
      <w:r w:rsidR="00785EDB" w:rsidRPr="00DC2D56">
        <w:rPr>
          <w:rFonts w:eastAsia="Arial Unicode MS"/>
          <w:noProof/>
          <w:lang w:val="en-IE"/>
        </w:rPr>
        <w:t xml:space="preserve">For </w:t>
      </w:r>
      <w:r w:rsidR="00AB76DD">
        <w:rPr>
          <w:rFonts w:eastAsia="Arial Unicode MS"/>
          <w:noProof/>
          <w:lang w:val="en-IE"/>
        </w:rPr>
        <w:t xml:space="preserve">some </w:t>
      </w:r>
      <w:r w:rsidR="0041452D" w:rsidRPr="00DC2D56">
        <w:rPr>
          <w:rFonts w:eastAsia="Arial Unicode MS"/>
          <w:noProof/>
          <w:lang w:val="en-IE"/>
        </w:rPr>
        <w:t xml:space="preserve">use cases, </w:t>
      </w:r>
      <w:r w:rsidR="00BB3175" w:rsidRPr="00DC2D56">
        <w:rPr>
          <w:rFonts w:eastAsia="Arial Unicode MS"/>
          <w:noProof/>
          <w:lang w:val="en-IE"/>
        </w:rPr>
        <w:t xml:space="preserve">the </w:t>
      </w:r>
      <w:r w:rsidR="00AB76DD">
        <w:rPr>
          <w:rFonts w:eastAsia="Arial Unicode MS"/>
          <w:noProof/>
          <w:lang w:val="en-IE"/>
        </w:rPr>
        <w:t>Directive</w:t>
      </w:r>
      <w:r w:rsidR="00653FBA" w:rsidRPr="00DC2D56">
        <w:rPr>
          <w:rFonts w:eastAsia="Arial Unicode MS"/>
          <w:noProof/>
          <w:lang w:val="en-IE"/>
        </w:rPr>
        <w:t xml:space="preserve"> </w:t>
      </w:r>
      <w:r>
        <w:rPr>
          <w:rFonts w:eastAsia="Arial Unicode MS"/>
          <w:noProof/>
          <w:lang w:val="en-IE"/>
        </w:rPr>
        <w:t xml:space="preserve">helps to </w:t>
      </w:r>
      <w:r w:rsidR="00AA19B7" w:rsidRPr="00DC2D56">
        <w:rPr>
          <w:rFonts w:eastAsia="Arial Unicode MS"/>
          <w:noProof/>
          <w:lang w:val="en-IE"/>
        </w:rPr>
        <w:t>achiev</w:t>
      </w:r>
      <w:r w:rsidR="00FB1237" w:rsidRPr="00DC2D56">
        <w:rPr>
          <w:rFonts w:eastAsia="Arial Unicode MS"/>
          <w:noProof/>
          <w:lang w:val="en-IE"/>
        </w:rPr>
        <w:t>e</w:t>
      </w:r>
      <w:r w:rsidR="00AA19B7" w:rsidRPr="00DC2D56">
        <w:rPr>
          <w:rFonts w:eastAsia="Arial Unicode MS"/>
          <w:noProof/>
          <w:lang w:val="en-IE"/>
        </w:rPr>
        <w:t xml:space="preserve"> </w:t>
      </w:r>
      <w:r w:rsidR="00653FBA" w:rsidRPr="00DC2D56">
        <w:rPr>
          <w:rFonts w:eastAsia="Arial Unicode MS"/>
          <w:noProof/>
          <w:lang w:val="en-IE"/>
        </w:rPr>
        <w:t xml:space="preserve">cost parity between zero-emission </w:t>
      </w:r>
      <w:r w:rsidR="005D2D0C" w:rsidRPr="00DC2D56">
        <w:rPr>
          <w:rFonts w:eastAsia="Arial Unicode MS"/>
          <w:noProof/>
          <w:lang w:val="en-IE"/>
        </w:rPr>
        <w:t xml:space="preserve">heavy-duty </w:t>
      </w:r>
      <w:r w:rsidR="00653FBA" w:rsidRPr="00DC2D56">
        <w:rPr>
          <w:rFonts w:eastAsia="Arial Unicode MS"/>
          <w:noProof/>
          <w:lang w:val="en-IE"/>
        </w:rPr>
        <w:t xml:space="preserve">vehicles and </w:t>
      </w:r>
      <w:r w:rsidR="005D2D0C" w:rsidRPr="00DC2D56">
        <w:rPr>
          <w:rFonts w:eastAsia="Arial Unicode MS"/>
          <w:noProof/>
          <w:lang w:val="en-IE"/>
        </w:rPr>
        <w:t>conventional vehicles</w:t>
      </w:r>
      <w:r w:rsidR="00EA37FD">
        <w:rPr>
          <w:noProof/>
          <w:lang w:val="en-IE"/>
        </w:rPr>
        <w:t> </w:t>
      </w:r>
      <w:r w:rsidR="00AA19B7" w:rsidRPr="00DC2D56">
        <w:rPr>
          <w:rStyle w:val="FootnoteReference"/>
          <w:noProof/>
          <w:lang w:val="en-IE"/>
        </w:rPr>
        <w:footnoteReference w:id="25"/>
      </w:r>
      <w:r w:rsidR="00653FBA" w:rsidRPr="00DC2D56">
        <w:rPr>
          <w:rFonts w:eastAsia="Arial Unicode MS"/>
          <w:noProof/>
          <w:lang w:val="en-IE"/>
        </w:rPr>
        <w:t>.</w:t>
      </w:r>
    </w:p>
    <w:p w:rsidR="00E673C3" w:rsidRPr="00DC2D56" w:rsidRDefault="009F3060" w:rsidP="00B90253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ind w:hanging="22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 xml:space="preserve">The </w:t>
      </w:r>
      <w:r w:rsidR="00ED78F7" w:rsidRPr="00DC2D56">
        <w:rPr>
          <w:rFonts w:eastAsia="Arial Unicode MS"/>
          <w:noProof/>
          <w:lang w:val="en-IE"/>
        </w:rPr>
        <w:t>transposition</w:t>
      </w:r>
      <w:r w:rsidRPr="00DC2D56">
        <w:rPr>
          <w:rFonts w:eastAsia="Arial Unicode MS"/>
          <w:noProof/>
          <w:lang w:val="en-IE"/>
        </w:rPr>
        <w:t xml:space="preserve"> of the</w:t>
      </w:r>
      <w:r w:rsidR="00AB76DD">
        <w:rPr>
          <w:rFonts w:eastAsia="Arial Unicode MS"/>
          <w:noProof/>
          <w:lang w:val="en-IE"/>
        </w:rPr>
        <w:t>se</w:t>
      </w:r>
      <w:r w:rsidRPr="00DC2D56">
        <w:rPr>
          <w:rFonts w:eastAsia="Arial Unicode MS"/>
          <w:noProof/>
          <w:lang w:val="en-IE"/>
        </w:rPr>
        <w:t xml:space="preserve"> provisions </w:t>
      </w:r>
      <w:r w:rsidR="00AB76DD">
        <w:rPr>
          <w:rFonts w:eastAsia="Arial Unicode MS"/>
          <w:noProof/>
          <w:lang w:val="en-IE"/>
        </w:rPr>
        <w:t xml:space="preserve">into national legislation </w:t>
      </w:r>
      <w:r w:rsidR="00ED78F7" w:rsidRPr="00DC2D56">
        <w:rPr>
          <w:rFonts w:eastAsia="Arial Unicode MS"/>
          <w:noProof/>
          <w:lang w:val="en-IE"/>
        </w:rPr>
        <w:t xml:space="preserve">was due </w:t>
      </w:r>
      <w:r w:rsidR="00AB76DD">
        <w:rPr>
          <w:rFonts w:eastAsia="Arial Unicode MS"/>
          <w:noProof/>
          <w:lang w:val="en-IE"/>
        </w:rPr>
        <w:t xml:space="preserve">to be completed </w:t>
      </w:r>
      <w:r w:rsidR="00403C1D" w:rsidRPr="00DC2D56">
        <w:rPr>
          <w:rFonts w:eastAsia="Arial Unicode MS"/>
          <w:noProof/>
          <w:lang w:val="en-IE"/>
        </w:rPr>
        <w:t>by 25</w:t>
      </w:r>
      <w:r w:rsidR="00DC5860">
        <w:rPr>
          <w:rFonts w:eastAsia="Arial Unicode MS"/>
          <w:noProof/>
          <w:lang w:val="en-IE"/>
        </w:rPr>
        <w:t> </w:t>
      </w:r>
      <w:r w:rsidRPr="00DC2D56">
        <w:rPr>
          <w:rFonts w:eastAsia="Arial Unicode MS"/>
          <w:noProof/>
          <w:lang w:val="en-IE"/>
        </w:rPr>
        <w:t>March</w:t>
      </w:r>
      <w:r w:rsidR="00DC5860">
        <w:rPr>
          <w:rFonts w:eastAsia="Arial Unicode MS"/>
          <w:noProof/>
          <w:lang w:val="en-IE"/>
        </w:rPr>
        <w:t> </w:t>
      </w:r>
      <w:r w:rsidRPr="00DC2D56">
        <w:rPr>
          <w:rFonts w:eastAsia="Arial Unicode MS"/>
          <w:noProof/>
          <w:lang w:val="en-IE"/>
        </w:rPr>
        <w:t>2024</w:t>
      </w:r>
      <w:r w:rsidR="00AB76DD">
        <w:rPr>
          <w:rFonts w:eastAsia="Arial Unicode MS"/>
          <w:noProof/>
          <w:lang w:val="en-IE"/>
        </w:rPr>
        <w:t>.</w:t>
      </w:r>
      <w:r w:rsidR="00ED78F7" w:rsidRPr="00DC2D56">
        <w:rPr>
          <w:rFonts w:eastAsia="Arial Unicode MS"/>
          <w:noProof/>
          <w:lang w:val="en-IE"/>
        </w:rPr>
        <w:t xml:space="preserve"> </w:t>
      </w:r>
      <w:r w:rsidR="00AB76DD">
        <w:rPr>
          <w:rFonts w:eastAsia="Arial Unicode MS"/>
          <w:noProof/>
          <w:lang w:val="en-IE"/>
        </w:rPr>
        <w:t>T</w:t>
      </w:r>
      <w:r w:rsidR="00ED78F7" w:rsidRPr="00DC2D56">
        <w:rPr>
          <w:rFonts w:eastAsia="Arial Unicode MS"/>
          <w:noProof/>
          <w:lang w:val="en-IE"/>
        </w:rPr>
        <w:t xml:space="preserve">he </w:t>
      </w:r>
      <w:r w:rsidR="00AB76DD">
        <w:rPr>
          <w:rFonts w:eastAsia="Arial Unicode MS"/>
          <w:noProof/>
          <w:lang w:val="en-IE"/>
        </w:rPr>
        <w:t xml:space="preserve">option of </w:t>
      </w:r>
      <w:r w:rsidR="00403C1D" w:rsidRPr="00DC2D56">
        <w:rPr>
          <w:rFonts w:eastAsia="Arial Unicode MS"/>
          <w:noProof/>
          <w:lang w:val="en-IE"/>
        </w:rPr>
        <w:t>apply</w:t>
      </w:r>
      <w:r w:rsidR="00AB76DD">
        <w:rPr>
          <w:rFonts w:eastAsia="Arial Unicode MS"/>
          <w:noProof/>
          <w:lang w:val="en-IE"/>
        </w:rPr>
        <w:t>ing</w:t>
      </w:r>
      <w:r w:rsidR="008A1D71" w:rsidRPr="00DC2D56">
        <w:rPr>
          <w:rFonts w:eastAsia="Arial Unicode MS"/>
          <w:noProof/>
          <w:lang w:val="en-IE"/>
        </w:rPr>
        <w:t xml:space="preserve"> </w:t>
      </w:r>
      <w:r w:rsidR="002958DB">
        <w:rPr>
          <w:rFonts w:eastAsia="Arial Unicode MS"/>
          <w:noProof/>
          <w:lang w:val="en-IE"/>
        </w:rPr>
        <w:t>significantly</w:t>
      </w:r>
      <w:r w:rsidR="002958DB" w:rsidRPr="00DC2D56">
        <w:rPr>
          <w:rFonts w:eastAsia="Arial Unicode MS"/>
          <w:noProof/>
          <w:lang w:val="en-IE"/>
        </w:rPr>
        <w:t xml:space="preserve"> </w:t>
      </w:r>
      <w:r w:rsidR="008A1D71" w:rsidRPr="00DC2D56">
        <w:rPr>
          <w:rFonts w:eastAsia="Arial Unicode MS"/>
          <w:noProof/>
          <w:lang w:val="en-IE"/>
        </w:rPr>
        <w:t xml:space="preserve">reduced rates </w:t>
      </w:r>
      <w:r w:rsidR="00AB76DD">
        <w:rPr>
          <w:rFonts w:eastAsia="Arial Unicode MS"/>
          <w:noProof/>
          <w:lang w:val="en-IE"/>
        </w:rPr>
        <w:t xml:space="preserve">to </w:t>
      </w:r>
      <w:r w:rsidR="00AB76DD" w:rsidRPr="00DC2D56">
        <w:rPr>
          <w:rFonts w:eastAsia="Arial Unicode MS"/>
          <w:noProof/>
          <w:lang w:val="en-IE"/>
        </w:rPr>
        <w:t>zero</w:t>
      </w:r>
      <w:r w:rsidR="00AB76DD">
        <w:rPr>
          <w:rFonts w:eastAsia="Arial Unicode MS"/>
          <w:noProof/>
          <w:lang w:val="en-IE"/>
        </w:rPr>
        <w:t>-</w:t>
      </w:r>
      <w:r w:rsidR="00AB76DD" w:rsidRPr="00DC2D56">
        <w:rPr>
          <w:rFonts w:eastAsia="Arial Unicode MS"/>
          <w:noProof/>
          <w:lang w:val="en-IE"/>
        </w:rPr>
        <w:t xml:space="preserve">emission vehicles </w:t>
      </w:r>
      <w:r w:rsidR="008A1D71" w:rsidRPr="00DC2D56">
        <w:rPr>
          <w:rFonts w:eastAsia="Arial Unicode MS"/>
          <w:noProof/>
          <w:lang w:val="en-IE"/>
        </w:rPr>
        <w:t>or</w:t>
      </w:r>
      <w:r w:rsidR="00403C1D" w:rsidRPr="00DC2D56">
        <w:rPr>
          <w:rFonts w:eastAsia="Arial Unicode MS"/>
          <w:noProof/>
          <w:lang w:val="en-IE"/>
        </w:rPr>
        <w:t xml:space="preserve"> </w:t>
      </w:r>
      <w:r w:rsidR="00822AD7" w:rsidRPr="00DC2D56">
        <w:rPr>
          <w:rFonts w:eastAsia="Arial Unicode MS"/>
          <w:noProof/>
          <w:lang w:val="en-IE"/>
        </w:rPr>
        <w:t>exempti</w:t>
      </w:r>
      <w:r w:rsidR="00AB76DD">
        <w:rPr>
          <w:rFonts w:eastAsia="Arial Unicode MS"/>
          <w:noProof/>
          <w:lang w:val="en-IE"/>
        </w:rPr>
        <w:t>ng</w:t>
      </w:r>
      <w:r w:rsidR="00403C1D" w:rsidRPr="00DC2D56">
        <w:rPr>
          <w:rFonts w:eastAsia="Arial Unicode MS"/>
          <w:noProof/>
          <w:lang w:val="en-IE"/>
        </w:rPr>
        <w:t xml:space="preserve"> </w:t>
      </w:r>
      <w:r w:rsidR="00AB76DD">
        <w:rPr>
          <w:rFonts w:eastAsia="Arial Unicode MS"/>
          <w:noProof/>
          <w:lang w:val="en-IE"/>
        </w:rPr>
        <w:t xml:space="preserve">them </w:t>
      </w:r>
      <w:r w:rsidR="00403C1D" w:rsidRPr="00DC2D56">
        <w:rPr>
          <w:rFonts w:eastAsia="Arial Unicode MS"/>
          <w:noProof/>
          <w:lang w:val="en-IE"/>
        </w:rPr>
        <w:t>from</w:t>
      </w:r>
      <w:r w:rsidR="00822AD7" w:rsidRPr="00DC2D56">
        <w:rPr>
          <w:rFonts w:eastAsia="Arial Unicode MS"/>
          <w:noProof/>
          <w:lang w:val="en-IE"/>
        </w:rPr>
        <w:t xml:space="preserve"> infrastructure or user charges</w:t>
      </w:r>
      <w:r w:rsidR="00403C1D" w:rsidRPr="00DC2D56">
        <w:rPr>
          <w:rFonts w:eastAsia="Arial Unicode MS"/>
          <w:noProof/>
          <w:lang w:val="en-IE"/>
        </w:rPr>
        <w:t xml:space="preserve"> </w:t>
      </w:r>
      <w:r w:rsidR="00822AD7" w:rsidRPr="00DC2D56">
        <w:rPr>
          <w:rFonts w:eastAsia="Arial Unicode MS"/>
          <w:noProof/>
          <w:lang w:val="en-IE"/>
        </w:rPr>
        <w:t xml:space="preserve">is </w:t>
      </w:r>
      <w:r w:rsidR="00AB76DD">
        <w:rPr>
          <w:rFonts w:eastAsia="Arial Unicode MS"/>
          <w:noProof/>
          <w:lang w:val="en-IE"/>
        </w:rPr>
        <w:t xml:space="preserve">due </w:t>
      </w:r>
      <w:r w:rsidR="00822AD7" w:rsidRPr="00DC2D56">
        <w:rPr>
          <w:rFonts w:eastAsia="Arial Unicode MS"/>
          <w:noProof/>
          <w:lang w:val="en-IE"/>
        </w:rPr>
        <w:t>to end on 31</w:t>
      </w:r>
      <w:r w:rsidR="00DC5860">
        <w:rPr>
          <w:rFonts w:eastAsia="Arial Unicode MS"/>
          <w:noProof/>
          <w:lang w:val="en-IE"/>
        </w:rPr>
        <w:t> </w:t>
      </w:r>
      <w:r w:rsidR="00822AD7" w:rsidRPr="00DC2D56">
        <w:rPr>
          <w:rFonts w:eastAsia="Arial Unicode MS"/>
          <w:noProof/>
          <w:lang w:val="en-IE"/>
        </w:rPr>
        <w:t>December</w:t>
      </w:r>
      <w:r w:rsidR="00DC5860">
        <w:rPr>
          <w:rFonts w:eastAsia="Arial Unicode MS"/>
          <w:noProof/>
          <w:lang w:val="en-IE"/>
        </w:rPr>
        <w:t> </w:t>
      </w:r>
      <w:r w:rsidR="00822AD7" w:rsidRPr="00DC2D56">
        <w:rPr>
          <w:rFonts w:eastAsia="Arial Unicode MS"/>
          <w:noProof/>
          <w:lang w:val="en-IE"/>
        </w:rPr>
        <w:t xml:space="preserve">2025. This period is too short </w:t>
      </w:r>
      <w:r w:rsidR="002E569F" w:rsidRPr="00DC2D56">
        <w:rPr>
          <w:rFonts w:eastAsia="Arial Unicode MS"/>
          <w:noProof/>
          <w:lang w:val="en-IE"/>
        </w:rPr>
        <w:t xml:space="preserve">to </w:t>
      </w:r>
      <w:r w:rsidR="00AB76DD">
        <w:rPr>
          <w:rFonts w:eastAsia="Arial Unicode MS"/>
          <w:noProof/>
          <w:lang w:val="en-IE"/>
        </w:rPr>
        <w:t xml:space="preserve">sufficiently incentivise </w:t>
      </w:r>
      <w:r w:rsidR="00FB1237" w:rsidRPr="00DC2D56">
        <w:rPr>
          <w:rFonts w:eastAsia="Arial Unicode MS"/>
          <w:noProof/>
          <w:lang w:val="en-IE"/>
        </w:rPr>
        <w:t xml:space="preserve">demand </w:t>
      </w:r>
      <w:r w:rsidR="00AB76DD">
        <w:rPr>
          <w:rFonts w:eastAsia="Arial Unicode MS"/>
          <w:noProof/>
          <w:lang w:val="en-IE"/>
        </w:rPr>
        <w:t xml:space="preserve">for </w:t>
      </w:r>
      <w:r w:rsidR="00FB1237" w:rsidRPr="00DC2D56">
        <w:rPr>
          <w:rFonts w:eastAsia="Arial Unicode MS"/>
          <w:noProof/>
          <w:lang w:val="en-IE"/>
        </w:rPr>
        <w:t>new zero-emission heavy-duty vehicles</w:t>
      </w:r>
      <w:r w:rsidR="00274330" w:rsidRPr="00DC2D56">
        <w:rPr>
          <w:rFonts w:eastAsia="Arial Unicode MS"/>
          <w:noProof/>
          <w:lang w:val="en-IE"/>
        </w:rPr>
        <w:t>.</w:t>
      </w:r>
    </w:p>
    <w:p w:rsidR="004F4FD0" w:rsidRPr="00DC2D56" w:rsidRDefault="003D61BF" w:rsidP="00D018D6">
      <w:pPr>
        <w:pStyle w:val="Text1"/>
        <w:spacing w:before="0" w:after="240"/>
        <w:ind w:left="0"/>
        <w:rPr>
          <w:rFonts w:eastAsia="Arial Unicode MS"/>
          <w:noProof/>
          <w:lang w:val="en-IE"/>
        </w:rPr>
      </w:pPr>
      <w:r w:rsidRPr="003D61BF">
        <w:rPr>
          <w:rFonts w:eastAsia="Arial Unicode MS"/>
          <w:noProof/>
          <w:lang w:val="en-IE"/>
        </w:rPr>
        <w:t>The Commission therefore proposes</w:t>
      </w:r>
      <w:r>
        <w:rPr>
          <w:rFonts w:eastAsia="Arial Unicode MS"/>
          <w:noProof/>
          <w:lang w:val="en-IE"/>
        </w:rPr>
        <w:t xml:space="preserve"> </w:t>
      </w:r>
      <w:r w:rsidR="0055748C" w:rsidRPr="00DC2D56">
        <w:rPr>
          <w:rFonts w:eastAsia="Arial Unicode MS"/>
          <w:noProof/>
          <w:lang w:val="en-IE"/>
        </w:rPr>
        <w:t xml:space="preserve">to extend </w:t>
      </w:r>
      <w:r w:rsidR="00EB7C7B" w:rsidRPr="00DC2D56">
        <w:rPr>
          <w:rFonts w:eastAsia="Arial Unicode MS"/>
          <w:noProof/>
          <w:lang w:val="en-IE"/>
        </w:rPr>
        <w:t>th</w:t>
      </w:r>
      <w:r w:rsidR="0003103E" w:rsidRPr="00DC2D56">
        <w:rPr>
          <w:rFonts w:eastAsia="Arial Unicode MS"/>
          <w:noProof/>
          <w:lang w:val="en-IE"/>
        </w:rPr>
        <w:t>e applicability of this</w:t>
      </w:r>
      <w:r w:rsidR="00EB7C7B" w:rsidRPr="00DC2D56">
        <w:rPr>
          <w:rFonts w:eastAsia="Arial Unicode MS"/>
          <w:noProof/>
          <w:lang w:val="en-IE"/>
        </w:rPr>
        <w:t xml:space="preserve"> </w:t>
      </w:r>
      <w:r w:rsidR="00B32148" w:rsidRPr="00DC2D56">
        <w:rPr>
          <w:rFonts w:eastAsia="Arial Unicode MS"/>
          <w:noProof/>
          <w:lang w:val="en-IE"/>
        </w:rPr>
        <w:t>exemption</w:t>
      </w:r>
      <w:r w:rsidR="00EB7C7B" w:rsidRPr="00DC2D56">
        <w:rPr>
          <w:rFonts w:eastAsia="Arial Unicode MS"/>
          <w:noProof/>
          <w:lang w:val="en-IE"/>
        </w:rPr>
        <w:t xml:space="preserve">. To support </w:t>
      </w:r>
      <w:r w:rsidR="00AB76DD">
        <w:rPr>
          <w:rFonts w:eastAsia="Arial Unicode MS"/>
          <w:noProof/>
          <w:lang w:val="en-IE"/>
        </w:rPr>
        <w:t>E</w:t>
      </w:r>
      <w:r w:rsidR="00CC3BBB">
        <w:rPr>
          <w:rFonts w:eastAsia="Arial Unicode MS"/>
          <w:noProof/>
          <w:lang w:val="en-IE"/>
        </w:rPr>
        <w:t>uropean</w:t>
      </w:r>
      <w:r w:rsidR="00AB76DD">
        <w:rPr>
          <w:rFonts w:eastAsia="Arial Unicode MS"/>
          <w:noProof/>
          <w:lang w:val="en-IE"/>
        </w:rPr>
        <w:t xml:space="preserve"> </w:t>
      </w:r>
      <w:r w:rsidR="00EB7C7B" w:rsidRPr="00DC2D56">
        <w:rPr>
          <w:rFonts w:eastAsia="Arial Unicode MS"/>
          <w:noProof/>
          <w:lang w:val="en-IE"/>
        </w:rPr>
        <w:t>manufacturers in achieving the</w:t>
      </w:r>
      <w:r w:rsidR="0003103E" w:rsidRPr="00DC2D56">
        <w:rPr>
          <w:rFonts w:eastAsia="Arial Unicode MS"/>
          <w:noProof/>
          <w:lang w:val="en-IE"/>
        </w:rPr>
        <w:t>ir target</w:t>
      </w:r>
      <w:r w:rsidR="00AB76DD">
        <w:rPr>
          <w:rFonts w:eastAsia="Arial Unicode MS"/>
          <w:noProof/>
          <w:lang w:val="en-IE"/>
        </w:rPr>
        <w:t xml:space="preserve"> of</w:t>
      </w:r>
      <w:r w:rsidR="0003103E" w:rsidRPr="00DC2D56">
        <w:rPr>
          <w:rFonts w:eastAsia="Arial Unicode MS"/>
          <w:noProof/>
          <w:lang w:val="en-IE"/>
        </w:rPr>
        <w:t xml:space="preserve"> </w:t>
      </w:r>
      <w:r w:rsidR="00534C0A" w:rsidRPr="00DC2D56">
        <w:rPr>
          <w:rFonts w:eastAsia="Arial Unicode MS"/>
          <w:noProof/>
          <w:lang w:val="en-IE"/>
        </w:rPr>
        <w:t>reduc</w:t>
      </w:r>
      <w:r w:rsidR="00AB76DD">
        <w:rPr>
          <w:rFonts w:eastAsia="Arial Unicode MS"/>
          <w:noProof/>
          <w:lang w:val="en-IE"/>
        </w:rPr>
        <w:t>ing</w:t>
      </w:r>
      <w:r w:rsidR="00534C0A" w:rsidRPr="00DC2D56">
        <w:rPr>
          <w:rFonts w:eastAsia="Arial Unicode MS"/>
          <w:noProof/>
          <w:lang w:val="en-IE"/>
        </w:rPr>
        <w:t xml:space="preserve"> CO</w:t>
      </w:r>
      <w:r w:rsidR="00534C0A" w:rsidRPr="00DC2D56">
        <w:rPr>
          <w:rFonts w:eastAsia="Arial Unicode MS"/>
          <w:noProof/>
          <w:vertAlign w:val="subscript"/>
          <w:lang w:val="en-IE"/>
        </w:rPr>
        <w:t>2</w:t>
      </w:r>
      <w:r w:rsidR="00534C0A" w:rsidRPr="00DC2D56">
        <w:rPr>
          <w:rFonts w:eastAsia="Arial Unicode MS"/>
          <w:noProof/>
          <w:lang w:val="en-IE"/>
        </w:rPr>
        <w:t xml:space="preserve"> emissions </w:t>
      </w:r>
      <w:r w:rsidR="00AB76DD">
        <w:rPr>
          <w:rFonts w:eastAsia="Arial Unicode MS"/>
          <w:noProof/>
          <w:lang w:val="en-IE"/>
        </w:rPr>
        <w:t xml:space="preserve">from </w:t>
      </w:r>
      <w:r w:rsidR="00534C0A" w:rsidRPr="00DC2D56">
        <w:rPr>
          <w:rFonts w:eastAsia="Arial Unicode MS"/>
          <w:noProof/>
          <w:lang w:val="en-IE"/>
        </w:rPr>
        <w:t xml:space="preserve">new </w:t>
      </w:r>
      <w:r w:rsidR="00106634" w:rsidRPr="00DC2D56">
        <w:rPr>
          <w:rFonts w:eastAsia="Arial Unicode MS"/>
          <w:noProof/>
          <w:lang w:val="en-IE"/>
        </w:rPr>
        <w:t xml:space="preserve">heavy-duty </w:t>
      </w:r>
      <w:r w:rsidR="00534C0A" w:rsidRPr="00DC2D56">
        <w:rPr>
          <w:rFonts w:eastAsia="Arial Unicode MS"/>
          <w:noProof/>
          <w:lang w:val="en-IE"/>
        </w:rPr>
        <w:t xml:space="preserve">vehicles </w:t>
      </w:r>
      <w:r w:rsidR="0003103E" w:rsidRPr="00DC2D56">
        <w:rPr>
          <w:rFonts w:eastAsia="Arial Unicode MS"/>
          <w:noProof/>
          <w:lang w:val="en-IE"/>
        </w:rPr>
        <w:t xml:space="preserve">by 43% </w:t>
      </w:r>
      <w:r w:rsidR="00224746" w:rsidRPr="00DC2D56">
        <w:rPr>
          <w:rFonts w:eastAsia="Arial Unicode MS"/>
          <w:noProof/>
          <w:lang w:val="en-IE"/>
        </w:rPr>
        <w:t xml:space="preserve">in </w:t>
      </w:r>
      <w:r w:rsidR="00AB76DD">
        <w:rPr>
          <w:rFonts w:eastAsia="Arial Unicode MS"/>
          <w:noProof/>
          <w:lang w:val="en-IE"/>
        </w:rPr>
        <w:t xml:space="preserve">the 2030 </w:t>
      </w:r>
      <w:r w:rsidR="00224746" w:rsidRPr="00DC2D56">
        <w:rPr>
          <w:rFonts w:eastAsia="Arial Unicode MS"/>
          <w:noProof/>
          <w:lang w:val="en-IE"/>
        </w:rPr>
        <w:t xml:space="preserve">reporting period </w:t>
      </w:r>
      <w:r w:rsidR="00AB76DD">
        <w:rPr>
          <w:rFonts w:eastAsia="Arial Unicode MS"/>
          <w:noProof/>
          <w:lang w:val="en-IE"/>
        </w:rPr>
        <w:t>(</w:t>
      </w:r>
      <w:r w:rsidR="00676CF0" w:rsidRPr="00DC2D56">
        <w:rPr>
          <w:rFonts w:eastAsia="Arial Unicode MS"/>
          <w:noProof/>
          <w:lang w:val="en-IE"/>
        </w:rPr>
        <w:t xml:space="preserve">as laid down in </w:t>
      </w:r>
      <w:r w:rsidR="00FB5AE7" w:rsidRPr="00DC2D56">
        <w:rPr>
          <w:rFonts w:eastAsia="Arial Unicode MS"/>
          <w:noProof/>
          <w:lang w:val="en-IE"/>
        </w:rPr>
        <w:t>Regulation</w:t>
      </w:r>
      <w:r w:rsidR="00FB5AE7">
        <w:rPr>
          <w:rFonts w:eastAsia="Arial Unicode MS"/>
          <w:noProof/>
          <w:lang w:val="en-IE"/>
        </w:rPr>
        <w:t> </w:t>
      </w:r>
      <w:r w:rsidR="00676CF0" w:rsidRPr="00DC2D56">
        <w:rPr>
          <w:rFonts w:eastAsia="Arial Unicode MS"/>
          <w:noProof/>
          <w:lang w:val="en-IE"/>
        </w:rPr>
        <w:t>(EU</w:t>
      </w:r>
      <w:r w:rsidR="00FB5AE7" w:rsidRPr="00DC2D56">
        <w:rPr>
          <w:rFonts w:eastAsia="Arial Unicode MS"/>
          <w:noProof/>
          <w:lang w:val="en-IE"/>
        </w:rPr>
        <w:t>)</w:t>
      </w:r>
      <w:r w:rsidR="00FB5AE7">
        <w:rPr>
          <w:rFonts w:eastAsia="Arial Unicode MS"/>
          <w:noProof/>
          <w:lang w:val="en-IE"/>
        </w:rPr>
        <w:t> </w:t>
      </w:r>
      <w:r w:rsidR="00676CF0" w:rsidRPr="00DC2D56">
        <w:rPr>
          <w:rFonts w:eastAsia="Arial Unicode MS"/>
          <w:noProof/>
          <w:lang w:val="en-IE"/>
        </w:rPr>
        <w:t>2019/1242</w:t>
      </w:r>
      <w:r w:rsidR="00AB76DD">
        <w:rPr>
          <w:rFonts w:eastAsia="Arial Unicode MS"/>
          <w:noProof/>
          <w:lang w:val="en-IE"/>
        </w:rPr>
        <w:t>)</w:t>
      </w:r>
      <w:r w:rsidR="00676CF0" w:rsidRPr="00DC2D56">
        <w:rPr>
          <w:rFonts w:eastAsia="Arial Unicode MS"/>
          <w:noProof/>
          <w:lang w:val="en-IE"/>
        </w:rPr>
        <w:t xml:space="preserve">, </w:t>
      </w:r>
      <w:r>
        <w:rPr>
          <w:rFonts w:eastAsia="Arial Unicode MS"/>
          <w:noProof/>
          <w:lang w:val="en-IE"/>
        </w:rPr>
        <w:t>the</w:t>
      </w:r>
      <w:r w:rsidRPr="003D61BF">
        <w:rPr>
          <w:rFonts w:eastAsia="Arial Unicode MS"/>
          <w:noProof/>
          <w:lang w:val="en-IE"/>
        </w:rPr>
        <w:t xml:space="preserve"> Commission proposes</w:t>
      </w:r>
      <w:r>
        <w:rPr>
          <w:rFonts w:eastAsia="Arial Unicode MS"/>
          <w:noProof/>
          <w:lang w:val="en-IE"/>
        </w:rPr>
        <w:t xml:space="preserve"> </w:t>
      </w:r>
      <w:r w:rsidR="00DF2345" w:rsidRPr="00DC2D56">
        <w:rPr>
          <w:rFonts w:eastAsia="Arial Unicode MS"/>
          <w:noProof/>
          <w:lang w:val="en-IE"/>
        </w:rPr>
        <w:t xml:space="preserve">that the exemption </w:t>
      </w:r>
      <w:r w:rsidR="00AB76DD">
        <w:rPr>
          <w:rFonts w:eastAsia="Arial Unicode MS"/>
          <w:noProof/>
          <w:lang w:val="en-IE"/>
        </w:rPr>
        <w:t xml:space="preserve">should be </w:t>
      </w:r>
      <w:r w:rsidR="00DF2345" w:rsidRPr="00DC2D56">
        <w:rPr>
          <w:rFonts w:eastAsia="Arial Unicode MS"/>
          <w:noProof/>
          <w:lang w:val="en-IE"/>
        </w:rPr>
        <w:t xml:space="preserve">extended </w:t>
      </w:r>
      <w:r w:rsidR="0003103E" w:rsidRPr="00DC2D56">
        <w:rPr>
          <w:rFonts w:eastAsia="Arial Unicode MS"/>
          <w:noProof/>
          <w:lang w:val="en-IE"/>
        </w:rPr>
        <w:t xml:space="preserve">until the end of the </w:t>
      </w:r>
      <w:r w:rsidR="000101F9" w:rsidRPr="00DC2D56">
        <w:rPr>
          <w:rFonts w:eastAsia="Arial Unicode MS"/>
          <w:noProof/>
          <w:lang w:val="en-IE"/>
        </w:rPr>
        <w:t>2030 reporting period</w:t>
      </w:r>
      <w:r w:rsidR="00BE0E83" w:rsidRPr="00DC2D56">
        <w:rPr>
          <w:rFonts w:eastAsia="Arial Unicode MS"/>
          <w:noProof/>
          <w:lang w:val="en-IE"/>
        </w:rPr>
        <w:t xml:space="preserve">, which </w:t>
      </w:r>
      <w:r w:rsidR="00AB76DD">
        <w:rPr>
          <w:rFonts w:eastAsia="Arial Unicode MS"/>
          <w:noProof/>
          <w:lang w:val="en-IE"/>
        </w:rPr>
        <w:t xml:space="preserve">ends </w:t>
      </w:r>
      <w:r w:rsidR="00BE0E83" w:rsidRPr="00DC2D56">
        <w:rPr>
          <w:rFonts w:eastAsia="Arial Unicode MS"/>
          <w:noProof/>
          <w:lang w:val="en-IE"/>
        </w:rPr>
        <w:t xml:space="preserve">on </w:t>
      </w:r>
      <w:r w:rsidR="000101F9" w:rsidRPr="00DC2D56">
        <w:rPr>
          <w:rFonts w:eastAsia="Arial Unicode MS"/>
          <w:noProof/>
          <w:lang w:val="en-IE"/>
        </w:rPr>
        <w:t>30</w:t>
      </w:r>
      <w:r w:rsidR="00DC5860">
        <w:rPr>
          <w:rFonts w:eastAsia="Arial Unicode MS"/>
          <w:noProof/>
          <w:lang w:val="en-IE"/>
        </w:rPr>
        <w:t> </w:t>
      </w:r>
      <w:r w:rsidR="000101F9" w:rsidRPr="00DC2D56">
        <w:rPr>
          <w:rFonts w:eastAsia="Arial Unicode MS"/>
          <w:noProof/>
          <w:lang w:val="en-IE"/>
        </w:rPr>
        <w:t>June</w:t>
      </w:r>
      <w:r w:rsidR="00DC5860">
        <w:rPr>
          <w:rFonts w:eastAsia="Arial Unicode MS"/>
          <w:noProof/>
          <w:lang w:val="en-IE"/>
        </w:rPr>
        <w:t> </w:t>
      </w:r>
      <w:r w:rsidR="000101F9" w:rsidRPr="00DC2D56">
        <w:rPr>
          <w:rFonts w:eastAsia="Arial Unicode MS"/>
          <w:noProof/>
          <w:lang w:val="en-IE"/>
        </w:rPr>
        <w:t>2031.</w:t>
      </w:r>
      <w:r w:rsidR="00BA01C7" w:rsidRPr="00DC2D56">
        <w:rPr>
          <w:rFonts w:eastAsia="Arial Unicode MS"/>
          <w:noProof/>
          <w:lang w:val="en-IE"/>
        </w:rPr>
        <w:t xml:space="preserve"> </w:t>
      </w:r>
      <w:r w:rsidR="006510D6" w:rsidRPr="00DC2D56">
        <w:rPr>
          <w:rFonts w:eastAsia="Arial Unicode MS"/>
          <w:noProof/>
          <w:lang w:val="en-IE"/>
        </w:rPr>
        <w:t>This change</w:t>
      </w:r>
      <w:r w:rsidR="00AB76DD">
        <w:rPr>
          <w:rFonts w:eastAsia="Arial Unicode MS"/>
          <w:noProof/>
          <w:lang w:val="en-IE"/>
        </w:rPr>
        <w:t xml:space="preserve"> would</w:t>
      </w:r>
      <w:r w:rsidR="006510D6" w:rsidRPr="00DC2D56">
        <w:rPr>
          <w:rFonts w:eastAsia="Arial Unicode MS"/>
          <w:noProof/>
          <w:lang w:val="en-IE"/>
        </w:rPr>
        <w:t xml:space="preserve"> </w:t>
      </w:r>
      <w:r w:rsidR="008A2061" w:rsidRPr="00DC2D56">
        <w:rPr>
          <w:rFonts w:eastAsia="Arial Unicode MS"/>
          <w:noProof/>
          <w:lang w:val="en-IE"/>
        </w:rPr>
        <w:t>ensure</w:t>
      </w:r>
      <w:r w:rsidR="006510D6" w:rsidRPr="00DC2D56">
        <w:rPr>
          <w:rFonts w:eastAsia="Arial Unicode MS"/>
          <w:noProof/>
          <w:lang w:val="en-IE"/>
        </w:rPr>
        <w:t xml:space="preserve"> a coherent legislative framework.</w:t>
      </w:r>
    </w:p>
    <w:p w:rsidR="00946BEB" w:rsidRPr="00DC2D56" w:rsidRDefault="00786FA0" w:rsidP="00676CF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>
        <w:rPr>
          <w:rFonts w:eastAsia="Arial Unicode MS"/>
          <w:noProof/>
          <w:lang w:val="en-IE"/>
        </w:rPr>
        <w:t>T</w:t>
      </w:r>
      <w:r w:rsidR="00BA01C7" w:rsidRPr="00DC2D56">
        <w:rPr>
          <w:rFonts w:eastAsia="Arial Unicode MS"/>
          <w:noProof/>
          <w:lang w:val="en-IE"/>
        </w:rPr>
        <w:t xml:space="preserve">he </w:t>
      </w:r>
      <w:r w:rsidR="00A27B84" w:rsidRPr="00DC2D56">
        <w:rPr>
          <w:rFonts w:eastAsia="Arial Unicode MS"/>
          <w:noProof/>
          <w:lang w:val="en-IE"/>
        </w:rPr>
        <w:t>current</w:t>
      </w:r>
      <w:r w:rsidR="00394302" w:rsidRPr="00DC2D56">
        <w:rPr>
          <w:rFonts w:eastAsia="Arial Unicode MS"/>
          <w:noProof/>
          <w:lang w:val="en-IE"/>
        </w:rPr>
        <w:t xml:space="preserve"> </w:t>
      </w:r>
      <w:r w:rsidR="00A27B84" w:rsidRPr="00DC2D56">
        <w:rPr>
          <w:rFonts w:eastAsia="Arial Unicode MS"/>
          <w:noProof/>
          <w:lang w:val="en-IE"/>
        </w:rPr>
        <w:t xml:space="preserve">exemption </w:t>
      </w:r>
      <w:r w:rsidR="00394302" w:rsidRPr="00DC2D56">
        <w:rPr>
          <w:rFonts w:eastAsia="Arial Unicode MS"/>
          <w:noProof/>
          <w:lang w:val="en-IE"/>
        </w:rPr>
        <w:t xml:space="preserve">is </w:t>
      </w:r>
      <w:r w:rsidR="00EA1EA5">
        <w:rPr>
          <w:rFonts w:eastAsia="Arial Unicode MS"/>
          <w:noProof/>
          <w:lang w:val="en-IE"/>
        </w:rPr>
        <w:t xml:space="preserve">due to end </w:t>
      </w:r>
      <w:r w:rsidR="00394302" w:rsidRPr="00DC2D56">
        <w:rPr>
          <w:rFonts w:eastAsia="Arial Unicode MS"/>
          <w:noProof/>
          <w:lang w:val="en-IE"/>
        </w:rPr>
        <w:t>on 31</w:t>
      </w:r>
      <w:r w:rsidR="00DC5860">
        <w:rPr>
          <w:rFonts w:eastAsia="Arial Unicode MS"/>
          <w:noProof/>
          <w:lang w:val="en-IE"/>
        </w:rPr>
        <w:t> </w:t>
      </w:r>
      <w:r w:rsidR="00394302" w:rsidRPr="00DC2D56">
        <w:rPr>
          <w:rFonts w:eastAsia="Arial Unicode MS"/>
          <w:noProof/>
          <w:lang w:val="en-IE"/>
        </w:rPr>
        <w:t>December</w:t>
      </w:r>
      <w:r w:rsidR="00DC5860">
        <w:rPr>
          <w:rFonts w:eastAsia="Arial Unicode MS"/>
          <w:noProof/>
          <w:lang w:val="en-IE"/>
        </w:rPr>
        <w:t> </w:t>
      </w:r>
      <w:r w:rsidR="00394302" w:rsidRPr="00DC2D56">
        <w:rPr>
          <w:rFonts w:eastAsia="Arial Unicode MS"/>
          <w:noProof/>
          <w:lang w:val="en-IE"/>
        </w:rPr>
        <w:t xml:space="preserve">2025 and </w:t>
      </w:r>
      <w:r w:rsidR="00741CDB" w:rsidRPr="00DC2D56">
        <w:rPr>
          <w:rFonts w:eastAsia="Arial Unicode MS"/>
          <w:noProof/>
          <w:lang w:val="en-IE"/>
        </w:rPr>
        <w:t>national authoritie</w:t>
      </w:r>
      <w:r w:rsidR="00741CDB">
        <w:rPr>
          <w:rFonts w:eastAsia="Arial Unicode MS"/>
          <w:noProof/>
          <w:lang w:val="en-IE"/>
        </w:rPr>
        <w:t xml:space="preserve">s would have to transpose </w:t>
      </w:r>
      <w:r w:rsidR="00394302" w:rsidRPr="00DC2D56">
        <w:rPr>
          <w:rFonts w:eastAsia="Arial Unicode MS"/>
          <w:noProof/>
          <w:lang w:val="en-IE"/>
        </w:rPr>
        <w:t>the provision</w:t>
      </w:r>
      <w:r w:rsidR="00EA1EA5">
        <w:rPr>
          <w:rFonts w:eastAsia="Arial Unicode MS"/>
          <w:noProof/>
          <w:lang w:val="en-IE"/>
        </w:rPr>
        <w:t>s</w:t>
      </w:r>
      <w:r w:rsidR="00394302" w:rsidRPr="00DC2D56">
        <w:rPr>
          <w:rFonts w:eastAsia="Arial Unicode MS"/>
          <w:noProof/>
          <w:lang w:val="en-IE"/>
        </w:rPr>
        <w:t xml:space="preserve"> of th</w:t>
      </w:r>
      <w:r w:rsidR="003D61BF">
        <w:rPr>
          <w:rFonts w:eastAsia="Arial Unicode MS"/>
          <w:noProof/>
          <w:lang w:val="en-IE"/>
        </w:rPr>
        <w:t>e currently proposed</w:t>
      </w:r>
      <w:r w:rsidR="00394302" w:rsidRPr="00DC2D56">
        <w:rPr>
          <w:rFonts w:eastAsia="Arial Unicode MS"/>
          <w:noProof/>
          <w:lang w:val="en-IE"/>
        </w:rPr>
        <w:t xml:space="preserve"> Directive into national law</w:t>
      </w:r>
      <w:r>
        <w:rPr>
          <w:rFonts w:eastAsia="Arial Unicode MS"/>
          <w:noProof/>
          <w:lang w:val="en-IE"/>
        </w:rPr>
        <w:t>.</w:t>
      </w:r>
      <w:r w:rsidR="00131D4B" w:rsidRPr="00DC2D56">
        <w:rPr>
          <w:rFonts w:eastAsia="Arial Unicode MS"/>
          <w:noProof/>
          <w:lang w:val="en-IE"/>
        </w:rPr>
        <w:t xml:space="preserve"> </w:t>
      </w:r>
      <w:r>
        <w:rPr>
          <w:rFonts w:eastAsia="Arial Unicode MS"/>
          <w:noProof/>
          <w:lang w:val="en-IE"/>
        </w:rPr>
        <w:t xml:space="preserve">The </w:t>
      </w:r>
      <w:r w:rsidR="00131D4B" w:rsidRPr="00DC2D56">
        <w:rPr>
          <w:rFonts w:eastAsia="Arial Unicode MS"/>
          <w:noProof/>
          <w:lang w:val="en-IE"/>
        </w:rPr>
        <w:t xml:space="preserve">Commission </w:t>
      </w:r>
      <w:r>
        <w:rPr>
          <w:rFonts w:eastAsia="Arial Unicode MS"/>
          <w:noProof/>
          <w:lang w:val="en-IE"/>
        </w:rPr>
        <w:t xml:space="preserve">is therefore </w:t>
      </w:r>
      <w:r w:rsidR="00131D4B" w:rsidRPr="00DC2D56">
        <w:rPr>
          <w:rFonts w:eastAsia="Arial Unicode MS"/>
          <w:noProof/>
          <w:lang w:val="en-IE"/>
        </w:rPr>
        <w:t>invit</w:t>
      </w:r>
      <w:r>
        <w:rPr>
          <w:rFonts w:eastAsia="Arial Unicode MS"/>
          <w:noProof/>
          <w:lang w:val="en-IE"/>
        </w:rPr>
        <w:t>ing</w:t>
      </w:r>
      <w:r w:rsidR="00131D4B" w:rsidRPr="00DC2D56">
        <w:rPr>
          <w:rFonts w:eastAsia="Arial Unicode MS"/>
          <w:noProof/>
          <w:lang w:val="en-IE"/>
        </w:rPr>
        <w:t xml:space="preserve"> the European Parliament and Council to consider fast-tracking </w:t>
      </w:r>
      <w:r>
        <w:rPr>
          <w:rFonts w:eastAsia="Arial Unicode MS"/>
          <w:noProof/>
          <w:lang w:val="en-IE"/>
        </w:rPr>
        <w:t xml:space="preserve">the adoption of </w:t>
      </w:r>
      <w:r w:rsidR="00131D4B" w:rsidRPr="00DC2D56">
        <w:rPr>
          <w:rFonts w:eastAsia="Arial Unicode MS"/>
          <w:noProof/>
          <w:lang w:val="en-IE"/>
        </w:rPr>
        <w:t xml:space="preserve">this </w:t>
      </w:r>
      <w:r>
        <w:rPr>
          <w:rFonts w:eastAsia="Arial Unicode MS"/>
          <w:noProof/>
          <w:lang w:val="en-IE"/>
        </w:rPr>
        <w:t>proposal</w:t>
      </w:r>
      <w:r w:rsidR="00123D4B" w:rsidRPr="00DC2D56">
        <w:rPr>
          <w:rFonts w:eastAsia="Arial Unicode MS"/>
          <w:noProof/>
          <w:lang w:val="en-IE"/>
        </w:rPr>
        <w:t>.</w:t>
      </w:r>
      <w:r w:rsidR="004F4FD0" w:rsidRPr="00DC2D56">
        <w:rPr>
          <w:rFonts w:eastAsia="Arial Unicode MS"/>
          <w:noProof/>
          <w:lang w:val="en-IE"/>
        </w:rPr>
        <w:t xml:space="preserve"> </w:t>
      </w:r>
    </w:p>
    <w:p w:rsidR="008E70C2" w:rsidRPr="00DC2D56" w:rsidRDefault="008E70C2">
      <w:pPr>
        <w:pStyle w:val="ManualHeading2"/>
        <w:rPr>
          <w:rFonts w:eastAsia="Arial Unicode MS"/>
          <w:noProof/>
          <w:color w:val="000000"/>
          <w:u w:color="000000"/>
          <w:bdr w:val="nil"/>
          <w:lang w:val="en-IE" w:eastAsia="en-GB"/>
        </w:rPr>
      </w:pPr>
      <w:r w:rsidRPr="00DC2D56">
        <w:rPr>
          <w:rFonts w:eastAsia="Arial Unicode MS"/>
          <w:noProof/>
          <w:color w:val="000000"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color w:val="000000"/>
          <w:u w:color="000000"/>
          <w:bdr w:val="nil"/>
          <w:lang w:val="en-IE" w:eastAsia="en-GB"/>
        </w:rPr>
        <w:tab/>
      </w:r>
      <w:r w:rsidRPr="00DC2D56">
        <w:rPr>
          <w:rFonts w:eastAsia="Arial Unicode MS"/>
          <w:noProof/>
          <w:lang w:val="en-IE"/>
        </w:rPr>
        <w:t>Consistency with existing policy provisions in the policy area</w:t>
      </w:r>
    </w:p>
    <w:p w:rsidR="008E70C2" w:rsidRPr="00762A61" w:rsidRDefault="002663A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762A61">
        <w:rPr>
          <w:noProof/>
        </w:rPr>
        <w:t>Th</w:t>
      </w:r>
      <w:r w:rsidR="00E6447C" w:rsidRPr="00762A61">
        <w:rPr>
          <w:noProof/>
        </w:rPr>
        <w:t>is</w:t>
      </w:r>
      <w:r w:rsidRPr="00762A61">
        <w:rPr>
          <w:noProof/>
        </w:rPr>
        <w:t xml:space="preserve"> proposal </w:t>
      </w:r>
      <w:r w:rsidR="00E6447C" w:rsidRPr="00762A61">
        <w:rPr>
          <w:noProof/>
        </w:rPr>
        <w:t xml:space="preserve">would prolong </w:t>
      </w:r>
      <w:r w:rsidRPr="00762A61">
        <w:rPr>
          <w:noProof/>
        </w:rPr>
        <w:t>an existing provision that has been recently i</w:t>
      </w:r>
      <w:r w:rsidR="00676CF0" w:rsidRPr="00762A61">
        <w:rPr>
          <w:noProof/>
        </w:rPr>
        <w:t>ntroduced</w:t>
      </w:r>
      <w:r w:rsidR="00885CBB" w:rsidRPr="00762A61">
        <w:rPr>
          <w:noProof/>
        </w:rPr>
        <w:t xml:space="preserve"> and is therefore </w:t>
      </w:r>
      <w:r w:rsidR="00BA5BAC" w:rsidRPr="00762A61">
        <w:rPr>
          <w:noProof/>
        </w:rPr>
        <w:t xml:space="preserve">consistent with the existing policy framework on road charging. </w:t>
      </w:r>
      <w:r w:rsidR="009C08FA" w:rsidRPr="00762A61">
        <w:rPr>
          <w:noProof/>
        </w:rPr>
        <w:t xml:space="preserve">Where </w:t>
      </w:r>
      <w:r w:rsidR="008C39B5" w:rsidRPr="00762A61">
        <w:rPr>
          <w:noProof/>
        </w:rPr>
        <w:t xml:space="preserve">implemented, this </w:t>
      </w:r>
      <w:r w:rsidR="00C2782A" w:rsidRPr="00762A61">
        <w:rPr>
          <w:noProof/>
        </w:rPr>
        <w:t xml:space="preserve">provision </w:t>
      </w:r>
      <w:r w:rsidR="008C39B5" w:rsidRPr="00762A61">
        <w:rPr>
          <w:noProof/>
        </w:rPr>
        <w:t>had a positive impact</w:t>
      </w:r>
      <w:r w:rsidR="00717128" w:rsidRPr="00762A61">
        <w:rPr>
          <w:noProof/>
        </w:rPr>
        <w:t xml:space="preserve"> on creating a business case for zero-emission vehicles</w:t>
      </w:r>
      <w:r w:rsidR="008C39B5" w:rsidRPr="00762A61">
        <w:rPr>
          <w:noProof/>
        </w:rPr>
        <w:t>.</w:t>
      </w:r>
      <w:r w:rsidR="003707B5" w:rsidRPr="00762A61">
        <w:rPr>
          <w:noProof/>
        </w:rPr>
        <w:t xml:space="preserve"> The exemption from infrastructure or user charges complement</w:t>
      </w:r>
      <w:r w:rsidR="00E6447C" w:rsidRPr="00762A61">
        <w:rPr>
          <w:noProof/>
        </w:rPr>
        <w:t>s</w:t>
      </w:r>
      <w:r w:rsidR="003707B5" w:rsidRPr="00762A61">
        <w:rPr>
          <w:noProof/>
        </w:rPr>
        <w:t xml:space="preserve"> the application of external-cost charges because both measures </w:t>
      </w:r>
      <w:r w:rsidR="006D3828" w:rsidRPr="00762A61">
        <w:rPr>
          <w:noProof/>
        </w:rPr>
        <w:t xml:space="preserve">reduce the </w:t>
      </w:r>
      <w:r w:rsidR="00A0275A" w:rsidRPr="00762A61">
        <w:rPr>
          <w:noProof/>
        </w:rPr>
        <w:t>gap between the</w:t>
      </w:r>
      <w:r w:rsidR="00672254" w:rsidRPr="00762A61">
        <w:rPr>
          <w:noProof/>
        </w:rPr>
        <w:t xml:space="preserve"> operati</w:t>
      </w:r>
      <w:r w:rsidR="00A0275A" w:rsidRPr="00762A61">
        <w:rPr>
          <w:noProof/>
        </w:rPr>
        <w:t>onal</w:t>
      </w:r>
      <w:r w:rsidR="00672254" w:rsidRPr="00762A61">
        <w:rPr>
          <w:noProof/>
        </w:rPr>
        <w:t xml:space="preserve"> costs and thus </w:t>
      </w:r>
      <w:r w:rsidR="00A0275A" w:rsidRPr="00762A61">
        <w:rPr>
          <w:noProof/>
        </w:rPr>
        <w:t xml:space="preserve">between the </w:t>
      </w:r>
      <w:r w:rsidR="00E81357" w:rsidRPr="00762A61">
        <w:rPr>
          <w:noProof/>
        </w:rPr>
        <w:t>TCO</w:t>
      </w:r>
      <w:r w:rsidR="00A0275A" w:rsidRPr="00762A61">
        <w:rPr>
          <w:noProof/>
        </w:rPr>
        <w:t>s</w:t>
      </w:r>
      <w:r w:rsidR="00672254" w:rsidRPr="00762A61">
        <w:rPr>
          <w:noProof/>
        </w:rPr>
        <w:t xml:space="preserve"> </w:t>
      </w:r>
      <w:r w:rsidR="00A0275A" w:rsidRPr="00762A61">
        <w:rPr>
          <w:noProof/>
        </w:rPr>
        <w:t xml:space="preserve">of </w:t>
      </w:r>
      <w:r w:rsidR="006D3828" w:rsidRPr="00762A61">
        <w:rPr>
          <w:noProof/>
        </w:rPr>
        <w:t>zero-emission and conventional vehicles.</w:t>
      </w:r>
      <w:r w:rsidR="00B845F3" w:rsidRPr="00762A61">
        <w:rPr>
          <w:noProof/>
        </w:rPr>
        <w:t xml:space="preserve"> Both measures are </w:t>
      </w:r>
      <w:r w:rsidR="00E90B19" w:rsidRPr="00762A61">
        <w:rPr>
          <w:noProof/>
        </w:rPr>
        <w:t xml:space="preserve">therefore </w:t>
      </w:r>
      <w:r w:rsidR="00B845F3" w:rsidRPr="00DC2D56">
        <w:rPr>
          <w:rFonts w:eastAsia="Arial Unicode MS"/>
          <w:noProof/>
          <w:lang w:val="en-IE"/>
        </w:rPr>
        <w:t xml:space="preserve">important </w:t>
      </w:r>
      <w:r w:rsidR="00E6447C">
        <w:rPr>
          <w:rFonts w:eastAsia="Arial Unicode MS"/>
          <w:noProof/>
          <w:lang w:val="en-IE"/>
        </w:rPr>
        <w:t xml:space="preserve">in </w:t>
      </w:r>
      <w:r w:rsidR="00B845F3" w:rsidRPr="00DC2D56">
        <w:rPr>
          <w:noProof/>
          <w:lang w:val="en-IE"/>
        </w:rPr>
        <w:t>strengthen</w:t>
      </w:r>
      <w:r w:rsidR="00E6447C">
        <w:rPr>
          <w:noProof/>
          <w:lang w:val="en-IE"/>
        </w:rPr>
        <w:t>ing</w:t>
      </w:r>
      <w:r w:rsidR="00B845F3" w:rsidRPr="00DC2D56">
        <w:rPr>
          <w:noProof/>
          <w:lang w:val="en-IE"/>
        </w:rPr>
        <w:t xml:space="preserve"> the business case for investment in </w:t>
      </w:r>
      <w:r w:rsidR="00B845F3" w:rsidRPr="00DC2D56">
        <w:rPr>
          <w:rFonts w:eastAsia="Arial Unicode MS"/>
          <w:noProof/>
          <w:lang w:val="en-IE"/>
        </w:rPr>
        <w:t>zero-emission vehicles.</w:t>
      </w:r>
    </w:p>
    <w:p w:rsidR="008E70C2" w:rsidRPr="00DC2D56" w:rsidRDefault="008E70C2">
      <w:pPr>
        <w:pStyle w:val="ManualHeading2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color w:val="000000"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color w:val="000000"/>
          <w:u w:color="000000"/>
          <w:bdr w:val="nil"/>
          <w:lang w:val="en-IE" w:eastAsia="en-GB"/>
        </w:rPr>
        <w:tab/>
      </w:r>
      <w:r w:rsidRPr="00DC2D56">
        <w:rPr>
          <w:rFonts w:eastAsia="Arial Unicode MS"/>
          <w:noProof/>
          <w:lang w:val="en-IE"/>
        </w:rPr>
        <w:t>Consistency with other Union policies</w:t>
      </w:r>
    </w:p>
    <w:p w:rsidR="00A618F9" w:rsidRPr="00762A61" w:rsidRDefault="00F1259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762A61">
        <w:rPr>
          <w:noProof/>
        </w:rPr>
        <w:t>Th</w:t>
      </w:r>
      <w:r w:rsidR="001905BB" w:rsidRPr="00762A61">
        <w:rPr>
          <w:noProof/>
        </w:rPr>
        <w:t xml:space="preserve">is proposal </w:t>
      </w:r>
      <w:r w:rsidR="00714592" w:rsidRPr="00762A61">
        <w:rPr>
          <w:noProof/>
        </w:rPr>
        <w:t>exten</w:t>
      </w:r>
      <w:r w:rsidR="00E6447C" w:rsidRPr="00762A61">
        <w:rPr>
          <w:noProof/>
        </w:rPr>
        <w:t>ds</w:t>
      </w:r>
      <w:r w:rsidR="00714592" w:rsidRPr="00762A61">
        <w:rPr>
          <w:noProof/>
        </w:rPr>
        <w:t xml:space="preserve"> a </w:t>
      </w:r>
      <w:r w:rsidR="00714592" w:rsidRPr="00DC2D56">
        <w:rPr>
          <w:noProof/>
          <w:lang w:val="en-IE"/>
        </w:rPr>
        <w:t>measure on the demand side of the market</w:t>
      </w:r>
      <w:r w:rsidR="00E6447C">
        <w:rPr>
          <w:noProof/>
          <w:lang w:val="en-IE"/>
        </w:rPr>
        <w:t xml:space="preserve"> for</w:t>
      </w:r>
      <w:r w:rsidR="00714592" w:rsidRPr="00DC2D56">
        <w:rPr>
          <w:noProof/>
          <w:lang w:val="en-IE"/>
        </w:rPr>
        <w:t xml:space="preserve"> new heavy-duty vehicles </w:t>
      </w:r>
      <w:r w:rsidR="00E6447C">
        <w:rPr>
          <w:noProof/>
          <w:lang w:val="en-IE"/>
        </w:rPr>
        <w:t xml:space="preserve">in order </w:t>
      </w:r>
      <w:r w:rsidR="00714592" w:rsidRPr="00DC2D56">
        <w:rPr>
          <w:noProof/>
          <w:lang w:val="en-IE"/>
        </w:rPr>
        <w:t>to accelerate their deployment</w:t>
      </w:r>
      <w:r w:rsidR="00D003EC" w:rsidRPr="00762A61">
        <w:rPr>
          <w:noProof/>
        </w:rPr>
        <w:t xml:space="preserve">. </w:t>
      </w:r>
      <w:r w:rsidR="00E6447C" w:rsidRPr="00762A61">
        <w:rPr>
          <w:noProof/>
        </w:rPr>
        <w:t>I</w:t>
      </w:r>
      <w:r w:rsidR="00D003EC" w:rsidRPr="00762A61">
        <w:rPr>
          <w:noProof/>
        </w:rPr>
        <w:t xml:space="preserve">t </w:t>
      </w:r>
      <w:r w:rsidR="00E6447C" w:rsidRPr="00762A61">
        <w:rPr>
          <w:noProof/>
        </w:rPr>
        <w:t xml:space="preserve">therefore </w:t>
      </w:r>
      <w:r w:rsidR="00D003EC" w:rsidRPr="00762A61">
        <w:rPr>
          <w:noProof/>
        </w:rPr>
        <w:t>complements</w:t>
      </w:r>
      <w:r w:rsidR="003070F8" w:rsidRPr="00762A61">
        <w:rPr>
          <w:noProof/>
        </w:rPr>
        <w:t xml:space="preserve"> the</w:t>
      </w:r>
      <w:r w:rsidR="00D003EC" w:rsidRPr="00762A61">
        <w:rPr>
          <w:noProof/>
        </w:rPr>
        <w:t xml:space="preserve"> CO2 emission</w:t>
      </w:r>
      <w:r w:rsidR="00B0300F" w:rsidRPr="00762A61">
        <w:rPr>
          <w:noProof/>
        </w:rPr>
        <w:t xml:space="preserve"> performance</w:t>
      </w:r>
      <w:r w:rsidR="00D003EC" w:rsidRPr="00762A61">
        <w:rPr>
          <w:noProof/>
        </w:rPr>
        <w:t xml:space="preserve"> standards </w:t>
      </w:r>
      <w:r w:rsidR="00E6447C" w:rsidRPr="00762A61">
        <w:rPr>
          <w:noProof/>
        </w:rPr>
        <w:t>of the H</w:t>
      </w:r>
      <w:r w:rsidR="00D003EC" w:rsidRPr="00762A61">
        <w:rPr>
          <w:noProof/>
        </w:rPr>
        <w:t xml:space="preserve">eavy-duty </w:t>
      </w:r>
      <w:r w:rsidR="00E6447C" w:rsidRPr="00762A61">
        <w:rPr>
          <w:noProof/>
        </w:rPr>
        <w:t>V</w:t>
      </w:r>
      <w:r w:rsidR="00D003EC" w:rsidRPr="00762A61">
        <w:rPr>
          <w:noProof/>
        </w:rPr>
        <w:t>ehicles</w:t>
      </w:r>
      <w:r w:rsidR="003070F8" w:rsidRPr="00762A61">
        <w:rPr>
          <w:noProof/>
        </w:rPr>
        <w:t xml:space="preserve"> </w:t>
      </w:r>
      <w:r w:rsidR="003070F8" w:rsidRPr="00DC2D56">
        <w:rPr>
          <w:rFonts w:eastAsia="Arial Unicode MS"/>
          <w:b/>
          <w:bCs/>
          <w:noProof/>
          <w:lang w:val="en-IE"/>
        </w:rPr>
        <w:t>Regulation</w:t>
      </w:r>
      <w:r w:rsidR="00EA37FD">
        <w:rPr>
          <w:noProof/>
          <w:lang w:val="en-IE"/>
        </w:rPr>
        <w:t> </w:t>
      </w:r>
      <w:r w:rsidR="00336E26" w:rsidRPr="00FB5AE7">
        <w:rPr>
          <w:rStyle w:val="FootnoteReference"/>
          <w:rFonts w:eastAsia="Arial Unicode MS"/>
          <w:noProof/>
          <w:lang w:val="en-IE"/>
        </w:rPr>
        <w:footnoteReference w:id="26"/>
      </w:r>
      <w:r w:rsidR="002F57F7" w:rsidRPr="00467AD2">
        <w:rPr>
          <w:noProof/>
        </w:rPr>
        <w:t xml:space="preserve">, </w:t>
      </w:r>
      <w:r w:rsidR="00E6447C" w:rsidRPr="00467AD2">
        <w:rPr>
          <w:noProof/>
        </w:rPr>
        <w:t xml:space="preserve">which </w:t>
      </w:r>
      <w:r w:rsidR="002F57F7" w:rsidRPr="00467AD2">
        <w:rPr>
          <w:noProof/>
        </w:rPr>
        <w:t>act</w:t>
      </w:r>
      <w:r w:rsidR="00336E26" w:rsidRPr="00467AD2">
        <w:rPr>
          <w:noProof/>
        </w:rPr>
        <w:t>s</w:t>
      </w:r>
      <w:r w:rsidR="002F57F7" w:rsidRPr="00467AD2">
        <w:rPr>
          <w:noProof/>
        </w:rPr>
        <w:t xml:space="preserve"> on the</w:t>
      </w:r>
      <w:r w:rsidR="002F57F7" w:rsidRPr="00DC2D56">
        <w:rPr>
          <w:noProof/>
          <w:lang w:val="en-IE"/>
        </w:rPr>
        <w:t xml:space="preserve"> supply side of the market </w:t>
      </w:r>
      <w:r w:rsidR="00E6447C">
        <w:rPr>
          <w:noProof/>
          <w:lang w:val="en-IE"/>
        </w:rPr>
        <w:t>for</w:t>
      </w:r>
      <w:r w:rsidR="00E6447C" w:rsidRPr="00DC2D56">
        <w:rPr>
          <w:noProof/>
          <w:lang w:val="en-IE"/>
        </w:rPr>
        <w:t xml:space="preserve"> </w:t>
      </w:r>
      <w:r w:rsidR="002F57F7" w:rsidRPr="00DC2D56">
        <w:rPr>
          <w:noProof/>
          <w:lang w:val="en-IE"/>
        </w:rPr>
        <w:t xml:space="preserve">new heavy-duty </w:t>
      </w:r>
      <w:r w:rsidR="006D4F99" w:rsidRPr="00DC2D56">
        <w:rPr>
          <w:noProof/>
          <w:lang w:val="en-IE"/>
        </w:rPr>
        <w:t>vehicles,</w:t>
      </w:r>
      <w:r w:rsidR="00D003EC" w:rsidRPr="00762A61">
        <w:rPr>
          <w:noProof/>
        </w:rPr>
        <w:t xml:space="preserve"> </w:t>
      </w:r>
      <w:r w:rsidR="002F57F7" w:rsidRPr="00762A61">
        <w:rPr>
          <w:noProof/>
        </w:rPr>
        <w:t xml:space="preserve">and </w:t>
      </w:r>
      <w:r w:rsidR="00E6447C" w:rsidRPr="00762A61">
        <w:rPr>
          <w:noProof/>
        </w:rPr>
        <w:t xml:space="preserve">which </w:t>
      </w:r>
      <w:r w:rsidR="00567D4E" w:rsidRPr="00762A61">
        <w:rPr>
          <w:noProof/>
        </w:rPr>
        <w:t>set</w:t>
      </w:r>
      <w:r w:rsidR="00336E26" w:rsidRPr="00762A61">
        <w:rPr>
          <w:noProof/>
        </w:rPr>
        <w:t>s</w:t>
      </w:r>
      <w:r w:rsidR="00567D4E" w:rsidRPr="00762A61">
        <w:rPr>
          <w:noProof/>
        </w:rPr>
        <w:t xml:space="preserve"> out a 43% CO2 reduction target </w:t>
      </w:r>
      <w:r w:rsidR="00E6447C" w:rsidRPr="00762A61">
        <w:rPr>
          <w:noProof/>
        </w:rPr>
        <w:t>for</w:t>
      </w:r>
      <w:r w:rsidR="00567D4E" w:rsidRPr="00762A61">
        <w:rPr>
          <w:noProof/>
        </w:rPr>
        <w:t xml:space="preserve"> manufacturers by 2030</w:t>
      </w:r>
      <w:r w:rsidR="008522C5" w:rsidRPr="00762A61">
        <w:rPr>
          <w:noProof/>
        </w:rPr>
        <w:t xml:space="preserve"> </w:t>
      </w:r>
      <w:r w:rsidR="00E6447C" w:rsidRPr="00762A61">
        <w:rPr>
          <w:noProof/>
        </w:rPr>
        <w:t>(</w:t>
      </w:r>
      <w:r w:rsidR="008522C5" w:rsidRPr="00762A61">
        <w:rPr>
          <w:noProof/>
        </w:rPr>
        <w:t>and subsequent higher targets until 2040</w:t>
      </w:r>
      <w:r w:rsidR="00E6447C" w:rsidRPr="00762A61">
        <w:rPr>
          <w:noProof/>
        </w:rPr>
        <w:t>)</w:t>
      </w:r>
      <w:r w:rsidR="00567D4E" w:rsidRPr="00762A61">
        <w:rPr>
          <w:noProof/>
        </w:rPr>
        <w:t xml:space="preserve">. </w:t>
      </w:r>
      <w:r w:rsidR="00EE09A0" w:rsidRPr="00762A61">
        <w:rPr>
          <w:noProof/>
        </w:rPr>
        <w:t>Manufacturers can achieve the targets by</w:t>
      </w:r>
      <w:r w:rsidR="005C1CC2" w:rsidRPr="00762A61">
        <w:rPr>
          <w:noProof/>
        </w:rPr>
        <w:t xml:space="preserve"> </w:t>
      </w:r>
      <w:r w:rsidR="00500301" w:rsidRPr="00762A61">
        <w:rPr>
          <w:noProof/>
        </w:rPr>
        <w:t>(i) </w:t>
      </w:r>
      <w:r w:rsidR="009268AD" w:rsidRPr="00762A61">
        <w:rPr>
          <w:noProof/>
        </w:rPr>
        <w:t xml:space="preserve">improving the efficiency of </w:t>
      </w:r>
      <w:r w:rsidR="00B149E6" w:rsidRPr="00762A61">
        <w:rPr>
          <w:noProof/>
        </w:rPr>
        <w:t xml:space="preserve">conventional </w:t>
      </w:r>
      <w:r w:rsidR="009268AD" w:rsidRPr="00762A61">
        <w:rPr>
          <w:noProof/>
        </w:rPr>
        <w:t>vehicles</w:t>
      </w:r>
      <w:r w:rsidR="00500301" w:rsidRPr="00762A61">
        <w:rPr>
          <w:noProof/>
        </w:rPr>
        <w:t>; and/or (ii) </w:t>
      </w:r>
      <w:r w:rsidR="00396DDD" w:rsidRPr="00762A61">
        <w:rPr>
          <w:noProof/>
        </w:rPr>
        <w:t>increasing the number of zero-emission vehicles</w:t>
      </w:r>
      <w:r w:rsidR="001A4205" w:rsidRPr="00762A61">
        <w:rPr>
          <w:noProof/>
        </w:rPr>
        <w:t xml:space="preserve"> that they put on the market</w:t>
      </w:r>
      <w:r w:rsidR="00396DDD" w:rsidRPr="00762A61">
        <w:rPr>
          <w:noProof/>
        </w:rPr>
        <w:t xml:space="preserve">. This proposal </w:t>
      </w:r>
      <w:r w:rsidR="00500301" w:rsidRPr="00762A61">
        <w:rPr>
          <w:noProof/>
        </w:rPr>
        <w:t xml:space="preserve">helps </w:t>
      </w:r>
      <w:r w:rsidR="00EE09A0" w:rsidRPr="00762A61">
        <w:rPr>
          <w:noProof/>
        </w:rPr>
        <w:t>manufacturer</w:t>
      </w:r>
      <w:r w:rsidR="00E6174C" w:rsidRPr="00762A61">
        <w:rPr>
          <w:noProof/>
        </w:rPr>
        <w:t>s</w:t>
      </w:r>
      <w:r w:rsidR="00EE09A0" w:rsidRPr="00762A61">
        <w:rPr>
          <w:noProof/>
        </w:rPr>
        <w:t xml:space="preserve"> ramp up the deployment of </w:t>
      </w:r>
      <w:r w:rsidR="005D534C" w:rsidRPr="00762A61">
        <w:rPr>
          <w:noProof/>
        </w:rPr>
        <w:t>zero-emission vehicles</w:t>
      </w:r>
      <w:r w:rsidR="008A1D71" w:rsidRPr="00762A61">
        <w:rPr>
          <w:noProof/>
        </w:rPr>
        <w:t>.</w:t>
      </w:r>
    </w:p>
    <w:p w:rsidR="00F207F3" w:rsidRPr="00DC2D56" w:rsidRDefault="00C95AE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>T</w:t>
      </w:r>
      <w:r w:rsidR="00F31316" w:rsidRPr="00DC2D56">
        <w:rPr>
          <w:rFonts w:eastAsia="Arial Unicode MS"/>
          <w:noProof/>
          <w:lang w:val="en-IE"/>
        </w:rPr>
        <w:t xml:space="preserve">he internalisation of the </w:t>
      </w:r>
      <w:r w:rsidR="007720A2" w:rsidRPr="00DC2D56">
        <w:rPr>
          <w:rFonts w:eastAsia="Arial Unicode MS"/>
          <w:noProof/>
          <w:lang w:val="en-IE"/>
        </w:rPr>
        <w:t xml:space="preserve">cost of </w:t>
      </w:r>
      <w:r w:rsidR="00F31316" w:rsidRPr="00DC2D56">
        <w:rPr>
          <w:rFonts w:eastAsia="Arial Unicode MS"/>
          <w:noProof/>
          <w:lang w:val="en-IE"/>
        </w:rPr>
        <w:t xml:space="preserve">carbon </w:t>
      </w:r>
      <w:r w:rsidR="00EE09A0" w:rsidRPr="00DC2D56">
        <w:rPr>
          <w:rFonts w:eastAsia="Arial Unicode MS"/>
          <w:noProof/>
          <w:lang w:val="en-IE"/>
        </w:rPr>
        <w:t xml:space="preserve">reduces the gap in the </w:t>
      </w:r>
      <w:r w:rsidR="007720A2" w:rsidRPr="00DC2D56">
        <w:rPr>
          <w:rFonts w:eastAsia="Arial Unicode MS"/>
          <w:noProof/>
          <w:lang w:val="en-IE"/>
        </w:rPr>
        <w:t>TCO</w:t>
      </w:r>
      <w:r w:rsidR="00EE09A0" w:rsidRPr="00DC2D56">
        <w:rPr>
          <w:rFonts w:eastAsia="Arial Unicode MS"/>
          <w:noProof/>
          <w:lang w:val="en-IE"/>
        </w:rPr>
        <w:t xml:space="preserve"> between cleaner vehicles and more polluting vehicles by </w:t>
      </w:r>
      <w:r w:rsidR="00F31316" w:rsidRPr="00DC2D56">
        <w:rPr>
          <w:rFonts w:eastAsia="Arial Unicode MS"/>
          <w:noProof/>
          <w:lang w:val="en-IE"/>
        </w:rPr>
        <w:t>increas</w:t>
      </w:r>
      <w:r w:rsidR="00EE09A0" w:rsidRPr="00DC2D56">
        <w:rPr>
          <w:rFonts w:eastAsia="Arial Unicode MS"/>
          <w:noProof/>
          <w:lang w:val="en-IE"/>
        </w:rPr>
        <w:t>ing</w:t>
      </w:r>
      <w:r w:rsidR="00F31316" w:rsidRPr="00DC2D56">
        <w:rPr>
          <w:rFonts w:eastAsia="Arial Unicode MS"/>
          <w:noProof/>
          <w:lang w:val="en-IE"/>
        </w:rPr>
        <w:t xml:space="preserve"> the </w:t>
      </w:r>
      <w:r w:rsidR="004F09CA" w:rsidRPr="00DC2D56">
        <w:rPr>
          <w:rFonts w:eastAsia="Arial Unicode MS"/>
          <w:noProof/>
          <w:lang w:val="en-IE"/>
        </w:rPr>
        <w:t xml:space="preserve">operational costs </w:t>
      </w:r>
      <w:r w:rsidR="00EE09A0" w:rsidRPr="00DC2D56">
        <w:rPr>
          <w:rFonts w:eastAsia="Arial Unicode MS"/>
          <w:noProof/>
          <w:lang w:val="en-IE"/>
        </w:rPr>
        <w:t>of conventional vehicles</w:t>
      </w:r>
      <w:r w:rsidR="00436A6D" w:rsidRPr="00DC2D56">
        <w:rPr>
          <w:rFonts w:eastAsia="Arial Unicode MS"/>
          <w:noProof/>
          <w:lang w:val="en-IE"/>
        </w:rPr>
        <w:t>. Directive</w:t>
      </w:r>
      <w:r w:rsidR="007720A2" w:rsidRPr="00DC2D56">
        <w:rPr>
          <w:rFonts w:eastAsia="Arial Unicode MS"/>
          <w:noProof/>
          <w:lang w:val="en-IE"/>
        </w:rPr>
        <w:t xml:space="preserve"> 1999/62/EC internalis</w:t>
      </w:r>
      <w:r w:rsidR="00500301">
        <w:rPr>
          <w:rFonts w:eastAsia="Arial Unicode MS"/>
          <w:noProof/>
          <w:lang w:val="en-IE"/>
        </w:rPr>
        <w:t>es</w:t>
      </w:r>
      <w:r w:rsidR="007720A2" w:rsidRPr="00DC2D56">
        <w:rPr>
          <w:rFonts w:eastAsia="Arial Unicode MS"/>
          <w:noProof/>
          <w:lang w:val="en-IE"/>
        </w:rPr>
        <w:t xml:space="preserve"> the cost of carbon</w:t>
      </w:r>
      <w:r w:rsidR="00436A6D" w:rsidRPr="00DC2D56">
        <w:rPr>
          <w:rFonts w:eastAsia="Arial Unicode MS"/>
          <w:noProof/>
          <w:lang w:val="en-IE"/>
        </w:rPr>
        <w:t xml:space="preserve"> </w:t>
      </w:r>
      <w:r w:rsidR="00500301">
        <w:rPr>
          <w:rFonts w:eastAsia="Arial Unicode MS"/>
          <w:noProof/>
          <w:lang w:val="en-IE"/>
        </w:rPr>
        <w:t xml:space="preserve">by </w:t>
      </w:r>
      <w:r w:rsidR="00436A6D" w:rsidRPr="00DC2D56">
        <w:rPr>
          <w:rFonts w:eastAsia="Arial Unicode MS"/>
          <w:noProof/>
          <w:lang w:val="en-IE"/>
        </w:rPr>
        <w:t>imposi</w:t>
      </w:r>
      <w:r w:rsidR="00500301">
        <w:rPr>
          <w:rFonts w:eastAsia="Arial Unicode MS"/>
          <w:noProof/>
          <w:lang w:val="en-IE"/>
        </w:rPr>
        <w:t>ng</w:t>
      </w:r>
      <w:r w:rsidR="00436A6D" w:rsidRPr="00DC2D56">
        <w:rPr>
          <w:rFonts w:eastAsia="Arial Unicode MS"/>
          <w:noProof/>
          <w:lang w:val="en-IE"/>
        </w:rPr>
        <w:t xml:space="preserve"> an external-cost charge. From 2027, road transport emissions will also be covered by </w:t>
      </w:r>
      <w:r w:rsidR="00FF7E04" w:rsidRPr="00DC2D56">
        <w:rPr>
          <w:rFonts w:eastAsia="Arial Unicode MS"/>
          <w:noProof/>
          <w:lang w:val="en-IE"/>
        </w:rPr>
        <w:t xml:space="preserve">the emission trading system </w:t>
      </w:r>
      <w:r w:rsidR="00500301">
        <w:rPr>
          <w:rFonts w:eastAsia="Arial Unicode MS"/>
          <w:noProof/>
          <w:lang w:val="en-IE"/>
        </w:rPr>
        <w:t>in</w:t>
      </w:r>
      <w:r w:rsidR="00FF7E04" w:rsidRPr="00DC2D56">
        <w:rPr>
          <w:rFonts w:eastAsia="Arial Unicode MS"/>
          <w:noProof/>
          <w:lang w:val="en-IE"/>
        </w:rPr>
        <w:t xml:space="preserve"> </w:t>
      </w:r>
      <w:r w:rsidR="00FF7E04" w:rsidRPr="00DC2D56">
        <w:rPr>
          <w:rFonts w:eastAsia="Arial Unicode MS"/>
          <w:b/>
          <w:bCs/>
          <w:noProof/>
          <w:lang w:val="en-IE"/>
        </w:rPr>
        <w:t>Directive 2003/87/EC (</w:t>
      </w:r>
      <w:r w:rsidR="00436A6D" w:rsidRPr="00DC2D56">
        <w:rPr>
          <w:rFonts w:eastAsia="Arial Unicode MS"/>
          <w:b/>
          <w:bCs/>
          <w:noProof/>
          <w:lang w:val="en-IE"/>
        </w:rPr>
        <w:t>ETS2</w:t>
      </w:r>
      <w:r w:rsidR="00FF7E04" w:rsidRPr="00DC2D56">
        <w:rPr>
          <w:rFonts w:eastAsia="Arial Unicode MS"/>
          <w:b/>
          <w:bCs/>
          <w:noProof/>
          <w:lang w:val="en-IE"/>
        </w:rPr>
        <w:t>)</w:t>
      </w:r>
      <w:r w:rsidR="00EA37FD">
        <w:rPr>
          <w:noProof/>
          <w:lang w:val="en-IE"/>
        </w:rPr>
        <w:t> </w:t>
      </w:r>
      <w:r w:rsidR="009774B5" w:rsidRPr="00FB5AE7">
        <w:rPr>
          <w:rStyle w:val="FootnoteReference"/>
          <w:rFonts w:eastAsia="Arial Unicode MS"/>
          <w:noProof/>
          <w:lang w:val="en-IE"/>
        </w:rPr>
        <w:footnoteReference w:id="27"/>
      </w:r>
      <w:r w:rsidR="00436A6D" w:rsidRPr="00DC2D56">
        <w:rPr>
          <w:rFonts w:eastAsia="Arial Unicode MS"/>
          <w:noProof/>
          <w:lang w:val="en-IE"/>
        </w:rPr>
        <w:t xml:space="preserve">. The </w:t>
      </w:r>
      <w:r w:rsidR="00B743BA" w:rsidRPr="00DC2D56">
        <w:rPr>
          <w:rFonts w:eastAsia="Arial Unicode MS"/>
          <w:noProof/>
          <w:lang w:val="en-IE"/>
        </w:rPr>
        <w:t>consistency</w:t>
      </w:r>
      <w:r w:rsidR="00436A6D" w:rsidRPr="00DC2D56">
        <w:rPr>
          <w:rFonts w:eastAsia="Arial Unicode MS"/>
          <w:noProof/>
          <w:lang w:val="en-IE"/>
        </w:rPr>
        <w:t xml:space="preserve"> between th</w:t>
      </w:r>
      <w:r w:rsidR="00140434" w:rsidRPr="00DC2D56">
        <w:rPr>
          <w:rFonts w:eastAsia="Arial Unicode MS"/>
          <w:noProof/>
          <w:lang w:val="en-IE"/>
        </w:rPr>
        <w:t xml:space="preserve">ose two measures </w:t>
      </w:r>
      <w:r w:rsidR="00494263">
        <w:rPr>
          <w:rFonts w:eastAsia="Arial Unicode MS"/>
          <w:noProof/>
          <w:lang w:val="en-IE"/>
        </w:rPr>
        <w:t>will be</w:t>
      </w:r>
      <w:r w:rsidR="00494263" w:rsidRPr="00DC2D56">
        <w:rPr>
          <w:rFonts w:eastAsia="Arial Unicode MS"/>
          <w:noProof/>
          <w:lang w:val="en-IE"/>
        </w:rPr>
        <w:t xml:space="preserve"> </w:t>
      </w:r>
      <w:r w:rsidR="00500301">
        <w:rPr>
          <w:rFonts w:eastAsia="Arial Unicode MS"/>
          <w:noProof/>
          <w:lang w:val="en-IE"/>
        </w:rPr>
        <w:t xml:space="preserve">the </w:t>
      </w:r>
      <w:r w:rsidR="00140434" w:rsidRPr="00DC2D56">
        <w:rPr>
          <w:rFonts w:eastAsia="Arial Unicode MS"/>
          <w:noProof/>
          <w:lang w:val="en-IE"/>
        </w:rPr>
        <w:t xml:space="preserve">subject of </w:t>
      </w:r>
      <w:r w:rsidR="00540A2F">
        <w:rPr>
          <w:rFonts w:eastAsia="Arial Unicode MS"/>
          <w:noProof/>
          <w:lang w:val="en-IE"/>
        </w:rPr>
        <w:t xml:space="preserve">a </w:t>
      </w:r>
      <w:r w:rsidR="00192E03">
        <w:rPr>
          <w:rFonts w:eastAsia="Arial Unicode MS"/>
          <w:noProof/>
          <w:lang w:val="en-IE"/>
        </w:rPr>
        <w:t>r</w:t>
      </w:r>
      <w:r w:rsidR="00494263">
        <w:rPr>
          <w:rFonts w:eastAsia="Arial Unicode MS"/>
          <w:noProof/>
          <w:lang w:val="en-IE"/>
        </w:rPr>
        <w:t xml:space="preserve">eport from the Commission </w:t>
      </w:r>
      <w:r w:rsidR="00140434" w:rsidRPr="00DC2D56">
        <w:rPr>
          <w:rFonts w:eastAsia="Arial Unicode MS"/>
          <w:noProof/>
          <w:lang w:val="en-IE"/>
        </w:rPr>
        <w:t>that will be presented by 2027, in accordance with Articles</w:t>
      </w:r>
      <w:r w:rsidR="008D709A">
        <w:rPr>
          <w:rFonts w:eastAsia="Arial Unicode MS"/>
          <w:noProof/>
          <w:lang w:val="en-IE"/>
        </w:rPr>
        <w:t> </w:t>
      </w:r>
      <w:r w:rsidR="00183DAF" w:rsidRPr="00DC2D56">
        <w:rPr>
          <w:rFonts w:eastAsia="Arial Unicode MS"/>
          <w:noProof/>
          <w:lang w:val="en-IE"/>
        </w:rPr>
        <w:t>7cb</w:t>
      </w:r>
      <w:r w:rsidR="00914ADD" w:rsidRPr="00DC2D56">
        <w:rPr>
          <w:rFonts w:eastAsia="Arial Unicode MS"/>
          <w:noProof/>
          <w:lang w:val="en-IE"/>
        </w:rPr>
        <w:t>(</w:t>
      </w:r>
      <w:r w:rsidR="00183DAF" w:rsidRPr="00DC2D56">
        <w:rPr>
          <w:rFonts w:eastAsia="Arial Unicode MS"/>
          <w:noProof/>
          <w:lang w:val="en-IE"/>
        </w:rPr>
        <w:t>4</w:t>
      </w:r>
      <w:r w:rsidR="00914ADD" w:rsidRPr="00DC2D56">
        <w:rPr>
          <w:rFonts w:eastAsia="Arial Unicode MS"/>
          <w:noProof/>
          <w:lang w:val="en-IE"/>
        </w:rPr>
        <w:t>)</w:t>
      </w:r>
      <w:r w:rsidR="00183DAF" w:rsidRPr="00DC2D56">
        <w:rPr>
          <w:rFonts w:eastAsia="Arial Unicode MS"/>
          <w:noProof/>
          <w:lang w:val="en-IE"/>
        </w:rPr>
        <w:t xml:space="preserve"> and </w:t>
      </w:r>
      <w:r w:rsidR="00B743BA" w:rsidRPr="00DC2D56">
        <w:rPr>
          <w:rFonts w:eastAsia="Arial Unicode MS"/>
          <w:noProof/>
          <w:lang w:val="en-IE"/>
        </w:rPr>
        <w:t>7ga</w:t>
      </w:r>
      <w:r w:rsidR="00914ADD" w:rsidRPr="00DC2D56">
        <w:rPr>
          <w:rFonts w:eastAsia="Arial Unicode MS"/>
          <w:noProof/>
          <w:lang w:val="en-IE"/>
        </w:rPr>
        <w:t>(</w:t>
      </w:r>
      <w:r w:rsidR="00B743BA" w:rsidRPr="00DC2D56">
        <w:rPr>
          <w:rFonts w:eastAsia="Arial Unicode MS"/>
          <w:noProof/>
          <w:lang w:val="en-IE"/>
        </w:rPr>
        <w:t>8</w:t>
      </w:r>
      <w:r w:rsidR="00914ADD" w:rsidRPr="00DC2D56">
        <w:rPr>
          <w:rFonts w:eastAsia="Arial Unicode MS"/>
          <w:noProof/>
          <w:lang w:val="en-IE"/>
        </w:rPr>
        <w:t>)</w:t>
      </w:r>
      <w:r w:rsidR="00B743BA" w:rsidRPr="00DC2D56">
        <w:rPr>
          <w:rFonts w:eastAsia="Arial Unicode MS"/>
          <w:noProof/>
          <w:lang w:val="en-IE"/>
        </w:rPr>
        <w:t xml:space="preserve"> of Directive 1999/62/EC. The </w:t>
      </w:r>
      <w:r w:rsidR="0090245B">
        <w:rPr>
          <w:rFonts w:eastAsia="Arial Unicode MS"/>
          <w:noProof/>
          <w:lang w:val="en-IE"/>
        </w:rPr>
        <w:t>assessment</w:t>
      </w:r>
      <w:r w:rsidR="0090245B" w:rsidRPr="00DC2D56">
        <w:rPr>
          <w:rFonts w:eastAsia="Arial Unicode MS"/>
          <w:noProof/>
          <w:lang w:val="en-IE"/>
        </w:rPr>
        <w:t xml:space="preserve"> </w:t>
      </w:r>
      <w:r w:rsidR="00B743BA" w:rsidRPr="00DC2D56">
        <w:rPr>
          <w:rFonts w:eastAsia="Arial Unicode MS"/>
          <w:noProof/>
          <w:lang w:val="en-IE"/>
        </w:rPr>
        <w:t xml:space="preserve">will also address </w:t>
      </w:r>
      <w:r w:rsidR="00BD7D48" w:rsidRPr="00DC2D56">
        <w:rPr>
          <w:rFonts w:eastAsia="Arial Unicode MS"/>
          <w:noProof/>
          <w:lang w:val="en-IE"/>
        </w:rPr>
        <w:t xml:space="preserve">the effect of </w:t>
      </w:r>
      <w:r w:rsidR="00292FF9" w:rsidRPr="00DC2D56">
        <w:rPr>
          <w:rFonts w:eastAsia="Arial Unicode MS"/>
          <w:b/>
          <w:bCs/>
          <w:noProof/>
          <w:lang w:val="en-IE"/>
        </w:rPr>
        <w:t>energy</w:t>
      </w:r>
      <w:r w:rsidR="00BD7D48" w:rsidRPr="00DC2D56">
        <w:rPr>
          <w:rFonts w:eastAsia="Arial Unicode MS"/>
          <w:b/>
          <w:bCs/>
          <w:noProof/>
          <w:lang w:val="en-IE"/>
        </w:rPr>
        <w:t xml:space="preserve"> taxation</w:t>
      </w:r>
      <w:r w:rsidR="003070F8" w:rsidRPr="00DC2D56">
        <w:rPr>
          <w:rFonts w:eastAsia="Arial Unicode MS"/>
          <w:b/>
          <w:bCs/>
          <w:noProof/>
          <w:lang w:val="en-IE"/>
        </w:rPr>
        <w:t xml:space="preserve"> </w:t>
      </w:r>
      <w:r w:rsidR="003070F8" w:rsidRPr="00DC2D56">
        <w:rPr>
          <w:rFonts w:eastAsia="Arial Unicode MS"/>
          <w:noProof/>
          <w:lang w:val="en-IE"/>
        </w:rPr>
        <w:t>on carbon pricing</w:t>
      </w:r>
      <w:r w:rsidR="00EE09A0" w:rsidRPr="00DC2D56">
        <w:rPr>
          <w:rFonts w:eastAsia="Arial Unicode MS"/>
          <w:noProof/>
          <w:lang w:val="en-IE"/>
        </w:rPr>
        <w:t xml:space="preserve">, as regulated under </w:t>
      </w:r>
      <w:r w:rsidR="00EE09A0" w:rsidRPr="00DC2D56">
        <w:rPr>
          <w:rFonts w:eastAsia="Arial Unicode MS"/>
          <w:b/>
          <w:bCs/>
          <w:noProof/>
          <w:lang w:val="en-IE"/>
        </w:rPr>
        <w:t>Council Directive 2003/96/EC</w:t>
      </w:r>
      <w:r w:rsidR="00EA37FD">
        <w:rPr>
          <w:noProof/>
          <w:lang w:val="en-IE"/>
        </w:rPr>
        <w:t> </w:t>
      </w:r>
      <w:r w:rsidR="00471E74" w:rsidRPr="00FB5AE7">
        <w:rPr>
          <w:rStyle w:val="FootnoteReference"/>
          <w:rFonts w:eastAsia="Arial Unicode MS"/>
          <w:noProof/>
          <w:lang w:val="en-IE"/>
        </w:rPr>
        <w:footnoteReference w:id="28"/>
      </w:r>
      <w:r w:rsidR="00BD7D48" w:rsidRPr="00DC2D56">
        <w:rPr>
          <w:rFonts w:eastAsia="Arial Unicode MS"/>
          <w:noProof/>
          <w:lang w:val="en-IE"/>
        </w:rPr>
        <w:t>.</w:t>
      </w:r>
    </w:p>
    <w:p w:rsidR="007E13DC" w:rsidRPr="00DC2D56" w:rsidRDefault="00E45D6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>R</w:t>
      </w:r>
      <w:r w:rsidR="00293956" w:rsidRPr="00DC2D56">
        <w:rPr>
          <w:rFonts w:eastAsia="Arial Unicode MS"/>
          <w:noProof/>
          <w:lang w:val="en-IE"/>
        </w:rPr>
        <w:t>echarging infrastructure is a</w:t>
      </w:r>
      <w:r w:rsidR="00285517">
        <w:rPr>
          <w:rFonts w:eastAsia="Arial Unicode MS"/>
          <w:noProof/>
          <w:lang w:val="en-IE"/>
        </w:rPr>
        <w:t>n</w:t>
      </w:r>
      <w:r w:rsidR="00293956" w:rsidRPr="00DC2D56">
        <w:rPr>
          <w:rFonts w:eastAsia="Arial Unicode MS"/>
          <w:noProof/>
          <w:lang w:val="en-IE"/>
        </w:rPr>
        <w:t xml:space="preserve"> enabling condition for the </w:t>
      </w:r>
      <w:r w:rsidR="00285517">
        <w:rPr>
          <w:rFonts w:eastAsia="Arial Unicode MS"/>
          <w:noProof/>
          <w:lang w:val="en-IE"/>
        </w:rPr>
        <w:t xml:space="preserve">faster </w:t>
      </w:r>
      <w:r w:rsidR="00293956" w:rsidRPr="00DC2D56">
        <w:rPr>
          <w:rFonts w:eastAsia="Arial Unicode MS"/>
          <w:noProof/>
          <w:lang w:val="en-IE"/>
        </w:rPr>
        <w:t xml:space="preserve">deployment of zero-emission heavy-duty vehicles. </w:t>
      </w:r>
      <w:r w:rsidR="00BA507C" w:rsidRPr="00DC2D56">
        <w:rPr>
          <w:rFonts w:eastAsia="Arial Unicode MS"/>
          <w:noProof/>
          <w:lang w:val="en-IE"/>
        </w:rPr>
        <w:t xml:space="preserve">The recently revised </w:t>
      </w:r>
      <w:r w:rsidR="00BA507C" w:rsidRPr="00DC2D56">
        <w:rPr>
          <w:rFonts w:eastAsia="Arial Unicode MS"/>
          <w:b/>
          <w:bCs/>
          <w:noProof/>
          <w:lang w:val="en-IE"/>
        </w:rPr>
        <w:t>TEN-T</w:t>
      </w:r>
      <w:r w:rsidR="00D406B7" w:rsidRPr="00DC2D56">
        <w:rPr>
          <w:rFonts w:eastAsia="Arial Unicode MS"/>
          <w:b/>
          <w:bCs/>
          <w:noProof/>
          <w:lang w:val="en-IE"/>
        </w:rPr>
        <w:t xml:space="preserve"> Regulation</w:t>
      </w:r>
      <w:r w:rsidR="00EA37FD">
        <w:rPr>
          <w:noProof/>
          <w:lang w:val="en-IE"/>
        </w:rPr>
        <w:t> </w:t>
      </w:r>
      <w:r w:rsidR="00793D07" w:rsidRPr="00192E03">
        <w:rPr>
          <w:rStyle w:val="FootnoteReference"/>
          <w:rFonts w:eastAsia="Arial Unicode MS"/>
          <w:noProof/>
          <w:lang w:val="en-IE"/>
        </w:rPr>
        <w:footnoteReference w:id="29"/>
      </w:r>
      <w:r w:rsidR="00BA507C" w:rsidRPr="00DC2D56">
        <w:rPr>
          <w:rFonts w:eastAsia="Arial Unicode MS"/>
          <w:noProof/>
          <w:lang w:val="en-IE"/>
        </w:rPr>
        <w:t xml:space="preserve"> </w:t>
      </w:r>
      <w:r w:rsidR="00F95B5D" w:rsidRPr="00DC2D56">
        <w:rPr>
          <w:rFonts w:eastAsia="Arial Unicode MS"/>
          <w:noProof/>
          <w:lang w:val="en-IE"/>
        </w:rPr>
        <w:t xml:space="preserve">and the </w:t>
      </w:r>
      <w:r w:rsidR="00292FF9" w:rsidRPr="00DC2D56">
        <w:rPr>
          <w:rFonts w:eastAsia="Arial Unicode MS"/>
          <w:b/>
          <w:bCs/>
          <w:noProof/>
          <w:lang w:val="en-IE"/>
        </w:rPr>
        <w:t>Alternative Fuel</w:t>
      </w:r>
      <w:r w:rsidR="00711E3E">
        <w:rPr>
          <w:rFonts w:eastAsia="Arial Unicode MS"/>
          <w:b/>
          <w:bCs/>
          <w:noProof/>
          <w:lang w:val="en-IE"/>
        </w:rPr>
        <w:t>s</w:t>
      </w:r>
      <w:r w:rsidR="00292FF9" w:rsidRPr="00DC2D56">
        <w:rPr>
          <w:rFonts w:eastAsia="Arial Unicode MS"/>
          <w:b/>
          <w:bCs/>
          <w:noProof/>
          <w:lang w:val="en-IE"/>
        </w:rPr>
        <w:t xml:space="preserve"> Infrastructure Regulation</w:t>
      </w:r>
      <w:r w:rsidR="00EA37FD">
        <w:rPr>
          <w:noProof/>
          <w:lang w:val="en-IE"/>
        </w:rPr>
        <w:t> </w:t>
      </w:r>
      <w:r w:rsidR="00793D07" w:rsidRPr="00192E03">
        <w:rPr>
          <w:rStyle w:val="FootnoteReference"/>
          <w:rFonts w:eastAsia="Arial Unicode MS"/>
          <w:noProof/>
          <w:lang w:val="en-IE"/>
        </w:rPr>
        <w:footnoteReference w:id="30"/>
      </w:r>
      <w:r w:rsidR="00F95B5D" w:rsidRPr="00DC2D56">
        <w:rPr>
          <w:rFonts w:eastAsia="Arial Unicode MS"/>
          <w:noProof/>
          <w:lang w:val="en-IE"/>
        </w:rPr>
        <w:t xml:space="preserve"> set targets for the deployment of </w:t>
      </w:r>
      <w:r w:rsidR="00F04E6F" w:rsidRPr="00DC2D56">
        <w:rPr>
          <w:rFonts w:eastAsia="Arial Unicode MS"/>
          <w:noProof/>
          <w:lang w:val="en-IE"/>
        </w:rPr>
        <w:t xml:space="preserve">recharging and </w:t>
      </w:r>
      <w:r w:rsidR="00FC1408" w:rsidRPr="00DC2D56">
        <w:rPr>
          <w:rFonts w:eastAsia="Arial Unicode MS"/>
          <w:noProof/>
          <w:lang w:val="en-IE"/>
        </w:rPr>
        <w:t xml:space="preserve">hydrogen </w:t>
      </w:r>
      <w:r w:rsidR="00F04E6F" w:rsidRPr="00DC2D56">
        <w:rPr>
          <w:rFonts w:eastAsia="Arial Unicode MS"/>
          <w:noProof/>
          <w:lang w:val="en-IE"/>
        </w:rPr>
        <w:t>refuelling stations</w:t>
      </w:r>
      <w:r w:rsidR="00D711F1" w:rsidRPr="00DC2D56">
        <w:rPr>
          <w:rFonts w:eastAsia="Arial Unicode MS"/>
          <w:noProof/>
          <w:lang w:val="en-IE"/>
        </w:rPr>
        <w:t xml:space="preserve">, including specific targets for heavy-duty </w:t>
      </w:r>
      <w:r w:rsidR="00094E84" w:rsidRPr="00DC2D56">
        <w:rPr>
          <w:rFonts w:eastAsia="Arial Unicode MS"/>
          <w:noProof/>
          <w:lang w:val="en-IE"/>
        </w:rPr>
        <w:t>transport</w:t>
      </w:r>
      <w:r w:rsidR="00F04E6F" w:rsidRPr="00DC2D56">
        <w:rPr>
          <w:rFonts w:eastAsia="Arial Unicode MS"/>
          <w:noProof/>
          <w:lang w:val="en-IE"/>
        </w:rPr>
        <w:t xml:space="preserve">. </w:t>
      </w:r>
      <w:r w:rsidR="00711E3E">
        <w:rPr>
          <w:rFonts w:eastAsia="Arial Unicode MS"/>
          <w:noProof/>
          <w:lang w:val="en-IE"/>
        </w:rPr>
        <w:t xml:space="preserve">Furthermore, </w:t>
      </w:r>
      <w:r w:rsidR="00F0408A">
        <w:rPr>
          <w:rFonts w:eastAsia="Arial Unicode MS"/>
          <w:noProof/>
          <w:lang w:val="en-IE"/>
        </w:rPr>
        <w:t>t</w:t>
      </w:r>
      <w:r w:rsidR="00F04E6F" w:rsidRPr="00DC2D56">
        <w:rPr>
          <w:rFonts w:eastAsia="Arial Unicode MS"/>
          <w:noProof/>
          <w:lang w:val="en-IE"/>
        </w:rPr>
        <w:t xml:space="preserve">he </w:t>
      </w:r>
      <w:r w:rsidR="004C7E0C">
        <w:rPr>
          <w:rFonts w:eastAsia="Arial Unicode MS"/>
          <w:noProof/>
          <w:lang w:val="en-IE"/>
        </w:rPr>
        <w:t>i</w:t>
      </w:r>
      <w:r w:rsidR="00E0758C" w:rsidRPr="00DC2D56">
        <w:rPr>
          <w:rFonts w:eastAsia="Arial Unicode MS"/>
          <w:noProof/>
          <w:lang w:val="en-IE"/>
        </w:rPr>
        <w:t xml:space="preserve">ndustrial </w:t>
      </w:r>
      <w:r w:rsidR="004C7E0C">
        <w:rPr>
          <w:rFonts w:eastAsia="Arial Unicode MS"/>
          <w:noProof/>
          <w:lang w:val="en-IE"/>
        </w:rPr>
        <w:t>a</w:t>
      </w:r>
      <w:r w:rsidR="00F04E6F" w:rsidRPr="00DC2D56">
        <w:rPr>
          <w:rFonts w:eastAsia="Arial Unicode MS"/>
          <w:noProof/>
          <w:lang w:val="en-IE"/>
        </w:rPr>
        <w:t xml:space="preserve">ction </w:t>
      </w:r>
      <w:r w:rsidR="004C7E0C">
        <w:rPr>
          <w:rFonts w:eastAsia="Arial Unicode MS"/>
          <w:noProof/>
          <w:lang w:val="en-IE"/>
        </w:rPr>
        <w:t>p</w:t>
      </w:r>
      <w:r w:rsidR="00F04E6F" w:rsidRPr="00DC2D56">
        <w:rPr>
          <w:rFonts w:eastAsia="Arial Unicode MS"/>
          <w:noProof/>
          <w:lang w:val="en-IE"/>
        </w:rPr>
        <w:t xml:space="preserve">lan for the </w:t>
      </w:r>
      <w:r w:rsidR="004C7E0C">
        <w:rPr>
          <w:rFonts w:eastAsia="Arial Unicode MS"/>
          <w:noProof/>
          <w:lang w:val="en-IE"/>
        </w:rPr>
        <w:t xml:space="preserve">EU’s </w:t>
      </w:r>
      <w:r w:rsidR="00F04E6F" w:rsidRPr="00DC2D56">
        <w:rPr>
          <w:rFonts w:eastAsia="Arial Unicode MS"/>
          <w:noProof/>
          <w:lang w:val="en-IE"/>
        </w:rPr>
        <w:t xml:space="preserve">automotive sector </w:t>
      </w:r>
      <w:r w:rsidR="004C7E0C">
        <w:rPr>
          <w:rFonts w:eastAsia="Arial Unicode MS"/>
          <w:noProof/>
          <w:lang w:val="en-IE"/>
        </w:rPr>
        <w:t xml:space="preserve">stated </w:t>
      </w:r>
      <w:r w:rsidR="00502240" w:rsidRPr="00DC2D56">
        <w:rPr>
          <w:rFonts w:eastAsia="Arial Unicode MS"/>
          <w:noProof/>
          <w:lang w:val="en-IE"/>
        </w:rPr>
        <w:t xml:space="preserve">that the Commission will work on </w:t>
      </w:r>
      <w:r w:rsidR="00502240" w:rsidRPr="00DC2D56">
        <w:rPr>
          <w:rFonts w:eastAsia="Arial Unicode MS"/>
          <w:b/>
          <w:bCs/>
          <w:noProof/>
          <w:lang w:val="en-IE"/>
        </w:rPr>
        <w:t>European Clean Transport Corridors</w:t>
      </w:r>
      <w:r w:rsidR="00502240" w:rsidRPr="00DC2D56">
        <w:rPr>
          <w:rFonts w:eastAsia="Arial Unicode MS"/>
          <w:noProof/>
          <w:lang w:val="en-IE"/>
        </w:rPr>
        <w:t xml:space="preserve"> </w:t>
      </w:r>
      <w:r w:rsidR="004C7E0C">
        <w:rPr>
          <w:rFonts w:eastAsia="Arial Unicode MS"/>
          <w:noProof/>
          <w:lang w:val="en-IE"/>
        </w:rPr>
        <w:t xml:space="preserve">in order </w:t>
      </w:r>
      <w:r w:rsidR="002033F0" w:rsidRPr="00DC2D56">
        <w:rPr>
          <w:rFonts w:eastAsia="Arial Unicode MS"/>
          <w:noProof/>
          <w:lang w:val="en-IE"/>
        </w:rPr>
        <w:t>to fast-track the deployment of heavy-duty vehicle charging hubs</w:t>
      </w:r>
      <w:r w:rsidR="007009DA" w:rsidRPr="00DC2D56">
        <w:rPr>
          <w:rFonts w:eastAsia="Arial Unicode MS"/>
          <w:noProof/>
          <w:lang w:val="en-IE"/>
        </w:rPr>
        <w:t xml:space="preserve">. </w:t>
      </w:r>
      <w:r w:rsidR="004C7E0C">
        <w:rPr>
          <w:rFonts w:eastAsia="Arial Unicode MS"/>
          <w:noProof/>
          <w:lang w:val="en-IE"/>
        </w:rPr>
        <w:t xml:space="preserve">It </w:t>
      </w:r>
      <w:r w:rsidR="007009DA" w:rsidRPr="00DC2D56">
        <w:rPr>
          <w:rFonts w:eastAsia="Arial Unicode MS"/>
          <w:noProof/>
          <w:lang w:val="en-IE"/>
        </w:rPr>
        <w:t xml:space="preserve">also stated </w:t>
      </w:r>
      <w:r w:rsidR="00703ECB" w:rsidRPr="00DC2D56">
        <w:rPr>
          <w:rFonts w:eastAsia="Arial Unicode MS"/>
          <w:noProof/>
          <w:lang w:val="en-IE"/>
        </w:rPr>
        <w:t>that additional proposals will be made in the</w:t>
      </w:r>
      <w:r w:rsidR="003070F8" w:rsidRPr="00DC2D56">
        <w:rPr>
          <w:rFonts w:eastAsia="Arial Unicode MS"/>
          <w:noProof/>
          <w:lang w:val="en-IE"/>
        </w:rPr>
        <w:t xml:space="preserve"> upcoming</w:t>
      </w:r>
      <w:r w:rsidR="00703ECB" w:rsidRPr="00DC2D56">
        <w:rPr>
          <w:rFonts w:eastAsia="Arial Unicode MS"/>
          <w:noProof/>
          <w:lang w:val="en-IE"/>
        </w:rPr>
        <w:t xml:space="preserve"> </w:t>
      </w:r>
      <w:r w:rsidR="00703ECB" w:rsidRPr="00DC2D56">
        <w:rPr>
          <w:rFonts w:eastAsia="Arial Unicode MS"/>
          <w:b/>
          <w:bCs/>
          <w:noProof/>
          <w:lang w:val="en-IE"/>
        </w:rPr>
        <w:t>Sustainable Transport Investment Plan</w:t>
      </w:r>
      <w:r w:rsidR="00703ECB" w:rsidRPr="00DC2D56">
        <w:rPr>
          <w:rFonts w:eastAsia="Arial Unicode MS"/>
          <w:noProof/>
          <w:lang w:val="en-IE"/>
        </w:rPr>
        <w:t>.</w:t>
      </w:r>
    </w:p>
    <w:p w:rsidR="005A63A3" w:rsidRPr="00DC2D56" w:rsidRDefault="001F0C4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774691">
        <w:rPr>
          <w:rFonts w:eastAsia="Arial Unicode MS"/>
          <w:noProof/>
        </w:rPr>
        <w:t xml:space="preserve">In order to reduce </w:t>
      </w:r>
      <w:r w:rsidRPr="00DC2D56">
        <w:rPr>
          <w:rFonts w:eastAsia="Arial Unicode MS"/>
          <w:noProof/>
          <w:lang w:val="en-IE"/>
        </w:rPr>
        <w:t>CO</w:t>
      </w:r>
      <w:r w:rsidRPr="00DC2D56">
        <w:rPr>
          <w:rFonts w:eastAsia="Arial Unicode MS"/>
          <w:noProof/>
          <w:vertAlign w:val="subscript"/>
          <w:lang w:val="en-IE"/>
        </w:rPr>
        <w:t>2</w:t>
      </w:r>
      <w:r w:rsidRPr="00DC2D56">
        <w:rPr>
          <w:rFonts w:eastAsia="Arial Unicode MS"/>
          <w:noProof/>
          <w:lang w:val="en-IE"/>
        </w:rPr>
        <w:t xml:space="preserve"> </w:t>
      </w:r>
      <w:r w:rsidRPr="00774691">
        <w:rPr>
          <w:rFonts w:eastAsia="Arial Unicode MS"/>
          <w:noProof/>
        </w:rPr>
        <w:t>emissions, it is essential to shift from fossil fuels to renewable energy sources</w:t>
      </w:r>
      <w:r>
        <w:rPr>
          <w:rFonts w:eastAsia="Arial Unicode MS"/>
          <w:noProof/>
        </w:rPr>
        <w:t xml:space="preserve">. </w:t>
      </w:r>
      <w:r w:rsidR="008B7851" w:rsidRPr="00DC2D56">
        <w:rPr>
          <w:rFonts w:eastAsia="Arial Unicode MS"/>
          <w:noProof/>
          <w:lang w:val="en-IE"/>
        </w:rPr>
        <w:t xml:space="preserve">Renewable energy </w:t>
      </w:r>
      <w:r>
        <w:rPr>
          <w:rFonts w:eastAsia="Arial Unicode MS"/>
          <w:noProof/>
          <w:lang w:val="en-IE"/>
        </w:rPr>
        <w:t>became</w:t>
      </w:r>
      <w:r w:rsidRPr="00DC2D56">
        <w:rPr>
          <w:rFonts w:eastAsia="Arial Unicode MS"/>
          <w:noProof/>
          <w:lang w:val="en-IE"/>
        </w:rPr>
        <w:t xml:space="preserve"> </w:t>
      </w:r>
      <w:r w:rsidR="008B7851" w:rsidRPr="00DC2D56">
        <w:rPr>
          <w:rFonts w:eastAsia="Arial Unicode MS"/>
          <w:noProof/>
          <w:lang w:val="en-IE"/>
        </w:rPr>
        <w:t xml:space="preserve">the </w:t>
      </w:r>
      <w:r w:rsidR="00031E63" w:rsidRPr="00DC2D56">
        <w:rPr>
          <w:rFonts w:eastAsia="Arial Unicode MS"/>
          <w:noProof/>
          <w:lang w:val="en-IE"/>
        </w:rPr>
        <w:t xml:space="preserve">leading source of electricity production in the </w:t>
      </w:r>
      <w:r w:rsidR="004C7E0C">
        <w:rPr>
          <w:rFonts w:eastAsia="Arial Unicode MS"/>
          <w:noProof/>
          <w:lang w:val="en-IE"/>
        </w:rPr>
        <w:t>EU</w:t>
      </w:r>
      <w:r w:rsidR="004C7E0C" w:rsidRPr="00DC2D56">
        <w:rPr>
          <w:rFonts w:eastAsia="Arial Unicode MS"/>
          <w:noProof/>
          <w:lang w:val="en-IE"/>
        </w:rPr>
        <w:t xml:space="preserve"> </w:t>
      </w:r>
      <w:r w:rsidR="00031E63" w:rsidRPr="00DC2D56">
        <w:rPr>
          <w:rFonts w:eastAsia="Arial Unicode MS"/>
          <w:noProof/>
          <w:lang w:val="en-IE"/>
        </w:rPr>
        <w:t>in 2023</w:t>
      </w:r>
      <w:r w:rsidR="00BF3F83">
        <w:rPr>
          <w:noProof/>
          <w:lang w:val="en-IE"/>
        </w:rPr>
        <w:t> </w:t>
      </w:r>
      <w:r w:rsidR="00EA37FD">
        <w:rPr>
          <w:noProof/>
          <w:lang w:val="en-IE"/>
        </w:rPr>
        <w:t> </w:t>
      </w:r>
      <w:r w:rsidR="00364609" w:rsidRPr="00DC2D56">
        <w:rPr>
          <w:rStyle w:val="FootnoteReference"/>
          <w:rFonts w:eastAsia="Arial Unicode MS"/>
          <w:noProof/>
          <w:lang w:val="en-IE"/>
        </w:rPr>
        <w:footnoteReference w:id="31"/>
      </w:r>
      <w:r w:rsidR="00364609" w:rsidRPr="00DC2D56">
        <w:rPr>
          <w:rFonts w:eastAsia="Arial Unicode MS"/>
          <w:noProof/>
          <w:lang w:val="en-IE"/>
        </w:rPr>
        <w:t>.</w:t>
      </w:r>
      <w:r w:rsidR="00A70261" w:rsidRPr="00DC2D56">
        <w:rPr>
          <w:rFonts w:eastAsia="Arial Unicode MS"/>
          <w:noProof/>
          <w:lang w:val="en-IE"/>
        </w:rPr>
        <w:t xml:space="preserve"> </w:t>
      </w:r>
      <w:r w:rsidR="00451CE5" w:rsidRPr="00DC2D56">
        <w:rPr>
          <w:rFonts w:eastAsia="Arial Unicode MS"/>
          <w:noProof/>
          <w:lang w:val="en-IE"/>
        </w:rPr>
        <w:t xml:space="preserve">However, </w:t>
      </w:r>
      <w:r w:rsidR="002F45F4">
        <w:rPr>
          <w:rFonts w:eastAsia="Arial Unicode MS"/>
          <w:noProof/>
          <w:lang w:val="en-IE"/>
        </w:rPr>
        <w:t xml:space="preserve">expanding the </w:t>
      </w:r>
      <w:r w:rsidR="000D5DBD" w:rsidRPr="00DC2D56">
        <w:rPr>
          <w:rFonts w:eastAsia="Arial Unicode MS"/>
          <w:noProof/>
          <w:lang w:val="en-IE"/>
        </w:rPr>
        <w:t>electricity grid</w:t>
      </w:r>
      <w:r w:rsidR="00356D07" w:rsidRPr="00DC2D56">
        <w:rPr>
          <w:rFonts w:eastAsia="Arial Unicode MS"/>
          <w:noProof/>
          <w:lang w:val="en-IE"/>
        </w:rPr>
        <w:t xml:space="preserve"> infrastructure</w:t>
      </w:r>
      <w:r w:rsidR="000D5DBD" w:rsidRPr="00DC2D56">
        <w:rPr>
          <w:rFonts w:eastAsia="Arial Unicode MS"/>
          <w:noProof/>
          <w:lang w:val="en-IE"/>
        </w:rPr>
        <w:t xml:space="preserve"> is </w:t>
      </w:r>
      <w:r w:rsidR="00F502E4" w:rsidRPr="00792633">
        <w:rPr>
          <w:rFonts w:eastAsia="Arial Unicode MS"/>
          <w:noProof/>
        </w:rPr>
        <w:t>equally important to support this transition</w:t>
      </w:r>
      <w:r w:rsidR="000D5DBD" w:rsidRPr="00DC2D56">
        <w:rPr>
          <w:rFonts w:eastAsia="Arial Unicode MS"/>
          <w:noProof/>
          <w:lang w:val="en-IE"/>
        </w:rPr>
        <w:t>.</w:t>
      </w:r>
      <w:r w:rsidR="00D94373" w:rsidRPr="00DC2D56">
        <w:rPr>
          <w:rFonts w:eastAsia="Arial Unicode MS"/>
          <w:noProof/>
          <w:lang w:val="en-IE"/>
        </w:rPr>
        <w:t xml:space="preserve"> </w:t>
      </w:r>
      <w:r w:rsidR="00CC731F" w:rsidRPr="00DC2D56">
        <w:rPr>
          <w:rFonts w:eastAsia="Arial Unicode MS"/>
          <w:noProof/>
          <w:lang w:val="en-IE"/>
        </w:rPr>
        <w:t>G</w:t>
      </w:r>
      <w:r w:rsidR="00AD2D4F" w:rsidRPr="00DC2D56">
        <w:rPr>
          <w:rFonts w:eastAsia="Arial Unicode MS"/>
          <w:noProof/>
          <w:lang w:val="en-IE"/>
        </w:rPr>
        <w:t xml:space="preserve">rid </w:t>
      </w:r>
      <w:r w:rsidR="00CC731F" w:rsidRPr="00DC2D56">
        <w:rPr>
          <w:rFonts w:eastAsia="Arial Unicode MS"/>
          <w:noProof/>
          <w:lang w:val="en-IE"/>
        </w:rPr>
        <w:t>connections are</w:t>
      </w:r>
      <w:r w:rsidR="005B3D57" w:rsidRPr="00DC2D56">
        <w:rPr>
          <w:rFonts w:eastAsia="Arial Unicode MS"/>
          <w:noProof/>
          <w:lang w:val="en-IE"/>
        </w:rPr>
        <w:t xml:space="preserve"> </w:t>
      </w:r>
      <w:r w:rsidR="00A55B9C">
        <w:rPr>
          <w:rFonts w:eastAsia="Arial Unicode MS"/>
          <w:noProof/>
          <w:lang w:val="en-IE"/>
        </w:rPr>
        <w:t xml:space="preserve">crucial </w:t>
      </w:r>
      <w:r w:rsidR="00AD2D4F" w:rsidRPr="00DC2D56">
        <w:rPr>
          <w:rFonts w:eastAsia="Arial Unicode MS"/>
          <w:noProof/>
          <w:lang w:val="en-IE"/>
        </w:rPr>
        <w:t xml:space="preserve">for the </w:t>
      </w:r>
      <w:r w:rsidR="00D61239" w:rsidRPr="00DC2D56">
        <w:rPr>
          <w:rFonts w:eastAsia="Arial Unicode MS"/>
          <w:noProof/>
          <w:lang w:val="en-IE"/>
        </w:rPr>
        <w:t xml:space="preserve">deployment of the </w:t>
      </w:r>
      <w:r w:rsidR="00AD2D4F" w:rsidRPr="00DC2D56">
        <w:rPr>
          <w:rFonts w:eastAsia="Arial Unicode MS"/>
          <w:noProof/>
          <w:lang w:val="en-IE"/>
        </w:rPr>
        <w:t xml:space="preserve">recharging infrastructure </w:t>
      </w:r>
      <w:r w:rsidR="00D61239" w:rsidRPr="00DC2D56">
        <w:rPr>
          <w:rFonts w:eastAsia="Arial Unicode MS"/>
          <w:noProof/>
          <w:lang w:val="en-IE"/>
        </w:rPr>
        <w:t xml:space="preserve">for </w:t>
      </w:r>
      <w:r w:rsidR="00AD2D4F" w:rsidRPr="00DC2D56">
        <w:rPr>
          <w:rFonts w:eastAsia="Arial Unicode MS"/>
          <w:noProof/>
          <w:lang w:val="en-IE"/>
        </w:rPr>
        <w:t xml:space="preserve">heavy-duty </w:t>
      </w:r>
      <w:r w:rsidR="00D61239" w:rsidRPr="00DC2D56">
        <w:rPr>
          <w:rFonts w:eastAsia="Arial Unicode MS"/>
          <w:noProof/>
          <w:lang w:val="en-IE"/>
        </w:rPr>
        <w:t>transport</w:t>
      </w:r>
      <w:r w:rsidR="00AD2D4F" w:rsidRPr="00DC2D56">
        <w:rPr>
          <w:rFonts w:eastAsia="Arial Unicode MS"/>
          <w:noProof/>
          <w:lang w:val="en-IE"/>
        </w:rPr>
        <w:t xml:space="preserve">. </w:t>
      </w:r>
      <w:r w:rsidR="00865270" w:rsidRPr="00DC2D56">
        <w:rPr>
          <w:rFonts w:eastAsia="Arial Unicode MS"/>
          <w:noProof/>
          <w:lang w:val="en-IE"/>
        </w:rPr>
        <w:t>Several actions are already planned under t</w:t>
      </w:r>
      <w:r w:rsidR="00292FF9" w:rsidRPr="00DC2D56">
        <w:rPr>
          <w:rFonts w:eastAsia="Arial Unicode MS"/>
          <w:noProof/>
          <w:lang w:val="en-IE"/>
        </w:rPr>
        <w:t xml:space="preserve">he </w:t>
      </w:r>
      <w:r w:rsidR="00073483" w:rsidRPr="00DC2D56">
        <w:rPr>
          <w:rFonts w:eastAsia="Arial Unicode MS"/>
          <w:b/>
          <w:bCs/>
          <w:noProof/>
          <w:lang w:val="en-IE"/>
        </w:rPr>
        <w:t>EU Action Plan for Grids</w:t>
      </w:r>
      <w:r w:rsidR="00CA05BF">
        <w:rPr>
          <w:noProof/>
          <w:lang w:val="en-IE"/>
        </w:rPr>
        <w:t> </w:t>
      </w:r>
      <w:r w:rsidR="00D76FC2" w:rsidRPr="00192E03">
        <w:rPr>
          <w:rStyle w:val="FootnoteReference"/>
          <w:rFonts w:eastAsia="Arial Unicode MS"/>
          <w:noProof/>
          <w:lang w:val="en-IE"/>
        </w:rPr>
        <w:footnoteReference w:id="32"/>
      </w:r>
      <w:r w:rsidR="00A55B9C">
        <w:rPr>
          <w:noProof/>
          <w:lang w:val="en-IE"/>
        </w:rPr>
        <w:t xml:space="preserve"> and this will also</w:t>
      </w:r>
      <w:r w:rsidR="00865270" w:rsidRPr="00DC2D56">
        <w:rPr>
          <w:rFonts w:eastAsia="Arial Unicode MS"/>
          <w:noProof/>
          <w:lang w:val="en-IE"/>
        </w:rPr>
        <w:t xml:space="preserve"> be supplemented by </w:t>
      </w:r>
      <w:r w:rsidR="00A55B9C">
        <w:rPr>
          <w:rFonts w:eastAsia="Arial Unicode MS"/>
          <w:noProof/>
          <w:lang w:val="en-IE"/>
        </w:rPr>
        <w:t>the</w:t>
      </w:r>
      <w:r w:rsidR="00865270" w:rsidRPr="00DC2D56">
        <w:rPr>
          <w:rFonts w:eastAsia="Arial Unicode MS"/>
          <w:noProof/>
          <w:lang w:val="en-IE"/>
        </w:rPr>
        <w:t xml:space="preserve"> </w:t>
      </w:r>
      <w:r w:rsidR="00865270" w:rsidRPr="00DC2D56">
        <w:rPr>
          <w:rFonts w:eastAsia="Arial Unicode MS"/>
          <w:b/>
          <w:bCs/>
          <w:noProof/>
          <w:lang w:val="en-IE"/>
        </w:rPr>
        <w:t xml:space="preserve">Grid Package </w:t>
      </w:r>
      <w:r w:rsidR="00865270" w:rsidRPr="00192E03">
        <w:rPr>
          <w:rFonts w:eastAsia="Arial Unicode MS"/>
          <w:noProof/>
          <w:lang w:val="en-IE"/>
        </w:rPr>
        <w:t>and</w:t>
      </w:r>
      <w:r w:rsidR="00865270" w:rsidRPr="00DC2D56">
        <w:rPr>
          <w:rFonts w:eastAsia="Arial Unicode MS"/>
          <w:b/>
          <w:bCs/>
          <w:noProof/>
          <w:lang w:val="en-IE"/>
        </w:rPr>
        <w:t xml:space="preserve"> the Electrification Action Plan</w:t>
      </w:r>
      <w:r w:rsidR="00451577" w:rsidRPr="00DC2D56">
        <w:rPr>
          <w:rFonts w:eastAsia="Arial Unicode MS"/>
          <w:noProof/>
          <w:lang w:val="en-IE"/>
        </w:rPr>
        <w:t xml:space="preserve">. </w:t>
      </w:r>
      <w:r w:rsidR="00865270" w:rsidRPr="00DC2D56">
        <w:rPr>
          <w:rFonts w:eastAsia="Arial Unicode MS"/>
          <w:noProof/>
          <w:lang w:val="en-IE"/>
        </w:rPr>
        <w:t xml:space="preserve">The Commission will issue </w:t>
      </w:r>
      <w:r w:rsidR="002F3405" w:rsidRPr="00DC2D56">
        <w:rPr>
          <w:rFonts w:eastAsia="Arial Unicode MS"/>
          <w:b/>
          <w:bCs/>
          <w:noProof/>
          <w:lang w:val="en-IE"/>
        </w:rPr>
        <w:t xml:space="preserve">Guidance </w:t>
      </w:r>
      <w:r w:rsidR="002F3405" w:rsidRPr="00192E03">
        <w:rPr>
          <w:rFonts w:eastAsia="Arial Unicode MS"/>
          <w:noProof/>
          <w:lang w:val="en-IE"/>
        </w:rPr>
        <w:t>and</w:t>
      </w:r>
      <w:r w:rsidR="002F3405" w:rsidRPr="00DC2D56">
        <w:rPr>
          <w:rFonts w:eastAsia="Arial Unicode MS"/>
          <w:b/>
          <w:bCs/>
          <w:noProof/>
          <w:lang w:val="en-IE"/>
        </w:rPr>
        <w:t xml:space="preserve"> Recommendations</w:t>
      </w:r>
      <w:r w:rsidR="002F3405" w:rsidRPr="00DC2D56">
        <w:rPr>
          <w:rFonts w:eastAsia="Arial Unicode MS"/>
          <w:noProof/>
          <w:lang w:val="en-IE"/>
        </w:rPr>
        <w:t xml:space="preserve"> to the Member States on shortening the waiting time for recharging points’ connections to grids and their priority </w:t>
      </w:r>
      <w:r w:rsidR="006D4F99" w:rsidRPr="00DC2D56">
        <w:rPr>
          <w:rFonts w:eastAsia="Arial Unicode MS"/>
          <w:noProof/>
          <w:lang w:val="en-IE"/>
        </w:rPr>
        <w:t>treatment</w:t>
      </w:r>
      <w:r w:rsidR="006D4F99">
        <w:rPr>
          <w:rFonts w:eastAsia="Arial Unicode MS"/>
          <w:noProof/>
          <w:lang w:val="en-IE"/>
        </w:rPr>
        <w:t xml:space="preserve"> and</w:t>
      </w:r>
      <w:r w:rsidR="002F3405" w:rsidRPr="00DC2D56">
        <w:rPr>
          <w:rFonts w:eastAsia="Arial Unicode MS"/>
          <w:noProof/>
          <w:lang w:val="en-IE"/>
        </w:rPr>
        <w:t xml:space="preserve"> will recommend that </w:t>
      </w:r>
      <w:r w:rsidR="00823EE2" w:rsidRPr="00DC2D56">
        <w:rPr>
          <w:rFonts w:eastAsia="Arial Unicode MS"/>
          <w:noProof/>
          <w:lang w:val="en-IE"/>
        </w:rPr>
        <w:t xml:space="preserve">Member States </w:t>
      </w:r>
      <w:r w:rsidR="00CE43D4">
        <w:rPr>
          <w:rFonts w:eastAsia="Arial Unicode MS"/>
          <w:noProof/>
          <w:lang w:val="en-IE"/>
        </w:rPr>
        <w:t>consider</w:t>
      </w:r>
      <w:r w:rsidR="00CE43D4" w:rsidRPr="00DC2D56">
        <w:rPr>
          <w:rFonts w:eastAsia="Arial Unicode MS"/>
          <w:noProof/>
          <w:lang w:val="en-IE"/>
        </w:rPr>
        <w:t xml:space="preserve"> </w:t>
      </w:r>
      <w:r w:rsidR="00823EE2" w:rsidRPr="00DC2D56">
        <w:rPr>
          <w:rFonts w:eastAsia="Arial Unicode MS"/>
          <w:noProof/>
          <w:lang w:val="en-IE"/>
        </w:rPr>
        <w:t>that charging stations and their connection to the grid are in the overriding public interest in the context of permitting procedures.</w:t>
      </w:r>
    </w:p>
    <w:p w:rsidR="008E70C2" w:rsidRPr="00DC2D56" w:rsidRDefault="008E70C2">
      <w:pPr>
        <w:pStyle w:val="ManualHeading1"/>
        <w:rPr>
          <w:noProof/>
          <w:lang w:val="en-IE"/>
        </w:rPr>
      </w:pPr>
      <w:r w:rsidRPr="00DC2D56">
        <w:rPr>
          <w:noProof/>
          <w:lang w:val="en-IE"/>
        </w:rPr>
        <w:t>2.</w:t>
      </w:r>
      <w:r w:rsidRPr="00DC2D56">
        <w:rPr>
          <w:noProof/>
          <w:lang w:val="en-IE"/>
        </w:rPr>
        <w:tab/>
        <w:t>LEGAL BASIS, SUBSIDIARITY AND PROPORTIONALITY</w:t>
      </w:r>
    </w:p>
    <w:p w:rsidR="008E70C2" w:rsidRPr="00DC2D56" w:rsidRDefault="008E70C2">
      <w:pPr>
        <w:pStyle w:val="ManualHeading2"/>
        <w:rPr>
          <w:rFonts w:eastAsia="Arial Unicode MS"/>
          <w:noProof/>
          <w:u w:color="000000"/>
          <w:bdr w:val="nil"/>
          <w:lang w:val="en-IE" w:eastAsia="en-GB"/>
        </w:rPr>
      </w:pPr>
      <w:r w:rsidRPr="00DC2D56">
        <w:rPr>
          <w:rFonts w:eastAsia="Arial Unicode MS"/>
          <w:noProof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u w:color="000000"/>
          <w:bdr w:val="nil"/>
          <w:lang w:val="en-IE" w:eastAsia="en-GB"/>
        </w:rPr>
        <w:tab/>
        <w:t>Legal basis</w:t>
      </w:r>
    </w:p>
    <w:p w:rsidR="00521585" w:rsidRPr="00DC2D56" w:rsidRDefault="008B6F6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762A61">
        <w:rPr>
          <w:noProof/>
        </w:rPr>
        <w:t>The legal bas</w:t>
      </w:r>
      <w:r w:rsidR="00521585" w:rsidRPr="00762A61">
        <w:rPr>
          <w:noProof/>
        </w:rPr>
        <w:t>e</w:t>
      </w:r>
      <w:r w:rsidRPr="00762A61">
        <w:rPr>
          <w:noProof/>
        </w:rPr>
        <w:t xml:space="preserve">s </w:t>
      </w:r>
      <w:r w:rsidR="00C30884" w:rsidRPr="00762A61">
        <w:rPr>
          <w:noProof/>
        </w:rPr>
        <w:t xml:space="preserve">of </w:t>
      </w:r>
      <w:r w:rsidRPr="00762A61">
        <w:rPr>
          <w:noProof/>
        </w:rPr>
        <w:t xml:space="preserve">Directive 1999/62/EC </w:t>
      </w:r>
      <w:r w:rsidR="00521585" w:rsidRPr="00762A61">
        <w:rPr>
          <w:noProof/>
        </w:rPr>
        <w:t xml:space="preserve">are </w:t>
      </w:r>
      <w:r w:rsidRPr="00762A61">
        <w:rPr>
          <w:noProof/>
        </w:rPr>
        <w:t>Articles</w:t>
      </w:r>
      <w:r w:rsidR="008D709A" w:rsidRPr="00762A61">
        <w:rPr>
          <w:noProof/>
        </w:rPr>
        <w:t> </w:t>
      </w:r>
      <w:r w:rsidRPr="00762A61">
        <w:rPr>
          <w:noProof/>
        </w:rPr>
        <w:t>91 and 113 o</w:t>
      </w:r>
      <w:r w:rsidR="00E0758C" w:rsidRPr="00762A61">
        <w:rPr>
          <w:noProof/>
        </w:rPr>
        <w:t>f</w:t>
      </w:r>
      <w:r w:rsidRPr="00762A61">
        <w:rPr>
          <w:noProof/>
        </w:rPr>
        <w:t xml:space="preserve"> the Treaty on the </w:t>
      </w:r>
      <w:r w:rsidR="00E0758C" w:rsidRPr="00762A61">
        <w:rPr>
          <w:noProof/>
        </w:rPr>
        <w:t>F</w:t>
      </w:r>
      <w:r w:rsidRPr="00762A61">
        <w:rPr>
          <w:noProof/>
        </w:rPr>
        <w:t>unctioning of the European Union</w:t>
      </w:r>
      <w:r w:rsidR="00E0758C" w:rsidRPr="00762A61">
        <w:rPr>
          <w:noProof/>
        </w:rPr>
        <w:t xml:space="preserve"> (TFEU)</w:t>
      </w:r>
      <w:r w:rsidRPr="00762A61">
        <w:rPr>
          <w:noProof/>
        </w:rPr>
        <w:t>.</w:t>
      </w:r>
      <w:r w:rsidR="00C30884" w:rsidRPr="00762A61">
        <w:rPr>
          <w:noProof/>
        </w:rPr>
        <w:t xml:space="preserve"> </w:t>
      </w:r>
      <w:r w:rsidR="00453E81" w:rsidRPr="00762A61">
        <w:rPr>
          <w:noProof/>
        </w:rPr>
        <w:t xml:space="preserve">This proposal pertains to </w:t>
      </w:r>
      <w:r w:rsidR="00204E30" w:rsidRPr="00762A61">
        <w:rPr>
          <w:noProof/>
        </w:rPr>
        <w:t xml:space="preserve">the imposition of </w:t>
      </w:r>
      <w:r w:rsidR="00453E81" w:rsidRPr="00762A61">
        <w:rPr>
          <w:noProof/>
        </w:rPr>
        <w:t>road charges</w:t>
      </w:r>
      <w:r w:rsidR="00E0758C" w:rsidRPr="00762A61">
        <w:rPr>
          <w:noProof/>
        </w:rPr>
        <w:t xml:space="preserve"> on vehicles</w:t>
      </w:r>
      <w:r w:rsidR="00E0758C" w:rsidRPr="00DC2D56">
        <w:rPr>
          <w:rFonts w:eastAsia="Arial Unicode MS"/>
          <w:noProof/>
          <w:lang w:val="en-IE"/>
        </w:rPr>
        <w:t>, an area to which Article</w:t>
      </w:r>
      <w:r w:rsidR="008D709A">
        <w:rPr>
          <w:rFonts w:eastAsia="Arial Unicode MS"/>
          <w:noProof/>
          <w:lang w:val="en-IE"/>
        </w:rPr>
        <w:t> </w:t>
      </w:r>
      <w:r w:rsidR="00E0758C" w:rsidRPr="00DC2D56">
        <w:rPr>
          <w:rFonts w:eastAsia="Arial Unicode MS"/>
          <w:noProof/>
          <w:lang w:val="en-IE"/>
        </w:rPr>
        <w:t>91(1) TFEU applies</w:t>
      </w:r>
      <w:r w:rsidR="00453E81" w:rsidRPr="00762A61">
        <w:rPr>
          <w:noProof/>
        </w:rPr>
        <w:t>. The legal basis</w:t>
      </w:r>
      <w:r w:rsidR="00E0758C" w:rsidRPr="00762A61">
        <w:rPr>
          <w:noProof/>
        </w:rPr>
        <w:t xml:space="preserve"> of this proposal</w:t>
      </w:r>
      <w:r w:rsidR="00453E81" w:rsidRPr="00762A61">
        <w:rPr>
          <w:noProof/>
        </w:rPr>
        <w:t xml:space="preserve"> is therefore Article</w:t>
      </w:r>
      <w:r w:rsidR="008D709A" w:rsidRPr="00762A61">
        <w:rPr>
          <w:noProof/>
        </w:rPr>
        <w:t> </w:t>
      </w:r>
      <w:r w:rsidR="00453E81" w:rsidRPr="00762A61">
        <w:rPr>
          <w:noProof/>
        </w:rPr>
        <w:t>91(1)</w:t>
      </w:r>
      <w:r w:rsidR="00E0758C" w:rsidRPr="00762A61">
        <w:rPr>
          <w:noProof/>
        </w:rPr>
        <w:t xml:space="preserve"> TFEU</w:t>
      </w:r>
      <w:r w:rsidR="00453E81" w:rsidRPr="00762A61">
        <w:rPr>
          <w:noProof/>
        </w:rPr>
        <w:t>.</w:t>
      </w:r>
    </w:p>
    <w:p w:rsidR="008E70C2" w:rsidRPr="00DC2D56" w:rsidRDefault="008E70C2">
      <w:pPr>
        <w:pStyle w:val="ManualHeading2"/>
        <w:rPr>
          <w:rFonts w:eastAsia="Arial Unicode MS"/>
          <w:noProof/>
          <w:u w:color="000000"/>
          <w:bdr w:val="nil"/>
          <w:lang w:val="en-IE" w:eastAsia="en-GB"/>
        </w:rPr>
      </w:pPr>
      <w:r w:rsidRPr="00DC2D56">
        <w:rPr>
          <w:rFonts w:eastAsia="Arial Unicode MS"/>
          <w:noProof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u w:color="000000"/>
          <w:bdr w:val="nil"/>
          <w:lang w:val="en-IE" w:eastAsia="en-GB"/>
        </w:rPr>
        <w:tab/>
        <w:t xml:space="preserve">Subsidiarity (for non-exclusive competence) </w:t>
      </w:r>
    </w:p>
    <w:p w:rsidR="006F7FE6" w:rsidRPr="00762A61" w:rsidRDefault="006F7FE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467AD2">
        <w:rPr>
          <w:noProof/>
        </w:rPr>
        <w:t>The EU shares competence with Member States to regulate in the field of transport pursuant to Article</w:t>
      </w:r>
      <w:r w:rsidR="008D709A" w:rsidRPr="00467AD2">
        <w:rPr>
          <w:noProof/>
        </w:rPr>
        <w:t> </w:t>
      </w:r>
      <w:r w:rsidRPr="00467AD2">
        <w:rPr>
          <w:noProof/>
        </w:rPr>
        <w:t>4(2)(g) TFEU</w:t>
      </w:r>
      <w:r w:rsidR="00471079" w:rsidRPr="00467AD2">
        <w:rPr>
          <w:noProof/>
        </w:rPr>
        <w:t>, but</w:t>
      </w:r>
      <w:r w:rsidRPr="00467AD2">
        <w:rPr>
          <w:noProof/>
        </w:rPr>
        <w:t xml:space="preserve"> </w:t>
      </w:r>
      <w:r w:rsidR="00FD6911" w:rsidRPr="00467AD2">
        <w:rPr>
          <w:noProof/>
        </w:rPr>
        <w:t xml:space="preserve">only the EU can adapt </w:t>
      </w:r>
      <w:r w:rsidRPr="00467AD2">
        <w:rPr>
          <w:noProof/>
        </w:rPr>
        <w:t xml:space="preserve">the existing </w:t>
      </w:r>
      <w:r w:rsidR="00044755" w:rsidRPr="00467AD2">
        <w:rPr>
          <w:noProof/>
        </w:rPr>
        <w:t xml:space="preserve">EU </w:t>
      </w:r>
      <w:r w:rsidRPr="00467AD2">
        <w:rPr>
          <w:noProof/>
        </w:rPr>
        <w:t xml:space="preserve">rules. </w:t>
      </w:r>
      <w:r w:rsidR="00085FD8" w:rsidRPr="00467AD2">
        <w:rPr>
          <w:noProof/>
        </w:rPr>
        <w:t xml:space="preserve">Directive 1999/62/EC </w:t>
      </w:r>
      <w:r w:rsidR="00544345" w:rsidRPr="00467AD2">
        <w:rPr>
          <w:noProof/>
        </w:rPr>
        <w:t>defines</w:t>
      </w:r>
      <w:r w:rsidR="00085FD8" w:rsidRPr="00467AD2">
        <w:rPr>
          <w:noProof/>
        </w:rPr>
        <w:t xml:space="preserve"> </w:t>
      </w:r>
      <w:r w:rsidR="00544345" w:rsidRPr="00467AD2">
        <w:rPr>
          <w:noProof/>
        </w:rPr>
        <w:t>the cases in which</w:t>
      </w:r>
      <w:r w:rsidR="000B15FD" w:rsidRPr="00467AD2">
        <w:rPr>
          <w:noProof/>
        </w:rPr>
        <w:t xml:space="preserve"> reductions or exemptions from tolls and user charges may be granted. </w:t>
      </w:r>
      <w:r w:rsidR="003503F1" w:rsidRPr="00467AD2">
        <w:rPr>
          <w:noProof/>
        </w:rPr>
        <w:t>National authori</w:t>
      </w:r>
      <w:r w:rsidR="005E5540" w:rsidRPr="00467AD2">
        <w:rPr>
          <w:noProof/>
        </w:rPr>
        <w:t>ti</w:t>
      </w:r>
      <w:r w:rsidR="003503F1" w:rsidRPr="00467AD2">
        <w:rPr>
          <w:noProof/>
        </w:rPr>
        <w:t>es</w:t>
      </w:r>
      <w:r w:rsidR="00023F51" w:rsidRPr="00467AD2">
        <w:rPr>
          <w:noProof/>
        </w:rPr>
        <w:t xml:space="preserve"> </w:t>
      </w:r>
      <w:r w:rsidR="00E65C35" w:rsidRPr="00467AD2">
        <w:rPr>
          <w:noProof/>
        </w:rPr>
        <w:t xml:space="preserve">have </w:t>
      </w:r>
      <w:r w:rsidR="00A23D51" w:rsidRPr="00467AD2">
        <w:rPr>
          <w:noProof/>
        </w:rPr>
        <w:t xml:space="preserve">discretion </w:t>
      </w:r>
      <w:r w:rsidR="00E65C35" w:rsidRPr="00467AD2">
        <w:rPr>
          <w:noProof/>
        </w:rPr>
        <w:t xml:space="preserve">in </w:t>
      </w:r>
      <w:r w:rsidR="00A23D51" w:rsidRPr="00467AD2">
        <w:rPr>
          <w:noProof/>
        </w:rPr>
        <w:t xml:space="preserve">deciding </w:t>
      </w:r>
      <w:r w:rsidR="0023210B" w:rsidRPr="00467AD2">
        <w:rPr>
          <w:noProof/>
        </w:rPr>
        <w:t xml:space="preserve">how </w:t>
      </w:r>
      <w:r w:rsidR="00D21B9A" w:rsidRPr="00467AD2">
        <w:rPr>
          <w:noProof/>
        </w:rPr>
        <w:t xml:space="preserve">to </w:t>
      </w:r>
      <w:r w:rsidR="005F3C33" w:rsidRPr="00467AD2">
        <w:rPr>
          <w:noProof/>
        </w:rPr>
        <w:t>use those possibilities</w:t>
      </w:r>
      <w:r w:rsidR="00A23D51" w:rsidRPr="00467AD2">
        <w:rPr>
          <w:noProof/>
        </w:rPr>
        <w:t>.</w:t>
      </w:r>
      <w:r w:rsidR="003503F1" w:rsidRPr="00467AD2">
        <w:rPr>
          <w:noProof/>
        </w:rPr>
        <w:t xml:space="preserve"> </w:t>
      </w:r>
      <w:r w:rsidR="0023210B" w:rsidRPr="00467AD2">
        <w:rPr>
          <w:noProof/>
        </w:rPr>
        <w:t>T</w:t>
      </w:r>
      <w:r w:rsidR="00AC00BD" w:rsidRPr="00467AD2">
        <w:rPr>
          <w:noProof/>
        </w:rPr>
        <w:t xml:space="preserve">he </w:t>
      </w:r>
      <w:r w:rsidR="0050167A">
        <w:rPr>
          <w:noProof/>
          <w:lang w:val="en-IE"/>
        </w:rPr>
        <w:t>significantly</w:t>
      </w:r>
      <w:r w:rsidR="0050167A" w:rsidRPr="00DC2D56">
        <w:rPr>
          <w:noProof/>
          <w:lang w:val="en-IE"/>
        </w:rPr>
        <w:t xml:space="preserve"> </w:t>
      </w:r>
      <w:r w:rsidR="003503F1" w:rsidRPr="00762A61">
        <w:rPr>
          <w:noProof/>
        </w:rPr>
        <w:t xml:space="preserve">reduced rates or </w:t>
      </w:r>
      <w:r w:rsidR="00AC00BD" w:rsidRPr="00762A61">
        <w:rPr>
          <w:noProof/>
        </w:rPr>
        <w:t xml:space="preserve">exemption </w:t>
      </w:r>
      <w:r w:rsidR="003503F1" w:rsidRPr="00762A61">
        <w:rPr>
          <w:noProof/>
        </w:rPr>
        <w:t>for</w:t>
      </w:r>
      <w:r w:rsidR="0023210B" w:rsidRPr="00762A61">
        <w:rPr>
          <w:noProof/>
        </w:rPr>
        <w:t xml:space="preserve"> </w:t>
      </w:r>
      <w:r w:rsidR="00AC00BD" w:rsidRPr="00762A61">
        <w:rPr>
          <w:noProof/>
        </w:rPr>
        <w:t xml:space="preserve">zero-emission vehicles from infrastructure or user charges </w:t>
      </w:r>
      <w:r w:rsidR="0023210B" w:rsidRPr="00762A61">
        <w:rPr>
          <w:noProof/>
        </w:rPr>
        <w:t xml:space="preserve">can only be extended </w:t>
      </w:r>
      <w:r w:rsidR="00AC00BD" w:rsidRPr="00762A61">
        <w:rPr>
          <w:noProof/>
        </w:rPr>
        <w:t>beyond the end of 2025</w:t>
      </w:r>
      <w:r w:rsidR="0023210B" w:rsidRPr="00762A61">
        <w:rPr>
          <w:noProof/>
        </w:rPr>
        <w:t xml:space="preserve"> by amending the Directive</w:t>
      </w:r>
      <w:r w:rsidR="00AC00BD" w:rsidRPr="00762A61">
        <w:rPr>
          <w:noProof/>
        </w:rPr>
        <w:t>. The choice of whether</w:t>
      </w:r>
      <w:r w:rsidR="00151EBA" w:rsidRPr="00762A61">
        <w:rPr>
          <w:noProof/>
        </w:rPr>
        <w:t xml:space="preserve"> </w:t>
      </w:r>
      <w:r w:rsidR="00AC00BD" w:rsidRPr="00762A61">
        <w:rPr>
          <w:noProof/>
        </w:rPr>
        <w:t xml:space="preserve">to make use of this possibility </w:t>
      </w:r>
      <w:r w:rsidR="00081BC8" w:rsidRPr="00762A61">
        <w:rPr>
          <w:noProof/>
        </w:rPr>
        <w:t xml:space="preserve">or not </w:t>
      </w:r>
      <w:r w:rsidR="00AC00BD" w:rsidRPr="00762A61">
        <w:rPr>
          <w:noProof/>
        </w:rPr>
        <w:t xml:space="preserve">lies with </w:t>
      </w:r>
      <w:r w:rsidR="003503F1" w:rsidRPr="00762A61">
        <w:rPr>
          <w:noProof/>
        </w:rPr>
        <w:t>the national authorities</w:t>
      </w:r>
      <w:r w:rsidR="00AC00BD" w:rsidRPr="00762A61">
        <w:rPr>
          <w:noProof/>
        </w:rPr>
        <w:t>.</w:t>
      </w:r>
    </w:p>
    <w:p w:rsidR="008E70C2" w:rsidRPr="00DC2D56" w:rsidRDefault="008E70C2">
      <w:pPr>
        <w:pStyle w:val="ManualHeading2"/>
        <w:rPr>
          <w:rFonts w:eastAsia="Arial Unicode MS"/>
          <w:noProof/>
          <w:u w:color="000000"/>
          <w:bdr w:val="nil"/>
          <w:lang w:val="en-IE" w:eastAsia="en-GB"/>
        </w:rPr>
      </w:pPr>
      <w:r w:rsidRPr="00DC2D56">
        <w:rPr>
          <w:rFonts w:eastAsia="Arial Unicode MS"/>
          <w:noProof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u w:color="000000"/>
          <w:bdr w:val="nil"/>
          <w:lang w:val="en-IE" w:eastAsia="en-GB"/>
        </w:rPr>
        <w:tab/>
        <w:t>Proportionality</w:t>
      </w:r>
    </w:p>
    <w:p w:rsidR="00DC787E" w:rsidRPr="00762A61" w:rsidRDefault="00DC787E" w:rsidP="00DC787E">
      <w:pPr>
        <w:rPr>
          <w:noProof/>
        </w:rPr>
      </w:pPr>
      <w:r w:rsidRPr="00762A61">
        <w:rPr>
          <w:noProof/>
        </w:rPr>
        <w:t xml:space="preserve">The proposed measures do not go beyond what is necessary </w:t>
      </w:r>
      <w:r w:rsidR="00867A96" w:rsidRPr="00762A61">
        <w:rPr>
          <w:noProof/>
        </w:rPr>
        <w:t xml:space="preserve">in order </w:t>
      </w:r>
      <w:r w:rsidRPr="00762A61">
        <w:rPr>
          <w:noProof/>
        </w:rPr>
        <w:t xml:space="preserve">to achieve the </w:t>
      </w:r>
      <w:r w:rsidR="00867A96" w:rsidRPr="00762A61">
        <w:rPr>
          <w:noProof/>
        </w:rPr>
        <w:t xml:space="preserve">EU’s </w:t>
      </w:r>
      <w:r w:rsidRPr="00762A61">
        <w:rPr>
          <w:noProof/>
        </w:rPr>
        <w:t xml:space="preserve">objectives of reducing greenhouse gas emissions, while </w:t>
      </w:r>
      <w:r w:rsidR="00B05D1E" w:rsidRPr="00762A61">
        <w:rPr>
          <w:noProof/>
        </w:rPr>
        <w:t xml:space="preserve">also </w:t>
      </w:r>
      <w:r w:rsidRPr="00762A61">
        <w:rPr>
          <w:noProof/>
        </w:rPr>
        <w:t>ensuring fairness and environmental integrity.</w:t>
      </w:r>
    </w:p>
    <w:p w:rsidR="008E70C2" w:rsidRPr="00DC2D56" w:rsidRDefault="008E70C2">
      <w:pPr>
        <w:pStyle w:val="ManualHeading2"/>
        <w:rPr>
          <w:rFonts w:eastAsia="Arial Unicode MS"/>
          <w:noProof/>
          <w:u w:color="000000"/>
          <w:bdr w:val="nil"/>
          <w:lang w:val="en-IE" w:eastAsia="en-GB"/>
        </w:rPr>
      </w:pPr>
      <w:r w:rsidRPr="00DC2D56">
        <w:rPr>
          <w:rFonts w:eastAsia="Arial Unicode MS"/>
          <w:noProof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u w:color="000000"/>
          <w:bdr w:val="nil"/>
          <w:lang w:val="en-IE" w:eastAsia="en-GB"/>
        </w:rPr>
        <w:tab/>
        <w:t>Choice of the instrument</w:t>
      </w:r>
    </w:p>
    <w:p w:rsidR="00DC68FA" w:rsidRPr="00762A61" w:rsidRDefault="00B05D1E" w:rsidP="00DC68FA">
      <w:pPr>
        <w:rPr>
          <w:noProof/>
        </w:rPr>
      </w:pPr>
      <w:r w:rsidRPr="00762A61">
        <w:rPr>
          <w:noProof/>
        </w:rPr>
        <w:t>T</w:t>
      </w:r>
      <w:r w:rsidR="00DC68FA" w:rsidRPr="00762A61">
        <w:rPr>
          <w:noProof/>
        </w:rPr>
        <w:t xml:space="preserve">he legal act to be amended is a Directive, </w:t>
      </w:r>
      <w:r w:rsidRPr="00762A61">
        <w:rPr>
          <w:noProof/>
        </w:rPr>
        <w:t xml:space="preserve">so </w:t>
      </w:r>
      <w:r w:rsidR="00DC68FA" w:rsidRPr="00762A61">
        <w:rPr>
          <w:noProof/>
        </w:rPr>
        <w:t>the amending act should take the same form.</w:t>
      </w:r>
    </w:p>
    <w:p w:rsidR="008E70C2" w:rsidRPr="00DC2D56" w:rsidRDefault="008E70C2">
      <w:pPr>
        <w:pStyle w:val="ManualHeading1"/>
        <w:rPr>
          <w:noProof/>
          <w:lang w:val="en-IE"/>
        </w:rPr>
      </w:pPr>
      <w:r w:rsidRPr="00DC2D56">
        <w:rPr>
          <w:noProof/>
          <w:lang w:val="en-IE"/>
        </w:rPr>
        <w:t>3.</w:t>
      </w:r>
      <w:r w:rsidRPr="00DC2D56">
        <w:rPr>
          <w:noProof/>
          <w:lang w:val="en-IE"/>
        </w:rPr>
        <w:tab/>
        <w:t xml:space="preserve">RESULTS OF </w:t>
      </w:r>
      <w:r w:rsidRPr="008C7D51">
        <w:rPr>
          <w:noProof/>
          <w:lang w:val="en-IE"/>
        </w:rPr>
        <w:t>EX-POST</w:t>
      </w:r>
      <w:r w:rsidRPr="00DC2D56">
        <w:rPr>
          <w:noProof/>
          <w:lang w:val="en-IE"/>
        </w:rPr>
        <w:t xml:space="preserve"> EVALUATIONS, STAKEHOLDER CONSULTATIONS AND IMPACT ASSESSMENTS</w:t>
      </w:r>
    </w:p>
    <w:p w:rsidR="008E70C2" w:rsidRPr="00DC2D56" w:rsidRDefault="008E70C2">
      <w:pPr>
        <w:pStyle w:val="ManualHeading2"/>
        <w:rPr>
          <w:rFonts w:eastAsia="Arial Unicode MS"/>
          <w:noProof/>
          <w:u w:color="000000"/>
          <w:bdr w:val="nil"/>
          <w:lang w:val="en-IE" w:eastAsia="en-GB"/>
        </w:rPr>
      </w:pPr>
      <w:r w:rsidRPr="00DC2D56">
        <w:rPr>
          <w:rFonts w:eastAsia="Arial Unicode MS"/>
          <w:noProof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u w:color="000000"/>
          <w:bdr w:val="nil"/>
          <w:lang w:val="en-IE" w:eastAsia="en-GB"/>
        </w:rPr>
        <w:tab/>
      </w:r>
      <w:r w:rsidRPr="008C7D51">
        <w:rPr>
          <w:rFonts w:eastAsia="Arial Unicode MS"/>
          <w:noProof/>
          <w:u w:color="000000"/>
          <w:bdr w:val="nil"/>
          <w:lang w:val="en-IE" w:eastAsia="en-GB"/>
        </w:rPr>
        <w:t>Ex-post</w:t>
      </w:r>
      <w:r w:rsidRPr="00DC2D56">
        <w:rPr>
          <w:rFonts w:eastAsia="Arial Unicode MS"/>
          <w:noProof/>
          <w:u w:color="000000"/>
          <w:bdr w:val="nil"/>
          <w:lang w:val="en-IE" w:eastAsia="en-GB"/>
        </w:rPr>
        <w:t xml:space="preserve"> evaluations/fitness checks of existing legislation</w:t>
      </w:r>
    </w:p>
    <w:p w:rsidR="008E70C2" w:rsidRPr="00DC2D56" w:rsidRDefault="00B05D1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762A61">
        <w:rPr>
          <w:noProof/>
        </w:rPr>
        <w:t>T</w:t>
      </w:r>
      <w:r w:rsidR="00891CFF" w:rsidRPr="00762A61">
        <w:rPr>
          <w:noProof/>
        </w:rPr>
        <w:t xml:space="preserve">he short time </w:t>
      </w:r>
      <w:r w:rsidRPr="00762A61">
        <w:rPr>
          <w:noProof/>
        </w:rPr>
        <w:t xml:space="preserve">that has </w:t>
      </w:r>
      <w:r w:rsidR="00891CFF" w:rsidRPr="00762A61">
        <w:rPr>
          <w:noProof/>
        </w:rPr>
        <w:t xml:space="preserve">elapsed since the new rules </w:t>
      </w:r>
      <w:r w:rsidR="00C54E7E" w:rsidRPr="00762A61">
        <w:rPr>
          <w:noProof/>
        </w:rPr>
        <w:t xml:space="preserve">had to be </w:t>
      </w:r>
      <w:r w:rsidR="007C1056" w:rsidRPr="00762A61">
        <w:rPr>
          <w:noProof/>
        </w:rPr>
        <w:t>implemented</w:t>
      </w:r>
      <w:r w:rsidRPr="00762A61">
        <w:rPr>
          <w:noProof/>
        </w:rPr>
        <w:t xml:space="preserve"> (i.e. </w:t>
      </w:r>
      <w:r w:rsidR="007C1056" w:rsidRPr="00762A61">
        <w:rPr>
          <w:noProof/>
        </w:rPr>
        <w:t>25</w:t>
      </w:r>
      <w:r w:rsidR="00DC5860" w:rsidRPr="00762A61">
        <w:rPr>
          <w:noProof/>
        </w:rPr>
        <w:t> </w:t>
      </w:r>
      <w:r w:rsidR="007C1056" w:rsidRPr="00762A61">
        <w:rPr>
          <w:noProof/>
        </w:rPr>
        <w:t>March</w:t>
      </w:r>
      <w:r w:rsidR="00DC5860" w:rsidRPr="00762A61">
        <w:rPr>
          <w:noProof/>
        </w:rPr>
        <w:t> </w:t>
      </w:r>
      <w:r w:rsidR="007C1056" w:rsidRPr="00762A61">
        <w:rPr>
          <w:noProof/>
        </w:rPr>
        <w:t>2024</w:t>
      </w:r>
      <w:r w:rsidRPr="00762A61">
        <w:rPr>
          <w:noProof/>
        </w:rPr>
        <w:t>) means that</w:t>
      </w:r>
      <w:r w:rsidR="007C1056" w:rsidRPr="00762A61">
        <w:rPr>
          <w:noProof/>
        </w:rPr>
        <w:t xml:space="preserve"> </w:t>
      </w:r>
      <w:r w:rsidR="00CF2EBD" w:rsidRPr="00762A61">
        <w:rPr>
          <w:noProof/>
        </w:rPr>
        <w:t>there is no</w:t>
      </w:r>
      <w:r w:rsidR="009B2FE6" w:rsidRPr="00762A61">
        <w:rPr>
          <w:noProof/>
        </w:rPr>
        <w:t>t</w:t>
      </w:r>
      <w:r w:rsidR="00CF2EBD" w:rsidRPr="00762A61">
        <w:rPr>
          <w:noProof/>
        </w:rPr>
        <w:t xml:space="preserve"> sufficient </w:t>
      </w:r>
      <w:r w:rsidR="00771F13" w:rsidRPr="00762A61">
        <w:rPr>
          <w:noProof/>
        </w:rPr>
        <w:t>information for a fully-fledged ex post evaluation</w:t>
      </w:r>
      <w:r w:rsidR="00845DE3" w:rsidRPr="00762A61">
        <w:rPr>
          <w:noProof/>
        </w:rPr>
        <w:t xml:space="preserve"> of </w:t>
      </w:r>
      <w:r w:rsidR="00845DE3" w:rsidRPr="00DC2D56">
        <w:rPr>
          <w:rFonts w:eastAsia="Arial Unicode MS"/>
          <w:noProof/>
          <w:lang w:val="en-IE"/>
        </w:rPr>
        <w:t>Directive (EU) 2022/362</w:t>
      </w:r>
      <w:r w:rsidR="00771F13" w:rsidRPr="00762A61">
        <w:rPr>
          <w:noProof/>
        </w:rPr>
        <w:t>.</w:t>
      </w:r>
      <w:r w:rsidR="00401CA7" w:rsidRPr="00762A61">
        <w:rPr>
          <w:noProof/>
        </w:rPr>
        <w:t xml:space="preserve"> </w:t>
      </w:r>
      <w:r w:rsidR="008A2FA8" w:rsidRPr="00762A61">
        <w:rPr>
          <w:noProof/>
        </w:rPr>
        <w:t>Moreover, t</w:t>
      </w:r>
      <w:r w:rsidR="00401CA7" w:rsidRPr="00762A61">
        <w:rPr>
          <w:noProof/>
        </w:rPr>
        <w:t xml:space="preserve">his proposal </w:t>
      </w:r>
      <w:r w:rsidR="00151EBA" w:rsidRPr="00762A61">
        <w:rPr>
          <w:noProof/>
        </w:rPr>
        <w:t xml:space="preserve">would </w:t>
      </w:r>
      <w:r w:rsidR="009B2FE6" w:rsidRPr="00762A61">
        <w:rPr>
          <w:noProof/>
        </w:rPr>
        <w:t xml:space="preserve">merely </w:t>
      </w:r>
      <w:r w:rsidR="00401CA7" w:rsidRPr="00762A61">
        <w:rPr>
          <w:noProof/>
        </w:rPr>
        <w:t>exten</w:t>
      </w:r>
      <w:r w:rsidR="009B2FE6" w:rsidRPr="00762A61">
        <w:rPr>
          <w:noProof/>
        </w:rPr>
        <w:t>d</w:t>
      </w:r>
      <w:r w:rsidR="00401CA7" w:rsidRPr="00762A61">
        <w:rPr>
          <w:noProof/>
        </w:rPr>
        <w:t xml:space="preserve"> </w:t>
      </w:r>
      <w:r w:rsidR="00D45CD1" w:rsidRPr="00762A61">
        <w:rPr>
          <w:noProof/>
        </w:rPr>
        <w:t>a provision</w:t>
      </w:r>
      <w:r w:rsidR="00151EBA" w:rsidRPr="00762A61">
        <w:rPr>
          <w:noProof/>
        </w:rPr>
        <w:t xml:space="preserve"> that already exists.</w:t>
      </w:r>
    </w:p>
    <w:p w:rsidR="008E70C2" w:rsidRPr="00DC2D56" w:rsidRDefault="008E70C2">
      <w:pPr>
        <w:pStyle w:val="ManualHeading2"/>
        <w:rPr>
          <w:rFonts w:eastAsia="Arial Unicode MS"/>
          <w:noProof/>
          <w:u w:color="000000"/>
          <w:bdr w:val="nil"/>
          <w:lang w:val="en-IE" w:eastAsia="en-GB"/>
        </w:rPr>
      </w:pPr>
      <w:r w:rsidRPr="00DC2D56">
        <w:rPr>
          <w:rFonts w:eastAsia="Arial Unicode MS"/>
          <w:noProof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u w:color="000000"/>
          <w:bdr w:val="nil"/>
          <w:lang w:val="en-IE" w:eastAsia="en-GB"/>
        </w:rPr>
        <w:tab/>
        <w:t>Stakeholder consultations</w:t>
      </w:r>
    </w:p>
    <w:p w:rsidR="00CF36D1" w:rsidRPr="00762A61" w:rsidRDefault="00151EBA" w:rsidP="00CF36D1">
      <w:pPr>
        <w:rPr>
          <w:noProof/>
        </w:rPr>
      </w:pPr>
      <w:r w:rsidRPr="00762A61">
        <w:rPr>
          <w:noProof/>
        </w:rPr>
        <w:t>While</w:t>
      </w:r>
      <w:r w:rsidR="00CF36D1" w:rsidRPr="00762A61">
        <w:rPr>
          <w:noProof/>
        </w:rPr>
        <w:t xml:space="preserve"> prepar</w:t>
      </w:r>
      <w:r w:rsidR="009B2FE6" w:rsidRPr="00762A61">
        <w:rPr>
          <w:noProof/>
        </w:rPr>
        <w:t>ing</w:t>
      </w:r>
      <w:r w:rsidR="00CF36D1" w:rsidRPr="00762A61">
        <w:rPr>
          <w:noProof/>
        </w:rPr>
        <w:t xml:space="preserve"> this proposal</w:t>
      </w:r>
      <w:r w:rsidR="009B2FE6" w:rsidRPr="00762A61">
        <w:rPr>
          <w:noProof/>
        </w:rPr>
        <w:t>,</w:t>
      </w:r>
      <w:r w:rsidR="00CF36D1" w:rsidRPr="00762A61">
        <w:rPr>
          <w:noProof/>
        </w:rPr>
        <w:t xml:space="preserve"> the Commission </w:t>
      </w:r>
      <w:r w:rsidR="00B31011" w:rsidRPr="00762A61">
        <w:rPr>
          <w:noProof/>
        </w:rPr>
        <w:t>held t</w:t>
      </w:r>
      <w:r w:rsidR="00CF36D1" w:rsidRPr="00762A61">
        <w:rPr>
          <w:noProof/>
        </w:rPr>
        <w:t>argeted consultation</w:t>
      </w:r>
      <w:r w:rsidR="00845DE3" w:rsidRPr="00762A61">
        <w:rPr>
          <w:noProof/>
        </w:rPr>
        <w:t>s</w:t>
      </w:r>
      <w:r w:rsidR="00CF36D1" w:rsidRPr="00762A61">
        <w:rPr>
          <w:noProof/>
        </w:rPr>
        <w:t xml:space="preserve"> with specific stakeholders</w:t>
      </w:r>
      <w:r w:rsidR="0030230A" w:rsidRPr="00762A61">
        <w:rPr>
          <w:noProof/>
        </w:rPr>
        <w:t>, including</w:t>
      </w:r>
      <w:r w:rsidR="00B31011" w:rsidRPr="00762A61">
        <w:rPr>
          <w:noProof/>
        </w:rPr>
        <w:t xml:space="preserve"> transport operators’ and vehicle manufacturers’ associations, civil society </w:t>
      </w:r>
      <w:r w:rsidR="00DB690C" w:rsidRPr="00762A61">
        <w:rPr>
          <w:noProof/>
        </w:rPr>
        <w:t>and national authorities.</w:t>
      </w:r>
    </w:p>
    <w:p w:rsidR="008E70C2" w:rsidRPr="00DC2D56" w:rsidRDefault="008E70C2">
      <w:pPr>
        <w:pStyle w:val="ManualHeading2"/>
        <w:rPr>
          <w:rFonts w:eastAsia="Arial Unicode MS"/>
          <w:noProof/>
          <w:u w:color="000000"/>
          <w:bdr w:val="nil"/>
          <w:lang w:val="en-IE" w:eastAsia="en-GB"/>
        </w:rPr>
      </w:pPr>
      <w:r w:rsidRPr="00DC2D56">
        <w:rPr>
          <w:rFonts w:eastAsia="Arial Unicode MS"/>
          <w:noProof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u w:color="000000"/>
          <w:bdr w:val="nil"/>
          <w:lang w:val="en-IE" w:eastAsia="en-GB"/>
        </w:rPr>
        <w:tab/>
        <w:t>Collection and use of expertise</w:t>
      </w:r>
    </w:p>
    <w:p w:rsidR="005B63FC" w:rsidRPr="00DC2D56" w:rsidRDefault="009C1E9D" w:rsidP="00A618F9">
      <w:pPr>
        <w:pStyle w:val="Text1"/>
        <w:ind w:left="0"/>
        <w:rPr>
          <w:noProof/>
          <w:lang w:val="en-IE"/>
        </w:rPr>
      </w:pPr>
      <w:r w:rsidRPr="00762A61">
        <w:rPr>
          <w:noProof/>
        </w:rPr>
        <w:t>The Commission</w:t>
      </w:r>
      <w:r w:rsidR="00151EBA" w:rsidRPr="00762A61">
        <w:rPr>
          <w:noProof/>
        </w:rPr>
        <w:t xml:space="preserve"> has</w:t>
      </w:r>
      <w:r w:rsidRPr="00762A61">
        <w:rPr>
          <w:noProof/>
        </w:rPr>
        <w:t xml:space="preserve"> relied on publicly available information to assess </w:t>
      </w:r>
      <w:r w:rsidR="00284324" w:rsidRPr="00762A61">
        <w:rPr>
          <w:noProof/>
        </w:rPr>
        <w:t xml:space="preserve">both </w:t>
      </w:r>
      <w:r w:rsidRPr="00762A61">
        <w:rPr>
          <w:noProof/>
        </w:rPr>
        <w:t xml:space="preserve">the current level of deployment of zero-emission vehicles and </w:t>
      </w:r>
      <w:r w:rsidR="00C21465" w:rsidRPr="00762A61">
        <w:rPr>
          <w:noProof/>
        </w:rPr>
        <w:t xml:space="preserve">the effectiveness of the exemption from infrastructure or user charges. </w:t>
      </w:r>
      <w:r w:rsidR="00F564A9" w:rsidRPr="00762A61">
        <w:rPr>
          <w:noProof/>
        </w:rPr>
        <w:t xml:space="preserve">All </w:t>
      </w:r>
      <w:r w:rsidR="00C21465" w:rsidRPr="00762A61">
        <w:rPr>
          <w:noProof/>
        </w:rPr>
        <w:t xml:space="preserve">sources </w:t>
      </w:r>
      <w:r w:rsidR="005C2640" w:rsidRPr="00762A61">
        <w:rPr>
          <w:noProof/>
        </w:rPr>
        <w:t xml:space="preserve">used by </w:t>
      </w:r>
      <w:r w:rsidR="00C21465" w:rsidRPr="00762A61">
        <w:rPr>
          <w:noProof/>
        </w:rPr>
        <w:t xml:space="preserve">the Commission are available in the footnotes to the text in </w:t>
      </w:r>
      <w:r w:rsidR="00DC5860" w:rsidRPr="00762A61">
        <w:rPr>
          <w:noProof/>
        </w:rPr>
        <w:t>S</w:t>
      </w:r>
      <w:r w:rsidR="00C21465" w:rsidRPr="00762A61">
        <w:rPr>
          <w:noProof/>
        </w:rPr>
        <w:t>ection</w:t>
      </w:r>
      <w:r w:rsidR="00DC5860" w:rsidRPr="00762A61">
        <w:rPr>
          <w:noProof/>
        </w:rPr>
        <w:t> </w:t>
      </w:r>
      <w:r w:rsidR="00C21465" w:rsidRPr="00762A61">
        <w:rPr>
          <w:noProof/>
        </w:rPr>
        <w:t>1 above.</w:t>
      </w:r>
    </w:p>
    <w:p w:rsidR="008E70C2" w:rsidRPr="00DC2D56" w:rsidRDefault="008E70C2">
      <w:pPr>
        <w:pStyle w:val="ManualHeading2"/>
        <w:rPr>
          <w:rFonts w:eastAsia="Arial Unicode MS"/>
          <w:noProof/>
          <w:u w:color="000000"/>
          <w:bdr w:val="nil"/>
          <w:lang w:val="en-IE" w:eastAsia="en-GB"/>
        </w:rPr>
      </w:pPr>
      <w:r w:rsidRPr="00DC2D56">
        <w:rPr>
          <w:rFonts w:eastAsia="Arial Unicode MS"/>
          <w:noProof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u w:color="000000"/>
          <w:bdr w:val="nil"/>
          <w:lang w:val="en-IE" w:eastAsia="en-GB"/>
        </w:rPr>
        <w:tab/>
        <w:t>Impact assessment</w:t>
      </w:r>
    </w:p>
    <w:p w:rsidR="0021315A" w:rsidRPr="00DC2D56" w:rsidRDefault="00711FA0" w:rsidP="0021315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>The Commission conducted a</w:t>
      </w:r>
      <w:r w:rsidR="0021315A" w:rsidRPr="00DC2D56">
        <w:rPr>
          <w:rFonts w:eastAsia="Arial Unicode MS"/>
          <w:noProof/>
          <w:lang w:val="en-IE"/>
        </w:rPr>
        <w:t xml:space="preserve">n impact assessment </w:t>
      </w:r>
      <w:r w:rsidR="000B5373">
        <w:rPr>
          <w:rFonts w:eastAsia="Arial Unicode MS"/>
          <w:noProof/>
          <w:lang w:val="en-IE"/>
        </w:rPr>
        <w:t>accompanying</w:t>
      </w:r>
      <w:r w:rsidR="000B5373" w:rsidRPr="00DC2D56">
        <w:rPr>
          <w:rFonts w:eastAsia="Arial Unicode MS"/>
          <w:noProof/>
          <w:lang w:val="en-IE"/>
        </w:rPr>
        <w:t xml:space="preserve"> </w:t>
      </w:r>
      <w:r w:rsidR="0021315A" w:rsidRPr="00DC2D56">
        <w:rPr>
          <w:rFonts w:eastAsia="Arial Unicode MS"/>
          <w:noProof/>
          <w:lang w:val="en-IE"/>
        </w:rPr>
        <w:t>the proposal which led to the adoption of Directive (EU) 2022/362</w:t>
      </w:r>
      <w:r w:rsidR="00CA05BF">
        <w:rPr>
          <w:noProof/>
          <w:lang w:val="en-IE"/>
        </w:rPr>
        <w:t> </w:t>
      </w:r>
      <w:r w:rsidRPr="00DC2D56">
        <w:rPr>
          <w:rStyle w:val="FootnoteReference"/>
          <w:rFonts w:eastAsia="Arial Unicode MS"/>
          <w:noProof/>
          <w:lang w:val="en-IE"/>
        </w:rPr>
        <w:footnoteReference w:id="33"/>
      </w:r>
      <w:r w:rsidR="0021315A" w:rsidRPr="00DC2D56">
        <w:rPr>
          <w:rFonts w:eastAsia="Arial Unicode MS"/>
          <w:noProof/>
          <w:lang w:val="en-IE"/>
        </w:rPr>
        <w:t>. The current proposal</w:t>
      </w:r>
      <w:r w:rsidRPr="00DC2D56">
        <w:rPr>
          <w:rFonts w:eastAsia="Arial Unicode MS"/>
          <w:noProof/>
          <w:lang w:val="en-IE"/>
        </w:rPr>
        <w:t xml:space="preserve"> </w:t>
      </w:r>
      <w:r w:rsidR="0021315A" w:rsidRPr="00DC2D56">
        <w:rPr>
          <w:rFonts w:eastAsia="Arial Unicode MS"/>
          <w:noProof/>
          <w:lang w:val="en-IE"/>
        </w:rPr>
        <w:t xml:space="preserve">only amends the </w:t>
      </w:r>
      <w:r w:rsidR="00F31949" w:rsidRPr="00DC2D56">
        <w:rPr>
          <w:rFonts w:eastAsia="Arial Unicode MS"/>
          <w:noProof/>
          <w:lang w:val="en-IE"/>
        </w:rPr>
        <w:t>end date of an optional provision</w:t>
      </w:r>
      <w:r w:rsidR="00C51309" w:rsidRPr="00DC2D56">
        <w:rPr>
          <w:rFonts w:eastAsia="Arial Unicode MS"/>
          <w:noProof/>
          <w:lang w:val="en-IE"/>
        </w:rPr>
        <w:t xml:space="preserve">. </w:t>
      </w:r>
      <w:r w:rsidR="005C2640">
        <w:rPr>
          <w:rFonts w:eastAsia="Arial Unicode MS"/>
          <w:noProof/>
          <w:lang w:val="en-IE"/>
        </w:rPr>
        <w:t xml:space="preserve">There is therefore no need to </w:t>
      </w:r>
      <w:r w:rsidR="00A618F9" w:rsidRPr="00DC2D56">
        <w:rPr>
          <w:rFonts w:eastAsia="Arial Unicode MS"/>
          <w:noProof/>
          <w:lang w:val="en-IE"/>
        </w:rPr>
        <w:t xml:space="preserve">conduct a </w:t>
      </w:r>
      <w:r w:rsidR="00845DE3" w:rsidRPr="00DC2D56">
        <w:rPr>
          <w:rFonts w:eastAsia="Arial Unicode MS"/>
          <w:noProof/>
          <w:lang w:val="en-IE"/>
        </w:rPr>
        <w:t xml:space="preserve">new </w:t>
      </w:r>
      <w:r w:rsidR="00A618F9" w:rsidRPr="00DC2D56">
        <w:rPr>
          <w:rFonts w:eastAsia="Arial Unicode MS"/>
          <w:noProof/>
          <w:lang w:val="en-IE"/>
        </w:rPr>
        <w:t>impact assessment</w:t>
      </w:r>
      <w:r w:rsidR="0021315A" w:rsidRPr="00DC2D56">
        <w:rPr>
          <w:rFonts w:eastAsia="Arial Unicode MS"/>
          <w:noProof/>
          <w:lang w:val="en-IE"/>
        </w:rPr>
        <w:t>.</w:t>
      </w:r>
    </w:p>
    <w:p w:rsidR="00806F64" w:rsidRPr="00DC2D56" w:rsidRDefault="00806F64" w:rsidP="001D1366">
      <w:pPr>
        <w:pStyle w:val="ManualHeading2"/>
        <w:tabs>
          <w:tab w:val="clear" w:pos="850"/>
          <w:tab w:val="left" w:pos="0"/>
        </w:tabs>
        <w:rPr>
          <w:rFonts w:eastAsia="Arial Unicode MS"/>
          <w:noProof/>
          <w:u w:color="000000"/>
          <w:bdr w:val="nil"/>
          <w:lang w:val="en-IE" w:eastAsia="en-GB"/>
        </w:rPr>
      </w:pPr>
      <w:r w:rsidRPr="00DC2D56">
        <w:rPr>
          <w:rFonts w:eastAsia="Arial Unicode MS"/>
          <w:noProof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u w:color="000000"/>
          <w:bdr w:val="nil"/>
          <w:lang w:val="en-IE" w:eastAsia="en-GB"/>
        </w:rPr>
        <w:tab/>
        <w:t>Regulatory fitness and simplification</w:t>
      </w:r>
    </w:p>
    <w:p w:rsidR="00806F64" w:rsidRPr="00762A61" w:rsidRDefault="00FC2F39" w:rsidP="0021315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762A61">
        <w:rPr>
          <w:noProof/>
        </w:rPr>
        <w:t xml:space="preserve">This proposal </w:t>
      </w:r>
      <w:r w:rsidR="00C50095" w:rsidRPr="00762A61">
        <w:rPr>
          <w:noProof/>
        </w:rPr>
        <w:t xml:space="preserve">would merely </w:t>
      </w:r>
      <w:r w:rsidR="002F1773" w:rsidRPr="00762A61">
        <w:rPr>
          <w:noProof/>
        </w:rPr>
        <w:t>chang</w:t>
      </w:r>
      <w:r w:rsidR="00C50095" w:rsidRPr="00762A61">
        <w:rPr>
          <w:noProof/>
        </w:rPr>
        <w:t>e</w:t>
      </w:r>
      <w:r w:rsidR="002F1773" w:rsidRPr="00762A61">
        <w:rPr>
          <w:noProof/>
        </w:rPr>
        <w:t xml:space="preserve"> a date </w:t>
      </w:r>
      <w:r w:rsidR="00C50095" w:rsidRPr="00762A61">
        <w:rPr>
          <w:noProof/>
        </w:rPr>
        <w:t xml:space="preserve">and </w:t>
      </w:r>
      <w:r w:rsidR="0013546D" w:rsidRPr="00762A61">
        <w:rPr>
          <w:noProof/>
        </w:rPr>
        <w:t xml:space="preserve">therefore </w:t>
      </w:r>
      <w:r w:rsidR="00C50095" w:rsidRPr="00762A61">
        <w:rPr>
          <w:noProof/>
        </w:rPr>
        <w:t>does not have any consequences for</w:t>
      </w:r>
      <w:r w:rsidR="002F1773" w:rsidRPr="00762A61">
        <w:rPr>
          <w:noProof/>
        </w:rPr>
        <w:t xml:space="preserve"> the simplification of EU law.</w:t>
      </w:r>
    </w:p>
    <w:p w:rsidR="00845DE3" w:rsidRPr="00DC2D56" w:rsidRDefault="00845DE3" w:rsidP="00AF4E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ind w:left="851" w:hanging="851"/>
        <w:rPr>
          <w:rFonts w:eastAsia="Arial Unicode MS"/>
          <w:b/>
          <w:bCs/>
          <w:noProof/>
          <w:lang w:val="en-IE"/>
        </w:rPr>
      </w:pPr>
      <w:r w:rsidRPr="00DC2D56">
        <w:rPr>
          <w:rFonts w:eastAsia="Arial Unicode MS"/>
          <w:b/>
          <w:bCs/>
          <w:noProof/>
          <w:lang w:val="en-IE"/>
        </w:rPr>
        <w:t>•</w:t>
      </w:r>
      <w:r w:rsidRPr="00DC2D56">
        <w:rPr>
          <w:rFonts w:eastAsia="Arial Unicode MS"/>
          <w:b/>
          <w:bCs/>
          <w:noProof/>
          <w:lang w:val="en-IE"/>
        </w:rPr>
        <w:tab/>
        <w:t>Fundamental rights</w:t>
      </w:r>
    </w:p>
    <w:p w:rsidR="00845DE3" w:rsidRPr="00DC2D56" w:rsidRDefault="00845DE3" w:rsidP="0021315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>The proposal respects the fundamental rights and observes the principles recognised in particular by the Charter of Fundamental Rights of the European Union.</w:t>
      </w:r>
    </w:p>
    <w:p w:rsidR="008E70C2" w:rsidRPr="00DC2D56" w:rsidRDefault="008E70C2">
      <w:pPr>
        <w:pStyle w:val="ManualHeading1"/>
        <w:rPr>
          <w:noProof/>
          <w:lang w:val="en-IE"/>
        </w:rPr>
      </w:pPr>
      <w:r w:rsidRPr="00DC2D56">
        <w:rPr>
          <w:noProof/>
          <w:lang w:val="en-IE"/>
        </w:rPr>
        <w:t>4.</w:t>
      </w:r>
      <w:r w:rsidRPr="00DC2D56">
        <w:rPr>
          <w:noProof/>
          <w:lang w:val="en-IE"/>
        </w:rPr>
        <w:tab/>
        <w:t>BUDGETARY IMPLICATIONS</w:t>
      </w:r>
    </w:p>
    <w:p w:rsidR="00224746" w:rsidRPr="00DC2D56" w:rsidRDefault="00AB2550" w:rsidP="00AB255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>The extension of the exemption from infrastructure o</w:t>
      </w:r>
      <w:r w:rsidR="000070CD" w:rsidRPr="00DC2D56">
        <w:rPr>
          <w:rFonts w:eastAsia="Arial Unicode MS"/>
          <w:noProof/>
          <w:lang w:val="en-IE"/>
        </w:rPr>
        <w:t>r</w:t>
      </w:r>
      <w:r w:rsidRPr="00DC2D56">
        <w:rPr>
          <w:rFonts w:eastAsia="Arial Unicode MS"/>
          <w:noProof/>
          <w:lang w:val="en-IE"/>
        </w:rPr>
        <w:t xml:space="preserve"> user charges has no implications for the </w:t>
      </w:r>
      <w:r w:rsidR="00F44A0E">
        <w:rPr>
          <w:rFonts w:eastAsia="Arial Unicode MS"/>
          <w:noProof/>
          <w:lang w:val="en-IE"/>
        </w:rPr>
        <w:t>EU’s</w:t>
      </w:r>
      <w:r w:rsidR="00F44A0E" w:rsidRPr="00DC2D56">
        <w:rPr>
          <w:rFonts w:eastAsia="Arial Unicode MS"/>
          <w:noProof/>
          <w:lang w:val="en-IE"/>
        </w:rPr>
        <w:t xml:space="preserve"> </w:t>
      </w:r>
      <w:r w:rsidR="00224746" w:rsidRPr="00DC2D56">
        <w:rPr>
          <w:rFonts w:eastAsia="Arial Unicode MS"/>
          <w:noProof/>
          <w:lang w:val="en-IE"/>
        </w:rPr>
        <w:t>budget</w:t>
      </w:r>
      <w:r w:rsidRPr="00DC2D56">
        <w:rPr>
          <w:rFonts w:eastAsia="Arial Unicode MS"/>
          <w:noProof/>
          <w:lang w:val="en-IE"/>
        </w:rPr>
        <w:t>.</w:t>
      </w:r>
    </w:p>
    <w:p w:rsidR="008D2891" w:rsidRPr="00DC2D56" w:rsidRDefault="00C13BC6" w:rsidP="00323B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 xml:space="preserve">The </w:t>
      </w:r>
      <w:r w:rsidR="00F44A0E" w:rsidRPr="00DC2D56">
        <w:rPr>
          <w:rFonts w:eastAsia="Arial Unicode MS"/>
          <w:noProof/>
          <w:lang w:val="en-IE"/>
        </w:rPr>
        <w:t>Directive</w:t>
      </w:r>
      <w:r w:rsidR="00F44A0E">
        <w:rPr>
          <w:rFonts w:eastAsia="Arial Unicode MS"/>
          <w:noProof/>
          <w:lang w:val="en-IE"/>
        </w:rPr>
        <w:t>’s</w:t>
      </w:r>
      <w:r w:rsidR="00F44A0E" w:rsidRPr="00DC2D56">
        <w:rPr>
          <w:rFonts w:eastAsia="Arial Unicode MS"/>
          <w:noProof/>
          <w:lang w:val="en-IE"/>
        </w:rPr>
        <w:t xml:space="preserve"> </w:t>
      </w:r>
      <w:r w:rsidR="00EE5364" w:rsidRPr="00DC2D56">
        <w:rPr>
          <w:rFonts w:eastAsia="Arial Unicode MS"/>
          <w:noProof/>
          <w:lang w:val="en-IE"/>
        </w:rPr>
        <w:t>provision</w:t>
      </w:r>
      <w:r w:rsidR="005822E6" w:rsidRPr="00DC2D56">
        <w:rPr>
          <w:rFonts w:eastAsia="Arial Unicode MS"/>
          <w:noProof/>
          <w:lang w:val="en-IE"/>
        </w:rPr>
        <w:t>s</w:t>
      </w:r>
      <w:r w:rsidR="00EE5364" w:rsidRPr="00DC2D56">
        <w:rPr>
          <w:rFonts w:eastAsia="Arial Unicode MS"/>
          <w:noProof/>
          <w:lang w:val="en-IE"/>
        </w:rPr>
        <w:t xml:space="preserve"> </w:t>
      </w:r>
      <w:r w:rsidR="00F44A0E">
        <w:rPr>
          <w:rFonts w:eastAsia="Arial Unicode MS"/>
          <w:noProof/>
          <w:lang w:val="en-IE"/>
        </w:rPr>
        <w:t xml:space="preserve">would </w:t>
      </w:r>
      <w:r w:rsidR="00EE5364" w:rsidRPr="00DC2D56">
        <w:rPr>
          <w:rFonts w:eastAsia="Arial Unicode MS"/>
          <w:noProof/>
          <w:lang w:val="en-IE"/>
        </w:rPr>
        <w:t xml:space="preserve">have different implications for national budgets depending on the </w:t>
      </w:r>
      <w:r w:rsidR="00F44A0E">
        <w:rPr>
          <w:rFonts w:eastAsia="Arial Unicode MS"/>
          <w:noProof/>
          <w:lang w:val="en-IE"/>
        </w:rPr>
        <w:t xml:space="preserve">Member States’ individual </w:t>
      </w:r>
      <w:r w:rsidR="00EE5364" w:rsidRPr="00DC2D56">
        <w:rPr>
          <w:rFonts w:eastAsia="Arial Unicode MS"/>
          <w:noProof/>
          <w:lang w:val="en-IE"/>
        </w:rPr>
        <w:t>implementation strateg</w:t>
      </w:r>
      <w:r w:rsidR="00F44A0E">
        <w:rPr>
          <w:rFonts w:eastAsia="Arial Unicode MS"/>
          <w:noProof/>
          <w:lang w:val="en-IE"/>
        </w:rPr>
        <w:t>ies</w:t>
      </w:r>
      <w:r w:rsidR="000C0D66" w:rsidRPr="00DC2D56">
        <w:rPr>
          <w:rFonts w:eastAsia="Arial Unicode MS"/>
          <w:noProof/>
          <w:lang w:val="en-IE"/>
        </w:rPr>
        <w:t xml:space="preserve">. </w:t>
      </w:r>
      <w:r w:rsidR="00F44A0E">
        <w:rPr>
          <w:rFonts w:eastAsia="Arial Unicode MS"/>
          <w:noProof/>
          <w:lang w:val="en-IE"/>
        </w:rPr>
        <w:t>R</w:t>
      </w:r>
      <w:r w:rsidR="00DA3479" w:rsidRPr="00DC2D56">
        <w:rPr>
          <w:rFonts w:eastAsia="Arial Unicode MS"/>
          <w:noProof/>
          <w:lang w:val="en-IE"/>
        </w:rPr>
        <w:t>educ</w:t>
      </w:r>
      <w:r w:rsidR="005F6E0B">
        <w:rPr>
          <w:rFonts w:eastAsia="Arial Unicode MS"/>
          <w:noProof/>
          <w:lang w:val="en-IE"/>
        </w:rPr>
        <w:t>ing</w:t>
      </w:r>
      <w:r w:rsidR="00DA3479" w:rsidRPr="00DC2D56">
        <w:rPr>
          <w:rFonts w:eastAsia="Arial Unicode MS"/>
          <w:noProof/>
          <w:lang w:val="en-IE"/>
        </w:rPr>
        <w:t xml:space="preserve"> or exempti</w:t>
      </w:r>
      <w:r w:rsidR="005F6E0B">
        <w:rPr>
          <w:rFonts w:eastAsia="Arial Unicode MS"/>
          <w:noProof/>
          <w:lang w:val="en-IE"/>
        </w:rPr>
        <w:t>ng</w:t>
      </w:r>
      <w:r w:rsidR="00F44A0E">
        <w:rPr>
          <w:rFonts w:eastAsia="Arial Unicode MS"/>
          <w:noProof/>
          <w:lang w:val="en-IE"/>
        </w:rPr>
        <w:t xml:space="preserve"> </w:t>
      </w:r>
      <w:r w:rsidR="00F66E72">
        <w:rPr>
          <w:rFonts w:eastAsia="Arial Unicode MS"/>
          <w:noProof/>
          <w:lang w:val="en-IE"/>
        </w:rPr>
        <w:t xml:space="preserve">cleaner vehicles </w:t>
      </w:r>
      <w:r w:rsidR="005F6E0B">
        <w:rPr>
          <w:rFonts w:eastAsia="Arial Unicode MS"/>
          <w:noProof/>
          <w:lang w:val="en-IE"/>
        </w:rPr>
        <w:t xml:space="preserve">from </w:t>
      </w:r>
      <w:r w:rsidR="00F44A0E">
        <w:rPr>
          <w:rFonts w:eastAsia="Arial Unicode MS"/>
          <w:noProof/>
          <w:lang w:val="en-IE"/>
        </w:rPr>
        <w:t xml:space="preserve">road charges </w:t>
      </w:r>
      <w:r w:rsidR="005306D6">
        <w:rPr>
          <w:rFonts w:eastAsia="Arial Unicode MS"/>
          <w:noProof/>
          <w:lang w:val="en-IE"/>
        </w:rPr>
        <w:t>may</w:t>
      </w:r>
      <w:r w:rsidR="00DA3479" w:rsidRPr="00DC2D56">
        <w:rPr>
          <w:rFonts w:eastAsia="Arial Unicode MS"/>
          <w:noProof/>
          <w:lang w:val="en-IE"/>
        </w:rPr>
        <w:t xml:space="preserve"> negative</w:t>
      </w:r>
      <w:r w:rsidR="005F6E0B">
        <w:rPr>
          <w:rFonts w:eastAsia="Arial Unicode MS"/>
          <w:noProof/>
          <w:lang w:val="en-IE"/>
        </w:rPr>
        <w:t>ly</w:t>
      </w:r>
      <w:r w:rsidR="00DA3479" w:rsidRPr="00DC2D56">
        <w:rPr>
          <w:rFonts w:eastAsia="Arial Unicode MS"/>
          <w:noProof/>
          <w:lang w:val="en-IE"/>
        </w:rPr>
        <w:t xml:space="preserve"> </w:t>
      </w:r>
      <w:r w:rsidR="005F6E0B">
        <w:rPr>
          <w:rFonts w:eastAsia="Arial Unicode MS"/>
          <w:noProof/>
          <w:lang w:val="en-IE"/>
        </w:rPr>
        <w:t xml:space="preserve">impact revenues and therefore </w:t>
      </w:r>
      <w:r w:rsidR="00DA3479" w:rsidRPr="00DC2D56">
        <w:rPr>
          <w:rFonts w:eastAsia="Arial Unicode MS"/>
          <w:noProof/>
          <w:lang w:val="en-IE"/>
        </w:rPr>
        <w:t>national budgets</w:t>
      </w:r>
      <w:r w:rsidR="00F66E72">
        <w:rPr>
          <w:rFonts w:eastAsia="Arial Unicode MS"/>
          <w:noProof/>
          <w:lang w:val="en-IE"/>
        </w:rPr>
        <w:t xml:space="preserve"> unless the average rate for other vehicles </w:t>
      </w:r>
      <w:r w:rsidR="006D4F99">
        <w:rPr>
          <w:rFonts w:eastAsia="Arial Unicode MS"/>
          <w:noProof/>
          <w:lang w:val="en-IE"/>
        </w:rPr>
        <w:t>is</w:t>
      </w:r>
      <w:r w:rsidR="00F66E72">
        <w:rPr>
          <w:rFonts w:eastAsia="Arial Unicode MS"/>
          <w:noProof/>
          <w:lang w:val="en-IE"/>
        </w:rPr>
        <w:t xml:space="preserve"> increased</w:t>
      </w:r>
      <w:r w:rsidR="00894792">
        <w:rPr>
          <w:rFonts w:eastAsia="Arial Unicode MS"/>
          <w:noProof/>
          <w:lang w:val="en-IE"/>
        </w:rPr>
        <w:t> </w:t>
      </w:r>
      <w:r w:rsidR="001817AC">
        <w:rPr>
          <w:rStyle w:val="FootnoteReference"/>
          <w:rFonts w:eastAsia="Arial Unicode MS"/>
          <w:noProof/>
          <w:lang w:val="en-IE"/>
        </w:rPr>
        <w:footnoteReference w:id="34"/>
      </w:r>
      <w:r w:rsidR="00DA3479" w:rsidRPr="00DC2D56">
        <w:rPr>
          <w:rFonts w:eastAsia="Arial Unicode MS"/>
          <w:noProof/>
          <w:lang w:val="en-IE"/>
        </w:rPr>
        <w:t xml:space="preserve">. </w:t>
      </w:r>
      <w:r w:rsidR="005F6E0B">
        <w:rPr>
          <w:rFonts w:eastAsia="Arial Unicode MS"/>
          <w:noProof/>
          <w:lang w:val="en-IE"/>
        </w:rPr>
        <w:t>Conversely, e</w:t>
      </w:r>
      <w:r w:rsidR="00DA3479" w:rsidRPr="00DC2D56">
        <w:rPr>
          <w:rFonts w:eastAsia="Arial Unicode MS"/>
          <w:noProof/>
          <w:lang w:val="en-IE"/>
        </w:rPr>
        <w:t xml:space="preserve">xternal-cost charges </w:t>
      </w:r>
      <w:r w:rsidR="005F6E0B">
        <w:rPr>
          <w:rFonts w:eastAsia="Arial Unicode MS"/>
          <w:noProof/>
          <w:lang w:val="en-IE"/>
        </w:rPr>
        <w:t xml:space="preserve">generate revenue and </w:t>
      </w:r>
      <w:r w:rsidR="00DA3479" w:rsidRPr="00DC2D56">
        <w:rPr>
          <w:rFonts w:eastAsia="Arial Unicode MS"/>
          <w:noProof/>
          <w:lang w:val="en-IE"/>
        </w:rPr>
        <w:t>positive</w:t>
      </w:r>
      <w:r w:rsidR="005F6E0B">
        <w:rPr>
          <w:rFonts w:eastAsia="Arial Unicode MS"/>
          <w:noProof/>
          <w:lang w:val="en-IE"/>
        </w:rPr>
        <w:t>ly impact</w:t>
      </w:r>
      <w:r w:rsidR="00DA3479" w:rsidRPr="00DC2D56">
        <w:rPr>
          <w:rFonts w:eastAsia="Arial Unicode MS"/>
          <w:noProof/>
          <w:lang w:val="en-IE"/>
        </w:rPr>
        <w:t xml:space="preserve"> national budgets. The Directive </w:t>
      </w:r>
      <w:r w:rsidR="00CF16D6" w:rsidRPr="00DC2D56">
        <w:rPr>
          <w:rFonts w:eastAsia="Arial Unicode MS"/>
          <w:noProof/>
          <w:lang w:val="en-IE"/>
        </w:rPr>
        <w:t>offers</w:t>
      </w:r>
      <w:r w:rsidR="00DA3479" w:rsidRPr="00DC2D56">
        <w:rPr>
          <w:rFonts w:eastAsia="Arial Unicode MS"/>
          <w:noProof/>
          <w:lang w:val="en-IE"/>
        </w:rPr>
        <w:t xml:space="preserve"> th</w:t>
      </w:r>
      <w:r w:rsidR="008D2891" w:rsidRPr="00DC2D56">
        <w:rPr>
          <w:rFonts w:eastAsia="Arial Unicode MS"/>
          <w:noProof/>
          <w:lang w:val="en-IE"/>
        </w:rPr>
        <w:t>r</w:t>
      </w:r>
      <w:r w:rsidR="00DA3479" w:rsidRPr="00DC2D56">
        <w:rPr>
          <w:rFonts w:eastAsia="Arial Unicode MS"/>
          <w:noProof/>
          <w:lang w:val="en-IE"/>
        </w:rPr>
        <w:t xml:space="preserve">ee options to </w:t>
      </w:r>
      <w:r w:rsidR="002A6DE3" w:rsidRPr="00DC2D56">
        <w:rPr>
          <w:rFonts w:eastAsia="Arial Unicode MS"/>
          <w:noProof/>
          <w:lang w:val="en-IE"/>
        </w:rPr>
        <w:t>Member States</w:t>
      </w:r>
      <w:r w:rsidR="00553F07">
        <w:rPr>
          <w:rFonts w:eastAsia="Arial Unicode MS"/>
          <w:noProof/>
          <w:lang w:val="en-IE"/>
        </w:rPr>
        <w:t>, which</w:t>
      </w:r>
      <w:r w:rsidR="008D2891" w:rsidRPr="00DC2D56">
        <w:rPr>
          <w:rFonts w:eastAsia="Arial Unicode MS"/>
          <w:noProof/>
          <w:lang w:val="en-IE"/>
        </w:rPr>
        <w:t xml:space="preserve"> may implement:</w:t>
      </w:r>
    </w:p>
    <w:p w:rsidR="008D2891" w:rsidRPr="00762A61" w:rsidRDefault="00EE5364" w:rsidP="00762A6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Arial Unicode MS"/>
          <w:noProof/>
          <w:lang w:val="en-IE"/>
        </w:rPr>
      </w:pPr>
      <w:r w:rsidRPr="00762A61">
        <w:rPr>
          <w:rFonts w:eastAsia="Arial Unicode MS"/>
          <w:noProof/>
          <w:lang w:val="en-IE"/>
        </w:rPr>
        <w:t xml:space="preserve">road charge </w:t>
      </w:r>
      <w:r w:rsidR="003070F8" w:rsidRPr="00762A61">
        <w:rPr>
          <w:rFonts w:eastAsia="Arial Unicode MS"/>
          <w:noProof/>
          <w:lang w:val="en-IE"/>
        </w:rPr>
        <w:t>reduction</w:t>
      </w:r>
      <w:r w:rsidR="00364ADA" w:rsidRPr="00762A61">
        <w:rPr>
          <w:rFonts w:eastAsia="Arial Unicode MS"/>
          <w:noProof/>
          <w:lang w:val="en-IE"/>
        </w:rPr>
        <w:t>s</w:t>
      </w:r>
      <w:r w:rsidR="003070F8" w:rsidRPr="00762A61">
        <w:rPr>
          <w:rFonts w:eastAsia="Arial Unicode MS"/>
          <w:noProof/>
          <w:lang w:val="en-IE"/>
        </w:rPr>
        <w:t xml:space="preserve"> or </w:t>
      </w:r>
      <w:r w:rsidRPr="00762A61">
        <w:rPr>
          <w:rFonts w:eastAsia="Arial Unicode MS"/>
          <w:noProof/>
          <w:lang w:val="en-IE"/>
        </w:rPr>
        <w:t>exemptions</w:t>
      </w:r>
      <w:r w:rsidR="000E26D9" w:rsidRPr="00762A61">
        <w:rPr>
          <w:rFonts w:eastAsia="Arial Unicode MS"/>
          <w:noProof/>
          <w:lang w:val="en-IE"/>
        </w:rPr>
        <w:t xml:space="preserve"> </w:t>
      </w:r>
      <w:r w:rsidR="0030216E" w:rsidRPr="00762A61">
        <w:rPr>
          <w:rFonts w:eastAsia="Arial Unicode MS"/>
          <w:noProof/>
          <w:lang w:val="en-IE"/>
        </w:rPr>
        <w:t xml:space="preserve">in order </w:t>
      </w:r>
      <w:r w:rsidR="000E26D9" w:rsidRPr="00762A61">
        <w:rPr>
          <w:rFonts w:eastAsia="Arial Unicode MS"/>
          <w:noProof/>
          <w:lang w:val="en-IE"/>
        </w:rPr>
        <w:t xml:space="preserve">to incentivise </w:t>
      </w:r>
      <w:r w:rsidR="00905AA4" w:rsidRPr="00762A61">
        <w:rPr>
          <w:rFonts w:eastAsia="Arial Unicode MS"/>
          <w:noProof/>
          <w:lang w:val="en-IE"/>
        </w:rPr>
        <w:t>investment in</w:t>
      </w:r>
      <w:r w:rsidR="000E26D9" w:rsidRPr="00762A61">
        <w:rPr>
          <w:rFonts w:eastAsia="Arial Unicode MS"/>
          <w:noProof/>
          <w:lang w:val="en-IE"/>
        </w:rPr>
        <w:t xml:space="preserve"> cleaner vehicles</w:t>
      </w:r>
      <w:r w:rsidR="00DA04CE" w:rsidRPr="00762A61">
        <w:rPr>
          <w:rFonts w:eastAsia="Arial Unicode MS"/>
          <w:noProof/>
          <w:lang w:val="en-IE"/>
        </w:rPr>
        <w:t>;</w:t>
      </w:r>
      <w:r w:rsidR="002A6DE3" w:rsidRPr="00762A61">
        <w:rPr>
          <w:rFonts w:eastAsia="Arial Unicode MS"/>
          <w:noProof/>
          <w:lang w:val="en-IE"/>
        </w:rPr>
        <w:t xml:space="preserve"> </w:t>
      </w:r>
    </w:p>
    <w:p w:rsidR="008D2891" w:rsidRPr="00762A61" w:rsidRDefault="000E26D9" w:rsidP="00762A6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762A61">
        <w:rPr>
          <w:rFonts w:eastAsia="Arial Unicode MS"/>
          <w:noProof/>
          <w:lang w:val="en-IE"/>
        </w:rPr>
        <w:t>external</w:t>
      </w:r>
      <w:r w:rsidR="001B5801" w:rsidRPr="00762A61">
        <w:rPr>
          <w:rFonts w:eastAsia="Arial Unicode MS"/>
          <w:noProof/>
          <w:lang w:val="en-IE"/>
        </w:rPr>
        <w:t>-</w:t>
      </w:r>
      <w:r w:rsidRPr="00762A61">
        <w:rPr>
          <w:rFonts w:eastAsia="Arial Unicode MS"/>
          <w:noProof/>
          <w:lang w:val="en-IE"/>
        </w:rPr>
        <w:t xml:space="preserve">costs </w:t>
      </w:r>
      <w:r w:rsidR="001B5801" w:rsidRPr="00762A61">
        <w:rPr>
          <w:rFonts w:eastAsia="Arial Unicode MS"/>
          <w:noProof/>
          <w:lang w:val="en-IE"/>
        </w:rPr>
        <w:t xml:space="preserve">charges </w:t>
      </w:r>
      <w:r w:rsidR="0030216E" w:rsidRPr="00762A61">
        <w:rPr>
          <w:rFonts w:eastAsia="Arial Unicode MS"/>
          <w:noProof/>
          <w:lang w:val="en-IE"/>
        </w:rPr>
        <w:t xml:space="preserve">in order </w:t>
      </w:r>
      <w:r w:rsidRPr="00762A61">
        <w:rPr>
          <w:rFonts w:eastAsia="Arial Unicode MS"/>
          <w:noProof/>
          <w:lang w:val="en-IE"/>
        </w:rPr>
        <w:t xml:space="preserve">to factor </w:t>
      </w:r>
      <w:r w:rsidR="00905AA4" w:rsidRPr="00762A61">
        <w:rPr>
          <w:rFonts w:eastAsia="Arial Unicode MS"/>
          <w:noProof/>
          <w:lang w:val="en-IE"/>
        </w:rPr>
        <w:t>those</w:t>
      </w:r>
      <w:r w:rsidR="001B5801" w:rsidRPr="00762A61">
        <w:rPr>
          <w:rFonts w:eastAsia="Arial Unicode MS"/>
          <w:noProof/>
          <w:lang w:val="en-IE"/>
        </w:rPr>
        <w:t xml:space="preserve"> </w:t>
      </w:r>
      <w:r w:rsidR="0030216E" w:rsidRPr="00762A61">
        <w:rPr>
          <w:rFonts w:eastAsia="Arial Unicode MS"/>
          <w:noProof/>
          <w:lang w:val="en-IE"/>
        </w:rPr>
        <w:t xml:space="preserve">external </w:t>
      </w:r>
      <w:r w:rsidR="001B5801" w:rsidRPr="00762A61">
        <w:rPr>
          <w:rFonts w:eastAsia="Arial Unicode MS"/>
          <w:noProof/>
          <w:lang w:val="en-IE"/>
        </w:rPr>
        <w:t xml:space="preserve">costs </w:t>
      </w:r>
      <w:r w:rsidRPr="00762A61">
        <w:rPr>
          <w:rFonts w:eastAsia="Arial Unicode MS"/>
          <w:noProof/>
          <w:lang w:val="en-IE"/>
        </w:rPr>
        <w:t>in</w:t>
      </w:r>
      <w:r w:rsidR="0030216E" w:rsidRPr="00762A61">
        <w:rPr>
          <w:rFonts w:eastAsia="Arial Unicode MS"/>
          <w:noProof/>
          <w:lang w:val="en-IE"/>
        </w:rPr>
        <w:t>to</w:t>
      </w:r>
      <w:r w:rsidRPr="00762A61">
        <w:rPr>
          <w:rFonts w:eastAsia="Arial Unicode MS"/>
          <w:noProof/>
          <w:lang w:val="en-IE"/>
        </w:rPr>
        <w:t xml:space="preserve"> the </w:t>
      </w:r>
      <w:r w:rsidR="00D46C84" w:rsidRPr="00762A61">
        <w:rPr>
          <w:rFonts w:eastAsia="Arial Unicode MS"/>
          <w:noProof/>
          <w:lang w:val="en-IE"/>
        </w:rPr>
        <w:t>investment decisions</w:t>
      </w:r>
      <w:r w:rsidR="00905AA4" w:rsidRPr="00762A61">
        <w:rPr>
          <w:rFonts w:eastAsia="Arial Unicode MS"/>
          <w:noProof/>
          <w:lang w:val="en-IE"/>
        </w:rPr>
        <w:t xml:space="preserve"> of the private sector</w:t>
      </w:r>
      <w:r w:rsidR="00DA04CE" w:rsidRPr="00762A61">
        <w:rPr>
          <w:rFonts w:eastAsia="Arial Unicode MS"/>
          <w:noProof/>
          <w:lang w:val="en-IE"/>
        </w:rPr>
        <w:t>;</w:t>
      </w:r>
    </w:p>
    <w:p w:rsidR="00DA3479" w:rsidRPr="00762A61" w:rsidRDefault="002A6DE3" w:rsidP="00762A61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762A61">
        <w:rPr>
          <w:rFonts w:eastAsia="Arial Unicode MS"/>
          <w:noProof/>
          <w:lang w:val="en-IE"/>
        </w:rPr>
        <w:t>both</w:t>
      </w:r>
      <w:r w:rsidR="00BB6739" w:rsidRPr="00762A61">
        <w:rPr>
          <w:rFonts w:eastAsia="Arial Unicode MS"/>
          <w:noProof/>
          <w:lang w:val="en-IE"/>
        </w:rPr>
        <w:t xml:space="preserve"> </w:t>
      </w:r>
      <w:r w:rsidR="0030216E" w:rsidRPr="00762A61">
        <w:rPr>
          <w:rFonts w:eastAsia="Arial Unicode MS"/>
          <w:noProof/>
          <w:lang w:val="en-IE"/>
        </w:rPr>
        <w:t xml:space="preserve">these </w:t>
      </w:r>
      <w:r w:rsidR="00BB6739" w:rsidRPr="00762A61">
        <w:rPr>
          <w:rFonts w:eastAsia="Arial Unicode MS"/>
          <w:noProof/>
          <w:lang w:val="en-IE"/>
        </w:rPr>
        <w:t>instruments simultaneously</w:t>
      </w:r>
      <w:r w:rsidR="00457837" w:rsidRPr="00762A61">
        <w:rPr>
          <w:rFonts w:eastAsia="Arial Unicode MS"/>
          <w:noProof/>
          <w:lang w:val="en-IE"/>
        </w:rPr>
        <w:t xml:space="preserve"> in order</w:t>
      </w:r>
      <w:r w:rsidR="002E5406" w:rsidRPr="00762A61">
        <w:rPr>
          <w:rFonts w:eastAsia="Arial Unicode MS"/>
          <w:noProof/>
          <w:lang w:val="en-IE"/>
        </w:rPr>
        <w:t xml:space="preserve"> to maximise the reduction in the TCO gap between conventional vehicles and zero-emission vehicles</w:t>
      </w:r>
      <w:r w:rsidRPr="00762A61">
        <w:rPr>
          <w:rFonts w:eastAsia="Arial Unicode MS"/>
          <w:noProof/>
          <w:lang w:val="en-IE"/>
        </w:rPr>
        <w:t xml:space="preserve">. </w:t>
      </w:r>
    </w:p>
    <w:p w:rsidR="00AB2550" w:rsidRPr="00DC2D56" w:rsidRDefault="008D2891" w:rsidP="00AB2550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>In the short and medium terms</w:t>
      </w:r>
      <w:r w:rsidR="00457837">
        <w:rPr>
          <w:rFonts w:eastAsia="Arial Unicode MS"/>
          <w:noProof/>
          <w:lang w:val="en-IE"/>
        </w:rPr>
        <w:t xml:space="preserve"> (i.e. </w:t>
      </w:r>
      <w:r w:rsidR="005A16D8" w:rsidRPr="00DC2D56">
        <w:rPr>
          <w:rFonts w:eastAsia="Arial Unicode MS"/>
          <w:noProof/>
          <w:lang w:val="en-IE"/>
        </w:rPr>
        <w:t xml:space="preserve">the temporal scope of this </w:t>
      </w:r>
      <w:r w:rsidR="00B307C9">
        <w:rPr>
          <w:rFonts w:eastAsia="Arial Unicode MS"/>
          <w:noProof/>
          <w:lang w:val="en-IE"/>
        </w:rPr>
        <w:t>proposal</w:t>
      </w:r>
      <w:r w:rsidR="00457837">
        <w:rPr>
          <w:rFonts w:eastAsia="Arial Unicode MS"/>
          <w:noProof/>
          <w:lang w:val="en-IE"/>
        </w:rPr>
        <w:t>)</w:t>
      </w:r>
      <w:r w:rsidR="005A16D8" w:rsidRPr="00DC2D56">
        <w:rPr>
          <w:rFonts w:eastAsia="Arial Unicode MS"/>
          <w:noProof/>
          <w:lang w:val="en-IE"/>
        </w:rPr>
        <w:t>,</w:t>
      </w:r>
      <w:r w:rsidRPr="00DC2D56">
        <w:rPr>
          <w:rFonts w:eastAsia="Arial Unicode MS"/>
          <w:noProof/>
          <w:lang w:val="en-IE"/>
        </w:rPr>
        <w:t xml:space="preserve"> t</w:t>
      </w:r>
      <w:r w:rsidR="00BB6739" w:rsidRPr="00DC2D56">
        <w:rPr>
          <w:rFonts w:eastAsia="Arial Unicode MS"/>
          <w:noProof/>
          <w:lang w:val="en-IE"/>
        </w:rPr>
        <w:t xml:space="preserve">he </w:t>
      </w:r>
      <w:r w:rsidR="000640BF">
        <w:rPr>
          <w:rFonts w:eastAsia="Arial Unicode MS"/>
          <w:noProof/>
          <w:lang w:val="en-IE"/>
        </w:rPr>
        <w:t xml:space="preserve">potential </w:t>
      </w:r>
      <w:r w:rsidR="00BB6739" w:rsidRPr="00DC2D56">
        <w:rPr>
          <w:rFonts w:eastAsia="Arial Unicode MS"/>
          <w:noProof/>
          <w:lang w:val="en-IE"/>
        </w:rPr>
        <w:t xml:space="preserve">negative effect of road charges reductions </w:t>
      </w:r>
      <w:r w:rsidR="005A16D8" w:rsidRPr="00DC2D56">
        <w:rPr>
          <w:rFonts w:eastAsia="Arial Unicode MS"/>
          <w:noProof/>
          <w:lang w:val="en-IE"/>
        </w:rPr>
        <w:t xml:space="preserve">on national budgets </w:t>
      </w:r>
      <w:r w:rsidR="0019722F" w:rsidRPr="00DC2D56">
        <w:rPr>
          <w:rFonts w:eastAsia="Arial Unicode MS"/>
          <w:noProof/>
          <w:lang w:val="en-IE"/>
        </w:rPr>
        <w:t xml:space="preserve">can be expected to be </w:t>
      </w:r>
      <w:r w:rsidR="00457837">
        <w:rPr>
          <w:rFonts w:eastAsia="Arial Unicode MS"/>
          <w:noProof/>
          <w:lang w:val="en-IE"/>
        </w:rPr>
        <w:t>less</w:t>
      </w:r>
      <w:r w:rsidR="00457837" w:rsidRPr="00DC2D56">
        <w:rPr>
          <w:rFonts w:eastAsia="Arial Unicode MS"/>
          <w:noProof/>
          <w:lang w:val="en-IE"/>
        </w:rPr>
        <w:t xml:space="preserve"> </w:t>
      </w:r>
      <w:r w:rsidR="0019722F" w:rsidRPr="00DC2D56">
        <w:rPr>
          <w:rFonts w:eastAsia="Arial Unicode MS"/>
          <w:noProof/>
          <w:lang w:val="en-IE"/>
        </w:rPr>
        <w:t>than the positive effect of external-cost charges</w:t>
      </w:r>
      <w:r w:rsidR="00FA136F">
        <w:rPr>
          <w:rFonts w:eastAsia="Arial Unicode MS"/>
          <w:noProof/>
          <w:lang w:val="en-IE"/>
        </w:rPr>
        <w:t xml:space="preserve">. The reason is that </w:t>
      </w:r>
      <w:r w:rsidR="00C50206">
        <w:rPr>
          <w:rFonts w:eastAsia="Arial Unicode MS"/>
          <w:noProof/>
          <w:lang w:val="en-IE"/>
        </w:rPr>
        <w:t>today</w:t>
      </w:r>
      <w:r w:rsidR="00C50206" w:rsidRPr="00DC2D56">
        <w:rPr>
          <w:rFonts w:eastAsia="Arial Unicode MS"/>
          <w:noProof/>
          <w:lang w:val="en-IE"/>
        </w:rPr>
        <w:t xml:space="preserve"> </w:t>
      </w:r>
      <w:r w:rsidR="0019722F" w:rsidRPr="00DC2D56">
        <w:rPr>
          <w:rFonts w:eastAsia="Arial Unicode MS"/>
          <w:noProof/>
          <w:lang w:val="en-IE"/>
        </w:rPr>
        <w:t xml:space="preserve">zero-emission vehicles </w:t>
      </w:r>
      <w:r w:rsidR="00457837">
        <w:rPr>
          <w:rFonts w:eastAsia="Arial Unicode MS"/>
          <w:noProof/>
          <w:lang w:val="en-IE"/>
        </w:rPr>
        <w:t xml:space="preserve">are </w:t>
      </w:r>
      <w:r w:rsidR="00457837" w:rsidRPr="00DC2D56">
        <w:rPr>
          <w:rFonts w:eastAsia="Arial Unicode MS"/>
          <w:noProof/>
          <w:lang w:val="en-IE"/>
        </w:rPr>
        <w:t xml:space="preserve">still </w:t>
      </w:r>
      <w:r w:rsidR="00457837">
        <w:rPr>
          <w:rFonts w:eastAsia="Arial Unicode MS"/>
          <w:noProof/>
          <w:lang w:val="en-IE"/>
        </w:rPr>
        <w:t xml:space="preserve">a </w:t>
      </w:r>
      <w:r w:rsidR="00457837" w:rsidRPr="00DC2D56">
        <w:rPr>
          <w:rFonts w:eastAsia="Arial Unicode MS"/>
          <w:noProof/>
          <w:lang w:val="en-IE"/>
        </w:rPr>
        <w:t xml:space="preserve">very </w:t>
      </w:r>
      <w:r w:rsidR="00457837">
        <w:rPr>
          <w:rFonts w:eastAsia="Arial Unicode MS"/>
          <w:noProof/>
          <w:lang w:val="en-IE"/>
        </w:rPr>
        <w:t xml:space="preserve">small part of </w:t>
      </w:r>
      <w:r w:rsidR="0019722F" w:rsidRPr="00DC2D56">
        <w:rPr>
          <w:rFonts w:eastAsia="Arial Unicode MS"/>
          <w:noProof/>
          <w:lang w:val="en-IE"/>
        </w:rPr>
        <w:t>the vehicle fleet</w:t>
      </w:r>
      <w:r w:rsidR="00CA05BF">
        <w:rPr>
          <w:noProof/>
          <w:lang w:val="en-IE"/>
        </w:rPr>
        <w:t> </w:t>
      </w:r>
      <w:r w:rsidR="005A16D8" w:rsidRPr="00FA136F">
        <w:rPr>
          <w:rStyle w:val="FootnoteReference"/>
          <w:rFonts w:eastAsia="Arial Unicode MS"/>
          <w:noProof/>
          <w:lang w:val="en-IE"/>
        </w:rPr>
        <w:footnoteReference w:id="35"/>
      </w:r>
      <w:r w:rsidR="00FA136F" w:rsidRPr="00FA136F">
        <w:rPr>
          <w:noProof/>
          <w:lang w:val="en-IE"/>
        </w:rPr>
        <w:t xml:space="preserve"> </w:t>
      </w:r>
      <w:r w:rsidR="00FA136F" w:rsidRPr="009D1A25">
        <w:rPr>
          <w:noProof/>
          <w:lang w:val="en-IE"/>
        </w:rPr>
        <w:t>and by 2030 they are expected to be 5% to 9% of the heavy-duty vehicle fleet </w:t>
      </w:r>
      <w:r w:rsidR="00FA136F" w:rsidRPr="00FA136F">
        <w:rPr>
          <w:rStyle w:val="FootnoteReference"/>
          <w:noProof/>
          <w:lang w:val="en-IE"/>
        </w:rPr>
        <w:footnoteReference w:id="36"/>
      </w:r>
      <w:r w:rsidR="0019722F" w:rsidRPr="00FA136F">
        <w:rPr>
          <w:rFonts w:eastAsia="Arial Unicode MS"/>
          <w:noProof/>
          <w:lang w:val="en-IE"/>
        </w:rPr>
        <w:t xml:space="preserve">. </w:t>
      </w:r>
      <w:r w:rsidR="005A16D8" w:rsidRPr="00FA136F">
        <w:rPr>
          <w:rFonts w:eastAsia="Arial Unicode MS"/>
          <w:noProof/>
          <w:lang w:val="en-IE"/>
        </w:rPr>
        <w:t>Accordingly</w:t>
      </w:r>
      <w:r w:rsidR="005A16D8" w:rsidRPr="00DC2D56">
        <w:rPr>
          <w:rFonts w:eastAsia="Arial Unicode MS"/>
          <w:noProof/>
          <w:lang w:val="en-IE"/>
        </w:rPr>
        <w:t>, if</w:t>
      </w:r>
      <w:r w:rsidR="003070F8" w:rsidRPr="00DC2D56">
        <w:rPr>
          <w:rFonts w:eastAsia="Arial Unicode MS"/>
          <w:noProof/>
          <w:lang w:val="en-IE"/>
        </w:rPr>
        <w:t xml:space="preserve"> both </w:t>
      </w:r>
      <w:r w:rsidR="0019722F" w:rsidRPr="00DC2D56">
        <w:rPr>
          <w:rFonts w:eastAsia="Arial Unicode MS"/>
          <w:noProof/>
          <w:lang w:val="en-IE"/>
        </w:rPr>
        <w:t xml:space="preserve">instruments </w:t>
      </w:r>
      <w:r w:rsidR="003070F8" w:rsidRPr="00DC2D56">
        <w:rPr>
          <w:rFonts w:eastAsia="Arial Unicode MS"/>
          <w:noProof/>
          <w:lang w:val="en-IE"/>
        </w:rPr>
        <w:t>are applied</w:t>
      </w:r>
      <w:r w:rsidR="001D1366" w:rsidRPr="00DC2D56">
        <w:rPr>
          <w:rFonts w:eastAsia="Arial Unicode MS"/>
          <w:noProof/>
          <w:lang w:val="en-IE"/>
        </w:rPr>
        <w:t xml:space="preserve"> simultaneously</w:t>
      </w:r>
      <w:r w:rsidR="003070F8" w:rsidRPr="00DC2D56">
        <w:rPr>
          <w:rFonts w:eastAsia="Arial Unicode MS"/>
          <w:noProof/>
          <w:lang w:val="en-IE"/>
        </w:rPr>
        <w:t xml:space="preserve">, </w:t>
      </w:r>
      <w:r w:rsidR="005D4538" w:rsidRPr="00DC2D56">
        <w:rPr>
          <w:rFonts w:eastAsia="Arial Unicode MS"/>
          <w:noProof/>
          <w:lang w:val="en-IE"/>
        </w:rPr>
        <w:t>the revenues from</w:t>
      </w:r>
      <w:r w:rsidR="001B5801" w:rsidRPr="00DC2D56">
        <w:rPr>
          <w:rFonts w:eastAsia="Arial Unicode MS"/>
          <w:noProof/>
          <w:lang w:val="en-IE"/>
        </w:rPr>
        <w:t xml:space="preserve"> external-cost charges</w:t>
      </w:r>
      <w:r w:rsidR="003070F8" w:rsidRPr="00DC2D56">
        <w:rPr>
          <w:rFonts w:eastAsia="Arial Unicode MS"/>
          <w:noProof/>
          <w:lang w:val="en-IE"/>
        </w:rPr>
        <w:t xml:space="preserve"> </w:t>
      </w:r>
      <w:r w:rsidR="005D4538" w:rsidRPr="00DC2D56">
        <w:rPr>
          <w:rFonts w:eastAsia="Arial Unicode MS"/>
          <w:noProof/>
          <w:lang w:val="en-IE"/>
        </w:rPr>
        <w:t>can be expected to be</w:t>
      </w:r>
      <w:r w:rsidR="003070F8" w:rsidRPr="00DC2D56">
        <w:rPr>
          <w:rFonts w:eastAsia="Arial Unicode MS"/>
          <w:noProof/>
          <w:lang w:val="en-IE"/>
        </w:rPr>
        <w:t xml:space="preserve"> greater than the </w:t>
      </w:r>
      <w:r w:rsidR="005D4538" w:rsidRPr="00DC2D56">
        <w:rPr>
          <w:rFonts w:eastAsia="Arial Unicode MS"/>
          <w:noProof/>
          <w:lang w:val="en-IE"/>
        </w:rPr>
        <w:t>foregone revenues</w:t>
      </w:r>
      <w:r w:rsidR="001B5801" w:rsidRPr="00DC2D56">
        <w:rPr>
          <w:rFonts w:eastAsia="Arial Unicode MS"/>
          <w:noProof/>
          <w:lang w:val="en-IE"/>
        </w:rPr>
        <w:t xml:space="preserve"> of road charges reductions or exemptions</w:t>
      </w:r>
      <w:r w:rsidR="003070F8" w:rsidRPr="00DC2D56">
        <w:rPr>
          <w:rFonts w:eastAsia="Arial Unicode MS"/>
          <w:noProof/>
          <w:lang w:val="en-IE"/>
        </w:rPr>
        <w:t>.</w:t>
      </w:r>
      <w:r w:rsidR="00A6570D" w:rsidRPr="00DC2D56">
        <w:rPr>
          <w:rFonts w:eastAsia="Arial Unicode MS"/>
          <w:noProof/>
          <w:lang w:val="en-IE"/>
        </w:rPr>
        <w:t xml:space="preserve"> The use of the revenues </w:t>
      </w:r>
      <w:r w:rsidR="005D4538" w:rsidRPr="00DC2D56">
        <w:rPr>
          <w:rFonts w:eastAsia="Arial Unicode MS"/>
          <w:noProof/>
          <w:lang w:val="en-IE"/>
        </w:rPr>
        <w:t>generated by</w:t>
      </w:r>
      <w:r w:rsidR="00A6570D" w:rsidRPr="00DC2D56">
        <w:rPr>
          <w:rFonts w:eastAsia="Arial Unicode MS"/>
          <w:noProof/>
          <w:lang w:val="en-IE"/>
        </w:rPr>
        <w:t xml:space="preserve"> road charges (infrastructure or user charges) and </w:t>
      </w:r>
      <w:r w:rsidR="005D4538" w:rsidRPr="00DC2D56">
        <w:rPr>
          <w:rFonts w:eastAsia="Arial Unicode MS"/>
          <w:noProof/>
          <w:lang w:val="en-IE"/>
        </w:rPr>
        <w:t>by</w:t>
      </w:r>
      <w:r w:rsidR="00A6570D" w:rsidRPr="00DC2D56">
        <w:rPr>
          <w:rFonts w:eastAsia="Arial Unicode MS"/>
          <w:noProof/>
          <w:lang w:val="en-IE"/>
        </w:rPr>
        <w:t xml:space="preserve"> external-cost charges is regulated under </w:t>
      </w:r>
      <w:r w:rsidR="00AC6E2A" w:rsidRPr="00DC2D56">
        <w:rPr>
          <w:rFonts w:eastAsia="Arial Unicode MS"/>
          <w:noProof/>
          <w:lang w:val="en-IE"/>
        </w:rPr>
        <w:t>Article</w:t>
      </w:r>
      <w:r w:rsidR="008D709A">
        <w:rPr>
          <w:rFonts w:eastAsia="Arial Unicode MS"/>
          <w:noProof/>
          <w:lang w:val="en-IE"/>
        </w:rPr>
        <w:t> </w:t>
      </w:r>
      <w:r w:rsidR="00AC6E2A" w:rsidRPr="00DC2D56">
        <w:rPr>
          <w:rFonts w:eastAsia="Arial Unicode MS"/>
          <w:noProof/>
          <w:lang w:val="en-IE"/>
        </w:rPr>
        <w:t>9(2) of Directive 1999/62/EC.</w:t>
      </w:r>
    </w:p>
    <w:p w:rsidR="008E70C2" w:rsidRPr="00DC2D56" w:rsidRDefault="008E70C2">
      <w:pPr>
        <w:pStyle w:val="ManualHeading1"/>
        <w:rPr>
          <w:noProof/>
          <w:lang w:val="en-IE"/>
        </w:rPr>
      </w:pPr>
      <w:r w:rsidRPr="00DC2D56">
        <w:rPr>
          <w:noProof/>
          <w:lang w:val="en-IE"/>
        </w:rPr>
        <w:t>5.</w:t>
      </w:r>
      <w:r w:rsidRPr="00DC2D56">
        <w:rPr>
          <w:noProof/>
          <w:lang w:val="en-IE"/>
        </w:rPr>
        <w:tab/>
        <w:t>OTHER ELEMENTS</w:t>
      </w:r>
    </w:p>
    <w:p w:rsidR="008E70C2" w:rsidRPr="00DC2D56" w:rsidRDefault="008E70C2">
      <w:pPr>
        <w:pStyle w:val="ManualHeading2"/>
        <w:rPr>
          <w:rFonts w:eastAsia="Arial Unicode MS"/>
          <w:noProof/>
          <w:u w:color="000000"/>
          <w:bdr w:val="nil"/>
          <w:lang w:val="en-IE" w:eastAsia="en-GB"/>
        </w:rPr>
      </w:pPr>
      <w:r w:rsidRPr="00DC2D56">
        <w:rPr>
          <w:rFonts w:eastAsia="Arial Unicode MS"/>
          <w:noProof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u w:color="000000"/>
          <w:bdr w:val="nil"/>
          <w:lang w:val="en-IE" w:eastAsia="en-GB"/>
        </w:rPr>
        <w:tab/>
        <w:t>Implementation plans and monitoring, evaluation and reporting arrangements</w:t>
      </w:r>
    </w:p>
    <w:p w:rsidR="003C16A6" w:rsidRPr="00DC2D56" w:rsidRDefault="00534191" w:rsidP="00F123E7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>
        <w:rPr>
          <w:rFonts w:eastAsia="Arial Unicode MS"/>
          <w:noProof/>
          <w:lang w:val="en-IE"/>
        </w:rPr>
        <w:t xml:space="preserve">Article 11 of </w:t>
      </w:r>
      <w:r w:rsidR="000F0C30" w:rsidRPr="00DC2D56">
        <w:rPr>
          <w:rFonts w:eastAsia="Arial Unicode MS"/>
          <w:noProof/>
          <w:lang w:val="en-IE"/>
        </w:rPr>
        <w:t xml:space="preserve">Directive </w:t>
      </w:r>
      <w:r w:rsidR="00F123E7" w:rsidRPr="00DC2D56">
        <w:rPr>
          <w:rFonts w:eastAsia="Arial Unicode MS"/>
          <w:noProof/>
          <w:lang w:val="en-IE"/>
        </w:rPr>
        <w:t xml:space="preserve">1999/62/EC </w:t>
      </w:r>
      <w:r>
        <w:rPr>
          <w:rFonts w:eastAsia="Arial Unicode MS"/>
          <w:noProof/>
          <w:lang w:val="en-IE"/>
        </w:rPr>
        <w:t xml:space="preserve">sets </w:t>
      </w:r>
      <w:r w:rsidR="000F0C30" w:rsidRPr="00DC2D56">
        <w:rPr>
          <w:rFonts w:eastAsia="Arial Unicode MS"/>
          <w:noProof/>
          <w:lang w:val="en-IE"/>
        </w:rPr>
        <w:t xml:space="preserve">a </w:t>
      </w:r>
      <w:r>
        <w:rPr>
          <w:rFonts w:eastAsia="Arial Unicode MS"/>
          <w:noProof/>
          <w:lang w:val="en-IE"/>
        </w:rPr>
        <w:t xml:space="preserve">five-yearly </w:t>
      </w:r>
      <w:r w:rsidR="000F0C30" w:rsidRPr="00DC2D56">
        <w:rPr>
          <w:rFonts w:eastAsia="Arial Unicode MS"/>
          <w:noProof/>
          <w:lang w:val="en-IE"/>
        </w:rPr>
        <w:t>reporting obligation</w:t>
      </w:r>
      <w:r w:rsidR="005F5C64" w:rsidRPr="00DC2D56">
        <w:rPr>
          <w:rFonts w:eastAsia="Arial Unicode MS"/>
          <w:noProof/>
          <w:lang w:val="en-IE"/>
        </w:rPr>
        <w:t xml:space="preserve">. The </w:t>
      </w:r>
      <w:r>
        <w:rPr>
          <w:rFonts w:eastAsia="Arial Unicode MS"/>
          <w:noProof/>
          <w:lang w:val="en-IE"/>
        </w:rPr>
        <w:t xml:space="preserve">latest </w:t>
      </w:r>
      <w:r w:rsidR="005F5C64" w:rsidRPr="00DC2D56">
        <w:rPr>
          <w:rFonts w:eastAsia="Arial Unicode MS"/>
          <w:noProof/>
          <w:lang w:val="en-IE"/>
        </w:rPr>
        <w:t xml:space="preserve">deadline was </w:t>
      </w:r>
      <w:r w:rsidR="000070CD" w:rsidRPr="00DC2D56">
        <w:rPr>
          <w:rFonts w:eastAsia="Arial Unicode MS"/>
          <w:noProof/>
          <w:lang w:val="en-IE"/>
        </w:rPr>
        <w:t>25</w:t>
      </w:r>
      <w:r w:rsidR="008D709A">
        <w:rPr>
          <w:rFonts w:eastAsia="Arial Unicode MS"/>
          <w:noProof/>
          <w:lang w:val="en-IE"/>
        </w:rPr>
        <w:t> </w:t>
      </w:r>
      <w:r w:rsidR="005F5C64" w:rsidRPr="00DC2D56">
        <w:rPr>
          <w:rFonts w:eastAsia="Arial Unicode MS"/>
          <w:noProof/>
          <w:lang w:val="en-IE"/>
        </w:rPr>
        <w:t>March</w:t>
      </w:r>
      <w:r w:rsidR="008D709A">
        <w:rPr>
          <w:rFonts w:eastAsia="Arial Unicode MS"/>
          <w:noProof/>
          <w:lang w:val="en-IE"/>
        </w:rPr>
        <w:t> </w:t>
      </w:r>
      <w:r w:rsidR="005F5C64" w:rsidRPr="00DC2D56">
        <w:rPr>
          <w:rFonts w:eastAsia="Arial Unicode MS"/>
          <w:noProof/>
          <w:lang w:val="en-IE"/>
        </w:rPr>
        <w:t>2025</w:t>
      </w:r>
      <w:r w:rsidR="00A86A41">
        <w:rPr>
          <w:rFonts w:eastAsia="Arial Unicode MS"/>
          <w:noProof/>
          <w:lang w:val="en-IE"/>
        </w:rPr>
        <w:t>,</w:t>
      </w:r>
      <w:r w:rsidR="005F5C64" w:rsidRPr="00DC2D56">
        <w:rPr>
          <w:rFonts w:eastAsia="Arial Unicode MS"/>
          <w:noProof/>
          <w:lang w:val="en-IE"/>
        </w:rPr>
        <w:t xml:space="preserve"> and the next deadline will be </w:t>
      </w:r>
      <w:r w:rsidR="000070CD" w:rsidRPr="00DC2D56">
        <w:rPr>
          <w:rFonts w:eastAsia="Arial Unicode MS"/>
          <w:noProof/>
          <w:lang w:val="en-IE"/>
        </w:rPr>
        <w:t>25</w:t>
      </w:r>
      <w:r w:rsidR="008D709A">
        <w:rPr>
          <w:rFonts w:eastAsia="Arial Unicode MS"/>
          <w:noProof/>
          <w:lang w:val="en-IE"/>
        </w:rPr>
        <w:t> </w:t>
      </w:r>
      <w:r w:rsidR="005F5C64" w:rsidRPr="00DC2D56">
        <w:rPr>
          <w:rFonts w:eastAsia="Arial Unicode MS"/>
          <w:noProof/>
          <w:lang w:val="en-IE"/>
        </w:rPr>
        <w:t>March</w:t>
      </w:r>
      <w:r w:rsidR="008D709A">
        <w:rPr>
          <w:rFonts w:eastAsia="Arial Unicode MS"/>
          <w:noProof/>
          <w:lang w:val="en-IE"/>
        </w:rPr>
        <w:t> </w:t>
      </w:r>
      <w:r w:rsidR="005F5C64" w:rsidRPr="00DC2D56">
        <w:rPr>
          <w:rFonts w:eastAsia="Arial Unicode MS"/>
          <w:noProof/>
          <w:lang w:val="en-IE"/>
        </w:rPr>
        <w:t>2030.</w:t>
      </w:r>
      <w:r w:rsidR="00F123E7" w:rsidRPr="00DC2D56">
        <w:rPr>
          <w:rFonts w:eastAsia="Arial Unicode MS"/>
          <w:noProof/>
          <w:lang w:val="en-IE"/>
        </w:rPr>
        <w:t xml:space="preserve"> Article</w:t>
      </w:r>
      <w:r w:rsidR="008D709A">
        <w:rPr>
          <w:rFonts w:eastAsia="Arial Unicode MS"/>
          <w:noProof/>
          <w:lang w:val="en-IE"/>
        </w:rPr>
        <w:t> </w:t>
      </w:r>
      <w:r w:rsidR="00F123E7" w:rsidRPr="00DC2D56">
        <w:rPr>
          <w:rFonts w:eastAsia="Arial Unicode MS"/>
          <w:noProof/>
          <w:lang w:val="en-IE"/>
        </w:rPr>
        <w:t>11</w:t>
      </w:r>
      <w:r w:rsidR="000070CD" w:rsidRPr="00DC2D56">
        <w:rPr>
          <w:rFonts w:eastAsia="Arial Unicode MS"/>
          <w:noProof/>
          <w:lang w:val="en-IE"/>
        </w:rPr>
        <w:t>(2)(c)</w:t>
      </w:r>
      <w:r w:rsidR="00F123E7" w:rsidRPr="00DC2D56">
        <w:rPr>
          <w:rFonts w:eastAsia="Arial Unicode MS"/>
          <w:noProof/>
          <w:lang w:val="en-IE"/>
        </w:rPr>
        <w:t xml:space="preserve"> requires </w:t>
      </w:r>
      <w:r w:rsidR="00372DC0" w:rsidRPr="00DC2D56">
        <w:rPr>
          <w:rFonts w:eastAsia="Arial Unicode MS"/>
          <w:noProof/>
          <w:lang w:val="en-IE"/>
        </w:rPr>
        <w:t>reporting</w:t>
      </w:r>
      <w:r w:rsidR="00F123E7" w:rsidRPr="00DC2D56">
        <w:rPr>
          <w:rFonts w:eastAsia="Arial Unicode MS"/>
          <w:noProof/>
          <w:lang w:val="en-IE"/>
        </w:rPr>
        <w:t xml:space="preserve"> on </w:t>
      </w:r>
      <w:r w:rsidR="00AA05F0">
        <w:rPr>
          <w:rFonts w:eastAsia="Arial Unicode MS"/>
          <w:noProof/>
          <w:lang w:val="en-IE"/>
        </w:rPr>
        <w:t>‘</w:t>
      </w:r>
      <w:r w:rsidR="00F123E7" w:rsidRPr="00DC2D56">
        <w:rPr>
          <w:rFonts w:eastAsia="Arial Unicode MS"/>
          <w:i/>
          <w:iCs/>
          <w:noProof/>
          <w:lang w:val="en-IE"/>
        </w:rPr>
        <w:t>the variation of infrastructure charges or user charges according to the environmental performance of vehicles, pursuant to Article</w:t>
      </w:r>
      <w:r w:rsidR="008D709A">
        <w:rPr>
          <w:rFonts w:eastAsia="Arial Unicode MS"/>
          <w:i/>
          <w:iCs/>
          <w:noProof/>
          <w:lang w:val="en-IE"/>
        </w:rPr>
        <w:t> </w:t>
      </w:r>
      <w:r w:rsidR="00F123E7" w:rsidRPr="00DC2D56">
        <w:rPr>
          <w:rFonts w:eastAsia="Arial Unicode MS"/>
          <w:i/>
          <w:iCs/>
          <w:noProof/>
          <w:lang w:val="en-IE"/>
        </w:rPr>
        <w:t>7g, 7ga or 7gb</w:t>
      </w:r>
      <w:r w:rsidR="00F123E7" w:rsidRPr="00DC2D56">
        <w:rPr>
          <w:rFonts w:eastAsia="Arial Unicode MS"/>
          <w:noProof/>
          <w:lang w:val="en-IE"/>
        </w:rPr>
        <w:t>;</w:t>
      </w:r>
      <w:r w:rsidR="00AA05F0">
        <w:rPr>
          <w:rFonts w:eastAsia="Arial Unicode MS"/>
          <w:noProof/>
          <w:lang w:val="en-IE"/>
        </w:rPr>
        <w:t>’</w:t>
      </w:r>
      <w:r w:rsidR="001721D8" w:rsidRPr="00DC2D56">
        <w:rPr>
          <w:rFonts w:eastAsia="Arial Unicode MS"/>
          <w:noProof/>
          <w:lang w:val="en-IE"/>
        </w:rPr>
        <w:t xml:space="preserve">. The next deadline is </w:t>
      </w:r>
      <w:r w:rsidR="00812627" w:rsidRPr="00DC2D56">
        <w:rPr>
          <w:rFonts w:eastAsia="Arial Unicode MS"/>
          <w:noProof/>
          <w:lang w:val="en-IE"/>
        </w:rPr>
        <w:t xml:space="preserve">before the proposed end date of the exemption and </w:t>
      </w:r>
      <w:r>
        <w:rPr>
          <w:rFonts w:eastAsia="Arial Unicode MS"/>
          <w:noProof/>
          <w:lang w:val="en-IE"/>
        </w:rPr>
        <w:t xml:space="preserve">will </w:t>
      </w:r>
      <w:r w:rsidR="00DA04CE">
        <w:rPr>
          <w:rFonts w:eastAsia="Arial Unicode MS"/>
          <w:noProof/>
          <w:lang w:val="en-IE"/>
        </w:rPr>
        <w:t>therefore</w:t>
      </w:r>
      <w:r w:rsidR="00DA04CE" w:rsidRPr="00DC2D56">
        <w:rPr>
          <w:rFonts w:eastAsia="Arial Unicode MS"/>
          <w:noProof/>
          <w:lang w:val="en-IE"/>
        </w:rPr>
        <w:t xml:space="preserve"> </w:t>
      </w:r>
      <w:r>
        <w:rPr>
          <w:rFonts w:eastAsia="Arial Unicode MS"/>
          <w:noProof/>
          <w:lang w:val="en-IE"/>
        </w:rPr>
        <w:t xml:space="preserve">be appropriate for </w:t>
      </w:r>
      <w:r w:rsidR="00812627" w:rsidRPr="00DC2D56">
        <w:rPr>
          <w:rFonts w:eastAsia="Arial Unicode MS"/>
          <w:noProof/>
          <w:lang w:val="en-IE"/>
        </w:rPr>
        <w:t>assess</w:t>
      </w:r>
      <w:r>
        <w:rPr>
          <w:rFonts w:eastAsia="Arial Unicode MS"/>
          <w:noProof/>
          <w:lang w:val="en-IE"/>
        </w:rPr>
        <w:t>ing</w:t>
      </w:r>
      <w:r w:rsidR="00812627" w:rsidRPr="00DC2D56">
        <w:rPr>
          <w:rFonts w:eastAsia="Arial Unicode MS"/>
          <w:noProof/>
          <w:lang w:val="en-IE"/>
        </w:rPr>
        <w:t xml:space="preserve"> its implementation. No additional reporting obligation is therefore </w:t>
      </w:r>
      <w:r w:rsidR="00DA04CE">
        <w:rPr>
          <w:rFonts w:eastAsia="Arial Unicode MS"/>
          <w:noProof/>
          <w:lang w:val="en-IE"/>
        </w:rPr>
        <w:t>planned</w:t>
      </w:r>
      <w:r w:rsidR="00812627" w:rsidRPr="00DC2D56">
        <w:rPr>
          <w:rFonts w:eastAsia="Arial Unicode MS"/>
          <w:noProof/>
          <w:lang w:val="en-IE"/>
        </w:rPr>
        <w:t>.</w:t>
      </w:r>
    </w:p>
    <w:p w:rsidR="008E70C2" w:rsidRPr="00DC2D56" w:rsidRDefault="008E70C2">
      <w:pPr>
        <w:pStyle w:val="ManualHeading2"/>
        <w:rPr>
          <w:rFonts w:eastAsia="Arial Unicode MS"/>
          <w:noProof/>
          <w:u w:color="000000"/>
          <w:bdr w:val="nil"/>
          <w:lang w:val="en-IE" w:eastAsia="en-GB"/>
        </w:rPr>
      </w:pPr>
      <w:r w:rsidRPr="00DC2D56">
        <w:rPr>
          <w:rFonts w:eastAsia="Arial Unicode MS"/>
          <w:noProof/>
          <w:u w:color="000000"/>
          <w:bdr w:val="nil"/>
          <w:lang w:val="en-IE" w:eastAsia="en-GB"/>
        </w:rPr>
        <w:t>•</w:t>
      </w:r>
      <w:r w:rsidRPr="00DC2D56">
        <w:rPr>
          <w:rFonts w:eastAsia="Arial Unicode MS"/>
          <w:noProof/>
          <w:u w:color="000000"/>
          <w:bdr w:val="nil"/>
          <w:lang w:val="en-IE" w:eastAsia="en-GB"/>
        </w:rPr>
        <w:tab/>
        <w:t>Explanatory documents (for directives)</w:t>
      </w:r>
    </w:p>
    <w:p w:rsidR="008E70C2" w:rsidRPr="00762A61" w:rsidRDefault="00C17B92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762A61">
        <w:rPr>
          <w:noProof/>
        </w:rPr>
        <w:t xml:space="preserve">This proposal </w:t>
      </w:r>
      <w:r w:rsidR="00534191" w:rsidRPr="00762A61">
        <w:rPr>
          <w:noProof/>
        </w:rPr>
        <w:t xml:space="preserve">would </w:t>
      </w:r>
      <w:r w:rsidR="00CB75A5" w:rsidRPr="00762A61">
        <w:rPr>
          <w:noProof/>
        </w:rPr>
        <w:t>prolong</w:t>
      </w:r>
      <w:r w:rsidRPr="00762A61">
        <w:rPr>
          <w:noProof/>
        </w:rPr>
        <w:t xml:space="preserve"> an existing optional provision</w:t>
      </w:r>
      <w:r w:rsidR="00534191" w:rsidRPr="00762A61">
        <w:rPr>
          <w:noProof/>
        </w:rPr>
        <w:t>, so</w:t>
      </w:r>
      <w:r w:rsidRPr="00762A61">
        <w:rPr>
          <w:noProof/>
        </w:rPr>
        <w:t xml:space="preserve"> no explanatory document is required.</w:t>
      </w:r>
      <w:r w:rsidR="000C3393" w:rsidRPr="00762A61">
        <w:rPr>
          <w:noProof/>
        </w:rPr>
        <w:t xml:space="preserve"> Member States that use this option</w:t>
      </w:r>
      <w:r w:rsidR="000C3393" w:rsidRPr="00DC2D56">
        <w:rPr>
          <w:noProof/>
          <w:lang w:val="en-IE"/>
        </w:rPr>
        <w:t xml:space="preserve"> should nevertheless inform the Commission</w:t>
      </w:r>
      <w:r w:rsidR="000C3393">
        <w:rPr>
          <w:noProof/>
          <w:lang w:val="en-IE"/>
        </w:rPr>
        <w:t>.</w:t>
      </w:r>
    </w:p>
    <w:p w:rsidR="000070CD" w:rsidRPr="00DC2D56" w:rsidRDefault="000070CD" w:rsidP="000070CD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ind w:left="840" w:hanging="840"/>
        <w:rPr>
          <w:rFonts w:eastAsia="Arial Unicode MS"/>
          <w:noProof/>
          <w:lang w:val="en-IE"/>
        </w:rPr>
      </w:pPr>
      <w:r w:rsidRPr="00DC2D56">
        <w:rPr>
          <w:rFonts w:eastAsia="Arial Unicode MS"/>
          <w:b/>
          <w:noProof/>
          <w:lang w:val="en-IE"/>
        </w:rPr>
        <w:t>•</w:t>
      </w:r>
      <w:r w:rsidRPr="00DC2D56">
        <w:rPr>
          <w:rFonts w:eastAsia="Arial Unicode MS"/>
          <w:b/>
          <w:noProof/>
          <w:lang w:val="en-IE"/>
        </w:rPr>
        <w:tab/>
      </w:r>
      <w:r w:rsidRPr="00DC2D56">
        <w:rPr>
          <w:rFonts w:eastAsia="Arial Unicode MS"/>
          <w:b/>
          <w:bCs/>
          <w:noProof/>
          <w:lang w:val="en-IE"/>
        </w:rPr>
        <w:t>Detailed explanation of the specific provisions of the proposal</w:t>
      </w:r>
    </w:p>
    <w:p w:rsidR="000070CD" w:rsidRPr="00DC2D56" w:rsidRDefault="001C2DBE" w:rsidP="001C2D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>Article</w:t>
      </w:r>
      <w:r w:rsidR="008D709A">
        <w:rPr>
          <w:rFonts w:eastAsia="Arial Unicode MS"/>
          <w:noProof/>
          <w:lang w:val="en-IE"/>
        </w:rPr>
        <w:t> </w:t>
      </w:r>
      <w:r w:rsidRPr="00DC2D56">
        <w:rPr>
          <w:rFonts w:eastAsia="Arial Unicode MS"/>
          <w:noProof/>
          <w:lang w:val="en-IE"/>
        </w:rPr>
        <w:t>1 amends the fifth subparagraph of Article</w:t>
      </w:r>
      <w:r w:rsidR="008D709A">
        <w:rPr>
          <w:rFonts w:eastAsia="Arial Unicode MS"/>
          <w:noProof/>
          <w:lang w:val="en-IE"/>
        </w:rPr>
        <w:t> </w:t>
      </w:r>
      <w:r w:rsidRPr="00DC2D56">
        <w:rPr>
          <w:rFonts w:eastAsia="Arial Unicode MS"/>
          <w:noProof/>
          <w:lang w:val="en-IE"/>
        </w:rPr>
        <w:t>7ga(1) of Directive 1999/62/EC by extending the exemption laid down in that provision until 30</w:t>
      </w:r>
      <w:r w:rsidR="008D709A">
        <w:rPr>
          <w:rFonts w:eastAsia="Arial Unicode MS"/>
          <w:noProof/>
          <w:lang w:val="en-IE"/>
        </w:rPr>
        <w:t> </w:t>
      </w:r>
      <w:r w:rsidRPr="00DC2D56">
        <w:rPr>
          <w:rFonts w:eastAsia="Arial Unicode MS"/>
          <w:noProof/>
          <w:lang w:val="en-IE"/>
        </w:rPr>
        <w:t>June</w:t>
      </w:r>
      <w:r w:rsidR="008D709A">
        <w:rPr>
          <w:rFonts w:eastAsia="Arial Unicode MS"/>
          <w:noProof/>
          <w:lang w:val="en-IE"/>
        </w:rPr>
        <w:t> </w:t>
      </w:r>
      <w:r w:rsidRPr="00DC2D56">
        <w:rPr>
          <w:rFonts w:eastAsia="Arial Unicode MS"/>
          <w:noProof/>
          <w:lang w:val="en-IE"/>
        </w:rPr>
        <w:t>2031.</w:t>
      </w:r>
    </w:p>
    <w:p w:rsidR="001C2DBE" w:rsidRPr="00DC2D56" w:rsidRDefault="001C2DBE" w:rsidP="001C2D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>Article</w:t>
      </w:r>
      <w:r w:rsidR="008D709A">
        <w:rPr>
          <w:rFonts w:eastAsia="Arial Unicode MS"/>
          <w:noProof/>
          <w:lang w:val="en-IE"/>
        </w:rPr>
        <w:t> </w:t>
      </w:r>
      <w:r w:rsidRPr="00DC2D56">
        <w:rPr>
          <w:rFonts w:eastAsia="Arial Unicode MS"/>
          <w:noProof/>
          <w:lang w:val="en-IE"/>
        </w:rPr>
        <w:t xml:space="preserve">2 </w:t>
      </w:r>
      <w:r w:rsidR="00534191">
        <w:rPr>
          <w:rFonts w:eastAsia="Arial Unicode MS"/>
          <w:noProof/>
          <w:lang w:val="en-IE"/>
        </w:rPr>
        <w:t xml:space="preserve">requires </w:t>
      </w:r>
      <w:r w:rsidRPr="00DC2D56">
        <w:rPr>
          <w:rFonts w:eastAsia="Arial Unicode MS"/>
          <w:noProof/>
          <w:lang w:val="en-IE"/>
        </w:rPr>
        <w:t xml:space="preserve">Member States </w:t>
      </w:r>
      <w:r w:rsidR="00534191">
        <w:rPr>
          <w:rFonts w:eastAsia="Arial Unicode MS"/>
          <w:noProof/>
          <w:lang w:val="en-IE"/>
        </w:rPr>
        <w:t xml:space="preserve">to </w:t>
      </w:r>
      <w:r w:rsidRPr="00DC2D56">
        <w:rPr>
          <w:rFonts w:eastAsia="Arial Unicode MS"/>
          <w:noProof/>
          <w:lang w:val="en-IE"/>
        </w:rPr>
        <w:t>immediately inform the Commission of measures taken pursuant to this Directive.</w:t>
      </w:r>
    </w:p>
    <w:p w:rsidR="001C2DBE" w:rsidRPr="00DC2D56" w:rsidRDefault="001C2DBE" w:rsidP="001C2DBE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lang w:val="en-IE"/>
        </w:rPr>
      </w:pPr>
      <w:r w:rsidRPr="00DC2D56">
        <w:rPr>
          <w:rFonts w:eastAsia="Arial Unicode MS"/>
          <w:noProof/>
          <w:lang w:val="en-IE"/>
        </w:rPr>
        <w:t>Article</w:t>
      </w:r>
      <w:r w:rsidR="008D709A">
        <w:rPr>
          <w:rFonts w:eastAsia="Arial Unicode MS"/>
          <w:noProof/>
          <w:lang w:val="en-IE"/>
        </w:rPr>
        <w:t> </w:t>
      </w:r>
      <w:r w:rsidRPr="00DC2D56">
        <w:rPr>
          <w:rFonts w:eastAsia="Arial Unicode MS"/>
          <w:noProof/>
          <w:lang w:val="en-IE"/>
        </w:rPr>
        <w:t xml:space="preserve">3 </w:t>
      </w:r>
      <w:r w:rsidR="009E0873">
        <w:rPr>
          <w:rFonts w:eastAsia="Arial Unicode MS"/>
          <w:noProof/>
          <w:lang w:val="en-IE"/>
        </w:rPr>
        <w:t>sets</w:t>
      </w:r>
      <w:r w:rsidRPr="00DC2D56">
        <w:rPr>
          <w:rFonts w:eastAsia="Arial Unicode MS"/>
          <w:noProof/>
          <w:lang w:val="en-IE"/>
        </w:rPr>
        <w:t xml:space="preserve"> the date of entry into force of the Directive.</w:t>
      </w:r>
    </w:p>
    <w:p w:rsidR="00AF1CF1" w:rsidRPr="00762A61" w:rsidRDefault="001C2DBE" w:rsidP="001D136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DC2D56">
        <w:rPr>
          <w:rFonts w:eastAsia="Arial Unicode MS"/>
          <w:noProof/>
          <w:lang w:val="en-IE"/>
        </w:rPr>
        <w:t>Article</w:t>
      </w:r>
      <w:r w:rsidR="008D709A">
        <w:rPr>
          <w:rFonts w:eastAsia="Arial Unicode MS"/>
          <w:noProof/>
          <w:lang w:val="en-IE"/>
        </w:rPr>
        <w:t> </w:t>
      </w:r>
      <w:r w:rsidRPr="00DC2D56">
        <w:rPr>
          <w:rFonts w:eastAsia="Arial Unicode MS"/>
          <w:noProof/>
          <w:lang w:val="en-IE"/>
        </w:rPr>
        <w:t>4 specifies that the Directive is addressed to the Member St</w:t>
      </w:r>
      <w:r w:rsidRPr="00F0686D">
        <w:rPr>
          <w:rFonts w:eastAsia="Arial Unicode MS"/>
          <w:noProof/>
          <w:lang w:val="en-IE"/>
        </w:rPr>
        <w:t>ates.</w:t>
      </w:r>
      <w:r w:rsidR="00AF1CF1" w:rsidRPr="00762A61">
        <w:rPr>
          <w:noProof/>
        </w:rPr>
        <w:br w:type="page"/>
      </w:r>
    </w:p>
    <w:p w:rsidR="00E128E5" w:rsidRDefault="00915F29">
      <w:pPr>
        <w:pStyle w:val="Rfrenceinterinstitutionnelle"/>
        <w:rPr>
          <w:noProof/>
        </w:rPr>
      </w:pPr>
      <w:r>
        <w:rPr>
          <w:noProof/>
        </w:rPr>
        <w:t>2025/0188 (COD)</w:t>
      </w:r>
    </w:p>
    <w:p w:rsidR="008E70C2" w:rsidRPr="00DC2D56" w:rsidRDefault="008A70FF" w:rsidP="008A70FF">
      <w:pPr>
        <w:pStyle w:val="Statut"/>
        <w:rPr>
          <w:noProof/>
          <w:lang w:val="en-IE"/>
        </w:rPr>
      </w:pPr>
      <w:bookmarkStart w:id="3" w:name="_Hlk194847095"/>
      <w:r w:rsidRPr="008A70FF">
        <w:rPr>
          <w:noProof/>
        </w:rPr>
        <w:t>Proposal for a</w:t>
      </w:r>
    </w:p>
    <w:p w:rsidR="008E70C2" w:rsidRPr="00DC2D56" w:rsidRDefault="008A70FF" w:rsidP="008A70FF">
      <w:pPr>
        <w:pStyle w:val="Typedudocument"/>
        <w:rPr>
          <w:noProof/>
          <w:lang w:val="en-IE"/>
        </w:rPr>
      </w:pPr>
      <w:r w:rsidRPr="008A70FF">
        <w:rPr>
          <w:noProof/>
        </w:rPr>
        <w:t>DIRECTIVE OF THE EUROPEAN PARLIAMENT AND OF THE COUNCIL</w:t>
      </w:r>
    </w:p>
    <w:p w:rsidR="008E70C2" w:rsidRPr="00DC2D56" w:rsidRDefault="008A70FF" w:rsidP="008A70FF">
      <w:pPr>
        <w:pStyle w:val="Titreobjet"/>
        <w:rPr>
          <w:noProof/>
          <w:lang w:val="en-IE"/>
        </w:rPr>
      </w:pPr>
      <w:r w:rsidRPr="008A70FF">
        <w:rPr>
          <w:noProof/>
        </w:rPr>
        <w:t xml:space="preserve">amending Directive 1999/62/EC as regards the extension of the period in which zero-emission heavy-duty vehicles can benefit from significantly reduced rates of infrastructure or user charges or from exemptions to pay them </w:t>
      </w:r>
    </w:p>
    <w:bookmarkEnd w:id="3"/>
    <w:p w:rsidR="008E70C2" w:rsidRPr="00DC2D56" w:rsidRDefault="008A70FF" w:rsidP="008A70FF">
      <w:pPr>
        <w:pStyle w:val="IntrtEEE"/>
        <w:rPr>
          <w:noProof/>
          <w:lang w:val="en-IE"/>
        </w:rPr>
      </w:pPr>
      <w:r w:rsidRPr="008A70FF">
        <w:rPr>
          <w:noProof/>
        </w:rPr>
        <w:t>(Text with EEA relevance)</w:t>
      </w:r>
    </w:p>
    <w:p w:rsidR="008E70C2" w:rsidRPr="00DC2D56" w:rsidRDefault="008E70C2">
      <w:pPr>
        <w:pStyle w:val="Institutionquiagit"/>
        <w:rPr>
          <w:noProof/>
          <w:lang w:val="en-IE"/>
        </w:rPr>
      </w:pPr>
      <w:r w:rsidRPr="00DC2D56">
        <w:rPr>
          <w:noProof/>
          <w:lang w:val="en-IE"/>
        </w:rPr>
        <w:t>THE EUROPEAN PARLIAMENT AND THE COUNCIL OF THE EUROPEAN UNION,</w:t>
      </w:r>
    </w:p>
    <w:p w:rsidR="008E70C2" w:rsidRPr="00DC2D56" w:rsidRDefault="008E70C2">
      <w:pPr>
        <w:rPr>
          <w:noProof/>
          <w:lang w:val="en-IE"/>
        </w:rPr>
      </w:pPr>
      <w:r w:rsidRPr="00DC2D56">
        <w:rPr>
          <w:noProof/>
          <w:lang w:val="en-IE"/>
        </w:rPr>
        <w:t>Having regard to the Treaty on the Functioning of the European Union, and in particular Article </w:t>
      </w:r>
      <w:r w:rsidR="00BD511C" w:rsidRPr="00762A61">
        <w:rPr>
          <w:noProof/>
        </w:rPr>
        <w:t>91(1)</w:t>
      </w:r>
      <w:r w:rsidRPr="00DC2D56">
        <w:rPr>
          <w:noProof/>
          <w:lang w:val="en-IE"/>
        </w:rPr>
        <w:t xml:space="preserve"> thereof,</w:t>
      </w:r>
    </w:p>
    <w:p w:rsidR="008E70C2" w:rsidRPr="00DC2D56" w:rsidRDefault="008E70C2">
      <w:pPr>
        <w:rPr>
          <w:noProof/>
          <w:lang w:val="en-IE"/>
        </w:rPr>
      </w:pPr>
      <w:r w:rsidRPr="00DC2D56">
        <w:rPr>
          <w:noProof/>
          <w:lang w:val="en-IE"/>
        </w:rPr>
        <w:t>Having regard to the proposal from the European Commission,</w:t>
      </w:r>
    </w:p>
    <w:p w:rsidR="008E70C2" w:rsidRPr="00DC2D56" w:rsidRDefault="008E70C2">
      <w:pPr>
        <w:rPr>
          <w:noProof/>
          <w:lang w:val="en-IE"/>
        </w:rPr>
      </w:pPr>
      <w:r w:rsidRPr="00DC2D56">
        <w:rPr>
          <w:noProof/>
          <w:lang w:val="en-IE"/>
        </w:rPr>
        <w:t>After transmission of the draft legislative act to the national parliaments,</w:t>
      </w:r>
    </w:p>
    <w:p w:rsidR="008E70C2" w:rsidRPr="00DC2D56" w:rsidRDefault="008E70C2">
      <w:pPr>
        <w:rPr>
          <w:noProof/>
          <w:lang w:val="en-IE"/>
        </w:rPr>
      </w:pPr>
      <w:r w:rsidRPr="00DC2D56">
        <w:rPr>
          <w:noProof/>
          <w:lang w:val="en-IE"/>
        </w:rPr>
        <w:t>Having regard to the opinion of the European Economic and Social Committee</w:t>
      </w:r>
      <w:r w:rsidR="00BF3F83">
        <w:rPr>
          <w:noProof/>
          <w:lang w:val="en-IE"/>
        </w:rPr>
        <w:t> </w:t>
      </w:r>
      <w:r w:rsidRPr="00DC2D56">
        <w:rPr>
          <w:rStyle w:val="FootnoteReference"/>
          <w:noProof/>
          <w:lang w:val="en-IE"/>
        </w:rPr>
        <w:footnoteReference w:id="37"/>
      </w:r>
      <w:r w:rsidRPr="00DC2D56">
        <w:rPr>
          <w:noProof/>
          <w:lang w:val="en-IE"/>
        </w:rPr>
        <w:t xml:space="preserve">, </w:t>
      </w:r>
    </w:p>
    <w:p w:rsidR="008E70C2" w:rsidRPr="00DC2D56" w:rsidRDefault="008E70C2">
      <w:pPr>
        <w:rPr>
          <w:noProof/>
          <w:lang w:val="en-IE"/>
        </w:rPr>
      </w:pPr>
      <w:r w:rsidRPr="00DC2D56">
        <w:rPr>
          <w:noProof/>
          <w:lang w:val="en-IE"/>
        </w:rPr>
        <w:t>Having regard to the opinion of the Committee of the Regions</w:t>
      </w:r>
      <w:r w:rsidR="00BF3F83">
        <w:rPr>
          <w:noProof/>
          <w:lang w:val="en-IE"/>
        </w:rPr>
        <w:t> </w:t>
      </w:r>
      <w:r w:rsidRPr="00DC2D56">
        <w:rPr>
          <w:rStyle w:val="FootnoteReference"/>
          <w:noProof/>
          <w:lang w:val="en-IE"/>
        </w:rPr>
        <w:footnoteReference w:id="38"/>
      </w:r>
      <w:r w:rsidRPr="00DC2D56">
        <w:rPr>
          <w:noProof/>
          <w:lang w:val="en-IE"/>
        </w:rPr>
        <w:t xml:space="preserve">, </w:t>
      </w:r>
    </w:p>
    <w:p w:rsidR="008E70C2" w:rsidRPr="00DC2D56" w:rsidRDefault="008E70C2">
      <w:pPr>
        <w:rPr>
          <w:noProof/>
          <w:lang w:val="en-IE"/>
        </w:rPr>
      </w:pPr>
      <w:r w:rsidRPr="00DC2D56">
        <w:rPr>
          <w:noProof/>
          <w:lang w:val="en-IE"/>
        </w:rPr>
        <w:t>Acting in accordance with the ordinary legislative procedure,</w:t>
      </w:r>
    </w:p>
    <w:p w:rsidR="008E70C2" w:rsidRPr="00DC2D56" w:rsidRDefault="008E70C2">
      <w:pPr>
        <w:rPr>
          <w:noProof/>
          <w:lang w:val="en-IE"/>
        </w:rPr>
      </w:pPr>
      <w:r w:rsidRPr="00DC2D56">
        <w:rPr>
          <w:noProof/>
          <w:lang w:val="en-IE"/>
        </w:rPr>
        <w:t>Whereas:</w:t>
      </w:r>
    </w:p>
    <w:p w:rsidR="008B219B" w:rsidRPr="00DC2D56" w:rsidRDefault="001F2325" w:rsidP="001F2325">
      <w:pPr>
        <w:pStyle w:val="ManualConsidrant"/>
        <w:rPr>
          <w:noProof/>
          <w:lang w:val="en-IE"/>
        </w:rPr>
      </w:pPr>
      <w:r w:rsidRPr="001F2325">
        <w:rPr>
          <w:noProof/>
        </w:rPr>
        <w:t>(1)</w:t>
      </w:r>
      <w:r w:rsidRPr="001F2325">
        <w:rPr>
          <w:noProof/>
        </w:rPr>
        <w:tab/>
      </w:r>
      <w:r w:rsidR="00282E4C">
        <w:rPr>
          <w:noProof/>
          <w:lang w:val="en-IE"/>
        </w:rPr>
        <w:t>T</w:t>
      </w:r>
      <w:r w:rsidR="00B968EC" w:rsidRPr="00DC2D56">
        <w:rPr>
          <w:noProof/>
          <w:lang w:val="en-IE"/>
        </w:rPr>
        <w:t xml:space="preserve">he </w:t>
      </w:r>
      <w:r w:rsidR="009712D8" w:rsidRPr="00DC2D56">
        <w:rPr>
          <w:noProof/>
          <w:lang w:val="en-IE"/>
        </w:rPr>
        <w:t xml:space="preserve">registration figures of new </w:t>
      </w:r>
      <w:r w:rsidR="00B968EC" w:rsidRPr="00DC2D56">
        <w:rPr>
          <w:noProof/>
          <w:lang w:val="en-IE"/>
        </w:rPr>
        <w:t xml:space="preserve">zero-emission </w:t>
      </w:r>
      <w:r w:rsidR="00C5230A" w:rsidRPr="00DC2D56">
        <w:rPr>
          <w:noProof/>
          <w:lang w:val="en-IE"/>
        </w:rPr>
        <w:t xml:space="preserve">heavy-duty </w:t>
      </w:r>
      <w:r w:rsidR="00B968EC" w:rsidRPr="00DC2D56">
        <w:rPr>
          <w:noProof/>
          <w:lang w:val="en-IE"/>
        </w:rPr>
        <w:t>vehicles</w:t>
      </w:r>
      <w:r w:rsidR="00282E4C">
        <w:rPr>
          <w:noProof/>
          <w:lang w:val="en-IE"/>
        </w:rPr>
        <w:t xml:space="preserve"> ha</w:t>
      </w:r>
      <w:r w:rsidR="002F511C">
        <w:rPr>
          <w:noProof/>
          <w:lang w:val="en-IE"/>
        </w:rPr>
        <w:t>ve</w:t>
      </w:r>
      <w:r w:rsidR="00282E4C">
        <w:rPr>
          <w:noProof/>
          <w:lang w:val="en-IE"/>
        </w:rPr>
        <w:t xml:space="preserve"> recently increased </w:t>
      </w:r>
      <w:r w:rsidR="00F619CE">
        <w:rPr>
          <w:noProof/>
          <w:lang w:val="en-IE"/>
        </w:rPr>
        <w:t xml:space="preserve">in the Union </w:t>
      </w:r>
      <w:r w:rsidR="00282E4C">
        <w:rPr>
          <w:noProof/>
          <w:lang w:val="en-IE"/>
        </w:rPr>
        <w:t xml:space="preserve">but </w:t>
      </w:r>
      <w:r w:rsidR="00C5230A" w:rsidRPr="00DC2D56">
        <w:rPr>
          <w:noProof/>
          <w:lang w:val="en-IE"/>
        </w:rPr>
        <w:t>remain</w:t>
      </w:r>
      <w:r w:rsidR="00FB5BE3" w:rsidRPr="00DC2D56">
        <w:rPr>
          <w:noProof/>
          <w:lang w:val="en-IE"/>
        </w:rPr>
        <w:t xml:space="preserve"> too low to </w:t>
      </w:r>
      <w:r w:rsidR="00C5230A" w:rsidRPr="00DC2D56">
        <w:rPr>
          <w:noProof/>
          <w:lang w:val="en-IE"/>
        </w:rPr>
        <w:t>achieve</w:t>
      </w:r>
      <w:r w:rsidR="005A06C1" w:rsidRPr="00DC2D56">
        <w:rPr>
          <w:noProof/>
          <w:lang w:val="en-IE"/>
        </w:rPr>
        <w:t xml:space="preserve"> the </w:t>
      </w:r>
      <w:r w:rsidR="00471DE1" w:rsidRPr="00471DE1">
        <w:rPr>
          <w:noProof/>
          <w:lang w:val="en-IE"/>
        </w:rPr>
        <w:t>CO</w:t>
      </w:r>
      <w:r w:rsidR="00471DE1" w:rsidRPr="00471DE1">
        <w:rPr>
          <w:noProof/>
          <w:vertAlign w:val="subscript"/>
          <w:lang w:val="en-IE"/>
        </w:rPr>
        <w:t>2</w:t>
      </w:r>
      <w:r w:rsidR="00471DE1">
        <w:rPr>
          <w:noProof/>
          <w:vertAlign w:val="subscript"/>
          <w:lang w:val="en-IE"/>
        </w:rPr>
        <w:t xml:space="preserve"> </w:t>
      </w:r>
      <w:r w:rsidR="00D36F48" w:rsidRPr="00DC2D56">
        <w:rPr>
          <w:noProof/>
          <w:lang w:val="en-IE"/>
        </w:rPr>
        <w:t xml:space="preserve">emission reduction </w:t>
      </w:r>
      <w:r w:rsidR="005A06C1" w:rsidRPr="00DC2D56">
        <w:rPr>
          <w:noProof/>
          <w:lang w:val="en-IE"/>
        </w:rPr>
        <w:t xml:space="preserve">targets </w:t>
      </w:r>
      <w:r w:rsidR="002C1EC1" w:rsidRPr="00DC2D56">
        <w:rPr>
          <w:noProof/>
          <w:lang w:val="en-IE"/>
        </w:rPr>
        <w:t>of</w:t>
      </w:r>
      <w:r w:rsidR="005A06C1" w:rsidRPr="00DC2D56">
        <w:rPr>
          <w:noProof/>
          <w:lang w:val="en-IE"/>
        </w:rPr>
        <w:t xml:space="preserve"> the </w:t>
      </w:r>
      <w:r w:rsidR="003E7AF8">
        <w:rPr>
          <w:noProof/>
          <w:lang w:val="en-IE"/>
        </w:rPr>
        <w:t xml:space="preserve">transport </w:t>
      </w:r>
      <w:r w:rsidR="005A06C1" w:rsidRPr="00DC2D56">
        <w:rPr>
          <w:noProof/>
          <w:lang w:val="en-IE"/>
        </w:rPr>
        <w:t>sector</w:t>
      </w:r>
      <w:r w:rsidR="00666E43">
        <w:rPr>
          <w:noProof/>
          <w:lang w:val="en-IE"/>
        </w:rPr>
        <w:t xml:space="preserve"> set in the </w:t>
      </w:r>
      <w:r w:rsidR="00666E43" w:rsidRPr="00A93BD0">
        <w:rPr>
          <w:noProof/>
          <w:lang w:val="en-IE"/>
        </w:rPr>
        <w:t>Sustainable and Smart Mobility Strategy</w:t>
      </w:r>
      <w:r w:rsidR="00666E43">
        <w:rPr>
          <w:noProof/>
          <w:lang w:val="en-IE"/>
        </w:rPr>
        <w:t> </w:t>
      </w:r>
      <w:r w:rsidR="00666E43">
        <w:rPr>
          <w:rStyle w:val="FootnoteReference"/>
          <w:noProof/>
          <w:lang w:val="en-IE"/>
        </w:rPr>
        <w:footnoteReference w:id="39"/>
      </w:r>
      <w:r w:rsidR="00FB5BE3" w:rsidRPr="00DC2D56">
        <w:rPr>
          <w:noProof/>
          <w:lang w:val="en-IE"/>
        </w:rPr>
        <w:t xml:space="preserve">. </w:t>
      </w:r>
      <w:r w:rsidR="00CB74FA">
        <w:rPr>
          <w:noProof/>
          <w:lang w:val="en-IE"/>
        </w:rPr>
        <w:t>O</w:t>
      </w:r>
      <w:r w:rsidR="00CB74FA" w:rsidRPr="00DC2D56">
        <w:rPr>
          <w:noProof/>
          <w:lang w:val="en-IE"/>
        </w:rPr>
        <w:t>ne of the main barriers to wider deployment</w:t>
      </w:r>
      <w:r w:rsidR="00CB74FA">
        <w:rPr>
          <w:noProof/>
          <w:lang w:val="en-IE"/>
        </w:rPr>
        <w:t xml:space="preserve"> of </w:t>
      </w:r>
      <w:r w:rsidR="00CB74FA" w:rsidRPr="00DC2D56">
        <w:rPr>
          <w:noProof/>
          <w:lang w:val="en-IE"/>
        </w:rPr>
        <w:t>zero-emission heavy-duty vehic</w:t>
      </w:r>
      <w:r w:rsidR="00CB74FA">
        <w:rPr>
          <w:noProof/>
          <w:lang w:val="en-IE"/>
        </w:rPr>
        <w:t>les is t</w:t>
      </w:r>
      <w:r w:rsidR="00FB5BE3" w:rsidRPr="00DC2D56">
        <w:rPr>
          <w:noProof/>
          <w:lang w:val="en-IE"/>
        </w:rPr>
        <w:t xml:space="preserve">he high upfront </w:t>
      </w:r>
      <w:r w:rsidR="002F511C">
        <w:rPr>
          <w:noProof/>
          <w:lang w:val="en-IE"/>
        </w:rPr>
        <w:t xml:space="preserve">cost of </w:t>
      </w:r>
      <w:r w:rsidR="00FB5BE3" w:rsidRPr="00DC2D56">
        <w:rPr>
          <w:noProof/>
          <w:lang w:val="en-IE"/>
        </w:rPr>
        <w:t>acquir</w:t>
      </w:r>
      <w:r w:rsidR="002F511C">
        <w:rPr>
          <w:noProof/>
          <w:lang w:val="en-IE"/>
        </w:rPr>
        <w:t>ing</w:t>
      </w:r>
      <w:r w:rsidR="00FB5BE3" w:rsidRPr="00DC2D56">
        <w:rPr>
          <w:noProof/>
          <w:lang w:val="en-IE"/>
        </w:rPr>
        <w:t xml:space="preserve"> </w:t>
      </w:r>
      <w:r w:rsidR="00E42630">
        <w:rPr>
          <w:noProof/>
          <w:lang w:val="en-IE"/>
        </w:rPr>
        <w:t xml:space="preserve">such </w:t>
      </w:r>
      <w:r w:rsidR="00FB5BE3" w:rsidRPr="00DC2D56">
        <w:rPr>
          <w:noProof/>
          <w:lang w:val="en-IE"/>
        </w:rPr>
        <w:t>a</w:t>
      </w:r>
      <w:r w:rsidR="00E42630">
        <w:rPr>
          <w:noProof/>
          <w:lang w:val="en-IE"/>
        </w:rPr>
        <w:t xml:space="preserve"> vehicle</w:t>
      </w:r>
      <w:r w:rsidR="008B219B" w:rsidRPr="00DC2D56">
        <w:rPr>
          <w:noProof/>
          <w:lang w:val="en-IE"/>
        </w:rPr>
        <w:t>.</w:t>
      </w:r>
      <w:r w:rsidR="00A61DDB" w:rsidRPr="00DC2D56">
        <w:rPr>
          <w:noProof/>
          <w:lang w:val="en-IE"/>
        </w:rPr>
        <w:t xml:space="preserve"> </w:t>
      </w:r>
      <w:r w:rsidR="00CE49F4" w:rsidRPr="00DC2D56">
        <w:rPr>
          <w:noProof/>
          <w:lang w:val="en-IE"/>
        </w:rPr>
        <w:t>Securing</w:t>
      </w:r>
      <w:r w:rsidR="008A2061" w:rsidRPr="00DC2D56">
        <w:rPr>
          <w:noProof/>
          <w:lang w:val="en-IE"/>
        </w:rPr>
        <w:t xml:space="preserve"> a strong</w:t>
      </w:r>
      <w:r w:rsidR="000A72F6" w:rsidRPr="00DC2D56">
        <w:rPr>
          <w:noProof/>
          <w:lang w:val="en-IE"/>
        </w:rPr>
        <w:t>er</w:t>
      </w:r>
      <w:r w:rsidR="001909F4" w:rsidRPr="00DC2D56">
        <w:rPr>
          <w:noProof/>
          <w:lang w:val="en-IE"/>
        </w:rPr>
        <w:t xml:space="preserve"> business case for investing in zero-emission vehicles </w:t>
      </w:r>
      <w:r w:rsidR="003C07BC" w:rsidRPr="00DC2D56">
        <w:rPr>
          <w:noProof/>
          <w:lang w:val="en-IE"/>
        </w:rPr>
        <w:t>means</w:t>
      </w:r>
      <w:r w:rsidR="001909F4" w:rsidRPr="00DC2D56">
        <w:rPr>
          <w:noProof/>
          <w:lang w:val="en-IE"/>
        </w:rPr>
        <w:t xml:space="preserve"> </w:t>
      </w:r>
      <w:r w:rsidR="008A2061" w:rsidRPr="00DC2D56">
        <w:rPr>
          <w:noProof/>
          <w:lang w:val="en-IE"/>
        </w:rPr>
        <w:t>working towards</w:t>
      </w:r>
      <w:r w:rsidR="007403A6" w:rsidRPr="00DC2D56">
        <w:rPr>
          <w:noProof/>
          <w:lang w:val="en-IE"/>
        </w:rPr>
        <w:t xml:space="preserve"> </w:t>
      </w:r>
      <w:r w:rsidR="001909F4" w:rsidRPr="00DC2D56">
        <w:rPr>
          <w:noProof/>
          <w:lang w:val="en-IE"/>
        </w:rPr>
        <w:t xml:space="preserve">cost parity with conventional vehicles. </w:t>
      </w:r>
      <w:r w:rsidR="00125DE0">
        <w:rPr>
          <w:noProof/>
          <w:lang w:val="en-IE"/>
        </w:rPr>
        <w:t>T</w:t>
      </w:r>
      <w:r w:rsidR="009D62D4" w:rsidRPr="00DC2D56">
        <w:rPr>
          <w:noProof/>
          <w:lang w:val="en-IE"/>
        </w:rPr>
        <w:t>he</w:t>
      </w:r>
      <w:r w:rsidR="001909F4" w:rsidRPr="00DC2D56">
        <w:rPr>
          <w:noProof/>
          <w:lang w:val="en-IE"/>
        </w:rPr>
        <w:t xml:space="preserve"> </w:t>
      </w:r>
      <w:r w:rsidR="0064324E" w:rsidRPr="00DC2D56">
        <w:rPr>
          <w:noProof/>
          <w:lang w:val="en-IE"/>
        </w:rPr>
        <w:t>total cost of ownership</w:t>
      </w:r>
      <w:r w:rsidR="00DE36AA">
        <w:rPr>
          <w:noProof/>
          <w:lang w:val="en-IE"/>
        </w:rPr>
        <w:t xml:space="preserve"> </w:t>
      </w:r>
      <w:r w:rsidR="0064324E" w:rsidRPr="00DC2D56">
        <w:rPr>
          <w:noProof/>
          <w:lang w:val="en-IE"/>
        </w:rPr>
        <w:t>consist</w:t>
      </w:r>
      <w:r w:rsidR="00125DE0">
        <w:rPr>
          <w:noProof/>
          <w:lang w:val="en-IE"/>
        </w:rPr>
        <w:t>s</w:t>
      </w:r>
      <w:r w:rsidR="0064324E" w:rsidRPr="00DC2D56">
        <w:rPr>
          <w:noProof/>
          <w:lang w:val="en-IE"/>
        </w:rPr>
        <w:t xml:space="preserve"> of the upfront investment</w:t>
      </w:r>
      <w:r w:rsidR="00286D4C">
        <w:rPr>
          <w:noProof/>
          <w:lang w:val="en-IE"/>
        </w:rPr>
        <w:t xml:space="preserve"> </w:t>
      </w:r>
      <w:r w:rsidR="00C573CB">
        <w:rPr>
          <w:noProof/>
          <w:lang w:val="en-IE"/>
        </w:rPr>
        <w:t>made to</w:t>
      </w:r>
      <w:r w:rsidR="00286D4C">
        <w:rPr>
          <w:noProof/>
          <w:lang w:val="en-IE"/>
        </w:rPr>
        <w:t xml:space="preserve"> acquir</w:t>
      </w:r>
      <w:r w:rsidR="00C573CB">
        <w:rPr>
          <w:noProof/>
          <w:lang w:val="en-IE"/>
        </w:rPr>
        <w:t>e</w:t>
      </w:r>
      <w:r w:rsidR="00286D4C">
        <w:rPr>
          <w:noProof/>
          <w:lang w:val="en-IE"/>
        </w:rPr>
        <w:t xml:space="preserve"> the vehicle</w:t>
      </w:r>
      <w:r w:rsidR="0064324E" w:rsidRPr="00DC2D56">
        <w:rPr>
          <w:noProof/>
          <w:lang w:val="en-IE"/>
        </w:rPr>
        <w:t xml:space="preserve"> and </w:t>
      </w:r>
      <w:r w:rsidR="00D36F48" w:rsidRPr="00DC2D56">
        <w:rPr>
          <w:noProof/>
          <w:lang w:val="en-IE"/>
        </w:rPr>
        <w:t xml:space="preserve">the </w:t>
      </w:r>
      <w:r w:rsidR="0064324E" w:rsidRPr="00DC2D56">
        <w:rPr>
          <w:noProof/>
          <w:lang w:val="en-IE"/>
        </w:rPr>
        <w:t>operati</w:t>
      </w:r>
      <w:r w:rsidR="00F9683D" w:rsidRPr="00DC2D56">
        <w:rPr>
          <w:noProof/>
          <w:lang w:val="en-IE"/>
        </w:rPr>
        <w:t>onal</w:t>
      </w:r>
      <w:r w:rsidR="0064324E" w:rsidRPr="00DC2D56">
        <w:rPr>
          <w:noProof/>
          <w:lang w:val="en-IE"/>
        </w:rPr>
        <w:t xml:space="preserve"> costs</w:t>
      </w:r>
      <w:r w:rsidR="00C573CB">
        <w:rPr>
          <w:noProof/>
          <w:lang w:val="en-IE"/>
        </w:rPr>
        <w:t xml:space="preserve"> incurred</w:t>
      </w:r>
      <w:r w:rsidR="0064324E" w:rsidRPr="00DC2D56">
        <w:rPr>
          <w:noProof/>
          <w:lang w:val="en-IE"/>
        </w:rPr>
        <w:t xml:space="preserve"> during the vehicle</w:t>
      </w:r>
      <w:r w:rsidR="00D36F48" w:rsidRPr="00DC2D56">
        <w:rPr>
          <w:noProof/>
          <w:lang w:val="en-IE"/>
        </w:rPr>
        <w:t>’s</w:t>
      </w:r>
      <w:r w:rsidR="0064324E" w:rsidRPr="00DC2D56">
        <w:rPr>
          <w:noProof/>
          <w:lang w:val="en-IE"/>
        </w:rPr>
        <w:t xml:space="preserve"> lifetime</w:t>
      </w:r>
      <w:r w:rsidR="008B536A">
        <w:rPr>
          <w:noProof/>
          <w:lang w:val="en-IE"/>
        </w:rPr>
        <w:t xml:space="preserve">. The </w:t>
      </w:r>
      <w:r w:rsidR="00074F5C">
        <w:rPr>
          <w:noProof/>
          <w:lang w:val="en-IE"/>
        </w:rPr>
        <w:t xml:space="preserve">gap of </w:t>
      </w:r>
      <w:r w:rsidR="00801857">
        <w:rPr>
          <w:noProof/>
          <w:lang w:val="en-IE"/>
        </w:rPr>
        <w:t>th</w:t>
      </w:r>
      <w:r w:rsidR="00063BD7">
        <w:rPr>
          <w:noProof/>
          <w:lang w:val="en-IE"/>
        </w:rPr>
        <w:t>e total</w:t>
      </w:r>
      <w:r w:rsidR="00801857">
        <w:rPr>
          <w:noProof/>
          <w:lang w:val="en-IE"/>
        </w:rPr>
        <w:t xml:space="preserve"> cost</w:t>
      </w:r>
      <w:r w:rsidR="008B536A">
        <w:rPr>
          <w:noProof/>
          <w:lang w:val="en-IE"/>
        </w:rPr>
        <w:t xml:space="preserve"> </w:t>
      </w:r>
      <w:r w:rsidR="00063BD7">
        <w:rPr>
          <w:noProof/>
          <w:lang w:val="en-IE"/>
        </w:rPr>
        <w:t>of ownership</w:t>
      </w:r>
      <w:r w:rsidR="008B536A">
        <w:rPr>
          <w:noProof/>
          <w:lang w:val="en-IE"/>
        </w:rPr>
        <w:t xml:space="preserve"> between co</w:t>
      </w:r>
      <w:r w:rsidR="00801857">
        <w:rPr>
          <w:noProof/>
          <w:lang w:val="en-IE"/>
        </w:rPr>
        <w:t>n</w:t>
      </w:r>
      <w:r w:rsidR="008B536A">
        <w:rPr>
          <w:noProof/>
          <w:lang w:val="en-IE"/>
        </w:rPr>
        <w:t>ve</w:t>
      </w:r>
      <w:r w:rsidR="00801857">
        <w:rPr>
          <w:noProof/>
          <w:lang w:val="en-IE"/>
        </w:rPr>
        <w:t>n</w:t>
      </w:r>
      <w:r w:rsidR="008B536A">
        <w:rPr>
          <w:noProof/>
          <w:lang w:val="en-IE"/>
        </w:rPr>
        <w:t>tio</w:t>
      </w:r>
      <w:r w:rsidR="00801857">
        <w:rPr>
          <w:noProof/>
          <w:lang w:val="en-IE"/>
        </w:rPr>
        <w:t xml:space="preserve">nal and </w:t>
      </w:r>
      <w:r w:rsidR="00801857" w:rsidRPr="00DC2D56">
        <w:rPr>
          <w:noProof/>
          <w:lang w:val="en-IE"/>
        </w:rPr>
        <w:t>zero-emission vehicles</w:t>
      </w:r>
      <w:r w:rsidR="0064324E" w:rsidRPr="00DC2D56">
        <w:rPr>
          <w:noProof/>
          <w:lang w:val="en-IE"/>
        </w:rPr>
        <w:t xml:space="preserve"> can be </w:t>
      </w:r>
      <w:r w:rsidR="002C1EC1" w:rsidRPr="00DC2D56">
        <w:rPr>
          <w:noProof/>
          <w:lang w:val="en-IE"/>
        </w:rPr>
        <w:t xml:space="preserve">reduced </w:t>
      </w:r>
      <w:r w:rsidR="001909F4" w:rsidRPr="00DC2D56">
        <w:rPr>
          <w:noProof/>
          <w:lang w:val="en-IE"/>
        </w:rPr>
        <w:t xml:space="preserve">by </w:t>
      </w:r>
      <w:r w:rsidR="002C1EC1" w:rsidRPr="00DC2D56">
        <w:rPr>
          <w:noProof/>
          <w:lang w:val="en-IE"/>
        </w:rPr>
        <w:t xml:space="preserve">lowering </w:t>
      </w:r>
      <w:r w:rsidR="005A2103" w:rsidRPr="00DC2D56">
        <w:rPr>
          <w:noProof/>
          <w:lang w:val="en-IE"/>
        </w:rPr>
        <w:t xml:space="preserve">the </w:t>
      </w:r>
      <w:r w:rsidR="001909F4" w:rsidRPr="00DC2D56">
        <w:rPr>
          <w:noProof/>
          <w:lang w:val="en-IE"/>
        </w:rPr>
        <w:t>operati</w:t>
      </w:r>
      <w:r w:rsidR="00F9683D" w:rsidRPr="00DC2D56">
        <w:rPr>
          <w:noProof/>
          <w:lang w:val="en-IE"/>
        </w:rPr>
        <w:t>onal</w:t>
      </w:r>
      <w:r w:rsidR="001909F4" w:rsidRPr="00DC2D56">
        <w:rPr>
          <w:noProof/>
          <w:lang w:val="en-IE"/>
        </w:rPr>
        <w:t xml:space="preserve"> costs</w:t>
      </w:r>
      <w:r w:rsidR="005A2103" w:rsidRPr="00DC2D56">
        <w:rPr>
          <w:noProof/>
          <w:lang w:val="en-IE"/>
        </w:rPr>
        <w:t xml:space="preserve"> of zero-emission vehicles</w:t>
      </w:r>
      <w:r w:rsidR="00DE36AA">
        <w:rPr>
          <w:noProof/>
          <w:lang w:val="en-IE"/>
        </w:rPr>
        <w:t>. Th</w:t>
      </w:r>
      <w:r w:rsidR="008528BC">
        <w:rPr>
          <w:noProof/>
          <w:lang w:val="en-IE"/>
        </w:rPr>
        <w:t>o</w:t>
      </w:r>
      <w:r w:rsidR="00DE36AA">
        <w:rPr>
          <w:noProof/>
          <w:lang w:val="en-IE"/>
        </w:rPr>
        <w:t>se costs include</w:t>
      </w:r>
      <w:r w:rsidR="00D36F48" w:rsidRPr="00DC2D56">
        <w:rPr>
          <w:noProof/>
          <w:lang w:val="en-IE"/>
        </w:rPr>
        <w:t xml:space="preserve"> road charges</w:t>
      </w:r>
      <w:r w:rsidR="008B219B" w:rsidRPr="00DC2D56">
        <w:rPr>
          <w:noProof/>
          <w:lang w:val="en-IE"/>
        </w:rPr>
        <w:t>.</w:t>
      </w:r>
    </w:p>
    <w:p w:rsidR="00C01F28" w:rsidRPr="00DC2D56" w:rsidRDefault="001F2325" w:rsidP="001F2325">
      <w:pPr>
        <w:pStyle w:val="ManualConsidrant"/>
        <w:rPr>
          <w:noProof/>
          <w:lang w:val="en-IE"/>
        </w:rPr>
      </w:pPr>
      <w:r w:rsidRPr="001F2325">
        <w:rPr>
          <w:noProof/>
        </w:rPr>
        <w:t>(2)</w:t>
      </w:r>
      <w:r w:rsidRPr="001F2325">
        <w:rPr>
          <w:noProof/>
        </w:rPr>
        <w:tab/>
      </w:r>
      <w:r w:rsidR="002E4083" w:rsidRPr="00DC2D56">
        <w:rPr>
          <w:noProof/>
          <w:lang w:val="en-IE"/>
        </w:rPr>
        <w:t>Directive (EU) 2022/362</w:t>
      </w:r>
      <w:r w:rsidR="00BF3F83">
        <w:rPr>
          <w:noProof/>
          <w:lang w:val="en-IE"/>
        </w:rPr>
        <w:t> </w:t>
      </w:r>
      <w:r w:rsidR="00CD1E27" w:rsidRPr="00907D49">
        <w:rPr>
          <w:noProof/>
        </w:rPr>
        <w:t>of the European Parliament and of the Council</w:t>
      </w:r>
      <w:r w:rsidR="005604C6">
        <w:rPr>
          <w:noProof/>
        </w:rPr>
        <w:t> </w:t>
      </w:r>
      <w:r w:rsidR="00907D49" w:rsidRPr="00DC2D56">
        <w:rPr>
          <w:rStyle w:val="FootnoteReference"/>
          <w:noProof/>
          <w:lang w:val="en-IE"/>
        </w:rPr>
        <w:footnoteReference w:id="40"/>
      </w:r>
      <w:r w:rsidR="00907D49" w:rsidRPr="00DC2D56">
        <w:rPr>
          <w:noProof/>
          <w:lang w:val="en-IE"/>
        </w:rPr>
        <w:t xml:space="preserve"> amended Directive 1999/62/EC of the European Parliament and of the Council</w:t>
      </w:r>
      <w:r w:rsidR="005604C6">
        <w:rPr>
          <w:noProof/>
          <w:lang w:val="en-IE"/>
        </w:rPr>
        <w:t> </w:t>
      </w:r>
      <w:r w:rsidR="00907D49" w:rsidRPr="00762A61">
        <w:rPr>
          <w:rStyle w:val="FootnoteReference"/>
          <w:noProof/>
        </w:rPr>
        <w:footnoteReference w:id="41"/>
      </w:r>
      <w:r w:rsidR="00907D49" w:rsidRPr="00DC2D56">
        <w:rPr>
          <w:noProof/>
          <w:lang w:val="en-IE"/>
        </w:rPr>
        <w:t xml:space="preserve"> by, </w:t>
      </w:r>
      <w:r w:rsidR="005C7886" w:rsidRPr="00DC2D56">
        <w:rPr>
          <w:noProof/>
          <w:lang w:val="en-IE"/>
        </w:rPr>
        <w:t>among other changes,</w:t>
      </w:r>
      <w:r w:rsidR="008249B6" w:rsidRPr="00DC2D56">
        <w:rPr>
          <w:noProof/>
          <w:lang w:val="en-IE"/>
        </w:rPr>
        <w:t xml:space="preserve"> </w:t>
      </w:r>
      <w:r w:rsidR="00766526">
        <w:rPr>
          <w:noProof/>
          <w:lang w:val="en-IE"/>
        </w:rPr>
        <w:t xml:space="preserve">making it possible to set </w:t>
      </w:r>
      <w:r w:rsidR="00FE70C1" w:rsidRPr="00DC2D56">
        <w:rPr>
          <w:noProof/>
          <w:lang w:val="en-IE"/>
        </w:rPr>
        <w:t xml:space="preserve">road charges </w:t>
      </w:r>
      <w:r w:rsidR="00766526">
        <w:rPr>
          <w:noProof/>
          <w:lang w:val="en-IE"/>
        </w:rPr>
        <w:t xml:space="preserve">according to </w:t>
      </w:r>
      <w:r w:rsidR="00084781">
        <w:rPr>
          <w:noProof/>
          <w:lang w:val="en-IE"/>
        </w:rPr>
        <w:t xml:space="preserve">vehicles’ </w:t>
      </w:r>
      <w:r w:rsidR="00FE70C1" w:rsidRPr="00DC2D56">
        <w:rPr>
          <w:rFonts w:eastAsia="Arial Unicode MS"/>
          <w:noProof/>
          <w:lang w:val="en-IE"/>
        </w:rPr>
        <w:t>CO</w:t>
      </w:r>
      <w:r w:rsidR="00FE70C1" w:rsidRPr="00DC2D56">
        <w:rPr>
          <w:rFonts w:eastAsia="Arial Unicode MS"/>
          <w:noProof/>
          <w:vertAlign w:val="subscript"/>
          <w:lang w:val="en-IE"/>
        </w:rPr>
        <w:t>2</w:t>
      </w:r>
      <w:r w:rsidR="00FE70C1" w:rsidRPr="00DC2D56">
        <w:rPr>
          <w:rFonts w:eastAsia="Arial Unicode MS"/>
          <w:noProof/>
          <w:lang w:val="en-IE"/>
        </w:rPr>
        <w:t xml:space="preserve"> emissions. </w:t>
      </w:r>
      <w:r w:rsidR="005A06C1" w:rsidRPr="00DC2D56">
        <w:rPr>
          <w:rFonts w:eastAsia="Arial Unicode MS"/>
          <w:noProof/>
          <w:lang w:val="en-IE"/>
        </w:rPr>
        <w:t xml:space="preserve">It </w:t>
      </w:r>
      <w:r w:rsidR="00573E85">
        <w:rPr>
          <w:rFonts w:eastAsia="Arial Unicode MS"/>
          <w:noProof/>
          <w:lang w:val="en-IE"/>
        </w:rPr>
        <w:t>introduced the possibility to vary</w:t>
      </w:r>
      <w:r w:rsidR="004D5342" w:rsidRPr="00DC2D56">
        <w:rPr>
          <w:rFonts w:eastAsia="Arial Unicode MS"/>
          <w:noProof/>
          <w:lang w:val="en-IE"/>
        </w:rPr>
        <w:t xml:space="preserve"> infrastructure </w:t>
      </w:r>
      <w:r w:rsidR="007F7D5D" w:rsidRPr="00DC2D56">
        <w:rPr>
          <w:rFonts w:eastAsia="Arial Unicode MS"/>
          <w:noProof/>
          <w:lang w:val="en-IE"/>
        </w:rPr>
        <w:t>and</w:t>
      </w:r>
      <w:r w:rsidR="004D5342" w:rsidRPr="00DC2D56">
        <w:rPr>
          <w:rFonts w:eastAsia="Arial Unicode MS"/>
          <w:noProof/>
          <w:lang w:val="en-IE"/>
        </w:rPr>
        <w:t xml:space="preserve"> user charges </w:t>
      </w:r>
      <w:r w:rsidR="00573E85">
        <w:rPr>
          <w:rFonts w:eastAsia="Arial Unicode MS"/>
          <w:noProof/>
          <w:lang w:val="en-IE"/>
        </w:rPr>
        <w:t>and</w:t>
      </w:r>
      <w:r w:rsidR="00A42AF9">
        <w:rPr>
          <w:rFonts w:eastAsia="Arial Unicode MS"/>
          <w:noProof/>
          <w:lang w:val="en-IE"/>
        </w:rPr>
        <w:t>/or</w:t>
      </w:r>
      <w:r w:rsidR="005604C6">
        <w:rPr>
          <w:rFonts w:eastAsia="Arial Unicode MS"/>
          <w:noProof/>
          <w:lang w:val="en-IE"/>
        </w:rPr>
        <w:t xml:space="preserve"> to</w:t>
      </w:r>
      <w:r w:rsidR="00573E85">
        <w:rPr>
          <w:rFonts w:eastAsia="Arial Unicode MS"/>
          <w:noProof/>
          <w:lang w:val="en-IE"/>
        </w:rPr>
        <w:t xml:space="preserve"> </w:t>
      </w:r>
      <w:r w:rsidR="00EA4AED">
        <w:rPr>
          <w:rFonts w:eastAsia="Arial Unicode MS"/>
          <w:noProof/>
          <w:lang w:val="en-IE"/>
        </w:rPr>
        <w:t>internalise</w:t>
      </w:r>
      <w:r w:rsidR="004D5342" w:rsidRPr="00DC2D56">
        <w:rPr>
          <w:rFonts w:eastAsia="Arial Unicode MS"/>
          <w:noProof/>
          <w:lang w:val="en-IE"/>
        </w:rPr>
        <w:t xml:space="preserve"> the externa</w:t>
      </w:r>
      <w:r w:rsidR="00D0662E" w:rsidRPr="00DC2D56">
        <w:rPr>
          <w:rFonts w:eastAsia="Arial Unicode MS"/>
          <w:noProof/>
          <w:lang w:val="en-IE"/>
        </w:rPr>
        <w:t>l</w:t>
      </w:r>
      <w:r w:rsidR="000E1D64" w:rsidRPr="00DC2D56">
        <w:rPr>
          <w:rFonts w:eastAsia="Arial Unicode MS"/>
          <w:noProof/>
          <w:lang w:val="en-IE"/>
        </w:rPr>
        <w:t xml:space="preserve"> </w:t>
      </w:r>
      <w:r w:rsidR="00F9051B" w:rsidRPr="00DC2D56">
        <w:rPr>
          <w:rFonts w:eastAsia="Arial Unicode MS"/>
          <w:noProof/>
          <w:lang w:val="en-IE"/>
        </w:rPr>
        <w:t>costs</w:t>
      </w:r>
      <w:r w:rsidR="00D0662E" w:rsidRPr="00DC2D56">
        <w:rPr>
          <w:rFonts w:eastAsia="Arial Unicode MS"/>
          <w:noProof/>
          <w:lang w:val="en-IE"/>
        </w:rPr>
        <w:t xml:space="preserve"> </w:t>
      </w:r>
      <w:r w:rsidR="00D36F48" w:rsidRPr="00DC2D56">
        <w:rPr>
          <w:rFonts w:eastAsia="Arial Unicode MS"/>
          <w:noProof/>
          <w:lang w:val="en-IE"/>
        </w:rPr>
        <w:t xml:space="preserve">of </w:t>
      </w:r>
      <w:r w:rsidR="00D0662E" w:rsidRPr="00DC2D56">
        <w:rPr>
          <w:rFonts w:eastAsia="Arial Unicode MS"/>
          <w:noProof/>
          <w:lang w:val="en-IE"/>
        </w:rPr>
        <w:t>CO</w:t>
      </w:r>
      <w:r w:rsidR="009F5C14" w:rsidRPr="00DC2D56">
        <w:rPr>
          <w:rFonts w:eastAsia="Arial Unicode MS"/>
          <w:noProof/>
          <w:vertAlign w:val="subscript"/>
          <w:lang w:val="en-IE"/>
        </w:rPr>
        <w:t>2</w:t>
      </w:r>
      <w:r w:rsidR="00D0662E" w:rsidRPr="00DC2D56">
        <w:rPr>
          <w:rFonts w:eastAsia="Arial Unicode MS"/>
          <w:noProof/>
          <w:lang w:val="en-IE"/>
        </w:rPr>
        <w:t xml:space="preserve"> emissions</w:t>
      </w:r>
      <w:r w:rsidR="00F9051B" w:rsidRPr="00DC2D56">
        <w:rPr>
          <w:rFonts w:eastAsia="Arial Unicode MS"/>
          <w:noProof/>
          <w:lang w:val="en-IE"/>
        </w:rPr>
        <w:t>.</w:t>
      </w:r>
      <w:r w:rsidR="000E1D64" w:rsidRPr="00DC2D56">
        <w:rPr>
          <w:rFonts w:eastAsia="Arial Unicode MS"/>
          <w:noProof/>
          <w:lang w:val="en-IE"/>
        </w:rPr>
        <w:t xml:space="preserve"> </w:t>
      </w:r>
      <w:r w:rsidR="00982A0B" w:rsidRPr="00DC2D56">
        <w:rPr>
          <w:noProof/>
          <w:lang w:val="en-IE"/>
        </w:rPr>
        <w:t xml:space="preserve">Both measures </w:t>
      </w:r>
      <w:r w:rsidR="00C04C35" w:rsidRPr="00DC2D56">
        <w:rPr>
          <w:noProof/>
          <w:lang w:val="en-IE"/>
        </w:rPr>
        <w:t>affect the operati</w:t>
      </w:r>
      <w:r w:rsidR="00F9683D" w:rsidRPr="00DC2D56">
        <w:rPr>
          <w:noProof/>
          <w:lang w:val="en-IE"/>
        </w:rPr>
        <w:t>onal</w:t>
      </w:r>
      <w:r w:rsidR="00C04C35" w:rsidRPr="00DC2D56">
        <w:rPr>
          <w:noProof/>
          <w:lang w:val="en-IE"/>
        </w:rPr>
        <w:t xml:space="preserve"> costs </w:t>
      </w:r>
      <w:r w:rsidR="000E0C23" w:rsidRPr="00DC2D56">
        <w:rPr>
          <w:noProof/>
          <w:lang w:val="en-IE"/>
        </w:rPr>
        <w:t xml:space="preserve">of </w:t>
      </w:r>
      <w:r w:rsidR="00D36F48" w:rsidRPr="00DC2D56">
        <w:rPr>
          <w:noProof/>
          <w:lang w:val="en-IE"/>
        </w:rPr>
        <w:t>vehicles</w:t>
      </w:r>
      <w:r w:rsidR="00AF69CA" w:rsidRPr="00DC2D56">
        <w:rPr>
          <w:noProof/>
          <w:lang w:val="en-IE"/>
        </w:rPr>
        <w:t xml:space="preserve">. </w:t>
      </w:r>
      <w:r w:rsidR="00F54341" w:rsidRPr="00DC2D56">
        <w:rPr>
          <w:noProof/>
          <w:lang w:val="en-IE"/>
        </w:rPr>
        <w:t xml:space="preserve">The variation of charges </w:t>
      </w:r>
      <w:r w:rsidR="00084781">
        <w:rPr>
          <w:noProof/>
          <w:lang w:val="en-IE"/>
        </w:rPr>
        <w:t xml:space="preserve">decreases </w:t>
      </w:r>
      <w:r w:rsidR="00D36F48" w:rsidRPr="00DC2D56">
        <w:rPr>
          <w:noProof/>
          <w:lang w:val="en-IE"/>
        </w:rPr>
        <w:t xml:space="preserve">the </w:t>
      </w:r>
      <w:r w:rsidR="001C2D7A" w:rsidRPr="00DC2D56">
        <w:rPr>
          <w:noProof/>
          <w:lang w:val="en-IE"/>
        </w:rPr>
        <w:t>operati</w:t>
      </w:r>
      <w:r w:rsidR="00F9683D" w:rsidRPr="00DC2D56">
        <w:rPr>
          <w:noProof/>
          <w:lang w:val="en-IE"/>
        </w:rPr>
        <w:t>onal</w:t>
      </w:r>
      <w:r w:rsidR="001C2D7A" w:rsidRPr="00DC2D56">
        <w:rPr>
          <w:noProof/>
          <w:lang w:val="en-IE"/>
        </w:rPr>
        <w:t xml:space="preserve"> costs of </w:t>
      </w:r>
      <w:r w:rsidR="00347440">
        <w:rPr>
          <w:noProof/>
          <w:lang w:val="en-IE"/>
        </w:rPr>
        <w:t xml:space="preserve">less-polluting </w:t>
      </w:r>
      <w:r w:rsidR="001C2D7A" w:rsidRPr="00DC2D56">
        <w:rPr>
          <w:noProof/>
          <w:lang w:val="en-IE"/>
        </w:rPr>
        <w:t>vehicles</w:t>
      </w:r>
      <w:r w:rsidR="004370AC" w:rsidRPr="00DC2D56">
        <w:rPr>
          <w:noProof/>
          <w:lang w:val="en-IE"/>
        </w:rPr>
        <w:t xml:space="preserve">, while </w:t>
      </w:r>
      <w:r w:rsidR="001C2D7A" w:rsidRPr="00DC2D56">
        <w:rPr>
          <w:noProof/>
          <w:lang w:val="en-IE"/>
        </w:rPr>
        <w:t>externa</w:t>
      </w:r>
      <w:r w:rsidR="00373731" w:rsidRPr="00DC2D56">
        <w:rPr>
          <w:noProof/>
          <w:lang w:val="en-IE"/>
        </w:rPr>
        <w:t>l</w:t>
      </w:r>
      <w:r w:rsidR="001C2D7A" w:rsidRPr="00DC2D56">
        <w:rPr>
          <w:noProof/>
          <w:lang w:val="en-IE"/>
        </w:rPr>
        <w:t>-cost charges increase the operati</w:t>
      </w:r>
      <w:r w:rsidR="00F9683D" w:rsidRPr="00DC2D56">
        <w:rPr>
          <w:noProof/>
          <w:lang w:val="en-IE"/>
        </w:rPr>
        <w:t>onal</w:t>
      </w:r>
      <w:r w:rsidR="001C2D7A" w:rsidRPr="00DC2D56">
        <w:rPr>
          <w:noProof/>
          <w:lang w:val="en-IE"/>
        </w:rPr>
        <w:t xml:space="preserve"> costs of more</w:t>
      </w:r>
      <w:r w:rsidR="00347440">
        <w:rPr>
          <w:noProof/>
          <w:lang w:val="en-IE"/>
        </w:rPr>
        <w:t>-</w:t>
      </w:r>
      <w:r w:rsidR="001C2D7A" w:rsidRPr="00DC2D56">
        <w:rPr>
          <w:noProof/>
          <w:lang w:val="en-IE"/>
        </w:rPr>
        <w:t xml:space="preserve">polluting vehicles. </w:t>
      </w:r>
      <w:r w:rsidR="006B1644" w:rsidRPr="00DC2D56">
        <w:rPr>
          <w:noProof/>
          <w:lang w:val="en-IE"/>
        </w:rPr>
        <w:t xml:space="preserve">Both measures reduce the gap </w:t>
      </w:r>
      <w:r w:rsidR="009D62D4" w:rsidRPr="00DC2D56">
        <w:rPr>
          <w:noProof/>
          <w:lang w:val="en-IE"/>
        </w:rPr>
        <w:t>in the total cost of ownership between zero-emission and conventional vehicles</w:t>
      </w:r>
      <w:r w:rsidR="00AF0AF7" w:rsidRPr="00DC2D56">
        <w:rPr>
          <w:noProof/>
          <w:lang w:val="en-IE"/>
        </w:rPr>
        <w:t>. Both measures are important to</w:t>
      </w:r>
      <w:r w:rsidR="00282122" w:rsidRPr="00DC2D56">
        <w:rPr>
          <w:noProof/>
          <w:lang w:val="en-IE"/>
        </w:rPr>
        <w:t xml:space="preserve"> </w:t>
      </w:r>
      <w:r w:rsidR="00CE49F4" w:rsidRPr="00DC2D56">
        <w:rPr>
          <w:noProof/>
          <w:lang w:val="en-IE"/>
        </w:rPr>
        <w:t>strengthen</w:t>
      </w:r>
      <w:r w:rsidR="00347440">
        <w:rPr>
          <w:noProof/>
          <w:lang w:val="en-IE"/>
        </w:rPr>
        <w:t>ing</w:t>
      </w:r>
      <w:r w:rsidR="00CE49F4" w:rsidRPr="00DC2D56">
        <w:rPr>
          <w:noProof/>
          <w:lang w:val="en-IE"/>
        </w:rPr>
        <w:t xml:space="preserve"> the</w:t>
      </w:r>
      <w:r w:rsidR="00282122" w:rsidRPr="00DC2D56">
        <w:rPr>
          <w:noProof/>
          <w:lang w:val="en-IE"/>
        </w:rPr>
        <w:t xml:space="preserve"> business case for invest</w:t>
      </w:r>
      <w:r w:rsidR="000B2783" w:rsidRPr="00DC2D56">
        <w:rPr>
          <w:noProof/>
          <w:lang w:val="en-IE"/>
        </w:rPr>
        <w:t>ing</w:t>
      </w:r>
      <w:r w:rsidR="00282122" w:rsidRPr="00DC2D56">
        <w:rPr>
          <w:noProof/>
          <w:lang w:val="en-IE"/>
        </w:rPr>
        <w:t xml:space="preserve"> in </w:t>
      </w:r>
      <w:r w:rsidR="00D36F48" w:rsidRPr="00DC2D56">
        <w:rPr>
          <w:noProof/>
          <w:lang w:val="en-IE"/>
        </w:rPr>
        <w:t>zero-emission vehicles</w:t>
      </w:r>
      <w:r w:rsidR="009D62D4" w:rsidRPr="00DC2D56">
        <w:rPr>
          <w:noProof/>
          <w:lang w:val="en-IE"/>
        </w:rPr>
        <w:t>.</w:t>
      </w:r>
    </w:p>
    <w:p w:rsidR="00C66E96" w:rsidRPr="00DC2D56" w:rsidRDefault="001F2325" w:rsidP="001F2325">
      <w:pPr>
        <w:pStyle w:val="ManualConsidrant"/>
        <w:rPr>
          <w:noProof/>
          <w:lang w:val="en-IE"/>
        </w:rPr>
      </w:pPr>
      <w:r w:rsidRPr="001F2325">
        <w:rPr>
          <w:noProof/>
        </w:rPr>
        <w:t>(3)</w:t>
      </w:r>
      <w:r w:rsidRPr="001F2325">
        <w:rPr>
          <w:noProof/>
        </w:rPr>
        <w:tab/>
      </w:r>
      <w:r w:rsidR="00F32FD9">
        <w:rPr>
          <w:noProof/>
          <w:lang w:val="en-IE"/>
        </w:rPr>
        <w:t xml:space="preserve">Article 7ga(1), fifth subparagraph, of </w:t>
      </w:r>
      <w:r w:rsidR="00DB33F5">
        <w:rPr>
          <w:noProof/>
          <w:lang w:val="en-IE"/>
        </w:rPr>
        <w:t xml:space="preserve">Directive </w:t>
      </w:r>
      <w:r w:rsidR="004E283A">
        <w:rPr>
          <w:noProof/>
          <w:lang w:val="en-IE"/>
        </w:rPr>
        <w:t xml:space="preserve">1999/62/EC </w:t>
      </w:r>
      <w:r w:rsidR="00DB33F5">
        <w:rPr>
          <w:noProof/>
          <w:lang w:val="en-IE"/>
        </w:rPr>
        <w:t xml:space="preserve">currently </w:t>
      </w:r>
      <w:r w:rsidR="00F02030">
        <w:rPr>
          <w:noProof/>
          <w:lang w:val="en-IE"/>
        </w:rPr>
        <w:t xml:space="preserve">gives </w:t>
      </w:r>
      <w:r w:rsidR="00F32FD9">
        <w:rPr>
          <w:noProof/>
          <w:lang w:val="en-IE"/>
        </w:rPr>
        <w:t xml:space="preserve">Member States </w:t>
      </w:r>
      <w:r w:rsidR="00DB33F5">
        <w:rPr>
          <w:noProof/>
          <w:lang w:val="en-IE"/>
        </w:rPr>
        <w:t xml:space="preserve">the </w:t>
      </w:r>
      <w:r w:rsidR="00907D49" w:rsidRPr="00DC2D56">
        <w:rPr>
          <w:noProof/>
          <w:lang w:val="en-IE"/>
        </w:rPr>
        <w:t>possibility to apply reduced rates</w:t>
      </w:r>
      <w:r w:rsidR="006B4331" w:rsidRPr="00DC2D56">
        <w:rPr>
          <w:noProof/>
          <w:lang w:val="en-IE"/>
        </w:rPr>
        <w:t xml:space="preserve"> </w:t>
      </w:r>
      <w:r w:rsidR="00F32FD9">
        <w:rPr>
          <w:noProof/>
          <w:lang w:val="en-IE"/>
        </w:rPr>
        <w:t xml:space="preserve">of </w:t>
      </w:r>
      <w:r w:rsidR="00F32FD9" w:rsidRPr="00DC2D56">
        <w:rPr>
          <w:noProof/>
          <w:lang w:val="en-IE"/>
        </w:rPr>
        <w:t xml:space="preserve">infrastructure or user charges </w:t>
      </w:r>
      <w:r w:rsidR="00F32FD9">
        <w:rPr>
          <w:noProof/>
          <w:lang w:val="en-IE"/>
        </w:rPr>
        <w:t xml:space="preserve">without </w:t>
      </w:r>
      <w:r w:rsidR="00DA7D9F">
        <w:rPr>
          <w:noProof/>
          <w:lang w:val="en-IE"/>
        </w:rPr>
        <w:t>putting any ceiling on</w:t>
      </w:r>
      <w:r w:rsidR="00F32FD9">
        <w:rPr>
          <w:noProof/>
          <w:lang w:val="en-IE"/>
        </w:rPr>
        <w:t xml:space="preserve"> such reductions, </w:t>
      </w:r>
      <w:r w:rsidR="006B4331" w:rsidRPr="00DC2D56">
        <w:rPr>
          <w:noProof/>
          <w:lang w:val="en-IE"/>
        </w:rPr>
        <w:t>or</w:t>
      </w:r>
      <w:r w:rsidR="00907D49" w:rsidRPr="00DC2D56">
        <w:rPr>
          <w:noProof/>
          <w:lang w:val="en-IE"/>
        </w:rPr>
        <w:t xml:space="preserve"> </w:t>
      </w:r>
      <w:r w:rsidR="00F32FD9">
        <w:rPr>
          <w:noProof/>
          <w:lang w:val="en-IE"/>
        </w:rPr>
        <w:t xml:space="preserve">to apply full </w:t>
      </w:r>
      <w:r w:rsidR="00C66E96" w:rsidRPr="00DC2D56">
        <w:rPr>
          <w:noProof/>
          <w:lang w:val="en-IE"/>
        </w:rPr>
        <w:t>exemption</w:t>
      </w:r>
      <w:r w:rsidR="00907D49" w:rsidRPr="00DC2D56">
        <w:rPr>
          <w:noProof/>
          <w:lang w:val="en-IE"/>
        </w:rPr>
        <w:t>s</w:t>
      </w:r>
      <w:r w:rsidR="00C66E96" w:rsidRPr="00DC2D56">
        <w:rPr>
          <w:noProof/>
          <w:lang w:val="en-IE"/>
        </w:rPr>
        <w:t xml:space="preserve"> from </w:t>
      </w:r>
      <w:r w:rsidR="00F32FD9">
        <w:rPr>
          <w:noProof/>
          <w:lang w:val="en-IE"/>
        </w:rPr>
        <w:t xml:space="preserve">such </w:t>
      </w:r>
      <w:r w:rsidR="00C66E96" w:rsidRPr="00DC2D56">
        <w:rPr>
          <w:noProof/>
          <w:lang w:val="en-IE"/>
        </w:rPr>
        <w:t>charge</w:t>
      </w:r>
      <w:r w:rsidR="00907D49" w:rsidRPr="00DC2D56">
        <w:rPr>
          <w:noProof/>
          <w:lang w:val="en-IE"/>
        </w:rPr>
        <w:t>s</w:t>
      </w:r>
      <w:r w:rsidR="00F32FD9">
        <w:rPr>
          <w:noProof/>
          <w:lang w:val="en-IE"/>
        </w:rPr>
        <w:t>,</w:t>
      </w:r>
      <w:r w:rsidR="00C66E96" w:rsidRPr="00DC2D56">
        <w:rPr>
          <w:noProof/>
          <w:lang w:val="en-IE"/>
        </w:rPr>
        <w:t xml:space="preserve"> only until 31</w:t>
      </w:r>
      <w:r w:rsidR="00DC5860">
        <w:rPr>
          <w:noProof/>
          <w:lang w:val="en-IE"/>
        </w:rPr>
        <w:t> </w:t>
      </w:r>
      <w:r w:rsidR="00C66E96" w:rsidRPr="00DC2D56">
        <w:rPr>
          <w:noProof/>
          <w:lang w:val="en-IE"/>
        </w:rPr>
        <w:t>December</w:t>
      </w:r>
      <w:r w:rsidR="00DC5860">
        <w:rPr>
          <w:noProof/>
          <w:lang w:val="en-IE"/>
        </w:rPr>
        <w:t> </w:t>
      </w:r>
      <w:r w:rsidR="00C66E96" w:rsidRPr="00DC2D56">
        <w:rPr>
          <w:noProof/>
          <w:lang w:val="en-IE"/>
        </w:rPr>
        <w:t xml:space="preserve">2025. </w:t>
      </w:r>
      <w:r w:rsidR="00C40184" w:rsidRPr="00DC2D56">
        <w:rPr>
          <w:noProof/>
          <w:lang w:val="en-IE"/>
        </w:rPr>
        <w:t>Member States were required to transpose</w:t>
      </w:r>
      <w:r w:rsidR="00087570">
        <w:rPr>
          <w:noProof/>
          <w:lang w:val="en-IE"/>
        </w:rPr>
        <w:t xml:space="preserve"> th</w:t>
      </w:r>
      <w:r w:rsidR="00D06AF0">
        <w:rPr>
          <w:noProof/>
          <w:lang w:val="en-IE"/>
        </w:rPr>
        <w:t>at</w:t>
      </w:r>
      <w:r w:rsidR="00087570">
        <w:rPr>
          <w:noProof/>
          <w:lang w:val="en-IE"/>
        </w:rPr>
        <w:t xml:space="preserve"> provision</w:t>
      </w:r>
      <w:r w:rsidR="00D06AF0">
        <w:rPr>
          <w:noProof/>
          <w:lang w:val="en-IE"/>
        </w:rPr>
        <w:t>,</w:t>
      </w:r>
      <w:r w:rsidR="00087570">
        <w:rPr>
          <w:noProof/>
          <w:lang w:val="en-IE"/>
        </w:rPr>
        <w:t xml:space="preserve"> introduced by</w:t>
      </w:r>
      <w:r w:rsidR="00C40184" w:rsidRPr="00DC2D56">
        <w:rPr>
          <w:noProof/>
          <w:lang w:val="en-IE"/>
        </w:rPr>
        <w:t xml:space="preserve"> Directive</w:t>
      </w:r>
      <w:r w:rsidR="00087570">
        <w:rPr>
          <w:noProof/>
          <w:lang w:val="en-IE"/>
        </w:rPr>
        <w:t xml:space="preserve"> (EU) 2022/362</w:t>
      </w:r>
      <w:r w:rsidR="00D06AF0">
        <w:rPr>
          <w:noProof/>
          <w:lang w:val="en-IE"/>
        </w:rPr>
        <w:t>,</w:t>
      </w:r>
      <w:r w:rsidR="00E742D0">
        <w:rPr>
          <w:noProof/>
          <w:lang w:val="en-IE"/>
        </w:rPr>
        <w:t xml:space="preserve"> into national law</w:t>
      </w:r>
      <w:r w:rsidR="00D06AF0">
        <w:rPr>
          <w:noProof/>
          <w:lang w:val="en-IE"/>
        </w:rPr>
        <w:t>s</w:t>
      </w:r>
      <w:r w:rsidR="00C40184" w:rsidRPr="00DC2D56">
        <w:rPr>
          <w:noProof/>
          <w:lang w:val="en-IE"/>
        </w:rPr>
        <w:t xml:space="preserve"> by 25</w:t>
      </w:r>
      <w:r w:rsidR="00DC5860">
        <w:rPr>
          <w:noProof/>
          <w:lang w:val="en-IE"/>
        </w:rPr>
        <w:t> </w:t>
      </w:r>
      <w:r w:rsidR="00C40184" w:rsidRPr="00DC2D56">
        <w:rPr>
          <w:noProof/>
          <w:lang w:val="en-IE"/>
        </w:rPr>
        <w:t>March</w:t>
      </w:r>
      <w:r w:rsidR="00DC5860">
        <w:rPr>
          <w:noProof/>
          <w:lang w:val="en-IE"/>
        </w:rPr>
        <w:t> </w:t>
      </w:r>
      <w:r w:rsidR="00C40184" w:rsidRPr="00DC2D56">
        <w:rPr>
          <w:noProof/>
          <w:lang w:val="en-IE"/>
        </w:rPr>
        <w:t>2024</w:t>
      </w:r>
      <w:r w:rsidR="00D06AF0">
        <w:rPr>
          <w:noProof/>
          <w:lang w:val="en-IE"/>
        </w:rPr>
        <w:t>.</w:t>
      </w:r>
      <w:r w:rsidR="00C40184" w:rsidRPr="00DC2D56">
        <w:rPr>
          <w:noProof/>
          <w:lang w:val="en-IE"/>
        </w:rPr>
        <w:t xml:space="preserve"> </w:t>
      </w:r>
      <w:r w:rsidR="00D06AF0">
        <w:rPr>
          <w:noProof/>
          <w:lang w:val="en-IE"/>
        </w:rPr>
        <w:t>T</w:t>
      </w:r>
      <w:r w:rsidR="00DB33F5">
        <w:rPr>
          <w:noProof/>
          <w:lang w:val="en-IE"/>
        </w:rPr>
        <w:t>hat</w:t>
      </w:r>
      <w:r w:rsidR="00DB33F5" w:rsidRPr="00DC2D56">
        <w:rPr>
          <w:noProof/>
          <w:lang w:val="en-IE"/>
        </w:rPr>
        <w:t xml:space="preserve"> </w:t>
      </w:r>
      <w:r w:rsidR="006B350C" w:rsidRPr="00DC2D56">
        <w:rPr>
          <w:noProof/>
          <w:lang w:val="en-IE"/>
        </w:rPr>
        <w:t xml:space="preserve">end date </w:t>
      </w:r>
      <w:r w:rsidR="00D06AF0">
        <w:rPr>
          <w:noProof/>
          <w:lang w:val="en-IE"/>
        </w:rPr>
        <w:t xml:space="preserve">for transposition </w:t>
      </w:r>
      <w:r w:rsidR="000C3393">
        <w:rPr>
          <w:noProof/>
          <w:lang w:val="en-IE"/>
        </w:rPr>
        <w:t>implies</w:t>
      </w:r>
      <w:r w:rsidR="000C3393" w:rsidRPr="00DC2D56">
        <w:rPr>
          <w:noProof/>
          <w:lang w:val="en-IE"/>
        </w:rPr>
        <w:t xml:space="preserve"> </w:t>
      </w:r>
      <w:r w:rsidR="00C66E96" w:rsidRPr="00DC2D56">
        <w:rPr>
          <w:noProof/>
          <w:lang w:val="en-IE"/>
        </w:rPr>
        <w:t>a</w:t>
      </w:r>
      <w:r w:rsidR="006B350C" w:rsidRPr="00DC2D56">
        <w:rPr>
          <w:noProof/>
          <w:lang w:val="en-IE"/>
        </w:rPr>
        <w:t xml:space="preserve"> </w:t>
      </w:r>
      <w:r w:rsidR="00CE49F4" w:rsidRPr="00DC2D56">
        <w:rPr>
          <w:noProof/>
          <w:lang w:val="en-IE"/>
        </w:rPr>
        <w:t xml:space="preserve">very </w:t>
      </w:r>
      <w:r w:rsidR="006B350C" w:rsidRPr="00DC2D56">
        <w:rPr>
          <w:noProof/>
          <w:lang w:val="en-IE"/>
        </w:rPr>
        <w:t xml:space="preserve">short </w:t>
      </w:r>
      <w:r w:rsidR="00C66E96" w:rsidRPr="00DC2D56">
        <w:rPr>
          <w:noProof/>
          <w:lang w:val="en-IE"/>
        </w:rPr>
        <w:t>implementation period of less than two years</w:t>
      </w:r>
      <w:r w:rsidR="000B2783" w:rsidRPr="00DC2D56">
        <w:rPr>
          <w:noProof/>
          <w:lang w:val="en-IE"/>
        </w:rPr>
        <w:t>.</w:t>
      </w:r>
      <w:r w:rsidR="005D18A6" w:rsidRPr="00DC2D56">
        <w:rPr>
          <w:noProof/>
          <w:lang w:val="en-IE"/>
        </w:rPr>
        <w:t xml:space="preserve"> </w:t>
      </w:r>
      <w:r w:rsidR="000B2783" w:rsidRPr="00DC2D56">
        <w:rPr>
          <w:noProof/>
          <w:lang w:val="en-IE"/>
        </w:rPr>
        <w:t>Th</w:t>
      </w:r>
      <w:r w:rsidR="00D06AF0">
        <w:rPr>
          <w:noProof/>
          <w:lang w:val="en-IE"/>
        </w:rPr>
        <w:t>at</w:t>
      </w:r>
      <w:r w:rsidR="000B2783" w:rsidRPr="00DC2D56">
        <w:rPr>
          <w:noProof/>
          <w:lang w:val="en-IE"/>
        </w:rPr>
        <w:t xml:space="preserve"> period is</w:t>
      </w:r>
      <w:r w:rsidR="008A15E5" w:rsidRPr="00DC2D56">
        <w:rPr>
          <w:noProof/>
          <w:lang w:val="en-IE"/>
        </w:rPr>
        <w:t xml:space="preserve"> too</w:t>
      </w:r>
      <w:r w:rsidR="000B2783" w:rsidRPr="00DC2D56">
        <w:rPr>
          <w:noProof/>
          <w:lang w:val="en-IE"/>
        </w:rPr>
        <w:t xml:space="preserve"> short </w:t>
      </w:r>
      <w:r w:rsidR="005D18A6" w:rsidRPr="00DC2D56">
        <w:rPr>
          <w:noProof/>
          <w:lang w:val="en-IE"/>
        </w:rPr>
        <w:t xml:space="preserve">to </w:t>
      </w:r>
      <w:r w:rsidR="008F40B4" w:rsidRPr="00DC2D56">
        <w:rPr>
          <w:rFonts w:eastAsia="Arial Unicode MS"/>
          <w:noProof/>
          <w:lang w:val="en-IE"/>
        </w:rPr>
        <w:t xml:space="preserve">meaningfully </w:t>
      </w:r>
      <w:r w:rsidR="000C3393">
        <w:rPr>
          <w:rFonts w:eastAsia="Arial Unicode MS"/>
          <w:noProof/>
          <w:lang w:val="en-IE"/>
        </w:rPr>
        <w:t>incentivise</w:t>
      </w:r>
      <w:r w:rsidR="000C3393" w:rsidRPr="00DC2D56">
        <w:rPr>
          <w:rFonts w:eastAsia="Arial Unicode MS"/>
          <w:noProof/>
          <w:lang w:val="en-IE"/>
        </w:rPr>
        <w:t xml:space="preserve"> </w:t>
      </w:r>
      <w:r w:rsidR="000B2783" w:rsidRPr="00DC2D56">
        <w:rPr>
          <w:rFonts w:eastAsia="Arial Unicode MS"/>
          <w:noProof/>
          <w:lang w:val="en-IE"/>
        </w:rPr>
        <w:t>the demand of</w:t>
      </w:r>
      <w:r w:rsidR="005D18A6" w:rsidRPr="00DC2D56">
        <w:rPr>
          <w:rFonts w:eastAsia="Arial Unicode MS"/>
          <w:noProof/>
          <w:lang w:val="en-IE"/>
        </w:rPr>
        <w:t xml:space="preserve"> new </w:t>
      </w:r>
      <w:r w:rsidR="000B2783" w:rsidRPr="00DC2D56">
        <w:rPr>
          <w:rFonts w:eastAsia="Arial Unicode MS"/>
          <w:noProof/>
          <w:lang w:val="en-IE"/>
        </w:rPr>
        <w:t xml:space="preserve">zero-emission </w:t>
      </w:r>
      <w:r w:rsidR="005D18A6" w:rsidRPr="00DC2D56">
        <w:rPr>
          <w:rFonts w:eastAsia="Arial Unicode MS"/>
          <w:noProof/>
          <w:lang w:val="en-IE"/>
        </w:rPr>
        <w:t>heavy-duty vehicles</w:t>
      </w:r>
      <w:r w:rsidR="00C66E96" w:rsidRPr="00DC2D56">
        <w:rPr>
          <w:noProof/>
          <w:lang w:val="en-IE"/>
        </w:rPr>
        <w:t xml:space="preserve">. </w:t>
      </w:r>
      <w:r w:rsidR="005112C8">
        <w:rPr>
          <w:noProof/>
          <w:lang w:val="en-IE"/>
        </w:rPr>
        <w:t>Therefore t</w:t>
      </w:r>
      <w:r w:rsidR="00E742D0" w:rsidRPr="00DC2D56">
        <w:rPr>
          <w:noProof/>
          <w:lang w:val="en-IE"/>
        </w:rPr>
        <w:t>h</w:t>
      </w:r>
      <w:r w:rsidR="00D06AF0">
        <w:rPr>
          <w:noProof/>
          <w:lang w:val="en-IE"/>
        </w:rPr>
        <w:t>at</w:t>
      </w:r>
      <w:r w:rsidR="00E742D0" w:rsidRPr="00DC2D56">
        <w:rPr>
          <w:noProof/>
          <w:lang w:val="en-IE"/>
        </w:rPr>
        <w:t xml:space="preserve"> end date should be postponed </w:t>
      </w:r>
      <w:r w:rsidR="00E742D0">
        <w:rPr>
          <w:noProof/>
          <w:lang w:val="en-IE"/>
        </w:rPr>
        <w:t>in order t</w:t>
      </w:r>
      <w:r w:rsidR="00C66E96" w:rsidRPr="00DC2D56">
        <w:rPr>
          <w:noProof/>
          <w:lang w:val="en-IE"/>
        </w:rPr>
        <w:t xml:space="preserve">o </w:t>
      </w:r>
      <w:r w:rsidR="008A15E5" w:rsidRPr="00DC2D56">
        <w:rPr>
          <w:noProof/>
          <w:lang w:val="en-IE"/>
        </w:rPr>
        <w:t xml:space="preserve">create the right conditions for </w:t>
      </w:r>
      <w:r w:rsidR="00C66E96" w:rsidRPr="00DC2D56">
        <w:rPr>
          <w:noProof/>
          <w:lang w:val="en-IE"/>
        </w:rPr>
        <w:t xml:space="preserve">the </w:t>
      </w:r>
      <w:r w:rsidR="008A15E5" w:rsidRPr="00DC2D56">
        <w:rPr>
          <w:noProof/>
          <w:lang w:val="en-IE"/>
        </w:rPr>
        <w:t xml:space="preserve">wider </w:t>
      </w:r>
      <w:r w:rsidR="00C66E96" w:rsidRPr="00DC2D56">
        <w:rPr>
          <w:noProof/>
          <w:lang w:val="en-IE"/>
        </w:rPr>
        <w:t>deployment of zero-emission vehicles.</w:t>
      </w:r>
    </w:p>
    <w:p w:rsidR="008B219B" w:rsidRPr="00DC2D56" w:rsidRDefault="001F2325" w:rsidP="001F2325">
      <w:pPr>
        <w:pStyle w:val="ManualConsidrant"/>
        <w:rPr>
          <w:noProof/>
          <w:lang w:val="en-IE"/>
        </w:rPr>
      </w:pPr>
      <w:r w:rsidRPr="001F2325">
        <w:rPr>
          <w:noProof/>
        </w:rPr>
        <w:t>(4)</w:t>
      </w:r>
      <w:r w:rsidRPr="001F2325">
        <w:rPr>
          <w:noProof/>
        </w:rPr>
        <w:tab/>
      </w:r>
      <w:r w:rsidR="008E77D8" w:rsidRPr="00DC2D56">
        <w:rPr>
          <w:noProof/>
          <w:lang w:val="en-IE"/>
        </w:rPr>
        <w:t xml:space="preserve">The variation of road charges affects investment decisions of </w:t>
      </w:r>
      <w:r w:rsidR="00D07614" w:rsidRPr="00DC2D56">
        <w:rPr>
          <w:noProof/>
          <w:lang w:val="en-IE"/>
        </w:rPr>
        <w:t xml:space="preserve">transport operators </w:t>
      </w:r>
      <w:r w:rsidR="008E77D8" w:rsidRPr="00DC2D56">
        <w:rPr>
          <w:noProof/>
          <w:lang w:val="en-IE"/>
        </w:rPr>
        <w:t>acquiring a new vehicle</w:t>
      </w:r>
      <w:r w:rsidR="00575121" w:rsidRPr="00DC2D56">
        <w:rPr>
          <w:noProof/>
          <w:lang w:val="en-IE"/>
        </w:rPr>
        <w:t>. It</w:t>
      </w:r>
      <w:r w:rsidR="008E77D8" w:rsidRPr="00DC2D56">
        <w:rPr>
          <w:noProof/>
          <w:lang w:val="en-IE"/>
        </w:rPr>
        <w:t xml:space="preserve"> </w:t>
      </w:r>
      <w:r w:rsidR="00E83140">
        <w:rPr>
          <w:noProof/>
          <w:lang w:val="en-IE"/>
        </w:rPr>
        <w:t xml:space="preserve">therefore </w:t>
      </w:r>
      <w:r w:rsidR="008E77D8" w:rsidRPr="00DC2D56">
        <w:rPr>
          <w:noProof/>
          <w:lang w:val="en-IE"/>
        </w:rPr>
        <w:t xml:space="preserve">has </w:t>
      </w:r>
      <w:r w:rsidR="004B0850" w:rsidRPr="00DC2D56">
        <w:rPr>
          <w:noProof/>
          <w:lang w:val="en-IE"/>
        </w:rPr>
        <w:t>an effect on the demand side of the market</w:t>
      </w:r>
      <w:r w:rsidR="00E83140">
        <w:rPr>
          <w:noProof/>
          <w:lang w:val="en-IE"/>
        </w:rPr>
        <w:t xml:space="preserve"> for</w:t>
      </w:r>
      <w:r w:rsidR="00037E33" w:rsidRPr="00DC2D56">
        <w:rPr>
          <w:noProof/>
          <w:lang w:val="en-IE"/>
        </w:rPr>
        <w:t xml:space="preserve"> new</w:t>
      </w:r>
      <w:r w:rsidR="004B0850" w:rsidRPr="00DC2D56">
        <w:rPr>
          <w:noProof/>
          <w:lang w:val="en-IE"/>
        </w:rPr>
        <w:t xml:space="preserve"> </w:t>
      </w:r>
      <w:r w:rsidR="005D18A6" w:rsidRPr="00DC2D56">
        <w:rPr>
          <w:noProof/>
          <w:lang w:val="en-IE"/>
        </w:rPr>
        <w:t>heavy-duty vehicles</w:t>
      </w:r>
      <w:r w:rsidR="004B0850" w:rsidRPr="00DC2D56">
        <w:rPr>
          <w:noProof/>
          <w:lang w:val="en-IE"/>
        </w:rPr>
        <w:t xml:space="preserve">. </w:t>
      </w:r>
      <w:r w:rsidR="0043262F" w:rsidRPr="00DC2D56">
        <w:rPr>
          <w:noProof/>
          <w:lang w:val="en-IE"/>
        </w:rPr>
        <w:t>Heavy-duty v</w:t>
      </w:r>
      <w:r w:rsidR="00804C87" w:rsidRPr="00DC2D56">
        <w:rPr>
          <w:noProof/>
          <w:lang w:val="en-IE"/>
        </w:rPr>
        <w:t xml:space="preserve">ehicle manufacturers constitute the supply </w:t>
      </w:r>
      <w:r w:rsidR="00D873E2" w:rsidRPr="00DC2D56">
        <w:rPr>
          <w:noProof/>
          <w:lang w:val="en-IE"/>
        </w:rPr>
        <w:t xml:space="preserve">side </w:t>
      </w:r>
      <w:r w:rsidR="00804C87" w:rsidRPr="00DC2D56">
        <w:rPr>
          <w:noProof/>
          <w:lang w:val="en-IE"/>
        </w:rPr>
        <w:t>of the same market</w:t>
      </w:r>
      <w:r w:rsidR="008E77D8" w:rsidRPr="00DC2D56">
        <w:rPr>
          <w:noProof/>
          <w:lang w:val="en-IE"/>
        </w:rPr>
        <w:t xml:space="preserve">. They </w:t>
      </w:r>
      <w:r w:rsidR="00830AD5" w:rsidRPr="00DC2D56">
        <w:rPr>
          <w:noProof/>
          <w:lang w:val="en-IE"/>
        </w:rPr>
        <w:t>have</w:t>
      </w:r>
      <w:r w:rsidR="00C40184" w:rsidRPr="00DC2D56">
        <w:rPr>
          <w:noProof/>
          <w:lang w:val="en-IE"/>
        </w:rPr>
        <w:t xml:space="preserve"> a</w:t>
      </w:r>
      <w:r w:rsidR="00804C87" w:rsidRPr="00DC2D56">
        <w:rPr>
          <w:noProof/>
          <w:lang w:val="en-IE"/>
        </w:rPr>
        <w:t xml:space="preserve"> </w:t>
      </w:r>
      <w:r w:rsidR="007F0C87" w:rsidRPr="00DC2D56">
        <w:rPr>
          <w:noProof/>
          <w:lang w:val="en-IE"/>
        </w:rPr>
        <w:t>CO</w:t>
      </w:r>
      <w:r w:rsidR="007F0C87" w:rsidRPr="00DC2D56">
        <w:rPr>
          <w:noProof/>
          <w:vertAlign w:val="subscript"/>
          <w:lang w:val="en-IE"/>
        </w:rPr>
        <w:t>2</w:t>
      </w:r>
      <w:r w:rsidR="007F0C87" w:rsidRPr="00DC2D56">
        <w:rPr>
          <w:noProof/>
          <w:lang w:val="en-IE"/>
        </w:rPr>
        <w:t xml:space="preserve"> </w:t>
      </w:r>
      <w:r w:rsidR="00A139D4">
        <w:rPr>
          <w:noProof/>
          <w:lang w:val="en-IE"/>
        </w:rPr>
        <w:t>emis</w:t>
      </w:r>
      <w:r w:rsidR="000163C0">
        <w:rPr>
          <w:noProof/>
          <w:lang w:val="en-IE"/>
        </w:rPr>
        <w:t>s</w:t>
      </w:r>
      <w:r w:rsidR="00A139D4">
        <w:rPr>
          <w:noProof/>
          <w:lang w:val="en-IE"/>
        </w:rPr>
        <w:t xml:space="preserve">ions </w:t>
      </w:r>
      <w:r w:rsidR="007F0C87" w:rsidRPr="00DC2D56">
        <w:rPr>
          <w:noProof/>
          <w:lang w:val="en-IE"/>
        </w:rPr>
        <w:t xml:space="preserve">reduction target </w:t>
      </w:r>
      <w:r w:rsidR="00D873E2" w:rsidRPr="00DC2D56">
        <w:rPr>
          <w:noProof/>
          <w:lang w:val="en-IE"/>
        </w:rPr>
        <w:t xml:space="preserve">of </w:t>
      </w:r>
      <w:r w:rsidR="00432762" w:rsidRPr="00DC2D56">
        <w:rPr>
          <w:noProof/>
          <w:lang w:val="en-IE"/>
        </w:rPr>
        <w:t>43%</w:t>
      </w:r>
      <w:r w:rsidR="003A37E8" w:rsidRPr="00DC2D56">
        <w:rPr>
          <w:noProof/>
          <w:lang w:val="en-IE"/>
        </w:rPr>
        <w:t xml:space="preserve"> by 2030</w:t>
      </w:r>
      <w:r w:rsidR="00C40184" w:rsidRPr="00DC2D56">
        <w:rPr>
          <w:noProof/>
          <w:lang w:val="en-IE"/>
        </w:rPr>
        <w:t>, as</w:t>
      </w:r>
      <w:r w:rsidR="00432762" w:rsidRPr="00DC2D56">
        <w:rPr>
          <w:noProof/>
          <w:lang w:val="en-IE"/>
        </w:rPr>
        <w:t xml:space="preserve"> </w:t>
      </w:r>
      <w:r w:rsidR="007F0C87" w:rsidRPr="00DC2D56">
        <w:rPr>
          <w:noProof/>
          <w:lang w:val="en-IE"/>
        </w:rPr>
        <w:t>set out in Regulation (EU) 2019/1242 of the European Parliament and of the Council</w:t>
      </w:r>
      <w:r w:rsidR="00BF3F83">
        <w:rPr>
          <w:noProof/>
          <w:lang w:val="en-IE"/>
        </w:rPr>
        <w:t> </w:t>
      </w:r>
      <w:r w:rsidR="000F15B0" w:rsidRPr="00DC2D56">
        <w:rPr>
          <w:rStyle w:val="FootnoteReference"/>
          <w:noProof/>
          <w:lang w:val="en-IE"/>
        </w:rPr>
        <w:footnoteReference w:id="42"/>
      </w:r>
      <w:r w:rsidR="003A37E8" w:rsidRPr="00DC2D56">
        <w:rPr>
          <w:noProof/>
          <w:lang w:val="en-IE"/>
        </w:rPr>
        <w:t xml:space="preserve">. </w:t>
      </w:r>
      <w:r w:rsidR="0043651B">
        <w:rPr>
          <w:noProof/>
          <w:lang w:val="en-IE"/>
        </w:rPr>
        <w:t>While e</w:t>
      </w:r>
      <w:r w:rsidR="00461FBA" w:rsidRPr="00DC2D56">
        <w:rPr>
          <w:noProof/>
          <w:lang w:val="en-IE"/>
        </w:rPr>
        <w:t xml:space="preserve">fficient conventional vehicles </w:t>
      </w:r>
      <w:r w:rsidR="0043651B">
        <w:rPr>
          <w:noProof/>
          <w:lang w:val="en-IE"/>
        </w:rPr>
        <w:t xml:space="preserve">also </w:t>
      </w:r>
      <w:r w:rsidR="00461FBA" w:rsidRPr="00DC2D56">
        <w:rPr>
          <w:noProof/>
          <w:lang w:val="en-IE"/>
        </w:rPr>
        <w:t>contribut</w:t>
      </w:r>
      <w:r w:rsidR="00654612" w:rsidRPr="00DC2D56">
        <w:rPr>
          <w:noProof/>
          <w:lang w:val="en-IE"/>
        </w:rPr>
        <w:t>e</w:t>
      </w:r>
      <w:r w:rsidR="00461FBA" w:rsidRPr="00DC2D56">
        <w:rPr>
          <w:noProof/>
          <w:lang w:val="en-IE"/>
        </w:rPr>
        <w:t xml:space="preserve"> to the achievement of th</w:t>
      </w:r>
      <w:r w:rsidR="00441E28" w:rsidRPr="00DC2D56">
        <w:rPr>
          <w:noProof/>
          <w:lang w:val="en-IE"/>
        </w:rPr>
        <w:t>is</w:t>
      </w:r>
      <w:r w:rsidR="00461FBA" w:rsidRPr="00DC2D56">
        <w:rPr>
          <w:noProof/>
          <w:lang w:val="en-IE"/>
        </w:rPr>
        <w:t xml:space="preserve"> target, the wider deployment of zero-emission vehicles</w:t>
      </w:r>
      <w:r w:rsidR="00441E28" w:rsidRPr="00DC2D56">
        <w:rPr>
          <w:noProof/>
          <w:lang w:val="en-IE"/>
        </w:rPr>
        <w:t xml:space="preserve"> is necessary </w:t>
      </w:r>
      <w:r w:rsidR="00E83140">
        <w:rPr>
          <w:noProof/>
          <w:lang w:val="en-IE"/>
        </w:rPr>
        <w:t xml:space="preserve">in order to </w:t>
      </w:r>
      <w:r w:rsidR="00441E28" w:rsidRPr="00DC2D56">
        <w:rPr>
          <w:noProof/>
          <w:lang w:val="en-IE"/>
        </w:rPr>
        <w:t>achiev</w:t>
      </w:r>
      <w:r w:rsidR="00E83140">
        <w:rPr>
          <w:noProof/>
          <w:lang w:val="en-IE"/>
        </w:rPr>
        <w:t>e</w:t>
      </w:r>
      <w:r w:rsidR="00441E28" w:rsidRPr="00DC2D56">
        <w:rPr>
          <w:noProof/>
          <w:lang w:val="en-IE"/>
        </w:rPr>
        <w:t xml:space="preserve"> it</w:t>
      </w:r>
      <w:r w:rsidR="00461FBA" w:rsidRPr="00DC2D56">
        <w:rPr>
          <w:noProof/>
          <w:lang w:val="en-IE"/>
        </w:rPr>
        <w:t xml:space="preserve">. </w:t>
      </w:r>
      <w:r w:rsidR="003A37E8" w:rsidRPr="00DC2D56">
        <w:rPr>
          <w:noProof/>
          <w:lang w:val="en-IE"/>
        </w:rPr>
        <w:t xml:space="preserve">The </w:t>
      </w:r>
      <w:r w:rsidR="00253867" w:rsidRPr="00DC2D56">
        <w:rPr>
          <w:noProof/>
          <w:lang w:val="en-IE"/>
        </w:rPr>
        <w:t>first year</w:t>
      </w:r>
      <w:r w:rsidR="00224746" w:rsidRPr="00DC2D56">
        <w:rPr>
          <w:noProof/>
          <w:lang w:val="en-IE"/>
        </w:rPr>
        <w:t xml:space="preserve"> when</w:t>
      </w:r>
      <w:r w:rsidR="00BE4A76" w:rsidRPr="00DC2D56">
        <w:rPr>
          <w:noProof/>
          <w:lang w:val="en-IE"/>
        </w:rPr>
        <w:t xml:space="preserve"> manufacturers</w:t>
      </w:r>
      <w:r w:rsidR="003A37E8" w:rsidRPr="00DC2D56">
        <w:rPr>
          <w:noProof/>
          <w:lang w:val="en-IE"/>
        </w:rPr>
        <w:t xml:space="preserve"> </w:t>
      </w:r>
      <w:r w:rsidR="008A06C7">
        <w:rPr>
          <w:noProof/>
          <w:lang w:val="en-IE"/>
        </w:rPr>
        <w:t>are to</w:t>
      </w:r>
      <w:r w:rsidR="008A06C7" w:rsidRPr="00DC2D56">
        <w:rPr>
          <w:noProof/>
          <w:lang w:val="en-IE"/>
        </w:rPr>
        <w:t xml:space="preserve"> </w:t>
      </w:r>
      <w:r w:rsidR="003A37E8" w:rsidRPr="00DC2D56">
        <w:rPr>
          <w:noProof/>
          <w:lang w:val="en-IE"/>
        </w:rPr>
        <w:t xml:space="preserve">achieve </w:t>
      </w:r>
      <w:r w:rsidR="00654612" w:rsidRPr="00DC2D56">
        <w:rPr>
          <w:noProof/>
          <w:lang w:val="en-IE"/>
        </w:rPr>
        <w:t>th</w:t>
      </w:r>
      <w:r w:rsidR="001A3C07">
        <w:rPr>
          <w:noProof/>
          <w:lang w:val="en-IE"/>
        </w:rPr>
        <w:t>at</w:t>
      </w:r>
      <w:r w:rsidR="00654612" w:rsidRPr="00DC2D56">
        <w:rPr>
          <w:noProof/>
          <w:lang w:val="en-IE"/>
        </w:rPr>
        <w:t xml:space="preserve"> </w:t>
      </w:r>
      <w:r w:rsidR="003A37E8" w:rsidRPr="00DC2D56">
        <w:rPr>
          <w:noProof/>
          <w:lang w:val="en-IE"/>
        </w:rPr>
        <w:t xml:space="preserve">target is </w:t>
      </w:r>
      <w:r w:rsidR="00224746" w:rsidRPr="00DC2D56">
        <w:rPr>
          <w:noProof/>
          <w:lang w:val="en-IE"/>
        </w:rPr>
        <w:t xml:space="preserve">the reporting period 2030, with </w:t>
      </w:r>
      <w:r w:rsidR="008156AB">
        <w:rPr>
          <w:noProof/>
          <w:lang w:val="en-IE"/>
        </w:rPr>
        <w:t xml:space="preserve">a </w:t>
      </w:r>
      <w:r w:rsidR="00224746" w:rsidRPr="00DC2D56">
        <w:rPr>
          <w:noProof/>
          <w:lang w:val="en-IE"/>
        </w:rPr>
        <w:t>deadline</w:t>
      </w:r>
      <w:r w:rsidR="00654612" w:rsidRPr="00DC2D56">
        <w:rPr>
          <w:noProof/>
          <w:lang w:val="en-IE"/>
        </w:rPr>
        <w:t xml:space="preserve"> </w:t>
      </w:r>
      <w:r w:rsidR="008156AB">
        <w:rPr>
          <w:noProof/>
          <w:lang w:val="en-IE"/>
        </w:rPr>
        <w:t xml:space="preserve">of </w:t>
      </w:r>
      <w:r w:rsidR="003A37E8" w:rsidRPr="00DC2D56">
        <w:rPr>
          <w:noProof/>
          <w:lang w:val="en-IE"/>
        </w:rPr>
        <w:t>30</w:t>
      </w:r>
      <w:r w:rsidR="00DC5860">
        <w:rPr>
          <w:noProof/>
          <w:lang w:val="en-IE"/>
        </w:rPr>
        <w:t> </w:t>
      </w:r>
      <w:r w:rsidR="003A37E8" w:rsidRPr="00DC2D56">
        <w:rPr>
          <w:noProof/>
          <w:lang w:val="en-IE"/>
        </w:rPr>
        <w:t>June</w:t>
      </w:r>
      <w:r w:rsidR="00DC5860">
        <w:rPr>
          <w:noProof/>
          <w:lang w:val="en-IE"/>
        </w:rPr>
        <w:t> </w:t>
      </w:r>
      <w:r w:rsidR="003A37E8" w:rsidRPr="00DC2D56">
        <w:rPr>
          <w:noProof/>
          <w:lang w:val="en-IE"/>
        </w:rPr>
        <w:t>2031.</w:t>
      </w:r>
    </w:p>
    <w:p w:rsidR="00676B1D" w:rsidRPr="00DC2D56" w:rsidRDefault="001F2325" w:rsidP="001F2325">
      <w:pPr>
        <w:pStyle w:val="ManualConsidrant"/>
        <w:rPr>
          <w:noProof/>
          <w:lang w:val="en-IE"/>
        </w:rPr>
      </w:pPr>
      <w:r w:rsidRPr="001F2325">
        <w:rPr>
          <w:noProof/>
        </w:rPr>
        <w:t>(5)</w:t>
      </w:r>
      <w:r w:rsidRPr="001F2325">
        <w:rPr>
          <w:noProof/>
        </w:rPr>
        <w:tab/>
      </w:r>
      <w:r w:rsidR="00D06244" w:rsidRPr="00DC2D56">
        <w:rPr>
          <w:noProof/>
          <w:lang w:val="en-IE"/>
        </w:rPr>
        <w:t>T</w:t>
      </w:r>
      <w:r w:rsidR="008156AB">
        <w:rPr>
          <w:noProof/>
          <w:lang w:val="en-IE"/>
        </w:rPr>
        <w:t>o</w:t>
      </w:r>
      <w:r w:rsidR="00D06244" w:rsidRPr="00DC2D56">
        <w:rPr>
          <w:noProof/>
          <w:lang w:val="en-IE"/>
        </w:rPr>
        <w:t xml:space="preserve"> </w:t>
      </w:r>
      <w:r w:rsidR="005F3FE7" w:rsidRPr="00DC2D56">
        <w:rPr>
          <w:noProof/>
          <w:lang w:val="en-IE"/>
        </w:rPr>
        <w:t>ensure</w:t>
      </w:r>
      <w:r w:rsidR="00283472" w:rsidRPr="00DC2D56">
        <w:rPr>
          <w:noProof/>
          <w:lang w:val="en-IE"/>
        </w:rPr>
        <w:t xml:space="preserve"> a</w:t>
      </w:r>
      <w:r w:rsidR="005F3FE7" w:rsidRPr="00DC2D56">
        <w:rPr>
          <w:noProof/>
          <w:lang w:val="en-IE"/>
        </w:rPr>
        <w:t xml:space="preserve"> clear and coherent </w:t>
      </w:r>
      <w:r w:rsidR="007D50AC" w:rsidRPr="00DC2D56">
        <w:rPr>
          <w:noProof/>
          <w:lang w:val="en-IE"/>
        </w:rPr>
        <w:t>legal framework</w:t>
      </w:r>
      <w:r w:rsidR="005F3FE7" w:rsidRPr="00DC2D56">
        <w:rPr>
          <w:noProof/>
          <w:lang w:val="en-IE"/>
        </w:rPr>
        <w:t xml:space="preserve"> </w:t>
      </w:r>
      <w:r w:rsidR="006B10BA" w:rsidRPr="00DC2D56">
        <w:rPr>
          <w:noProof/>
          <w:lang w:val="en-IE"/>
        </w:rPr>
        <w:t xml:space="preserve">and </w:t>
      </w:r>
      <w:r w:rsidR="005F3FE7" w:rsidRPr="00DC2D56">
        <w:rPr>
          <w:noProof/>
          <w:lang w:val="en-IE"/>
        </w:rPr>
        <w:t xml:space="preserve">to support </w:t>
      </w:r>
      <w:r w:rsidR="00092C8B">
        <w:rPr>
          <w:noProof/>
          <w:lang w:val="en-IE"/>
        </w:rPr>
        <w:t>Union</w:t>
      </w:r>
      <w:r w:rsidR="00092C8B" w:rsidRPr="00DC2D56">
        <w:rPr>
          <w:noProof/>
          <w:lang w:val="en-IE"/>
        </w:rPr>
        <w:t xml:space="preserve"> </w:t>
      </w:r>
      <w:r w:rsidR="005F3FE7" w:rsidRPr="00DC2D56">
        <w:rPr>
          <w:noProof/>
          <w:lang w:val="en-IE"/>
        </w:rPr>
        <w:t>companies</w:t>
      </w:r>
      <w:r w:rsidR="003722AE">
        <w:rPr>
          <w:noProof/>
          <w:lang w:val="en-IE"/>
        </w:rPr>
        <w:t xml:space="preserve"> in the automotive sector</w:t>
      </w:r>
      <w:r w:rsidR="005F3FE7" w:rsidRPr="00DC2D56">
        <w:rPr>
          <w:noProof/>
          <w:lang w:val="en-IE"/>
        </w:rPr>
        <w:t xml:space="preserve"> in achieving </w:t>
      </w:r>
      <w:r w:rsidR="00EC2FF2" w:rsidRPr="00DC2D56">
        <w:rPr>
          <w:rFonts w:eastAsia="Arial Unicode MS"/>
          <w:noProof/>
          <w:lang w:val="en-IE"/>
        </w:rPr>
        <w:t>the</w:t>
      </w:r>
      <w:r w:rsidR="006B10BA" w:rsidRPr="00DC2D56">
        <w:rPr>
          <w:rFonts w:eastAsia="Arial Unicode MS"/>
          <w:noProof/>
          <w:lang w:val="en-IE"/>
        </w:rPr>
        <w:t>ir</w:t>
      </w:r>
      <w:r w:rsidR="00EC2FF2" w:rsidRPr="00DC2D56">
        <w:rPr>
          <w:rFonts w:eastAsia="Arial Unicode MS"/>
          <w:noProof/>
          <w:lang w:val="en-IE"/>
        </w:rPr>
        <w:t xml:space="preserve"> </w:t>
      </w:r>
      <w:r w:rsidR="00F16399" w:rsidRPr="00DC2D56">
        <w:rPr>
          <w:noProof/>
          <w:lang w:val="en-IE"/>
        </w:rPr>
        <w:t>CO</w:t>
      </w:r>
      <w:r w:rsidR="00F16399" w:rsidRPr="00DC2D56">
        <w:rPr>
          <w:noProof/>
          <w:vertAlign w:val="subscript"/>
          <w:lang w:val="en-IE"/>
        </w:rPr>
        <w:t>2</w:t>
      </w:r>
      <w:r w:rsidR="00F16399" w:rsidRPr="00DC2D56">
        <w:rPr>
          <w:noProof/>
          <w:lang w:val="en-IE"/>
        </w:rPr>
        <w:t xml:space="preserve"> </w:t>
      </w:r>
      <w:r w:rsidR="00F16399">
        <w:rPr>
          <w:noProof/>
          <w:lang w:val="en-IE"/>
        </w:rPr>
        <w:t xml:space="preserve">emissions </w:t>
      </w:r>
      <w:r w:rsidR="00F16399" w:rsidRPr="00DC2D56">
        <w:rPr>
          <w:noProof/>
          <w:lang w:val="en-IE"/>
        </w:rPr>
        <w:t xml:space="preserve">reduction </w:t>
      </w:r>
      <w:r w:rsidR="00EC2FF2" w:rsidRPr="00DC2D56">
        <w:rPr>
          <w:rFonts w:eastAsia="Arial Unicode MS"/>
          <w:noProof/>
          <w:lang w:val="en-IE"/>
        </w:rPr>
        <w:t xml:space="preserve">targets, the </w:t>
      </w:r>
      <w:r w:rsidR="00AE5F0D" w:rsidRPr="00DC2D56">
        <w:rPr>
          <w:rFonts w:eastAsia="Arial Unicode MS"/>
          <w:noProof/>
          <w:lang w:val="en-IE"/>
        </w:rPr>
        <w:t xml:space="preserve">timing of the </w:t>
      </w:r>
      <w:r w:rsidR="00EC2FF2" w:rsidRPr="00DC2D56">
        <w:rPr>
          <w:rFonts w:eastAsia="Arial Unicode MS"/>
          <w:noProof/>
          <w:lang w:val="en-IE"/>
        </w:rPr>
        <w:t xml:space="preserve">measures on </w:t>
      </w:r>
      <w:r w:rsidR="00D06244" w:rsidRPr="00DC2D56">
        <w:rPr>
          <w:noProof/>
          <w:lang w:val="en-IE"/>
        </w:rPr>
        <w:t xml:space="preserve">the demand and supply side of the </w:t>
      </w:r>
      <w:r w:rsidR="00D06244" w:rsidRPr="00DC2D56">
        <w:rPr>
          <w:rFonts w:eastAsia="Arial Unicode MS"/>
          <w:noProof/>
          <w:lang w:val="en-IE"/>
        </w:rPr>
        <w:t>market of heavy-duty vehicles</w:t>
      </w:r>
      <w:r w:rsidR="00EC2FF2" w:rsidRPr="00DC2D56">
        <w:rPr>
          <w:rFonts w:eastAsia="Arial Unicode MS"/>
          <w:noProof/>
          <w:lang w:val="en-IE"/>
        </w:rPr>
        <w:t xml:space="preserve"> should be aligned</w:t>
      </w:r>
      <w:r w:rsidR="00D06244" w:rsidRPr="00DC2D56">
        <w:rPr>
          <w:rFonts w:eastAsia="Arial Unicode MS"/>
          <w:noProof/>
          <w:lang w:val="en-IE"/>
        </w:rPr>
        <w:t xml:space="preserve">. </w:t>
      </w:r>
      <w:r w:rsidR="008156AB">
        <w:rPr>
          <w:noProof/>
          <w:lang w:val="en-IE"/>
        </w:rPr>
        <w:t>T</w:t>
      </w:r>
      <w:r w:rsidR="0060546E" w:rsidRPr="00DC2D56">
        <w:rPr>
          <w:noProof/>
          <w:lang w:val="en-IE"/>
        </w:rPr>
        <w:t xml:space="preserve">he </w:t>
      </w:r>
      <w:r w:rsidR="00575121" w:rsidRPr="00DC2D56">
        <w:rPr>
          <w:noProof/>
          <w:lang w:val="en-IE"/>
        </w:rPr>
        <w:t xml:space="preserve">end date </w:t>
      </w:r>
      <w:r w:rsidR="0060546E" w:rsidRPr="00DC2D56">
        <w:rPr>
          <w:noProof/>
          <w:lang w:val="en-IE"/>
        </w:rPr>
        <w:t>until when it is possible for Member States to</w:t>
      </w:r>
      <w:r w:rsidR="00C40184" w:rsidRPr="00DC2D56">
        <w:rPr>
          <w:noProof/>
          <w:lang w:val="en-IE"/>
        </w:rPr>
        <w:t xml:space="preserve"> apply </w:t>
      </w:r>
      <w:r w:rsidR="002958DB">
        <w:rPr>
          <w:noProof/>
          <w:lang w:val="en-IE"/>
        </w:rPr>
        <w:t>significantly</w:t>
      </w:r>
      <w:r w:rsidR="002958DB" w:rsidRPr="00DC2D56">
        <w:rPr>
          <w:noProof/>
          <w:lang w:val="en-IE"/>
        </w:rPr>
        <w:t xml:space="preserve"> </w:t>
      </w:r>
      <w:r w:rsidR="00C40184" w:rsidRPr="00DC2D56">
        <w:rPr>
          <w:noProof/>
          <w:lang w:val="en-IE"/>
        </w:rPr>
        <w:t>reduced rates</w:t>
      </w:r>
      <w:r w:rsidR="006B4331" w:rsidRPr="00DC2D56">
        <w:rPr>
          <w:noProof/>
          <w:lang w:val="en-IE"/>
        </w:rPr>
        <w:t xml:space="preserve"> </w:t>
      </w:r>
      <w:r w:rsidR="00AE5F0D" w:rsidRPr="00DC2D56">
        <w:rPr>
          <w:noProof/>
          <w:lang w:val="en-IE"/>
        </w:rPr>
        <w:t xml:space="preserve">of infrastructure or user charges </w:t>
      </w:r>
      <w:r w:rsidR="006B4331" w:rsidRPr="00DC2D56">
        <w:rPr>
          <w:noProof/>
          <w:lang w:val="en-IE"/>
        </w:rPr>
        <w:t>or</w:t>
      </w:r>
      <w:r w:rsidR="0060546E" w:rsidRPr="00DC2D56">
        <w:rPr>
          <w:noProof/>
          <w:lang w:val="en-IE"/>
        </w:rPr>
        <w:t xml:space="preserve"> </w:t>
      </w:r>
      <w:r w:rsidR="00AE5F0D" w:rsidRPr="00DC2D56">
        <w:rPr>
          <w:noProof/>
          <w:lang w:val="en-IE"/>
        </w:rPr>
        <w:t xml:space="preserve">to </w:t>
      </w:r>
      <w:r w:rsidR="0060546E" w:rsidRPr="00DC2D56">
        <w:rPr>
          <w:noProof/>
          <w:lang w:val="en-IE"/>
        </w:rPr>
        <w:t xml:space="preserve">exempt zero-emission vehicles </w:t>
      </w:r>
      <w:r w:rsidR="00DA7D9F">
        <w:rPr>
          <w:noProof/>
          <w:lang w:val="en-IE"/>
        </w:rPr>
        <w:t>from such charges</w:t>
      </w:r>
      <w:r w:rsidR="0060546E" w:rsidRPr="00DC2D56">
        <w:rPr>
          <w:noProof/>
          <w:lang w:val="en-IE"/>
        </w:rPr>
        <w:t xml:space="preserve"> should</w:t>
      </w:r>
      <w:r w:rsidR="00DD4B69" w:rsidRPr="00DC2D56">
        <w:rPr>
          <w:noProof/>
          <w:lang w:val="en-IE"/>
        </w:rPr>
        <w:t xml:space="preserve"> </w:t>
      </w:r>
      <w:r w:rsidR="008156AB">
        <w:rPr>
          <w:noProof/>
          <w:lang w:val="en-IE"/>
        </w:rPr>
        <w:t xml:space="preserve">therefore </w:t>
      </w:r>
      <w:r w:rsidR="00DD4B69" w:rsidRPr="00DC2D56">
        <w:rPr>
          <w:noProof/>
          <w:lang w:val="en-IE"/>
        </w:rPr>
        <w:t xml:space="preserve">be postponed until </w:t>
      </w:r>
      <w:r w:rsidR="006F0846" w:rsidRPr="00DC2D56">
        <w:rPr>
          <w:noProof/>
          <w:lang w:val="en-IE"/>
        </w:rPr>
        <w:t>30</w:t>
      </w:r>
      <w:r w:rsidR="00DC5860">
        <w:rPr>
          <w:noProof/>
          <w:lang w:val="en-IE"/>
        </w:rPr>
        <w:t> </w:t>
      </w:r>
      <w:r w:rsidR="006F0846" w:rsidRPr="00DC2D56">
        <w:rPr>
          <w:noProof/>
          <w:lang w:val="en-IE"/>
        </w:rPr>
        <w:t>June</w:t>
      </w:r>
      <w:r w:rsidR="00DC5860">
        <w:rPr>
          <w:noProof/>
          <w:lang w:val="en-IE"/>
        </w:rPr>
        <w:t> </w:t>
      </w:r>
      <w:r w:rsidR="006F0846" w:rsidRPr="00DC2D56">
        <w:rPr>
          <w:noProof/>
          <w:lang w:val="en-IE"/>
        </w:rPr>
        <w:t>2031</w:t>
      </w:r>
      <w:r w:rsidR="00676B1D" w:rsidRPr="00DC2D56">
        <w:rPr>
          <w:noProof/>
          <w:lang w:val="en-IE"/>
        </w:rPr>
        <w:t>.</w:t>
      </w:r>
    </w:p>
    <w:p w:rsidR="008E70C2" w:rsidRPr="00DC2D56" w:rsidRDefault="001F2325" w:rsidP="001F2325">
      <w:pPr>
        <w:pStyle w:val="ManualConsidrant"/>
        <w:rPr>
          <w:noProof/>
          <w:lang w:val="en-IE"/>
        </w:rPr>
      </w:pPr>
      <w:r w:rsidRPr="001F2325">
        <w:rPr>
          <w:noProof/>
        </w:rPr>
        <w:t>(6)</w:t>
      </w:r>
      <w:r w:rsidRPr="001F2325">
        <w:rPr>
          <w:noProof/>
        </w:rPr>
        <w:tab/>
      </w:r>
      <w:r w:rsidR="0033229A">
        <w:rPr>
          <w:noProof/>
          <w:lang w:val="en-IE"/>
        </w:rPr>
        <w:t>T</w:t>
      </w:r>
      <w:r w:rsidR="0033229A" w:rsidRPr="00DC2D56">
        <w:rPr>
          <w:noProof/>
          <w:lang w:val="en-IE"/>
        </w:rPr>
        <w:t xml:space="preserve">he optional nature of the amended provision </w:t>
      </w:r>
      <w:r w:rsidR="0033229A">
        <w:rPr>
          <w:noProof/>
          <w:lang w:val="en-IE"/>
        </w:rPr>
        <w:t xml:space="preserve">means that </w:t>
      </w:r>
      <w:r w:rsidR="00C40184" w:rsidRPr="00DC2D56">
        <w:rPr>
          <w:noProof/>
          <w:lang w:val="en-IE"/>
        </w:rPr>
        <w:t xml:space="preserve">Member States are not </w:t>
      </w:r>
      <w:r w:rsidR="00E71699" w:rsidRPr="00DC2D56">
        <w:rPr>
          <w:noProof/>
          <w:lang w:val="en-IE"/>
        </w:rPr>
        <w:t>obliged</w:t>
      </w:r>
      <w:r w:rsidR="00C40184" w:rsidRPr="00DC2D56">
        <w:rPr>
          <w:noProof/>
          <w:lang w:val="en-IE"/>
        </w:rPr>
        <w:t xml:space="preserve"> to </w:t>
      </w:r>
      <w:r w:rsidR="0033229A">
        <w:rPr>
          <w:noProof/>
          <w:lang w:val="en-IE"/>
        </w:rPr>
        <w:t xml:space="preserve">transpose </w:t>
      </w:r>
      <w:r w:rsidR="00C40184" w:rsidRPr="00DC2D56">
        <w:rPr>
          <w:noProof/>
          <w:lang w:val="en-IE"/>
        </w:rPr>
        <w:t>this Directive</w:t>
      </w:r>
      <w:r w:rsidR="0033229A">
        <w:rPr>
          <w:noProof/>
          <w:lang w:val="en-IE"/>
        </w:rPr>
        <w:t>.</w:t>
      </w:r>
      <w:r w:rsidR="00C40184" w:rsidRPr="00DC2D56">
        <w:rPr>
          <w:noProof/>
          <w:lang w:val="en-IE"/>
        </w:rPr>
        <w:t xml:space="preserve"> </w:t>
      </w:r>
      <w:r w:rsidR="0033229A">
        <w:rPr>
          <w:noProof/>
          <w:lang w:val="en-IE"/>
        </w:rPr>
        <w:t>T</w:t>
      </w:r>
      <w:r w:rsidR="00C40184" w:rsidRPr="00DC2D56">
        <w:rPr>
          <w:noProof/>
          <w:lang w:val="en-IE"/>
        </w:rPr>
        <w:t>hey should</w:t>
      </w:r>
      <w:r w:rsidR="00E71699" w:rsidRPr="00DC2D56">
        <w:rPr>
          <w:noProof/>
          <w:lang w:val="en-IE"/>
        </w:rPr>
        <w:t xml:space="preserve"> nevertheless</w:t>
      </w:r>
      <w:r w:rsidR="00C40184" w:rsidRPr="00DC2D56">
        <w:rPr>
          <w:noProof/>
          <w:lang w:val="en-IE"/>
        </w:rPr>
        <w:t xml:space="preserve"> immediately inform the Commission </w:t>
      </w:r>
      <w:r w:rsidR="00E71699" w:rsidRPr="00DC2D56">
        <w:rPr>
          <w:noProof/>
          <w:lang w:val="en-IE"/>
        </w:rPr>
        <w:t>if</w:t>
      </w:r>
      <w:r w:rsidR="00C40184" w:rsidRPr="00DC2D56">
        <w:rPr>
          <w:noProof/>
          <w:lang w:val="en-IE"/>
        </w:rPr>
        <w:t xml:space="preserve"> they use the option to </w:t>
      </w:r>
      <w:r w:rsidR="00EF34D0" w:rsidRPr="00DC2D56">
        <w:rPr>
          <w:noProof/>
          <w:lang w:val="en-IE"/>
        </w:rPr>
        <w:t>grant zero-emission vehicles</w:t>
      </w:r>
      <w:r w:rsidR="00C40184" w:rsidRPr="00DC2D56">
        <w:rPr>
          <w:noProof/>
          <w:lang w:val="en-IE"/>
        </w:rPr>
        <w:t xml:space="preserve"> </w:t>
      </w:r>
      <w:r w:rsidR="002958DB">
        <w:rPr>
          <w:noProof/>
          <w:lang w:val="en-IE"/>
        </w:rPr>
        <w:t>significantly</w:t>
      </w:r>
      <w:r w:rsidR="002958DB" w:rsidRPr="00DC2D56">
        <w:rPr>
          <w:noProof/>
          <w:lang w:val="en-IE"/>
        </w:rPr>
        <w:t xml:space="preserve"> </w:t>
      </w:r>
      <w:r w:rsidR="00C40184" w:rsidRPr="00DC2D56">
        <w:rPr>
          <w:noProof/>
          <w:lang w:val="en-IE"/>
        </w:rPr>
        <w:t xml:space="preserve">reduced rates </w:t>
      </w:r>
      <w:r w:rsidR="00EF34D0" w:rsidRPr="00DC2D56">
        <w:rPr>
          <w:noProof/>
          <w:lang w:val="en-IE"/>
        </w:rPr>
        <w:t>of</w:t>
      </w:r>
      <w:r w:rsidR="00C40184" w:rsidRPr="00DC2D56">
        <w:rPr>
          <w:noProof/>
          <w:lang w:val="en-IE"/>
        </w:rPr>
        <w:t xml:space="preserve"> </w:t>
      </w:r>
      <w:r w:rsidR="00EF34D0" w:rsidRPr="00DC2D56">
        <w:rPr>
          <w:noProof/>
          <w:lang w:val="en-IE"/>
        </w:rPr>
        <w:t xml:space="preserve">infrastructure and user charges </w:t>
      </w:r>
      <w:r w:rsidR="006B4331" w:rsidRPr="00DC2D56">
        <w:rPr>
          <w:noProof/>
          <w:lang w:val="en-IE"/>
        </w:rPr>
        <w:t>or</w:t>
      </w:r>
      <w:r w:rsidR="00C40184" w:rsidRPr="00DC2D56">
        <w:rPr>
          <w:noProof/>
          <w:lang w:val="en-IE"/>
        </w:rPr>
        <w:t xml:space="preserve"> exempt</w:t>
      </w:r>
      <w:r w:rsidR="00EF34D0" w:rsidRPr="00DC2D56">
        <w:rPr>
          <w:noProof/>
          <w:lang w:val="en-IE"/>
        </w:rPr>
        <w:t>ions to pay them</w:t>
      </w:r>
      <w:r w:rsidR="00C40184" w:rsidRPr="00DC2D56">
        <w:rPr>
          <w:noProof/>
          <w:lang w:val="en-IE"/>
        </w:rPr>
        <w:t xml:space="preserve"> </w:t>
      </w:r>
      <w:r w:rsidR="0087656E" w:rsidRPr="00DC2D56">
        <w:rPr>
          <w:noProof/>
          <w:lang w:val="en-IE"/>
        </w:rPr>
        <w:t xml:space="preserve">after </w:t>
      </w:r>
      <w:r w:rsidR="00C40184" w:rsidRPr="00DC2D56">
        <w:rPr>
          <w:noProof/>
          <w:lang w:val="en-IE"/>
        </w:rPr>
        <w:t>31</w:t>
      </w:r>
      <w:r w:rsidR="00DC5860">
        <w:rPr>
          <w:noProof/>
          <w:lang w:val="en-IE"/>
        </w:rPr>
        <w:t> </w:t>
      </w:r>
      <w:r w:rsidR="00C40184" w:rsidRPr="00DC2D56">
        <w:rPr>
          <w:noProof/>
          <w:lang w:val="en-IE"/>
        </w:rPr>
        <w:t>December</w:t>
      </w:r>
      <w:r w:rsidR="00DC5860">
        <w:rPr>
          <w:noProof/>
          <w:lang w:val="en-IE"/>
        </w:rPr>
        <w:t> </w:t>
      </w:r>
      <w:r w:rsidR="00C40184" w:rsidRPr="00DC2D56">
        <w:rPr>
          <w:noProof/>
          <w:lang w:val="en-IE"/>
        </w:rPr>
        <w:t>2025</w:t>
      </w:r>
      <w:r w:rsidR="008E70C2" w:rsidRPr="00DC2D56">
        <w:rPr>
          <w:noProof/>
          <w:lang w:val="en-IE"/>
        </w:rPr>
        <w:t>,</w:t>
      </w:r>
    </w:p>
    <w:p w:rsidR="008E70C2" w:rsidRPr="00DC2D56" w:rsidRDefault="008E70C2">
      <w:pPr>
        <w:pStyle w:val="Formuledadoption"/>
        <w:rPr>
          <w:noProof/>
          <w:lang w:val="en-IE"/>
        </w:rPr>
      </w:pPr>
      <w:r w:rsidRPr="00DC2D56">
        <w:rPr>
          <w:noProof/>
          <w:lang w:val="en-IE"/>
        </w:rPr>
        <w:t>HAVE ADOPTED THIS DIRECTIVE:</w:t>
      </w:r>
    </w:p>
    <w:p w:rsidR="008E70C2" w:rsidRPr="00DC2D56" w:rsidRDefault="008E70C2">
      <w:pPr>
        <w:pStyle w:val="Titrearticle"/>
        <w:rPr>
          <w:noProof/>
          <w:lang w:val="en-IE"/>
        </w:rPr>
      </w:pPr>
      <w:r w:rsidRPr="00DC2D56">
        <w:rPr>
          <w:noProof/>
          <w:lang w:val="en-IE"/>
        </w:rPr>
        <w:t>Article</w:t>
      </w:r>
      <w:r w:rsidR="008D709A">
        <w:rPr>
          <w:noProof/>
          <w:lang w:val="en-IE"/>
        </w:rPr>
        <w:t> </w:t>
      </w:r>
      <w:r w:rsidRPr="00DC2D56">
        <w:rPr>
          <w:noProof/>
          <w:lang w:val="en-IE"/>
        </w:rPr>
        <w:t>1</w:t>
      </w:r>
    </w:p>
    <w:p w:rsidR="00716238" w:rsidRPr="00DC2D56" w:rsidRDefault="003E41C5">
      <w:pPr>
        <w:rPr>
          <w:noProof/>
          <w:szCs w:val="24"/>
          <w:lang w:val="en-IE"/>
        </w:rPr>
      </w:pPr>
      <w:r w:rsidRPr="00DC2D56">
        <w:rPr>
          <w:noProof/>
          <w:szCs w:val="24"/>
          <w:lang w:val="en-IE"/>
        </w:rPr>
        <w:t>I</w:t>
      </w:r>
      <w:r w:rsidR="00716238" w:rsidRPr="00DC2D56">
        <w:rPr>
          <w:noProof/>
          <w:szCs w:val="24"/>
          <w:lang w:val="en-IE"/>
        </w:rPr>
        <w:t xml:space="preserve">n </w:t>
      </w:r>
      <w:r w:rsidR="00E71699" w:rsidRPr="00DC2D56">
        <w:rPr>
          <w:noProof/>
          <w:szCs w:val="24"/>
          <w:lang w:val="en-IE"/>
        </w:rPr>
        <w:t xml:space="preserve">of </w:t>
      </w:r>
      <w:r w:rsidR="00716238" w:rsidRPr="00DC2D56">
        <w:rPr>
          <w:noProof/>
          <w:szCs w:val="24"/>
          <w:lang w:val="en-IE"/>
        </w:rPr>
        <w:t>Article</w:t>
      </w:r>
      <w:r w:rsidR="008D709A">
        <w:rPr>
          <w:noProof/>
          <w:szCs w:val="24"/>
          <w:lang w:val="en-IE"/>
        </w:rPr>
        <w:t> </w:t>
      </w:r>
      <w:r w:rsidR="00716238" w:rsidRPr="00DC2D56">
        <w:rPr>
          <w:noProof/>
          <w:szCs w:val="24"/>
          <w:lang w:val="en-IE"/>
        </w:rPr>
        <w:t>7ga(1)</w:t>
      </w:r>
      <w:r w:rsidR="00333A72">
        <w:rPr>
          <w:noProof/>
          <w:szCs w:val="24"/>
          <w:lang w:val="en-IE"/>
        </w:rPr>
        <w:t>,</w:t>
      </w:r>
      <w:r w:rsidRPr="00DC2D56">
        <w:rPr>
          <w:noProof/>
          <w:szCs w:val="24"/>
          <w:lang w:val="en-IE"/>
        </w:rPr>
        <w:t xml:space="preserve"> </w:t>
      </w:r>
      <w:r w:rsidR="00333A72" w:rsidRPr="00DC2D56">
        <w:rPr>
          <w:noProof/>
          <w:szCs w:val="24"/>
          <w:lang w:val="en-IE"/>
        </w:rPr>
        <w:t>fifth subparagraph</w:t>
      </w:r>
      <w:r w:rsidR="00333A72">
        <w:rPr>
          <w:noProof/>
          <w:szCs w:val="24"/>
          <w:lang w:val="en-IE"/>
        </w:rPr>
        <w:t>,</w:t>
      </w:r>
      <w:r w:rsidRPr="00DC2D56">
        <w:rPr>
          <w:noProof/>
          <w:szCs w:val="24"/>
          <w:lang w:val="en-IE"/>
        </w:rPr>
        <w:t xml:space="preserve"> of Directive 1999/62/EC</w:t>
      </w:r>
      <w:r w:rsidR="00716238" w:rsidRPr="00DC2D56">
        <w:rPr>
          <w:noProof/>
          <w:szCs w:val="24"/>
          <w:lang w:val="en-IE"/>
        </w:rPr>
        <w:t xml:space="preserve">, the date </w:t>
      </w:r>
      <w:r w:rsidR="00AA05F0">
        <w:rPr>
          <w:noProof/>
          <w:szCs w:val="24"/>
          <w:lang w:val="en-IE"/>
        </w:rPr>
        <w:t>‘</w:t>
      </w:r>
      <w:r w:rsidR="00716238" w:rsidRPr="00DC2D56">
        <w:rPr>
          <w:noProof/>
          <w:szCs w:val="24"/>
          <w:lang w:val="en-IE"/>
        </w:rPr>
        <w:t>31</w:t>
      </w:r>
      <w:r w:rsidR="008D709A">
        <w:rPr>
          <w:noProof/>
          <w:szCs w:val="24"/>
          <w:lang w:val="en-IE"/>
        </w:rPr>
        <w:t> </w:t>
      </w:r>
      <w:r w:rsidR="00716238" w:rsidRPr="00DC2D56">
        <w:rPr>
          <w:noProof/>
          <w:szCs w:val="24"/>
          <w:lang w:val="en-IE"/>
        </w:rPr>
        <w:t>December</w:t>
      </w:r>
      <w:r w:rsidR="008D709A">
        <w:rPr>
          <w:noProof/>
          <w:szCs w:val="24"/>
          <w:lang w:val="en-IE"/>
        </w:rPr>
        <w:t> </w:t>
      </w:r>
      <w:r w:rsidR="00716238" w:rsidRPr="00DC2D56">
        <w:rPr>
          <w:noProof/>
          <w:szCs w:val="24"/>
          <w:lang w:val="en-IE"/>
        </w:rPr>
        <w:t>2025</w:t>
      </w:r>
      <w:r w:rsidR="00AA05F0">
        <w:rPr>
          <w:noProof/>
          <w:szCs w:val="24"/>
          <w:lang w:val="en-IE"/>
        </w:rPr>
        <w:t>’</w:t>
      </w:r>
      <w:r w:rsidR="00716238" w:rsidRPr="00DC2D56">
        <w:rPr>
          <w:noProof/>
          <w:szCs w:val="24"/>
          <w:lang w:val="en-IE"/>
        </w:rPr>
        <w:t xml:space="preserve"> is replaced </w:t>
      </w:r>
      <w:r w:rsidR="00657F95" w:rsidRPr="00DC2D56">
        <w:rPr>
          <w:noProof/>
          <w:szCs w:val="24"/>
          <w:lang w:val="en-IE"/>
        </w:rPr>
        <w:t>by</w:t>
      </w:r>
      <w:r w:rsidR="00716238" w:rsidRPr="00DC2D56">
        <w:rPr>
          <w:noProof/>
          <w:szCs w:val="24"/>
          <w:lang w:val="en-IE"/>
        </w:rPr>
        <w:t xml:space="preserve"> </w:t>
      </w:r>
      <w:r w:rsidR="00AA05F0">
        <w:rPr>
          <w:noProof/>
          <w:szCs w:val="24"/>
          <w:lang w:val="en-IE"/>
        </w:rPr>
        <w:t>‘</w:t>
      </w:r>
      <w:r w:rsidR="00716238" w:rsidRPr="00DC2D56">
        <w:rPr>
          <w:noProof/>
          <w:szCs w:val="24"/>
          <w:lang w:val="en-IE"/>
        </w:rPr>
        <w:t>30</w:t>
      </w:r>
      <w:r w:rsidR="008D709A">
        <w:rPr>
          <w:noProof/>
          <w:szCs w:val="24"/>
          <w:lang w:val="en-IE"/>
        </w:rPr>
        <w:t> </w:t>
      </w:r>
      <w:r w:rsidR="00716238" w:rsidRPr="00DC2D56">
        <w:rPr>
          <w:noProof/>
          <w:szCs w:val="24"/>
          <w:lang w:val="en-IE"/>
        </w:rPr>
        <w:t>June</w:t>
      </w:r>
      <w:r w:rsidR="008D709A">
        <w:rPr>
          <w:noProof/>
          <w:szCs w:val="24"/>
          <w:lang w:val="en-IE"/>
        </w:rPr>
        <w:t> </w:t>
      </w:r>
      <w:r w:rsidR="00716238" w:rsidRPr="00DC2D56">
        <w:rPr>
          <w:noProof/>
          <w:szCs w:val="24"/>
          <w:lang w:val="en-IE"/>
        </w:rPr>
        <w:t>2031</w:t>
      </w:r>
      <w:r w:rsidR="00AA05F0">
        <w:rPr>
          <w:noProof/>
          <w:szCs w:val="24"/>
          <w:lang w:val="en-IE"/>
        </w:rPr>
        <w:t>’</w:t>
      </w:r>
      <w:r w:rsidR="00E71699" w:rsidRPr="00DC2D56">
        <w:rPr>
          <w:noProof/>
          <w:szCs w:val="24"/>
          <w:lang w:val="en-IE"/>
        </w:rPr>
        <w:t>,</w:t>
      </w:r>
      <w:r w:rsidR="007E3ECD" w:rsidRPr="00DC2D56">
        <w:rPr>
          <w:noProof/>
          <w:szCs w:val="24"/>
          <w:lang w:val="en-IE"/>
        </w:rPr>
        <w:t xml:space="preserve"> and the date </w:t>
      </w:r>
      <w:r w:rsidR="00AA05F0">
        <w:rPr>
          <w:noProof/>
          <w:szCs w:val="24"/>
          <w:lang w:val="en-IE"/>
        </w:rPr>
        <w:t>‘</w:t>
      </w:r>
      <w:r w:rsidR="007E3ECD" w:rsidRPr="00DC2D56">
        <w:rPr>
          <w:noProof/>
          <w:szCs w:val="24"/>
          <w:lang w:val="en-IE"/>
        </w:rPr>
        <w:t>1</w:t>
      </w:r>
      <w:r w:rsidR="008D709A">
        <w:rPr>
          <w:noProof/>
          <w:szCs w:val="24"/>
          <w:lang w:val="en-IE"/>
        </w:rPr>
        <w:t> </w:t>
      </w:r>
      <w:r w:rsidR="007E3ECD" w:rsidRPr="00DC2D56">
        <w:rPr>
          <w:noProof/>
          <w:szCs w:val="24"/>
          <w:lang w:val="en-IE"/>
        </w:rPr>
        <w:t>January</w:t>
      </w:r>
      <w:r w:rsidR="008D709A">
        <w:rPr>
          <w:noProof/>
          <w:szCs w:val="24"/>
          <w:lang w:val="en-IE"/>
        </w:rPr>
        <w:t> </w:t>
      </w:r>
      <w:r w:rsidR="007E3ECD" w:rsidRPr="00DC2D56">
        <w:rPr>
          <w:noProof/>
          <w:szCs w:val="24"/>
          <w:lang w:val="en-IE"/>
        </w:rPr>
        <w:t>2026</w:t>
      </w:r>
      <w:r w:rsidR="00AA05F0">
        <w:rPr>
          <w:noProof/>
          <w:szCs w:val="24"/>
          <w:lang w:val="en-IE"/>
        </w:rPr>
        <w:t>’</w:t>
      </w:r>
      <w:r w:rsidR="007E3ECD" w:rsidRPr="00DC2D56">
        <w:rPr>
          <w:noProof/>
          <w:szCs w:val="24"/>
          <w:lang w:val="en-IE"/>
        </w:rPr>
        <w:t xml:space="preserve"> is replaced </w:t>
      </w:r>
      <w:r w:rsidR="00657F95" w:rsidRPr="00DC2D56">
        <w:rPr>
          <w:noProof/>
          <w:szCs w:val="24"/>
          <w:lang w:val="en-IE"/>
        </w:rPr>
        <w:t>by</w:t>
      </w:r>
      <w:r w:rsidR="007E3ECD" w:rsidRPr="00DC2D56">
        <w:rPr>
          <w:noProof/>
          <w:szCs w:val="24"/>
          <w:lang w:val="en-IE"/>
        </w:rPr>
        <w:t xml:space="preserve"> </w:t>
      </w:r>
      <w:r w:rsidR="00AA05F0">
        <w:rPr>
          <w:noProof/>
          <w:szCs w:val="24"/>
          <w:lang w:val="en-IE"/>
        </w:rPr>
        <w:t>‘</w:t>
      </w:r>
      <w:r w:rsidR="00B4689F" w:rsidRPr="00DC2D56">
        <w:rPr>
          <w:noProof/>
          <w:szCs w:val="24"/>
          <w:lang w:val="en-IE"/>
        </w:rPr>
        <w:t>1</w:t>
      </w:r>
      <w:r w:rsidR="008D709A">
        <w:rPr>
          <w:noProof/>
          <w:szCs w:val="24"/>
          <w:lang w:val="en-IE"/>
        </w:rPr>
        <w:t> </w:t>
      </w:r>
      <w:r w:rsidR="00B4689F" w:rsidRPr="00DC2D56">
        <w:rPr>
          <w:noProof/>
          <w:szCs w:val="24"/>
          <w:lang w:val="en-IE"/>
        </w:rPr>
        <w:t>July</w:t>
      </w:r>
      <w:r w:rsidR="008D709A">
        <w:rPr>
          <w:noProof/>
          <w:szCs w:val="24"/>
          <w:lang w:val="en-IE"/>
        </w:rPr>
        <w:t> </w:t>
      </w:r>
      <w:r w:rsidR="00B4689F" w:rsidRPr="00DC2D56">
        <w:rPr>
          <w:noProof/>
          <w:szCs w:val="24"/>
          <w:lang w:val="en-IE"/>
        </w:rPr>
        <w:t>2031</w:t>
      </w:r>
      <w:r w:rsidR="00AA05F0">
        <w:rPr>
          <w:noProof/>
          <w:szCs w:val="24"/>
          <w:lang w:val="en-IE"/>
        </w:rPr>
        <w:t>’</w:t>
      </w:r>
      <w:r w:rsidR="007E3ECD" w:rsidRPr="00DC2D56">
        <w:rPr>
          <w:noProof/>
          <w:szCs w:val="24"/>
          <w:lang w:val="en-IE"/>
        </w:rPr>
        <w:t>.</w:t>
      </w:r>
    </w:p>
    <w:p w:rsidR="008E70C2" w:rsidRPr="00A719E2" w:rsidRDefault="008E70C2">
      <w:pPr>
        <w:pStyle w:val="Titrearticle"/>
        <w:keepLines/>
        <w:rPr>
          <w:noProof/>
          <w:lang w:val="en-IE"/>
        </w:rPr>
      </w:pPr>
      <w:r w:rsidRPr="00A719E2">
        <w:rPr>
          <w:noProof/>
          <w:lang w:val="en-IE"/>
        </w:rPr>
        <w:t>Article</w:t>
      </w:r>
      <w:r w:rsidR="008D709A" w:rsidRPr="00A719E2">
        <w:rPr>
          <w:noProof/>
          <w:lang w:val="en-IE"/>
        </w:rPr>
        <w:t> </w:t>
      </w:r>
      <w:r w:rsidR="00716238" w:rsidRPr="00762A61">
        <w:rPr>
          <w:noProof/>
        </w:rPr>
        <w:t>2</w:t>
      </w:r>
    </w:p>
    <w:p w:rsidR="005B25B3" w:rsidRPr="003229C1" w:rsidRDefault="00574847" w:rsidP="00A618F9">
      <w:pPr>
        <w:rPr>
          <w:noProof/>
        </w:rPr>
      </w:pPr>
      <w:r w:rsidRPr="00A719E2">
        <w:rPr>
          <w:noProof/>
          <w:lang w:val="en-IE"/>
        </w:rPr>
        <w:t>Member States shall immediately inform the Commission of measures taken pursuant to this Directive.</w:t>
      </w:r>
    </w:p>
    <w:p w:rsidR="008E70C2" w:rsidRPr="00DC2D56" w:rsidRDefault="008E70C2">
      <w:pPr>
        <w:pStyle w:val="Titrearticle"/>
        <w:rPr>
          <w:noProof/>
          <w:lang w:val="en-IE"/>
        </w:rPr>
      </w:pPr>
      <w:r w:rsidRPr="00DC2D56">
        <w:rPr>
          <w:noProof/>
          <w:lang w:val="en-IE"/>
        </w:rPr>
        <w:t>Article</w:t>
      </w:r>
      <w:r w:rsidR="008D709A">
        <w:rPr>
          <w:noProof/>
          <w:lang w:val="en-IE"/>
        </w:rPr>
        <w:t> </w:t>
      </w:r>
      <w:r w:rsidR="002E2E70" w:rsidRPr="00762A61">
        <w:rPr>
          <w:noProof/>
        </w:rPr>
        <w:t>3</w:t>
      </w:r>
    </w:p>
    <w:p w:rsidR="008E70C2" w:rsidRPr="00DC2D56" w:rsidRDefault="008E70C2">
      <w:pPr>
        <w:rPr>
          <w:noProof/>
          <w:lang w:val="en-IE"/>
        </w:rPr>
      </w:pPr>
      <w:r w:rsidRPr="00DC2D56">
        <w:rPr>
          <w:noProof/>
          <w:lang w:val="en-IE"/>
        </w:rPr>
        <w:t xml:space="preserve">This Directive shall enter into force on the </w:t>
      </w:r>
      <w:r w:rsidR="00676B1D" w:rsidRPr="00DC2D56">
        <w:rPr>
          <w:noProof/>
          <w:lang w:val="en-IE"/>
        </w:rPr>
        <w:t xml:space="preserve">twentieth </w:t>
      </w:r>
      <w:r w:rsidRPr="00DC2D56">
        <w:rPr>
          <w:noProof/>
          <w:lang w:val="en-IE"/>
        </w:rPr>
        <w:t xml:space="preserve">day following that of its publication in the </w:t>
      </w:r>
      <w:r w:rsidRPr="00DC2D56">
        <w:rPr>
          <w:i/>
          <w:noProof/>
          <w:lang w:val="en-IE"/>
        </w:rPr>
        <w:t>Official Journal of the European Union</w:t>
      </w:r>
      <w:r w:rsidRPr="00DC2D56">
        <w:rPr>
          <w:noProof/>
          <w:lang w:val="en-IE"/>
        </w:rPr>
        <w:t>.</w:t>
      </w:r>
    </w:p>
    <w:p w:rsidR="008E70C2" w:rsidRPr="00DC2D56" w:rsidRDefault="008E70C2" w:rsidP="007A398C">
      <w:pPr>
        <w:pStyle w:val="Titrearticle"/>
        <w:rPr>
          <w:noProof/>
          <w:lang w:val="en-IE"/>
        </w:rPr>
      </w:pPr>
      <w:r w:rsidRPr="00DC2D56">
        <w:rPr>
          <w:noProof/>
          <w:lang w:val="en-IE"/>
        </w:rPr>
        <w:t>Article</w:t>
      </w:r>
      <w:r w:rsidR="008D709A">
        <w:rPr>
          <w:noProof/>
          <w:lang w:val="en-IE"/>
        </w:rPr>
        <w:t> </w:t>
      </w:r>
      <w:r w:rsidR="002E2E70" w:rsidRPr="00762A61">
        <w:rPr>
          <w:noProof/>
        </w:rPr>
        <w:t>4</w:t>
      </w:r>
    </w:p>
    <w:p w:rsidR="008E70C2" w:rsidRPr="00DC2D56" w:rsidRDefault="008E70C2">
      <w:pPr>
        <w:keepNext/>
        <w:keepLines/>
        <w:rPr>
          <w:noProof/>
          <w:lang w:val="en-IE"/>
        </w:rPr>
      </w:pPr>
      <w:r w:rsidRPr="00DC2D56">
        <w:rPr>
          <w:noProof/>
          <w:lang w:val="en-IE"/>
        </w:rPr>
        <w:t>This Directive is addressed to the Member States.</w:t>
      </w:r>
    </w:p>
    <w:p w:rsidR="008E70C2" w:rsidRPr="00DC2D56" w:rsidRDefault="008A70FF" w:rsidP="007A398C">
      <w:pPr>
        <w:pStyle w:val="Fait"/>
        <w:rPr>
          <w:noProof/>
          <w:lang w:val="en-IE"/>
        </w:rPr>
      </w:pPr>
      <w:r>
        <w:rPr>
          <w:noProof/>
        </w:rPr>
        <w:t>Done at Brussels,</w:t>
      </w:r>
    </w:p>
    <w:p w:rsidR="008E70C2" w:rsidRPr="00DC2D56" w:rsidRDefault="008E70C2" w:rsidP="007A398C">
      <w:pPr>
        <w:pStyle w:val="Institutionquisigne"/>
        <w:rPr>
          <w:noProof/>
          <w:lang w:val="en-IE"/>
        </w:rPr>
      </w:pPr>
      <w:r w:rsidRPr="00DC2D56">
        <w:rPr>
          <w:noProof/>
          <w:lang w:val="en-IE"/>
        </w:rPr>
        <w:t>For the European Parliament</w:t>
      </w:r>
      <w:r w:rsidRPr="00DC2D56">
        <w:rPr>
          <w:noProof/>
          <w:lang w:val="en-IE"/>
        </w:rPr>
        <w:tab/>
        <w:t>For the Council</w:t>
      </w:r>
    </w:p>
    <w:p w:rsidR="008E70C2" w:rsidRPr="00DC2D56" w:rsidRDefault="008E70C2" w:rsidP="00B57646">
      <w:pPr>
        <w:pStyle w:val="Personnequisigne"/>
        <w:rPr>
          <w:noProof/>
          <w:color w:val="008000"/>
          <w:lang w:val="en-IE"/>
        </w:rPr>
      </w:pPr>
      <w:r w:rsidRPr="00DC2D56">
        <w:rPr>
          <w:noProof/>
          <w:lang w:val="en-IE"/>
        </w:rPr>
        <w:t>The President</w:t>
      </w:r>
      <w:r w:rsidRPr="00DC2D56">
        <w:rPr>
          <w:noProof/>
          <w:lang w:val="en-IE"/>
        </w:rPr>
        <w:tab/>
        <w:t>The President</w:t>
      </w:r>
    </w:p>
    <w:sectPr w:rsidR="008E70C2" w:rsidRPr="00DC2D56" w:rsidSect="00C344C6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24E" w:rsidRDefault="0020724E" w:rsidP="008E70C2">
      <w:pPr>
        <w:spacing w:before="0" w:after="0"/>
      </w:pPr>
      <w:r>
        <w:separator/>
      </w:r>
    </w:p>
  </w:endnote>
  <w:endnote w:type="continuationSeparator" w:id="0">
    <w:p w:rsidR="0020724E" w:rsidRDefault="0020724E" w:rsidP="008E70C2">
      <w:pPr>
        <w:spacing w:before="0" w:after="0"/>
      </w:pPr>
      <w:r>
        <w:continuationSeparator/>
      </w:r>
    </w:p>
  </w:endnote>
  <w:endnote w:type="continuationNotice" w:id="1">
    <w:p w:rsidR="0020724E" w:rsidRDefault="0020724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Pr="00C344C6" w:rsidRDefault="00C344C6" w:rsidP="00C344C6">
    <w:pPr>
      <w:pStyle w:val="Footer"/>
      <w:rPr>
        <w:rFonts w:ascii="Arial" w:hAnsi="Arial" w:cs="Arial"/>
        <w:b/>
        <w:sz w:val="48"/>
      </w:rPr>
    </w:pPr>
    <w:r w:rsidRPr="00C344C6">
      <w:rPr>
        <w:rFonts w:ascii="Arial" w:hAnsi="Arial" w:cs="Arial"/>
        <w:b/>
        <w:sz w:val="48"/>
      </w:rPr>
      <w:t>EN</w:t>
    </w:r>
    <w:r w:rsidRPr="00C344C6">
      <w:rPr>
        <w:rFonts w:ascii="Arial" w:hAnsi="Arial" w:cs="Arial"/>
        <w:b/>
        <w:sz w:val="48"/>
      </w:rPr>
      <w:tab/>
    </w:r>
    <w:r w:rsidRPr="00C344C6">
      <w:rPr>
        <w:rFonts w:ascii="Arial" w:hAnsi="Arial" w:cs="Arial"/>
        <w:b/>
        <w:sz w:val="48"/>
      </w:rPr>
      <w:tab/>
    </w:r>
    <w:r w:rsidRPr="00C344C6">
      <w:tab/>
    </w:r>
    <w:r w:rsidRPr="00C344C6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Pr="00C344C6" w:rsidRDefault="00C344C6" w:rsidP="00C344C6">
    <w:pPr>
      <w:pStyle w:val="Footer"/>
      <w:rPr>
        <w:rFonts w:ascii="Arial" w:hAnsi="Arial" w:cs="Arial"/>
        <w:b/>
        <w:sz w:val="48"/>
      </w:rPr>
    </w:pPr>
    <w:r w:rsidRPr="00C344C6">
      <w:rPr>
        <w:rFonts w:ascii="Arial" w:hAnsi="Arial" w:cs="Arial"/>
        <w:b/>
        <w:sz w:val="48"/>
      </w:rPr>
      <w:t>EN</w:t>
    </w:r>
    <w:r w:rsidRPr="00C344C6">
      <w:rPr>
        <w:rFonts w:ascii="Arial" w:hAnsi="Arial" w:cs="Arial"/>
        <w:b/>
        <w:sz w:val="48"/>
      </w:rPr>
      <w:tab/>
    </w:r>
    <w:r w:rsidRPr="00C344C6">
      <w:rPr>
        <w:rFonts w:ascii="Arial" w:hAnsi="Arial" w:cs="Arial"/>
        <w:b/>
        <w:sz w:val="48"/>
      </w:rPr>
      <w:tab/>
    </w:r>
    <w:r w:rsidRPr="00C344C6">
      <w:tab/>
    </w:r>
    <w:r w:rsidRPr="00C344C6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Default="00C344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Pr="00C344C6" w:rsidRDefault="00C344C6" w:rsidP="00C344C6">
    <w:pPr>
      <w:pStyle w:val="Footer"/>
      <w:rPr>
        <w:rFonts w:ascii="Arial" w:hAnsi="Arial" w:cs="Arial"/>
        <w:b/>
        <w:sz w:val="48"/>
      </w:rPr>
    </w:pPr>
    <w:r w:rsidRPr="00C344C6">
      <w:rPr>
        <w:rFonts w:ascii="Arial" w:hAnsi="Arial" w:cs="Arial"/>
        <w:b/>
        <w:sz w:val="48"/>
      </w:rPr>
      <w:t>EN</w:t>
    </w:r>
    <w:r w:rsidRPr="00C344C6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7A398C">
      <w:rPr>
        <w:noProof/>
      </w:rPr>
      <w:t>11</w:t>
    </w:r>
    <w:r>
      <w:fldChar w:fldCharType="end"/>
    </w:r>
    <w:r>
      <w:tab/>
    </w:r>
    <w:r w:rsidRPr="00C344C6">
      <w:tab/>
    </w:r>
    <w:r w:rsidRPr="00C344C6">
      <w:rPr>
        <w:rFonts w:ascii="Arial" w:hAnsi="Arial" w:cs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Default="00C344C6" w:rsidP="00C34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24E" w:rsidRDefault="0020724E" w:rsidP="008E70C2">
      <w:pPr>
        <w:spacing w:before="0" w:after="0"/>
      </w:pPr>
      <w:r>
        <w:separator/>
      </w:r>
    </w:p>
  </w:footnote>
  <w:footnote w:type="continuationSeparator" w:id="0">
    <w:p w:rsidR="0020724E" w:rsidRDefault="0020724E" w:rsidP="008E70C2">
      <w:pPr>
        <w:spacing w:before="0" w:after="0"/>
      </w:pPr>
      <w:r>
        <w:continuationSeparator/>
      </w:r>
    </w:p>
  </w:footnote>
  <w:footnote w:type="continuationNotice" w:id="1">
    <w:p w:rsidR="0020724E" w:rsidRDefault="0020724E">
      <w:pPr>
        <w:spacing w:before="0" w:after="0"/>
      </w:pPr>
    </w:p>
  </w:footnote>
  <w:footnote w:id="2">
    <w:p w:rsidR="00382A39" w:rsidRPr="00ED61DC" w:rsidRDefault="00382A39" w:rsidP="00382A39">
      <w:pPr>
        <w:pStyle w:val="FootnoteText"/>
        <w:ind w:left="0" w:firstLine="0"/>
        <w:contextualSpacing/>
        <w:rPr>
          <w:lang w:val="pt-PT"/>
        </w:rPr>
      </w:pPr>
      <w:r w:rsidRPr="00762A61">
        <w:rPr>
          <w:rStyle w:val="FootnoteReference"/>
        </w:rPr>
        <w:footnoteRef/>
      </w:r>
      <w:r w:rsidR="00762A61">
        <w:rPr>
          <w:lang w:val="pl-PL"/>
        </w:rPr>
        <w:tab/>
      </w:r>
      <w:r w:rsidRPr="00ED61DC">
        <w:rPr>
          <w:lang w:val="pt-PT"/>
        </w:rPr>
        <w:t>COM(2025) 30 final</w:t>
      </w:r>
      <w:r>
        <w:rPr>
          <w:lang w:val="pt-PT"/>
        </w:rPr>
        <w:t>.</w:t>
      </w:r>
    </w:p>
  </w:footnote>
  <w:footnote w:id="3">
    <w:p w:rsidR="0065538E" w:rsidRPr="003229C1" w:rsidRDefault="0065538E" w:rsidP="00BF3F83">
      <w:pPr>
        <w:pStyle w:val="FootnoteText"/>
        <w:ind w:left="0" w:firstLine="0"/>
        <w:contextualSpacing/>
        <w:rPr>
          <w:lang w:val="pl-PL"/>
        </w:rPr>
      </w:pPr>
      <w:r w:rsidRPr="00762A61">
        <w:rPr>
          <w:rStyle w:val="FootnoteReference"/>
        </w:rPr>
        <w:footnoteRef/>
      </w:r>
      <w:r w:rsidR="00762A61">
        <w:rPr>
          <w:lang w:val="pl-PL"/>
        </w:rPr>
        <w:tab/>
      </w:r>
      <w:hyperlink r:id="rId1" w:history="1">
        <w:r w:rsidR="00BF3F83" w:rsidRPr="003229C1">
          <w:rPr>
            <w:rStyle w:val="Hyperlink"/>
            <w:lang w:val="pl-PL"/>
          </w:rPr>
          <w:t>https://www.consilium.europa.eu/en/press/press-releases/2024/11/08/the-budapest-declaration/</w:t>
        </w:r>
      </w:hyperlink>
      <w:r w:rsidR="00BA3BDE">
        <w:rPr>
          <w:lang w:val="pt-PT"/>
        </w:rPr>
        <w:t>.</w:t>
      </w:r>
    </w:p>
  </w:footnote>
  <w:footnote w:id="4">
    <w:p w:rsidR="00056A19" w:rsidRPr="00ED61DC" w:rsidRDefault="00056A19" w:rsidP="00BF3F83">
      <w:pPr>
        <w:pStyle w:val="FootnoteText"/>
        <w:ind w:left="0" w:firstLine="0"/>
        <w:contextualSpacing/>
        <w:rPr>
          <w:lang w:val="pt-PT"/>
        </w:rPr>
      </w:pPr>
      <w:r w:rsidRPr="00762A61">
        <w:rPr>
          <w:rStyle w:val="FootnoteReference"/>
        </w:rPr>
        <w:footnoteRef/>
      </w:r>
      <w:r w:rsidR="00762A61">
        <w:rPr>
          <w:lang w:val="es-ES"/>
        </w:rPr>
        <w:tab/>
      </w:r>
      <w:hyperlink r:id="rId2" w:history="1">
        <w:r w:rsidR="00C34CCF" w:rsidRPr="00ED61DC">
          <w:rPr>
            <w:rStyle w:val="Hyperlink"/>
            <w:lang w:val="pt-PT"/>
          </w:rPr>
          <w:t>https://antwerp-declaration.eu/</w:t>
        </w:r>
      </w:hyperlink>
      <w:r w:rsidR="00BF3F83">
        <w:rPr>
          <w:lang w:val="pt-PT"/>
        </w:rPr>
        <w:t>.</w:t>
      </w:r>
    </w:p>
  </w:footnote>
  <w:footnote w:id="5">
    <w:p w:rsidR="00DD0CD8" w:rsidRPr="003229C1" w:rsidRDefault="00DD0CD8" w:rsidP="00BF3F83">
      <w:pPr>
        <w:pStyle w:val="FootnoteText"/>
        <w:ind w:left="0" w:firstLine="0"/>
        <w:contextualSpacing/>
        <w:rPr>
          <w:lang w:val="en-IE"/>
        </w:rPr>
      </w:pPr>
      <w:r w:rsidRPr="00762A61">
        <w:rPr>
          <w:rStyle w:val="FootnoteReference"/>
        </w:rPr>
        <w:footnoteRef/>
      </w:r>
      <w:r w:rsidR="00762A61">
        <w:tab/>
      </w:r>
      <w:r w:rsidRPr="003229C1">
        <w:rPr>
          <w:lang w:val="en-IE"/>
        </w:rPr>
        <w:t>C</w:t>
      </w:r>
      <w:r w:rsidR="00CD1A83" w:rsidRPr="003229C1">
        <w:rPr>
          <w:lang w:val="en-IE"/>
        </w:rPr>
        <w:t>OM</w:t>
      </w:r>
      <w:r w:rsidRPr="003229C1">
        <w:rPr>
          <w:lang w:val="en-IE"/>
        </w:rPr>
        <w:t>(2025)</w:t>
      </w:r>
      <w:r w:rsidR="00114082" w:rsidRPr="003229C1">
        <w:rPr>
          <w:lang w:val="en-IE"/>
        </w:rPr>
        <w:t xml:space="preserve"> </w:t>
      </w:r>
      <w:r w:rsidRPr="003229C1">
        <w:rPr>
          <w:lang w:val="en-IE"/>
        </w:rPr>
        <w:t>85 final</w:t>
      </w:r>
      <w:r w:rsidR="00BF3F83" w:rsidRPr="003229C1">
        <w:rPr>
          <w:lang w:val="en-IE"/>
        </w:rPr>
        <w:t>.</w:t>
      </w:r>
    </w:p>
  </w:footnote>
  <w:footnote w:id="6">
    <w:p w:rsidR="00F13EE9" w:rsidRPr="00BE60D3" w:rsidRDefault="00F13EE9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 w:rsidRPr="00BE60D3">
        <w:t>COM(2025) 95 final</w:t>
      </w:r>
      <w:r w:rsidR="00BF3F83">
        <w:t>.</w:t>
      </w:r>
    </w:p>
  </w:footnote>
  <w:footnote w:id="7">
    <w:p w:rsidR="00F040C7" w:rsidRPr="00BC0855" w:rsidRDefault="00F040C7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 w:rsidR="00114082">
        <w:t>CO</w:t>
      </w:r>
      <w:r w:rsidR="00114082">
        <w:rPr>
          <w:vertAlign w:val="subscript"/>
        </w:rPr>
        <w:t>2</w:t>
      </w:r>
      <w:r w:rsidR="00114082">
        <w:t xml:space="preserve"> e</w:t>
      </w:r>
      <w:r w:rsidRPr="009904F6">
        <w:t xml:space="preserve">missions from the heavy-duty road transport sector increased by </w:t>
      </w:r>
      <w:r w:rsidR="00B73A7A">
        <w:t>20</w:t>
      </w:r>
      <w:r w:rsidRPr="009904F6">
        <w:t>% between 199</w:t>
      </w:r>
      <w:r w:rsidR="00B73A7A">
        <w:t>5</w:t>
      </w:r>
      <w:r w:rsidRPr="009904F6">
        <w:t xml:space="preserve"> and 2022 </w:t>
      </w:r>
      <w:r>
        <w:t xml:space="preserve">and traffic volume increased in the same period by 70%. </w:t>
      </w:r>
      <w:r w:rsidR="006535DC">
        <w:t>A</w:t>
      </w:r>
      <w:r>
        <w:t xml:space="preserve"> relative reduction of CO</w:t>
      </w:r>
      <w:r>
        <w:rPr>
          <w:vertAlign w:val="subscript"/>
        </w:rPr>
        <w:t>2</w:t>
      </w:r>
      <w:r>
        <w:t xml:space="preserve"> emissions </w:t>
      </w:r>
      <w:r w:rsidR="006535DC">
        <w:t xml:space="preserve">therefore </w:t>
      </w:r>
      <w:r>
        <w:t xml:space="preserve">took place due to more efficient vehicles, </w:t>
      </w:r>
      <w:r w:rsidR="002952D8">
        <w:t xml:space="preserve">however </w:t>
      </w:r>
      <w:r>
        <w:t>this improvement fell short of an absolute decrease in CO</w:t>
      </w:r>
      <w:r>
        <w:rPr>
          <w:vertAlign w:val="subscript"/>
        </w:rPr>
        <w:t>2</w:t>
      </w:r>
      <w:r>
        <w:t xml:space="preserve"> emissions due to </w:t>
      </w:r>
      <w:r w:rsidR="00407C9F">
        <w:t>the</w:t>
      </w:r>
      <w:r>
        <w:t xml:space="preserve"> increase in traffic levels. For comparison, </w:t>
      </w:r>
      <w:r w:rsidRPr="009904F6">
        <w:t>cars’</w:t>
      </w:r>
      <w:r w:rsidR="00473756">
        <w:t xml:space="preserve"> CO</w:t>
      </w:r>
      <w:r w:rsidR="00473756">
        <w:rPr>
          <w:vertAlign w:val="subscript"/>
        </w:rPr>
        <w:t>2</w:t>
      </w:r>
      <w:r w:rsidRPr="009904F6">
        <w:t xml:space="preserve"> emissions </w:t>
      </w:r>
      <w:r>
        <w:t xml:space="preserve">and traffic volume </w:t>
      </w:r>
      <w:r w:rsidRPr="009904F6">
        <w:t xml:space="preserve">increased by </w:t>
      </w:r>
      <w:r>
        <w:t>9</w:t>
      </w:r>
      <w:r w:rsidRPr="009904F6">
        <w:t xml:space="preserve">% </w:t>
      </w:r>
      <w:r>
        <w:t xml:space="preserve">and 24% </w:t>
      </w:r>
      <w:r w:rsidR="006535DC">
        <w:t xml:space="preserve">respectively </w:t>
      </w:r>
      <w:r w:rsidR="00407C9F">
        <w:t>over the same period</w:t>
      </w:r>
      <w:r>
        <w:t xml:space="preserve">. </w:t>
      </w:r>
      <w:hyperlink r:id="rId3" w:history="1">
        <w:r w:rsidRPr="003C7A53">
          <w:rPr>
            <w:rStyle w:val="Hyperlink"/>
          </w:rPr>
          <w:t>https://transport.ec.europa.eu/facts-funding/studies-data/eu-transport-figures-statistical-pocketbook/statistical-pocketbook-2024_en</w:t>
        </w:r>
      </w:hyperlink>
      <w:r w:rsidR="00BF3F83">
        <w:t>.</w:t>
      </w:r>
    </w:p>
  </w:footnote>
  <w:footnote w:id="8">
    <w:p w:rsidR="00A80650" w:rsidRPr="00BE60D3" w:rsidRDefault="00A80650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hyperlink r:id="rId4" w:history="1">
        <w:r w:rsidR="00C34CCF" w:rsidRPr="00BE60D3">
          <w:rPr>
            <w:rStyle w:val="Hyperlink"/>
          </w:rPr>
          <w:t>https://www.acea.auto/files/ACEA_Report_-_Vehicles_on_European_roads_2025.pdf</w:t>
        </w:r>
      </w:hyperlink>
      <w:r w:rsidR="00BF3F83">
        <w:t>.</w:t>
      </w:r>
    </w:p>
  </w:footnote>
  <w:footnote w:id="9">
    <w:p w:rsidR="00EE48B6" w:rsidRPr="00EE48B6" w:rsidRDefault="00EE48B6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 w:rsidR="00D85993" w:rsidRPr="00177191">
        <w:t>See the Communication from the Commission to the European Parliament and the Council on the technological and market readiness of heavy-duty road transport vehicles (COM(2025)260).</w:t>
      </w:r>
      <w:r w:rsidR="00D85993" w:rsidRPr="00D85993">
        <w:t xml:space="preserve"> See</w:t>
      </w:r>
      <w:r w:rsidR="00D85993">
        <w:t xml:space="preserve"> also a list of the existing zero-emission models </w:t>
      </w:r>
      <w:r w:rsidR="00B770E6">
        <w:t xml:space="preserve">in the document available </w:t>
      </w:r>
      <w:r>
        <w:t xml:space="preserve">at the bottom of </w:t>
      </w:r>
      <w:r w:rsidR="004B228A">
        <w:t>th</w:t>
      </w:r>
      <w:r w:rsidR="00B770E6">
        <w:t>is</w:t>
      </w:r>
      <w:r w:rsidR="004B228A">
        <w:t xml:space="preserve"> </w:t>
      </w:r>
      <w:r w:rsidR="00B770E6">
        <w:t>web</w:t>
      </w:r>
      <w:r>
        <w:t xml:space="preserve">page: </w:t>
      </w:r>
      <w:hyperlink r:id="rId5" w:history="1">
        <w:r w:rsidRPr="00953173">
          <w:rPr>
            <w:rStyle w:val="Hyperlink"/>
          </w:rPr>
          <w:t>https://www.acea.auto/news/truck-and-bus-manufacturers-contribution-to-climate-neutral-road-transport/</w:t>
        </w:r>
      </w:hyperlink>
      <w:r>
        <w:t>.</w:t>
      </w:r>
    </w:p>
  </w:footnote>
  <w:footnote w:id="10">
    <w:p w:rsidR="004046FE" w:rsidRPr="00DF63AA" w:rsidRDefault="004046FE" w:rsidP="00BF3F83">
      <w:pPr>
        <w:pStyle w:val="FootnoteText"/>
        <w:ind w:left="0" w:firstLine="0"/>
        <w:contextualSpacing/>
        <w:rPr>
          <w:lang w:val="en-IE"/>
        </w:rPr>
      </w:pPr>
      <w:r w:rsidRPr="00762A61">
        <w:rPr>
          <w:rStyle w:val="FootnoteReference"/>
        </w:rPr>
        <w:footnoteRef/>
      </w:r>
      <w:r w:rsidR="00762A61">
        <w:tab/>
      </w:r>
      <w:r>
        <w:rPr>
          <w:lang w:val="en-IE"/>
        </w:rPr>
        <w:t xml:space="preserve">Compared </w:t>
      </w:r>
      <w:r w:rsidR="00BF3F83">
        <w:rPr>
          <w:lang w:val="en-IE"/>
        </w:rPr>
        <w:t xml:space="preserve">with </w:t>
      </w:r>
      <w:r>
        <w:rPr>
          <w:lang w:val="en-IE"/>
        </w:rPr>
        <w:t xml:space="preserve">2019, </w:t>
      </w:r>
      <w:r w:rsidR="00EA37FD">
        <w:rPr>
          <w:lang w:val="en-IE"/>
        </w:rPr>
        <w:t>40 </w:t>
      </w:r>
      <w:r>
        <w:rPr>
          <w:lang w:val="en-IE"/>
        </w:rPr>
        <w:t xml:space="preserve">times more </w:t>
      </w:r>
      <w:r>
        <w:rPr>
          <w:rFonts w:eastAsia="Arial Unicode MS"/>
        </w:rPr>
        <w:t>zero-emission heavy goods vehicles with weight above 12</w:t>
      </w:r>
      <w:r w:rsidR="00DC5860">
        <w:rPr>
          <w:rFonts w:eastAsia="Arial Unicode MS"/>
        </w:rPr>
        <w:t> </w:t>
      </w:r>
      <w:r>
        <w:rPr>
          <w:rFonts w:eastAsia="Arial Unicode MS"/>
        </w:rPr>
        <w:t xml:space="preserve">tonnes were sold </w:t>
      </w:r>
      <w:r>
        <w:rPr>
          <w:lang w:val="en-IE"/>
        </w:rPr>
        <w:t>in 2024</w:t>
      </w:r>
      <w:r>
        <w:rPr>
          <w:rFonts w:eastAsia="Arial Unicode MS"/>
        </w:rPr>
        <w:t>, 6.5</w:t>
      </w:r>
      <w:r w:rsidR="00DC5860">
        <w:rPr>
          <w:rFonts w:eastAsia="Arial Unicode MS"/>
        </w:rPr>
        <w:t> </w:t>
      </w:r>
      <w:r>
        <w:rPr>
          <w:rFonts w:eastAsia="Arial Unicode MS"/>
        </w:rPr>
        <w:t xml:space="preserve">times more zero-emission heavy goods vehicles </w:t>
      </w:r>
      <w:r w:rsidR="006C1329">
        <w:rPr>
          <w:rFonts w:eastAsia="Arial Unicode MS"/>
        </w:rPr>
        <w:t>weighing under</w:t>
      </w:r>
      <w:r>
        <w:rPr>
          <w:rFonts w:eastAsia="Arial Unicode MS"/>
        </w:rPr>
        <w:t xml:space="preserve"> 12</w:t>
      </w:r>
      <w:r w:rsidR="00DC5860">
        <w:rPr>
          <w:rFonts w:eastAsia="Arial Unicode MS"/>
        </w:rPr>
        <w:t> </w:t>
      </w:r>
      <w:r>
        <w:rPr>
          <w:rFonts w:eastAsia="Arial Unicode MS"/>
        </w:rPr>
        <w:t>tonnes and above 3.5</w:t>
      </w:r>
      <w:r w:rsidR="00DC5860">
        <w:rPr>
          <w:rFonts w:eastAsia="Arial Unicode MS"/>
        </w:rPr>
        <w:t> </w:t>
      </w:r>
      <w:r>
        <w:rPr>
          <w:rFonts w:eastAsia="Arial Unicode MS"/>
        </w:rPr>
        <w:t>tonnes, and 4</w:t>
      </w:r>
      <w:r w:rsidR="00DC5860">
        <w:rPr>
          <w:rFonts w:eastAsia="Arial Unicode MS"/>
        </w:rPr>
        <w:t> </w:t>
      </w:r>
      <w:r>
        <w:rPr>
          <w:rFonts w:eastAsia="Arial Unicode MS"/>
        </w:rPr>
        <w:t>times more zero-emission buses and coaches.</w:t>
      </w:r>
      <w:r>
        <w:rPr>
          <w:lang w:val="en-IE"/>
        </w:rPr>
        <w:t xml:space="preserve"> The zero-emission vehicle sales figures in</w:t>
      </w:r>
      <w:r>
        <w:rPr>
          <w:rFonts w:eastAsia="Arial Unicode MS"/>
        </w:rPr>
        <w:t xml:space="preserve"> 2024 were: 3</w:t>
      </w:r>
      <w:r w:rsidR="00DC5860">
        <w:rPr>
          <w:rFonts w:eastAsia="Arial Unicode MS"/>
        </w:rPr>
        <w:t> </w:t>
      </w:r>
      <w:r>
        <w:rPr>
          <w:rFonts w:eastAsia="Arial Unicode MS"/>
        </w:rPr>
        <w:t>400</w:t>
      </w:r>
      <w:r w:rsidR="00DC5860">
        <w:rPr>
          <w:rFonts w:eastAsia="Arial Unicode MS"/>
        </w:rPr>
        <w:t> </w:t>
      </w:r>
      <w:r>
        <w:rPr>
          <w:rFonts w:eastAsia="Arial Unicode MS"/>
        </w:rPr>
        <w:t xml:space="preserve">heavy goods vehicles </w:t>
      </w:r>
      <w:r w:rsidR="006C1329">
        <w:rPr>
          <w:rFonts w:eastAsia="Arial Unicode MS"/>
        </w:rPr>
        <w:t xml:space="preserve">weighing </w:t>
      </w:r>
      <w:r>
        <w:rPr>
          <w:rFonts w:eastAsia="Arial Unicode MS"/>
        </w:rPr>
        <w:t>above 12</w:t>
      </w:r>
      <w:r w:rsidR="00DC5860">
        <w:rPr>
          <w:rFonts w:eastAsia="Arial Unicode MS"/>
        </w:rPr>
        <w:t> </w:t>
      </w:r>
      <w:r>
        <w:rPr>
          <w:rFonts w:eastAsia="Arial Unicode MS"/>
        </w:rPr>
        <w:t>tonnes (</w:t>
      </w:r>
      <w:r w:rsidR="008C1D0F">
        <w:rPr>
          <w:rFonts w:eastAsia="Arial Unicode MS"/>
        </w:rPr>
        <w:t xml:space="preserve">approximately </w:t>
      </w:r>
      <w:r>
        <w:rPr>
          <w:rFonts w:eastAsia="Arial Unicode MS"/>
        </w:rPr>
        <w:t>1</w:t>
      </w:r>
      <w:r w:rsidR="00DC5860">
        <w:rPr>
          <w:rFonts w:eastAsia="Arial Unicode MS"/>
        </w:rPr>
        <w:t>.</w:t>
      </w:r>
      <w:r>
        <w:rPr>
          <w:rFonts w:eastAsia="Arial Unicode MS"/>
        </w:rPr>
        <w:t>2% of new registrations), 4</w:t>
      </w:r>
      <w:r w:rsidR="00DC5860">
        <w:rPr>
          <w:rFonts w:eastAsia="Arial Unicode MS"/>
        </w:rPr>
        <w:t> </w:t>
      </w:r>
      <w:r>
        <w:rPr>
          <w:rFonts w:eastAsia="Arial Unicode MS"/>
        </w:rPr>
        <w:t xml:space="preserve">800 </w:t>
      </w:r>
      <w:r w:rsidR="006C1329">
        <w:rPr>
          <w:rFonts w:eastAsia="Arial Unicode MS"/>
        </w:rPr>
        <w:t xml:space="preserve">weighing </w:t>
      </w:r>
      <w:r>
        <w:rPr>
          <w:rFonts w:eastAsia="Arial Unicode MS"/>
        </w:rPr>
        <w:t xml:space="preserve">below 12 </w:t>
      </w:r>
      <w:r w:rsidR="00DC5860">
        <w:rPr>
          <w:rFonts w:eastAsia="Arial Unicode MS"/>
        </w:rPr>
        <w:t xml:space="preserve">tonnes </w:t>
      </w:r>
      <w:r>
        <w:rPr>
          <w:rFonts w:eastAsia="Arial Unicode MS"/>
        </w:rPr>
        <w:t>and above 3.5</w:t>
      </w:r>
      <w:r w:rsidR="00DC5860">
        <w:rPr>
          <w:rFonts w:eastAsia="Arial Unicode MS"/>
        </w:rPr>
        <w:t xml:space="preserve"> tonnes</w:t>
      </w:r>
      <w:r>
        <w:rPr>
          <w:rFonts w:eastAsia="Arial Unicode MS"/>
        </w:rPr>
        <w:t xml:space="preserve"> (10%), and 6</w:t>
      </w:r>
      <w:r w:rsidR="00DC5860">
        <w:rPr>
          <w:rFonts w:eastAsia="Arial Unicode MS"/>
        </w:rPr>
        <w:t> </w:t>
      </w:r>
      <w:r>
        <w:rPr>
          <w:rFonts w:eastAsia="Arial Unicode MS"/>
        </w:rPr>
        <w:t>000</w:t>
      </w:r>
      <w:r w:rsidR="00DC5860">
        <w:rPr>
          <w:rFonts w:eastAsia="Arial Unicode MS"/>
        </w:rPr>
        <w:t> </w:t>
      </w:r>
      <w:r>
        <w:rPr>
          <w:rFonts w:eastAsia="Arial Unicode MS"/>
        </w:rPr>
        <w:t xml:space="preserve">buses and coaches (17%). </w:t>
      </w:r>
      <w:hyperlink r:id="rId6" w:history="1">
        <w:r w:rsidRPr="002E606B">
          <w:rPr>
            <w:rStyle w:val="Hyperlink"/>
            <w:lang w:val="en-IE"/>
          </w:rPr>
          <w:t>https://theicct.org/publication/r2z-eu-hdv-market-development-quarterly-jan-dec-2024-feb25/</w:t>
        </w:r>
      </w:hyperlink>
      <w:r w:rsidR="00BF3F83">
        <w:t>.</w:t>
      </w:r>
    </w:p>
  </w:footnote>
  <w:footnote w:id="11">
    <w:p w:rsidR="004046FE" w:rsidRPr="00DF63AA" w:rsidRDefault="004046FE" w:rsidP="00BF3F83">
      <w:pPr>
        <w:pStyle w:val="FootnoteText"/>
        <w:ind w:left="0" w:firstLine="0"/>
        <w:contextualSpacing/>
        <w:rPr>
          <w:lang w:val="en-IE"/>
        </w:rPr>
      </w:pPr>
      <w:r w:rsidRPr="00762A61">
        <w:rPr>
          <w:rStyle w:val="FootnoteReference"/>
        </w:rPr>
        <w:footnoteRef/>
      </w:r>
      <w:r w:rsidR="00762A61">
        <w:tab/>
      </w:r>
      <w:hyperlink r:id="rId7" w:history="1">
        <w:r w:rsidR="00772F0D" w:rsidRPr="002E606B">
          <w:rPr>
            <w:rStyle w:val="Hyperlink"/>
            <w:lang w:val="en-IE"/>
          </w:rPr>
          <w:t>https://theicct.org/publication/r2z-eu-hdv-market-development-quarterly-jan-dec-2024-feb25/</w:t>
        </w:r>
      </w:hyperlink>
      <w:r>
        <w:rPr>
          <w:lang w:val="en-IE"/>
        </w:rPr>
        <w:t>.</w:t>
      </w:r>
    </w:p>
  </w:footnote>
  <w:footnote w:id="12">
    <w:p w:rsidR="00FD3857" w:rsidRDefault="00FD3857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>
        <w:t>Battery electric heavy goods vehicles (i.e.</w:t>
      </w:r>
      <w:r w:rsidR="00DC5860">
        <w:t> </w:t>
      </w:r>
      <w:r w:rsidR="006C1329">
        <w:t xml:space="preserve">vehicles weighing </w:t>
      </w:r>
      <w:r>
        <w:t xml:space="preserve">above 3.5 tonnes) </w:t>
      </w:r>
      <w:r w:rsidR="006C1329">
        <w:t xml:space="preserve">made up </w:t>
      </w:r>
      <w:r>
        <w:t>0.1% of the</w:t>
      </w:r>
      <w:r w:rsidR="0086694B">
        <w:t xml:space="preserve"> EU’s</w:t>
      </w:r>
      <w:r>
        <w:t xml:space="preserve"> fleet in 2023</w:t>
      </w:r>
      <w:r w:rsidR="006C1329">
        <w:t xml:space="preserve"> (Denmark had the highest proportion with</w:t>
      </w:r>
      <w:r>
        <w:t xml:space="preserve"> 1%</w:t>
      </w:r>
      <w:r w:rsidR="006C1329">
        <w:t>)</w:t>
      </w:r>
      <w:r>
        <w:t xml:space="preserve">. Battery electric buses and coaches </w:t>
      </w:r>
      <w:r w:rsidR="006C1329">
        <w:t xml:space="preserve">made up </w:t>
      </w:r>
      <w:r>
        <w:t>2.5% of the fleet</w:t>
      </w:r>
      <w:r w:rsidR="006C1329">
        <w:t xml:space="preserve"> (the Netherlands had the highest proportion </w:t>
      </w:r>
      <w:r>
        <w:t>with 17.7%</w:t>
      </w:r>
      <w:r w:rsidR="006C1329">
        <w:t>)</w:t>
      </w:r>
      <w:r>
        <w:t xml:space="preserve">. </w:t>
      </w:r>
      <w:hyperlink r:id="rId8" w:history="1">
        <w:r w:rsidRPr="003C7A53">
          <w:rPr>
            <w:rStyle w:val="Hyperlink"/>
          </w:rPr>
          <w:t>https://www.acea.auto/files/ACEA_Report_-_Vehicles_on_European_roads_2025.pdf</w:t>
        </w:r>
      </w:hyperlink>
      <w:r>
        <w:t>.</w:t>
      </w:r>
    </w:p>
  </w:footnote>
  <w:footnote w:id="13">
    <w:p w:rsidR="00254E2D" w:rsidRDefault="00254E2D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>
        <w:t xml:space="preserve">The </w:t>
      </w:r>
      <w:r w:rsidR="00C37F9E">
        <w:t>emission reduction targets for the heavy-duty</w:t>
      </w:r>
      <w:r w:rsidR="00ED7DC5">
        <w:t xml:space="preserve"> road transport</w:t>
      </w:r>
      <w:r w:rsidR="00C37F9E">
        <w:t xml:space="preserve"> sector are set out in </w:t>
      </w:r>
      <w:r w:rsidR="007E3159" w:rsidRPr="007E3159">
        <w:t>Regulation (EU) 2019/1242 of the European Parliament and of the Council of 20</w:t>
      </w:r>
      <w:r w:rsidR="00DC5860">
        <w:t> </w:t>
      </w:r>
      <w:r w:rsidR="007E3159" w:rsidRPr="007E3159">
        <w:t>June</w:t>
      </w:r>
      <w:r w:rsidR="00DC5860">
        <w:t> </w:t>
      </w:r>
      <w:r w:rsidR="007E3159" w:rsidRPr="007E3159">
        <w:t>2019 setting CO</w:t>
      </w:r>
      <w:r w:rsidR="007E3159" w:rsidRPr="00D018D6">
        <w:rPr>
          <w:vertAlign w:val="subscript"/>
        </w:rPr>
        <w:t>2</w:t>
      </w:r>
      <w:r w:rsidR="007E3159" w:rsidRPr="007E3159">
        <w:t xml:space="preserve"> emission performance standards for new heavy-duty vehicles</w:t>
      </w:r>
      <w:r w:rsidR="007E3159">
        <w:t>. See</w:t>
      </w:r>
      <w:r w:rsidR="000F2084">
        <w:t xml:space="preserve"> the</w:t>
      </w:r>
      <w:r w:rsidR="007E3159">
        <w:t xml:space="preserve"> section</w:t>
      </w:r>
      <w:r w:rsidR="000F2084">
        <w:t xml:space="preserve"> below on</w:t>
      </w:r>
      <w:r w:rsidR="007E3159">
        <w:t xml:space="preserve"> ‘</w:t>
      </w:r>
      <w:r w:rsidR="007E3159" w:rsidRPr="002D5EE2">
        <w:rPr>
          <w:rFonts w:eastAsia="Arial Unicode MS"/>
        </w:rPr>
        <w:t xml:space="preserve">Consistency with other </w:t>
      </w:r>
      <w:r w:rsidR="000F2084">
        <w:rPr>
          <w:rFonts w:eastAsia="Arial Unicode MS"/>
        </w:rPr>
        <w:t xml:space="preserve">EU </w:t>
      </w:r>
      <w:r w:rsidR="007E3159" w:rsidRPr="002D5EE2">
        <w:rPr>
          <w:rFonts w:eastAsia="Arial Unicode MS"/>
        </w:rPr>
        <w:t>policies</w:t>
      </w:r>
      <w:r w:rsidR="007E3159">
        <w:rPr>
          <w:rFonts w:eastAsia="Arial Unicode MS"/>
        </w:rPr>
        <w:t>’.</w:t>
      </w:r>
    </w:p>
  </w:footnote>
  <w:footnote w:id="14">
    <w:p w:rsidR="003076AF" w:rsidRPr="001D70C6" w:rsidRDefault="003076AF" w:rsidP="003076AF">
      <w:pPr>
        <w:pStyle w:val="FootnoteText"/>
        <w:ind w:left="0" w:firstLine="0"/>
      </w:pPr>
      <w:r w:rsidRPr="00762A61">
        <w:rPr>
          <w:rStyle w:val="FootnoteReference"/>
        </w:rPr>
        <w:footnoteRef/>
      </w:r>
      <w:r w:rsidR="00762A61">
        <w:tab/>
      </w:r>
      <w:r w:rsidRPr="00571BFA">
        <w:t xml:space="preserve">Manufacturers indicated that approximately one in three new heavy-duty vehicles can be expected to be a zero-emission vehicle in 2030. See COM(2025)260 and the corresponding support study: “Market readiness analysis – Expected uptake of alternative fuel heavy-duty vehicles until 2030 and their corresponding infrastructure needs”, </w:t>
      </w:r>
      <w:hyperlink r:id="rId9" w:history="1">
        <w:r w:rsidRPr="00571BFA">
          <w:rPr>
            <w:rStyle w:val="Hyperlink"/>
          </w:rPr>
          <w:t>https://op.europa.eu/en/publication-detail/-/publication/8a598b35-40f3-11f0-b9f2-01aa75ed71a1/</w:t>
        </w:r>
      </w:hyperlink>
    </w:p>
  </w:footnote>
  <w:footnote w:id="15">
    <w:p w:rsidR="008F6DDB" w:rsidRDefault="008F6DDB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>
        <w:t xml:space="preserve">A comparison between retail prices of trucks propelled by different technologies is available in </w:t>
      </w:r>
      <w:r w:rsidR="00FA081E">
        <w:t xml:space="preserve">Appendix </w:t>
      </w:r>
      <w:r>
        <w:t>C of the following study</w:t>
      </w:r>
      <w:r w:rsidR="00753356">
        <w:t>:</w:t>
      </w:r>
      <w:r>
        <w:t xml:space="preserve"> </w:t>
      </w:r>
      <w:hyperlink r:id="rId10" w:history="1">
        <w:r w:rsidR="002607F3" w:rsidRPr="004D56CE">
          <w:rPr>
            <w:rStyle w:val="Hyperlink"/>
          </w:rPr>
          <w:t>https://theicct.org/publication/total-cost-ownership-trucks-europe-nov23/</w:t>
        </w:r>
      </w:hyperlink>
      <w:r w:rsidR="00753356">
        <w:t>.</w:t>
      </w:r>
    </w:p>
  </w:footnote>
  <w:footnote w:id="16">
    <w:p w:rsidR="00724B49" w:rsidRDefault="00724B49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>
        <w:rPr>
          <w:rFonts w:eastAsia="Arial Unicode MS"/>
        </w:rPr>
        <w:t xml:space="preserve">The </w:t>
      </w:r>
      <w:r w:rsidR="000F2084">
        <w:rPr>
          <w:rFonts w:eastAsia="Arial Unicode MS"/>
        </w:rPr>
        <w:t>TCO</w:t>
      </w:r>
      <w:r>
        <w:rPr>
          <w:rFonts w:eastAsia="Arial Unicode MS"/>
        </w:rPr>
        <w:t xml:space="preserve"> of a vehicle is the sum of the upfront acquisition cost and of the costs to operate the vehicle over its useful life </w:t>
      </w:r>
      <w:r w:rsidRPr="00D76316">
        <w:t xml:space="preserve">(fuel, maintenance, taxes, </w:t>
      </w:r>
      <w:r>
        <w:t xml:space="preserve">road </w:t>
      </w:r>
      <w:r w:rsidRPr="00D76316">
        <w:t>charges,</w:t>
      </w:r>
      <w:r w:rsidR="0014263B">
        <w:t xml:space="preserve"> and</w:t>
      </w:r>
      <w:r>
        <w:t xml:space="preserve"> insurance</w:t>
      </w:r>
      <w:r w:rsidRPr="00D76316">
        <w:t>)</w:t>
      </w:r>
      <w:r>
        <w:rPr>
          <w:rFonts w:eastAsia="Arial Unicode MS"/>
        </w:rPr>
        <w:t>.</w:t>
      </w:r>
    </w:p>
  </w:footnote>
  <w:footnote w:id="17">
    <w:p w:rsidR="00D961FB" w:rsidRDefault="00D961FB" w:rsidP="00D961FB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>
        <w:tab/>
      </w:r>
      <w:r w:rsidRPr="008111FC">
        <w:t>Directive (EU) 2022/362 of the European Parliament and of the Council of 24</w:t>
      </w:r>
      <w:r>
        <w:t> </w:t>
      </w:r>
      <w:r w:rsidRPr="008111FC">
        <w:t>February</w:t>
      </w:r>
      <w:r>
        <w:t> </w:t>
      </w:r>
      <w:r w:rsidRPr="008111FC">
        <w:t>2022 amending Directives 1999/62/EC, 1999/37/EC and (EU) 2019/520, as regards the charging of vehicles for the use of certain infrastructures</w:t>
      </w:r>
      <w:r>
        <w:t xml:space="preserve"> (</w:t>
      </w:r>
      <w:r w:rsidRPr="00B3540F">
        <w:t>OJ</w:t>
      </w:r>
      <w:r>
        <w:t> </w:t>
      </w:r>
      <w:r w:rsidRPr="00B3540F">
        <w:t>L</w:t>
      </w:r>
      <w:r>
        <w:t> </w:t>
      </w:r>
      <w:r w:rsidRPr="00B3540F">
        <w:t>69, 4.3.2022, p. 1</w:t>
      </w:r>
      <w:r>
        <w:t xml:space="preserve">, </w:t>
      </w:r>
      <w:r w:rsidRPr="00B3540F">
        <w:t>ELI:</w:t>
      </w:r>
      <w:r>
        <w:t> </w:t>
      </w:r>
      <w:hyperlink r:id="rId11" w:history="1">
        <w:r w:rsidRPr="004D56CE">
          <w:rPr>
            <w:rStyle w:val="Hyperlink"/>
          </w:rPr>
          <w:t>http://data.europa.eu/eli/dir/2022/362/oj</w:t>
        </w:r>
      </w:hyperlink>
      <w:r>
        <w:rPr>
          <w:rStyle w:val="Hyperlink"/>
        </w:rPr>
        <w:t>)</w:t>
      </w:r>
      <w:r>
        <w:t xml:space="preserve">. </w:t>
      </w:r>
    </w:p>
  </w:footnote>
  <w:footnote w:id="18">
    <w:p w:rsidR="00413DF1" w:rsidRDefault="00413DF1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 w:rsidR="00C712F0">
        <w:t xml:space="preserve">The term </w:t>
      </w:r>
      <w:r w:rsidR="000F2084">
        <w:t>‘</w:t>
      </w:r>
      <w:r w:rsidR="00C712F0">
        <w:t>r</w:t>
      </w:r>
      <w:r>
        <w:t>oad charging</w:t>
      </w:r>
      <w:r w:rsidR="000F2084">
        <w:t>’</w:t>
      </w:r>
      <w:r>
        <w:t xml:space="preserve"> covers tolls and user charges. Tolls are also known as distance-based charges and user charges are also known as </w:t>
      </w:r>
      <w:r w:rsidR="009D756B">
        <w:t>time-based charges or vignettes. Tolls are defined in Article</w:t>
      </w:r>
      <w:r w:rsidR="008D709A">
        <w:t> </w:t>
      </w:r>
      <w:r w:rsidR="009D756B">
        <w:t>2(1)</w:t>
      </w:r>
      <w:r w:rsidR="00753356">
        <w:t>, point</w:t>
      </w:r>
      <w:r w:rsidR="008D709A">
        <w:t> </w:t>
      </w:r>
      <w:r w:rsidR="009D756B">
        <w:t>(7)</w:t>
      </w:r>
      <w:r w:rsidR="00C07613">
        <w:t>,</w:t>
      </w:r>
      <w:r w:rsidR="00C712F0">
        <w:t xml:space="preserve"> of Directive</w:t>
      </w:r>
      <w:r w:rsidR="00753356">
        <w:t xml:space="preserve"> </w:t>
      </w:r>
      <w:r w:rsidR="00753356" w:rsidRPr="00753356">
        <w:t xml:space="preserve">1999/62/EC </w:t>
      </w:r>
      <w:r w:rsidR="00C712F0">
        <w:t xml:space="preserve">as the sum of at least one of the following three elements: an infrastructure charge, </w:t>
      </w:r>
      <w:r w:rsidR="00753356">
        <w:t xml:space="preserve">an </w:t>
      </w:r>
      <w:r w:rsidR="00C712F0">
        <w:t>externa</w:t>
      </w:r>
      <w:r w:rsidR="00753356">
        <w:t>l</w:t>
      </w:r>
      <w:r w:rsidR="00C712F0">
        <w:t xml:space="preserve">-cost </w:t>
      </w:r>
      <w:r w:rsidR="00EC156F">
        <w:t>charge,</w:t>
      </w:r>
      <w:r w:rsidR="00C712F0">
        <w:t xml:space="preserve"> and a congestion charge.</w:t>
      </w:r>
      <w:r w:rsidR="00753356">
        <w:t xml:space="preserve"> User charges are defined in Article</w:t>
      </w:r>
      <w:r w:rsidR="008D709A">
        <w:t> </w:t>
      </w:r>
      <w:r w:rsidR="00753356">
        <w:t>2(1), point</w:t>
      </w:r>
      <w:r w:rsidR="008D709A">
        <w:t> </w:t>
      </w:r>
      <w:r w:rsidR="00753356">
        <w:t xml:space="preserve">(16) </w:t>
      </w:r>
      <w:r w:rsidR="007720A2">
        <w:t xml:space="preserve">of the same </w:t>
      </w:r>
      <w:r w:rsidR="00E94300">
        <w:t>D</w:t>
      </w:r>
      <w:r w:rsidR="007720A2">
        <w:t xml:space="preserve">irective </w:t>
      </w:r>
      <w:r w:rsidR="00753356">
        <w:t xml:space="preserve">as </w:t>
      </w:r>
      <w:r w:rsidR="00753356" w:rsidRPr="00753356">
        <w:t xml:space="preserve">a specified amount </w:t>
      </w:r>
      <w:r w:rsidR="00C07613">
        <w:t>which, when paid,</w:t>
      </w:r>
      <w:r w:rsidR="00753356" w:rsidRPr="00753356">
        <w:t xml:space="preserve"> confers the right for a vehicle to use </w:t>
      </w:r>
      <w:r w:rsidR="00753356">
        <w:t>certain road infrastructure</w:t>
      </w:r>
      <w:r w:rsidR="00CB748E" w:rsidRPr="00CB748E">
        <w:t xml:space="preserve"> </w:t>
      </w:r>
      <w:r w:rsidR="00CB748E" w:rsidRPr="00753356">
        <w:t>for a given period</w:t>
      </w:r>
      <w:r w:rsidR="00753356">
        <w:t>.</w:t>
      </w:r>
    </w:p>
  </w:footnote>
  <w:footnote w:id="19">
    <w:p w:rsidR="00753356" w:rsidRPr="00992FD8" w:rsidRDefault="00753356" w:rsidP="00BF3F83">
      <w:pPr>
        <w:pStyle w:val="FootnoteText"/>
        <w:ind w:left="0" w:firstLine="0"/>
        <w:contextualSpacing/>
        <w:rPr>
          <w:lang w:val="en-IE"/>
        </w:rPr>
      </w:pPr>
      <w:r w:rsidRPr="00762A61">
        <w:rPr>
          <w:rStyle w:val="FootnoteReference"/>
        </w:rPr>
        <w:footnoteRef/>
      </w:r>
      <w:r w:rsidR="00762A61">
        <w:tab/>
      </w:r>
      <w:r w:rsidRPr="00753356">
        <w:t>Directive 1999/62/EC of the European Parliament and of the Council of 17</w:t>
      </w:r>
      <w:r w:rsidR="00DC5860">
        <w:t> </w:t>
      </w:r>
      <w:r w:rsidRPr="00753356">
        <w:t>June</w:t>
      </w:r>
      <w:r w:rsidR="00DC5860">
        <w:t> </w:t>
      </w:r>
      <w:r w:rsidRPr="00753356">
        <w:t>1999 on the charging of vehicles for the use of road infrastructures</w:t>
      </w:r>
      <w:r>
        <w:t xml:space="preserve"> (OJ</w:t>
      </w:r>
      <w:r w:rsidR="00F0686D">
        <w:t> </w:t>
      </w:r>
      <w:r>
        <w:t>L</w:t>
      </w:r>
      <w:r w:rsidR="00F0686D">
        <w:t> </w:t>
      </w:r>
      <w:r>
        <w:t>187, 20.7.1999, p.</w:t>
      </w:r>
      <w:r w:rsidR="00F0686D">
        <w:t> </w:t>
      </w:r>
      <w:r>
        <w:t xml:space="preserve">42, </w:t>
      </w:r>
      <w:r w:rsidRPr="00992FD8">
        <w:rPr>
          <w:lang w:val="en-IE"/>
        </w:rPr>
        <w:t>ELI:</w:t>
      </w:r>
      <w:r w:rsidR="00F0686D">
        <w:rPr>
          <w:lang w:val="en-IE"/>
        </w:rPr>
        <w:t> </w:t>
      </w:r>
      <w:hyperlink r:id="rId12" w:history="1">
        <w:r w:rsidRPr="00992FD8">
          <w:rPr>
            <w:rStyle w:val="Hyperlink"/>
            <w:lang w:val="en-IE"/>
          </w:rPr>
          <w:t>http://data.europa.eu/eli/dir/1999/62/oj</w:t>
        </w:r>
      </w:hyperlink>
      <w:r w:rsidRPr="00992FD8">
        <w:rPr>
          <w:lang w:val="en-IE"/>
        </w:rPr>
        <w:t>).</w:t>
      </w:r>
    </w:p>
  </w:footnote>
  <w:footnote w:id="20">
    <w:p w:rsidR="003A5561" w:rsidRPr="00D018D6" w:rsidRDefault="003A5561" w:rsidP="00BF3F83">
      <w:pPr>
        <w:pStyle w:val="FootnoteText"/>
        <w:ind w:left="0" w:firstLine="0"/>
        <w:contextualSpacing/>
        <w:rPr>
          <w:lang w:val="en-IE"/>
        </w:rPr>
      </w:pPr>
      <w:r w:rsidRPr="00762A61">
        <w:rPr>
          <w:rStyle w:val="FootnoteReference"/>
        </w:rPr>
        <w:footnoteRef/>
      </w:r>
      <w:r w:rsidR="00762A61">
        <w:tab/>
      </w:r>
      <w:r w:rsidRPr="00D018D6">
        <w:rPr>
          <w:lang w:val="en-IE"/>
        </w:rPr>
        <w:t>Article</w:t>
      </w:r>
      <w:r w:rsidR="008D709A">
        <w:rPr>
          <w:lang w:val="en-IE"/>
        </w:rPr>
        <w:t> </w:t>
      </w:r>
      <w:r w:rsidRPr="00D018D6">
        <w:rPr>
          <w:lang w:val="en-IE"/>
        </w:rPr>
        <w:t>7ga(3</w:t>
      </w:r>
      <w:r w:rsidRPr="00992FD8">
        <w:rPr>
          <w:lang w:val="en-IE"/>
        </w:rPr>
        <w:t>)</w:t>
      </w:r>
      <w:r w:rsidR="00C365A5">
        <w:rPr>
          <w:lang w:val="en-IE"/>
        </w:rPr>
        <w:t xml:space="preserve">(d) of </w:t>
      </w:r>
      <w:r w:rsidR="00C365A5" w:rsidRPr="00C365A5">
        <w:t>Directive 1999/62/EC</w:t>
      </w:r>
      <w:r w:rsidR="00C365A5">
        <w:t>.</w:t>
      </w:r>
    </w:p>
  </w:footnote>
  <w:footnote w:id="21">
    <w:p w:rsidR="008522C5" w:rsidRPr="00B5023B" w:rsidRDefault="008522C5" w:rsidP="00BF3F83">
      <w:pPr>
        <w:pStyle w:val="FootnoteText"/>
        <w:ind w:left="0" w:firstLine="0"/>
        <w:contextualSpacing/>
        <w:rPr>
          <w:lang w:val="en-IE"/>
        </w:rPr>
      </w:pPr>
      <w:r w:rsidRPr="00762A61">
        <w:rPr>
          <w:rStyle w:val="FootnoteReference"/>
        </w:rPr>
        <w:footnoteRef/>
      </w:r>
      <w:r w:rsidR="00762A61">
        <w:tab/>
      </w:r>
      <w:r>
        <w:rPr>
          <w:lang w:val="en-IE"/>
        </w:rPr>
        <w:t>Article</w:t>
      </w:r>
      <w:r w:rsidR="008D709A">
        <w:rPr>
          <w:lang w:val="en-IE"/>
        </w:rPr>
        <w:t> </w:t>
      </w:r>
      <w:r>
        <w:rPr>
          <w:lang w:val="en-IE"/>
        </w:rPr>
        <w:t>7c(1) and</w:t>
      </w:r>
      <w:r w:rsidRPr="00B5023B">
        <w:rPr>
          <w:lang w:val="en-IE"/>
        </w:rPr>
        <w:t xml:space="preserve"> Annex</w:t>
      </w:r>
      <w:r w:rsidR="008D709A">
        <w:rPr>
          <w:lang w:val="en-IE"/>
        </w:rPr>
        <w:t> </w:t>
      </w:r>
      <w:r w:rsidRPr="00B5023B">
        <w:rPr>
          <w:lang w:val="en-IE"/>
        </w:rPr>
        <w:t>IIIc</w:t>
      </w:r>
      <w:r w:rsidRPr="00C365A5">
        <w:rPr>
          <w:rFonts w:eastAsia="Arial Unicode MS"/>
          <w:lang w:val="en-IE"/>
        </w:rPr>
        <w:t xml:space="preserve"> of </w:t>
      </w:r>
      <w:r w:rsidRPr="00C365A5">
        <w:rPr>
          <w:rFonts w:eastAsia="Arial Unicode MS"/>
        </w:rPr>
        <w:t>Directive 1999/62/EC</w:t>
      </w:r>
      <w:r>
        <w:rPr>
          <w:rFonts w:eastAsia="Arial Unicode MS"/>
        </w:rPr>
        <w:t>.</w:t>
      </w:r>
      <w:r>
        <w:rPr>
          <w:lang w:val="en-IE"/>
        </w:rPr>
        <w:t xml:space="preserve"> </w:t>
      </w:r>
      <w:r>
        <w:t xml:space="preserve">As explained in </w:t>
      </w:r>
      <w:r w:rsidR="00F51ABB">
        <w:t xml:space="preserve">the explanatory memorandum to the </w:t>
      </w:r>
      <w:r>
        <w:t xml:space="preserve">proposal </w:t>
      </w:r>
      <w:r w:rsidR="00F51ABB">
        <w:t>for</w:t>
      </w:r>
      <w:r>
        <w:t xml:space="preserve"> </w:t>
      </w:r>
      <w:r w:rsidR="00F51ABB">
        <w:t xml:space="preserve">what would become </w:t>
      </w:r>
      <w:r>
        <w:t>Directive (EU) 2022/362</w:t>
      </w:r>
      <w:r w:rsidR="00F51ABB">
        <w:t xml:space="preserve"> (</w:t>
      </w:r>
      <w:r w:rsidR="00F51ABB" w:rsidRPr="008522C5">
        <w:t>COM(2017) 275 final</w:t>
      </w:r>
      <w:r w:rsidR="00F51ABB">
        <w:t>)</w:t>
      </w:r>
      <w:r>
        <w:t xml:space="preserve">, the values in the </w:t>
      </w:r>
      <w:r w:rsidR="00F51ABB">
        <w:t xml:space="preserve">Directive’s </w:t>
      </w:r>
      <w:r>
        <w:t xml:space="preserve">annexes are based on the </w:t>
      </w:r>
      <w:r w:rsidR="00F51ABB">
        <w:t>h</w:t>
      </w:r>
      <w:r w:rsidRPr="008522C5">
        <w:t>andbook on the external costs of transport</w:t>
      </w:r>
      <w:r>
        <w:t xml:space="preserve">. The values of Annex IIIc are calculated on </w:t>
      </w:r>
      <w:r w:rsidR="00F51ABB">
        <w:t xml:space="preserve">the basis of </w:t>
      </w:r>
      <w:r>
        <w:t>the figures presented in Table</w:t>
      </w:r>
      <w:r w:rsidR="008D709A">
        <w:t> </w:t>
      </w:r>
      <w:r>
        <w:t>24 of the study</w:t>
      </w:r>
      <w:r w:rsidR="00163ED5">
        <w:t xml:space="preserve"> available at:</w:t>
      </w:r>
      <w:r>
        <w:t xml:space="preserve"> </w:t>
      </w:r>
      <w:hyperlink r:id="rId13" w:history="1">
        <w:r w:rsidRPr="0055342B">
          <w:rPr>
            <w:rStyle w:val="Hyperlink"/>
          </w:rPr>
          <w:t>https://op.europa.eu/en/publication-detail/-/publication/9781f65f-8448-11ea-bf12-01aa75ed71a1/language-en</w:t>
        </w:r>
      </w:hyperlink>
      <w:r w:rsidR="00163ED5">
        <w:t>.</w:t>
      </w:r>
    </w:p>
  </w:footnote>
  <w:footnote w:id="22">
    <w:p w:rsidR="00403C1D" w:rsidRPr="00403C1D" w:rsidRDefault="00403C1D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>
        <w:t>Article</w:t>
      </w:r>
      <w:r w:rsidR="008D709A">
        <w:t> </w:t>
      </w:r>
      <w:r>
        <w:t xml:space="preserve">7ga(1), fifth subparagraph </w:t>
      </w:r>
      <w:r w:rsidRPr="00403C1D">
        <w:rPr>
          <w:lang w:val="en-IE"/>
        </w:rPr>
        <w:t xml:space="preserve">of </w:t>
      </w:r>
      <w:r w:rsidRPr="00403C1D">
        <w:t>Directive 1999/62/EC.</w:t>
      </w:r>
    </w:p>
  </w:footnote>
  <w:footnote w:id="23">
    <w:p w:rsidR="00403C1D" w:rsidRPr="00403C1D" w:rsidRDefault="00403C1D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>
        <w:t>Article</w:t>
      </w:r>
      <w:r w:rsidR="008D709A">
        <w:t> </w:t>
      </w:r>
      <w:r>
        <w:t xml:space="preserve">7cb(1) of </w:t>
      </w:r>
      <w:r w:rsidRPr="00403C1D">
        <w:t>Directive 1999/62/EC.</w:t>
      </w:r>
    </w:p>
  </w:footnote>
  <w:footnote w:id="24">
    <w:p w:rsidR="00A13798" w:rsidRPr="00D018D6" w:rsidRDefault="00A13798" w:rsidP="00BF3F83">
      <w:pPr>
        <w:pStyle w:val="FootnoteText"/>
        <w:ind w:left="0" w:firstLine="0"/>
        <w:contextualSpacing/>
        <w:rPr>
          <w:lang w:val="en-IE"/>
        </w:rPr>
      </w:pPr>
      <w:r w:rsidRPr="00762A61">
        <w:rPr>
          <w:rStyle w:val="FootnoteReference"/>
        </w:rPr>
        <w:footnoteRef/>
      </w:r>
      <w:r w:rsidR="00762A61">
        <w:tab/>
      </w:r>
      <w:hyperlink r:id="rId14" w:history="1">
        <w:r w:rsidR="00C34CCF" w:rsidRPr="00D018D6">
          <w:rPr>
            <w:rStyle w:val="Hyperlink"/>
            <w:lang w:val="en-IE"/>
          </w:rPr>
          <w:t>https://www.transportenvironment.org/uploads/files/202403_TE_Eurovignette_briefing_update.pdf</w:t>
        </w:r>
      </w:hyperlink>
      <w:r w:rsidR="00EA1EA5" w:rsidRPr="00403C1D">
        <w:t>.</w:t>
      </w:r>
    </w:p>
  </w:footnote>
  <w:footnote w:id="25">
    <w:p w:rsidR="00AA19B7" w:rsidRPr="00A618F9" w:rsidRDefault="00AA19B7" w:rsidP="00BF3F83">
      <w:pPr>
        <w:pStyle w:val="FootnoteText"/>
        <w:ind w:left="0" w:firstLine="0"/>
        <w:contextualSpacing/>
        <w:rPr>
          <w:lang w:val="en-IE"/>
        </w:rPr>
      </w:pPr>
      <w:r w:rsidRPr="00762A61">
        <w:rPr>
          <w:rStyle w:val="FootnoteReference"/>
        </w:rPr>
        <w:footnoteRef/>
      </w:r>
      <w:r w:rsidR="00762A61">
        <w:tab/>
      </w:r>
      <w:hyperlink r:id="rId15" w:history="1">
        <w:r w:rsidR="00C34CCF" w:rsidRPr="00C34CCF">
          <w:rPr>
            <w:rStyle w:val="Hyperlink"/>
            <w:lang w:val="en-IE"/>
          </w:rPr>
          <w:t>https://www.iru.org/resources/iru-library/alternative-vs-traditional-truck-powertrains-eu-total-cost-ownership-2024</w:t>
        </w:r>
      </w:hyperlink>
      <w:r w:rsidR="002607F3">
        <w:rPr>
          <w:lang w:val="en-IE"/>
        </w:rPr>
        <w:t xml:space="preserve"> </w:t>
      </w:r>
      <w:r w:rsidR="00D95572" w:rsidRPr="00A618F9">
        <w:rPr>
          <w:lang w:val="en-IE"/>
        </w:rPr>
        <w:t xml:space="preserve">and </w:t>
      </w:r>
      <w:hyperlink r:id="rId16" w:history="1">
        <w:r w:rsidR="002607F3" w:rsidRPr="004D56CE">
          <w:rPr>
            <w:rStyle w:val="Hyperlink"/>
            <w:lang w:val="en-IE"/>
          </w:rPr>
          <w:t>https://www.youtube.com/watch?v=ktaEN7do6pA</w:t>
        </w:r>
      </w:hyperlink>
      <w:r w:rsidR="00F0686D" w:rsidRPr="00403C1D">
        <w:t>.</w:t>
      </w:r>
    </w:p>
  </w:footnote>
  <w:footnote w:id="26">
    <w:p w:rsidR="00336E26" w:rsidRPr="00336E26" w:rsidRDefault="00336E26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>
        <w:t>Regulation (EU) 2019/1242 of the European Parliament and of the Council of 20</w:t>
      </w:r>
      <w:r w:rsidR="00DC5860">
        <w:t> </w:t>
      </w:r>
      <w:r>
        <w:t>June</w:t>
      </w:r>
      <w:r w:rsidR="00DC5860">
        <w:t> </w:t>
      </w:r>
      <w:r>
        <w:t>2019 setting CO</w:t>
      </w:r>
      <w:r w:rsidRPr="00707A56">
        <w:rPr>
          <w:vertAlign w:val="subscript"/>
        </w:rPr>
        <w:t>2</w:t>
      </w:r>
      <w:r>
        <w:t xml:space="preserve"> emission performance standards for new heavy-duty vehicles and amending Regulations (EC) No</w:t>
      </w:r>
      <w:r w:rsidR="00F0686D">
        <w:t> </w:t>
      </w:r>
      <w:r>
        <w:t>595/2009 and (EU) 2018/956 of the European Parliament and of the Council and Council Directive 96/53/EC (OJ</w:t>
      </w:r>
      <w:r w:rsidR="00F0686D">
        <w:t> </w:t>
      </w:r>
      <w:r>
        <w:t>L</w:t>
      </w:r>
      <w:r w:rsidR="00F0686D">
        <w:t> </w:t>
      </w:r>
      <w:r>
        <w:t>198, 25.7.2019, p.</w:t>
      </w:r>
      <w:r w:rsidR="00F0686D">
        <w:t> </w:t>
      </w:r>
      <w:r>
        <w:t>202, ELI:</w:t>
      </w:r>
      <w:r w:rsidR="00F0686D">
        <w:t> </w:t>
      </w:r>
      <w:hyperlink r:id="rId17" w:history="1">
        <w:r w:rsidRPr="00E02515">
          <w:rPr>
            <w:rStyle w:val="Hyperlink"/>
          </w:rPr>
          <w:t>http://data.europa.eu/eli/reg/2019/1242/oj</w:t>
        </w:r>
      </w:hyperlink>
      <w:r>
        <w:t xml:space="preserve">). </w:t>
      </w:r>
    </w:p>
  </w:footnote>
  <w:footnote w:id="27">
    <w:p w:rsidR="009774B5" w:rsidRDefault="009774B5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 w:rsidR="00471E74" w:rsidRPr="00471E74">
        <w:t>Directive 2003/87/EC of the European Parliament and of the Council of 13</w:t>
      </w:r>
      <w:r w:rsidR="00DC5860">
        <w:t> </w:t>
      </w:r>
      <w:r w:rsidR="00471E74" w:rsidRPr="00471E74">
        <w:t>October</w:t>
      </w:r>
      <w:r w:rsidR="00DC5860">
        <w:t> </w:t>
      </w:r>
      <w:r w:rsidR="00471E74" w:rsidRPr="00471E74">
        <w:t>2003 establishing a system for greenhouse gas emission allowance trading within the Union and amending Council Directive 96/61/EC</w:t>
      </w:r>
      <w:r w:rsidR="00471E74">
        <w:t xml:space="preserve"> </w:t>
      </w:r>
      <w:r w:rsidR="00336E26">
        <w:t>(</w:t>
      </w:r>
      <w:r w:rsidR="00471E74" w:rsidRPr="00471E74">
        <w:t>OJ</w:t>
      </w:r>
      <w:r w:rsidR="00F0686D">
        <w:t> </w:t>
      </w:r>
      <w:r w:rsidR="00471E74" w:rsidRPr="00471E74">
        <w:t>L</w:t>
      </w:r>
      <w:r w:rsidR="00F0686D">
        <w:t> </w:t>
      </w:r>
      <w:r w:rsidR="00471E74" w:rsidRPr="00471E74">
        <w:t>275 25.10.2003, p.</w:t>
      </w:r>
      <w:r w:rsidR="00F0686D">
        <w:t> </w:t>
      </w:r>
      <w:r w:rsidR="00471E74" w:rsidRPr="00471E74">
        <w:t>32</w:t>
      </w:r>
      <w:r w:rsidR="00471E74">
        <w:t xml:space="preserve">, </w:t>
      </w:r>
      <w:r w:rsidR="00471E74" w:rsidRPr="00471E74">
        <w:t>ELI:</w:t>
      </w:r>
      <w:r w:rsidR="00F0686D">
        <w:t> </w:t>
      </w:r>
      <w:hyperlink r:id="rId18" w:history="1">
        <w:r w:rsidR="00793D07" w:rsidRPr="00E65A14">
          <w:rPr>
            <w:rStyle w:val="Hyperlink"/>
          </w:rPr>
          <w:t>http://data.europa.eu/eli/dir/2003/87</w:t>
        </w:r>
      </w:hyperlink>
      <w:r w:rsidR="00336E26">
        <w:t>).</w:t>
      </w:r>
    </w:p>
  </w:footnote>
  <w:footnote w:id="28">
    <w:p w:rsidR="00471E74" w:rsidRDefault="00471E74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bookmarkStart w:id="2" w:name="_Hlk194737628"/>
      <w:r w:rsidR="00762A61">
        <w:tab/>
      </w:r>
      <w:r w:rsidRPr="00471E74">
        <w:t xml:space="preserve">Council Directive 2003/96/EC </w:t>
      </w:r>
      <w:bookmarkEnd w:id="2"/>
      <w:r w:rsidRPr="00471E74">
        <w:t>of 27</w:t>
      </w:r>
      <w:r w:rsidR="00DC5860">
        <w:t> </w:t>
      </w:r>
      <w:r w:rsidRPr="00471E74">
        <w:t>October</w:t>
      </w:r>
      <w:r w:rsidR="00DC5860">
        <w:t> </w:t>
      </w:r>
      <w:r w:rsidRPr="00471E74">
        <w:t>2003 restructuring the Community framework for the taxation of energy products and electricity</w:t>
      </w:r>
      <w:r>
        <w:t xml:space="preserve"> </w:t>
      </w:r>
      <w:r w:rsidR="00336E26">
        <w:t>(</w:t>
      </w:r>
      <w:r w:rsidRPr="00471E74">
        <w:t>OJ</w:t>
      </w:r>
      <w:r w:rsidR="00F0686D">
        <w:t> </w:t>
      </w:r>
      <w:r w:rsidRPr="00471E74">
        <w:t>L</w:t>
      </w:r>
      <w:r w:rsidR="00F0686D">
        <w:t> </w:t>
      </w:r>
      <w:r w:rsidRPr="00471E74">
        <w:t>283 31.10.2003, p.</w:t>
      </w:r>
      <w:r w:rsidR="00F0686D">
        <w:t> </w:t>
      </w:r>
      <w:r w:rsidRPr="00471E74">
        <w:t>51</w:t>
      </w:r>
      <w:r>
        <w:t xml:space="preserve">, </w:t>
      </w:r>
      <w:r w:rsidR="00793D07" w:rsidRPr="00793D07">
        <w:t>ELI:</w:t>
      </w:r>
      <w:r w:rsidR="00F0686D">
        <w:t> </w:t>
      </w:r>
      <w:hyperlink r:id="rId19" w:history="1">
        <w:r w:rsidR="00793D07" w:rsidRPr="00E65A14">
          <w:rPr>
            <w:rStyle w:val="Hyperlink"/>
          </w:rPr>
          <w:t>http://data.europa.eu/eli/dir/2003/96</w:t>
        </w:r>
      </w:hyperlink>
      <w:r w:rsidR="00336E26">
        <w:t>).</w:t>
      </w:r>
    </w:p>
  </w:footnote>
  <w:footnote w:id="29">
    <w:p w:rsidR="00793D07" w:rsidRDefault="00793D07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 w:rsidRPr="00793D07">
        <w:t>Regulation (EU) 2024/1679 of the European Parliament and of the Council of 13</w:t>
      </w:r>
      <w:r w:rsidR="00DC5860">
        <w:t> </w:t>
      </w:r>
      <w:r w:rsidRPr="00793D07">
        <w:t>June</w:t>
      </w:r>
      <w:r w:rsidR="00DC5860">
        <w:t> </w:t>
      </w:r>
      <w:r w:rsidRPr="00793D07">
        <w:t>2024 on Union guidelines for the development of the trans-European transport network, amending Regulations (EU) 2021/1153 and (EU) No</w:t>
      </w:r>
      <w:r w:rsidR="00F0686D">
        <w:t> </w:t>
      </w:r>
      <w:r w:rsidRPr="00793D07">
        <w:t>913/2010 and repealing Regulation (EU) No</w:t>
      </w:r>
      <w:r w:rsidR="00F0686D">
        <w:t> </w:t>
      </w:r>
      <w:r w:rsidRPr="00793D07">
        <w:t>1315/2013</w:t>
      </w:r>
      <w:r w:rsidR="00336E26">
        <w:t xml:space="preserve"> (</w:t>
      </w:r>
      <w:r w:rsidRPr="00793D07">
        <w:t>OJ</w:t>
      </w:r>
      <w:r w:rsidR="00F0686D">
        <w:t> </w:t>
      </w:r>
      <w:r w:rsidRPr="00793D07">
        <w:t>L, 2024/1679, 28.6.2024, ELI:</w:t>
      </w:r>
      <w:r w:rsidR="00F0686D">
        <w:t> </w:t>
      </w:r>
      <w:hyperlink r:id="rId20" w:history="1">
        <w:r w:rsidRPr="00E65A14">
          <w:rPr>
            <w:rStyle w:val="Hyperlink"/>
          </w:rPr>
          <w:t>http://data.europa.eu/eli/reg/2024/1679/oj</w:t>
        </w:r>
      </w:hyperlink>
      <w:r w:rsidR="00336E26">
        <w:t>).</w:t>
      </w:r>
    </w:p>
  </w:footnote>
  <w:footnote w:id="30">
    <w:p w:rsidR="00793D07" w:rsidRDefault="00793D07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 w:rsidR="00104AE6" w:rsidRPr="00104AE6">
        <w:t>Regulation (EU) 2023/1804 of the European Parliament and of the Council of 13</w:t>
      </w:r>
      <w:r w:rsidR="00DC5860">
        <w:t> </w:t>
      </w:r>
      <w:r w:rsidR="00104AE6" w:rsidRPr="00104AE6">
        <w:t>September</w:t>
      </w:r>
      <w:r w:rsidR="00DC5860">
        <w:t> </w:t>
      </w:r>
      <w:r w:rsidR="00104AE6" w:rsidRPr="00104AE6">
        <w:t>2023 on the deployment of alternative fuels infrastructure, and repealing Directive 2014/94/EU</w:t>
      </w:r>
      <w:r w:rsidR="00104AE6">
        <w:t xml:space="preserve"> </w:t>
      </w:r>
      <w:r w:rsidR="00FF7E04">
        <w:t>(</w:t>
      </w:r>
      <w:r w:rsidR="00104AE6" w:rsidRPr="00104AE6">
        <w:t>OJ</w:t>
      </w:r>
      <w:r w:rsidR="008D709A">
        <w:t> </w:t>
      </w:r>
      <w:r w:rsidR="00104AE6" w:rsidRPr="00104AE6">
        <w:t>L</w:t>
      </w:r>
      <w:r w:rsidR="008D709A">
        <w:t> </w:t>
      </w:r>
      <w:r w:rsidR="00104AE6" w:rsidRPr="00104AE6">
        <w:t>234, 22.9.2023, p.</w:t>
      </w:r>
      <w:r w:rsidR="008D709A">
        <w:t> </w:t>
      </w:r>
      <w:r w:rsidR="00104AE6" w:rsidRPr="00104AE6">
        <w:t>1</w:t>
      </w:r>
      <w:r w:rsidR="00104AE6">
        <w:t xml:space="preserve">, </w:t>
      </w:r>
      <w:r w:rsidR="00104AE6" w:rsidRPr="00104AE6">
        <w:t>ELI:</w:t>
      </w:r>
      <w:r w:rsidR="00F0686D">
        <w:t> </w:t>
      </w:r>
      <w:hyperlink r:id="rId21" w:history="1">
        <w:r w:rsidR="00104AE6" w:rsidRPr="00E65A14">
          <w:rPr>
            <w:rStyle w:val="Hyperlink"/>
          </w:rPr>
          <w:t>http://data.europa.eu/eli/reg/2023/1804/oj</w:t>
        </w:r>
      </w:hyperlink>
      <w:r w:rsidR="00FF7E04">
        <w:t>).</w:t>
      </w:r>
    </w:p>
  </w:footnote>
  <w:footnote w:id="31">
    <w:p w:rsidR="00364609" w:rsidRDefault="00364609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 w:rsidR="003E1570">
        <w:t>In 2023</w:t>
      </w:r>
      <w:r w:rsidR="003E1570" w:rsidRPr="00D77C3C">
        <w:t xml:space="preserve">, </w:t>
      </w:r>
      <w:r w:rsidR="004A1C51" w:rsidRPr="00D77C3C">
        <w:t>44.7% of electricity</w:t>
      </w:r>
      <w:r w:rsidR="004A1C51">
        <w:t xml:space="preserve"> production </w:t>
      </w:r>
      <w:r w:rsidR="003E1570">
        <w:t>came</w:t>
      </w:r>
      <w:r w:rsidR="004A1C51">
        <w:t xml:space="preserve"> from renewable energy sources</w:t>
      </w:r>
      <w:r w:rsidR="00D77C3C">
        <w:t xml:space="preserve"> and</w:t>
      </w:r>
      <w:r w:rsidR="004A1C51">
        <w:t xml:space="preserve"> </w:t>
      </w:r>
      <w:r w:rsidR="00D77C3C">
        <w:t xml:space="preserve">32.5% came from </w:t>
      </w:r>
      <w:r w:rsidR="004A1C51">
        <w:t>fossil fuels</w:t>
      </w:r>
      <w:r w:rsidR="00D77C3C">
        <w:t xml:space="preserve"> </w:t>
      </w:r>
      <w:hyperlink r:id="rId22" w:history="1">
        <w:r w:rsidR="004A1C51" w:rsidRPr="004A1C51">
          <w:rPr>
            <w:rStyle w:val="Hyperlink"/>
          </w:rPr>
          <w:t>https://ec.europa.eu/eurostat/web/products-eurostat-news/w/ddn-20240627-1</w:t>
        </w:r>
      </w:hyperlink>
      <w:r w:rsidR="00E0758C">
        <w:t>.</w:t>
      </w:r>
    </w:p>
  </w:footnote>
  <w:footnote w:id="32">
    <w:p w:rsidR="00D76FC2" w:rsidRDefault="00D76FC2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 w:rsidR="00F0686D">
        <w:t>Communication from the Commission to the European Parliament, the Council, the Euro</w:t>
      </w:r>
      <w:r w:rsidR="000F6496">
        <w:t>p</w:t>
      </w:r>
      <w:r w:rsidR="00F0686D">
        <w:t>ean Economic and Social Committee and the Committee of the Regions</w:t>
      </w:r>
      <w:r w:rsidR="00E0758C">
        <w:t>:</w:t>
      </w:r>
      <w:r w:rsidRPr="00D76FC2">
        <w:t xml:space="preserve"> </w:t>
      </w:r>
      <w:r w:rsidRPr="00F0686D">
        <w:t xml:space="preserve">Grids, the missing link </w:t>
      </w:r>
      <w:r w:rsidR="00F0686D" w:rsidRPr="00F0686D">
        <w:t>–</w:t>
      </w:r>
      <w:r w:rsidRPr="00F0686D">
        <w:t xml:space="preserve"> An</w:t>
      </w:r>
      <w:r w:rsidRPr="00D76FC2">
        <w:t xml:space="preserve"> EU Action Plan for Grids</w:t>
      </w:r>
      <w:r>
        <w:t xml:space="preserve">, </w:t>
      </w:r>
      <w:r w:rsidR="00116592" w:rsidRPr="00116592">
        <w:t>COM(2023)</w:t>
      </w:r>
      <w:r w:rsidR="008D709A">
        <w:t> </w:t>
      </w:r>
      <w:r w:rsidR="00116592" w:rsidRPr="00116592">
        <w:t>757</w:t>
      </w:r>
      <w:r w:rsidR="00AC7F4A">
        <w:t> </w:t>
      </w:r>
      <w:r w:rsidR="00116592" w:rsidRPr="00116592">
        <w:t>final</w:t>
      </w:r>
      <w:r w:rsidR="00E0758C">
        <w:t>.</w:t>
      </w:r>
      <w:r w:rsidR="000F6496">
        <w:t xml:space="preserve"> </w:t>
      </w:r>
      <w:hyperlink r:id="rId23" w:history="1">
        <w:r w:rsidR="00CF564C" w:rsidRPr="0045581D">
          <w:rPr>
            <w:rStyle w:val="Hyperlink"/>
          </w:rPr>
          <w:t>https://eur-lex.europa.eu/legal-content/EN/TXT/?uri=COM%3A2023%3A757%3AFIN&amp;qid=1701167355682</w:t>
        </w:r>
      </w:hyperlink>
    </w:p>
  </w:footnote>
  <w:footnote w:id="33">
    <w:p w:rsidR="00711FA0" w:rsidRPr="005A6476" w:rsidRDefault="00711FA0" w:rsidP="00BF3F83">
      <w:pPr>
        <w:pStyle w:val="FootnoteText"/>
        <w:ind w:left="0" w:firstLine="0"/>
        <w:contextualSpacing/>
        <w:rPr>
          <w:lang w:val="en-IE"/>
        </w:rPr>
      </w:pPr>
      <w:r w:rsidRPr="00762A61">
        <w:rPr>
          <w:rStyle w:val="FootnoteReference"/>
        </w:rPr>
        <w:footnoteRef/>
      </w:r>
      <w:r w:rsidR="00762A61">
        <w:rPr>
          <w:lang w:val="en-IE"/>
        </w:rPr>
        <w:tab/>
      </w:r>
      <w:r w:rsidR="00F0686D">
        <w:rPr>
          <w:lang w:val="en-IE"/>
        </w:rPr>
        <w:t>Impact assessment a</w:t>
      </w:r>
      <w:r w:rsidRPr="005A6476">
        <w:rPr>
          <w:lang w:val="en-IE"/>
        </w:rPr>
        <w:t xml:space="preserve">ccompanying the </w:t>
      </w:r>
      <w:r w:rsidR="00F0686D">
        <w:rPr>
          <w:lang w:val="en-IE"/>
        </w:rPr>
        <w:t>p</w:t>
      </w:r>
      <w:r w:rsidRPr="005A6476">
        <w:rPr>
          <w:lang w:val="en-IE"/>
        </w:rPr>
        <w:t xml:space="preserve">roposal for a </w:t>
      </w:r>
      <w:r w:rsidR="00F0686D">
        <w:rPr>
          <w:lang w:val="en-IE"/>
        </w:rPr>
        <w:t>d</w:t>
      </w:r>
      <w:r w:rsidRPr="005A6476">
        <w:rPr>
          <w:lang w:val="en-IE"/>
        </w:rPr>
        <w:t>irective of the European Parliament and of the Council amending Directive 1999/62/EC on the charging of heavy goods vehicles for the use of certain infrastructures</w:t>
      </w:r>
      <w:r>
        <w:rPr>
          <w:lang w:val="en-IE"/>
        </w:rPr>
        <w:t xml:space="preserve"> </w:t>
      </w:r>
      <w:r w:rsidRPr="005A6476">
        <w:rPr>
          <w:lang w:val="en-IE"/>
        </w:rPr>
        <w:t>and</w:t>
      </w:r>
      <w:r>
        <w:rPr>
          <w:lang w:val="en-IE"/>
        </w:rPr>
        <w:t xml:space="preserve"> </w:t>
      </w:r>
      <w:r w:rsidR="00DA04CE">
        <w:rPr>
          <w:lang w:val="en-IE"/>
        </w:rPr>
        <w:t>the p</w:t>
      </w:r>
      <w:r w:rsidRPr="005A6476">
        <w:rPr>
          <w:lang w:val="en-IE"/>
        </w:rPr>
        <w:t xml:space="preserve">roposal for a Council </w:t>
      </w:r>
      <w:r w:rsidR="00DA04CE">
        <w:rPr>
          <w:lang w:val="en-IE"/>
        </w:rPr>
        <w:t>d</w:t>
      </w:r>
      <w:r w:rsidRPr="005A6476">
        <w:rPr>
          <w:lang w:val="en-IE"/>
        </w:rPr>
        <w:t>irective amending Directive 1999/62/EC on the charging of heavy goods vehicles for the use of certain infrastructures, as regards certain provisions on vehicle taxation</w:t>
      </w:r>
      <w:r>
        <w:rPr>
          <w:lang w:val="en-IE"/>
        </w:rPr>
        <w:t xml:space="preserve"> (</w:t>
      </w:r>
      <w:r w:rsidRPr="00C027D4">
        <w:t>SWD(2017)</w:t>
      </w:r>
      <w:r w:rsidR="00F0686D">
        <w:t> </w:t>
      </w:r>
      <w:r w:rsidRPr="00C027D4">
        <w:t>180</w:t>
      </w:r>
      <w:r>
        <w:t>)</w:t>
      </w:r>
      <w:r w:rsidR="00845DE3">
        <w:t>, available at</w:t>
      </w:r>
      <w:r>
        <w:t xml:space="preserve"> </w:t>
      </w:r>
      <w:hyperlink r:id="rId24" w:history="1">
        <w:r w:rsidRPr="00A3453A">
          <w:rPr>
            <w:rStyle w:val="Hyperlink"/>
          </w:rPr>
          <w:t>https://eur-lex.europa.eu/legal-content/EN/ALL/?uri=SWD:2017:180:FIN</w:t>
        </w:r>
      </w:hyperlink>
      <w:r w:rsidR="00845DE3">
        <w:t>.</w:t>
      </w:r>
    </w:p>
  </w:footnote>
  <w:footnote w:id="34">
    <w:p w:rsidR="001817AC" w:rsidRPr="00707A56" w:rsidRDefault="001817AC" w:rsidP="00707A56">
      <w:pPr>
        <w:pStyle w:val="FootnoteText"/>
        <w:ind w:left="0" w:firstLine="0"/>
        <w:rPr>
          <w:lang w:val="en-IE"/>
        </w:rPr>
      </w:pPr>
      <w:r w:rsidRPr="00762A61">
        <w:rPr>
          <w:rStyle w:val="FootnoteReference"/>
        </w:rPr>
        <w:footnoteRef/>
      </w:r>
      <w:r w:rsidR="00762A61">
        <w:tab/>
      </w:r>
      <w:r w:rsidR="00790491" w:rsidRPr="00707A56">
        <w:rPr>
          <w:lang w:val="en-IE"/>
        </w:rPr>
        <w:t>Article 7ga(4) re</w:t>
      </w:r>
      <w:r w:rsidR="00790491">
        <w:rPr>
          <w:lang w:val="en-IE"/>
        </w:rPr>
        <w:t xml:space="preserve">quires that </w:t>
      </w:r>
      <w:r w:rsidR="00EB1A15">
        <w:rPr>
          <w:lang w:val="en-IE"/>
        </w:rPr>
        <w:t xml:space="preserve">toll variations that are based on that Article </w:t>
      </w:r>
      <w:r w:rsidR="00894792">
        <w:rPr>
          <w:lang w:val="en-IE"/>
        </w:rPr>
        <w:t xml:space="preserve">must not </w:t>
      </w:r>
      <w:r w:rsidR="00894792" w:rsidRPr="00894792">
        <w:rPr>
          <w:lang w:val="en-IE"/>
        </w:rPr>
        <w:t>be designed to generate</w:t>
      </w:r>
      <w:r w:rsidR="00894792">
        <w:rPr>
          <w:lang w:val="en-IE"/>
        </w:rPr>
        <w:t xml:space="preserve"> </w:t>
      </w:r>
      <w:r w:rsidR="00894792" w:rsidRPr="00894792">
        <w:rPr>
          <w:lang w:val="en-IE"/>
        </w:rPr>
        <w:t>additional revenues</w:t>
      </w:r>
      <w:r w:rsidR="00894792">
        <w:rPr>
          <w:lang w:val="en-IE"/>
        </w:rPr>
        <w:t xml:space="preserve">. This means that </w:t>
      </w:r>
      <w:r w:rsidR="00D4232F">
        <w:rPr>
          <w:lang w:val="en-IE"/>
        </w:rPr>
        <w:t xml:space="preserve">Member States </w:t>
      </w:r>
      <w:r w:rsidR="00D9457A">
        <w:rPr>
          <w:lang w:val="en-IE"/>
        </w:rPr>
        <w:t xml:space="preserve">have the </w:t>
      </w:r>
      <w:r w:rsidR="004345F0">
        <w:rPr>
          <w:lang w:val="en-IE"/>
        </w:rPr>
        <w:t>possibility</w:t>
      </w:r>
      <w:r w:rsidR="00D9457A">
        <w:rPr>
          <w:lang w:val="en-IE"/>
        </w:rPr>
        <w:t xml:space="preserve"> to recover </w:t>
      </w:r>
      <w:r w:rsidR="00CA0BC8">
        <w:rPr>
          <w:lang w:val="en-IE"/>
        </w:rPr>
        <w:t xml:space="preserve">foregone revenues due to reductions or exemptions </w:t>
      </w:r>
      <w:r w:rsidR="00AC58AE">
        <w:rPr>
          <w:lang w:val="en-IE"/>
        </w:rPr>
        <w:t>granted to</w:t>
      </w:r>
      <w:r w:rsidR="00CA0BC8">
        <w:rPr>
          <w:lang w:val="en-IE"/>
        </w:rPr>
        <w:t xml:space="preserve"> cleaner vehicles </w:t>
      </w:r>
      <w:r w:rsidR="00D9457A">
        <w:rPr>
          <w:lang w:val="en-IE"/>
        </w:rPr>
        <w:t>with</w:t>
      </w:r>
      <w:r w:rsidR="000B53C3">
        <w:rPr>
          <w:lang w:val="en-IE"/>
        </w:rPr>
        <w:t xml:space="preserve"> higher charges on other vehicles</w:t>
      </w:r>
      <w:r w:rsidR="00AC58AE">
        <w:rPr>
          <w:lang w:val="en-IE"/>
        </w:rPr>
        <w:t>.</w:t>
      </w:r>
    </w:p>
  </w:footnote>
  <w:footnote w:id="35">
    <w:p w:rsidR="005A16D8" w:rsidRPr="008D15A7" w:rsidRDefault="005A16D8" w:rsidP="00BF3F83">
      <w:pPr>
        <w:pStyle w:val="FootnoteText"/>
        <w:ind w:left="0" w:firstLine="0"/>
        <w:contextualSpacing/>
        <w:rPr>
          <w:lang w:val="en-IE"/>
        </w:rPr>
      </w:pPr>
      <w:r w:rsidRPr="00762A61">
        <w:rPr>
          <w:rStyle w:val="FootnoteReference"/>
        </w:rPr>
        <w:footnoteRef/>
      </w:r>
      <w:r w:rsidR="00762A61">
        <w:tab/>
      </w:r>
      <w:r w:rsidRPr="00C2482A">
        <w:rPr>
          <w:lang w:val="en-IE"/>
        </w:rPr>
        <w:t xml:space="preserve">See </w:t>
      </w:r>
      <w:r w:rsidRPr="00C0497D">
        <w:rPr>
          <w:lang w:val="en-IE"/>
        </w:rPr>
        <w:t>footnote 11</w:t>
      </w:r>
      <w:r w:rsidR="00534191" w:rsidRPr="00C2482A">
        <w:rPr>
          <w:lang w:val="en-IE"/>
        </w:rPr>
        <w:t>.</w:t>
      </w:r>
    </w:p>
  </w:footnote>
  <w:footnote w:id="36">
    <w:p w:rsidR="00FA136F" w:rsidRPr="0049534B" w:rsidRDefault="00FA136F" w:rsidP="00FA136F">
      <w:pPr>
        <w:pStyle w:val="FootnoteText"/>
        <w:rPr>
          <w:lang w:val="en-IE"/>
        </w:rPr>
      </w:pPr>
      <w:r w:rsidRPr="00762A61">
        <w:rPr>
          <w:rStyle w:val="FootnoteReference"/>
        </w:rPr>
        <w:footnoteRef/>
      </w:r>
      <w:r w:rsidR="00762A61">
        <w:tab/>
      </w:r>
      <w:r w:rsidRPr="002243ED">
        <w:t>COM(2025)260</w:t>
      </w:r>
    </w:p>
  </w:footnote>
  <w:footnote w:id="37">
    <w:p w:rsidR="008E70C2" w:rsidRPr="003229C1" w:rsidRDefault="008E70C2" w:rsidP="00BF3F83">
      <w:pPr>
        <w:pStyle w:val="FootnoteText"/>
        <w:ind w:left="0" w:firstLine="0"/>
        <w:contextualSpacing/>
        <w:rPr>
          <w:lang w:val="pl-PL"/>
        </w:rPr>
      </w:pPr>
      <w:r w:rsidRPr="00762A61">
        <w:rPr>
          <w:rStyle w:val="FootnoteReference"/>
        </w:rPr>
        <w:footnoteRef/>
      </w:r>
      <w:r w:rsidR="00762A61">
        <w:rPr>
          <w:lang w:val="pl-PL"/>
        </w:rPr>
        <w:tab/>
      </w:r>
      <w:r w:rsidRPr="003229C1">
        <w:rPr>
          <w:lang w:val="pl-PL"/>
        </w:rPr>
        <w:t>OJ</w:t>
      </w:r>
      <w:r w:rsidR="008D709A" w:rsidRPr="003229C1">
        <w:rPr>
          <w:lang w:val="pl-PL"/>
        </w:rPr>
        <w:t> </w:t>
      </w:r>
      <w:r w:rsidRPr="003229C1">
        <w:rPr>
          <w:lang w:val="pl-PL"/>
        </w:rPr>
        <w:t>C , , p.</w:t>
      </w:r>
      <w:r w:rsidR="008D709A" w:rsidRPr="003229C1">
        <w:rPr>
          <w:lang w:val="pl-PL"/>
        </w:rPr>
        <w:t> </w:t>
      </w:r>
      <w:r w:rsidRPr="003229C1">
        <w:rPr>
          <w:lang w:val="pl-PL"/>
        </w:rPr>
        <w:t>.</w:t>
      </w:r>
    </w:p>
  </w:footnote>
  <w:footnote w:id="38">
    <w:p w:rsidR="008E70C2" w:rsidRPr="00707A56" w:rsidRDefault="008E70C2" w:rsidP="00BF3F83">
      <w:pPr>
        <w:pStyle w:val="FootnoteText"/>
        <w:ind w:left="0" w:firstLine="0"/>
        <w:contextualSpacing/>
        <w:rPr>
          <w:lang w:val="es-ES"/>
        </w:rPr>
      </w:pPr>
      <w:r w:rsidRPr="00762A61">
        <w:rPr>
          <w:rStyle w:val="FootnoteReference"/>
        </w:rPr>
        <w:footnoteRef/>
      </w:r>
      <w:r w:rsidR="00762A61">
        <w:rPr>
          <w:lang w:val="es-ES"/>
        </w:rPr>
        <w:tab/>
      </w:r>
      <w:r w:rsidRPr="00707A56">
        <w:rPr>
          <w:lang w:val="es-ES"/>
        </w:rPr>
        <w:t>OJ</w:t>
      </w:r>
      <w:r w:rsidR="008D709A" w:rsidRPr="00707A56">
        <w:rPr>
          <w:lang w:val="es-ES"/>
        </w:rPr>
        <w:t> </w:t>
      </w:r>
      <w:r w:rsidRPr="00707A56">
        <w:rPr>
          <w:lang w:val="es-ES"/>
        </w:rPr>
        <w:t>C , , p.</w:t>
      </w:r>
      <w:r w:rsidR="008D709A" w:rsidRPr="00707A56">
        <w:rPr>
          <w:lang w:val="es-ES"/>
        </w:rPr>
        <w:t> </w:t>
      </w:r>
      <w:r w:rsidRPr="00707A56">
        <w:rPr>
          <w:lang w:val="es-ES"/>
        </w:rPr>
        <w:t>.</w:t>
      </w:r>
    </w:p>
  </w:footnote>
  <w:footnote w:id="39">
    <w:p w:rsidR="00666E43" w:rsidRPr="00A93BD0" w:rsidRDefault="00666E43" w:rsidP="00666E43">
      <w:pPr>
        <w:pStyle w:val="FootnoteText"/>
      </w:pPr>
      <w:r w:rsidRPr="00762A61">
        <w:rPr>
          <w:rStyle w:val="FootnoteReference"/>
        </w:rPr>
        <w:footnoteRef/>
      </w:r>
      <w:r w:rsidR="00762A61">
        <w:tab/>
      </w:r>
      <w:r w:rsidRPr="00A93BD0">
        <w:t>COM</w:t>
      </w:r>
      <w:r>
        <w:t>(</w:t>
      </w:r>
      <w:r w:rsidRPr="00A93BD0">
        <w:t>2020</w:t>
      </w:r>
      <w:r>
        <w:t>)</w:t>
      </w:r>
      <w:r w:rsidRPr="00A93BD0">
        <w:t>789</w:t>
      </w:r>
    </w:p>
  </w:footnote>
  <w:footnote w:id="40">
    <w:p w:rsidR="00907D49" w:rsidRPr="00907D49" w:rsidRDefault="00907D49" w:rsidP="00BF3F83">
      <w:pPr>
        <w:pStyle w:val="FootnoteText"/>
        <w:ind w:left="0" w:firstLine="0"/>
        <w:contextualSpacing/>
      </w:pPr>
      <w:r w:rsidRPr="00762A61">
        <w:rPr>
          <w:rStyle w:val="FootnoteReference"/>
        </w:rPr>
        <w:footnoteRef/>
      </w:r>
      <w:r w:rsidR="00762A61">
        <w:tab/>
      </w:r>
      <w:r w:rsidRPr="00907D49">
        <w:t>Directive (EU) 2022/362 of the European Parliament and of the Council of 24</w:t>
      </w:r>
      <w:r w:rsidR="00F0686D">
        <w:t> </w:t>
      </w:r>
      <w:r w:rsidRPr="00907D49">
        <w:t>February</w:t>
      </w:r>
      <w:r w:rsidR="00F0686D">
        <w:t> </w:t>
      </w:r>
      <w:r w:rsidRPr="00907D49">
        <w:t>2022 amending Directives 1999/62/EC, 1999/37/EC and (EU) 2019/520, as regards the charging of vehicles for the use of certain infrastructures (OJ</w:t>
      </w:r>
      <w:r w:rsidR="008D709A">
        <w:t> </w:t>
      </w:r>
      <w:r w:rsidRPr="00907D49">
        <w:t>L</w:t>
      </w:r>
      <w:r w:rsidR="008D709A">
        <w:t> </w:t>
      </w:r>
      <w:r w:rsidRPr="00907D49">
        <w:t>69, 4.3.2022, p. 1, ELI:</w:t>
      </w:r>
      <w:r w:rsidR="00F0686D">
        <w:t> </w:t>
      </w:r>
      <w:hyperlink r:id="rId25" w:history="1">
        <w:r w:rsidRPr="00907D49">
          <w:rPr>
            <w:rStyle w:val="Hyperlink"/>
          </w:rPr>
          <w:t>http://data.europa.eu/eli/dir/2022/362/oj</w:t>
        </w:r>
      </w:hyperlink>
      <w:r w:rsidRPr="00707A56">
        <w:t>)</w:t>
      </w:r>
      <w:r w:rsidRPr="00907D49">
        <w:t>.</w:t>
      </w:r>
    </w:p>
  </w:footnote>
  <w:footnote w:id="41">
    <w:p w:rsidR="00907D49" w:rsidRPr="00992FD8" w:rsidRDefault="00907D49" w:rsidP="00BF3F83">
      <w:pPr>
        <w:pStyle w:val="FootnoteText"/>
        <w:ind w:left="0" w:firstLine="0"/>
        <w:contextualSpacing/>
        <w:rPr>
          <w:lang w:val="en-IE"/>
        </w:rPr>
      </w:pPr>
      <w:r w:rsidRPr="00762A61">
        <w:rPr>
          <w:rStyle w:val="FootnoteReference"/>
        </w:rPr>
        <w:footnoteRef/>
      </w:r>
      <w:r w:rsidR="00762A61">
        <w:tab/>
      </w:r>
      <w:r w:rsidRPr="00753356">
        <w:t>Directive 1999/62/EC of the European Parliament and of the Council of 17</w:t>
      </w:r>
      <w:r w:rsidR="008D709A">
        <w:t> </w:t>
      </w:r>
      <w:r w:rsidRPr="00753356">
        <w:t>June</w:t>
      </w:r>
      <w:r w:rsidR="008D709A">
        <w:t> </w:t>
      </w:r>
      <w:r w:rsidRPr="00753356">
        <w:t>1999 on the charging of vehicles for the use of road infrastructures</w:t>
      </w:r>
      <w:r>
        <w:t xml:space="preserve"> (OJ</w:t>
      </w:r>
      <w:r w:rsidR="00F0686D">
        <w:t> </w:t>
      </w:r>
      <w:r>
        <w:t>L</w:t>
      </w:r>
      <w:r w:rsidR="00F0686D">
        <w:t> </w:t>
      </w:r>
      <w:r>
        <w:t>187, 20.7.1999, p.</w:t>
      </w:r>
      <w:r w:rsidR="00F0686D">
        <w:t> </w:t>
      </w:r>
      <w:r>
        <w:t xml:space="preserve">42, </w:t>
      </w:r>
      <w:r w:rsidRPr="00992FD8">
        <w:rPr>
          <w:lang w:val="en-IE"/>
        </w:rPr>
        <w:t>ELI:</w:t>
      </w:r>
      <w:r w:rsidR="00F0686D">
        <w:rPr>
          <w:lang w:val="en-IE"/>
        </w:rPr>
        <w:t> </w:t>
      </w:r>
      <w:hyperlink r:id="rId26" w:history="1">
        <w:r w:rsidRPr="00992FD8">
          <w:rPr>
            <w:rStyle w:val="Hyperlink"/>
            <w:lang w:val="en-IE"/>
          </w:rPr>
          <w:t>http://data.europa.eu/eli/dir/1999/62/oj</w:t>
        </w:r>
      </w:hyperlink>
      <w:r w:rsidRPr="00992FD8">
        <w:rPr>
          <w:lang w:val="en-IE"/>
        </w:rPr>
        <w:t xml:space="preserve">). </w:t>
      </w:r>
    </w:p>
  </w:footnote>
  <w:footnote w:id="42">
    <w:p w:rsidR="000F15B0" w:rsidRDefault="000F15B0" w:rsidP="00707A56">
      <w:pPr>
        <w:spacing w:before="0" w:after="0"/>
        <w:contextualSpacing/>
      </w:pPr>
      <w:r w:rsidRPr="00762A61">
        <w:rPr>
          <w:rStyle w:val="FootnoteReference"/>
        </w:rPr>
        <w:footnoteRef/>
      </w:r>
      <w:r w:rsidR="00762A61">
        <w:tab/>
      </w:r>
      <w:r w:rsidRPr="000F15B0">
        <w:rPr>
          <w:sz w:val="20"/>
          <w:szCs w:val="20"/>
        </w:rPr>
        <w:t>Regulation (EU) 2019/1242 of the European Parliament and of the Council of 20</w:t>
      </w:r>
      <w:r w:rsidR="00F0686D">
        <w:rPr>
          <w:sz w:val="20"/>
          <w:szCs w:val="20"/>
        </w:rPr>
        <w:t> </w:t>
      </w:r>
      <w:r w:rsidRPr="000F15B0">
        <w:rPr>
          <w:sz w:val="20"/>
          <w:szCs w:val="20"/>
        </w:rPr>
        <w:t>June</w:t>
      </w:r>
      <w:r w:rsidR="00F0686D">
        <w:rPr>
          <w:sz w:val="20"/>
          <w:szCs w:val="20"/>
        </w:rPr>
        <w:t> </w:t>
      </w:r>
      <w:r w:rsidRPr="000F15B0">
        <w:rPr>
          <w:sz w:val="20"/>
          <w:szCs w:val="20"/>
        </w:rPr>
        <w:t>2019 setting CO</w:t>
      </w:r>
      <w:r w:rsidRPr="00707A56">
        <w:rPr>
          <w:sz w:val="20"/>
          <w:szCs w:val="20"/>
          <w:vertAlign w:val="subscript"/>
        </w:rPr>
        <w:t>2</w:t>
      </w:r>
      <w:r w:rsidRPr="000F15B0">
        <w:rPr>
          <w:sz w:val="20"/>
          <w:szCs w:val="20"/>
        </w:rPr>
        <w:t xml:space="preserve"> emission performance standards for new heavy-duty vehicles and amending Regulations (EC) No</w:t>
      </w:r>
      <w:r w:rsidR="00F0686D">
        <w:rPr>
          <w:sz w:val="20"/>
          <w:szCs w:val="20"/>
        </w:rPr>
        <w:t> </w:t>
      </w:r>
      <w:r w:rsidRPr="000F15B0">
        <w:rPr>
          <w:sz w:val="20"/>
          <w:szCs w:val="20"/>
        </w:rPr>
        <w:t>595/2009 and (EU) 2018/956 of the European Parliament and of the Council and Council Directive 96/53/EC (OJ</w:t>
      </w:r>
      <w:r w:rsidR="00F0686D">
        <w:rPr>
          <w:sz w:val="20"/>
          <w:szCs w:val="20"/>
        </w:rPr>
        <w:t> </w:t>
      </w:r>
      <w:r w:rsidRPr="000F15B0">
        <w:rPr>
          <w:sz w:val="20"/>
          <w:szCs w:val="20"/>
        </w:rPr>
        <w:t>L</w:t>
      </w:r>
      <w:r w:rsidR="00F0686D">
        <w:rPr>
          <w:sz w:val="20"/>
          <w:szCs w:val="20"/>
        </w:rPr>
        <w:t> </w:t>
      </w:r>
      <w:r w:rsidRPr="000F15B0">
        <w:rPr>
          <w:sz w:val="20"/>
          <w:szCs w:val="20"/>
        </w:rPr>
        <w:t>198, 25.7.2019, p.</w:t>
      </w:r>
      <w:r w:rsidR="00F0686D">
        <w:rPr>
          <w:sz w:val="20"/>
          <w:szCs w:val="20"/>
        </w:rPr>
        <w:t> </w:t>
      </w:r>
      <w:r w:rsidRPr="000F15B0">
        <w:rPr>
          <w:sz w:val="20"/>
          <w:szCs w:val="20"/>
        </w:rPr>
        <w:t>202</w:t>
      </w:r>
      <w:r w:rsidR="00C40184">
        <w:rPr>
          <w:sz w:val="20"/>
          <w:szCs w:val="20"/>
        </w:rPr>
        <w:t xml:space="preserve">, </w:t>
      </w:r>
      <w:r w:rsidR="00C40184" w:rsidRPr="00C40184">
        <w:rPr>
          <w:sz w:val="20"/>
          <w:szCs w:val="20"/>
        </w:rPr>
        <w:t>ELI:</w:t>
      </w:r>
      <w:r w:rsidR="00F0686D">
        <w:rPr>
          <w:sz w:val="20"/>
          <w:szCs w:val="20"/>
        </w:rPr>
        <w:t> </w:t>
      </w:r>
      <w:hyperlink r:id="rId27" w:history="1">
        <w:r w:rsidR="00C40184" w:rsidRPr="00C40184">
          <w:rPr>
            <w:rStyle w:val="Hyperlink"/>
            <w:sz w:val="20"/>
            <w:szCs w:val="20"/>
          </w:rPr>
          <w:t>http://data.europa.eu/eli/reg/2019/1242/oj</w:t>
        </w:r>
      </w:hyperlink>
      <w:r w:rsidRPr="000F15B0">
        <w:rPr>
          <w:sz w:val="20"/>
          <w:szCs w:val="20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Default="00C34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Default="00C34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A95"/>
    <w:multiLevelType w:val="singleLevel"/>
    <w:tmpl w:val="02BAFA82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" w15:restartNumberingAfterBreak="0">
    <w:nsid w:val="128364B0"/>
    <w:multiLevelType w:val="singleLevel"/>
    <w:tmpl w:val="D084FB54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" w15:restartNumberingAfterBreak="0">
    <w:nsid w:val="13E4330B"/>
    <w:multiLevelType w:val="multilevel"/>
    <w:tmpl w:val="875C4416"/>
    <w:name w:val="List Dash 3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6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D820C1F"/>
    <w:multiLevelType w:val="singleLevel"/>
    <w:tmpl w:val="7896AADE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9" w15:restartNumberingAfterBreak="0">
    <w:nsid w:val="2F191641"/>
    <w:multiLevelType w:val="multilevel"/>
    <w:tmpl w:val="B67C4E92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31CD398A"/>
    <w:multiLevelType w:val="singleLevel"/>
    <w:tmpl w:val="0276BF00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1" w15:restartNumberingAfterBreak="0">
    <w:nsid w:val="398C015E"/>
    <w:multiLevelType w:val="multilevel"/>
    <w:tmpl w:val="027A66BA"/>
    <w:name w:val="List Dash 4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489D74ED"/>
    <w:multiLevelType w:val="singleLevel"/>
    <w:tmpl w:val="C2E2F936"/>
    <w:name w:val="List Dash 2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7" w15:restartNumberingAfterBreak="0">
    <w:nsid w:val="4D0C058A"/>
    <w:multiLevelType w:val="singleLevel"/>
    <w:tmpl w:val="BAE8D90E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542A1204"/>
    <w:multiLevelType w:val="multilevel"/>
    <w:tmpl w:val="BC1E840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0" w15:restartNumberingAfterBreak="0">
    <w:nsid w:val="5B0B0635"/>
    <w:multiLevelType w:val="singleLevel"/>
    <w:tmpl w:val="017E7CEE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1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2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5DF84969"/>
    <w:multiLevelType w:val="singleLevel"/>
    <w:tmpl w:val="1E12021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 w15:restartNumberingAfterBreak="0">
    <w:nsid w:val="71F06166"/>
    <w:multiLevelType w:val="multilevel"/>
    <w:tmpl w:val="C08066D2"/>
    <w:name w:val="0.6719891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3D73F7A"/>
    <w:multiLevelType w:val="singleLevel"/>
    <w:tmpl w:val="2636573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9" w15:restartNumberingAfterBreak="0">
    <w:nsid w:val="76BC5C11"/>
    <w:multiLevelType w:val="singleLevel"/>
    <w:tmpl w:val="E44CE82E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0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7"/>
  </w:num>
  <w:num w:numId="5">
    <w:abstractNumId w:val="16"/>
  </w:num>
  <w:num w:numId="6">
    <w:abstractNumId w:val="27"/>
  </w:num>
  <w:num w:numId="7">
    <w:abstractNumId w:val="24"/>
  </w:num>
  <w:num w:numId="8">
    <w:abstractNumId w:val="28"/>
  </w:num>
  <w:num w:numId="9">
    <w:abstractNumId w:val="29"/>
  </w:num>
  <w:num w:numId="10">
    <w:abstractNumId w:val="1"/>
  </w:num>
  <w:num w:numId="11">
    <w:abstractNumId w:val="10"/>
  </w:num>
  <w:num w:numId="12">
    <w:abstractNumId w:val="2"/>
  </w:num>
  <w:num w:numId="13">
    <w:abstractNumId w:val="11"/>
  </w:num>
  <w:num w:numId="14">
    <w:abstractNumId w:val="9"/>
  </w:num>
  <w:num w:numId="15">
    <w:abstractNumId w:val="18"/>
  </w:num>
  <w:num w:numId="16">
    <w:abstractNumId w:val="7"/>
  </w:num>
  <w:num w:numId="17">
    <w:abstractNumId w:val="30"/>
    <w:lvlOverride w:ilvl="0">
      <w:startOverride w:val="1"/>
    </w:lvlOverride>
  </w:num>
  <w:num w:numId="18">
    <w:abstractNumId w:val="23"/>
  </w:num>
  <w:num w:numId="19">
    <w:abstractNumId w:val="12"/>
  </w:num>
  <w:num w:numId="20">
    <w:abstractNumId w:val="26"/>
  </w:num>
  <w:num w:numId="21">
    <w:abstractNumId w:val="6"/>
  </w:num>
  <w:num w:numId="22">
    <w:abstractNumId w:val="13"/>
  </w:num>
  <w:num w:numId="23">
    <w:abstractNumId w:val="14"/>
  </w:num>
  <w:num w:numId="24">
    <w:abstractNumId w:val="4"/>
  </w:num>
  <w:num w:numId="25">
    <w:abstractNumId w:val="25"/>
  </w:num>
  <w:num w:numId="26">
    <w:abstractNumId w:val="3"/>
  </w:num>
  <w:num w:numId="27">
    <w:abstractNumId w:val="15"/>
  </w:num>
  <w:num w:numId="28">
    <w:abstractNumId w:val="21"/>
  </w:num>
  <w:num w:numId="29">
    <w:abstractNumId w:val="22"/>
  </w:num>
  <w:num w:numId="30">
    <w:abstractNumId w:val="5"/>
  </w:num>
  <w:num w:numId="31">
    <w:abstractNumId w:val="19"/>
  </w:num>
  <w:num w:numId="32">
    <w:abstractNumId w:val="30"/>
  </w:num>
  <w:num w:numId="33">
    <w:abstractNumId w:val="23"/>
  </w:num>
  <w:num w:numId="34">
    <w:abstractNumId w:val="12"/>
  </w:num>
  <w:num w:numId="35">
    <w:abstractNumId w:val="26"/>
  </w:num>
  <w:num w:numId="36">
    <w:abstractNumId w:val="6"/>
  </w:num>
  <w:num w:numId="37">
    <w:abstractNumId w:val="13"/>
  </w:num>
  <w:num w:numId="38">
    <w:abstractNumId w:val="14"/>
  </w:num>
  <w:num w:numId="39">
    <w:abstractNumId w:val="4"/>
  </w:num>
  <w:num w:numId="40">
    <w:abstractNumId w:val="25"/>
  </w:num>
  <w:num w:numId="41">
    <w:abstractNumId w:val="3"/>
  </w:num>
  <w:num w:numId="42">
    <w:abstractNumId w:val="15"/>
  </w:num>
  <w:num w:numId="43">
    <w:abstractNumId w:val="21"/>
  </w:num>
  <w:num w:numId="44">
    <w:abstractNumId w:val="22"/>
  </w:num>
  <w:num w:numId="45">
    <w:abstractNumId w:val="5"/>
  </w:num>
  <w:num w:numId="46">
    <w:abstractNumId w:val="19"/>
  </w:num>
  <w:num w:numId="47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06-24 09:18:42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BF7D8761-1C9B-42A9-9DF6-138CDA4F1035"/>
    <w:docVar w:name="LW_COVERPAGE_TYPE" w:val="1"/>
    <w:docVar w:name="LW_CreatedUtc" w:val="2025-03-12T06:52:49.9405374Z"/>
    <w:docVar w:name="LW_CROSSREFERENCE" w:val="&lt;UNUSED&gt;"/>
    <w:docVar w:name="LW_DocType" w:val="COM"/>
    <w:docVar w:name="LW_EMISSION" w:val="27.6.2025"/>
    <w:docVar w:name="LW_EMISSION_ISODATE" w:val="2025-06-27"/>
    <w:docVar w:name="LW_EMISSION_LOCATION" w:val="BRX"/>
    <w:docVar w:name="LW_EMISSION_PREFIX" w:val="Brussels, "/>
    <w:docVar w:name="LW_EMISSION_SUFFIX" w:val=" "/>
    <w:docVar w:name="LW_ID_DOCMODEL" w:val="SJ-024"/>
    <w:docVar w:name="LW_ID_DOCSIGNATURE" w:val="SJ-024"/>
    <w:docVar w:name="LW_ID_DOCSTRUCTURE" w:val="COM/PL/ORG"/>
    <w:docVar w:name="LW_ID_DOCTYPE" w:val="SJ-024"/>
    <w:docVar w:name="LW_ID_STATUT" w:val="SJ-024"/>
    <w:docVar w:name="LW_INSERT_EXP.MOTIFS.NEW" w:val="1"/>
    <w:docVar w:name="LW_INTERETEEE.CP" w:val="(Text with EEA relevance)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188"/>
    <w:docVar w:name="LW_REF.II.NEW.CP_YEAR" w:val="2025"/>
    <w:docVar w:name="LW_REF.INST.NEW" w:val="COM"/>
    <w:docVar w:name="LW_REF.INST.NEW_ADOPTED" w:val="final"/>
    <w:docVar w:name="LW_REF.INST.NEW_TEXT" w:val="(2025) 348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al for a"/>
    <w:docVar w:name="LW_SUPERTITRE" w:val="&lt;UNUSED&gt;"/>
    <w:docVar w:name="LW_TITRE.OBJ.CP" w:val="amending Directive 1999/62/EC as regards the extension of the period in which zero-emission heavy-duty vehicles can benefit from significantly reduced rates of infrastructure or user charges or from exemptions to pay them "/>
    <w:docVar w:name="LW_TYPE.DOC.CP" w:val="DIRECTIVE OF THE EUROPEAN PARLIAMENT AND OF THE COUNCIL"/>
    <w:docVar w:name="LwApiVersions" w:val="LW4CoDe 1.24.5.0; LW 9.0, Build 20240221"/>
  </w:docVars>
  <w:rsids>
    <w:rsidRoot w:val="008E70C2"/>
    <w:rsid w:val="000005F3"/>
    <w:rsid w:val="00001C27"/>
    <w:rsid w:val="00004707"/>
    <w:rsid w:val="00006CDD"/>
    <w:rsid w:val="00006D9D"/>
    <w:rsid w:val="000070CD"/>
    <w:rsid w:val="00007C55"/>
    <w:rsid w:val="000101F9"/>
    <w:rsid w:val="00010BFE"/>
    <w:rsid w:val="0001300C"/>
    <w:rsid w:val="00015F32"/>
    <w:rsid w:val="000163C0"/>
    <w:rsid w:val="00016526"/>
    <w:rsid w:val="00016663"/>
    <w:rsid w:val="00016A09"/>
    <w:rsid w:val="000227B9"/>
    <w:rsid w:val="00022AAE"/>
    <w:rsid w:val="00023F51"/>
    <w:rsid w:val="00025306"/>
    <w:rsid w:val="000256E3"/>
    <w:rsid w:val="00025981"/>
    <w:rsid w:val="00026C0E"/>
    <w:rsid w:val="00027B81"/>
    <w:rsid w:val="00030CF1"/>
    <w:rsid w:val="0003103E"/>
    <w:rsid w:val="00031134"/>
    <w:rsid w:val="00031D03"/>
    <w:rsid w:val="00031E63"/>
    <w:rsid w:val="00033197"/>
    <w:rsid w:val="000331DB"/>
    <w:rsid w:val="00034302"/>
    <w:rsid w:val="00035C4A"/>
    <w:rsid w:val="00035D9E"/>
    <w:rsid w:val="00037E33"/>
    <w:rsid w:val="0004057A"/>
    <w:rsid w:val="0004065E"/>
    <w:rsid w:val="00044637"/>
    <w:rsid w:val="00044755"/>
    <w:rsid w:val="00045058"/>
    <w:rsid w:val="00045D70"/>
    <w:rsid w:val="00047120"/>
    <w:rsid w:val="000516A4"/>
    <w:rsid w:val="000517B8"/>
    <w:rsid w:val="00052712"/>
    <w:rsid w:val="00055D6D"/>
    <w:rsid w:val="00056A19"/>
    <w:rsid w:val="00057E0A"/>
    <w:rsid w:val="00060D70"/>
    <w:rsid w:val="0006286E"/>
    <w:rsid w:val="00063BD7"/>
    <w:rsid w:val="000640BF"/>
    <w:rsid w:val="0006656B"/>
    <w:rsid w:val="00067B93"/>
    <w:rsid w:val="00071091"/>
    <w:rsid w:val="00073483"/>
    <w:rsid w:val="00073BF3"/>
    <w:rsid w:val="000746BE"/>
    <w:rsid w:val="00074F5C"/>
    <w:rsid w:val="000778C2"/>
    <w:rsid w:val="00077BA6"/>
    <w:rsid w:val="00080BC0"/>
    <w:rsid w:val="00080F30"/>
    <w:rsid w:val="00081B2F"/>
    <w:rsid w:val="00081BC8"/>
    <w:rsid w:val="0008446B"/>
    <w:rsid w:val="000845A8"/>
    <w:rsid w:val="00084781"/>
    <w:rsid w:val="00085FD8"/>
    <w:rsid w:val="00087570"/>
    <w:rsid w:val="0009036C"/>
    <w:rsid w:val="0009047D"/>
    <w:rsid w:val="00092ABE"/>
    <w:rsid w:val="00092C8B"/>
    <w:rsid w:val="00094E84"/>
    <w:rsid w:val="0009611E"/>
    <w:rsid w:val="00097866"/>
    <w:rsid w:val="000A01C6"/>
    <w:rsid w:val="000A0A0A"/>
    <w:rsid w:val="000A0D32"/>
    <w:rsid w:val="000A1F68"/>
    <w:rsid w:val="000A25D5"/>
    <w:rsid w:val="000A4CDB"/>
    <w:rsid w:val="000A6B6D"/>
    <w:rsid w:val="000A72F6"/>
    <w:rsid w:val="000B0394"/>
    <w:rsid w:val="000B03B6"/>
    <w:rsid w:val="000B0EAF"/>
    <w:rsid w:val="000B1235"/>
    <w:rsid w:val="000B1545"/>
    <w:rsid w:val="000B15FD"/>
    <w:rsid w:val="000B2604"/>
    <w:rsid w:val="000B2783"/>
    <w:rsid w:val="000B5373"/>
    <w:rsid w:val="000B53C3"/>
    <w:rsid w:val="000B58CA"/>
    <w:rsid w:val="000B6C56"/>
    <w:rsid w:val="000B7242"/>
    <w:rsid w:val="000C08A9"/>
    <w:rsid w:val="000C0967"/>
    <w:rsid w:val="000C0D66"/>
    <w:rsid w:val="000C269C"/>
    <w:rsid w:val="000C3393"/>
    <w:rsid w:val="000C693C"/>
    <w:rsid w:val="000C74C4"/>
    <w:rsid w:val="000C7D4B"/>
    <w:rsid w:val="000D0657"/>
    <w:rsid w:val="000D0E6E"/>
    <w:rsid w:val="000D1C13"/>
    <w:rsid w:val="000D310E"/>
    <w:rsid w:val="000D31D0"/>
    <w:rsid w:val="000D57C1"/>
    <w:rsid w:val="000D5DBD"/>
    <w:rsid w:val="000D6080"/>
    <w:rsid w:val="000D6CB4"/>
    <w:rsid w:val="000D7E23"/>
    <w:rsid w:val="000E0C23"/>
    <w:rsid w:val="000E0F43"/>
    <w:rsid w:val="000E10A2"/>
    <w:rsid w:val="000E1D64"/>
    <w:rsid w:val="000E1F25"/>
    <w:rsid w:val="000E26D9"/>
    <w:rsid w:val="000E38FA"/>
    <w:rsid w:val="000E434E"/>
    <w:rsid w:val="000E4BF2"/>
    <w:rsid w:val="000E6E1B"/>
    <w:rsid w:val="000E7F36"/>
    <w:rsid w:val="000F0C30"/>
    <w:rsid w:val="000F15B0"/>
    <w:rsid w:val="000F2084"/>
    <w:rsid w:val="000F249A"/>
    <w:rsid w:val="000F2EF0"/>
    <w:rsid w:val="000F3F6C"/>
    <w:rsid w:val="000F6496"/>
    <w:rsid w:val="000F71A2"/>
    <w:rsid w:val="000F7465"/>
    <w:rsid w:val="001002CA"/>
    <w:rsid w:val="00100BAD"/>
    <w:rsid w:val="001038DC"/>
    <w:rsid w:val="00104AE6"/>
    <w:rsid w:val="001065F5"/>
    <w:rsid w:val="00106634"/>
    <w:rsid w:val="0010724D"/>
    <w:rsid w:val="001102EE"/>
    <w:rsid w:val="001125E9"/>
    <w:rsid w:val="00114082"/>
    <w:rsid w:val="00116592"/>
    <w:rsid w:val="00116D65"/>
    <w:rsid w:val="00117E03"/>
    <w:rsid w:val="001201E7"/>
    <w:rsid w:val="00122EBB"/>
    <w:rsid w:val="001238EF"/>
    <w:rsid w:val="00123D4B"/>
    <w:rsid w:val="00124C2E"/>
    <w:rsid w:val="0012548E"/>
    <w:rsid w:val="00125CCD"/>
    <w:rsid w:val="00125DE0"/>
    <w:rsid w:val="00126003"/>
    <w:rsid w:val="001268C5"/>
    <w:rsid w:val="00126B6E"/>
    <w:rsid w:val="00126D67"/>
    <w:rsid w:val="00127783"/>
    <w:rsid w:val="00131344"/>
    <w:rsid w:val="0013196E"/>
    <w:rsid w:val="00131D4B"/>
    <w:rsid w:val="0013546D"/>
    <w:rsid w:val="00135E7E"/>
    <w:rsid w:val="00140434"/>
    <w:rsid w:val="0014078C"/>
    <w:rsid w:val="00140B00"/>
    <w:rsid w:val="00140D70"/>
    <w:rsid w:val="00141BE7"/>
    <w:rsid w:val="0014263B"/>
    <w:rsid w:val="0014288A"/>
    <w:rsid w:val="001442E7"/>
    <w:rsid w:val="00144F1F"/>
    <w:rsid w:val="00147555"/>
    <w:rsid w:val="001512FD"/>
    <w:rsid w:val="00151EBA"/>
    <w:rsid w:val="00153A2B"/>
    <w:rsid w:val="001540FD"/>
    <w:rsid w:val="0015541A"/>
    <w:rsid w:val="001573FF"/>
    <w:rsid w:val="00161430"/>
    <w:rsid w:val="001633C8"/>
    <w:rsid w:val="00163ED5"/>
    <w:rsid w:val="001645BB"/>
    <w:rsid w:val="00164CAB"/>
    <w:rsid w:val="00164F1C"/>
    <w:rsid w:val="00166384"/>
    <w:rsid w:val="001674D6"/>
    <w:rsid w:val="00170B8C"/>
    <w:rsid w:val="00171293"/>
    <w:rsid w:val="001721D8"/>
    <w:rsid w:val="0017328D"/>
    <w:rsid w:val="00176044"/>
    <w:rsid w:val="00177030"/>
    <w:rsid w:val="00177191"/>
    <w:rsid w:val="001773C2"/>
    <w:rsid w:val="00177653"/>
    <w:rsid w:val="001815D9"/>
    <w:rsid w:val="001817AC"/>
    <w:rsid w:val="0018282E"/>
    <w:rsid w:val="00183D6B"/>
    <w:rsid w:val="00183D8A"/>
    <w:rsid w:val="00183DAF"/>
    <w:rsid w:val="001854D4"/>
    <w:rsid w:val="001905BB"/>
    <w:rsid w:val="001909F4"/>
    <w:rsid w:val="00190BAE"/>
    <w:rsid w:val="00190CAB"/>
    <w:rsid w:val="00192E03"/>
    <w:rsid w:val="00194DD0"/>
    <w:rsid w:val="0019722F"/>
    <w:rsid w:val="00197613"/>
    <w:rsid w:val="001A1CF9"/>
    <w:rsid w:val="001A23B8"/>
    <w:rsid w:val="001A34E8"/>
    <w:rsid w:val="001A3C07"/>
    <w:rsid w:val="001A4205"/>
    <w:rsid w:val="001A438E"/>
    <w:rsid w:val="001A5129"/>
    <w:rsid w:val="001A532D"/>
    <w:rsid w:val="001A6C7E"/>
    <w:rsid w:val="001B105B"/>
    <w:rsid w:val="001B355E"/>
    <w:rsid w:val="001B370A"/>
    <w:rsid w:val="001B3B5C"/>
    <w:rsid w:val="001B4CC2"/>
    <w:rsid w:val="001B5801"/>
    <w:rsid w:val="001C0173"/>
    <w:rsid w:val="001C060F"/>
    <w:rsid w:val="001C2D7A"/>
    <w:rsid w:val="001C2DBE"/>
    <w:rsid w:val="001C47EE"/>
    <w:rsid w:val="001C68C7"/>
    <w:rsid w:val="001D0EAF"/>
    <w:rsid w:val="001D1366"/>
    <w:rsid w:val="001D2441"/>
    <w:rsid w:val="001D26E7"/>
    <w:rsid w:val="001D2F1F"/>
    <w:rsid w:val="001D63D0"/>
    <w:rsid w:val="001E0725"/>
    <w:rsid w:val="001E0A2A"/>
    <w:rsid w:val="001E4767"/>
    <w:rsid w:val="001E63E5"/>
    <w:rsid w:val="001E786D"/>
    <w:rsid w:val="001F083D"/>
    <w:rsid w:val="001F08DD"/>
    <w:rsid w:val="001F0C4D"/>
    <w:rsid w:val="001F0FC6"/>
    <w:rsid w:val="001F1F70"/>
    <w:rsid w:val="001F2325"/>
    <w:rsid w:val="001F3789"/>
    <w:rsid w:val="001F430B"/>
    <w:rsid w:val="001F4379"/>
    <w:rsid w:val="001F4ECD"/>
    <w:rsid w:val="001F51B3"/>
    <w:rsid w:val="001F67A8"/>
    <w:rsid w:val="001F7ACC"/>
    <w:rsid w:val="00200600"/>
    <w:rsid w:val="00201041"/>
    <w:rsid w:val="002033F0"/>
    <w:rsid w:val="00204E30"/>
    <w:rsid w:val="0020500B"/>
    <w:rsid w:val="002065EA"/>
    <w:rsid w:val="002066E8"/>
    <w:rsid w:val="0020724E"/>
    <w:rsid w:val="00210BBF"/>
    <w:rsid w:val="00211A29"/>
    <w:rsid w:val="0021315A"/>
    <w:rsid w:val="00214F99"/>
    <w:rsid w:val="00215546"/>
    <w:rsid w:val="00216EA7"/>
    <w:rsid w:val="00217C84"/>
    <w:rsid w:val="002223FE"/>
    <w:rsid w:val="00222B8D"/>
    <w:rsid w:val="002237C2"/>
    <w:rsid w:val="00223E80"/>
    <w:rsid w:val="002243ED"/>
    <w:rsid w:val="00224746"/>
    <w:rsid w:val="002254F1"/>
    <w:rsid w:val="002265E6"/>
    <w:rsid w:val="00226D65"/>
    <w:rsid w:val="00227BB2"/>
    <w:rsid w:val="00230742"/>
    <w:rsid w:val="0023210B"/>
    <w:rsid w:val="00233279"/>
    <w:rsid w:val="00233DC7"/>
    <w:rsid w:val="00236BF9"/>
    <w:rsid w:val="00236FE4"/>
    <w:rsid w:val="00242EF4"/>
    <w:rsid w:val="00244521"/>
    <w:rsid w:val="0024515E"/>
    <w:rsid w:val="00245ED1"/>
    <w:rsid w:val="00246AA8"/>
    <w:rsid w:val="00247779"/>
    <w:rsid w:val="00250942"/>
    <w:rsid w:val="00251067"/>
    <w:rsid w:val="00253867"/>
    <w:rsid w:val="00254E2D"/>
    <w:rsid w:val="002552BE"/>
    <w:rsid w:val="00257AAF"/>
    <w:rsid w:val="002607F3"/>
    <w:rsid w:val="00261F81"/>
    <w:rsid w:val="00262B71"/>
    <w:rsid w:val="00263515"/>
    <w:rsid w:val="00265599"/>
    <w:rsid w:val="00265ED9"/>
    <w:rsid w:val="002663AA"/>
    <w:rsid w:val="00266F0D"/>
    <w:rsid w:val="00270C6F"/>
    <w:rsid w:val="00271294"/>
    <w:rsid w:val="00272D41"/>
    <w:rsid w:val="00272DBE"/>
    <w:rsid w:val="00274330"/>
    <w:rsid w:val="0027572D"/>
    <w:rsid w:val="00275FC9"/>
    <w:rsid w:val="00280AFB"/>
    <w:rsid w:val="00282122"/>
    <w:rsid w:val="00282748"/>
    <w:rsid w:val="00282875"/>
    <w:rsid w:val="00282E4C"/>
    <w:rsid w:val="002833F6"/>
    <w:rsid w:val="00283472"/>
    <w:rsid w:val="00284324"/>
    <w:rsid w:val="00285517"/>
    <w:rsid w:val="002856E8"/>
    <w:rsid w:val="00285B76"/>
    <w:rsid w:val="00285BEE"/>
    <w:rsid w:val="00285FBE"/>
    <w:rsid w:val="00286D4C"/>
    <w:rsid w:val="0028745D"/>
    <w:rsid w:val="002878D7"/>
    <w:rsid w:val="00292C63"/>
    <w:rsid w:val="00292FF9"/>
    <w:rsid w:val="00293956"/>
    <w:rsid w:val="002952D8"/>
    <w:rsid w:val="0029533F"/>
    <w:rsid w:val="002958DB"/>
    <w:rsid w:val="00295B54"/>
    <w:rsid w:val="00295B5C"/>
    <w:rsid w:val="00295D1C"/>
    <w:rsid w:val="00295DA6"/>
    <w:rsid w:val="0029742D"/>
    <w:rsid w:val="00297B27"/>
    <w:rsid w:val="002A0A66"/>
    <w:rsid w:val="002A1009"/>
    <w:rsid w:val="002A46B1"/>
    <w:rsid w:val="002A4834"/>
    <w:rsid w:val="002A57D7"/>
    <w:rsid w:val="002A5E87"/>
    <w:rsid w:val="002A676D"/>
    <w:rsid w:val="002A6DE3"/>
    <w:rsid w:val="002B2A48"/>
    <w:rsid w:val="002B30AF"/>
    <w:rsid w:val="002B47BE"/>
    <w:rsid w:val="002B6FEC"/>
    <w:rsid w:val="002B709F"/>
    <w:rsid w:val="002B7163"/>
    <w:rsid w:val="002B7B64"/>
    <w:rsid w:val="002B7F4B"/>
    <w:rsid w:val="002B7F61"/>
    <w:rsid w:val="002C1EC1"/>
    <w:rsid w:val="002C1F72"/>
    <w:rsid w:val="002C2FF7"/>
    <w:rsid w:val="002C3394"/>
    <w:rsid w:val="002C3981"/>
    <w:rsid w:val="002C5447"/>
    <w:rsid w:val="002C629A"/>
    <w:rsid w:val="002C79EF"/>
    <w:rsid w:val="002C7C86"/>
    <w:rsid w:val="002D0982"/>
    <w:rsid w:val="002D0F48"/>
    <w:rsid w:val="002D2051"/>
    <w:rsid w:val="002E10E2"/>
    <w:rsid w:val="002E1993"/>
    <w:rsid w:val="002E2E70"/>
    <w:rsid w:val="002E34F0"/>
    <w:rsid w:val="002E4083"/>
    <w:rsid w:val="002E5153"/>
    <w:rsid w:val="002E52DD"/>
    <w:rsid w:val="002E5406"/>
    <w:rsid w:val="002E569F"/>
    <w:rsid w:val="002E6EB7"/>
    <w:rsid w:val="002F1773"/>
    <w:rsid w:val="002F24B4"/>
    <w:rsid w:val="002F3405"/>
    <w:rsid w:val="002F45F4"/>
    <w:rsid w:val="002F487D"/>
    <w:rsid w:val="002F511C"/>
    <w:rsid w:val="002F57F7"/>
    <w:rsid w:val="002F6D13"/>
    <w:rsid w:val="002F7887"/>
    <w:rsid w:val="00300ABD"/>
    <w:rsid w:val="00300BEF"/>
    <w:rsid w:val="0030141B"/>
    <w:rsid w:val="0030158D"/>
    <w:rsid w:val="0030216E"/>
    <w:rsid w:val="0030230A"/>
    <w:rsid w:val="00302B3E"/>
    <w:rsid w:val="00302BAC"/>
    <w:rsid w:val="003042B5"/>
    <w:rsid w:val="00305300"/>
    <w:rsid w:val="003070F8"/>
    <w:rsid w:val="003076AF"/>
    <w:rsid w:val="003126F4"/>
    <w:rsid w:val="0031283A"/>
    <w:rsid w:val="00314CA1"/>
    <w:rsid w:val="00314DC5"/>
    <w:rsid w:val="00317297"/>
    <w:rsid w:val="00320B0D"/>
    <w:rsid w:val="00321E9C"/>
    <w:rsid w:val="003229C1"/>
    <w:rsid w:val="003235B7"/>
    <w:rsid w:val="00323BEB"/>
    <w:rsid w:val="003256E8"/>
    <w:rsid w:val="0033229A"/>
    <w:rsid w:val="0033344A"/>
    <w:rsid w:val="00333A72"/>
    <w:rsid w:val="003346CA"/>
    <w:rsid w:val="00335479"/>
    <w:rsid w:val="00336610"/>
    <w:rsid w:val="00336E26"/>
    <w:rsid w:val="00340D1F"/>
    <w:rsid w:val="0034180A"/>
    <w:rsid w:val="0034235A"/>
    <w:rsid w:val="00342395"/>
    <w:rsid w:val="003431B3"/>
    <w:rsid w:val="00344380"/>
    <w:rsid w:val="00345841"/>
    <w:rsid w:val="00345B53"/>
    <w:rsid w:val="00346483"/>
    <w:rsid w:val="00346A27"/>
    <w:rsid w:val="00347440"/>
    <w:rsid w:val="00347932"/>
    <w:rsid w:val="003503F1"/>
    <w:rsid w:val="0035097C"/>
    <w:rsid w:val="0035237D"/>
    <w:rsid w:val="003525FB"/>
    <w:rsid w:val="00354015"/>
    <w:rsid w:val="00355068"/>
    <w:rsid w:val="00356D07"/>
    <w:rsid w:val="003578CB"/>
    <w:rsid w:val="00361CBA"/>
    <w:rsid w:val="00362690"/>
    <w:rsid w:val="00364063"/>
    <w:rsid w:val="00364609"/>
    <w:rsid w:val="00364ADA"/>
    <w:rsid w:val="00366261"/>
    <w:rsid w:val="00367A33"/>
    <w:rsid w:val="00367E82"/>
    <w:rsid w:val="003707B5"/>
    <w:rsid w:val="0037214E"/>
    <w:rsid w:val="003722AE"/>
    <w:rsid w:val="00372DC0"/>
    <w:rsid w:val="00373731"/>
    <w:rsid w:val="003738F4"/>
    <w:rsid w:val="00373BC0"/>
    <w:rsid w:val="003744C0"/>
    <w:rsid w:val="0037587B"/>
    <w:rsid w:val="00380D07"/>
    <w:rsid w:val="00381B35"/>
    <w:rsid w:val="00382A39"/>
    <w:rsid w:val="00383A56"/>
    <w:rsid w:val="00383EB0"/>
    <w:rsid w:val="0038401D"/>
    <w:rsid w:val="003843CD"/>
    <w:rsid w:val="00385184"/>
    <w:rsid w:val="003873F8"/>
    <w:rsid w:val="003876AB"/>
    <w:rsid w:val="00390120"/>
    <w:rsid w:val="00390B18"/>
    <w:rsid w:val="0039112D"/>
    <w:rsid w:val="00392E62"/>
    <w:rsid w:val="00394302"/>
    <w:rsid w:val="0039698D"/>
    <w:rsid w:val="00396DDD"/>
    <w:rsid w:val="0039797E"/>
    <w:rsid w:val="003A0024"/>
    <w:rsid w:val="003A00CB"/>
    <w:rsid w:val="003A0FE7"/>
    <w:rsid w:val="003A2808"/>
    <w:rsid w:val="003A37E8"/>
    <w:rsid w:val="003A3CB5"/>
    <w:rsid w:val="003A4610"/>
    <w:rsid w:val="003A5033"/>
    <w:rsid w:val="003A5561"/>
    <w:rsid w:val="003A71E4"/>
    <w:rsid w:val="003B05F9"/>
    <w:rsid w:val="003B0A7F"/>
    <w:rsid w:val="003B184E"/>
    <w:rsid w:val="003B438C"/>
    <w:rsid w:val="003C0250"/>
    <w:rsid w:val="003C07BC"/>
    <w:rsid w:val="003C16A6"/>
    <w:rsid w:val="003C1DEE"/>
    <w:rsid w:val="003C244E"/>
    <w:rsid w:val="003C2B42"/>
    <w:rsid w:val="003C6B76"/>
    <w:rsid w:val="003C77C8"/>
    <w:rsid w:val="003D285A"/>
    <w:rsid w:val="003D3B71"/>
    <w:rsid w:val="003D5B98"/>
    <w:rsid w:val="003D61BF"/>
    <w:rsid w:val="003E1570"/>
    <w:rsid w:val="003E17D4"/>
    <w:rsid w:val="003E41C5"/>
    <w:rsid w:val="003E46F7"/>
    <w:rsid w:val="003E4F82"/>
    <w:rsid w:val="003E5187"/>
    <w:rsid w:val="003E51BB"/>
    <w:rsid w:val="003E5556"/>
    <w:rsid w:val="003E66EA"/>
    <w:rsid w:val="003E68CD"/>
    <w:rsid w:val="003E7050"/>
    <w:rsid w:val="003E7AF8"/>
    <w:rsid w:val="003F1AC4"/>
    <w:rsid w:val="003F1C9E"/>
    <w:rsid w:val="003F2BC0"/>
    <w:rsid w:val="003F6353"/>
    <w:rsid w:val="003F79B4"/>
    <w:rsid w:val="00401CA7"/>
    <w:rsid w:val="00403C1D"/>
    <w:rsid w:val="004046FE"/>
    <w:rsid w:val="00406499"/>
    <w:rsid w:val="00407C45"/>
    <w:rsid w:val="00407C9F"/>
    <w:rsid w:val="00412DD8"/>
    <w:rsid w:val="00413DF1"/>
    <w:rsid w:val="0041452D"/>
    <w:rsid w:val="00415CE4"/>
    <w:rsid w:val="00416813"/>
    <w:rsid w:val="00416E8A"/>
    <w:rsid w:val="0041737B"/>
    <w:rsid w:val="00420484"/>
    <w:rsid w:val="00421B7D"/>
    <w:rsid w:val="00422C3E"/>
    <w:rsid w:val="00422D4F"/>
    <w:rsid w:val="00423461"/>
    <w:rsid w:val="00423BDB"/>
    <w:rsid w:val="00423E1D"/>
    <w:rsid w:val="00424377"/>
    <w:rsid w:val="00424DC1"/>
    <w:rsid w:val="00425152"/>
    <w:rsid w:val="0042648E"/>
    <w:rsid w:val="00430DFB"/>
    <w:rsid w:val="0043209E"/>
    <w:rsid w:val="0043262F"/>
    <w:rsid w:val="00432762"/>
    <w:rsid w:val="004345F0"/>
    <w:rsid w:val="00434B5B"/>
    <w:rsid w:val="00435A80"/>
    <w:rsid w:val="0043651B"/>
    <w:rsid w:val="0043652D"/>
    <w:rsid w:val="00436A6D"/>
    <w:rsid w:val="00436DDD"/>
    <w:rsid w:val="004370AC"/>
    <w:rsid w:val="00441A81"/>
    <w:rsid w:val="00441E28"/>
    <w:rsid w:val="00444D09"/>
    <w:rsid w:val="0044742F"/>
    <w:rsid w:val="00450288"/>
    <w:rsid w:val="00451577"/>
    <w:rsid w:val="00451A3D"/>
    <w:rsid w:val="00451CE5"/>
    <w:rsid w:val="004522CD"/>
    <w:rsid w:val="0045313B"/>
    <w:rsid w:val="00453804"/>
    <w:rsid w:val="00453E81"/>
    <w:rsid w:val="004546AC"/>
    <w:rsid w:val="004557E9"/>
    <w:rsid w:val="00455825"/>
    <w:rsid w:val="00457837"/>
    <w:rsid w:val="00457D03"/>
    <w:rsid w:val="0046046F"/>
    <w:rsid w:val="00460AC5"/>
    <w:rsid w:val="00461FBA"/>
    <w:rsid w:val="00464CB7"/>
    <w:rsid w:val="00467AD2"/>
    <w:rsid w:val="00467E2C"/>
    <w:rsid w:val="00470D38"/>
    <w:rsid w:val="00471079"/>
    <w:rsid w:val="00471DE1"/>
    <w:rsid w:val="00471E74"/>
    <w:rsid w:val="004727FF"/>
    <w:rsid w:val="00473188"/>
    <w:rsid w:val="00473756"/>
    <w:rsid w:val="00477397"/>
    <w:rsid w:val="00481319"/>
    <w:rsid w:val="004813FC"/>
    <w:rsid w:val="00483CA6"/>
    <w:rsid w:val="00485E73"/>
    <w:rsid w:val="0048660F"/>
    <w:rsid w:val="00486F24"/>
    <w:rsid w:val="00490421"/>
    <w:rsid w:val="004934F0"/>
    <w:rsid w:val="004936D2"/>
    <w:rsid w:val="00494263"/>
    <w:rsid w:val="004970AB"/>
    <w:rsid w:val="004A062B"/>
    <w:rsid w:val="004A1C51"/>
    <w:rsid w:val="004A2673"/>
    <w:rsid w:val="004A2A0B"/>
    <w:rsid w:val="004A2C94"/>
    <w:rsid w:val="004A447D"/>
    <w:rsid w:val="004A4FAC"/>
    <w:rsid w:val="004A60C7"/>
    <w:rsid w:val="004A7496"/>
    <w:rsid w:val="004B0850"/>
    <w:rsid w:val="004B1508"/>
    <w:rsid w:val="004B151F"/>
    <w:rsid w:val="004B228A"/>
    <w:rsid w:val="004B3400"/>
    <w:rsid w:val="004B42D2"/>
    <w:rsid w:val="004B65CF"/>
    <w:rsid w:val="004B74E8"/>
    <w:rsid w:val="004B7866"/>
    <w:rsid w:val="004C0E84"/>
    <w:rsid w:val="004C289E"/>
    <w:rsid w:val="004C7B86"/>
    <w:rsid w:val="004C7E0C"/>
    <w:rsid w:val="004D13F8"/>
    <w:rsid w:val="004D3725"/>
    <w:rsid w:val="004D4A40"/>
    <w:rsid w:val="004D5342"/>
    <w:rsid w:val="004D5B61"/>
    <w:rsid w:val="004D658A"/>
    <w:rsid w:val="004D6665"/>
    <w:rsid w:val="004E016B"/>
    <w:rsid w:val="004E025B"/>
    <w:rsid w:val="004E283A"/>
    <w:rsid w:val="004E2C8B"/>
    <w:rsid w:val="004E30F4"/>
    <w:rsid w:val="004E610D"/>
    <w:rsid w:val="004F077C"/>
    <w:rsid w:val="004F085B"/>
    <w:rsid w:val="004F09CA"/>
    <w:rsid w:val="004F187D"/>
    <w:rsid w:val="004F492E"/>
    <w:rsid w:val="004F4E8E"/>
    <w:rsid w:val="004F4FD0"/>
    <w:rsid w:val="004F51CC"/>
    <w:rsid w:val="004F6C97"/>
    <w:rsid w:val="004F7E03"/>
    <w:rsid w:val="00500301"/>
    <w:rsid w:val="005004F2"/>
    <w:rsid w:val="0050167A"/>
    <w:rsid w:val="00502240"/>
    <w:rsid w:val="00503AC5"/>
    <w:rsid w:val="00503B0B"/>
    <w:rsid w:val="0050570A"/>
    <w:rsid w:val="005112C8"/>
    <w:rsid w:val="00511C1B"/>
    <w:rsid w:val="0051365B"/>
    <w:rsid w:val="00515607"/>
    <w:rsid w:val="00515FEB"/>
    <w:rsid w:val="00517563"/>
    <w:rsid w:val="005179E8"/>
    <w:rsid w:val="00517E05"/>
    <w:rsid w:val="00517F53"/>
    <w:rsid w:val="00520C0B"/>
    <w:rsid w:val="00521585"/>
    <w:rsid w:val="00521FE2"/>
    <w:rsid w:val="00522C96"/>
    <w:rsid w:val="00524656"/>
    <w:rsid w:val="00526818"/>
    <w:rsid w:val="00527432"/>
    <w:rsid w:val="005306D6"/>
    <w:rsid w:val="005310CA"/>
    <w:rsid w:val="00531736"/>
    <w:rsid w:val="00534191"/>
    <w:rsid w:val="00534C0A"/>
    <w:rsid w:val="005355AC"/>
    <w:rsid w:val="00535DD6"/>
    <w:rsid w:val="0054074C"/>
    <w:rsid w:val="00540A2F"/>
    <w:rsid w:val="005438A5"/>
    <w:rsid w:val="00544345"/>
    <w:rsid w:val="00545AD8"/>
    <w:rsid w:val="00546ED3"/>
    <w:rsid w:val="00553F07"/>
    <w:rsid w:val="00556A06"/>
    <w:rsid w:val="00557165"/>
    <w:rsid w:val="0055748C"/>
    <w:rsid w:val="0056028B"/>
    <w:rsid w:val="005604C6"/>
    <w:rsid w:val="005658F8"/>
    <w:rsid w:val="00565F0C"/>
    <w:rsid w:val="00567C6A"/>
    <w:rsid w:val="00567D4E"/>
    <w:rsid w:val="0057004B"/>
    <w:rsid w:val="00571BB0"/>
    <w:rsid w:val="00571BFA"/>
    <w:rsid w:val="00572D12"/>
    <w:rsid w:val="00573020"/>
    <w:rsid w:val="00573E85"/>
    <w:rsid w:val="00574847"/>
    <w:rsid w:val="00575121"/>
    <w:rsid w:val="00575570"/>
    <w:rsid w:val="0057621E"/>
    <w:rsid w:val="00576CC3"/>
    <w:rsid w:val="0057748E"/>
    <w:rsid w:val="00577957"/>
    <w:rsid w:val="00580807"/>
    <w:rsid w:val="005822E6"/>
    <w:rsid w:val="00583EE8"/>
    <w:rsid w:val="005861B3"/>
    <w:rsid w:val="00586446"/>
    <w:rsid w:val="0058689E"/>
    <w:rsid w:val="00587B05"/>
    <w:rsid w:val="005906AD"/>
    <w:rsid w:val="00593966"/>
    <w:rsid w:val="005A0141"/>
    <w:rsid w:val="005A06C1"/>
    <w:rsid w:val="005A0B93"/>
    <w:rsid w:val="005A16D8"/>
    <w:rsid w:val="005A2103"/>
    <w:rsid w:val="005A27C2"/>
    <w:rsid w:val="005A52B7"/>
    <w:rsid w:val="005A63A3"/>
    <w:rsid w:val="005A6476"/>
    <w:rsid w:val="005A741D"/>
    <w:rsid w:val="005A79A7"/>
    <w:rsid w:val="005B0057"/>
    <w:rsid w:val="005B1C57"/>
    <w:rsid w:val="005B1EB6"/>
    <w:rsid w:val="005B243D"/>
    <w:rsid w:val="005B25B3"/>
    <w:rsid w:val="005B3D57"/>
    <w:rsid w:val="005B407E"/>
    <w:rsid w:val="005B52EC"/>
    <w:rsid w:val="005B63FC"/>
    <w:rsid w:val="005B6C22"/>
    <w:rsid w:val="005B7AB8"/>
    <w:rsid w:val="005C090B"/>
    <w:rsid w:val="005C1CC2"/>
    <w:rsid w:val="005C2612"/>
    <w:rsid w:val="005C2640"/>
    <w:rsid w:val="005C30AE"/>
    <w:rsid w:val="005C41F0"/>
    <w:rsid w:val="005C538C"/>
    <w:rsid w:val="005C5B7B"/>
    <w:rsid w:val="005C6405"/>
    <w:rsid w:val="005C6FD6"/>
    <w:rsid w:val="005C7886"/>
    <w:rsid w:val="005D007E"/>
    <w:rsid w:val="005D18A6"/>
    <w:rsid w:val="005D2D0C"/>
    <w:rsid w:val="005D4538"/>
    <w:rsid w:val="005D534C"/>
    <w:rsid w:val="005D5883"/>
    <w:rsid w:val="005D595C"/>
    <w:rsid w:val="005D5D37"/>
    <w:rsid w:val="005D69B7"/>
    <w:rsid w:val="005D75F4"/>
    <w:rsid w:val="005D787A"/>
    <w:rsid w:val="005D7F4B"/>
    <w:rsid w:val="005E1F89"/>
    <w:rsid w:val="005E31B4"/>
    <w:rsid w:val="005E3939"/>
    <w:rsid w:val="005E4B7E"/>
    <w:rsid w:val="005E5540"/>
    <w:rsid w:val="005E5E08"/>
    <w:rsid w:val="005E6A73"/>
    <w:rsid w:val="005F21CA"/>
    <w:rsid w:val="005F3C33"/>
    <w:rsid w:val="005F3F76"/>
    <w:rsid w:val="005F3FE7"/>
    <w:rsid w:val="005F4072"/>
    <w:rsid w:val="005F5325"/>
    <w:rsid w:val="005F5C64"/>
    <w:rsid w:val="005F6E0B"/>
    <w:rsid w:val="005F7AA1"/>
    <w:rsid w:val="00601F58"/>
    <w:rsid w:val="00603C94"/>
    <w:rsid w:val="006042AB"/>
    <w:rsid w:val="0060546E"/>
    <w:rsid w:val="0060660E"/>
    <w:rsid w:val="006069AB"/>
    <w:rsid w:val="00606D3B"/>
    <w:rsid w:val="00607AA6"/>
    <w:rsid w:val="00610070"/>
    <w:rsid w:val="00611F96"/>
    <w:rsid w:val="00616696"/>
    <w:rsid w:val="00617AB0"/>
    <w:rsid w:val="006200CE"/>
    <w:rsid w:val="00620EEF"/>
    <w:rsid w:val="006225ED"/>
    <w:rsid w:val="00623339"/>
    <w:rsid w:val="00623517"/>
    <w:rsid w:val="00623DFC"/>
    <w:rsid w:val="006240AE"/>
    <w:rsid w:val="00625AA6"/>
    <w:rsid w:val="00626F4E"/>
    <w:rsid w:val="0062748F"/>
    <w:rsid w:val="00627ECE"/>
    <w:rsid w:val="00631578"/>
    <w:rsid w:val="0063321A"/>
    <w:rsid w:val="00635956"/>
    <w:rsid w:val="006359EE"/>
    <w:rsid w:val="0064324E"/>
    <w:rsid w:val="00645837"/>
    <w:rsid w:val="00645E97"/>
    <w:rsid w:val="006510D6"/>
    <w:rsid w:val="00652ECB"/>
    <w:rsid w:val="006535DC"/>
    <w:rsid w:val="00653FBA"/>
    <w:rsid w:val="00654612"/>
    <w:rsid w:val="0065538E"/>
    <w:rsid w:val="00657F95"/>
    <w:rsid w:val="00662353"/>
    <w:rsid w:val="00662697"/>
    <w:rsid w:val="006629C5"/>
    <w:rsid w:val="00662ED3"/>
    <w:rsid w:val="00662FFE"/>
    <w:rsid w:val="00663588"/>
    <w:rsid w:val="006645FE"/>
    <w:rsid w:val="00664B76"/>
    <w:rsid w:val="00664D8F"/>
    <w:rsid w:val="00664DE9"/>
    <w:rsid w:val="00665061"/>
    <w:rsid w:val="00666E3A"/>
    <w:rsid w:val="00666E43"/>
    <w:rsid w:val="00667CB8"/>
    <w:rsid w:val="00667D9F"/>
    <w:rsid w:val="006704B3"/>
    <w:rsid w:val="00672254"/>
    <w:rsid w:val="00673E2B"/>
    <w:rsid w:val="00674CE7"/>
    <w:rsid w:val="006753E8"/>
    <w:rsid w:val="00676B1D"/>
    <w:rsid w:val="00676CF0"/>
    <w:rsid w:val="006814F2"/>
    <w:rsid w:val="006839F5"/>
    <w:rsid w:val="00686F55"/>
    <w:rsid w:val="006876E5"/>
    <w:rsid w:val="006910F6"/>
    <w:rsid w:val="00691C6F"/>
    <w:rsid w:val="00693E59"/>
    <w:rsid w:val="00694B5F"/>
    <w:rsid w:val="0069727A"/>
    <w:rsid w:val="006A0D19"/>
    <w:rsid w:val="006A224E"/>
    <w:rsid w:val="006A3049"/>
    <w:rsid w:val="006A5367"/>
    <w:rsid w:val="006A5DD8"/>
    <w:rsid w:val="006A7689"/>
    <w:rsid w:val="006A7F4A"/>
    <w:rsid w:val="006B10BA"/>
    <w:rsid w:val="006B1644"/>
    <w:rsid w:val="006B1C0D"/>
    <w:rsid w:val="006B350C"/>
    <w:rsid w:val="006B4331"/>
    <w:rsid w:val="006B54B5"/>
    <w:rsid w:val="006C1329"/>
    <w:rsid w:val="006C1F39"/>
    <w:rsid w:val="006C27EF"/>
    <w:rsid w:val="006C32D3"/>
    <w:rsid w:val="006C40A7"/>
    <w:rsid w:val="006C74B0"/>
    <w:rsid w:val="006D1C32"/>
    <w:rsid w:val="006D3828"/>
    <w:rsid w:val="006D43B6"/>
    <w:rsid w:val="006D4F99"/>
    <w:rsid w:val="006D5427"/>
    <w:rsid w:val="006D6795"/>
    <w:rsid w:val="006D7519"/>
    <w:rsid w:val="006D76C9"/>
    <w:rsid w:val="006D7BD2"/>
    <w:rsid w:val="006E0882"/>
    <w:rsid w:val="006E09FA"/>
    <w:rsid w:val="006E2488"/>
    <w:rsid w:val="006E3022"/>
    <w:rsid w:val="006E42B9"/>
    <w:rsid w:val="006E7C54"/>
    <w:rsid w:val="006F06DA"/>
    <w:rsid w:val="006F0846"/>
    <w:rsid w:val="006F0B00"/>
    <w:rsid w:val="006F3C5D"/>
    <w:rsid w:val="006F4F4E"/>
    <w:rsid w:val="006F5A6C"/>
    <w:rsid w:val="006F7FE6"/>
    <w:rsid w:val="007009DA"/>
    <w:rsid w:val="0070266D"/>
    <w:rsid w:val="007027F9"/>
    <w:rsid w:val="00702DCC"/>
    <w:rsid w:val="00703444"/>
    <w:rsid w:val="007038C1"/>
    <w:rsid w:val="00703ECB"/>
    <w:rsid w:val="0070451F"/>
    <w:rsid w:val="00705738"/>
    <w:rsid w:val="00707A56"/>
    <w:rsid w:val="00710936"/>
    <w:rsid w:val="00711324"/>
    <w:rsid w:val="00711E3E"/>
    <w:rsid w:val="00711FA0"/>
    <w:rsid w:val="00714592"/>
    <w:rsid w:val="00714AF1"/>
    <w:rsid w:val="00716238"/>
    <w:rsid w:val="00716883"/>
    <w:rsid w:val="00716A4F"/>
    <w:rsid w:val="00717128"/>
    <w:rsid w:val="0071783F"/>
    <w:rsid w:val="007205BA"/>
    <w:rsid w:val="007212E0"/>
    <w:rsid w:val="00724B49"/>
    <w:rsid w:val="00725B1E"/>
    <w:rsid w:val="007323C5"/>
    <w:rsid w:val="00734C94"/>
    <w:rsid w:val="00734DE1"/>
    <w:rsid w:val="007403A6"/>
    <w:rsid w:val="00741CDB"/>
    <w:rsid w:val="0074233D"/>
    <w:rsid w:val="0074628A"/>
    <w:rsid w:val="007504E7"/>
    <w:rsid w:val="007511D0"/>
    <w:rsid w:val="00753356"/>
    <w:rsid w:val="00753C30"/>
    <w:rsid w:val="007556A6"/>
    <w:rsid w:val="00757BAF"/>
    <w:rsid w:val="007629EE"/>
    <w:rsid w:val="00762A61"/>
    <w:rsid w:val="00765FFD"/>
    <w:rsid w:val="00766473"/>
    <w:rsid w:val="00766526"/>
    <w:rsid w:val="0077129E"/>
    <w:rsid w:val="007716EF"/>
    <w:rsid w:val="00771F13"/>
    <w:rsid w:val="007720A2"/>
    <w:rsid w:val="00772F0D"/>
    <w:rsid w:val="00773331"/>
    <w:rsid w:val="0077356C"/>
    <w:rsid w:val="00773BB7"/>
    <w:rsid w:val="00774155"/>
    <w:rsid w:val="00775706"/>
    <w:rsid w:val="00775B4F"/>
    <w:rsid w:val="00775EA3"/>
    <w:rsid w:val="00776CA2"/>
    <w:rsid w:val="00776FFC"/>
    <w:rsid w:val="0077729B"/>
    <w:rsid w:val="00781B1D"/>
    <w:rsid w:val="00784107"/>
    <w:rsid w:val="00784247"/>
    <w:rsid w:val="00785EDB"/>
    <w:rsid w:val="0078656A"/>
    <w:rsid w:val="00786710"/>
    <w:rsid w:val="00786FA0"/>
    <w:rsid w:val="0078725C"/>
    <w:rsid w:val="007875A8"/>
    <w:rsid w:val="00790491"/>
    <w:rsid w:val="00791644"/>
    <w:rsid w:val="007932EF"/>
    <w:rsid w:val="007939C0"/>
    <w:rsid w:val="00793D07"/>
    <w:rsid w:val="00796179"/>
    <w:rsid w:val="00796373"/>
    <w:rsid w:val="007A1282"/>
    <w:rsid w:val="007A1993"/>
    <w:rsid w:val="007A2774"/>
    <w:rsid w:val="007A398C"/>
    <w:rsid w:val="007A5307"/>
    <w:rsid w:val="007A7303"/>
    <w:rsid w:val="007A7BDD"/>
    <w:rsid w:val="007B38C3"/>
    <w:rsid w:val="007B404C"/>
    <w:rsid w:val="007B4065"/>
    <w:rsid w:val="007B42A6"/>
    <w:rsid w:val="007B471B"/>
    <w:rsid w:val="007B48B5"/>
    <w:rsid w:val="007B59D6"/>
    <w:rsid w:val="007C1056"/>
    <w:rsid w:val="007C4BCC"/>
    <w:rsid w:val="007C6BA1"/>
    <w:rsid w:val="007C7548"/>
    <w:rsid w:val="007C7DCC"/>
    <w:rsid w:val="007D0341"/>
    <w:rsid w:val="007D0624"/>
    <w:rsid w:val="007D16BF"/>
    <w:rsid w:val="007D2A25"/>
    <w:rsid w:val="007D50AC"/>
    <w:rsid w:val="007D553B"/>
    <w:rsid w:val="007D5CE9"/>
    <w:rsid w:val="007D5FC7"/>
    <w:rsid w:val="007E05B0"/>
    <w:rsid w:val="007E0A99"/>
    <w:rsid w:val="007E13DC"/>
    <w:rsid w:val="007E3159"/>
    <w:rsid w:val="007E38AC"/>
    <w:rsid w:val="007E3B98"/>
    <w:rsid w:val="007E3ECD"/>
    <w:rsid w:val="007E3F71"/>
    <w:rsid w:val="007E6987"/>
    <w:rsid w:val="007F0652"/>
    <w:rsid w:val="007F0C87"/>
    <w:rsid w:val="007F14C8"/>
    <w:rsid w:val="007F256A"/>
    <w:rsid w:val="007F2CA3"/>
    <w:rsid w:val="007F305B"/>
    <w:rsid w:val="007F4083"/>
    <w:rsid w:val="007F6417"/>
    <w:rsid w:val="007F7D5D"/>
    <w:rsid w:val="0080131E"/>
    <w:rsid w:val="008017E2"/>
    <w:rsid w:val="00801857"/>
    <w:rsid w:val="00801DC1"/>
    <w:rsid w:val="00802DDF"/>
    <w:rsid w:val="008032C4"/>
    <w:rsid w:val="0080347F"/>
    <w:rsid w:val="00803E5B"/>
    <w:rsid w:val="00804971"/>
    <w:rsid w:val="00804C87"/>
    <w:rsid w:val="00806F64"/>
    <w:rsid w:val="00807EE2"/>
    <w:rsid w:val="0081034B"/>
    <w:rsid w:val="008111FC"/>
    <w:rsid w:val="00811531"/>
    <w:rsid w:val="00812627"/>
    <w:rsid w:val="008156AB"/>
    <w:rsid w:val="0081718C"/>
    <w:rsid w:val="00817824"/>
    <w:rsid w:val="0082055E"/>
    <w:rsid w:val="00822AD7"/>
    <w:rsid w:val="00823EE2"/>
    <w:rsid w:val="00824102"/>
    <w:rsid w:val="008249B6"/>
    <w:rsid w:val="00830AD5"/>
    <w:rsid w:val="00832945"/>
    <w:rsid w:val="00832C13"/>
    <w:rsid w:val="00832E91"/>
    <w:rsid w:val="00833F26"/>
    <w:rsid w:val="008350BB"/>
    <w:rsid w:val="00840622"/>
    <w:rsid w:val="0084198D"/>
    <w:rsid w:val="00843E16"/>
    <w:rsid w:val="0084476B"/>
    <w:rsid w:val="00845DE3"/>
    <w:rsid w:val="00847D72"/>
    <w:rsid w:val="008522C5"/>
    <w:rsid w:val="008528BC"/>
    <w:rsid w:val="00853A57"/>
    <w:rsid w:val="00854E45"/>
    <w:rsid w:val="00857AC6"/>
    <w:rsid w:val="008632B5"/>
    <w:rsid w:val="00865270"/>
    <w:rsid w:val="00865459"/>
    <w:rsid w:val="0086694B"/>
    <w:rsid w:val="00867A96"/>
    <w:rsid w:val="0087206B"/>
    <w:rsid w:val="008720E6"/>
    <w:rsid w:val="008745D6"/>
    <w:rsid w:val="00874D22"/>
    <w:rsid w:val="0087656E"/>
    <w:rsid w:val="00880383"/>
    <w:rsid w:val="00883B7B"/>
    <w:rsid w:val="00883D84"/>
    <w:rsid w:val="00884124"/>
    <w:rsid w:val="00884DB3"/>
    <w:rsid w:val="00885802"/>
    <w:rsid w:val="00885CBB"/>
    <w:rsid w:val="00886797"/>
    <w:rsid w:val="00890FA0"/>
    <w:rsid w:val="008912E3"/>
    <w:rsid w:val="008918FE"/>
    <w:rsid w:val="00891CFF"/>
    <w:rsid w:val="0089236D"/>
    <w:rsid w:val="00892FD8"/>
    <w:rsid w:val="00894792"/>
    <w:rsid w:val="00897075"/>
    <w:rsid w:val="008A06C7"/>
    <w:rsid w:val="008A0DBE"/>
    <w:rsid w:val="008A15E5"/>
    <w:rsid w:val="008A1A36"/>
    <w:rsid w:val="008A1D71"/>
    <w:rsid w:val="008A2061"/>
    <w:rsid w:val="008A2914"/>
    <w:rsid w:val="008A2FA8"/>
    <w:rsid w:val="008A309C"/>
    <w:rsid w:val="008A38F1"/>
    <w:rsid w:val="008A70FF"/>
    <w:rsid w:val="008B0BCB"/>
    <w:rsid w:val="008B219B"/>
    <w:rsid w:val="008B2FC6"/>
    <w:rsid w:val="008B47A2"/>
    <w:rsid w:val="008B531C"/>
    <w:rsid w:val="008B536A"/>
    <w:rsid w:val="008B6178"/>
    <w:rsid w:val="008B6D70"/>
    <w:rsid w:val="008B6EA6"/>
    <w:rsid w:val="008B6F64"/>
    <w:rsid w:val="008B719F"/>
    <w:rsid w:val="008B7851"/>
    <w:rsid w:val="008C1D0F"/>
    <w:rsid w:val="008C3185"/>
    <w:rsid w:val="008C39B5"/>
    <w:rsid w:val="008C4213"/>
    <w:rsid w:val="008C5A88"/>
    <w:rsid w:val="008C6F28"/>
    <w:rsid w:val="008C7D51"/>
    <w:rsid w:val="008D047E"/>
    <w:rsid w:val="008D130C"/>
    <w:rsid w:val="008D15A7"/>
    <w:rsid w:val="008D2891"/>
    <w:rsid w:val="008D2BD8"/>
    <w:rsid w:val="008D5683"/>
    <w:rsid w:val="008D6DEE"/>
    <w:rsid w:val="008D709A"/>
    <w:rsid w:val="008D7AF4"/>
    <w:rsid w:val="008E01B3"/>
    <w:rsid w:val="008E0B31"/>
    <w:rsid w:val="008E4D8E"/>
    <w:rsid w:val="008E5787"/>
    <w:rsid w:val="008E62D1"/>
    <w:rsid w:val="008E70C2"/>
    <w:rsid w:val="008E77D8"/>
    <w:rsid w:val="008E7BC2"/>
    <w:rsid w:val="008F1F9A"/>
    <w:rsid w:val="008F2DD5"/>
    <w:rsid w:val="008F40B4"/>
    <w:rsid w:val="008F482E"/>
    <w:rsid w:val="008F4F44"/>
    <w:rsid w:val="008F6DDB"/>
    <w:rsid w:val="008F7BD6"/>
    <w:rsid w:val="00900267"/>
    <w:rsid w:val="00900826"/>
    <w:rsid w:val="009017D4"/>
    <w:rsid w:val="0090245B"/>
    <w:rsid w:val="00904CDD"/>
    <w:rsid w:val="00905AA4"/>
    <w:rsid w:val="00907D49"/>
    <w:rsid w:val="00907E9C"/>
    <w:rsid w:val="009103BE"/>
    <w:rsid w:val="00913EAA"/>
    <w:rsid w:val="00914ADD"/>
    <w:rsid w:val="009157FA"/>
    <w:rsid w:val="0091599B"/>
    <w:rsid w:val="00916291"/>
    <w:rsid w:val="00916974"/>
    <w:rsid w:val="0091722F"/>
    <w:rsid w:val="00917E6C"/>
    <w:rsid w:val="009206EC"/>
    <w:rsid w:val="00920B05"/>
    <w:rsid w:val="00920DE0"/>
    <w:rsid w:val="009240D9"/>
    <w:rsid w:val="0092414A"/>
    <w:rsid w:val="009268AD"/>
    <w:rsid w:val="00927FDA"/>
    <w:rsid w:val="00930878"/>
    <w:rsid w:val="00930A37"/>
    <w:rsid w:val="00935222"/>
    <w:rsid w:val="00935AE5"/>
    <w:rsid w:val="00937C0A"/>
    <w:rsid w:val="0094052E"/>
    <w:rsid w:val="00940894"/>
    <w:rsid w:val="00940AB7"/>
    <w:rsid w:val="00940B39"/>
    <w:rsid w:val="00941923"/>
    <w:rsid w:val="00941F5F"/>
    <w:rsid w:val="00943FB4"/>
    <w:rsid w:val="00945C05"/>
    <w:rsid w:val="00946BEB"/>
    <w:rsid w:val="0094778A"/>
    <w:rsid w:val="0095049A"/>
    <w:rsid w:val="0095623D"/>
    <w:rsid w:val="00956EF1"/>
    <w:rsid w:val="00957188"/>
    <w:rsid w:val="00960ACB"/>
    <w:rsid w:val="00962022"/>
    <w:rsid w:val="00962346"/>
    <w:rsid w:val="00967C23"/>
    <w:rsid w:val="00970A50"/>
    <w:rsid w:val="009712D8"/>
    <w:rsid w:val="0097160A"/>
    <w:rsid w:val="009727F6"/>
    <w:rsid w:val="00972B4E"/>
    <w:rsid w:val="00973220"/>
    <w:rsid w:val="0097360D"/>
    <w:rsid w:val="009774B5"/>
    <w:rsid w:val="00980045"/>
    <w:rsid w:val="009811D8"/>
    <w:rsid w:val="00982463"/>
    <w:rsid w:val="00982A0B"/>
    <w:rsid w:val="00983C8F"/>
    <w:rsid w:val="0098741F"/>
    <w:rsid w:val="009904F6"/>
    <w:rsid w:val="00991C26"/>
    <w:rsid w:val="00992FD8"/>
    <w:rsid w:val="009947F4"/>
    <w:rsid w:val="00994833"/>
    <w:rsid w:val="00995B06"/>
    <w:rsid w:val="009A0A5D"/>
    <w:rsid w:val="009A1ED7"/>
    <w:rsid w:val="009A376D"/>
    <w:rsid w:val="009A3CF6"/>
    <w:rsid w:val="009A4DAF"/>
    <w:rsid w:val="009A73AD"/>
    <w:rsid w:val="009A77B8"/>
    <w:rsid w:val="009B01E1"/>
    <w:rsid w:val="009B087A"/>
    <w:rsid w:val="009B2FD5"/>
    <w:rsid w:val="009B2FE6"/>
    <w:rsid w:val="009B3785"/>
    <w:rsid w:val="009B5ECD"/>
    <w:rsid w:val="009B6962"/>
    <w:rsid w:val="009B75E9"/>
    <w:rsid w:val="009C08FA"/>
    <w:rsid w:val="009C169B"/>
    <w:rsid w:val="009C1E9D"/>
    <w:rsid w:val="009C2BF8"/>
    <w:rsid w:val="009C490F"/>
    <w:rsid w:val="009C4B74"/>
    <w:rsid w:val="009C5A2F"/>
    <w:rsid w:val="009D0371"/>
    <w:rsid w:val="009D0493"/>
    <w:rsid w:val="009D077D"/>
    <w:rsid w:val="009D0B5D"/>
    <w:rsid w:val="009D1A25"/>
    <w:rsid w:val="009D4097"/>
    <w:rsid w:val="009D4A4B"/>
    <w:rsid w:val="009D5C22"/>
    <w:rsid w:val="009D5FB7"/>
    <w:rsid w:val="009D62D4"/>
    <w:rsid w:val="009D64A5"/>
    <w:rsid w:val="009D67DA"/>
    <w:rsid w:val="009D72C9"/>
    <w:rsid w:val="009D756B"/>
    <w:rsid w:val="009E0873"/>
    <w:rsid w:val="009E1437"/>
    <w:rsid w:val="009E2A78"/>
    <w:rsid w:val="009E68BD"/>
    <w:rsid w:val="009F3060"/>
    <w:rsid w:val="009F4BD7"/>
    <w:rsid w:val="009F5C14"/>
    <w:rsid w:val="009F6D39"/>
    <w:rsid w:val="00A02129"/>
    <w:rsid w:val="00A02209"/>
    <w:rsid w:val="00A0275A"/>
    <w:rsid w:val="00A027CF"/>
    <w:rsid w:val="00A02E0D"/>
    <w:rsid w:val="00A13798"/>
    <w:rsid w:val="00A139D4"/>
    <w:rsid w:val="00A14BD5"/>
    <w:rsid w:val="00A15367"/>
    <w:rsid w:val="00A16CA7"/>
    <w:rsid w:val="00A20EA0"/>
    <w:rsid w:val="00A23D51"/>
    <w:rsid w:val="00A23DEA"/>
    <w:rsid w:val="00A27222"/>
    <w:rsid w:val="00A27B84"/>
    <w:rsid w:val="00A302CB"/>
    <w:rsid w:val="00A31C11"/>
    <w:rsid w:val="00A32522"/>
    <w:rsid w:val="00A32EA3"/>
    <w:rsid w:val="00A339DC"/>
    <w:rsid w:val="00A35018"/>
    <w:rsid w:val="00A35149"/>
    <w:rsid w:val="00A414B8"/>
    <w:rsid w:val="00A42AF9"/>
    <w:rsid w:val="00A435DD"/>
    <w:rsid w:val="00A43DD6"/>
    <w:rsid w:val="00A44C88"/>
    <w:rsid w:val="00A45420"/>
    <w:rsid w:val="00A46903"/>
    <w:rsid w:val="00A50E9A"/>
    <w:rsid w:val="00A52E4C"/>
    <w:rsid w:val="00A5307D"/>
    <w:rsid w:val="00A532C9"/>
    <w:rsid w:val="00A53DF5"/>
    <w:rsid w:val="00A552FC"/>
    <w:rsid w:val="00A55B9C"/>
    <w:rsid w:val="00A561F1"/>
    <w:rsid w:val="00A56D9E"/>
    <w:rsid w:val="00A612FD"/>
    <w:rsid w:val="00A618F9"/>
    <w:rsid w:val="00A61C51"/>
    <w:rsid w:val="00A61DDB"/>
    <w:rsid w:val="00A61E72"/>
    <w:rsid w:val="00A621F6"/>
    <w:rsid w:val="00A62F3A"/>
    <w:rsid w:val="00A631CB"/>
    <w:rsid w:val="00A6570D"/>
    <w:rsid w:val="00A6617B"/>
    <w:rsid w:val="00A67657"/>
    <w:rsid w:val="00A70261"/>
    <w:rsid w:val="00A702C5"/>
    <w:rsid w:val="00A70960"/>
    <w:rsid w:val="00A70F9B"/>
    <w:rsid w:val="00A719E2"/>
    <w:rsid w:val="00A7276E"/>
    <w:rsid w:val="00A73D98"/>
    <w:rsid w:val="00A759D1"/>
    <w:rsid w:val="00A76196"/>
    <w:rsid w:val="00A773C9"/>
    <w:rsid w:val="00A80650"/>
    <w:rsid w:val="00A81388"/>
    <w:rsid w:val="00A82360"/>
    <w:rsid w:val="00A82423"/>
    <w:rsid w:val="00A82C70"/>
    <w:rsid w:val="00A83650"/>
    <w:rsid w:val="00A83719"/>
    <w:rsid w:val="00A84DEB"/>
    <w:rsid w:val="00A84F25"/>
    <w:rsid w:val="00A85F9F"/>
    <w:rsid w:val="00A86622"/>
    <w:rsid w:val="00A86A41"/>
    <w:rsid w:val="00A8788A"/>
    <w:rsid w:val="00A96438"/>
    <w:rsid w:val="00A97649"/>
    <w:rsid w:val="00AA05F0"/>
    <w:rsid w:val="00AA0754"/>
    <w:rsid w:val="00AA19B7"/>
    <w:rsid w:val="00AA5591"/>
    <w:rsid w:val="00AA7C0F"/>
    <w:rsid w:val="00AB17D3"/>
    <w:rsid w:val="00AB1C54"/>
    <w:rsid w:val="00AB2550"/>
    <w:rsid w:val="00AB3D91"/>
    <w:rsid w:val="00AB6AD3"/>
    <w:rsid w:val="00AB76DD"/>
    <w:rsid w:val="00AC00BD"/>
    <w:rsid w:val="00AC1B92"/>
    <w:rsid w:val="00AC3A58"/>
    <w:rsid w:val="00AC4046"/>
    <w:rsid w:val="00AC58AE"/>
    <w:rsid w:val="00AC699A"/>
    <w:rsid w:val="00AC6E2A"/>
    <w:rsid w:val="00AC7CA6"/>
    <w:rsid w:val="00AC7F4A"/>
    <w:rsid w:val="00AD12F6"/>
    <w:rsid w:val="00AD2267"/>
    <w:rsid w:val="00AD2891"/>
    <w:rsid w:val="00AD2D4F"/>
    <w:rsid w:val="00AD40ED"/>
    <w:rsid w:val="00AD4438"/>
    <w:rsid w:val="00AE069B"/>
    <w:rsid w:val="00AE0AC7"/>
    <w:rsid w:val="00AE250C"/>
    <w:rsid w:val="00AE460B"/>
    <w:rsid w:val="00AE4A1E"/>
    <w:rsid w:val="00AE5F0D"/>
    <w:rsid w:val="00AE6E4D"/>
    <w:rsid w:val="00AF0AF7"/>
    <w:rsid w:val="00AF1CF1"/>
    <w:rsid w:val="00AF21DB"/>
    <w:rsid w:val="00AF4524"/>
    <w:rsid w:val="00AF4BA5"/>
    <w:rsid w:val="00AF4E82"/>
    <w:rsid w:val="00AF69CA"/>
    <w:rsid w:val="00AF71A4"/>
    <w:rsid w:val="00AF7790"/>
    <w:rsid w:val="00B010EB"/>
    <w:rsid w:val="00B02439"/>
    <w:rsid w:val="00B0300F"/>
    <w:rsid w:val="00B03A80"/>
    <w:rsid w:val="00B05D1E"/>
    <w:rsid w:val="00B06782"/>
    <w:rsid w:val="00B068AD"/>
    <w:rsid w:val="00B10887"/>
    <w:rsid w:val="00B1146C"/>
    <w:rsid w:val="00B11E89"/>
    <w:rsid w:val="00B11F86"/>
    <w:rsid w:val="00B1465D"/>
    <w:rsid w:val="00B149E6"/>
    <w:rsid w:val="00B177C4"/>
    <w:rsid w:val="00B21120"/>
    <w:rsid w:val="00B21919"/>
    <w:rsid w:val="00B24508"/>
    <w:rsid w:val="00B24E73"/>
    <w:rsid w:val="00B261A2"/>
    <w:rsid w:val="00B26928"/>
    <w:rsid w:val="00B276BC"/>
    <w:rsid w:val="00B27AE8"/>
    <w:rsid w:val="00B307C9"/>
    <w:rsid w:val="00B309C9"/>
    <w:rsid w:val="00B31011"/>
    <w:rsid w:val="00B31514"/>
    <w:rsid w:val="00B32148"/>
    <w:rsid w:val="00B32BF3"/>
    <w:rsid w:val="00B3521C"/>
    <w:rsid w:val="00B35306"/>
    <w:rsid w:val="00B3540F"/>
    <w:rsid w:val="00B36A5D"/>
    <w:rsid w:val="00B3739F"/>
    <w:rsid w:val="00B37B5D"/>
    <w:rsid w:val="00B37C7D"/>
    <w:rsid w:val="00B408AB"/>
    <w:rsid w:val="00B41731"/>
    <w:rsid w:val="00B42285"/>
    <w:rsid w:val="00B43B7A"/>
    <w:rsid w:val="00B43DD4"/>
    <w:rsid w:val="00B45817"/>
    <w:rsid w:val="00B4689F"/>
    <w:rsid w:val="00B50351"/>
    <w:rsid w:val="00B537B9"/>
    <w:rsid w:val="00B5415F"/>
    <w:rsid w:val="00B54DD0"/>
    <w:rsid w:val="00B561D8"/>
    <w:rsid w:val="00B5698E"/>
    <w:rsid w:val="00B57646"/>
    <w:rsid w:val="00B6085B"/>
    <w:rsid w:val="00B63E4D"/>
    <w:rsid w:val="00B64B0D"/>
    <w:rsid w:val="00B6550B"/>
    <w:rsid w:val="00B65B39"/>
    <w:rsid w:val="00B6683B"/>
    <w:rsid w:val="00B71A65"/>
    <w:rsid w:val="00B72079"/>
    <w:rsid w:val="00B72714"/>
    <w:rsid w:val="00B7392C"/>
    <w:rsid w:val="00B73A7A"/>
    <w:rsid w:val="00B73EF6"/>
    <w:rsid w:val="00B743BA"/>
    <w:rsid w:val="00B748C9"/>
    <w:rsid w:val="00B75235"/>
    <w:rsid w:val="00B75A79"/>
    <w:rsid w:val="00B770E6"/>
    <w:rsid w:val="00B779FA"/>
    <w:rsid w:val="00B845F3"/>
    <w:rsid w:val="00B85783"/>
    <w:rsid w:val="00B90253"/>
    <w:rsid w:val="00B9029C"/>
    <w:rsid w:val="00B912F5"/>
    <w:rsid w:val="00B91DA7"/>
    <w:rsid w:val="00B925D3"/>
    <w:rsid w:val="00B9315B"/>
    <w:rsid w:val="00B93652"/>
    <w:rsid w:val="00B94452"/>
    <w:rsid w:val="00B953D6"/>
    <w:rsid w:val="00B955FD"/>
    <w:rsid w:val="00B968EC"/>
    <w:rsid w:val="00BA01C7"/>
    <w:rsid w:val="00BA1C23"/>
    <w:rsid w:val="00BA3BDE"/>
    <w:rsid w:val="00BA4C02"/>
    <w:rsid w:val="00BA507C"/>
    <w:rsid w:val="00BA5BAC"/>
    <w:rsid w:val="00BB1B2D"/>
    <w:rsid w:val="00BB3175"/>
    <w:rsid w:val="00BB38B5"/>
    <w:rsid w:val="00BB4098"/>
    <w:rsid w:val="00BB42A7"/>
    <w:rsid w:val="00BB46C5"/>
    <w:rsid w:val="00BB500F"/>
    <w:rsid w:val="00BB5CED"/>
    <w:rsid w:val="00BB5DE7"/>
    <w:rsid w:val="00BB662B"/>
    <w:rsid w:val="00BB6739"/>
    <w:rsid w:val="00BC0855"/>
    <w:rsid w:val="00BC183E"/>
    <w:rsid w:val="00BC2194"/>
    <w:rsid w:val="00BC278A"/>
    <w:rsid w:val="00BC317A"/>
    <w:rsid w:val="00BC4F1B"/>
    <w:rsid w:val="00BC533B"/>
    <w:rsid w:val="00BC5A82"/>
    <w:rsid w:val="00BC7B40"/>
    <w:rsid w:val="00BD0CEE"/>
    <w:rsid w:val="00BD1D32"/>
    <w:rsid w:val="00BD2D1D"/>
    <w:rsid w:val="00BD4C50"/>
    <w:rsid w:val="00BD511C"/>
    <w:rsid w:val="00BD66EF"/>
    <w:rsid w:val="00BD676A"/>
    <w:rsid w:val="00BD7D48"/>
    <w:rsid w:val="00BE0E83"/>
    <w:rsid w:val="00BE14D0"/>
    <w:rsid w:val="00BE2303"/>
    <w:rsid w:val="00BE31FE"/>
    <w:rsid w:val="00BE433E"/>
    <w:rsid w:val="00BE4A76"/>
    <w:rsid w:val="00BE5232"/>
    <w:rsid w:val="00BE58BC"/>
    <w:rsid w:val="00BE60D3"/>
    <w:rsid w:val="00BE70C6"/>
    <w:rsid w:val="00BE769D"/>
    <w:rsid w:val="00BE785C"/>
    <w:rsid w:val="00BF04FB"/>
    <w:rsid w:val="00BF080B"/>
    <w:rsid w:val="00BF1B94"/>
    <w:rsid w:val="00BF26FA"/>
    <w:rsid w:val="00BF37D1"/>
    <w:rsid w:val="00BF3F83"/>
    <w:rsid w:val="00BF4E4C"/>
    <w:rsid w:val="00BF4FD5"/>
    <w:rsid w:val="00BF5842"/>
    <w:rsid w:val="00BF5ABF"/>
    <w:rsid w:val="00BF7462"/>
    <w:rsid w:val="00C01F28"/>
    <w:rsid w:val="00C027D4"/>
    <w:rsid w:val="00C034E2"/>
    <w:rsid w:val="00C0358C"/>
    <w:rsid w:val="00C04622"/>
    <w:rsid w:val="00C0497D"/>
    <w:rsid w:val="00C04B94"/>
    <w:rsid w:val="00C04BB8"/>
    <w:rsid w:val="00C04C35"/>
    <w:rsid w:val="00C056BE"/>
    <w:rsid w:val="00C06F85"/>
    <w:rsid w:val="00C07613"/>
    <w:rsid w:val="00C07C89"/>
    <w:rsid w:val="00C07EE9"/>
    <w:rsid w:val="00C1150A"/>
    <w:rsid w:val="00C11BB4"/>
    <w:rsid w:val="00C12301"/>
    <w:rsid w:val="00C12F70"/>
    <w:rsid w:val="00C136C2"/>
    <w:rsid w:val="00C13BC6"/>
    <w:rsid w:val="00C16EF7"/>
    <w:rsid w:val="00C17B92"/>
    <w:rsid w:val="00C21465"/>
    <w:rsid w:val="00C23C2D"/>
    <w:rsid w:val="00C23FB9"/>
    <w:rsid w:val="00C242F0"/>
    <w:rsid w:val="00C2482A"/>
    <w:rsid w:val="00C24D66"/>
    <w:rsid w:val="00C2559B"/>
    <w:rsid w:val="00C25E45"/>
    <w:rsid w:val="00C275AD"/>
    <w:rsid w:val="00C2782A"/>
    <w:rsid w:val="00C30884"/>
    <w:rsid w:val="00C33928"/>
    <w:rsid w:val="00C344C6"/>
    <w:rsid w:val="00C34CCF"/>
    <w:rsid w:val="00C359B7"/>
    <w:rsid w:val="00C365A5"/>
    <w:rsid w:val="00C37B09"/>
    <w:rsid w:val="00C37F9E"/>
    <w:rsid w:val="00C40184"/>
    <w:rsid w:val="00C42CAD"/>
    <w:rsid w:val="00C42CCF"/>
    <w:rsid w:val="00C43148"/>
    <w:rsid w:val="00C44740"/>
    <w:rsid w:val="00C47828"/>
    <w:rsid w:val="00C50095"/>
    <w:rsid w:val="00C50206"/>
    <w:rsid w:val="00C50534"/>
    <w:rsid w:val="00C51309"/>
    <w:rsid w:val="00C5230A"/>
    <w:rsid w:val="00C54588"/>
    <w:rsid w:val="00C54E7E"/>
    <w:rsid w:val="00C5536B"/>
    <w:rsid w:val="00C5537F"/>
    <w:rsid w:val="00C5677E"/>
    <w:rsid w:val="00C573CB"/>
    <w:rsid w:val="00C5781A"/>
    <w:rsid w:val="00C62533"/>
    <w:rsid w:val="00C62D6E"/>
    <w:rsid w:val="00C639B8"/>
    <w:rsid w:val="00C64F9D"/>
    <w:rsid w:val="00C65FEF"/>
    <w:rsid w:val="00C66E96"/>
    <w:rsid w:val="00C70CEF"/>
    <w:rsid w:val="00C712F0"/>
    <w:rsid w:val="00C73B3B"/>
    <w:rsid w:val="00C75979"/>
    <w:rsid w:val="00C8017F"/>
    <w:rsid w:val="00C84952"/>
    <w:rsid w:val="00C86892"/>
    <w:rsid w:val="00C92940"/>
    <w:rsid w:val="00C93023"/>
    <w:rsid w:val="00C9576D"/>
    <w:rsid w:val="00C95806"/>
    <w:rsid w:val="00C95AE0"/>
    <w:rsid w:val="00C96680"/>
    <w:rsid w:val="00C96F28"/>
    <w:rsid w:val="00C97612"/>
    <w:rsid w:val="00CA005A"/>
    <w:rsid w:val="00CA05BF"/>
    <w:rsid w:val="00CA0BC8"/>
    <w:rsid w:val="00CA192E"/>
    <w:rsid w:val="00CA6228"/>
    <w:rsid w:val="00CB1850"/>
    <w:rsid w:val="00CB332B"/>
    <w:rsid w:val="00CB39D2"/>
    <w:rsid w:val="00CB3AD0"/>
    <w:rsid w:val="00CB4FA1"/>
    <w:rsid w:val="00CB6C9E"/>
    <w:rsid w:val="00CB7096"/>
    <w:rsid w:val="00CB70BC"/>
    <w:rsid w:val="00CB748E"/>
    <w:rsid w:val="00CB74B5"/>
    <w:rsid w:val="00CB74FA"/>
    <w:rsid w:val="00CB75A5"/>
    <w:rsid w:val="00CC0831"/>
    <w:rsid w:val="00CC08BB"/>
    <w:rsid w:val="00CC0946"/>
    <w:rsid w:val="00CC0A87"/>
    <w:rsid w:val="00CC1A47"/>
    <w:rsid w:val="00CC271B"/>
    <w:rsid w:val="00CC3BBB"/>
    <w:rsid w:val="00CC4ABD"/>
    <w:rsid w:val="00CC529F"/>
    <w:rsid w:val="00CC731F"/>
    <w:rsid w:val="00CC7545"/>
    <w:rsid w:val="00CD1A83"/>
    <w:rsid w:val="00CD1E27"/>
    <w:rsid w:val="00CD2B57"/>
    <w:rsid w:val="00CD5A45"/>
    <w:rsid w:val="00CD5DA5"/>
    <w:rsid w:val="00CE0757"/>
    <w:rsid w:val="00CE43D4"/>
    <w:rsid w:val="00CE48FD"/>
    <w:rsid w:val="00CE49F4"/>
    <w:rsid w:val="00CE5AF1"/>
    <w:rsid w:val="00CE6FD3"/>
    <w:rsid w:val="00CE71BB"/>
    <w:rsid w:val="00CE74C2"/>
    <w:rsid w:val="00CE7F1B"/>
    <w:rsid w:val="00CF16D6"/>
    <w:rsid w:val="00CF2EBD"/>
    <w:rsid w:val="00CF36D1"/>
    <w:rsid w:val="00CF564C"/>
    <w:rsid w:val="00CF5785"/>
    <w:rsid w:val="00CF5FB3"/>
    <w:rsid w:val="00CF6B6C"/>
    <w:rsid w:val="00D003EC"/>
    <w:rsid w:val="00D0114F"/>
    <w:rsid w:val="00D018D6"/>
    <w:rsid w:val="00D02E4E"/>
    <w:rsid w:val="00D038FD"/>
    <w:rsid w:val="00D04213"/>
    <w:rsid w:val="00D06244"/>
    <w:rsid w:val="00D0662E"/>
    <w:rsid w:val="00D06AF0"/>
    <w:rsid w:val="00D07614"/>
    <w:rsid w:val="00D078A3"/>
    <w:rsid w:val="00D07B48"/>
    <w:rsid w:val="00D12B3A"/>
    <w:rsid w:val="00D14CAD"/>
    <w:rsid w:val="00D15E79"/>
    <w:rsid w:val="00D16248"/>
    <w:rsid w:val="00D17441"/>
    <w:rsid w:val="00D20381"/>
    <w:rsid w:val="00D21B9A"/>
    <w:rsid w:val="00D24121"/>
    <w:rsid w:val="00D24A6D"/>
    <w:rsid w:val="00D24DBF"/>
    <w:rsid w:val="00D2510D"/>
    <w:rsid w:val="00D255D8"/>
    <w:rsid w:val="00D25C75"/>
    <w:rsid w:val="00D27992"/>
    <w:rsid w:val="00D31F35"/>
    <w:rsid w:val="00D322CB"/>
    <w:rsid w:val="00D32409"/>
    <w:rsid w:val="00D32548"/>
    <w:rsid w:val="00D335E7"/>
    <w:rsid w:val="00D3448E"/>
    <w:rsid w:val="00D35542"/>
    <w:rsid w:val="00D35BC7"/>
    <w:rsid w:val="00D36F48"/>
    <w:rsid w:val="00D406B7"/>
    <w:rsid w:val="00D41243"/>
    <w:rsid w:val="00D4232F"/>
    <w:rsid w:val="00D42A42"/>
    <w:rsid w:val="00D43CFA"/>
    <w:rsid w:val="00D44CF0"/>
    <w:rsid w:val="00D45330"/>
    <w:rsid w:val="00D45CD1"/>
    <w:rsid w:val="00D46C84"/>
    <w:rsid w:val="00D551F6"/>
    <w:rsid w:val="00D56634"/>
    <w:rsid w:val="00D57492"/>
    <w:rsid w:val="00D60459"/>
    <w:rsid w:val="00D60B18"/>
    <w:rsid w:val="00D61239"/>
    <w:rsid w:val="00D61897"/>
    <w:rsid w:val="00D61A34"/>
    <w:rsid w:val="00D64BAE"/>
    <w:rsid w:val="00D6574B"/>
    <w:rsid w:val="00D671A0"/>
    <w:rsid w:val="00D711F1"/>
    <w:rsid w:val="00D727E3"/>
    <w:rsid w:val="00D72ED7"/>
    <w:rsid w:val="00D74749"/>
    <w:rsid w:val="00D76316"/>
    <w:rsid w:val="00D76D05"/>
    <w:rsid w:val="00D76FC2"/>
    <w:rsid w:val="00D77C3C"/>
    <w:rsid w:val="00D77EE0"/>
    <w:rsid w:val="00D81D96"/>
    <w:rsid w:val="00D82A00"/>
    <w:rsid w:val="00D82E1C"/>
    <w:rsid w:val="00D84073"/>
    <w:rsid w:val="00D85782"/>
    <w:rsid w:val="00D85993"/>
    <w:rsid w:val="00D873E2"/>
    <w:rsid w:val="00D904DB"/>
    <w:rsid w:val="00D91D00"/>
    <w:rsid w:val="00D93FBF"/>
    <w:rsid w:val="00D94373"/>
    <w:rsid w:val="00D9457A"/>
    <w:rsid w:val="00D95572"/>
    <w:rsid w:val="00D9569F"/>
    <w:rsid w:val="00D961FB"/>
    <w:rsid w:val="00DA0352"/>
    <w:rsid w:val="00DA04CE"/>
    <w:rsid w:val="00DA14AC"/>
    <w:rsid w:val="00DA2C32"/>
    <w:rsid w:val="00DA2DAD"/>
    <w:rsid w:val="00DA3095"/>
    <w:rsid w:val="00DA3314"/>
    <w:rsid w:val="00DA3479"/>
    <w:rsid w:val="00DA4C27"/>
    <w:rsid w:val="00DA578E"/>
    <w:rsid w:val="00DA6008"/>
    <w:rsid w:val="00DA7D9F"/>
    <w:rsid w:val="00DB0F58"/>
    <w:rsid w:val="00DB1553"/>
    <w:rsid w:val="00DB3303"/>
    <w:rsid w:val="00DB33F5"/>
    <w:rsid w:val="00DB50E4"/>
    <w:rsid w:val="00DB6435"/>
    <w:rsid w:val="00DB688D"/>
    <w:rsid w:val="00DB690C"/>
    <w:rsid w:val="00DB6A5D"/>
    <w:rsid w:val="00DC04F2"/>
    <w:rsid w:val="00DC05CC"/>
    <w:rsid w:val="00DC1501"/>
    <w:rsid w:val="00DC2309"/>
    <w:rsid w:val="00DC23AD"/>
    <w:rsid w:val="00DC2D56"/>
    <w:rsid w:val="00DC39BF"/>
    <w:rsid w:val="00DC4408"/>
    <w:rsid w:val="00DC54DA"/>
    <w:rsid w:val="00DC5860"/>
    <w:rsid w:val="00DC68FA"/>
    <w:rsid w:val="00DC7106"/>
    <w:rsid w:val="00DC7428"/>
    <w:rsid w:val="00DC787E"/>
    <w:rsid w:val="00DD0CD8"/>
    <w:rsid w:val="00DD4B69"/>
    <w:rsid w:val="00DD5DED"/>
    <w:rsid w:val="00DD6280"/>
    <w:rsid w:val="00DD6292"/>
    <w:rsid w:val="00DD6679"/>
    <w:rsid w:val="00DD7F05"/>
    <w:rsid w:val="00DE13F4"/>
    <w:rsid w:val="00DE2790"/>
    <w:rsid w:val="00DE33C8"/>
    <w:rsid w:val="00DE3480"/>
    <w:rsid w:val="00DE36AA"/>
    <w:rsid w:val="00DE38BC"/>
    <w:rsid w:val="00DE5612"/>
    <w:rsid w:val="00DE5F31"/>
    <w:rsid w:val="00DE7D2C"/>
    <w:rsid w:val="00DF0F20"/>
    <w:rsid w:val="00DF1170"/>
    <w:rsid w:val="00DF141C"/>
    <w:rsid w:val="00DF2345"/>
    <w:rsid w:val="00DF41B5"/>
    <w:rsid w:val="00DF4442"/>
    <w:rsid w:val="00DF4C1A"/>
    <w:rsid w:val="00DF53D3"/>
    <w:rsid w:val="00DF62E5"/>
    <w:rsid w:val="00DF63AA"/>
    <w:rsid w:val="00E00A9F"/>
    <w:rsid w:val="00E015C8"/>
    <w:rsid w:val="00E01888"/>
    <w:rsid w:val="00E02113"/>
    <w:rsid w:val="00E0237F"/>
    <w:rsid w:val="00E02D0E"/>
    <w:rsid w:val="00E03637"/>
    <w:rsid w:val="00E05012"/>
    <w:rsid w:val="00E0758C"/>
    <w:rsid w:val="00E07D80"/>
    <w:rsid w:val="00E11284"/>
    <w:rsid w:val="00E124D5"/>
    <w:rsid w:val="00E128E5"/>
    <w:rsid w:val="00E13228"/>
    <w:rsid w:val="00E13B08"/>
    <w:rsid w:val="00E1429E"/>
    <w:rsid w:val="00E15C7D"/>
    <w:rsid w:val="00E163E0"/>
    <w:rsid w:val="00E16A8B"/>
    <w:rsid w:val="00E171E1"/>
    <w:rsid w:val="00E1793C"/>
    <w:rsid w:val="00E21531"/>
    <w:rsid w:val="00E2347C"/>
    <w:rsid w:val="00E23A18"/>
    <w:rsid w:val="00E24B83"/>
    <w:rsid w:val="00E25078"/>
    <w:rsid w:val="00E257C3"/>
    <w:rsid w:val="00E260E4"/>
    <w:rsid w:val="00E26A2E"/>
    <w:rsid w:val="00E26D8C"/>
    <w:rsid w:val="00E272D4"/>
    <w:rsid w:val="00E27D30"/>
    <w:rsid w:val="00E311C1"/>
    <w:rsid w:val="00E3167F"/>
    <w:rsid w:val="00E31955"/>
    <w:rsid w:val="00E33E34"/>
    <w:rsid w:val="00E35DAF"/>
    <w:rsid w:val="00E35FF5"/>
    <w:rsid w:val="00E405E7"/>
    <w:rsid w:val="00E41925"/>
    <w:rsid w:val="00E42630"/>
    <w:rsid w:val="00E430F8"/>
    <w:rsid w:val="00E43940"/>
    <w:rsid w:val="00E44253"/>
    <w:rsid w:val="00E44C63"/>
    <w:rsid w:val="00E45D66"/>
    <w:rsid w:val="00E4716C"/>
    <w:rsid w:val="00E47BDB"/>
    <w:rsid w:val="00E50B8D"/>
    <w:rsid w:val="00E54B71"/>
    <w:rsid w:val="00E54DBC"/>
    <w:rsid w:val="00E550E7"/>
    <w:rsid w:val="00E55DA5"/>
    <w:rsid w:val="00E57E5D"/>
    <w:rsid w:val="00E6174C"/>
    <w:rsid w:val="00E62B66"/>
    <w:rsid w:val="00E6339A"/>
    <w:rsid w:val="00E6447C"/>
    <w:rsid w:val="00E65C35"/>
    <w:rsid w:val="00E65F95"/>
    <w:rsid w:val="00E66379"/>
    <w:rsid w:val="00E67050"/>
    <w:rsid w:val="00E673C3"/>
    <w:rsid w:val="00E704D2"/>
    <w:rsid w:val="00E70601"/>
    <w:rsid w:val="00E70E10"/>
    <w:rsid w:val="00E7126C"/>
    <w:rsid w:val="00E71699"/>
    <w:rsid w:val="00E73D7A"/>
    <w:rsid w:val="00E742D0"/>
    <w:rsid w:val="00E77115"/>
    <w:rsid w:val="00E803A6"/>
    <w:rsid w:val="00E8045B"/>
    <w:rsid w:val="00E81122"/>
    <w:rsid w:val="00E81357"/>
    <w:rsid w:val="00E828E7"/>
    <w:rsid w:val="00E83140"/>
    <w:rsid w:val="00E83D06"/>
    <w:rsid w:val="00E8531D"/>
    <w:rsid w:val="00E857EC"/>
    <w:rsid w:val="00E86E33"/>
    <w:rsid w:val="00E87BAE"/>
    <w:rsid w:val="00E902C0"/>
    <w:rsid w:val="00E90B19"/>
    <w:rsid w:val="00E9280E"/>
    <w:rsid w:val="00E94300"/>
    <w:rsid w:val="00E94595"/>
    <w:rsid w:val="00E9499D"/>
    <w:rsid w:val="00E95FFB"/>
    <w:rsid w:val="00E9757A"/>
    <w:rsid w:val="00E976BB"/>
    <w:rsid w:val="00E97F32"/>
    <w:rsid w:val="00EA0047"/>
    <w:rsid w:val="00EA1EA5"/>
    <w:rsid w:val="00EA21E4"/>
    <w:rsid w:val="00EA37FD"/>
    <w:rsid w:val="00EA3A6E"/>
    <w:rsid w:val="00EA4AED"/>
    <w:rsid w:val="00EA50A3"/>
    <w:rsid w:val="00EA6022"/>
    <w:rsid w:val="00EA70B6"/>
    <w:rsid w:val="00EB1A15"/>
    <w:rsid w:val="00EB3B26"/>
    <w:rsid w:val="00EB413A"/>
    <w:rsid w:val="00EB61B4"/>
    <w:rsid w:val="00EB632E"/>
    <w:rsid w:val="00EB6859"/>
    <w:rsid w:val="00EB7565"/>
    <w:rsid w:val="00EB7C7B"/>
    <w:rsid w:val="00EC0C3B"/>
    <w:rsid w:val="00EC11B4"/>
    <w:rsid w:val="00EC156F"/>
    <w:rsid w:val="00EC1A8C"/>
    <w:rsid w:val="00EC2FF2"/>
    <w:rsid w:val="00EC591A"/>
    <w:rsid w:val="00EC6085"/>
    <w:rsid w:val="00EC7F78"/>
    <w:rsid w:val="00ED00CD"/>
    <w:rsid w:val="00ED10EE"/>
    <w:rsid w:val="00ED3008"/>
    <w:rsid w:val="00ED4A77"/>
    <w:rsid w:val="00ED4CAD"/>
    <w:rsid w:val="00ED5688"/>
    <w:rsid w:val="00ED61DC"/>
    <w:rsid w:val="00ED78F7"/>
    <w:rsid w:val="00ED7DC5"/>
    <w:rsid w:val="00EE09A0"/>
    <w:rsid w:val="00EE0B8F"/>
    <w:rsid w:val="00EE221A"/>
    <w:rsid w:val="00EE2F5F"/>
    <w:rsid w:val="00EE4387"/>
    <w:rsid w:val="00EE4481"/>
    <w:rsid w:val="00EE48B6"/>
    <w:rsid w:val="00EE5364"/>
    <w:rsid w:val="00EE5B9F"/>
    <w:rsid w:val="00EE754A"/>
    <w:rsid w:val="00EF0D8D"/>
    <w:rsid w:val="00EF11A1"/>
    <w:rsid w:val="00EF232A"/>
    <w:rsid w:val="00EF25F7"/>
    <w:rsid w:val="00EF34D0"/>
    <w:rsid w:val="00EF3699"/>
    <w:rsid w:val="00EF4855"/>
    <w:rsid w:val="00EF4D0E"/>
    <w:rsid w:val="00EF5380"/>
    <w:rsid w:val="00EF5445"/>
    <w:rsid w:val="00EF60EF"/>
    <w:rsid w:val="00F02030"/>
    <w:rsid w:val="00F0408A"/>
    <w:rsid w:val="00F040C7"/>
    <w:rsid w:val="00F042C5"/>
    <w:rsid w:val="00F04E6F"/>
    <w:rsid w:val="00F05C66"/>
    <w:rsid w:val="00F0686D"/>
    <w:rsid w:val="00F07881"/>
    <w:rsid w:val="00F10183"/>
    <w:rsid w:val="00F10A2B"/>
    <w:rsid w:val="00F123E7"/>
    <w:rsid w:val="00F1259E"/>
    <w:rsid w:val="00F13831"/>
    <w:rsid w:val="00F13EE9"/>
    <w:rsid w:val="00F156F8"/>
    <w:rsid w:val="00F16399"/>
    <w:rsid w:val="00F20322"/>
    <w:rsid w:val="00F207F3"/>
    <w:rsid w:val="00F20F69"/>
    <w:rsid w:val="00F22498"/>
    <w:rsid w:val="00F2349E"/>
    <w:rsid w:val="00F2621E"/>
    <w:rsid w:val="00F26436"/>
    <w:rsid w:val="00F27D94"/>
    <w:rsid w:val="00F27DB7"/>
    <w:rsid w:val="00F3080B"/>
    <w:rsid w:val="00F31316"/>
    <w:rsid w:val="00F31949"/>
    <w:rsid w:val="00F32FD9"/>
    <w:rsid w:val="00F3483A"/>
    <w:rsid w:val="00F35066"/>
    <w:rsid w:val="00F3765B"/>
    <w:rsid w:val="00F37C1F"/>
    <w:rsid w:val="00F40452"/>
    <w:rsid w:val="00F40CB2"/>
    <w:rsid w:val="00F41B72"/>
    <w:rsid w:val="00F427F8"/>
    <w:rsid w:val="00F42D6D"/>
    <w:rsid w:val="00F4352F"/>
    <w:rsid w:val="00F44231"/>
    <w:rsid w:val="00F44316"/>
    <w:rsid w:val="00F4461E"/>
    <w:rsid w:val="00F44A0E"/>
    <w:rsid w:val="00F452F1"/>
    <w:rsid w:val="00F46028"/>
    <w:rsid w:val="00F46BAC"/>
    <w:rsid w:val="00F4706B"/>
    <w:rsid w:val="00F502E4"/>
    <w:rsid w:val="00F50766"/>
    <w:rsid w:val="00F50EA1"/>
    <w:rsid w:val="00F51149"/>
    <w:rsid w:val="00F513AA"/>
    <w:rsid w:val="00F51ABB"/>
    <w:rsid w:val="00F5334B"/>
    <w:rsid w:val="00F5421C"/>
    <w:rsid w:val="00F54341"/>
    <w:rsid w:val="00F548DA"/>
    <w:rsid w:val="00F564A9"/>
    <w:rsid w:val="00F56932"/>
    <w:rsid w:val="00F56F40"/>
    <w:rsid w:val="00F57849"/>
    <w:rsid w:val="00F619CE"/>
    <w:rsid w:val="00F6596A"/>
    <w:rsid w:val="00F66E72"/>
    <w:rsid w:val="00F67015"/>
    <w:rsid w:val="00F677F5"/>
    <w:rsid w:val="00F67EEF"/>
    <w:rsid w:val="00F70997"/>
    <w:rsid w:val="00F71574"/>
    <w:rsid w:val="00F762DE"/>
    <w:rsid w:val="00F77415"/>
    <w:rsid w:val="00F80119"/>
    <w:rsid w:val="00F80A47"/>
    <w:rsid w:val="00F80F6A"/>
    <w:rsid w:val="00F8332F"/>
    <w:rsid w:val="00F836B0"/>
    <w:rsid w:val="00F84894"/>
    <w:rsid w:val="00F85E08"/>
    <w:rsid w:val="00F8674C"/>
    <w:rsid w:val="00F87F0C"/>
    <w:rsid w:val="00F9007F"/>
    <w:rsid w:val="00F902EF"/>
    <w:rsid w:val="00F9051B"/>
    <w:rsid w:val="00F9059D"/>
    <w:rsid w:val="00F958CC"/>
    <w:rsid w:val="00F95B5D"/>
    <w:rsid w:val="00F9683D"/>
    <w:rsid w:val="00FA0197"/>
    <w:rsid w:val="00FA081E"/>
    <w:rsid w:val="00FA136F"/>
    <w:rsid w:val="00FA3A98"/>
    <w:rsid w:val="00FA63B1"/>
    <w:rsid w:val="00FA70BE"/>
    <w:rsid w:val="00FA7E1A"/>
    <w:rsid w:val="00FB00C4"/>
    <w:rsid w:val="00FB0D0B"/>
    <w:rsid w:val="00FB0EAF"/>
    <w:rsid w:val="00FB1237"/>
    <w:rsid w:val="00FB401B"/>
    <w:rsid w:val="00FB4491"/>
    <w:rsid w:val="00FB4AA7"/>
    <w:rsid w:val="00FB5606"/>
    <w:rsid w:val="00FB5AB1"/>
    <w:rsid w:val="00FB5AE7"/>
    <w:rsid w:val="00FB5BE3"/>
    <w:rsid w:val="00FB6A99"/>
    <w:rsid w:val="00FB707E"/>
    <w:rsid w:val="00FB7CAD"/>
    <w:rsid w:val="00FC1408"/>
    <w:rsid w:val="00FC1B9A"/>
    <w:rsid w:val="00FC253B"/>
    <w:rsid w:val="00FC2F39"/>
    <w:rsid w:val="00FC38C3"/>
    <w:rsid w:val="00FC38F8"/>
    <w:rsid w:val="00FC5913"/>
    <w:rsid w:val="00FC6A4B"/>
    <w:rsid w:val="00FC746B"/>
    <w:rsid w:val="00FD1539"/>
    <w:rsid w:val="00FD3857"/>
    <w:rsid w:val="00FD3949"/>
    <w:rsid w:val="00FD593A"/>
    <w:rsid w:val="00FD59BA"/>
    <w:rsid w:val="00FD6911"/>
    <w:rsid w:val="00FE48E4"/>
    <w:rsid w:val="00FE70C1"/>
    <w:rsid w:val="00FF0D82"/>
    <w:rsid w:val="00FF1402"/>
    <w:rsid w:val="00FF549B"/>
    <w:rsid w:val="00FF5CF8"/>
    <w:rsid w:val="00FF655C"/>
    <w:rsid w:val="00FF65A9"/>
    <w:rsid w:val="00FF7E04"/>
    <w:rsid w:val="21754373"/>
    <w:rsid w:val="21C5CE55"/>
    <w:rsid w:val="2A31F3E9"/>
    <w:rsid w:val="2D4BCB39"/>
    <w:rsid w:val="322D6928"/>
    <w:rsid w:val="35A0060F"/>
    <w:rsid w:val="3B4C7626"/>
    <w:rsid w:val="3E21F2F6"/>
    <w:rsid w:val="414C747C"/>
    <w:rsid w:val="6B6DC759"/>
    <w:rsid w:val="6F482AF8"/>
    <w:rsid w:val="7911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8790E6FB-FF1B-4820-89CA-EF1C0869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0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40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40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40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rsid w:val="008E70C2"/>
    <w:pPr>
      <w:numPr>
        <w:numId w:val="2"/>
      </w:numPr>
      <w:tabs>
        <w:tab w:val="num" w:pos="360"/>
      </w:tabs>
      <w:ind w:left="0" w:firstLine="0"/>
    </w:pPr>
    <w:rPr>
      <w:rFonts w:eastAsia="Times New Roman"/>
      <w:lang w:eastAsia="de-DE"/>
    </w:rPr>
  </w:style>
  <w:style w:type="paragraph" w:styleId="ListNumber">
    <w:name w:val="List Number"/>
    <w:basedOn w:val="Normal"/>
    <w:rsid w:val="008E70C2"/>
    <w:pPr>
      <w:numPr>
        <w:numId w:val="6"/>
      </w:numPr>
    </w:pPr>
    <w:rPr>
      <w:rFonts w:eastAsia="Times New Roman"/>
      <w:lang w:eastAsia="de-DE"/>
    </w:rPr>
  </w:style>
  <w:style w:type="paragraph" w:customStyle="1" w:styleId="ListBullet1">
    <w:name w:val="List Bullet 1"/>
    <w:basedOn w:val="Normal"/>
    <w:rsid w:val="008E70C2"/>
    <w:pPr>
      <w:numPr>
        <w:numId w:val="1"/>
      </w:numPr>
    </w:pPr>
    <w:rPr>
      <w:rFonts w:eastAsia="Times New Roman"/>
      <w:lang w:eastAsia="de-DE"/>
    </w:rPr>
  </w:style>
  <w:style w:type="paragraph" w:customStyle="1" w:styleId="ListDash">
    <w:name w:val="List Dash"/>
    <w:basedOn w:val="Normal"/>
    <w:rsid w:val="008E70C2"/>
    <w:pPr>
      <w:numPr>
        <w:numId w:val="3"/>
      </w:numPr>
    </w:pPr>
    <w:rPr>
      <w:rFonts w:eastAsia="Times New Roman"/>
      <w:lang w:eastAsia="de-DE"/>
    </w:rPr>
  </w:style>
  <w:style w:type="paragraph" w:customStyle="1" w:styleId="ListDash1">
    <w:name w:val="List Dash 1"/>
    <w:basedOn w:val="Normal"/>
    <w:rsid w:val="008E70C2"/>
    <w:pPr>
      <w:numPr>
        <w:numId w:val="4"/>
      </w:numPr>
    </w:pPr>
    <w:rPr>
      <w:rFonts w:eastAsia="Times New Roman"/>
      <w:lang w:eastAsia="de-DE"/>
    </w:rPr>
  </w:style>
  <w:style w:type="paragraph" w:customStyle="1" w:styleId="ListDash2">
    <w:name w:val="List Dash 2"/>
    <w:basedOn w:val="Normal"/>
    <w:rsid w:val="008E70C2"/>
    <w:pPr>
      <w:numPr>
        <w:numId w:val="5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rsid w:val="008E70C2"/>
    <w:pPr>
      <w:numPr>
        <w:ilvl w:val="1"/>
        <w:numId w:val="6"/>
      </w:numPr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rsid w:val="008E70C2"/>
    <w:pPr>
      <w:numPr>
        <w:ilvl w:val="2"/>
        <w:numId w:val="6"/>
      </w:numPr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rsid w:val="008E70C2"/>
    <w:pPr>
      <w:numPr>
        <w:ilvl w:val="3"/>
        <w:numId w:val="6"/>
      </w:numPr>
    </w:pPr>
    <w:rPr>
      <w:rFonts w:eastAsia="Times New Roman"/>
      <w:lang w:eastAsia="de-DE"/>
    </w:rPr>
  </w:style>
  <w:style w:type="table" w:styleId="TableGrid">
    <w:name w:val="Table Grid"/>
    <w:basedOn w:val="TableNormal"/>
    <w:rsid w:val="008E70C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E70C2"/>
    <w:rPr>
      <w:color w:val="0000FF"/>
      <w:u w:val="single"/>
    </w:rPr>
  </w:style>
  <w:style w:type="paragraph" w:styleId="ListBullet">
    <w:name w:val="List Bullet"/>
    <w:basedOn w:val="Normal"/>
    <w:rsid w:val="008E70C2"/>
    <w:pPr>
      <w:numPr>
        <w:numId w:val="7"/>
      </w:numPr>
    </w:pPr>
    <w:rPr>
      <w:rFonts w:eastAsia="Times New Roman"/>
      <w:lang w:val="fr-FR" w:eastAsia="en-GB"/>
    </w:rPr>
  </w:style>
  <w:style w:type="paragraph" w:styleId="ListBullet2">
    <w:name w:val="List Bullet 2"/>
    <w:basedOn w:val="Normal"/>
    <w:rsid w:val="008E70C2"/>
    <w:pPr>
      <w:numPr>
        <w:numId w:val="8"/>
      </w:numPr>
    </w:pPr>
    <w:rPr>
      <w:rFonts w:eastAsia="Times New Roman"/>
      <w:lang w:val="fr-FR" w:eastAsia="en-GB"/>
    </w:rPr>
  </w:style>
  <w:style w:type="paragraph" w:styleId="ListBullet3">
    <w:name w:val="List Bullet 3"/>
    <w:basedOn w:val="Normal"/>
    <w:rsid w:val="008E70C2"/>
    <w:pPr>
      <w:numPr>
        <w:numId w:val="9"/>
      </w:numPr>
    </w:pPr>
    <w:rPr>
      <w:rFonts w:eastAsia="Times New Roman"/>
      <w:lang w:val="fr-FR" w:eastAsia="en-GB"/>
    </w:rPr>
  </w:style>
  <w:style w:type="paragraph" w:styleId="ListNumber2">
    <w:name w:val="List Number 2"/>
    <w:basedOn w:val="Normal"/>
    <w:rsid w:val="008E70C2"/>
    <w:pPr>
      <w:numPr>
        <w:numId w:val="13"/>
      </w:numPr>
    </w:pPr>
    <w:rPr>
      <w:rFonts w:eastAsia="Times New Roman"/>
      <w:lang w:val="fr-FR" w:eastAsia="en-GB"/>
    </w:rPr>
  </w:style>
  <w:style w:type="paragraph" w:styleId="ListNumber3">
    <w:name w:val="List Number 3"/>
    <w:basedOn w:val="Normal"/>
    <w:rsid w:val="008E70C2"/>
    <w:pPr>
      <w:numPr>
        <w:numId w:val="14"/>
      </w:numPr>
    </w:pPr>
    <w:rPr>
      <w:rFonts w:eastAsia="Times New Roman"/>
      <w:lang w:val="fr-FR" w:eastAsia="en-GB"/>
    </w:rPr>
  </w:style>
  <w:style w:type="paragraph" w:styleId="ListNumber4">
    <w:name w:val="List Number 4"/>
    <w:basedOn w:val="Normal"/>
    <w:rsid w:val="008E70C2"/>
    <w:pPr>
      <w:numPr>
        <w:numId w:val="15"/>
      </w:numPr>
    </w:pPr>
    <w:rPr>
      <w:rFonts w:eastAsia="Times New Roman"/>
      <w:lang w:val="fr-FR" w:eastAsia="en-GB"/>
    </w:rPr>
  </w:style>
  <w:style w:type="paragraph" w:customStyle="1" w:styleId="ListDash3">
    <w:name w:val="List Dash 3"/>
    <w:basedOn w:val="Normal"/>
    <w:rsid w:val="008E70C2"/>
    <w:pPr>
      <w:numPr>
        <w:numId w:val="10"/>
      </w:numPr>
    </w:pPr>
    <w:rPr>
      <w:rFonts w:eastAsia="Times New Roman"/>
      <w:lang w:val="fr-FR" w:eastAsia="en-GB"/>
    </w:rPr>
  </w:style>
  <w:style w:type="paragraph" w:customStyle="1" w:styleId="ListDash4">
    <w:name w:val="List Dash 4"/>
    <w:basedOn w:val="Normal"/>
    <w:rsid w:val="008E70C2"/>
    <w:pPr>
      <w:numPr>
        <w:numId w:val="11"/>
      </w:numPr>
    </w:pPr>
    <w:rPr>
      <w:rFonts w:eastAsia="Times New Roman"/>
      <w:lang w:val="fr-FR" w:eastAsia="en-GB"/>
    </w:rPr>
  </w:style>
  <w:style w:type="paragraph" w:customStyle="1" w:styleId="ListNumber1">
    <w:name w:val="List Number 1"/>
    <w:basedOn w:val="Text1"/>
    <w:rsid w:val="008E70C2"/>
    <w:pPr>
      <w:numPr>
        <w:numId w:val="12"/>
      </w:numPr>
    </w:pPr>
    <w:rPr>
      <w:rFonts w:eastAsia="Times New Roman"/>
      <w:lang w:val="fr-FR" w:eastAsia="en-GB"/>
    </w:rPr>
  </w:style>
  <w:style w:type="paragraph" w:customStyle="1" w:styleId="ListNumber1Level2">
    <w:name w:val="List Number 1 (Level 2)"/>
    <w:basedOn w:val="Text1"/>
    <w:rsid w:val="008E70C2"/>
    <w:pPr>
      <w:numPr>
        <w:ilvl w:val="1"/>
        <w:numId w:val="12"/>
      </w:numPr>
    </w:pPr>
    <w:rPr>
      <w:rFonts w:eastAsia="Times New Roman"/>
      <w:lang w:val="fr-FR" w:eastAsia="en-GB"/>
    </w:rPr>
  </w:style>
  <w:style w:type="paragraph" w:customStyle="1" w:styleId="ListNumber2Level2">
    <w:name w:val="List Number 2 (Level 2)"/>
    <w:basedOn w:val="Text2"/>
    <w:rsid w:val="008E70C2"/>
    <w:pPr>
      <w:numPr>
        <w:ilvl w:val="1"/>
        <w:numId w:val="13"/>
      </w:numPr>
    </w:pPr>
    <w:rPr>
      <w:rFonts w:eastAsia="Times New Roman"/>
      <w:lang w:val="fr-FR" w:eastAsia="en-GB"/>
    </w:rPr>
  </w:style>
  <w:style w:type="paragraph" w:customStyle="1" w:styleId="ListNumber3Level2">
    <w:name w:val="List Number 3 (Level 2)"/>
    <w:basedOn w:val="Text3"/>
    <w:rsid w:val="008E70C2"/>
    <w:pPr>
      <w:numPr>
        <w:ilvl w:val="1"/>
        <w:numId w:val="14"/>
      </w:numPr>
    </w:pPr>
    <w:rPr>
      <w:rFonts w:eastAsia="Times New Roman"/>
      <w:lang w:val="fr-FR" w:eastAsia="en-GB"/>
    </w:rPr>
  </w:style>
  <w:style w:type="paragraph" w:customStyle="1" w:styleId="ListNumber4Level2">
    <w:name w:val="List Number 4 (Level 2)"/>
    <w:basedOn w:val="Text4"/>
    <w:rsid w:val="008E70C2"/>
    <w:pPr>
      <w:numPr>
        <w:ilvl w:val="1"/>
        <w:numId w:val="15"/>
      </w:numPr>
    </w:pPr>
    <w:rPr>
      <w:rFonts w:eastAsia="Times New Roman"/>
      <w:lang w:val="fr-FR" w:eastAsia="en-GB"/>
    </w:rPr>
  </w:style>
  <w:style w:type="paragraph" w:customStyle="1" w:styleId="ListNumber1Level3">
    <w:name w:val="List Number 1 (Level 3)"/>
    <w:basedOn w:val="Text1"/>
    <w:rsid w:val="008E70C2"/>
    <w:pPr>
      <w:numPr>
        <w:ilvl w:val="2"/>
        <w:numId w:val="12"/>
      </w:numPr>
    </w:pPr>
    <w:rPr>
      <w:rFonts w:eastAsia="Times New Roman"/>
      <w:lang w:val="fr-FR" w:eastAsia="en-GB"/>
    </w:rPr>
  </w:style>
  <w:style w:type="paragraph" w:customStyle="1" w:styleId="ListNumber2Level3">
    <w:name w:val="List Number 2 (Level 3)"/>
    <w:basedOn w:val="Text2"/>
    <w:rsid w:val="008E70C2"/>
    <w:pPr>
      <w:numPr>
        <w:ilvl w:val="2"/>
        <w:numId w:val="13"/>
      </w:numPr>
    </w:pPr>
    <w:rPr>
      <w:rFonts w:eastAsia="Times New Roman"/>
      <w:lang w:val="fr-FR" w:eastAsia="en-GB"/>
    </w:rPr>
  </w:style>
  <w:style w:type="paragraph" w:customStyle="1" w:styleId="ListNumber3Level3">
    <w:name w:val="List Number 3 (Level 3)"/>
    <w:basedOn w:val="Text3"/>
    <w:rsid w:val="008E70C2"/>
    <w:pPr>
      <w:numPr>
        <w:ilvl w:val="2"/>
        <w:numId w:val="14"/>
      </w:numPr>
    </w:pPr>
    <w:rPr>
      <w:rFonts w:eastAsia="Times New Roman"/>
      <w:lang w:val="fr-FR" w:eastAsia="en-GB"/>
    </w:rPr>
  </w:style>
  <w:style w:type="paragraph" w:customStyle="1" w:styleId="ListNumber4Level3">
    <w:name w:val="List Number 4 (Level 3)"/>
    <w:basedOn w:val="Text4"/>
    <w:rsid w:val="008E70C2"/>
    <w:pPr>
      <w:numPr>
        <w:ilvl w:val="2"/>
        <w:numId w:val="15"/>
      </w:numPr>
    </w:pPr>
    <w:rPr>
      <w:rFonts w:eastAsia="Times New Roman"/>
      <w:lang w:val="fr-FR" w:eastAsia="en-GB"/>
    </w:rPr>
  </w:style>
  <w:style w:type="paragraph" w:customStyle="1" w:styleId="ListNumber1Level4">
    <w:name w:val="List Number 1 (Level 4)"/>
    <w:basedOn w:val="Text1"/>
    <w:rsid w:val="008E70C2"/>
    <w:pPr>
      <w:numPr>
        <w:ilvl w:val="3"/>
        <w:numId w:val="12"/>
      </w:numPr>
    </w:pPr>
    <w:rPr>
      <w:rFonts w:eastAsia="Times New Roman"/>
      <w:lang w:val="fr-FR" w:eastAsia="en-GB"/>
    </w:rPr>
  </w:style>
  <w:style w:type="paragraph" w:customStyle="1" w:styleId="ListNumber2Level4">
    <w:name w:val="List Number 2 (Level 4)"/>
    <w:basedOn w:val="Text2"/>
    <w:rsid w:val="008E70C2"/>
    <w:pPr>
      <w:numPr>
        <w:ilvl w:val="3"/>
        <w:numId w:val="13"/>
      </w:numPr>
    </w:pPr>
    <w:rPr>
      <w:rFonts w:eastAsia="Times New Roman"/>
      <w:lang w:val="fr-FR" w:eastAsia="en-GB"/>
    </w:rPr>
  </w:style>
  <w:style w:type="paragraph" w:customStyle="1" w:styleId="ListNumber3Level4">
    <w:name w:val="List Number 3 (Level 4)"/>
    <w:basedOn w:val="Text3"/>
    <w:rsid w:val="008E70C2"/>
    <w:pPr>
      <w:numPr>
        <w:ilvl w:val="3"/>
        <w:numId w:val="14"/>
      </w:numPr>
    </w:pPr>
    <w:rPr>
      <w:rFonts w:eastAsia="Times New Roman"/>
      <w:lang w:val="fr-FR" w:eastAsia="en-GB"/>
    </w:rPr>
  </w:style>
  <w:style w:type="paragraph" w:customStyle="1" w:styleId="ListNumber4Level4">
    <w:name w:val="List Number 4 (Level 4)"/>
    <w:basedOn w:val="Text4"/>
    <w:rsid w:val="008E70C2"/>
    <w:pPr>
      <w:numPr>
        <w:ilvl w:val="3"/>
        <w:numId w:val="15"/>
      </w:numPr>
    </w:pPr>
    <w:rPr>
      <w:rFonts w:eastAsia="Times New Roman"/>
      <w:lang w:val="fr-FR" w:eastAsia="en-GB"/>
    </w:rPr>
  </w:style>
  <w:style w:type="paragraph" w:customStyle="1" w:styleId="Annexetitreacte">
    <w:name w:val="Annexe titre (acte)"/>
    <w:basedOn w:val="Normal"/>
    <w:next w:val="Normal"/>
    <w:rsid w:val="008E70C2"/>
    <w:pPr>
      <w:jc w:val="center"/>
    </w:pPr>
    <w:rPr>
      <w:rFonts w:eastAsia="Times New Roman"/>
      <w:b/>
      <w:u w:val="single"/>
      <w:lang w:val="fr-FR" w:eastAsia="en-GB"/>
    </w:rPr>
  </w:style>
  <w:style w:type="paragraph" w:customStyle="1" w:styleId="Annexetitreexposglobal">
    <w:name w:val="Annexe titre (exposé global)"/>
    <w:basedOn w:val="Normal"/>
    <w:next w:val="Normal"/>
    <w:rsid w:val="008E70C2"/>
    <w:pPr>
      <w:jc w:val="center"/>
    </w:pPr>
    <w:rPr>
      <w:rFonts w:eastAsia="Times New Roman"/>
      <w:b/>
      <w:u w:val="single"/>
      <w:lang w:val="fr-FR" w:eastAsia="en-GB"/>
    </w:rPr>
  </w:style>
  <w:style w:type="paragraph" w:customStyle="1" w:styleId="Annexetitrefichefinacte">
    <w:name w:val="Annexe titre (fiche fin. acte)"/>
    <w:basedOn w:val="Normal"/>
    <w:next w:val="Normal"/>
    <w:rsid w:val="008E70C2"/>
    <w:pPr>
      <w:jc w:val="center"/>
    </w:pPr>
    <w:rPr>
      <w:rFonts w:eastAsia="Times New Roman"/>
      <w:b/>
      <w:u w:val="single"/>
      <w:lang w:val="fr-FR" w:eastAsia="en-GB"/>
    </w:rPr>
  </w:style>
  <w:style w:type="paragraph" w:customStyle="1" w:styleId="Annexetitrefichefinglobale">
    <w:name w:val="Annexe titre (fiche fin. globale)"/>
    <w:basedOn w:val="Normal"/>
    <w:next w:val="Normal"/>
    <w:rsid w:val="008E70C2"/>
    <w:pPr>
      <w:jc w:val="center"/>
    </w:pPr>
    <w:rPr>
      <w:rFonts w:eastAsia="Times New Roman"/>
      <w:b/>
      <w:u w:val="single"/>
      <w:lang w:val="fr-FR" w:eastAsia="en-GB"/>
    </w:rPr>
  </w:style>
  <w:style w:type="paragraph" w:customStyle="1" w:styleId="Annexetitreglobale">
    <w:name w:val="Annexe titre (globale)"/>
    <w:basedOn w:val="Normal"/>
    <w:next w:val="Normal"/>
    <w:rsid w:val="008E70C2"/>
    <w:pPr>
      <w:jc w:val="center"/>
    </w:pPr>
    <w:rPr>
      <w:rFonts w:eastAsia="Times New Roman"/>
      <w:b/>
      <w:u w:val="single"/>
      <w:lang w:val="fr-FR" w:eastAsia="en-GB"/>
    </w:rPr>
  </w:style>
  <w:style w:type="paragraph" w:customStyle="1" w:styleId="Exposdesmotifstitreglobal">
    <w:name w:val="Exposé des motifs titre (global)"/>
    <w:basedOn w:val="Normal"/>
    <w:next w:val="Normal"/>
    <w:rsid w:val="008E70C2"/>
    <w:pPr>
      <w:jc w:val="center"/>
    </w:pPr>
    <w:rPr>
      <w:rFonts w:eastAsia="Times New Roman"/>
      <w:b/>
      <w:u w:val="single"/>
      <w:lang w:val="fr-FR" w:eastAsia="en-GB"/>
    </w:rPr>
  </w:style>
  <w:style w:type="paragraph" w:customStyle="1" w:styleId="Langueoriginale">
    <w:name w:val="Langue originale"/>
    <w:basedOn w:val="Normal"/>
    <w:rsid w:val="008E70C2"/>
    <w:pPr>
      <w:spacing w:before="360"/>
      <w:jc w:val="center"/>
    </w:pPr>
    <w:rPr>
      <w:rFonts w:eastAsia="Times New Roman"/>
      <w:caps/>
      <w:lang w:val="fr-FR" w:eastAsia="en-GB"/>
    </w:rPr>
  </w:style>
  <w:style w:type="paragraph" w:customStyle="1" w:styleId="Phrasefinale">
    <w:name w:val="Phrase finale"/>
    <w:basedOn w:val="Normal"/>
    <w:next w:val="Normal"/>
    <w:rsid w:val="008E70C2"/>
    <w:pPr>
      <w:spacing w:before="360" w:after="0"/>
      <w:jc w:val="center"/>
    </w:pPr>
    <w:rPr>
      <w:rFonts w:eastAsia="Times New Roman"/>
      <w:lang w:val="fr-FR" w:eastAsia="en-GB"/>
    </w:rPr>
  </w:style>
  <w:style w:type="paragraph" w:customStyle="1" w:styleId="Prliminairetitre">
    <w:name w:val="Préliminaire titre"/>
    <w:basedOn w:val="Normal"/>
    <w:next w:val="Normal"/>
    <w:rsid w:val="008E70C2"/>
    <w:pPr>
      <w:spacing w:before="360" w:after="360"/>
      <w:jc w:val="center"/>
    </w:pPr>
    <w:rPr>
      <w:rFonts w:eastAsia="Times New Roman"/>
      <w:b/>
      <w:lang w:val="fr-FR" w:eastAsia="en-GB"/>
    </w:rPr>
  </w:style>
  <w:style w:type="paragraph" w:customStyle="1" w:styleId="Prliminairetype">
    <w:name w:val="Préliminaire type"/>
    <w:basedOn w:val="Normal"/>
    <w:next w:val="Normal"/>
    <w:rsid w:val="008E70C2"/>
    <w:pPr>
      <w:spacing w:before="360" w:after="0"/>
      <w:jc w:val="center"/>
    </w:pPr>
    <w:rPr>
      <w:rFonts w:eastAsia="Times New Roman"/>
      <w:b/>
      <w:lang w:val="fr-FR" w:eastAsia="en-GB"/>
    </w:rPr>
  </w:style>
  <w:style w:type="paragraph" w:customStyle="1" w:styleId="Rfrenceinstitutionelle">
    <w:name w:val="Référence institutionelle"/>
    <w:basedOn w:val="Normal"/>
    <w:next w:val="Statut"/>
    <w:rsid w:val="008E70C2"/>
    <w:pPr>
      <w:spacing w:before="0" w:after="240"/>
      <w:ind w:left="5103"/>
      <w:jc w:val="left"/>
    </w:pPr>
    <w:rPr>
      <w:rFonts w:eastAsia="Times New Roman"/>
      <w:lang w:val="fr-FR" w:eastAsia="en-GB"/>
    </w:rPr>
  </w:style>
  <w:style w:type="paragraph" w:customStyle="1" w:styleId="Rfrenceinterinstitutionelle">
    <w:name w:val="Référence interinstitutionelle"/>
    <w:basedOn w:val="Normal"/>
    <w:next w:val="Statut"/>
    <w:rsid w:val="008E70C2"/>
    <w:pPr>
      <w:spacing w:before="0" w:after="0"/>
      <w:ind w:left="5103"/>
      <w:jc w:val="left"/>
    </w:pPr>
    <w:rPr>
      <w:rFonts w:eastAsia="Times New Roman"/>
      <w:lang w:val="fr-FR"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8E70C2"/>
    <w:pPr>
      <w:spacing w:before="0" w:after="0"/>
      <w:ind w:left="5103"/>
      <w:jc w:val="left"/>
    </w:pPr>
    <w:rPr>
      <w:rFonts w:eastAsia="Times New Roman"/>
      <w:lang w:val="fr-FR" w:eastAsia="en-GB"/>
    </w:rPr>
  </w:style>
  <w:style w:type="paragraph" w:customStyle="1" w:styleId="Sous-titreobjetprliminaire">
    <w:name w:val="Sous-titre objet (préliminaire)"/>
    <w:basedOn w:val="Normal"/>
    <w:rsid w:val="008E70C2"/>
    <w:pPr>
      <w:spacing w:before="0" w:after="0"/>
      <w:jc w:val="center"/>
    </w:pPr>
    <w:rPr>
      <w:rFonts w:eastAsia="Times New Roman"/>
      <w:b/>
      <w:lang w:val="fr-FR" w:eastAsia="en-GB"/>
    </w:rPr>
  </w:style>
  <w:style w:type="paragraph" w:customStyle="1" w:styleId="Statutprliminaire">
    <w:name w:val="Statut (préliminaire)"/>
    <w:basedOn w:val="Normal"/>
    <w:next w:val="Normal"/>
    <w:rsid w:val="008E70C2"/>
    <w:pPr>
      <w:spacing w:before="360" w:after="0"/>
      <w:jc w:val="center"/>
    </w:pPr>
    <w:rPr>
      <w:rFonts w:eastAsia="Times New Roman"/>
      <w:lang w:val="fr-FR" w:eastAsia="en-GB"/>
    </w:rPr>
  </w:style>
  <w:style w:type="paragraph" w:customStyle="1" w:styleId="Titreobjetprliminaire">
    <w:name w:val="Titre objet (préliminaire)"/>
    <w:basedOn w:val="Normal"/>
    <w:next w:val="Normal"/>
    <w:rsid w:val="008E70C2"/>
    <w:pPr>
      <w:spacing w:before="360" w:after="360"/>
      <w:jc w:val="center"/>
    </w:pPr>
    <w:rPr>
      <w:rFonts w:eastAsia="Times New Roman"/>
      <w:b/>
      <w:lang w:val="fr-FR" w:eastAsia="en-GB"/>
    </w:rPr>
  </w:style>
  <w:style w:type="paragraph" w:customStyle="1" w:styleId="Typedudocumentprliminaire">
    <w:name w:val="Type du document (préliminaire)"/>
    <w:basedOn w:val="Normal"/>
    <w:next w:val="Normal"/>
    <w:rsid w:val="008E70C2"/>
    <w:pPr>
      <w:spacing w:before="360" w:after="0"/>
      <w:jc w:val="center"/>
    </w:pPr>
    <w:rPr>
      <w:rFonts w:eastAsia="Times New Roman"/>
      <w:b/>
      <w:lang w:val="fr-FR" w:eastAsia="en-GB"/>
    </w:rPr>
  </w:style>
  <w:style w:type="paragraph" w:customStyle="1" w:styleId="Fichefinancirestandardtitre">
    <w:name w:val="Fiche financière (standard) titre"/>
    <w:basedOn w:val="Normal"/>
    <w:next w:val="Normal"/>
    <w:rsid w:val="008E70C2"/>
    <w:pPr>
      <w:jc w:val="center"/>
    </w:pPr>
    <w:rPr>
      <w:rFonts w:eastAsia="Times New Roman"/>
      <w:b/>
      <w:u w:val="single"/>
      <w:lang w:val="fr-FR" w:eastAsia="en-GB"/>
    </w:rPr>
  </w:style>
  <w:style w:type="paragraph" w:customStyle="1" w:styleId="Fichefinancirestandardtitreacte">
    <w:name w:val="Fiche financière (standard) titre (acte)"/>
    <w:basedOn w:val="Normal"/>
    <w:next w:val="Normal"/>
    <w:rsid w:val="008E70C2"/>
    <w:pPr>
      <w:jc w:val="center"/>
    </w:pPr>
    <w:rPr>
      <w:rFonts w:eastAsia="Times New Roman"/>
      <w:b/>
      <w:u w:val="single"/>
      <w:lang w:val="fr-FR" w:eastAsia="en-GB"/>
    </w:rPr>
  </w:style>
  <w:style w:type="paragraph" w:customStyle="1" w:styleId="Fichefinanciretravailtitre">
    <w:name w:val="Fiche financière (travail) titre"/>
    <w:basedOn w:val="Normal"/>
    <w:next w:val="Normal"/>
    <w:rsid w:val="008E70C2"/>
    <w:pPr>
      <w:jc w:val="center"/>
    </w:pPr>
    <w:rPr>
      <w:rFonts w:eastAsia="Times New Roman"/>
      <w:b/>
      <w:u w:val="single"/>
      <w:lang w:val="fr-FR" w:eastAsia="en-GB"/>
    </w:rPr>
  </w:style>
  <w:style w:type="paragraph" w:customStyle="1" w:styleId="Fichefinanciretravailtitreacte">
    <w:name w:val="Fiche financière (travail) titre (acte)"/>
    <w:basedOn w:val="Normal"/>
    <w:next w:val="Normal"/>
    <w:rsid w:val="008E70C2"/>
    <w:pPr>
      <w:jc w:val="center"/>
    </w:pPr>
    <w:rPr>
      <w:rFonts w:eastAsia="Times New Roman"/>
      <w:b/>
      <w:u w:val="single"/>
      <w:lang w:val="fr-FR" w:eastAsia="en-GB"/>
    </w:rPr>
  </w:style>
  <w:style w:type="paragraph" w:customStyle="1" w:styleId="Fichefinancireattributiontitre">
    <w:name w:val="Fiche financière (attribution) titre"/>
    <w:basedOn w:val="Normal"/>
    <w:next w:val="Normal"/>
    <w:rsid w:val="008E70C2"/>
    <w:pPr>
      <w:jc w:val="center"/>
    </w:pPr>
    <w:rPr>
      <w:rFonts w:eastAsia="Times New Roman"/>
      <w:b/>
      <w:u w:val="single"/>
      <w:lang w:val="fr-FR" w:eastAsia="en-GB"/>
    </w:rPr>
  </w:style>
  <w:style w:type="paragraph" w:customStyle="1" w:styleId="Fichefinancireattributiontitreacte">
    <w:name w:val="Fiche financière (attribution) titre (acte)"/>
    <w:basedOn w:val="Normal"/>
    <w:next w:val="Normal"/>
    <w:rsid w:val="008E70C2"/>
    <w:pPr>
      <w:jc w:val="center"/>
    </w:pPr>
    <w:rPr>
      <w:rFonts w:eastAsia="Times New Roman"/>
      <w:b/>
      <w:u w:val="single"/>
      <w:lang w:val="fr-FR" w:eastAsia="en-GB"/>
    </w:rPr>
  </w:style>
  <w:style w:type="character" w:styleId="CommentReference">
    <w:name w:val="annotation reference"/>
    <w:rsid w:val="00883D84"/>
    <w:rPr>
      <w:rFonts w:cs="Times New Roman"/>
      <w:noProof w:val="0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rsid w:val="00883D84"/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883D8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E7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70C2"/>
    <w:rPr>
      <w:rFonts w:ascii="Times New Roman" w:eastAsia="Times New Roman" w:hAnsi="Times New Roman" w:cs="Times New Roman"/>
      <w:b/>
      <w:bCs/>
      <w:sz w:val="20"/>
      <w:szCs w:val="20"/>
      <w:lang w:val="fr-FR" w:eastAsia="en-GB"/>
    </w:rPr>
  </w:style>
  <w:style w:type="paragraph" w:styleId="BalloonText">
    <w:name w:val="Balloon Text"/>
    <w:basedOn w:val="Normal"/>
    <w:link w:val="BalloonTextChar"/>
    <w:rsid w:val="008E70C2"/>
    <w:rPr>
      <w:rFonts w:ascii="Tahoma" w:eastAsia="Times New Roman" w:hAnsi="Tahoma" w:cs="Tahoma"/>
      <w:sz w:val="16"/>
      <w:szCs w:val="16"/>
      <w:lang w:val="fr-FR" w:eastAsia="en-GB"/>
    </w:rPr>
  </w:style>
  <w:style w:type="character" w:customStyle="1" w:styleId="BalloonTextChar">
    <w:name w:val="Balloon Text Char"/>
    <w:basedOn w:val="DefaultParagraphFont"/>
    <w:link w:val="BalloonText"/>
    <w:rsid w:val="008E70C2"/>
    <w:rPr>
      <w:rFonts w:ascii="Tahoma" w:eastAsia="Times New Roman" w:hAnsi="Tahoma" w:cs="Tahoma"/>
      <w:sz w:val="16"/>
      <w:szCs w:val="16"/>
      <w:lang w:val="fr-FR" w:eastAsia="en-GB"/>
    </w:rPr>
  </w:style>
  <w:style w:type="paragraph" w:styleId="Caption">
    <w:name w:val="caption"/>
    <w:basedOn w:val="Normal"/>
    <w:next w:val="Normal"/>
    <w:qFormat/>
    <w:rsid w:val="008E70C2"/>
    <w:rPr>
      <w:rFonts w:eastAsia="Times New Roman"/>
      <w:b/>
      <w:bCs/>
      <w:sz w:val="20"/>
      <w:szCs w:val="20"/>
      <w:lang w:val="fr-FR" w:eastAsia="en-GB"/>
    </w:rPr>
  </w:style>
  <w:style w:type="paragraph" w:styleId="TableofFigures">
    <w:name w:val="table of figures"/>
    <w:basedOn w:val="Normal"/>
    <w:next w:val="Normal"/>
    <w:rsid w:val="008E70C2"/>
    <w:rPr>
      <w:rFonts w:eastAsia="Times New Roman"/>
      <w:lang w:val="fr-FR" w:eastAsia="en-GB"/>
    </w:rPr>
  </w:style>
  <w:style w:type="character" w:styleId="PageNumber">
    <w:name w:val="page number"/>
    <w:rsid w:val="008E70C2"/>
  </w:style>
  <w:style w:type="character" w:customStyle="1" w:styleId="tw4winMark">
    <w:name w:val="tw4winMark"/>
    <w:rsid w:val="008E70C2"/>
    <w:rPr>
      <w:vanish/>
      <w:color w:val="800080"/>
      <w:vertAlign w:val="subscript"/>
    </w:rPr>
  </w:style>
  <w:style w:type="character" w:styleId="FollowedHyperlink">
    <w:name w:val="FollowedHyperlink"/>
    <w:rsid w:val="008E70C2"/>
    <w:rPr>
      <w:color w:val="800080"/>
      <w:u w:val="single"/>
    </w:rPr>
  </w:style>
  <w:style w:type="paragraph" w:customStyle="1" w:styleId="Sous-titreobjet">
    <w:name w:val="Sous-titre objet"/>
    <w:basedOn w:val="Normal"/>
    <w:rsid w:val="008E70C2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ous-titreobjetPagedecouverture">
    <w:name w:val="Sous-titre objet (Page de couverture)"/>
    <w:basedOn w:val="Sous-titreobjet"/>
    <w:rsid w:val="008E70C2"/>
  </w:style>
  <w:style w:type="paragraph" w:styleId="Revision">
    <w:name w:val="Revision"/>
    <w:hidden/>
    <w:uiPriority w:val="99"/>
    <w:semiHidden/>
    <w:rsid w:val="008E70C2"/>
    <w:rPr>
      <w:rFonts w:ascii="Calibri" w:eastAsia="Calibri" w:hAnsi="Calibri" w:cs="Times New Roman"/>
      <w:sz w:val="24"/>
      <w:lang w:val="en-GB" w:eastAsia="en-GB"/>
    </w:rPr>
  </w:style>
  <w:style w:type="paragraph" w:customStyle="1" w:styleId="FooterCoverPage">
    <w:name w:val="Footer Cover Page"/>
    <w:basedOn w:val="Normal"/>
    <w:link w:val="FooterCoverPageChar"/>
    <w:rsid w:val="008E70C2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eastAsia="Calibri"/>
      <w:lang w:eastAsia="en-GB"/>
    </w:rPr>
  </w:style>
  <w:style w:type="character" w:customStyle="1" w:styleId="TOCHeadingChar">
    <w:name w:val="TOC Heading Char"/>
    <w:uiPriority w:val="39"/>
    <w:rsid w:val="008E70C2"/>
    <w:rPr>
      <w:rFonts w:ascii="Times New Roman" w:hAnsi="Times New Roman" w:cs="Times New Roman"/>
      <w:b/>
      <w:sz w:val="28"/>
      <w:lang w:val="en-GB"/>
    </w:rPr>
  </w:style>
  <w:style w:type="character" w:customStyle="1" w:styleId="FooterCoverPageChar">
    <w:name w:val="Footer Cover Page Char"/>
    <w:link w:val="FooterCoverPage"/>
    <w:rsid w:val="008E70C2"/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HeaderCoverPage">
    <w:name w:val="Header Cover Page"/>
    <w:basedOn w:val="Normal"/>
    <w:link w:val="HeaderCoverPageChar"/>
    <w:rsid w:val="008E70C2"/>
    <w:pPr>
      <w:tabs>
        <w:tab w:val="center" w:pos="4535"/>
        <w:tab w:val="right" w:pos="9071"/>
      </w:tabs>
      <w:spacing w:before="0"/>
    </w:pPr>
    <w:rPr>
      <w:rFonts w:eastAsia="Calibri"/>
      <w:lang w:eastAsia="en-GB"/>
    </w:rPr>
  </w:style>
  <w:style w:type="character" w:customStyle="1" w:styleId="HeaderCoverPageChar">
    <w:name w:val="Header Cover Page Char"/>
    <w:link w:val="HeaderCoverPage"/>
    <w:rsid w:val="008E70C2"/>
    <w:rPr>
      <w:rFonts w:ascii="Times New Roman" w:eastAsia="Calibri" w:hAnsi="Times New Roman" w:cs="Times New Roman"/>
      <w:sz w:val="24"/>
      <w:lang w:val="en-GB" w:eastAsia="en-GB"/>
    </w:rPr>
  </w:style>
  <w:style w:type="character" w:customStyle="1" w:styleId="FooterSensitivityChar">
    <w:name w:val="Footer Sensitivity Char"/>
    <w:rsid w:val="008E70C2"/>
    <w:rPr>
      <w:rFonts w:ascii="Times New Roman" w:hAnsi="Times New Roman" w:cs="Times New Roman"/>
      <w:b/>
      <w:sz w:val="32"/>
      <w:lang w:val="en-GB"/>
    </w:rPr>
  </w:style>
  <w:style w:type="character" w:customStyle="1" w:styleId="HeaderSensitivityChar">
    <w:name w:val="Header Sensitivity Char"/>
    <w:rsid w:val="008E70C2"/>
    <w:rPr>
      <w:rFonts w:ascii="Times New Roman" w:hAnsi="Times New Roman" w:cs="Times New Roman"/>
      <w:b/>
      <w:sz w:val="32"/>
      <w:lang w:val="en-GB"/>
    </w:rPr>
  </w:style>
  <w:style w:type="character" w:customStyle="1" w:styleId="HeaderSensitivityRightChar">
    <w:name w:val="Header Sensitivity Right Char"/>
    <w:rsid w:val="008E70C2"/>
    <w:rPr>
      <w:rFonts w:ascii="Times New Roman" w:hAnsi="Times New Roman" w:cs="Times New Roman"/>
      <w:sz w:val="28"/>
      <w:lang w:val="en-GB"/>
    </w:rPr>
  </w:style>
  <w:style w:type="paragraph" w:customStyle="1" w:styleId="LegalNumPar">
    <w:name w:val="LegalNumPar"/>
    <w:basedOn w:val="Normal"/>
    <w:rsid w:val="008E70C2"/>
    <w:pPr>
      <w:numPr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2">
    <w:name w:val="LegalNumPar2"/>
    <w:basedOn w:val="Normal"/>
    <w:rsid w:val="008E70C2"/>
    <w:pPr>
      <w:numPr>
        <w:ilvl w:val="1"/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3">
    <w:name w:val="LegalNumPar3"/>
    <w:basedOn w:val="Normal"/>
    <w:rsid w:val="008E70C2"/>
    <w:pPr>
      <w:numPr>
        <w:ilvl w:val="2"/>
        <w:numId w:val="16"/>
      </w:numPr>
      <w:spacing w:line="360" w:lineRule="auto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8E70C2"/>
    <w:pPr>
      <w:ind w:left="720"/>
      <w:contextualSpacing/>
    </w:pPr>
    <w:rPr>
      <w:rFonts w:eastAsia="Times New Roman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70C2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8E70C2"/>
    <w:rPr>
      <w:b/>
      <w:bCs/>
    </w:rPr>
  </w:style>
  <w:style w:type="character" w:styleId="Emphasis">
    <w:name w:val="Emphasis"/>
    <w:basedOn w:val="DefaultParagraphFont"/>
    <w:qFormat/>
    <w:rsid w:val="008E70C2"/>
    <w:rPr>
      <w:i/>
      <w:iCs/>
    </w:rPr>
  </w:style>
  <w:style w:type="character" w:customStyle="1" w:styleId="Mention">
    <w:name w:val="Mention"/>
    <w:basedOn w:val="DefaultParagraphFont"/>
    <w:uiPriority w:val="99"/>
    <w:unhideWhenUsed/>
    <w:rsid w:val="008E70C2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8E70C2"/>
  </w:style>
  <w:style w:type="character" w:customStyle="1" w:styleId="eop">
    <w:name w:val="eop"/>
    <w:basedOn w:val="DefaultParagraphFont"/>
    <w:rsid w:val="008E70C2"/>
  </w:style>
  <w:style w:type="character" w:customStyle="1" w:styleId="HeaderChar">
    <w:name w:val="Header Char"/>
    <w:basedOn w:val="DefaultParagraphFont"/>
    <w:link w:val="Header"/>
    <w:uiPriority w:val="99"/>
    <w:rsid w:val="00C344C6"/>
    <w:rPr>
      <w:rFonts w:ascii="Times New Roman" w:hAnsi="Times New Roman" w:cs="Times New Roman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344C6"/>
    <w:rPr>
      <w:rFonts w:ascii="Times New Roman" w:hAnsi="Times New Roman" w:cs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C344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C344C6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C344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33"/>
      </w:numPr>
    </w:pPr>
  </w:style>
  <w:style w:type="paragraph" w:customStyle="1" w:styleId="Tiret1">
    <w:name w:val="Tiret 1"/>
    <w:basedOn w:val="Point1"/>
    <w:pPr>
      <w:numPr>
        <w:numId w:val="34"/>
      </w:numPr>
    </w:pPr>
  </w:style>
  <w:style w:type="paragraph" w:customStyle="1" w:styleId="Tiret2">
    <w:name w:val="Tiret 2"/>
    <w:basedOn w:val="Point2"/>
    <w:pPr>
      <w:numPr>
        <w:numId w:val="35"/>
      </w:numPr>
    </w:pPr>
  </w:style>
  <w:style w:type="paragraph" w:customStyle="1" w:styleId="Tiret3">
    <w:name w:val="Tiret 3"/>
    <w:basedOn w:val="Point3"/>
    <w:pPr>
      <w:numPr>
        <w:numId w:val="36"/>
      </w:numPr>
    </w:pPr>
  </w:style>
  <w:style w:type="paragraph" w:customStyle="1" w:styleId="Tiret4">
    <w:name w:val="Tiret 4"/>
    <w:basedOn w:val="Point4"/>
    <w:pPr>
      <w:numPr>
        <w:numId w:val="37"/>
      </w:numPr>
    </w:pPr>
  </w:style>
  <w:style w:type="paragraph" w:customStyle="1" w:styleId="Tiret5">
    <w:name w:val="Tiret 5"/>
    <w:basedOn w:val="Point5"/>
    <w:pPr>
      <w:numPr>
        <w:numId w:val="3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9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9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9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1"/>
      </w:numPr>
    </w:pPr>
  </w:style>
  <w:style w:type="paragraph" w:customStyle="1" w:styleId="Point1number">
    <w:name w:val="Point 1 (number)"/>
    <w:basedOn w:val="Normal"/>
    <w:pPr>
      <w:numPr>
        <w:ilvl w:val="2"/>
        <w:numId w:val="41"/>
      </w:numPr>
    </w:pPr>
  </w:style>
  <w:style w:type="paragraph" w:customStyle="1" w:styleId="Point2number">
    <w:name w:val="Point 2 (number)"/>
    <w:basedOn w:val="Normal"/>
    <w:pPr>
      <w:numPr>
        <w:ilvl w:val="4"/>
        <w:numId w:val="41"/>
      </w:numPr>
    </w:pPr>
  </w:style>
  <w:style w:type="paragraph" w:customStyle="1" w:styleId="Point3number">
    <w:name w:val="Point 3 (number)"/>
    <w:basedOn w:val="Normal"/>
    <w:pPr>
      <w:numPr>
        <w:ilvl w:val="6"/>
        <w:numId w:val="41"/>
      </w:numPr>
    </w:pPr>
  </w:style>
  <w:style w:type="paragraph" w:customStyle="1" w:styleId="Point0letter">
    <w:name w:val="Point 0 (letter)"/>
    <w:basedOn w:val="Normal"/>
    <w:pPr>
      <w:numPr>
        <w:ilvl w:val="1"/>
        <w:numId w:val="41"/>
      </w:numPr>
    </w:pPr>
  </w:style>
  <w:style w:type="paragraph" w:customStyle="1" w:styleId="Point1letter">
    <w:name w:val="Point 1 (letter)"/>
    <w:basedOn w:val="Normal"/>
    <w:pPr>
      <w:numPr>
        <w:ilvl w:val="3"/>
        <w:numId w:val="41"/>
      </w:numPr>
    </w:pPr>
  </w:style>
  <w:style w:type="paragraph" w:customStyle="1" w:styleId="Point2letter">
    <w:name w:val="Point 2 (letter)"/>
    <w:basedOn w:val="Normal"/>
    <w:pPr>
      <w:numPr>
        <w:ilvl w:val="5"/>
        <w:numId w:val="41"/>
      </w:numPr>
    </w:pPr>
  </w:style>
  <w:style w:type="paragraph" w:customStyle="1" w:styleId="Point3letter">
    <w:name w:val="Point 3 (letter)"/>
    <w:basedOn w:val="Normal"/>
    <w:pPr>
      <w:numPr>
        <w:ilvl w:val="7"/>
        <w:numId w:val="41"/>
      </w:numPr>
    </w:pPr>
  </w:style>
  <w:style w:type="paragraph" w:customStyle="1" w:styleId="Point4letter">
    <w:name w:val="Point 4 (letter)"/>
    <w:basedOn w:val="Normal"/>
    <w:pPr>
      <w:numPr>
        <w:ilvl w:val="8"/>
        <w:numId w:val="41"/>
      </w:numPr>
    </w:pPr>
  </w:style>
  <w:style w:type="paragraph" w:customStyle="1" w:styleId="Bullet0">
    <w:name w:val="Bullet 0"/>
    <w:basedOn w:val="Normal"/>
    <w:pPr>
      <w:numPr>
        <w:numId w:val="42"/>
      </w:numPr>
    </w:pPr>
  </w:style>
  <w:style w:type="paragraph" w:customStyle="1" w:styleId="Bullet1">
    <w:name w:val="Bullet 1"/>
    <w:basedOn w:val="Normal"/>
    <w:pPr>
      <w:numPr>
        <w:numId w:val="43"/>
      </w:numPr>
    </w:pPr>
  </w:style>
  <w:style w:type="paragraph" w:customStyle="1" w:styleId="Bullet2">
    <w:name w:val="Bullet 2"/>
    <w:basedOn w:val="Normal"/>
    <w:pPr>
      <w:numPr>
        <w:numId w:val="44"/>
      </w:numPr>
    </w:pPr>
  </w:style>
  <w:style w:type="paragraph" w:customStyle="1" w:styleId="Bullet3">
    <w:name w:val="Bullet 3"/>
    <w:basedOn w:val="Normal"/>
    <w:pPr>
      <w:numPr>
        <w:numId w:val="45"/>
      </w:numPr>
    </w:pPr>
  </w:style>
  <w:style w:type="paragraph" w:customStyle="1" w:styleId="Bullet4">
    <w:name w:val="Bullet 4"/>
    <w:basedOn w:val="Normal"/>
    <w:pPr>
      <w:numPr>
        <w:numId w:val="4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344C6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C344C6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C344C6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C344C6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5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179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91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190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459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3852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88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950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28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1066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003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1099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05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1142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635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1253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409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1303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911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2055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06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2115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755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s://www.acea.auto/files/ACEA_Report_-_Vehicles_on_European_roads_2025.pdf" TargetMode="External"/><Relationship Id="rId13" Type="http://schemas.openxmlformats.org/officeDocument/2006/relationships/hyperlink" Target="https://op.europa.eu/en/publication-detail/-/publication/9781f65f-8448-11ea-bf12-01aa75ed71a1/language-en" TargetMode="External"/><Relationship Id="rId18" Type="http://schemas.openxmlformats.org/officeDocument/2006/relationships/hyperlink" Target="http://data.europa.eu/eli/dir/2003/87" TargetMode="External"/><Relationship Id="rId26" Type="http://schemas.openxmlformats.org/officeDocument/2006/relationships/hyperlink" Target="http://data.europa.eu/eli/dir/1999/62/oj" TargetMode="External"/><Relationship Id="rId3" Type="http://schemas.openxmlformats.org/officeDocument/2006/relationships/hyperlink" Target="https://transport.ec.europa.eu/facts-funding/studies-data/eu-transport-figures-statistical-pocketbook/statistical-pocketbook-2024_en" TargetMode="External"/><Relationship Id="rId21" Type="http://schemas.openxmlformats.org/officeDocument/2006/relationships/hyperlink" Target="http://data.europa.eu/eli/reg/2023/1804/oj" TargetMode="External"/><Relationship Id="rId7" Type="http://schemas.openxmlformats.org/officeDocument/2006/relationships/hyperlink" Target="https://theicct.org/publication/r2z-eu-hdv-market-development-quarterly-jan-dec-2024-feb25/" TargetMode="External"/><Relationship Id="rId12" Type="http://schemas.openxmlformats.org/officeDocument/2006/relationships/hyperlink" Target="http://data.europa.eu/eli/dir/1999/62/oj" TargetMode="External"/><Relationship Id="rId17" Type="http://schemas.openxmlformats.org/officeDocument/2006/relationships/hyperlink" Target="http://data.europa.eu/eli/reg/2019/1242/oj" TargetMode="External"/><Relationship Id="rId25" Type="http://schemas.openxmlformats.org/officeDocument/2006/relationships/hyperlink" Target="http://data.europa.eu/eli/dir/2022/362/oj" TargetMode="External"/><Relationship Id="rId2" Type="http://schemas.openxmlformats.org/officeDocument/2006/relationships/hyperlink" Target="https://antwerp-declaration.eu/" TargetMode="External"/><Relationship Id="rId16" Type="http://schemas.openxmlformats.org/officeDocument/2006/relationships/hyperlink" Target="https://www.youtube.com/watch?v=ktaEN7do6pA" TargetMode="External"/><Relationship Id="rId20" Type="http://schemas.openxmlformats.org/officeDocument/2006/relationships/hyperlink" Target="http://data.europa.eu/eli/reg/2024/1679/oj" TargetMode="External"/><Relationship Id="rId1" Type="http://schemas.openxmlformats.org/officeDocument/2006/relationships/hyperlink" Target="https://www.consilium.europa.eu/en/press/press-releases/2024/11/08/the-budapest-declaration/" TargetMode="External"/><Relationship Id="rId6" Type="http://schemas.openxmlformats.org/officeDocument/2006/relationships/hyperlink" Target="https://theicct.org/publication/r2z-eu-hdv-market-development-quarterly-jan-dec-2024-feb25/" TargetMode="External"/><Relationship Id="rId11" Type="http://schemas.openxmlformats.org/officeDocument/2006/relationships/hyperlink" Target="http://data.europa.eu/eli/dir/2022/362/oj" TargetMode="External"/><Relationship Id="rId24" Type="http://schemas.openxmlformats.org/officeDocument/2006/relationships/hyperlink" Target="https://eur-lex.europa.eu/legal-content/EN/ALL/?uri=SWD:2017:180:FIN" TargetMode="External"/><Relationship Id="rId5" Type="http://schemas.openxmlformats.org/officeDocument/2006/relationships/hyperlink" Target="https://www.acea.auto/news/truck-and-bus-manufacturers-contribution-to-climate-neutral-road-transport/" TargetMode="External"/><Relationship Id="rId15" Type="http://schemas.openxmlformats.org/officeDocument/2006/relationships/hyperlink" Target="https://www.iru.org/resources/iru-library/alternative-vs-traditional-truck-powertrains-eu-total-cost-ownership-2024" TargetMode="External"/><Relationship Id="rId23" Type="http://schemas.openxmlformats.org/officeDocument/2006/relationships/hyperlink" Target="https://eur-lex.europa.eu/legal-content/EN/TXT/?uri=COM%3A2023%3A757%3AFIN&amp;qid=1701167355682" TargetMode="External"/><Relationship Id="rId10" Type="http://schemas.openxmlformats.org/officeDocument/2006/relationships/hyperlink" Target="https://theicct.org/publication/total-cost-ownership-trucks-europe-nov23/" TargetMode="External"/><Relationship Id="rId19" Type="http://schemas.openxmlformats.org/officeDocument/2006/relationships/hyperlink" Target="http://data.europa.eu/eli/dir/2003/96" TargetMode="External"/><Relationship Id="rId4" Type="http://schemas.openxmlformats.org/officeDocument/2006/relationships/hyperlink" Target="https://www.acea.auto/files/ACEA_Report_-_Vehicles_on_European_roads_2025.pdf" TargetMode="External"/><Relationship Id="rId9" Type="http://schemas.openxmlformats.org/officeDocument/2006/relationships/hyperlink" Target="https://op.europa.eu/en/publication-detail/-/publication/8a598b35-40f3-11f0-b9f2-01aa75ed71a1/" TargetMode="External"/><Relationship Id="rId14" Type="http://schemas.openxmlformats.org/officeDocument/2006/relationships/hyperlink" Target="https://www.transportenvironment.org/uploads/files/202403_TE_Eurovignette_briefing_update.pdf" TargetMode="External"/><Relationship Id="rId22" Type="http://schemas.openxmlformats.org/officeDocument/2006/relationships/hyperlink" Target="https://ec.europa.eu/eurostat/web/products-eurostat-news/w/ddn-20240627-1" TargetMode="External"/><Relationship Id="rId27" Type="http://schemas.openxmlformats.org/officeDocument/2006/relationships/hyperlink" Target="http://data.europa.eu/eli/reg/2019/1242/oj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7f24e-e0df-4592-b6e0-4a62e251a0e5" xsi:nil="true"/>
    <lcf76f155ced4ddcb4097134ff3c332f xmlns="cce4269c-1bca-4c47-bcbd-0ca0cb14aa6e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6791DDFFC024DAA4136D92359EB10" ma:contentTypeVersion="16" ma:contentTypeDescription="Create a new document." ma:contentTypeScope="" ma:versionID="5eef2ea20e73aaab8f0a6da989ae9edf">
  <xsd:schema xmlns:xsd="http://www.w3.org/2001/XMLSchema" xmlns:xs="http://www.w3.org/2001/XMLSchema" xmlns:p="http://schemas.microsoft.com/office/2006/metadata/properties" xmlns:ns2="cce4269c-1bca-4c47-bcbd-0ca0cb14aa6e" xmlns:ns3="96a7f24e-e0df-4592-b6e0-4a62e251a0e5" targetNamespace="http://schemas.microsoft.com/office/2006/metadata/properties" ma:root="true" ma:fieldsID="ff3f765803bba0f83cf08ea486af068f" ns2:_="" ns3:_="">
    <xsd:import namespace="cce4269c-1bca-4c47-bcbd-0ca0cb14aa6e"/>
    <xsd:import namespace="96a7f24e-e0df-4592-b6e0-4a62e251a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4269c-1bca-4c47-bcbd-0ca0cb14a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f24e-e0df-4592-b6e0-4a62e251a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7103dc8-592a-4b3a-a061-49614422c163}" ma:internalName="TaxCatchAll" ma:showField="CatchAllData" ma:web="96a7f24e-e0df-4592-b6e0-4a62e251a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B2566-76EF-437A-8A5D-9C64386A03D4}">
  <ds:schemaRefs>
    <ds:schemaRef ds:uri="http://schemas.microsoft.com/office/2006/metadata/properties"/>
    <ds:schemaRef ds:uri="http://schemas.microsoft.com/office/infopath/2007/PartnerControls"/>
    <ds:schemaRef ds:uri="96a7f24e-e0df-4592-b6e0-4a62e251a0e5"/>
    <ds:schemaRef ds:uri="cce4269c-1bca-4c47-bcbd-0ca0cb14aa6e"/>
  </ds:schemaRefs>
</ds:datastoreItem>
</file>

<file path=customXml/itemProps2.xml><?xml version="1.0" encoding="utf-8"?>
<ds:datastoreItem xmlns:ds="http://schemas.openxmlformats.org/officeDocument/2006/customXml" ds:itemID="{39B07E5D-3854-47AC-85FA-BEFABF27E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4269c-1bca-4c47-bcbd-0ca0cb14aa6e"/>
    <ds:schemaRef ds:uri="96a7f24e-e0df-4592-b6e0-4a62e251a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94803-1B95-4663-BDA8-7D08043E7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D5E986-2677-4063-99EC-DA74C52C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47</TotalTime>
  <Pages>12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22249</CharactersWithSpaces>
  <SharedDoc>false</SharedDoc>
  <HLinks>
    <vt:vector size="150" baseType="variant">
      <vt:variant>
        <vt:i4>6553711</vt:i4>
      </vt:variant>
      <vt:variant>
        <vt:i4>72</vt:i4>
      </vt:variant>
      <vt:variant>
        <vt:i4>0</vt:i4>
      </vt:variant>
      <vt:variant>
        <vt:i4>5</vt:i4>
      </vt:variant>
      <vt:variant>
        <vt:lpwstr>http://data.europa.eu/eli/reg/2019/1242/oj</vt:lpwstr>
      </vt:variant>
      <vt:variant>
        <vt:lpwstr/>
      </vt:variant>
      <vt:variant>
        <vt:i4>5374037</vt:i4>
      </vt:variant>
      <vt:variant>
        <vt:i4>69</vt:i4>
      </vt:variant>
      <vt:variant>
        <vt:i4>0</vt:i4>
      </vt:variant>
      <vt:variant>
        <vt:i4>5</vt:i4>
      </vt:variant>
      <vt:variant>
        <vt:lpwstr>http://data.europa.eu/eli/dir/1999/62/oj</vt:lpwstr>
      </vt:variant>
      <vt:variant>
        <vt:lpwstr/>
      </vt:variant>
      <vt:variant>
        <vt:i4>5046297</vt:i4>
      </vt:variant>
      <vt:variant>
        <vt:i4>66</vt:i4>
      </vt:variant>
      <vt:variant>
        <vt:i4>0</vt:i4>
      </vt:variant>
      <vt:variant>
        <vt:i4>5</vt:i4>
      </vt:variant>
      <vt:variant>
        <vt:lpwstr>http://data.europa.eu/eli/dir/2022/362/oj</vt:lpwstr>
      </vt:variant>
      <vt:variant>
        <vt:lpwstr/>
      </vt:variant>
      <vt:variant>
        <vt:i4>1048660</vt:i4>
      </vt:variant>
      <vt:variant>
        <vt:i4>63</vt:i4>
      </vt:variant>
      <vt:variant>
        <vt:i4>0</vt:i4>
      </vt:variant>
      <vt:variant>
        <vt:i4>5</vt:i4>
      </vt:variant>
      <vt:variant>
        <vt:lpwstr>https://eur-lex.europa.eu/legal-content/EN/ALL/?uri=SWD:2017:180:FIN</vt:lpwstr>
      </vt:variant>
      <vt:variant>
        <vt:lpwstr/>
      </vt:variant>
      <vt:variant>
        <vt:i4>4456521</vt:i4>
      </vt:variant>
      <vt:variant>
        <vt:i4>60</vt:i4>
      </vt:variant>
      <vt:variant>
        <vt:i4>0</vt:i4>
      </vt:variant>
      <vt:variant>
        <vt:i4>5</vt:i4>
      </vt:variant>
      <vt:variant>
        <vt:lpwstr>https://ec.europa.eu/eurostat/web/products-eurostat-news/w/ddn-20240627-1</vt:lpwstr>
      </vt:variant>
      <vt:variant>
        <vt:lpwstr/>
      </vt:variant>
      <vt:variant>
        <vt:i4>6946912</vt:i4>
      </vt:variant>
      <vt:variant>
        <vt:i4>57</vt:i4>
      </vt:variant>
      <vt:variant>
        <vt:i4>0</vt:i4>
      </vt:variant>
      <vt:variant>
        <vt:i4>5</vt:i4>
      </vt:variant>
      <vt:variant>
        <vt:lpwstr>http://data.europa.eu/eli/reg/2023/1804/oj</vt:lpwstr>
      </vt:variant>
      <vt:variant>
        <vt:lpwstr/>
      </vt:variant>
      <vt:variant>
        <vt:i4>6946915</vt:i4>
      </vt:variant>
      <vt:variant>
        <vt:i4>54</vt:i4>
      </vt:variant>
      <vt:variant>
        <vt:i4>0</vt:i4>
      </vt:variant>
      <vt:variant>
        <vt:i4>5</vt:i4>
      </vt:variant>
      <vt:variant>
        <vt:lpwstr>http://data.europa.eu/eli/reg/2024/1679/oj</vt:lpwstr>
      </vt:variant>
      <vt:variant>
        <vt:lpwstr/>
      </vt:variant>
      <vt:variant>
        <vt:i4>1769474</vt:i4>
      </vt:variant>
      <vt:variant>
        <vt:i4>51</vt:i4>
      </vt:variant>
      <vt:variant>
        <vt:i4>0</vt:i4>
      </vt:variant>
      <vt:variant>
        <vt:i4>5</vt:i4>
      </vt:variant>
      <vt:variant>
        <vt:lpwstr>http://data.europa.eu/eli/dir/2003/96</vt:lpwstr>
      </vt:variant>
      <vt:variant>
        <vt:lpwstr/>
      </vt:variant>
      <vt:variant>
        <vt:i4>1703938</vt:i4>
      </vt:variant>
      <vt:variant>
        <vt:i4>48</vt:i4>
      </vt:variant>
      <vt:variant>
        <vt:i4>0</vt:i4>
      </vt:variant>
      <vt:variant>
        <vt:i4>5</vt:i4>
      </vt:variant>
      <vt:variant>
        <vt:lpwstr>http://data.europa.eu/eli/dir/2003/87</vt:lpwstr>
      </vt:variant>
      <vt:variant>
        <vt:lpwstr/>
      </vt:variant>
      <vt:variant>
        <vt:i4>6553711</vt:i4>
      </vt:variant>
      <vt:variant>
        <vt:i4>45</vt:i4>
      </vt:variant>
      <vt:variant>
        <vt:i4>0</vt:i4>
      </vt:variant>
      <vt:variant>
        <vt:i4>5</vt:i4>
      </vt:variant>
      <vt:variant>
        <vt:lpwstr>http://data.europa.eu/eli/reg/2019/1242/oj</vt:lpwstr>
      </vt:variant>
      <vt:variant>
        <vt:lpwstr/>
      </vt:variant>
      <vt:variant>
        <vt:i4>6684793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https://www.youtube.com/watch?v=ktaEN7do6pA</vt:lpwstr>
      </vt:variant>
      <vt:variant>
        <vt:lpwstr/>
      </vt:variant>
      <vt:variant>
        <vt:i4>2228347</vt:i4>
      </vt:variant>
      <vt:variant>
        <vt:i4>39</vt:i4>
      </vt:variant>
      <vt:variant>
        <vt:i4>0</vt:i4>
      </vt:variant>
      <vt:variant>
        <vt:i4>5</vt:i4>
      </vt:variant>
      <vt:variant>
        <vt:lpwstr>https://www.iru.org/resources/iru-library/alternative-vs-traditional-truck-powertrains-eu-total-cost-ownership-2024</vt:lpwstr>
      </vt:variant>
      <vt:variant>
        <vt:lpwstr/>
      </vt:variant>
      <vt:variant>
        <vt:i4>4587546</vt:i4>
      </vt:variant>
      <vt:variant>
        <vt:i4>36</vt:i4>
      </vt:variant>
      <vt:variant>
        <vt:i4>0</vt:i4>
      </vt:variant>
      <vt:variant>
        <vt:i4>5</vt:i4>
      </vt:variant>
      <vt:variant>
        <vt:lpwstr>https://www.transportenvironment.org/uploads/files/202403_TE_Eurovignette_briefing_update.pdf</vt:lpwstr>
      </vt:variant>
      <vt:variant>
        <vt:lpwstr/>
      </vt:variant>
      <vt:variant>
        <vt:i4>4194321</vt:i4>
      </vt:variant>
      <vt:variant>
        <vt:i4>33</vt:i4>
      </vt:variant>
      <vt:variant>
        <vt:i4>0</vt:i4>
      </vt:variant>
      <vt:variant>
        <vt:i4>5</vt:i4>
      </vt:variant>
      <vt:variant>
        <vt:lpwstr>https://op.europa.eu/en/publication-detail/-/publication/9781f65f-8448-11ea-bf12-01aa75ed71a1/language-en</vt:lpwstr>
      </vt:variant>
      <vt:variant>
        <vt:lpwstr/>
      </vt:variant>
      <vt:variant>
        <vt:i4>5374037</vt:i4>
      </vt:variant>
      <vt:variant>
        <vt:i4>30</vt:i4>
      </vt:variant>
      <vt:variant>
        <vt:i4>0</vt:i4>
      </vt:variant>
      <vt:variant>
        <vt:i4>5</vt:i4>
      </vt:variant>
      <vt:variant>
        <vt:lpwstr>http://data.europa.eu/eli/dir/1999/62/oj</vt:lpwstr>
      </vt:variant>
      <vt:variant>
        <vt:lpwstr/>
      </vt:variant>
      <vt:variant>
        <vt:i4>5046297</vt:i4>
      </vt:variant>
      <vt:variant>
        <vt:i4>27</vt:i4>
      </vt:variant>
      <vt:variant>
        <vt:i4>0</vt:i4>
      </vt:variant>
      <vt:variant>
        <vt:i4>5</vt:i4>
      </vt:variant>
      <vt:variant>
        <vt:lpwstr>http://data.europa.eu/eli/dir/2022/362/oj</vt:lpwstr>
      </vt:variant>
      <vt:variant>
        <vt:lpwstr/>
      </vt:variant>
      <vt:variant>
        <vt:i4>917586</vt:i4>
      </vt:variant>
      <vt:variant>
        <vt:i4>24</vt:i4>
      </vt:variant>
      <vt:variant>
        <vt:i4>0</vt:i4>
      </vt:variant>
      <vt:variant>
        <vt:i4>5</vt:i4>
      </vt:variant>
      <vt:variant>
        <vt:lpwstr>https://theicct.org/publication/total-cost-ownership-trucks-europe-nov23/</vt:lpwstr>
      </vt:variant>
      <vt:variant>
        <vt:lpwstr/>
      </vt:variant>
      <vt:variant>
        <vt:i4>3735632</vt:i4>
      </vt:variant>
      <vt:variant>
        <vt:i4>21</vt:i4>
      </vt:variant>
      <vt:variant>
        <vt:i4>0</vt:i4>
      </vt:variant>
      <vt:variant>
        <vt:i4>5</vt:i4>
      </vt:variant>
      <vt:variant>
        <vt:lpwstr>https://www.acea.auto/files/ACEA_Report_-_Vehicles_on_European_roads_2025.pdf</vt:lpwstr>
      </vt:variant>
      <vt:variant>
        <vt:lpwstr/>
      </vt:variant>
      <vt:variant>
        <vt:i4>4063277</vt:i4>
      </vt:variant>
      <vt:variant>
        <vt:i4>18</vt:i4>
      </vt:variant>
      <vt:variant>
        <vt:i4>0</vt:i4>
      </vt:variant>
      <vt:variant>
        <vt:i4>5</vt:i4>
      </vt:variant>
      <vt:variant>
        <vt:lpwstr>https://theicct.org/publication/r2z-eu-hdv-market-development-quarterly-jan-dec-2024-feb25/</vt:lpwstr>
      </vt:variant>
      <vt:variant>
        <vt:lpwstr/>
      </vt:variant>
      <vt:variant>
        <vt:i4>4063277</vt:i4>
      </vt:variant>
      <vt:variant>
        <vt:i4>15</vt:i4>
      </vt:variant>
      <vt:variant>
        <vt:i4>0</vt:i4>
      </vt:variant>
      <vt:variant>
        <vt:i4>5</vt:i4>
      </vt:variant>
      <vt:variant>
        <vt:lpwstr>https://theicct.org/publication/r2z-eu-hdv-market-development-quarterly-jan-dec-2024-feb25/</vt:lpwstr>
      </vt:variant>
      <vt:variant>
        <vt:lpwstr/>
      </vt:variant>
      <vt:variant>
        <vt:i4>3997799</vt:i4>
      </vt:variant>
      <vt:variant>
        <vt:i4>12</vt:i4>
      </vt:variant>
      <vt:variant>
        <vt:i4>0</vt:i4>
      </vt:variant>
      <vt:variant>
        <vt:i4>5</vt:i4>
      </vt:variant>
      <vt:variant>
        <vt:lpwstr>https://www.acea.auto/news/truck-and-bus-manufacturers-contribution-to-climate-neutral-road-transport/</vt:lpwstr>
      </vt:variant>
      <vt:variant>
        <vt:lpwstr/>
      </vt:variant>
      <vt:variant>
        <vt:i4>3735632</vt:i4>
      </vt:variant>
      <vt:variant>
        <vt:i4>9</vt:i4>
      </vt:variant>
      <vt:variant>
        <vt:i4>0</vt:i4>
      </vt:variant>
      <vt:variant>
        <vt:i4>5</vt:i4>
      </vt:variant>
      <vt:variant>
        <vt:lpwstr>https://www.acea.auto/files/ACEA_Report_-_Vehicles_on_European_roads_2025.pdf</vt:lpwstr>
      </vt:variant>
      <vt:variant>
        <vt:lpwstr/>
      </vt:variant>
      <vt:variant>
        <vt:i4>6422605</vt:i4>
      </vt:variant>
      <vt:variant>
        <vt:i4>6</vt:i4>
      </vt:variant>
      <vt:variant>
        <vt:i4>0</vt:i4>
      </vt:variant>
      <vt:variant>
        <vt:i4>5</vt:i4>
      </vt:variant>
      <vt:variant>
        <vt:lpwstr>https://transport.ec.europa.eu/facts-funding/studies-data/eu-transport-figures-statistical-pocketbook/statistical-pocketbook-2024_en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https://antwerp-declaration.eu/</vt:lpwstr>
      </vt:variant>
      <vt:variant>
        <vt:lpwstr/>
      </vt:variant>
      <vt:variant>
        <vt:i4>6094869</vt:i4>
      </vt:variant>
      <vt:variant>
        <vt:i4>0</vt:i4>
      </vt:variant>
      <vt:variant>
        <vt:i4>0</vt:i4>
      </vt:variant>
      <vt:variant>
        <vt:i4>5</vt:i4>
      </vt:variant>
      <vt:variant>
        <vt:lpwstr>https://www.consilium.europa.eu/en/press/press-releases/2024/11/08/the-budapest-declaration/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cp:lastPrinted>2025-03-27T03:14:00Z</cp:lastPrinted>
  <dcterms:created xsi:type="dcterms:W3CDTF">2025-06-20T14:15:00Z</dcterms:created>
  <dcterms:modified xsi:type="dcterms:W3CDTF">2025-06-24T07:18:00Z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9.1, Build 20240808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SJ-024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2025-03-12T06:54:04Z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b58ec0d0-eada-49c7-8cb3-244d284a144b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ContentTypeId">
    <vt:lpwstr>0x0101008BA6791DDFFC024DAA4136D92359EB10</vt:lpwstr>
  </property>
  <property fmtid="{D5CDD505-2E9C-101B-9397-08002B2CF9AE}" pid="18" name="MediaServiceImageTags">
    <vt:lpwstr/>
  </property>
  <property fmtid="{D5CDD505-2E9C-101B-9397-08002B2CF9AE}" pid="19" name="DQCStatus">
    <vt:lpwstr>Green (DQC version 03)</vt:lpwstr>
  </property>
</Properties>
</file>