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documenttasks/documenttasks1.xml" ContentType="application/vnd.ms-office.documenttask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046" w:rsidRPr="00BB4B61" w:rsidRDefault="005253FE" w:rsidP="005253FE">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08580A97-E03F-450C-A345-2BF31E09B5C3" style="width:455.25pt;height:425.25pt">
            <v:imagedata r:id="rId11" o:title=""/>
          </v:shape>
        </w:pict>
      </w:r>
    </w:p>
    <w:p w:rsidR="00CA0046" w:rsidRPr="00BB4B61" w:rsidRDefault="00CA0046" w:rsidP="00CA0046">
      <w:pPr>
        <w:rPr>
          <w:noProof/>
        </w:rPr>
        <w:sectPr w:rsidR="00CA0046" w:rsidRPr="00BB4B61" w:rsidSect="005253FE">
          <w:footerReference w:type="even" r:id="rId12"/>
          <w:footerReference w:type="default" r:id="rId13"/>
          <w:pgSz w:w="11907" w:h="16839"/>
          <w:pgMar w:top="1134" w:right="1417" w:bottom="1134" w:left="1417" w:header="709" w:footer="709" w:gutter="0"/>
          <w:pgNumType w:start="0"/>
          <w:cols w:space="720"/>
          <w:docGrid w:linePitch="360"/>
        </w:sectPr>
      </w:pPr>
    </w:p>
    <w:p w:rsidR="00CA0046" w:rsidRPr="00BB4B61" w:rsidRDefault="00CA0046" w:rsidP="009B37BC">
      <w:pPr>
        <w:pStyle w:val="Exposdesmotifstitre"/>
        <w:rPr>
          <w:noProof/>
        </w:rPr>
      </w:pPr>
      <w:bookmarkStart w:id="0" w:name="_GoBack"/>
      <w:bookmarkEnd w:id="0"/>
      <w:r w:rsidRPr="00BB4B61">
        <w:rPr>
          <w:noProof/>
        </w:rPr>
        <w:lastRenderedPageBreak/>
        <w:t>EXPLANATORY MEMORANDUM</w:t>
      </w:r>
    </w:p>
    <w:p w:rsidR="00CA0046" w:rsidRPr="00BB4B61" w:rsidRDefault="00910FBB" w:rsidP="00910FBB">
      <w:pPr>
        <w:pStyle w:val="ManualHeading1"/>
        <w:rPr>
          <w:noProof/>
        </w:rPr>
      </w:pPr>
      <w:r w:rsidRPr="00910FBB">
        <w:rPr>
          <w:noProof/>
        </w:rPr>
        <w:t>1.</w:t>
      </w:r>
      <w:r w:rsidRPr="00910FBB">
        <w:rPr>
          <w:noProof/>
        </w:rPr>
        <w:tab/>
      </w:r>
      <w:r w:rsidR="00CA0046" w:rsidRPr="00BB4B61">
        <w:rPr>
          <w:noProof/>
        </w:rPr>
        <w:t>Subject matter of the proposal</w:t>
      </w:r>
    </w:p>
    <w:p w:rsidR="00CA0046" w:rsidRPr="00BB4B61" w:rsidRDefault="00B9721A" w:rsidP="009B37BC">
      <w:pPr>
        <w:rPr>
          <w:rFonts w:eastAsia="Arial Unicode MS"/>
          <w:noProof/>
        </w:rPr>
      </w:pPr>
      <w:r w:rsidRPr="00BB4B61">
        <w:rPr>
          <w:rFonts w:eastAsia="Arial Unicode MS"/>
          <w:noProof/>
        </w:rPr>
        <w:t xml:space="preserve">This proposal concerns the decision establishing the position to be taken on the </w:t>
      </w:r>
      <w:r w:rsidRPr="186A187D">
        <w:rPr>
          <w:rFonts w:eastAsia="Arial Unicode MS"/>
          <w:noProof/>
        </w:rPr>
        <w:t>Union</w:t>
      </w:r>
      <w:r w:rsidR="00BB4B61">
        <w:rPr>
          <w:rFonts w:eastAsia="Arial Unicode MS"/>
          <w:noProof/>
        </w:rPr>
        <w:t>’</w:t>
      </w:r>
      <w:r w:rsidRPr="00BB4B61">
        <w:rPr>
          <w:rFonts w:eastAsia="Arial Unicode MS"/>
          <w:noProof/>
        </w:rPr>
        <w:t>s behalf, at the 18</w:t>
      </w:r>
      <w:r w:rsidR="001D3B86">
        <w:rPr>
          <w:rFonts w:eastAsia="Arial Unicode MS"/>
          <w:noProof/>
        </w:rPr>
        <w:t xml:space="preserve">th </w:t>
      </w:r>
      <w:r w:rsidRPr="00BB4B61">
        <w:rPr>
          <w:rFonts w:eastAsia="Arial Unicode MS"/>
          <w:noProof/>
        </w:rPr>
        <w:t xml:space="preserve">meeting of </w:t>
      </w:r>
      <w:r w:rsidR="0009738B" w:rsidRPr="00BB4B61">
        <w:rPr>
          <w:rFonts w:eastAsia="Arial Unicode MS"/>
          <w:noProof/>
        </w:rPr>
        <w:t xml:space="preserve">the </w:t>
      </w:r>
      <w:r w:rsidRPr="00BB4B61">
        <w:rPr>
          <w:noProof/>
        </w:rPr>
        <w:t xml:space="preserve">Committee of the Parties </w:t>
      </w:r>
      <w:r w:rsidRPr="00BB4B61">
        <w:rPr>
          <w:rFonts w:eastAsia="Arial Unicode MS"/>
          <w:noProof/>
        </w:rPr>
        <w:t>(‘CoP’) of the Council of Europe Convention on preventing and combating violence against women and domestic violence (‘the Istanbul Convention’ or ‘the Convention’) on 5-6</w:t>
      </w:r>
      <w:r w:rsidR="00BB4B61">
        <w:rPr>
          <w:rFonts w:eastAsia="Arial Unicode MS"/>
          <w:noProof/>
        </w:rPr>
        <w:t> </w:t>
      </w:r>
      <w:r w:rsidRPr="00BB4B61">
        <w:rPr>
          <w:rFonts w:eastAsia="Arial Unicode MS"/>
          <w:noProof/>
        </w:rPr>
        <w:t xml:space="preserve">June 2025, in connection with the envisaged adoption of eight draft recommendations and </w:t>
      </w:r>
      <w:r w:rsidR="000C61FA" w:rsidRPr="00BB4B61">
        <w:rPr>
          <w:rFonts w:eastAsia="Arial Unicode MS"/>
          <w:noProof/>
        </w:rPr>
        <w:t>two</w:t>
      </w:r>
      <w:r w:rsidRPr="00BB4B61">
        <w:rPr>
          <w:rFonts w:eastAsia="Arial Unicode MS"/>
          <w:noProof/>
        </w:rPr>
        <w:t xml:space="preserve"> draft conclusions addressed to </w:t>
      </w:r>
      <w:r w:rsidR="001D3B86">
        <w:rPr>
          <w:rFonts w:eastAsia="Arial Unicode MS"/>
          <w:noProof/>
        </w:rPr>
        <w:t>10</w:t>
      </w:r>
      <w:r w:rsidRPr="00BB4B61">
        <w:rPr>
          <w:rFonts w:eastAsia="Arial Unicode MS"/>
          <w:noProof/>
        </w:rPr>
        <w:t xml:space="preserve"> Parties on their implementation of the Convention</w:t>
      </w:r>
      <w:r w:rsidRPr="00BB4B61">
        <w:rPr>
          <w:noProof/>
        </w:rPr>
        <w:t>.</w:t>
      </w:r>
    </w:p>
    <w:p w:rsidR="00CA0046" w:rsidRPr="00BB4B61" w:rsidRDefault="00910FBB" w:rsidP="00910FBB">
      <w:pPr>
        <w:pStyle w:val="ManualHeading1"/>
        <w:rPr>
          <w:noProof/>
        </w:rPr>
      </w:pPr>
      <w:r w:rsidRPr="00910FBB">
        <w:rPr>
          <w:noProof/>
        </w:rPr>
        <w:t>2.</w:t>
      </w:r>
      <w:r w:rsidRPr="00910FBB">
        <w:rPr>
          <w:noProof/>
        </w:rPr>
        <w:tab/>
      </w:r>
      <w:r w:rsidR="00CA0046" w:rsidRPr="00BB4B61">
        <w:rPr>
          <w:noProof/>
        </w:rPr>
        <w:t>Context of the proposal</w:t>
      </w:r>
    </w:p>
    <w:p w:rsidR="00CA0046" w:rsidRPr="00BB4B61" w:rsidRDefault="00910FBB" w:rsidP="00910FBB">
      <w:pPr>
        <w:pStyle w:val="ManualHeading2"/>
        <w:rPr>
          <w:noProof/>
        </w:rPr>
      </w:pPr>
      <w:r w:rsidRPr="00910FBB">
        <w:rPr>
          <w:noProof/>
        </w:rPr>
        <w:t>2.1.</w:t>
      </w:r>
      <w:r w:rsidRPr="00910FBB">
        <w:rPr>
          <w:noProof/>
        </w:rPr>
        <w:tab/>
      </w:r>
      <w:r w:rsidR="00CA0046" w:rsidRPr="00BB4B61">
        <w:rPr>
          <w:noProof/>
        </w:rPr>
        <w:t xml:space="preserve">The </w:t>
      </w:r>
      <w:r w:rsidR="00B9721A" w:rsidRPr="0038302B">
        <w:rPr>
          <w:noProof/>
        </w:rPr>
        <w:t>Istanbul Convention</w:t>
      </w:r>
    </w:p>
    <w:p w:rsidR="00B9721A" w:rsidRPr="00BB4B61" w:rsidRDefault="00CA0046" w:rsidP="00B9721A">
      <w:pPr>
        <w:rPr>
          <w:rFonts w:eastAsia="Arial Unicode MS"/>
          <w:noProof/>
        </w:rPr>
      </w:pPr>
      <w:r w:rsidRPr="00BB4B61">
        <w:rPr>
          <w:rFonts w:eastAsia="Arial Unicode MS"/>
          <w:noProof/>
        </w:rPr>
        <w:t xml:space="preserve">The </w:t>
      </w:r>
      <w:r w:rsidR="00B9721A" w:rsidRPr="00BB4B61">
        <w:rPr>
          <w:rFonts w:eastAsia="Arial Unicode MS"/>
          <w:noProof/>
        </w:rPr>
        <w:t>Istanbul Convention lay</w:t>
      </w:r>
      <w:r w:rsidR="00A22AD4">
        <w:rPr>
          <w:rFonts w:eastAsia="Arial Unicode MS"/>
          <w:noProof/>
        </w:rPr>
        <w:t>s</w:t>
      </w:r>
      <w:r w:rsidR="00B9721A" w:rsidRPr="00BB4B61">
        <w:rPr>
          <w:rFonts w:eastAsia="Arial Unicode MS"/>
          <w:noProof/>
        </w:rPr>
        <w:t xml:space="preserve"> down a comprehensive and harmonised set of rules to prevent and combat violence against women and domestic violence in Europe and beyond. The Convention entered into force on 1</w:t>
      </w:r>
      <w:r w:rsidR="00BB4B61">
        <w:rPr>
          <w:rFonts w:eastAsia="Arial Unicode MS"/>
          <w:noProof/>
        </w:rPr>
        <w:t> </w:t>
      </w:r>
      <w:r w:rsidR="00B9721A" w:rsidRPr="00BB4B61">
        <w:rPr>
          <w:rFonts w:eastAsia="Arial Unicode MS"/>
          <w:noProof/>
        </w:rPr>
        <w:t>August 2014.</w:t>
      </w:r>
    </w:p>
    <w:p w:rsidR="00B9721A" w:rsidRPr="006017BD" w:rsidRDefault="00B9721A" w:rsidP="0038302B">
      <w:pPr>
        <w:rPr>
          <w:b/>
          <w:bCs/>
          <w:noProof/>
        </w:rPr>
      </w:pPr>
      <w:r w:rsidRPr="006017BD">
        <w:rPr>
          <w:noProof/>
        </w:rPr>
        <w:t>The EU signed the Convention in June 2017, and completed the accession procedure with the deposit of two instruments of approval on 28</w:t>
      </w:r>
      <w:r w:rsidR="00BB4B61" w:rsidRPr="006017BD">
        <w:rPr>
          <w:noProof/>
        </w:rPr>
        <w:t> </w:t>
      </w:r>
      <w:r w:rsidRPr="006017BD">
        <w:rPr>
          <w:noProof/>
        </w:rPr>
        <w:t>June 2023, triggering the entry into force of the Convention for the EU on 1</w:t>
      </w:r>
      <w:r w:rsidR="00BB4B61" w:rsidRPr="006017BD">
        <w:rPr>
          <w:noProof/>
        </w:rPr>
        <w:t> </w:t>
      </w:r>
      <w:r w:rsidRPr="006017BD">
        <w:rPr>
          <w:noProof/>
        </w:rPr>
        <w:t>October 2023. The EU has acceded to the Convention as regards matters falling within its exclusive competence, namely with regard to matters related to institutions and public administration of the Union</w:t>
      </w:r>
      <w:r w:rsidRPr="006017BD">
        <w:rPr>
          <w:rStyle w:val="FootnoteReference"/>
          <w:rFonts w:eastAsia="Arial Unicode MS"/>
          <w:noProof/>
        </w:rPr>
        <w:footnoteReference w:id="2"/>
      </w:r>
      <w:r w:rsidRPr="006017BD">
        <w:rPr>
          <w:noProof/>
        </w:rPr>
        <w:t xml:space="preserve"> and with regard to matters related to judicial cooperation in criminal matters, asylum and non-refoulement</w:t>
      </w:r>
      <w:r w:rsidRPr="006017BD">
        <w:rPr>
          <w:rStyle w:val="FootnoteReference"/>
          <w:rFonts w:eastAsia="Arial Unicode MS"/>
          <w:noProof/>
        </w:rPr>
        <w:footnoteReference w:id="3"/>
      </w:r>
      <w:r w:rsidRPr="006017BD">
        <w:rPr>
          <w:noProof/>
        </w:rPr>
        <w:t xml:space="preserve">. All EU Member States have signed the Convention </w:t>
      </w:r>
      <w:r w:rsidR="00A22AD4" w:rsidRPr="006017BD">
        <w:rPr>
          <w:noProof/>
        </w:rPr>
        <w:t>and</w:t>
      </w:r>
      <w:r w:rsidRPr="006017BD">
        <w:rPr>
          <w:noProof/>
        </w:rPr>
        <w:t xml:space="preserve"> 22 have ratified </w:t>
      </w:r>
      <w:r w:rsidR="001E310A" w:rsidRPr="006017BD">
        <w:rPr>
          <w:noProof/>
        </w:rPr>
        <w:t>it</w:t>
      </w:r>
      <w:r w:rsidRPr="006017BD">
        <w:rPr>
          <w:rStyle w:val="FootnoteReference"/>
          <w:rFonts w:eastAsia="Arial Unicode MS"/>
          <w:noProof/>
        </w:rPr>
        <w:footnoteReference w:id="4"/>
      </w:r>
      <w:r w:rsidR="006017BD">
        <w:rPr>
          <w:noProof/>
        </w:rPr>
        <w:t>.</w:t>
      </w:r>
    </w:p>
    <w:p w:rsidR="00CA0046" w:rsidRPr="00BB4B61" w:rsidRDefault="00910FBB" w:rsidP="00910FBB">
      <w:pPr>
        <w:pStyle w:val="ManualHeading2"/>
        <w:rPr>
          <w:noProof/>
        </w:rPr>
      </w:pPr>
      <w:r w:rsidRPr="00910FBB">
        <w:rPr>
          <w:noProof/>
        </w:rPr>
        <w:t>2.2.</w:t>
      </w:r>
      <w:r w:rsidRPr="00910FBB">
        <w:rPr>
          <w:noProof/>
        </w:rPr>
        <w:tab/>
      </w:r>
      <w:r w:rsidR="00CA0046" w:rsidRPr="00BB4B61">
        <w:rPr>
          <w:noProof/>
        </w:rPr>
        <w:t xml:space="preserve">The </w:t>
      </w:r>
      <w:r w:rsidR="00B9721A" w:rsidRPr="0038302B">
        <w:rPr>
          <w:noProof/>
        </w:rPr>
        <w:t>Committee of the Parties</w:t>
      </w:r>
    </w:p>
    <w:p w:rsidR="00CA0046" w:rsidRPr="00BB4B61" w:rsidRDefault="00CA0046" w:rsidP="009B37BC">
      <w:pPr>
        <w:rPr>
          <w:rFonts w:eastAsia="Arial Unicode MS"/>
          <w:noProof/>
        </w:rPr>
      </w:pPr>
      <w:r w:rsidRPr="00BB4B61">
        <w:rPr>
          <w:rFonts w:eastAsia="Arial Unicode MS"/>
          <w:noProof/>
        </w:rPr>
        <w:t xml:space="preserve">The </w:t>
      </w:r>
      <w:r w:rsidR="001E310A" w:rsidRPr="00BB4B61">
        <w:rPr>
          <w:rFonts w:eastAsia="Arial Unicode MS"/>
          <w:noProof/>
        </w:rPr>
        <w:t>CoP</w:t>
      </w:r>
      <w:r w:rsidR="00B9721A" w:rsidRPr="00BB4B61">
        <w:rPr>
          <w:rStyle w:val="FootnoteReference"/>
          <w:rFonts w:eastAsia="Arial Unicode MS"/>
          <w:noProof/>
        </w:rPr>
        <w:footnoteReference w:id="5"/>
      </w:r>
      <w:r w:rsidR="00B9721A" w:rsidRPr="00BB4B61">
        <w:rPr>
          <w:rFonts w:eastAsia="Arial Unicode MS"/>
          <w:noProof/>
        </w:rPr>
        <w:t xml:space="preserve"> is composed of the representatives of the Parties to the Convention. </w:t>
      </w:r>
      <w:bookmarkStart w:id="3" w:name="_Hlk165392736"/>
      <w:r w:rsidR="00B9721A" w:rsidRPr="00BB4B61">
        <w:rPr>
          <w:rFonts w:eastAsia="Arial Unicode MS"/>
          <w:noProof/>
        </w:rPr>
        <w:t xml:space="preserve">Parties must endeavour to nominate, as their representatives, </w:t>
      </w:r>
      <w:bookmarkEnd w:id="3"/>
      <w:r w:rsidR="00B9721A" w:rsidRPr="00BB4B61">
        <w:rPr>
          <w:rFonts w:eastAsia="Arial Unicode MS"/>
          <w:noProof/>
        </w:rPr>
        <w:t>experts of the highest possible rank in the field of preventing and combating violence against women and domestic violence</w:t>
      </w:r>
      <w:r w:rsidR="00B9721A" w:rsidRPr="00BB4B61">
        <w:rPr>
          <w:rStyle w:val="FootnoteReference"/>
          <w:rFonts w:eastAsia="Arial Unicode MS"/>
          <w:noProof/>
        </w:rPr>
        <w:footnoteReference w:id="6"/>
      </w:r>
      <w:r w:rsidR="00B9721A" w:rsidRPr="00BB4B61">
        <w:rPr>
          <w:rFonts w:eastAsia="Arial Unicode MS"/>
          <w:noProof/>
        </w:rPr>
        <w:t>. The tasks entrusted to the CoP are listed in Rule 1 of its Rules of Procedure</w:t>
      </w:r>
      <w:r w:rsidR="00B9721A" w:rsidRPr="00BB4B61">
        <w:rPr>
          <w:rStyle w:val="FootnoteReference"/>
          <w:rFonts w:eastAsia="Arial Unicode MS"/>
          <w:noProof/>
        </w:rPr>
        <w:footnoteReference w:id="7"/>
      </w:r>
      <w:r w:rsidR="00B9721A" w:rsidRPr="00BB4B61">
        <w:rPr>
          <w:rFonts w:eastAsia="Arial Unicode MS"/>
          <w:noProof/>
        </w:rPr>
        <w:t xml:space="preserve">. </w:t>
      </w:r>
      <w:r w:rsidR="00B9721A" w:rsidRPr="00BB4B61">
        <w:rPr>
          <w:noProof/>
        </w:rPr>
        <w:t>On 1</w:t>
      </w:r>
      <w:r w:rsidR="00BB4B61">
        <w:rPr>
          <w:noProof/>
        </w:rPr>
        <w:t> </w:t>
      </w:r>
      <w:r w:rsidR="00B9721A" w:rsidRPr="00BB4B61">
        <w:rPr>
          <w:noProof/>
        </w:rPr>
        <w:t xml:space="preserve">October 2023 the EU became a Party to the Istanbul Convention, and </w:t>
      </w:r>
      <w:r w:rsidR="00860264">
        <w:rPr>
          <w:noProof/>
        </w:rPr>
        <w:t xml:space="preserve">as such </w:t>
      </w:r>
      <w:r w:rsidR="00B9721A" w:rsidRPr="00BB4B61">
        <w:rPr>
          <w:noProof/>
        </w:rPr>
        <w:t>a member of the CoP (Article</w:t>
      </w:r>
      <w:r w:rsidR="00BB4B61">
        <w:rPr>
          <w:noProof/>
        </w:rPr>
        <w:t> </w:t>
      </w:r>
      <w:r w:rsidR="00B9721A" w:rsidRPr="00BB4B61">
        <w:rPr>
          <w:noProof/>
        </w:rPr>
        <w:t>67(1) of the Convention).</w:t>
      </w:r>
    </w:p>
    <w:p w:rsidR="00B9721A" w:rsidRPr="00BB4B61" w:rsidRDefault="00910FBB" w:rsidP="00910FBB">
      <w:pPr>
        <w:pStyle w:val="ManualHeading2"/>
        <w:rPr>
          <w:noProof/>
        </w:rPr>
      </w:pPr>
      <w:r w:rsidRPr="00910FBB">
        <w:rPr>
          <w:noProof/>
        </w:rPr>
        <w:t>2.3.</w:t>
      </w:r>
      <w:r w:rsidRPr="00910FBB">
        <w:rPr>
          <w:noProof/>
        </w:rPr>
        <w:tab/>
      </w:r>
      <w:r w:rsidR="00B9721A" w:rsidRPr="00BB4B61">
        <w:rPr>
          <w:noProof/>
        </w:rPr>
        <w:t>The monitoring mechanism of the Istanbul Convention</w:t>
      </w:r>
    </w:p>
    <w:p w:rsidR="00425494" w:rsidRPr="00BB4B61" w:rsidRDefault="00425494" w:rsidP="00425494">
      <w:pPr>
        <w:rPr>
          <w:noProof/>
        </w:rPr>
      </w:pPr>
      <w:r w:rsidRPr="00BB4B61">
        <w:rPr>
          <w:noProof/>
        </w:rPr>
        <w:t xml:space="preserve">The Istanbul Convention </w:t>
      </w:r>
      <w:r w:rsidR="00DA2871">
        <w:rPr>
          <w:noProof/>
        </w:rPr>
        <w:t>establishes</w:t>
      </w:r>
      <w:r w:rsidRPr="00BB4B61">
        <w:rPr>
          <w:noProof/>
        </w:rPr>
        <w:t xml:space="preserve"> a monitoring mechanism to ensure effective implementation by the Parties</w:t>
      </w:r>
      <w:r w:rsidRPr="00BB4B61">
        <w:rPr>
          <w:rStyle w:val="FootnoteReference"/>
          <w:noProof/>
        </w:rPr>
        <w:footnoteReference w:id="8"/>
      </w:r>
      <w:r w:rsidRPr="00BB4B61">
        <w:rPr>
          <w:noProof/>
        </w:rPr>
        <w:t xml:space="preserve">. The purpose is to assess how the Convention </w:t>
      </w:r>
      <w:r w:rsidR="00DA2871">
        <w:rPr>
          <w:noProof/>
        </w:rPr>
        <w:t>is</w:t>
      </w:r>
      <w:r w:rsidRPr="00BB4B61">
        <w:rPr>
          <w:noProof/>
        </w:rPr>
        <w:t xml:space="preserve"> put into practice and to provide guidance to </w:t>
      </w:r>
      <w:r w:rsidR="00DA2871">
        <w:rPr>
          <w:noProof/>
        </w:rPr>
        <w:t xml:space="preserve">the </w:t>
      </w:r>
      <w:r w:rsidRPr="00BB4B61">
        <w:rPr>
          <w:noProof/>
        </w:rPr>
        <w:t>Parties. Th</w:t>
      </w:r>
      <w:r w:rsidR="00DA2871">
        <w:rPr>
          <w:noProof/>
        </w:rPr>
        <w:t>e</w:t>
      </w:r>
      <w:r w:rsidRPr="00BB4B61">
        <w:rPr>
          <w:noProof/>
        </w:rPr>
        <w:t xml:space="preserve"> monitoring mechanism consists of two distinct, but interacting, bodies</w:t>
      </w:r>
      <w:r w:rsidR="006017BD">
        <w:rPr>
          <w:noProof/>
        </w:rPr>
        <w:t>:</w:t>
      </w:r>
      <w:r w:rsidRPr="00BB4B61">
        <w:rPr>
          <w:noProof/>
        </w:rPr>
        <w:t xml:space="preserve"> a</w:t>
      </w:r>
      <w:r w:rsidRPr="00BB4B61">
        <w:rPr>
          <w:noProof/>
          <w:szCs w:val="24"/>
        </w:rPr>
        <w:t xml:space="preserve">n independent expert body (the </w:t>
      </w:r>
      <w:r w:rsidRPr="00BB4B61">
        <w:rPr>
          <w:rFonts w:eastAsia="Arial Unicode MS"/>
          <w:noProof/>
        </w:rPr>
        <w:t>Group of Experts on Action against Violence against Women and Domestic Violence ‘GREVIO’)</w:t>
      </w:r>
      <w:r w:rsidR="002F0819">
        <w:rPr>
          <w:rFonts w:eastAsia="Arial Unicode MS"/>
          <w:noProof/>
        </w:rPr>
        <w:t>;</w:t>
      </w:r>
      <w:r w:rsidRPr="00BB4B61">
        <w:rPr>
          <w:rFonts w:eastAsia="Arial Unicode MS"/>
          <w:noProof/>
        </w:rPr>
        <w:t xml:space="preserve"> </w:t>
      </w:r>
      <w:r w:rsidRPr="00BB4B61">
        <w:rPr>
          <w:noProof/>
          <w:szCs w:val="24"/>
        </w:rPr>
        <w:t xml:space="preserve">and </w:t>
      </w:r>
      <w:r w:rsidRPr="00BB4B61">
        <w:rPr>
          <w:noProof/>
        </w:rPr>
        <w:t>the CoP.</w:t>
      </w:r>
    </w:p>
    <w:p w:rsidR="00253AFB" w:rsidRPr="00BB4B61" w:rsidRDefault="00425494" w:rsidP="002348E5">
      <w:pPr>
        <w:rPr>
          <w:noProof/>
        </w:rPr>
      </w:pPr>
      <w:r w:rsidRPr="00BB4B61">
        <w:rPr>
          <w:rFonts w:eastAsia="Arial Unicode MS"/>
          <w:noProof/>
        </w:rPr>
        <w:t xml:space="preserve">GREVIO </w:t>
      </w:r>
      <w:r w:rsidRPr="00BB4B61">
        <w:rPr>
          <w:noProof/>
        </w:rPr>
        <w:t>is an independent group of experts tasked to monitor the implementation of the Istanbul Convention on a country-by-country basis, in accordance with Article</w:t>
      </w:r>
      <w:r w:rsidR="00BB4B61">
        <w:rPr>
          <w:noProof/>
        </w:rPr>
        <w:t> </w:t>
      </w:r>
      <w:r w:rsidRPr="00BB4B61">
        <w:rPr>
          <w:noProof/>
        </w:rPr>
        <w:t>66(1) of the Convention. The monitoring procedure is set out in Article</w:t>
      </w:r>
      <w:r w:rsidR="00BB4B61">
        <w:rPr>
          <w:noProof/>
        </w:rPr>
        <w:t> </w:t>
      </w:r>
      <w:r w:rsidRPr="00BB4B61">
        <w:rPr>
          <w:noProof/>
        </w:rPr>
        <w:t>68 of the Convention. In accordance with Article</w:t>
      </w:r>
      <w:r w:rsidR="00BB4B61">
        <w:rPr>
          <w:noProof/>
        </w:rPr>
        <w:t> </w:t>
      </w:r>
      <w:r w:rsidRPr="00BB4B61">
        <w:rPr>
          <w:noProof/>
        </w:rPr>
        <w:t>68(1)</w:t>
      </w:r>
      <w:r w:rsidR="25901C65" w:rsidRPr="00BB4B61">
        <w:rPr>
          <w:noProof/>
        </w:rPr>
        <w:t xml:space="preserve"> of the Convention</w:t>
      </w:r>
      <w:r w:rsidRPr="00BB4B61">
        <w:rPr>
          <w:noProof/>
        </w:rPr>
        <w:t xml:space="preserve">, </w:t>
      </w:r>
      <w:r w:rsidR="00253AFB" w:rsidRPr="00BB4B61">
        <w:rPr>
          <w:noProof/>
        </w:rPr>
        <w:t xml:space="preserve">new </w:t>
      </w:r>
      <w:r w:rsidRPr="00BB4B61">
        <w:rPr>
          <w:noProof/>
        </w:rPr>
        <w:t xml:space="preserve">Parties are required to submit a report, based on a questionnaire prepared by GREVIO, detailing legislative and other measures taken to give effect to the Convention. </w:t>
      </w:r>
      <w:r w:rsidR="007B19AA" w:rsidRPr="00BB4B61">
        <w:rPr>
          <w:rFonts w:eastAsia="Arial Unicode MS"/>
          <w:noProof/>
        </w:rPr>
        <w:t>GREVIO prepares a</w:t>
      </w:r>
      <w:r w:rsidR="008551D0" w:rsidRPr="00BB4B61">
        <w:rPr>
          <w:rFonts w:eastAsia="Arial Unicode MS"/>
          <w:noProof/>
        </w:rPr>
        <w:t xml:space="preserve"> </w:t>
      </w:r>
      <w:r w:rsidR="007B19AA" w:rsidRPr="00BB4B61">
        <w:rPr>
          <w:rFonts w:eastAsia="Arial Unicode MS"/>
          <w:noProof/>
        </w:rPr>
        <w:t>report on the measures taken by the Party concerned to implement the Convention and gives suggestions and proposals on the way in which the Party may deal with problems</w:t>
      </w:r>
      <w:r w:rsidR="00DA2871">
        <w:rPr>
          <w:rFonts w:eastAsia="Arial Unicode MS"/>
          <w:noProof/>
        </w:rPr>
        <w:t xml:space="preserve"> that have been identified</w:t>
      </w:r>
      <w:r w:rsidR="007B19AA" w:rsidRPr="00BB4B61">
        <w:rPr>
          <w:rStyle w:val="FootnoteReference"/>
          <w:rFonts w:eastAsia="Arial Unicode MS"/>
          <w:noProof/>
        </w:rPr>
        <w:footnoteReference w:id="9"/>
      </w:r>
      <w:r w:rsidR="007B19AA" w:rsidRPr="00BB4B61">
        <w:rPr>
          <w:rFonts w:eastAsia="Arial Unicode MS"/>
          <w:noProof/>
        </w:rPr>
        <w:t>.</w:t>
      </w:r>
    </w:p>
    <w:p w:rsidR="00425494" w:rsidRPr="006F40B7" w:rsidRDefault="00933FA8" w:rsidP="00425494">
      <w:pPr>
        <w:pStyle w:val="Text1"/>
        <w:ind w:left="0"/>
        <w:rPr>
          <w:noProof/>
          <w:lang w:val="en-US"/>
        </w:rPr>
      </w:pPr>
      <w:r>
        <w:rPr>
          <w:noProof/>
        </w:rPr>
        <w:t>Based o</w:t>
      </w:r>
      <w:r w:rsidR="00425494" w:rsidRPr="00BB4B61">
        <w:rPr>
          <w:noProof/>
        </w:rPr>
        <w:t>n the GREVIO reports, the CoP, in accordance with Article</w:t>
      </w:r>
      <w:r w:rsidR="00BB4B61">
        <w:rPr>
          <w:noProof/>
        </w:rPr>
        <w:t> </w:t>
      </w:r>
      <w:r w:rsidR="00425494" w:rsidRPr="00BB4B61">
        <w:rPr>
          <w:noProof/>
        </w:rPr>
        <w:t xml:space="preserve">68(12) of the Convention, may adopt recommendations addressed to the Party concerned on the implementation of the Convention and set a date for </w:t>
      </w:r>
      <w:r w:rsidR="00D025F5">
        <w:rPr>
          <w:noProof/>
        </w:rPr>
        <w:t xml:space="preserve">the Party to </w:t>
      </w:r>
      <w:r w:rsidR="00425494" w:rsidRPr="00BB4B61">
        <w:rPr>
          <w:noProof/>
        </w:rPr>
        <w:t>submit</w:t>
      </w:r>
      <w:r w:rsidR="00D025F5">
        <w:rPr>
          <w:noProof/>
        </w:rPr>
        <w:t xml:space="preserve"> a response</w:t>
      </w:r>
      <w:r w:rsidR="00425494" w:rsidRPr="00BB4B61">
        <w:rPr>
          <w:noProof/>
        </w:rPr>
        <w:t xml:space="preserve"> on their implementation. Based on this provision, the CoP has been adopting recommendations to Parties which differentiate between actions </w:t>
      </w:r>
      <w:r w:rsidR="004B2364">
        <w:rPr>
          <w:noProof/>
        </w:rPr>
        <w:t>that</w:t>
      </w:r>
      <w:r w:rsidR="00425494" w:rsidRPr="00BB4B61">
        <w:rPr>
          <w:noProof/>
        </w:rPr>
        <w:t xml:space="preserve"> should </w:t>
      </w:r>
      <w:r w:rsidR="004B2364">
        <w:rPr>
          <w:noProof/>
        </w:rPr>
        <w:t xml:space="preserve">be </w:t>
      </w:r>
      <w:r w:rsidR="00425494" w:rsidRPr="00BB4B61">
        <w:rPr>
          <w:noProof/>
        </w:rPr>
        <w:t>take</w:t>
      </w:r>
      <w:r w:rsidR="004B2364">
        <w:rPr>
          <w:noProof/>
        </w:rPr>
        <w:t>n</w:t>
      </w:r>
      <w:r w:rsidR="00425494" w:rsidRPr="00BB4B61">
        <w:rPr>
          <w:noProof/>
        </w:rPr>
        <w:t xml:space="preserve"> as soon as possible, with a requirement to report back within a three year-period, and </w:t>
      </w:r>
      <w:r w:rsidR="004B2364">
        <w:rPr>
          <w:noProof/>
        </w:rPr>
        <w:t xml:space="preserve">actions that </w:t>
      </w:r>
      <w:r w:rsidR="00425494" w:rsidRPr="00BB4B61">
        <w:rPr>
          <w:noProof/>
        </w:rPr>
        <w:t xml:space="preserve">while important, </w:t>
      </w:r>
      <w:r w:rsidR="004B2364">
        <w:rPr>
          <w:noProof/>
        </w:rPr>
        <w:t xml:space="preserve">do not carry the same </w:t>
      </w:r>
      <w:r w:rsidR="00425494" w:rsidRPr="00BB4B61">
        <w:rPr>
          <w:noProof/>
        </w:rPr>
        <w:t>level of immediacy. At the end of</w:t>
      </w:r>
      <w:r w:rsidR="00425494" w:rsidRPr="00BB4B61">
        <w:rPr>
          <w:rFonts w:eastAsia="Arial Unicode MS"/>
          <w:noProof/>
        </w:rPr>
        <w:t xml:space="preserve"> the </w:t>
      </w:r>
      <w:r w:rsidR="004B2364">
        <w:rPr>
          <w:rFonts w:eastAsia="Arial Unicode MS"/>
          <w:noProof/>
        </w:rPr>
        <w:t>three</w:t>
      </w:r>
      <w:r w:rsidR="00425494" w:rsidRPr="00BB4B61">
        <w:rPr>
          <w:rFonts w:eastAsia="Arial Unicode MS"/>
          <w:noProof/>
        </w:rPr>
        <w:t>-year period, the Party must report back to the CoP on</w:t>
      </w:r>
      <w:r w:rsidR="00425494" w:rsidRPr="00BB4B61">
        <w:rPr>
          <w:noProof/>
        </w:rPr>
        <w:t xml:space="preserve"> the progress made in implementing </w:t>
      </w:r>
      <w:r w:rsidR="004B2364">
        <w:rPr>
          <w:noProof/>
        </w:rPr>
        <w:t>the recommendations that were addressed to it</w:t>
      </w:r>
      <w:r w:rsidR="00425494" w:rsidRPr="00BB4B61">
        <w:rPr>
          <w:rFonts w:eastAsia="Arial Unicode MS"/>
          <w:noProof/>
        </w:rPr>
        <w:t xml:space="preserve">. </w:t>
      </w:r>
      <w:r w:rsidR="00A53830">
        <w:rPr>
          <w:rFonts w:eastAsia="Arial Unicode MS"/>
          <w:noProof/>
        </w:rPr>
        <w:t xml:space="preserve"> O</w:t>
      </w:r>
      <w:r w:rsidR="00425494" w:rsidRPr="00BB4B61">
        <w:rPr>
          <w:rFonts w:eastAsia="Arial Unicode MS"/>
          <w:noProof/>
        </w:rPr>
        <w:t xml:space="preserve">n the basis of this information, and any additional information obtained, </w:t>
      </w:r>
      <w:bookmarkStart w:id="4" w:name="_Hlk197613385"/>
      <w:r w:rsidR="004B2364" w:rsidRPr="00BB4B61">
        <w:rPr>
          <w:rFonts w:eastAsia="Arial Unicode MS"/>
          <w:noProof/>
        </w:rPr>
        <w:t>the Secretariat of the Committee</w:t>
      </w:r>
      <w:r w:rsidR="004B2364" w:rsidRPr="00BB4B61">
        <w:rPr>
          <w:rStyle w:val="FootnoteReference"/>
          <w:rFonts w:eastAsia="Arial Unicode MS"/>
          <w:noProof/>
        </w:rPr>
        <w:footnoteReference w:id="10"/>
      </w:r>
      <w:r w:rsidR="004B2364">
        <w:rPr>
          <w:rFonts w:eastAsia="Arial Unicode MS"/>
          <w:noProof/>
        </w:rPr>
        <w:t xml:space="preserve"> prepares the </w:t>
      </w:r>
      <w:bookmarkEnd w:id="4"/>
      <w:r w:rsidR="00EC7AF3" w:rsidRPr="00BB4B61">
        <w:rPr>
          <w:rFonts w:eastAsia="Arial Unicode MS"/>
          <w:noProof/>
        </w:rPr>
        <w:t>c</w:t>
      </w:r>
      <w:r w:rsidR="00425494" w:rsidRPr="00BB4B61">
        <w:rPr>
          <w:rFonts w:eastAsia="Arial Unicode MS"/>
          <w:noProof/>
        </w:rPr>
        <w:t xml:space="preserve">onclusions on the implementation of the recommendations in relation to each Party under review, </w:t>
      </w:r>
      <w:r w:rsidR="004B2364">
        <w:rPr>
          <w:rFonts w:eastAsia="Arial Unicode MS"/>
          <w:noProof/>
        </w:rPr>
        <w:t>which the CoP adopt</w:t>
      </w:r>
      <w:r w:rsidR="006F40B7">
        <w:rPr>
          <w:rFonts w:eastAsia="Arial Unicode MS"/>
          <w:noProof/>
        </w:rPr>
        <w:t>.</w:t>
      </w:r>
    </w:p>
    <w:p w:rsidR="00117AC8" w:rsidRPr="00BB4B61" w:rsidRDefault="00425494" w:rsidP="00425494">
      <w:pPr>
        <w:pStyle w:val="Text1"/>
        <w:ind w:left="0"/>
        <w:rPr>
          <w:noProof/>
        </w:rPr>
      </w:pPr>
      <w:r w:rsidRPr="00BB4B61">
        <w:rPr>
          <w:noProof/>
        </w:rPr>
        <w:t xml:space="preserve">As the baseline evaluation procedure has been completed for nearly all Parties, GREVIO decided in late 2022 to move to the next phase in </w:t>
      </w:r>
      <w:r w:rsidR="00210D83">
        <w:rPr>
          <w:noProof/>
        </w:rPr>
        <w:t>its</w:t>
      </w:r>
      <w:r w:rsidRPr="00BB4B61">
        <w:rPr>
          <w:noProof/>
        </w:rPr>
        <w:t xml:space="preserve"> evaluation. </w:t>
      </w:r>
      <w:r w:rsidR="00C56432">
        <w:rPr>
          <w:noProof/>
        </w:rPr>
        <w:t>Under</w:t>
      </w:r>
      <w:r w:rsidRPr="00BB4B61">
        <w:rPr>
          <w:noProof/>
        </w:rPr>
        <w:t xml:space="preserve"> Article</w:t>
      </w:r>
      <w:r w:rsidR="00BB4B61">
        <w:rPr>
          <w:noProof/>
        </w:rPr>
        <w:t> </w:t>
      </w:r>
      <w:r w:rsidRPr="00BB4B61">
        <w:rPr>
          <w:noProof/>
        </w:rPr>
        <w:t>68(3) of the Convention, GREVIO’s evaluation procedures following the baseline evaluation shall be divided into rounds</w:t>
      </w:r>
      <w:r w:rsidR="00117AC8" w:rsidRPr="00BB4B61">
        <w:rPr>
          <w:noProof/>
        </w:rPr>
        <w:t xml:space="preserve"> (‘thematic evaluation rounds’)</w:t>
      </w:r>
      <w:r w:rsidRPr="00BB4B61">
        <w:rPr>
          <w:noProof/>
        </w:rPr>
        <w:t xml:space="preserve">. The first thematic evaluation round is entitled </w:t>
      </w:r>
      <w:r w:rsidR="00BB4B61">
        <w:rPr>
          <w:noProof/>
        </w:rPr>
        <w:t>‘</w:t>
      </w:r>
      <w:r w:rsidRPr="00BB4B61">
        <w:rPr>
          <w:noProof/>
        </w:rPr>
        <w:t>Building Trust by Delivering Support, Protection and Justice</w:t>
      </w:r>
      <w:r w:rsidR="00BB4B61">
        <w:rPr>
          <w:noProof/>
        </w:rPr>
        <w:t>’</w:t>
      </w:r>
      <w:r w:rsidRPr="00BB4B61">
        <w:rPr>
          <w:noProof/>
        </w:rPr>
        <w:t xml:space="preserve"> </w:t>
      </w:r>
      <w:r w:rsidR="00843D21">
        <w:rPr>
          <w:noProof/>
        </w:rPr>
        <w:t>which</w:t>
      </w:r>
      <w:r w:rsidRPr="00BB4B61">
        <w:rPr>
          <w:noProof/>
        </w:rPr>
        <w:t xml:space="preserve"> run</w:t>
      </w:r>
      <w:r w:rsidR="00843D21">
        <w:rPr>
          <w:noProof/>
        </w:rPr>
        <w:t>s</w:t>
      </w:r>
      <w:r w:rsidRPr="00BB4B61">
        <w:rPr>
          <w:noProof/>
        </w:rPr>
        <w:t xml:space="preserve"> from 2023 to 2031. While the baseline evaluation covered around 60 articles of the Istanbul Convention, the new thematic evaluation procedure addresses </w:t>
      </w:r>
      <w:r w:rsidR="00366A8C">
        <w:rPr>
          <w:noProof/>
        </w:rPr>
        <w:t>20</w:t>
      </w:r>
      <w:r w:rsidR="00366A8C" w:rsidRPr="00BB4B61">
        <w:rPr>
          <w:noProof/>
        </w:rPr>
        <w:t xml:space="preserve"> </w:t>
      </w:r>
      <w:r w:rsidR="00843D21">
        <w:rPr>
          <w:noProof/>
        </w:rPr>
        <w:t>articles</w:t>
      </w:r>
      <w:r w:rsidR="00117AC8" w:rsidRPr="00BB4B61">
        <w:rPr>
          <w:noProof/>
        </w:rPr>
        <w:t xml:space="preserve">, namely Articles </w:t>
      </w:r>
      <w:r w:rsidR="00366A8C">
        <w:rPr>
          <w:noProof/>
        </w:rPr>
        <w:t xml:space="preserve">3, </w:t>
      </w:r>
      <w:r w:rsidR="00117AC8" w:rsidRPr="00BB4B61">
        <w:rPr>
          <w:noProof/>
        </w:rPr>
        <w:t>7, 8, 11, 12, 14, 15, 16, 18, 20, 22, 25, 31, 48, 49, 50, 51, 52, 53 and 56</w:t>
      </w:r>
      <w:r w:rsidRPr="00BB4B61">
        <w:rPr>
          <w:noProof/>
        </w:rPr>
        <w:t xml:space="preserve">. These </w:t>
      </w:r>
      <w:r w:rsidR="00843D21">
        <w:rPr>
          <w:noProof/>
        </w:rPr>
        <w:t>articles</w:t>
      </w:r>
      <w:r w:rsidRPr="00BB4B61">
        <w:rPr>
          <w:noProof/>
        </w:rPr>
        <w:t xml:space="preserve"> set out standards for law enforcement agencies, criminal justice actors, the provision of general and specialist support services for victims, and an overall victim-centred approach. The aim is to provide a more in-depth assessment of these areas, focusing on the progress made under each </w:t>
      </w:r>
      <w:r w:rsidR="00843D21">
        <w:rPr>
          <w:noProof/>
        </w:rPr>
        <w:t>article</w:t>
      </w:r>
      <w:r w:rsidRPr="00BB4B61">
        <w:rPr>
          <w:noProof/>
        </w:rPr>
        <w:t xml:space="preserve">. </w:t>
      </w:r>
      <w:r w:rsidR="00A24CC3" w:rsidRPr="00BB4B61">
        <w:rPr>
          <w:noProof/>
        </w:rPr>
        <w:t>At its last meeting in December 2024</w:t>
      </w:r>
      <w:r w:rsidRPr="00BB4B61">
        <w:rPr>
          <w:noProof/>
        </w:rPr>
        <w:t xml:space="preserve">, the CoP adopted </w:t>
      </w:r>
      <w:r w:rsidR="00DF33FE" w:rsidRPr="00BB4B61">
        <w:rPr>
          <w:noProof/>
        </w:rPr>
        <w:t>a</w:t>
      </w:r>
      <w:r w:rsidR="00A24CC3" w:rsidRPr="00BB4B61">
        <w:rPr>
          <w:noProof/>
        </w:rPr>
        <w:t xml:space="preserve"> </w:t>
      </w:r>
      <w:r w:rsidR="00117AC8" w:rsidRPr="00BB4B61">
        <w:rPr>
          <w:noProof/>
        </w:rPr>
        <w:t>Decision on the recommendations to be adopted by the Committee of the Parties in light of GREVIO’s reports adopted as part of its first thematic round of evaluation [IC-CP(2024)10 rev].</w:t>
      </w:r>
    </w:p>
    <w:p w:rsidR="00425494" w:rsidRPr="00BB4B61" w:rsidRDefault="00425494" w:rsidP="00425494">
      <w:pPr>
        <w:pStyle w:val="Text1"/>
        <w:ind w:left="0"/>
        <w:rPr>
          <w:rFonts w:eastAsia="Arial Unicode MS"/>
          <w:noProof/>
        </w:rPr>
      </w:pPr>
      <w:r w:rsidRPr="00BB4B61">
        <w:rPr>
          <w:rFonts w:eastAsia="Arial Unicode MS"/>
          <w:noProof/>
        </w:rPr>
        <w:t xml:space="preserve">To date, the </w:t>
      </w:r>
      <w:r w:rsidR="00D36DD9">
        <w:rPr>
          <w:rFonts w:eastAsia="Arial Unicode MS"/>
          <w:noProof/>
        </w:rPr>
        <w:t xml:space="preserve">CoP’s </w:t>
      </w:r>
      <w:r w:rsidRPr="00BB4B61">
        <w:rPr>
          <w:rFonts w:eastAsia="Arial Unicode MS"/>
          <w:noProof/>
        </w:rPr>
        <w:t>practice has been to adopt recommendations and conclusions bas</w:t>
      </w:r>
      <w:r w:rsidR="00D36DD9">
        <w:rPr>
          <w:rFonts w:eastAsia="Arial Unicode MS"/>
          <w:noProof/>
        </w:rPr>
        <w:t>ed on</w:t>
      </w:r>
      <w:r w:rsidRPr="00BB4B61">
        <w:rPr>
          <w:rFonts w:eastAsia="Arial Unicode MS"/>
          <w:noProof/>
        </w:rPr>
        <w:t xml:space="preserve"> consensus at its meetings which take place upon request</w:t>
      </w:r>
      <w:r w:rsidR="006F40B7">
        <w:rPr>
          <w:rStyle w:val="FootnoteReference"/>
          <w:rFonts w:eastAsia="Arial Unicode MS"/>
          <w:noProof/>
        </w:rPr>
        <w:footnoteReference w:id="11"/>
      </w:r>
      <w:r w:rsidRPr="00BB4B61">
        <w:rPr>
          <w:rFonts w:eastAsia="Arial Unicode MS"/>
          <w:noProof/>
        </w:rPr>
        <w:t xml:space="preserve">, </w:t>
      </w:r>
      <w:r w:rsidR="7F9217A6" w:rsidRPr="60BAA220">
        <w:rPr>
          <w:rFonts w:eastAsia="Arial Unicode MS"/>
          <w:noProof/>
        </w:rPr>
        <w:t>by one third of the Parties, the President of the Committee of the Parties or the Secretary General</w:t>
      </w:r>
      <w:r w:rsidR="006B6C86">
        <w:rPr>
          <w:rFonts w:eastAsia="Arial Unicode MS"/>
          <w:noProof/>
        </w:rPr>
        <w:t>,</w:t>
      </w:r>
      <w:r w:rsidR="7F9217A6" w:rsidRPr="60BAA220">
        <w:rPr>
          <w:rFonts w:eastAsia="Arial Unicode MS"/>
          <w:noProof/>
        </w:rPr>
        <w:t xml:space="preserve"> </w:t>
      </w:r>
      <w:r w:rsidRPr="00BB4B61">
        <w:rPr>
          <w:rFonts w:eastAsia="Arial Unicode MS"/>
          <w:noProof/>
        </w:rPr>
        <w:t>normally twice a year.</w:t>
      </w:r>
    </w:p>
    <w:p w:rsidR="00425494" w:rsidRPr="00BB4B61" w:rsidRDefault="00910FBB" w:rsidP="00910FBB">
      <w:pPr>
        <w:pStyle w:val="ManualHeading2"/>
        <w:rPr>
          <w:noProof/>
        </w:rPr>
      </w:pPr>
      <w:r w:rsidRPr="00910FBB">
        <w:rPr>
          <w:noProof/>
        </w:rPr>
        <w:t>2.4.</w:t>
      </w:r>
      <w:r w:rsidRPr="00910FBB">
        <w:rPr>
          <w:noProof/>
        </w:rPr>
        <w:tab/>
      </w:r>
      <w:r w:rsidR="00425494">
        <w:rPr>
          <w:noProof/>
        </w:rPr>
        <w:t>The envisaged acts of the Committee of the Parties</w:t>
      </w:r>
    </w:p>
    <w:p w:rsidR="00425494" w:rsidRPr="00BB4B61" w:rsidRDefault="00425494" w:rsidP="00425494">
      <w:pPr>
        <w:rPr>
          <w:rFonts w:eastAsia="Arial Unicode MS"/>
          <w:noProof/>
        </w:rPr>
      </w:pPr>
      <w:r w:rsidRPr="00BB4B61">
        <w:rPr>
          <w:rFonts w:eastAsia="Arial Unicode MS"/>
          <w:noProof/>
        </w:rPr>
        <w:t>On 5-6</w:t>
      </w:r>
      <w:r w:rsidR="00BB4B61">
        <w:rPr>
          <w:rFonts w:eastAsia="Arial Unicode MS"/>
          <w:noProof/>
        </w:rPr>
        <w:t> </w:t>
      </w:r>
      <w:r w:rsidRPr="00BB4B61">
        <w:rPr>
          <w:rFonts w:eastAsia="Arial Unicode MS"/>
          <w:noProof/>
        </w:rPr>
        <w:t>June 2025, during its 18</w:t>
      </w:r>
      <w:r w:rsidR="00D36DD9">
        <w:rPr>
          <w:noProof/>
        </w:rPr>
        <w:t xml:space="preserve">th </w:t>
      </w:r>
      <w:r w:rsidRPr="00BB4B61">
        <w:rPr>
          <w:rFonts w:eastAsia="Arial Unicode MS"/>
          <w:noProof/>
        </w:rPr>
        <w:t>meeting, it is foreseen that the</w:t>
      </w:r>
      <w:r w:rsidRPr="00BB4B61">
        <w:rPr>
          <w:noProof/>
        </w:rPr>
        <w:t xml:space="preserve"> CoP </w:t>
      </w:r>
      <w:r w:rsidRPr="00BB4B61">
        <w:rPr>
          <w:rFonts w:eastAsia="Arial Unicode MS"/>
          <w:noProof/>
        </w:rPr>
        <w:t xml:space="preserve">will proceed with the adoption of the following </w:t>
      </w:r>
      <w:r w:rsidR="0022743B" w:rsidRPr="00BB4B61">
        <w:rPr>
          <w:rFonts w:eastAsia="Arial Unicode MS"/>
          <w:noProof/>
        </w:rPr>
        <w:t xml:space="preserve">eight </w:t>
      </w:r>
      <w:r w:rsidRPr="00BB4B61">
        <w:rPr>
          <w:rFonts w:eastAsia="Arial Unicode MS"/>
          <w:noProof/>
        </w:rPr>
        <w:t>draft recommendations</w:t>
      </w:r>
      <w:r w:rsidR="0022743B" w:rsidRPr="00BB4B61">
        <w:rPr>
          <w:rFonts w:eastAsia="Arial Unicode MS"/>
          <w:noProof/>
        </w:rPr>
        <w:t xml:space="preserve"> based on t</w:t>
      </w:r>
      <w:r w:rsidR="0022743B" w:rsidRPr="00BB4B61">
        <w:rPr>
          <w:noProof/>
        </w:rPr>
        <w:t xml:space="preserve">he first thematic evaluation round, </w:t>
      </w:r>
      <w:r w:rsidRPr="00BB4B61">
        <w:rPr>
          <w:rFonts w:eastAsia="Arial Unicode MS"/>
          <w:noProof/>
        </w:rPr>
        <w:t xml:space="preserve">and </w:t>
      </w:r>
      <w:r w:rsidR="00631A78" w:rsidRPr="00BB4B61">
        <w:rPr>
          <w:rFonts w:eastAsia="Arial Unicode MS"/>
          <w:noProof/>
        </w:rPr>
        <w:t>two</w:t>
      </w:r>
      <w:r w:rsidR="0022743B" w:rsidRPr="00BB4B61">
        <w:rPr>
          <w:rFonts w:eastAsia="Arial Unicode MS"/>
          <w:noProof/>
        </w:rPr>
        <w:t xml:space="preserve"> </w:t>
      </w:r>
      <w:r w:rsidRPr="00BB4B61">
        <w:rPr>
          <w:rFonts w:eastAsia="Arial Unicode MS"/>
          <w:noProof/>
        </w:rPr>
        <w:t>conclusions (‘the envisaged acts’ or ‘the draft recommendation</w:t>
      </w:r>
      <w:r w:rsidR="0022743B" w:rsidRPr="00BB4B61">
        <w:rPr>
          <w:rFonts w:eastAsia="Arial Unicode MS"/>
          <w:noProof/>
        </w:rPr>
        <w:t>s</w:t>
      </w:r>
      <w:r w:rsidRPr="00BB4B61">
        <w:rPr>
          <w:rFonts w:eastAsia="Arial Unicode MS"/>
          <w:noProof/>
        </w:rPr>
        <w:t xml:space="preserve"> and </w:t>
      </w:r>
      <w:r w:rsidRPr="00BB4B61">
        <w:rPr>
          <w:noProof/>
        </w:rPr>
        <w:t>conclusions’):</w:t>
      </w:r>
    </w:p>
    <w:p w:rsidR="717160C6" w:rsidRPr="00BB4B61" w:rsidRDefault="4D29FC84" w:rsidP="00913B2C">
      <w:pPr>
        <w:pStyle w:val="Tiret1"/>
        <w:numPr>
          <w:ilvl w:val="0"/>
          <w:numId w:val="6"/>
        </w:numPr>
        <w:rPr>
          <w:noProof/>
        </w:rPr>
      </w:pPr>
      <w:r w:rsidRPr="00BB4B61">
        <w:rPr>
          <w:noProof/>
        </w:rPr>
        <w:t xml:space="preserve">Recommendations on improving trust by delivering support, protection and justice on the basis of the Istanbul Convention by </w:t>
      </w:r>
      <w:r w:rsidR="6F7AA33C" w:rsidRPr="00BB4B61">
        <w:rPr>
          <w:noProof/>
        </w:rPr>
        <w:t>Albania [IC-CP(2025)2-prov];</w:t>
      </w:r>
    </w:p>
    <w:p w:rsidR="2C837FC0" w:rsidRPr="00BB4B61" w:rsidRDefault="4CEFA8AA" w:rsidP="2C837FC0">
      <w:pPr>
        <w:pStyle w:val="Tiret1"/>
        <w:rPr>
          <w:noProof/>
        </w:rPr>
      </w:pPr>
      <w:r w:rsidRPr="00BB4B61">
        <w:rPr>
          <w:noProof/>
        </w:rPr>
        <w:t>Recommendations on improving trust by delivering support, protection and justice on the basis of the Istanbul Convention by</w:t>
      </w:r>
      <w:r w:rsidR="40B0CA5A" w:rsidRPr="00BB4B61">
        <w:rPr>
          <w:noProof/>
        </w:rPr>
        <w:t xml:space="preserve"> Austria [IC-CP(2025)3-prov]</w:t>
      </w:r>
    </w:p>
    <w:p w:rsidR="0BD53A73" w:rsidRPr="00BB4B61" w:rsidRDefault="1DBEA599" w:rsidP="29BDAA74">
      <w:pPr>
        <w:pStyle w:val="Tiret1"/>
        <w:rPr>
          <w:rFonts w:eastAsia="Calibri"/>
          <w:noProof/>
        </w:rPr>
      </w:pPr>
      <w:r w:rsidRPr="00BB4B61">
        <w:rPr>
          <w:noProof/>
        </w:rPr>
        <w:t>Recommendations on improving trust by delivering support, protection and justice on the basis of the Istanbul Convention by</w:t>
      </w:r>
      <w:r w:rsidR="5B0D6213" w:rsidRPr="00BB4B61">
        <w:rPr>
          <w:noProof/>
        </w:rPr>
        <w:t xml:space="preserve"> Denmark [IC-CP(2025)4-prov]</w:t>
      </w:r>
    </w:p>
    <w:p w:rsidR="0BD53A73" w:rsidRPr="00BB4B61" w:rsidRDefault="3518076A" w:rsidP="4E5A937D">
      <w:pPr>
        <w:pStyle w:val="Tiret1"/>
        <w:rPr>
          <w:rFonts w:eastAsia="Calibri"/>
          <w:noProof/>
        </w:rPr>
      </w:pPr>
      <w:r w:rsidRPr="00BB4B61">
        <w:rPr>
          <w:noProof/>
        </w:rPr>
        <w:t>Recommendations on improving trust by delivering support, protection and justice on the basis of the Istanbul Convention by</w:t>
      </w:r>
      <w:r w:rsidR="5B0D6213" w:rsidRPr="00BB4B61">
        <w:rPr>
          <w:rFonts w:eastAsia="Calibri"/>
          <w:noProof/>
        </w:rPr>
        <w:t xml:space="preserve"> Finland [IC-CP(2025)5-prov]</w:t>
      </w:r>
    </w:p>
    <w:p w:rsidR="0532E620" w:rsidRPr="00BB4B61" w:rsidRDefault="65A0410C" w:rsidP="0532E620">
      <w:pPr>
        <w:pStyle w:val="Tiret1"/>
        <w:rPr>
          <w:noProof/>
        </w:rPr>
      </w:pPr>
      <w:r w:rsidRPr="00BB4B61">
        <w:rPr>
          <w:noProof/>
        </w:rPr>
        <w:t>Recommendations on improving trust by delivering support, protection and justice on the basis of the Istanbul Convention by</w:t>
      </w:r>
      <w:r w:rsidR="5B0D6213" w:rsidRPr="00BB4B61">
        <w:rPr>
          <w:noProof/>
        </w:rPr>
        <w:t xml:space="preserve"> Monaco [IC-CP(2025)6-prov]</w:t>
      </w:r>
    </w:p>
    <w:p w:rsidR="5BF74387" w:rsidRPr="00BB4B61" w:rsidRDefault="131BB49C" w:rsidP="5BF74387">
      <w:pPr>
        <w:pStyle w:val="Tiret1"/>
        <w:rPr>
          <w:noProof/>
        </w:rPr>
      </w:pPr>
      <w:r w:rsidRPr="00BB4B61">
        <w:rPr>
          <w:noProof/>
        </w:rPr>
        <w:t>Recommendations on improving trust by delivering support, protection and justice on the basis of the Istanbul Convention by</w:t>
      </w:r>
      <w:r w:rsidR="5B0D6213" w:rsidRPr="00BB4B61">
        <w:rPr>
          <w:noProof/>
        </w:rPr>
        <w:t xml:space="preserve"> Montenegro [IC-CP(2025)7-prov]</w:t>
      </w:r>
    </w:p>
    <w:p w:rsidR="5BF74387" w:rsidRPr="00BB4B61" w:rsidRDefault="15D2B4B1" w:rsidP="5BF74387">
      <w:pPr>
        <w:pStyle w:val="Tiret1"/>
        <w:rPr>
          <w:noProof/>
        </w:rPr>
      </w:pPr>
      <w:r w:rsidRPr="00BB4B61">
        <w:rPr>
          <w:noProof/>
        </w:rPr>
        <w:t xml:space="preserve">Recommendations on improving trust by delivering support, protection and justice on the basis of the Istanbul Convention by </w:t>
      </w:r>
      <w:r w:rsidR="5B0D6213" w:rsidRPr="00BB4B61">
        <w:rPr>
          <w:noProof/>
        </w:rPr>
        <w:t>Spain [IC-CP(2025)8-prov]</w:t>
      </w:r>
    </w:p>
    <w:p w:rsidR="5BF74387" w:rsidRPr="00BB4B61" w:rsidRDefault="543B02FE" w:rsidP="5BF74387">
      <w:pPr>
        <w:pStyle w:val="Tiret1"/>
        <w:rPr>
          <w:noProof/>
        </w:rPr>
      </w:pPr>
      <w:r w:rsidRPr="00BB4B61">
        <w:rPr>
          <w:noProof/>
        </w:rPr>
        <w:t>Recommendations on improving trust by delivering support, protection and justice on the basis of the Istanbul Convention by</w:t>
      </w:r>
      <w:r w:rsidR="110A03D5" w:rsidRPr="00BB4B61">
        <w:rPr>
          <w:noProof/>
        </w:rPr>
        <w:t xml:space="preserve"> Sweden [IC-CP(2025)9-prov]</w:t>
      </w:r>
    </w:p>
    <w:p w:rsidR="00425494" w:rsidRPr="00BB4B61" w:rsidRDefault="00425494" w:rsidP="00425494">
      <w:pPr>
        <w:pStyle w:val="Tiret1"/>
        <w:rPr>
          <w:noProof/>
        </w:rPr>
      </w:pPr>
      <w:r w:rsidRPr="00BB4B61">
        <w:rPr>
          <w:noProof/>
        </w:rPr>
        <w:t xml:space="preserve">Conclusions on the implementation of recommendations in respect of </w:t>
      </w:r>
      <w:r w:rsidR="68E486BE" w:rsidRPr="00BB4B61">
        <w:rPr>
          <w:noProof/>
        </w:rPr>
        <w:t>San Marino</w:t>
      </w:r>
      <w:r w:rsidRPr="00BB4B61">
        <w:rPr>
          <w:noProof/>
        </w:rPr>
        <w:t xml:space="preserve"> adopted by the Committee of the Parties [IC-CP(2025)</w:t>
      </w:r>
      <w:r w:rsidR="4ACB8248" w:rsidRPr="00BB4B61">
        <w:rPr>
          <w:noProof/>
        </w:rPr>
        <w:t>10</w:t>
      </w:r>
      <w:r w:rsidRPr="00BB4B61">
        <w:rPr>
          <w:noProof/>
        </w:rPr>
        <w:t>-prov];</w:t>
      </w:r>
    </w:p>
    <w:p w:rsidR="00425494" w:rsidRPr="00BB4B61" w:rsidRDefault="2BFF0E29" w:rsidP="00425494">
      <w:pPr>
        <w:pStyle w:val="Tiret1"/>
        <w:rPr>
          <w:noProof/>
        </w:rPr>
      </w:pPr>
      <w:r w:rsidRPr="00BB4B61">
        <w:rPr>
          <w:noProof/>
        </w:rPr>
        <w:t>Conclusions on the implementation of recommendations in respect of Slovenia adopted by the Committee of the Parties [IC-CP(2025)11-prov]</w:t>
      </w:r>
      <w:r w:rsidR="1C8E8876" w:rsidRPr="00BB4B61">
        <w:rPr>
          <w:noProof/>
        </w:rPr>
        <w:t>.</w:t>
      </w:r>
    </w:p>
    <w:p w:rsidR="00CA0046" w:rsidRPr="00BB4B61" w:rsidRDefault="00910FBB" w:rsidP="00910FBB">
      <w:pPr>
        <w:pStyle w:val="ManualHeading1"/>
        <w:rPr>
          <w:noProof/>
        </w:rPr>
      </w:pPr>
      <w:r w:rsidRPr="00910FBB">
        <w:rPr>
          <w:noProof/>
        </w:rPr>
        <w:t>3.</w:t>
      </w:r>
      <w:r w:rsidRPr="00910FBB">
        <w:rPr>
          <w:noProof/>
        </w:rPr>
        <w:tab/>
      </w:r>
      <w:r w:rsidR="00CA0046" w:rsidRPr="00BB4B61">
        <w:rPr>
          <w:noProof/>
        </w:rPr>
        <w:t>Position to be taken on the Union</w:t>
      </w:r>
      <w:r w:rsidR="00BB4B61">
        <w:rPr>
          <w:noProof/>
        </w:rPr>
        <w:t>’</w:t>
      </w:r>
      <w:r w:rsidR="00CA0046" w:rsidRPr="00BB4B61">
        <w:rPr>
          <w:noProof/>
        </w:rPr>
        <w:t>s behalf</w:t>
      </w:r>
    </w:p>
    <w:p w:rsidR="00425494" w:rsidRPr="00BB4B61" w:rsidRDefault="00425494" w:rsidP="00833597">
      <w:pPr>
        <w:rPr>
          <w:noProof/>
        </w:rPr>
      </w:pPr>
      <w:bookmarkStart w:id="5" w:name="_Hlk166496389"/>
      <w:r w:rsidRPr="00BB4B61">
        <w:rPr>
          <w:noProof/>
        </w:rPr>
        <w:t xml:space="preserve">The envisaged acts are </w:t>
      </w:r>
      <w:r w:rsidR="00492CC6">
        <w:rPr>
          <w:noProof/>
        </w:rPr>
        <w:t>addressed</w:t>
      </w:r>
      <w:r w:rsidRPr="00BB4B61">
        <w:rPr>
          <w:noProof/>
        </w:rPr>
        <w:t xml:space="preserve"> to </w:t>
      </w:r>
      <w:r w:rsidR="00492CC6">
        <w:rPr>
          <w:noProof/>
        </w:rPr>
        <w:t>10</w:t>
      </w:r>
      <w:r w:rsidRPr="00BB4B61">
        <w:rPr>
          <w:noProof/>
        </w:rPr>
        <w:t xml:space="preserve"> Parties and include</w:t>
      </w:r>
      <w:r w:rsidR="00833597" w:rsidRPr="00BB4B61">
        <w:rPr>
          <w:noProof/>
        </w:rPr>
        <w:t xml:space="preserve"> eight</w:t>
      </w:r>
      <w:r w:rsidRPr="00BB4B61">
        <w:rPr>
          <w:noProof/>
        </w:rPr>
        <w:t xml:space="preserve"> recommendations </w:t>
      </w:r>
      <w:r w:rsidR="00CC6C12" w:rsidRPr="00BB4B61">
        <w:rPr>
          <w:noProof/>
        </w:rPr>
        <w:t>(</w:t>
      </w:r>
      <w:r w:rsidR="00EA45CF" w:rsidRPr="00BB4B61">
        <w:rPr>
          <w:noProof/>
        </w:rPr>
        <w:t xml:space="preserve">based on the first thematic evaluation </w:t>
      </w:r>
      <w:r w:rsidR="00CC6C12" w:rsidRPr="00BB4B61">
        <w:rPr>
          <w:noProof/>
        </w:rPr>
        <w:t xml:space="preserve">procedure) </w:t>
      </w:r>
      <w:r w:rsidRPr="00BB4B61">
        <w:rPr>
          <w:noProof/>
        </w:rPr>
        <w:t xml:space="preserve">on measures to be taken to implement the Istanbul Convention as well as conclusions on </w:t>
      </w:r>
      <w:r w:rsidR="00492CC6">
        <w:rPr>
          <w:noProof/>
        </w:rPr>
        <w:t xml:space="preserve">the </w:t>
      </w:r>
      <w:r w:rsidRPr="00BB4B61">
        <w:rPr>
          <w:noProof/>
        </w:rPr>
        <w:t xml:space="preserve">Parties’ implementation of previous recommendations. They </w:t>
      </w:r>
      <w:bookmarkStart w:id="6" w:name="_Hlk166500340"/>
      <w:r w:rsidRPr="00BB4B61">
        <w:rPr>
          <w:noProof/>
        </w:rPr>
        <w:t>concern the implementation of provisions of the Convention which</w:t>
      </w:r>
      <w:bookmarkEnd w:id="6"/>
      <w:r w:rsidRPr="00BB4B61">
        <w:rPr>
          <w:noProof/>
        </w:rPr>
        <w:t xml:space="preserve"> relate to judicial cooperation in criminal matters, such as matters relating to the protection of victims and support for victims of violence against women and domestic violence,  </w:t>
      </w:r>
      <w:r w:rsidR="38AFB1E7" w:rsidRPr="5C88EA35">
        <w:rPr>
          <w:rFonts w:eastAsia="Calibri"/>
          <w:noProof/>
        </w:rPr>
        <w:t>and – as regards</w:t>
      </w:r>
      <w:r w:rsidRPr="00BB4B61" w:rsidDel="00600DC0">
        <w:rPr>
          <w:noProof/>
        </w:rPr>
        <w:t xml:space="preserve"> the </w:t>
      </w:r>
      <w:r w:rsidR="38AFB1E7" w:rsidRPr="5C88EA35">
        <w:rPr>
          <w:rFonts w:eastAsia="Calibri"/>
          <w:noProof/>
        </w:rPr>
        <w:t>conclusions addressed</w:t>
      </w:r>
      <w:r w:rsidRPr="00BB4B61">
        <w:rPr>
          <w:noProof/>
        </w:rPr>
        <w:t xml:space="preserve"> to </w:t>
      </w:r>
      <w:r w:rsidR="38AFB1E7" w:rsidRPr="5C88EA35">
        <w:rPr>
          <w:rFonts w:eastAsia="Calibri"/>
          <w:noProof/>
        </w:rPr>
        <w:t xml:space="preserve">one Party – also the implementation of </w:t>
      </w:r>
      <w:r>
        <w:rPr>
          <w:noProof/>
        </w:rPr>
        <w:t>provisions relating to asylum and non-refoulement.</w:t>
      </w:r>
      <w:r w:rsidRPr="00BB4B61">
        <w:rPr>
          <w:noProof/>
        </w:rPr>
        <w:t xml:space="preserve"> These matters are covered by the Union acquis, in particular the Directive on combating violence against women and domestic violence</w:t>
      </w:r>
      <w:r w:rsidRPr="00BB4B61">
        <w:rPr>
          <w:rStyle w:val="FootnoteReference"/>
          <w:rFonts w:eastAsia="Arial Unicode MS"/>
          <w:noProof/>
        </w:rPr>
        <w:footnoteReference w:id="12"/>
      </w:r>
      <w:r w:rsidRPr="00BB4B61">
        <w:rPr>
          <w:noProof/>
        </w:rPr>
        <w:t>, the Victims’ Rights Directive</w:t>
      </w:r>
      <w:r w:rsidRPr="00BB4B61">
        <w:rPr>
          <w:rStyle w:val="FootnoteReference"/>
          <w:rFonts w:eastAsia="Arial Unicode MS"/>
          <w:noProof/>
        </w:rPr>
        <w:footnoteReference w:id="13"/>
      </w:r>
      <w:r w:rsidRPr="00BB4B61">
        <w:rPr>
          <w:noProof/>
        </w:rPr>
        <w:t>, the Asylum Procedures Regulation</w:t>
      </w:r>
      <w:r w:rsidRPr="00BB4B61">
        <w:rPr>
          <w:rStyle w:val="FootnoteReference"/>
          <w:rFonts w:eastAsia="Arial Unicode MS"/>
          <w:noProof/>
        </w:rPr>
        <w:footnoteReference w:id="14"/>
      </w:r>
      <w:r w:rsidR="5C6D1BD1">
        <w:rPr>
          <w:noProof/>
        </w:rPr>
        <w:t xml:space="preserve">, </w:t>
      </w:r>
      <w:r w:rsidRPr="7457EEEE">
        <w:rPr>
          <w:rStyle w:val="FootnoteReference"/>
          <w:rFonts w:eastAsia="Arial Unicode MS"/>
          <w:noProof/>
        </w:rPr>
        <w:footnoteReference w:id="15"/>
      </w:r>
      <w:r w:rsidRPr="0D7991C8">
        <w:rPr>
          <w:noProof/>
        </w:rPr>
        <w:t>￼</w:t>
      </w:r>
      <w:r w:rsidRPr="0D7991C8">
        <w:rPr>
          <w:rFonts w:eastAsia="Arial Unicode MS"/>
          <w:noProof/>
        </w:rPr>
        <w:t>.</w:t>
      </w:r>
      <w:r w:rsidR="622CEB2C" w:rsidRPr="0D7991C8">
        <w:rPr>
          <w:rFonts w:eastAsia="Arial Unicode MS"/>
          <w:noProof/>
        </w:rPr>
        <w:t xml:space="preserve">and the </w:t>
      </w:r>
      <w:r w:rsidR="622CEB2C" w:rsidRPr="5C88EA35">
        <w:rPr>
          <w:rFonts w:eastAsia="Arial Unicode MS"/>
          <w:noProof/>
        </w:rPr>
        <w:t>Family</w:t>
      </w:r>
      <w:r w:rsidR="2D674E9F" w:rsidRPr="5C88EA35">
        <w:rPr>
          <w:rFonts w:eastAsia="Arial Unicode MS"/>
          <w:noProof/>
        </w:rPr>
        <w:t xml:space="preserve"> </w:t>
      </w:r>
      <w:r w:rsidR="622CEB2C" w:rsidRPr="5C88EA35">
        <w:rPr>
          <w:rFonts w:eastAsia="Arial Unicode MS"/>
          <w:noProof/>
        </w:rPr>
        <w:t>Reunification Directive</w:t>
      </w:r>
      <w:r w:rsidR="006F40B7">
        <w:rPr>
          <w:rStyle w:val="FootnoteReference"/>
          <w:rFonts w:eastAsia="Arial Unicode MS"/>
          <w:noProof/>
        </w:rPr>
        <w:footnoteReference w:id="16"/>
      </w:r>
      <w:r w:rsidR="622CEB2C" w:rsidRPr="6798D694">
        <w:rPr>
          <w:rFonts w:eastAsia="Arial Unicode MS"/>
          <w:noProof/>
        </w:rPr>
        <w:t xml:space="preserve"> </w:t>
      </w:r>
      <w:r w:rsidRPr="00BB4B61">
        <w:rPr>
          <w:rFonts w:eastAsia="Arial Unicode MS"/>
          <w:noProof/>
        </w:rPr>
        <w:t xml:space="preserve"> They fall within  </w:t>
      </w:r>
      <w:r w:rsidR="004F2781" w:rsidRPr="00BB4B61">
        <w:rPr>
          <w:rFonts w:eastAsia="Arial Unicode MS"/>
          <w:noProof/>
        </w:rPr>
        <w:t>EU</w:t>
      </w:r>
      <w:r w:rsidR="0443158E" w:rsidRPr="00BB4B61">
        <w:rPr>
          <w:rFonts w:eastAsia="Arial Unicode MS"/>
          <w:noProof/>
        </w:rPr>
        <w:t>’s</w:t>
      </w:r>
      <w:r w:rsidRPr="00BB4B61">
        <w:rPr>
          <w:rFonts w:eastAsia="Arial Unicode MS"/>
          <w:noProof/>
        </w:rPr>
        <w:t xml:space="preserve"> exclusive competence insofar as the relevant provisions of the Convention may affect common rules or alter their scope within the meaning of Article</w:t>
      </w:r>
      <w:r w:rsidR="00BB4B61">
        <w:rPr>
          <w:rFonts w:eastAsia="Arial Unicode MS"/>
          <w:noProof/>
        </w:rPr>
        <w:t> </w:t>
      </w:r>
      <w:r w:rsidRPr="00BB4B61">
        <w:rPr>
          <w:rFonts w:eastAsia="Arial Unicode MS"/>
          <w:noProof/>
        </w:rPr>
        <w:t xml:space="preserve">3(2) of the Treaty on the Functioning of the European Union (TFEU). </w:t>
      </w:r>
      <w:r w:rsidR="2D8EF5FB" w:rsidRPr="00BB4B61">
        <w:rPr>
          <w:rFonts w:eastAsia="Arial Unicode MS"/>
          <w:noProof/>
        </w:rPr>
        <w:t>A</w:t>
      </w:r>
      <w:r w:rsidR="2D8EF5FB" w:rsidRPr="00BB4B61">
        <w:rPr>
          <w:noProof/>
        </w:rPr>
        <w:t xml:space="preserve">s the envisaged acts are capable of decisively influencing the content of Union law in that they may affect the interpretation of relevant provisions of the Convention in the future, </w:t>
      </w:r>
      <w:r w:rsidR="1CB2350B" w:rsidRPr="00BB4B61">
        <w:rPr>
          <w:noProof/>
        </w:rPr>
        <w:t>i</w:t>
      </w:r>
      <w:r w:rsidRPr="00BB4B61">
        <w:rPr>
          <w:noProof/>
        </w:rPr>
        <w:t xml:space="preserve">t is appropriate to establish the position to be taken on the </w:t>
      </w:r>
      <w:r>
        <w:rPr>
          <w:noProof/>
        </w:rPr>
        <w:t>Unions</w:t>
      </w:r>
      <w:r w:rsidRPr="00BB4B61">
        <w:rPr>
          <w:noProof/>
        </w:rPr>
        <w:t xml:space="preserve"> behalf in the CoP with regard to matters related to judicial cooperation in criminal matters, asylum and non-refoulement.</w:t>
      </w:r>
      <w:bookmarkEnd w:id="5"/>
    </w:p>
    <w:p w:rsidR="00425494" w:rsidRPr="00BB4B61" w:rsidRDefault="00425494" w:rsidP="00425494">
      <w:pPr>
        <w:rPr>
          <w:noProof/>
        </w:rPr>
      </w:pPr>
      <w:r w:rsidRPr="00BB4B61">
        <w:rPr>
          <w:noProof/>
        </w:rPr>
        <w:t xml:space="preserve">The draft recommendations and conclusions on matters falling within the competence of the Union are in line with the </w:t>
      </w:r>
      <w:r>
        <w:rPr>
          <w:noProof/>
        </w:rPr>
        <w:t>Union</w:t>
      </w:r>
      <w:r w:rsidR="0443158E">
        <w:rPr>
          <w:noProof/>
        </w:rPr>
        <w:t>’s</w:t>
      </w:r>
      <w:r w:rsidRPr="00BB4B61">
        <w:rPr>
          <w:noProof/>
        </w:rPr>
        <w:t xml:space="preserve"> objectives and policies in the areas of judicial cooperation in criminal matters, asylum and non-refoulement and do not raise any concerns with respect to Union law. It is therefore proposed that the Union does not object to the adoption of the draft recommendation</w:t>
      </w:r>
      <w:r w:rsidR="00A5206D" w:rsidRPr="00BB4B61">
        <w:rPr>
          <w:noProof/>
        </w:rPr>
        <w:t>s</w:t>
      </w:r>
      <w:r w:rsidRPr="00BB4B61">
        <w:rPr>
          <w:noProof/>
        </w:rPr>
        <w:t xml:space="preserve"> and conclusions at the 1</w:t>
      </w:r>
      <w:r w:rsidR="004910EE" w:rsidRPr="00BB4B61">
        <w:rPr>
          <w:noProof/>
        </w:rPr>
        <w:t>8</w:t>
      </w:r>
      <w:r w:rsidRPr="00BB4B61">
        <w:rPr>
          <w:noProof/>
        </w:rPr>
        <w:t>th meeting of the CoP.</w:t>
      </w:r>
    </w:p>
    <w:p w:rsidR="00CA0046" w:rsidRPr="00BB4B61" w:rsidRDefault="00910FBB" w:rsidP="00910FBB">
      <w:pPr>
        <w:pStyle w:val="ManualHeading1"/>
        <w:rPr>
          <w:noProof/>
        </w:rPr>
      </w:pPr>
      <w:r w:rsidRPr="00910FBB">
        <w:rPr>
          <w:noProof/>
        </w:rPr>
        <w:t>4.</w:t>
      </w:r>
      <w:r w:rsidRPr="00910FBB">
        <w:rPr>
          <w:noProof/>
        </w:rPr>
        <w:tab/>
      </w:r>
      <w:r w:rsidR="00CA0046" w:rsidRPr="00BB4B61">
        <w:rPr>
          <w:noProof/>
        </w:rPr>
        <w:t>Legal basis</w:t>
      </w:r>
    </w:p>
    <w:p w:rsidR="00CA0046" w:rsidRPr="00BB4B61" w:rsidRDefault="00910FBB" w:rsidP="00910FBB">
      <w:pPr>
        <w:pStyle w:val="ManualHeading2"/>
        <w:rPr>
          <w:noProof/>
        </w:rPr>
      </w:pPr>
      <w:r w:rsidRPr="00910FBB">
        <w:rPr>
          <w:noProof/>
        </w:rPr>
        <w:t>4.1.</w:t>
      </w:r>
      <w:r w:rsidRPr="00910FBB">
        <w:rPr>
          <w:noProof/>
        </w:rPr>
        <w:tab/>
      </w:r>
      <w:r w:rsidR="00CA0046" w:rsidRPr="00BB4B61">
        <w:rPr>
          <w:noProof/>
        </w:rPr>
        <w:t>Procedural legal basis</w:t>
      </w:r>
    </w:p>
    <w:p w:rsidR="00CA0046" w:rsidRPr="00BB4B61" w:rsidRDefault="00910FBB" w:rsidP="00910FBB">
      <w:pPr>
        <w:pStyle w:val="ManualHeading3"/>
        <w:rPr>
          <w:noProof/>
        </w:rPr>
      </w:pPr>
      <w:r w:rsidRPr="00910FBB">
        <w:rPr>
          <w:noProof/>
        </w:rPr>
        <w:t>4.1.1.</w:t>
      </w:r>
      <w:r w:rsidRPr="00910FBB">
        <w:rPr>
          <w:noProof/>
        </w:rPr>
        <w:tab/>
      </w:r>
      <w:r w:rsidR="00CA0046" w:rsidRPr="00BB4B61">
        <w:rPr>
          <w:noProof/>
        </w:rPr>
        <w:t>Principles</w:t>
      </w:r>
    </w:p>
    <w:p w:rsidR="00CA0046" w:rsidRPr="006341AD" w:rsidRDefault="00CA0046" w:rsidP="009B37BC">
      <w:pPr>
        <w:rPr>
          <w:noProof/>
        </w:rPr>
      </w:pPr>
      <w:r w:rsidRPr="00BB4B61">
        <w:rPr>
          <w:noProof/>
        </w:rPr>
        <w:t>Article</w:t>
      </w:r>
      <w:r w:rsidR="00BB4B61">
        <w:rPr>
          <w:noProof/>
        </w:rPr>
        <w:t> </w:t>
      </w:r>
      <w:r w:rsidRPr="00BB4B61">
        <w:rPr>
          <w:noProof/>
        </w:rPr>
        <w:t xml:space="preserve">218(9) of the Treaty on the Functioning of the European Union (TFEU) provides for decisions establishing </w:t>
      </w:r>
      <w:r w:rsidRPr="006341AD">
        <w:rPr>
          <w:noProof/>
        </w:rPr>
        <w:t>‘</w:t>
      </w:r>
      <w:r w:rsidRPr="006017BD">
        <w:rPr>
          <w:noProof/>
        </w:rPr>
        <w:t>the positions to be adopted on the Union’s behalf in a body set up by an agreement, when that body is called upon to adopt acts having legal effects, with the exception of acts supplementing or amending the institutional framework of the agreement</w:t>
      </w:r>
      <w:r w:rsidRPr="006341AD">
        <w:rPr>
          <w:noProof/>
        </w:rPr>
        <w:t>.’</w:t>
      </w:r>
    </w:p>
    <w:p w:rsidR="00CA0046" w:rsidRPr="006341AD" w:rsidRDefault="00CA0046" w:rsidP="009B37BC">
      <w:pPr>
        <w:rPr>
          <w:noProof/>
        </w:rPr>
      </w:pPr>
      <w:r w:rsidRPr="00BB4B61">
        <w:rPr>
          <w:noProof/>
        </w:rPr>
        <w:t xml:space="preserve">The concept of </w:t>
      </w:r>
      <w:r w:rsidRPr="006341AD">
        <w:rPr>
          <w:noProof/>
        </w:rPr>
        <w:t>‘</w:t>
      </w:r>
      <w:r w:rsidRPr="006017BD">
        <w:rPr>
          <w:noProof/>
        </w:rPr>
        <w:t>acts having legal effects</w:t>
      </w:r>
      <w:r w:rsidRPr="006341AD">
        <w:rPr>
          <w:noProof/>
        </w:rPr>
        <w:t>’</w:t>
      </w:r>
      <w:r w:rsidRPr="00BB4B61">
        <w:rPr>
          <w:noProof/>
        </w:rPr>
        <w:t xml:space="preserve"> includes acts that have legal effects by virtue of the rules of international law governing the body in question. It also includes instruments that do not have a binding effect under international law, but that are </w:t>
      </w:r>
      <w:r w:rsidRPr="006341AD">
        <w:rPr>
          <w:noProof/>
        </w:rPr>
        <w:t>‘</w:t>
      </w:r>
      <w:r w:rsidRPr="006017BD">
        <w:rPr>
          <w:noProof/>
        </w:rPr>
        <w:t>capable of decisively influencing the content of the legislation adopted by the EU legislature</w:t>
      </w:r>
      <w:r w:rsidRPr="006341AD">
        <w:rPr>
          <w:noProof/>
        </w:rPr>
        <w:t>’</w:t>
      </w:r>
      <w:r w:rsidRPr="006341AD">
        <w:rPr>
          <w:rStyle w:val="FootnoteReference"/>
          <w:noProof/>
        </w:rPr>
        <w:footnoteReference w:id="17"/>
      </w:r>
      <w:r w:rsidRPr="006341AD">
        <w:rPr>
          <w:noProof/>
        </w:rPr>
        <w:t>.</w:t>
      </w:r>
    </w:p>
    <w:p w:rsidR="00CA0046" w:rsidRPr="00BB4B61" w:rsidRDefault="00910FBB" w:rsidP="00910FBB">
      <w:pPr>
        <w:pStyle w:val="ManualHeading3"/>
        <w:rPr>
          <w:noProof/>
        </w:rPr>
      </w:pPr>
      <w:r w:rsidRPr="00910FBB">
        <w:rPr>
          <w:noProof/>
        </w:rPr>
        <w:t>4.1.2.</w:t>
      </w:r>
      <w:r w:rsidRPr="00910FBB">
        <w:rPr>
          <w:noProof/>
        </w:rPr>
        <w:tab/>
      </w:r>
      <w:r w:rsidR="00CA0046" w:rsidRPr="00BB4B61">
        <w:rPr>
          <w:noProof/>
        </w:rPr>
        <w:t>Application to the present case</w:t>
      </w:r>
    </w:p>
    <w:p w:rsidR="004910EE" w:rsidRPr="00BB4B61" w:rsidRDefault="004910EE" w:rsidP="004910EE">
      <w:pPr>
        <w:rPr>
          <w:noProof/>
        </w:rPr>
      </w:pPr>
      <w:r w:rsidRPr="00BB4B61">
        <w:rPr>
          <w:noProof/>
        </w:rPr>
        <w:t>The CoP is a body set up by the Istanbul Convention. The envisaged acts which the CoP is called upon to adopt constitute acts having legal effects. The envisaged acts are capable of decisively influencing the content of Union law, because they may affect the interpretation of the relevant provisions of the Istanbul Convention in the future. Therefore, the procedural legal basis for the proposed decision is Article</w:t>
      </w:r>
      <w:r w:rsidR="00BB4B61">
        <w:rPr>
          <w:noProof/>
        </w:rPr>
        <w:t> </w:t>
      </w:r>
      <w:r w:rsidRPr="00BB4B61">
        <w:rPr>
          <w:noProof/>
        </w:rPr>
        <w:t>218(9) TFEU.</w:t>
      </w:r>
    </w:p>
    <w:p w:rsidR="00CA0046" w:rsidRPr="00BB4B61" w:rsidRDefault="00910FBB" w:rsidP="00910FBB">
      <w:pPr>
        <w:pStyle w:val="ManualHeading2"/>
        <w:rPr>
          <w:noProof/>
        </w:rPr>
      </w:pPr>
      <w:r w:rsidRPr="00910FBB">
        <w:rPr>
          <w:noProof/>
        </w:rPr>
        <w:t>4.2.</w:t>
      </w:r>
      <w:r w:rsidRPr="00910FBB">
        <w:rPr>
          <w:noProof/>
        </w:rPr>
        <w:tab/>
      </w:r>
      <w:r w:rsidR="00CA0046" w:rsidRPr="00BB4B61">
        <w:rPr>
          <w:noProof/>
        </w:rPr>
        <w:t>Substantive legal basis</w:t>
      </w:r>
    </w:p>
    <w:p w:rsidR="00CA0046" w:rsidRPr="00BB4B61" w:rsidRDefault="00910FBB" w:rsidP="00910FBB">
      <w:pPr>
        <w:pStyle w:val="ManualHeading3"/>
        <w:rPr>
          <w:noProof/>
        </w:rPr>
      </w:pPr>
      <w:r w:rsidRPr="00910FBB">
        <w:rPr>
          <w:noProof/>
        </w:rPr>
        <w:t>4.2.1.</w:t>
      </w:r>
      <w:r w:rsidRPr="00910FBB">
        <w:rPr>
          <w:noProof/>
        </w:rPr>
        <w:tab/>
      </w:r>
      <w:r w:rsidR="00CA0046" w:rsidRPr="00BB4B61">
        <w:rPr>
          <w:noProof/>
        </w:rPr>
        <w:t>Principles</w:t>
      </w:r>
    </w:p>
    <w:p w:rsidR="00CA0046" w:rsidRPr="00BB4B61" w:rsidRDefault="00CA0046" w:rsidP="009B37BC">
      <w:pPr>
        <w:rPr>
          <w:noProof/>
        </w:rPr>
      </w:pPr>
      <w:r w:rsidRPr="00BB4B61">
        <w:rPr>
          <w:noProof/>
        </w:rPr>
        <w:t>The substantive legal basis for a decision under Article</w:t>
      </w:r>
      <w:r w:rsidR="00BB4B61">
        <w:rPr>
          <w:noProof/>
        </w:rPr>
        <w:t> </w:t>
      </w:r>
      <w:r w:rsidRPr="00BB4B61">
        <w:rPr>
          <w:noProof/>
        </w:rPr>
        <w:t>218(9) TFEU depends primarily on the objective and content of the envisaged act in respect of which a position is taken on the Union</w:t>
      </w:r>
      <w:r w:rsidR="00BB4B61">
        <w:rPr>
          <w:noProof/>
        </w:rPr>
        <w:t>’</w:t>
      </w:r>
      <w:r w:rsidRPr="00BB4B61">
        <w:rPr>
          <w:noProof/>
        </w:rPr>
        <w:t>s behalf. If the envisaged act pursues two aims or has two components and if one of those aims or components is identifiable as the main one, whereas the other is merely incidental, the decision under Article</w:t>
      </w:r>
      <w:r w:rsidR="00BB4B61">
        <w:rPr>
          <w:noProof/>
        </w:rPr>
        <w:t> </w:t>
      </w:r>
      <w:r w:rsidRPr="00BB4B61">
        <w:rPr>
          <w:noProof/>
        </w:rPr>
        <w:t xml:space="preserve">218(9) TFEU must be </w:t>
      </w:r>
      <w:r w:rsidR="007A0524">
        <w:rPr>
          <w:noProof/>
        </w:rPr>
        <w:t>founded</w:t>
      </w:r>
      <w:r w:rsidRPr="00BB4B61">
        <w:rPr>
          <w:noProof/>
        </w:rPr>
        <w:t xml:space="preserve"> on a single substantive legal basis, namely that required by the main or predominant aim or component.</w:t>
      </w:r>
    </w:p>
    <w:p w:rsidR="00CA0046" w:rsidRPr="00BB4B61" w:rsidRDefault="00CA0046" w:rsidP="009B37BC">
      <w:pPr>
        <w:rPr>
          <w:noProof/>
        </w:rPr>
      </w:pPr>
      <w:r w:rsidRPr="00BB4B61">
        <w:rPr>
          <w:noProof/>
        </w:rPr>
        <w:t>With regard to an envisaged act that simultaneously pursues a number of objectives, or that has several components, which are inseparably linked without one being incidental to the other, the substantive legal basis of a decision under Article</w:t>
      </w:r>
      <w:r w:rsidR="00BB4B61">
        <w:rPr>
          <w:noProof/>
        </w:rPr>
        <w:t> </w:t>
      </w:r>
      <w:r w:rsidRPr="00BB4B61">
        <w:rPr>
          <w:noProof/>
        </w:rPr>
        <w:t>218(9) TFEU will have to include, exceptionally, the various corresponding legal bases.</w:t>
      </w:r>
    </w:p>
    <w:p w:rsidR="00CA0046" w:rsidRPr="00BB4B61" w:rsidRDefault="00910FBB" w:rsidP="00910FBB">
      <w:pPr>
        <w:pStyle w:val="ManualHeading3"/>
        <w:rPr>
          <w:noProof/>
        </w:rPr>
      </w:pPr>
      <w:r w:rsidRPr="00910FBB">
        <w:rPr>
          <w:noProof/>
        </w:rPr>
        <w:t>4.2.2.</w:t>
      </w:r>
      <w:r w:rsidRPr="00910FBB">
        <w:rPr>
          <w:noProof/>
        </w:rPr>
        <w:tab/>
      </w:r>
      <w:r w:rsidR="00CA0046" w:rsidRPr="00BB4B61">
        <w:rPr>
          <w:noProof/>
        </w:rPr>
        <w:t>Application to the present case</w:t>
      </w:r>
    </w:p>
    <w:p w:rsidR="004910EE" w:rsidRPr="00BB4B61" w:rsidRDefault="004910EE" w:rsidP="004910EE">
      <w:pPr>
        <w:rPr>
          <w:noProof/>
        </w:rPr>
      </w:pPr>
      <w:r w:rsidRPr="00BB4B61">
        <w:rPr>
          <w:rFonts w:eastAsia="Arial Unicode MS"/>
          <w:noProof/>
        </w:rPr>
        <w:t>As regards the substantive legal basis, the EU has acceded to the Istanbul Convention as regards matters falling within its exclusive competence, namely with regard to matters related to institutions and public administration of the Union</w:t>
      </w:r>
      <w:r w:rsidRPr="00BB4B61">
        <w:rPr>
          <w:rStyle w:val="FootnoteReference"/>
          <w:rFonts w:eastAsia="Arial Unicode MS"/>
          <w:noProof/>
        </w:rPr>
        <w:footnoteReference w:id="18"/>
      </w:r>
      <w:r w:rsidRPr="00BB4B61">
        <w:rPr>
          <w:rFonts w:eastAsia="Arial Unicode MS"/>
          <w:noProof/>
        </w:rPr>
        <w:t xml:space="preserve"> and with regard to matters related to judicial cooperation in criminal matters, asylum and non-refoulement</w:t>
      </w:r>
      <w:r w:rsidRPr="00BB4B61">
        <w:rPr>
          <w:rStyle w:val="FootnoteReference"/>
          <w:rFonts w:eastAsia="Arial Unicode MS"/>
          <w:noProof/>
        </w:rPr>
        <w:footnoteReference w:id="19"/>
      </w:r>
      <w:r w:rsidRPr="00BB4B61">
        <w:rPr>
          <w:rFonts w:eastAsia="Arial Unicode MS"/>
          <w:noProof/>
        </w:rPr>
        <w:t>. The EU</w:t>
      </w:r>
      <w:r w:rsidRPr="00BB4B61">
        <w:rPr>
          <w:noProof/>
        </w:rPr>
        <w:t>’s</w:t>
      </w:r>
      <w:r w:rsidRPr="00BB4B61">
        <w:rPr>
          <w:rFonts w:eastAsia="Arial Unicode MS"/>
          <w:noProof/>
        </w:rPr>
        <w:t xml:space="preserve"> accession to the Istanbul Convention was split into two separate Council decisions to take into account the special position of Denmark and Ireland with respect to Title V TFEU. Consequently, the decision establishing the position to be taken on the Union</w:t>
      </w:r>
      <w:r w:rsidRPr="00BB4B61">
        <w:rPr>
          <w:noProof/>
        </w:rPr>
        <w:t>’</w:t>
      </w:r>
      <w:r w:rsidRPr="00BB4B61">
        <w:rPr>
          <w:rFonts w:eastAsia="Arial Unicode MS"/>
          <w:noProof/>
        </w:rPr>
        <w:t xml:space="preserve">s behalf in the CoP </w:t>
      </w:r>
      <w:r w:rsidR="00CC7C77">
        <w:rPr>
          <w:rFonts w:eastAsia="Arial Unicode MS"/>
          <w:noProof/>
        </w:rPr>
        <w:t>also needs</w:t>
      </w:r>
      <w:r w:rsidRPr="00BB4B61">
        <w:rPr>
          <w:rFonts w:eastAsia="Arial Unicode MS"/>
          <w:noProof/>
        </w:rPr>
        <w:t xml:space="preserve"> to be split into two decisions, when the relevant recommendations or conclusions concern both matters.</w:t>
      </w:r>
    </w:p>
    <w:p w:rsidR="004910EE" w:rsidRPr="00BB4B61" w:rsidRDefault="004910EE" w:rsidP="004910EE">
      <w:pPr>
        <w:rPr>
          <w:noProof/>
        </w:rPr>
      </w:pPr>
      <w:r w:rsidRPr="00BB4B61">
        <w:rPr>
          <w:noProof/>
        </w:rPr>
        <w:t xml:space="preserve">The envisaged acts pursue objectives and have components in the area of </w:t>
      </w:r>
      <w:r w:rsidRPr="00BB4B61">
        <w:rPr>
          <w:rFonts w:eastAsia="Arial Unicode MS"/>
          <w:noProof/>
        </w:rPr>
        <w:t xml:space="preserve">judicial cooperation in criminal matters </w:t>
      </w:r>
      <w:r w:rsidRPr="00BB4B61">
        <w:rPr>
          <w:noProof/>
        </w:rPr>
        <w:t>(Article</w:t>
      </w:r>
      <w:r w:rsidR="00BB4B61">
        <w:rPr>
          <w:noProof/>
        </w:rPr>
        <w:t> </w:t>
      </w:r>
      <w:r w:rsidRPr="00BB4B61">
        <w:rPr>
          <w:noProof/>
        </w:rPr>
        <w:t>82(2) and Article</w:t>
      </w:r>
      <w:r w:rsidR="00BB4B61">
        <w:rPr>
          <w:noProof/>
        </w:rPr>
        <w:t> </w:t>
      </w:r>
      <w:r w:rsidRPr="00BB4B61">
        <w:rPr>
          <w:noProof/>
        </w:rPr>
        <w:t>84 TFEU)</w:t>
      </w:r>
      <w:r w:rsidRPr="00BB4B61">
        <w:rPr>
          <w:rFonts w:eastAsia="Arial Unicode MS"/>
          <w:noProof/>
        </w:rPr>
        <w:t>, as well as on asylum and non-refoulement</w:t>
      </w:r>
      <w:r w:rsidRPr="00BB4B61">
        <w:rPr>
          <w:noProof/>
        </w:rPr>
        <w:t xml:space="preserve"> (Articles 78(2) TFEU). They are inseparably linked without one being incidental to the other. Therefore, the substantive legal basis </w:t>
      </w:r>
      <w:r w:rsidR="00CC7C77">
        <w:rPr>
          <w:noProof/>
        </w:rPr>
        <w:t>for</w:t>
      </w:r>
      <w:r w:rsidRPr="00BB4B61">
        <w:rPr>
          <w:noProof/>
        </w:rPr>
        <w:t xml:space="preserve"> the proposed decision comprises the following provisions: Article</w:t>
      </w:r>
      <w:r w:rsidR="00BB4B61">
        <w:rPr>
          <w:noProof/>
        </w:rPr>
        <w:t> </w:t>
      </w:r>
      <w:r w:rsidRPr="00BB4B61">
        <w:rPr>
          <w:noProof/>
        </w:rPr>
        <w:t>78(2), Article</w:t>
      </w:r>
      <w:r w:rsidR="00BB4B61">
        <w:rPr>
          <w:noProof/>
        </w:rPr>
        <w:t> </w:t>
      </w:r>
      <w:r w:rsidRPr="00BB4B61">
        <w:rPr>
          <w:noProof/>
        </w:rPr>
        <w:t>82(2) and Article</w:t>
      </w:r>
      <w:r w:rsidR="00BB4B61">
        <w:rPr>
          <w:noProof/>
        </w:rPr>
        <w:t> </w:t>
      </w:r>
      <w:r w:rsidRPr="00BB4B61">
        <w:rPr>
          <w:noProof/>
        </w:rPr>
        <w:t>84</w:t>
      </w:r>
      <w:r w:rsidR="00CC7C77">
        <w:rPr>
          <w:noProof/>
        </w:rPr>
        <w:t xml:space="preserve"> TFEU</w:t>
      </w:r>
      <w:r w:rsidRPr="00BB4B61">
        <w:rPr>
          <w:noProof/>
        </w:rPr>
        <w:t>.</w:t>
      </w:r>
    </w:p>
    <w:p w:rsidR="00CA0046" w:rsidRPr="00BB4B61" w:rsidRDefault="00910FBB" w:rsidP="00910FBB">
      <w:pPr>
        <w:pStyle w:val="ManualHeading2"/>
        <w:rPr>
          <w:noProof/>
        </w:rPr>
      </w:pPr>
      <w:r w:rsidRPr="00910FBB">
        <w:rPr>
          <w:noProof/>
        </w:rPr>
        <w:t>4.3.</w:t>
      </w:r>
      <w:r w:rsidRPr="00910FBB">
        <w:rPr>
          <w:noProof/>
        </w:rPr>
        <w:tab/>
      </w:r>
      <w:r w:rsidR="00CA0046" w:rsidRPr="00BB4B61">
        <w:rPr>
          <w:noProof/>
        </w:rPr>
        <w:t>Conclusion</w:t>
      </w:r>
    </w:p>
    <w:p w:rsidR="00CA0046" w:rsidRPr="00BB4B61" w:rsidRDefault="00CA0046" w:rsidP="009B37BC">
      <w:pPr>
        <w:rPr>
          <w:noProof/>
        </w:rPr>
      </w:pPr>
      <w:r w:rsidRPr="00BB4B61">
        <w:rPr>
          <w:noProof/>
        </w:rPr>
        <w:t>The</w:t>
      </w:r>
      <w:r w:rsidR="007F6052">
        <w:rPr>
          <w:noProof/>
        </w:rPr>
        <w:t xml:space="preserve"> </w:t>
      </w:r>
      <w:r w:rsidRPr="00BB4B61">
        <w:rPr>
          <w:noProof/>
        </w:rPr>
        <w:t xml:space="preserve">legal basis of the proposed decision should be </w:t>
      </w:r>
      <w:r w:rsidR="004910EE" w:rsidRPr="00BB4B61">
        <w:rPr>
          <w:noProof/>
        </w:rPr>
        <w:t>Article</w:t>
      </w:r>
      <w:r w:rsidR="00BB4B61">
        <w:rPr>
          <w:noProof/>
        </w:rPr>
        <w:t> </w:t>
      </w:r>
      <w:r w:rsidR="004910EE" w:rsidRPr="00BB4B61">
        <w:rPr>
          <w:noProof/>
        </w:rPr>
        <w:t>78(2), Article</w:t>
      </w:r>
      <w:r w:rsidR="00BB4B61">
        <w:rPr>
          <w:noProof/>
        </w:rPr>
        <w:t> </w:t>
      </w:r>
      <w:r w:rsidR="004910EE" w:rsidRPr="00BB4B61">
        <w:rPr>
          <w:noProof/>
        </w:rPr>
        <w:t>82(2) and Article</w:t>
      </w:r>
      <w:r w:rsidR="00BB4B61">
        <w:rPr>
          <w:noProof/>
        </w:rPr>
        <w:t> </w:t>
      </w:r>
      <w:r w:rsidR="004910EE" w:rsidRPr="00BB4B61">
        <w:rPr>
          <w:noProof/>
        </w:rPr>
        <w:t>84</w:t>
      </w:r>
      <w:r w:rsidRPr="0038302B">
        <w:rPr>
          <w:noProof/>
        </w:rPr>
        <w:t>,</w:t>
      </w:r>
      <w:r w:rsidRPr="00BB4B61">
        <w:rPr>
          <w:noProof/>
        </w:rPr>
        <w:t xml:space="preserve"> in conjunction with Article</w:t>
      </w:r>
      <w:r w:rsidR="00BB4B61">
        <w:rPr>
          <w:noProof/>
        </w:rPr>
        <w:t> </w:t>
      </w:r>
      <w:r w:rsidRPr="00BB4B61">
        <w:rPr>
          <w:noProof/>
        </w:rPr>
        <w:t>218(9) TFEU.</w:t>
      </w:r>
    </w:p>
    <w:p w:rsidR="00CA0046" w:rsidRPr="00BB4B61" w:rsidRDefault="00CA0046" w:rsidP="009B37BC">
      <w:pPr>
        <w:rPr>
          <w:noProof/>
        </w:rPr>
        <w:sectPr w:rsidR="00CA0046" w:rsidRPr="00BB4B61" w:rsidSect="005253FE">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pPr>
    </w:p>
    <w:p w:rsidR="00DE6889" w:rsidRDefault="006D02B2">
      <w:pPr>
        <w:pStyle w:val="Rfrenceinterinstitutionnelle"/>
        <w:rPr>
          <w:noProof/>
        </w:rPr>
      </w:pPr>
      <w:r>
        <w:rPr>
          <w:noProof/>
        </w:rPr>
        <w:t>2025/0118 (NLE)</w:t>
      </w:r>
    </w:p>
    <w:p w:rsidR="00CA0046" w:rsidRPr="00BB4B61" w:rsidRDefault="006017BD" w:rsidP="006017BD">
      <w:pPr>
        <w:pStyle w:val="Statut"/>
        <w:rPr>
          <w:noProof/>
        </w:rPr>
      </w:pPr>
      <w:r w:rsidRPr="006017BD">
        <w:rPr>
          <w:noProof/>
        </w:rPr>
        <w:t>Proposal for a</w:t>
      </w:r>
    </w:p>
    <w:p w:rsidR="00CA0046" w:rsidRPr="00BB4B61" w:rsidRDefault="006017BD" w:rsidP="006017BD">
      <w:pPr>
        <w:pStyle w:val="Typedudocument"/>
        <w:rPr>
          <w:noProof/>
        </w:rPr>
      </w:pPr>
      <w:r w:rsidRPr="006017BD">
        <w:rPr>
          <w:noProof/>
        </w:rPr>
        <w:t>COUNCIL DECISION</w:t>
      </w:r>
    </w:p>
    <w:p w:rsidR="00CA0046" w:rsidRPr="00BB4B61" w:rsidRDefault="007E0515" w:rsidP="007E0515">
      <w:pPr>
        <w:pStyle w:val="Titreobjet"/>
        <w:rPr>
          <w:noProof/>
        </w:rPr>
      </w:pPr>
      <w:r w:rsidRPr="00BB4B61">
        <w:rPr>
          <w:noProof/>
        </w:rPr>
        <w:t xml:space="preserve">on the position to be taken on behalf of the European Union at the 18th meeting of the Committee of the Parties to the Council of Europe Convention on preventing and combating violence against women and domestic violence on the adoption of recommendations and conclusions addressed to </w:t>
      </w:r>
      <w:r w:rsidR="00CE4E13">
        <w:rPr>
          <w:noProof/>
        </w:rPr>
        <w:t>10</w:t>
      </w:r>
      <w:r w:rsidRPr="00BB4B61">
        <w:rPr>
          <w:noProof/>
        </w:rPr>
        <w:t xml:space="preserve"> State Parties on their implementation of that Convention, with regard to matters related to judicial cooperation in criminal matters, asylum and non-refoulement</w:t>
      </w:r>
      <w:r w:rsidRPr="00BB4B61">
        <w:rPr>
          <w:noProof/>
        </w:rPr>
        <w:br/>
      </w:r>
    </w:p>
    <w:p w:rsidR="00CA0046" w:rsidRPr="00BB4B61" w:rsidRDefault="00CA0046" w:rsidP="009B37BC">
      <w:pPr>
        <w:pStyle w:val="Institutionquiagit"/>
        <w:rPr>
          <w:noProof/>
        </w:rPr>
      </w:pPr>
      <w:r w:rsidRPr="00BB4B61">
        <w:rPr>
          <w:noProof/>
        </w:rPr>
        <w:t>THE COUNCIL OF THE EUROPEAN UNION,</w:t>
      </w:r>
    </w:p>
    <w:p w:rsidR="00CA0046" w:rsidRPr="00BB4B61" w:rsidRDefault="00CA0046" w:rsidP="009B37BC">
      <w:pPr>
        <w:rPr>
          <w:noProof/>
        </w:rPr>
      </w:pPr>
      <w:r w:rsidRPr="00BB4B61">
        <w:rPr>
          <w:noProof/>
        </w:rPr>
        <w:t xml:space="preserve">Having regard to the Treaty on the Functioning of the European Union, </w:t>
      </w:r>
      <w:r w:rsidR="004910EE" w:rsidRPr="00BB4B61">
        <w:rPr>
          <w:noProof/>
        </w:rPr>
        <w:t>and in particular Article 78(2), Article</w:t>
      </w:r>
      <w:r w:rsidR="00BB4B61">
        <w:rPr>
          <w:noProof/>
        </w:rPr>
        <w:t> </w:t>
      </w:r>
      <w:r w:rsidR="004910EE" w:rsidRPr="00BB4B61">
        <w:rPr>
          <w:noProof/>
        </w:rPr>
        <w:t>82(2) and Article</w:t>
      </w:r>
      <w:r w:rsidR="00BB4B61">
        <w:rPr>
          <w:noProof/>
        </w:rPr>
        <w:t> </w:t>
      </w:r>
      <w:r w:rsidR="004910EE" w:rsidRPr="00BB4B61">
        <w:rPr>
          <w:noProof/>
        </w:rPr>
        <w:t>84, in conjunction with Article</w:t>
      </w:r>
      <w:r w:rsidR="00BB4B61">
        <w:rPr>
          <w:noProof/>
        </w:rPr>
        <w:t> </w:t>
      </w:r>
      <w:r w:rsidR="004910EE" w:rsidRPr="00BB4B61">
        <w:rPr>
          <w:noProof/>
        </w:rPr>
        <w:t>218(9) thereof</w:t>
      </w:r>
      <w:r w:rsidRPr="00BB4B61">
        <w:rPr>
          <w:noProof/>
        </w:rPr>
        <w:t>,</w:t>
      </w:r>
    </w:p>
    <w:p w:rsidR="00CA0046" w:rsidRPr="00BB4B61" w:rsidRDefault="00CA0046" w:rsidP="009B37BC">
      <w:pPr>
        <w:rPr>
          <w:noProof/>
        </w:rPr>
      </w:pPr>
      <w:r w:rsidRPr="00BB4B61">
        <w:rPr>
          <w:noProof/>
        </w:rPr>
        <w:t>Having regard to the proposal from the European Commission,</w:t>
      </w:r>
    </w:p>
    <w:p w:rsidR="00CA0046" w:rsidRPr="00BB4B61" w:rsidRDefault="00CA0046" w:rsidP="009B37BC">
      <w:pPr>
        <w:rPr>
          <w:noProof/>
        </w:rPr>
      </w:pPr>
      <w:r w:rsidRPr="00BB4B61">
        <w:rPr>
          <w:noProof/>
        </w:rPr>
        <w:t>Whereas:</w:t>
      </w:r>
    </w:p>
    <w:p w:rsidR="004910EE" w:rsidRPr="00BB4B61" w:rsidRDefault="00910FBB" w:rsidP="00910FBB">
      <w:pPr>
        <w:pStyle w:val="ManualConsidrant"/>
        <w:rPr>
          <w:noProof/>
          <w:lang w:eastAsia="en-IE"/>
        </w:rPr>
      </w:pPr>
      <w:r w:rsidRPr="00910FBB">
        <w:rPr>
          <w:noProof/>
        </w:rPr>
        <w:t>(1)</w:t>
      </w:r>
      <w:r w:rsidRPr="00910FBB">
        <w:rPr>
          <w:noProof/>
        </w:rPr>
        <w:tab/>
      </w:r>
      <w:r w:rsidR="004910EE" w:rsidRPr="00BB4B61">
        <w:rPr>
          <w:noProof/>
        </w:rPr>
        <w:t xml:space="preserve">The </w:t>
      </w:r>
      <w:bookmarkStart w:id="7" w:name="_Hlk155975914"/>
      <w:r w:rsidR="004910EE" w:rsidRPr="00BB4B61">
        <w:rPr>
          <w:noProof/>
        </w:rPr>
        <w:t xml:space="preserve">Council of Europe Convention on preventing and combating violence against women and domestic violence </w:t>
      </w:r>
      <w:bookmarkEnd w:id="7"/>
      <w:r w:rsidR="004910EE" w:rsidRPr="00BB4B61">
        <w:rPr>
          <w:noProof/>
        </w:rPr>
        <w:t>(‘the Convention’) was concluded by the Union by Council Decision (EU) 2023/1075</w:t>
      </w:r>
      <w:r w:rsidR="004910EE" w:rsidRPr="00BB4B61">
        <w:rPr>
          <w:rStyle w:val="FootnoteReference"/>
          <w:noProof/>
        </w:rPr>
        <w:footnoteReference w:id="20"/>
      </w:r>
      <w:r w:rsidR="004910EE" w:rsidRPr="00BB4B61">
        <w:rPr>
          <w:noProof/>
        </w:rPr>
        <w:t xml:space="preserve"> with regard to institutions and public administration of the Union, and by Council Decision (EU) 2023/1076</w:t>
      </w:r>
      <w:r w:rsidR="004910EE" w:rsidRPr="00BB4B61">
        <w:rPr>
          <w:rStyle w:val="FootnoteReference"/>
          <w:noProof/>
        </w:rPr>
        <w:footnoteReference w:id="21"/>
      </w:r>
      <w:r w:rsidR="004910EE" w:rsidRPr="00BB4B61">
        <w:rPr>
          <w:noProof/>
        </w:rPr>
        <w:t xml:space="preserve"> with regard to matters related to judicial cooperation in criminal matters, asylum and non-refoulement, insofar as they fall within the exclusive competence of the Union, and entered into force for the Union on 1 October 2023</w:t>
      </w:r>
      <w:r w:rsidR="004910EE" w:rsidRPr="00BB4B61">
        <w:rPr>
          <w:noProof/>
          <w:lang w:eastAsia="en-IE"/>
        </w:rPr>
        <w:t>.</w:t>
      </w:r>
    </w:p>
    <w:p w:rsidR="00CA0046" w:rsidRPr="00BB4B61" w:rsidRDefault="00910FBB" w:rsidP="00910FBB">
      <w:pPr>
        <w:pStyle w:val="ManualConsidrant"/>
        <w:rPr>
          <w:noProof/>
        </w:rPr>
      </w:pPr>
      <w:r w:rsidRPr="00910FBB">
        <w:rPr>
          <w:noProof/>
        </w:rPr>
        <w:t>(2)</w:t>
      </w:r>
      <w:r w:rsidRPr="00910FBB">
        <w:rPr>
          <w:noProof/>
        </w:rPr>
        <w:tab/>
      </w:r>
      <w:r w:rsidR="002F2595" w:rsidRPr="00BB4B61">
        <w:rPr>
          <w:noProof/>
        </w:rPr>
        <w:t>Pursuant to Article</w:t>
      </w:r>
      <w:r w:rsidR="00BB4B61">
        <w:rPr>
          <w:noProof/>
        </w:rPr>
        <w:t> </w:t>
      </w:r>
      <w:r w:rsidR="002F2595" w:rsidRPr="00BB4B61">
        <w:rPr>
          <w:noProof/>
        </w:rPr>
        <w:t>66(1) of the Convention, the Group of experts on action against violence against women and domestic violence (‘GREVIO’) is to monitor the implementation of the Convention by the Parties</w:t>
      </w:r>
      <w:r w:rsidR="004910EE" w:rsidRPr="00BB4B61">
        <w:rPr>
          <w:noProof/>
        </w:rPr>
        <w:t xml:space="preserve">. </w:t>
      </w:r>
      <w:r w:rsidR="002F2595" w:rsidRPr="00BB4B61">
        <w:rPr>
          <w:noProof/>
        </w:rPr>
        <w:t>In accordance with</w:t>
      </w:r>
      <w:r w:rsidR="00BB4B61" w:rsidRPr="00BB4B61">
        <w:rPr>
          <w:noProof/>
        </w:rPr>
        <w:t xml:space="preserve"> </w:t>
      </w:r>
      <w:r w:rsidR="004910EE" w:rsidRPr="00BB4B61">
        <w:rPr>
          <w:noProof/>
        </w:rPr>
        <w:t>Article</w:t>
      </w:r>
      <w:r w:rsidR="00BB4B61">
        <w:rPr>
          <w:noProof/>
        </w:rPr>
        <w:t> </w:t>
      </w:r>
      <w:r w:rsidR="004910EE" w:rsidRPr="00BB4B61">
        <w:rPr>
          <w:noProof/>
        </w:rPr>
        <w:t>68(11) of the Convention, GREVIO is to adopt its report and conclusions concerning the measures taken by the Party concerned to implement the provisions of the Convention.</w:t>
      </w:r>
    </w:p>
    <w:p w:rsidR="004910EE" w:rsidRPr="00BB4B61" w:rsidRDefault="00910FBB" w:rsidP="00910FBB">
      <w:pPr>
        <w:pStyle w:val="ManualConsidrant"/>
        <w:rPr>
          <w:noProof/>
        </w:rPr>
      </w:pPr>
      <w:r w:rsidRPr="00910FBB">
        <w:rPr>
          <w:noProof/>
        </w:rPr>
        <w:t>(3)</w:t>
      </w:r>
      <w:r w:rsidRPr="00910FBB">
        <w:rPr>
          <w:noProof/>
        </w:rPr>
        <w:tab/>
      </w:r>
      <w:r w:rsidR="004910EE" w:rsidRPr="00BB4B61">
        <w:rPr>
          <w:noProof/>
        </w:rPr>
        <w:t>The Committee of the Parties to the Convention may adopt recommendations addressed to the Party concerned, in accordance with Article</w:t>
      </w:r>
      <w:r w:rsidR="00BB4B61">
        <w:rPr>
          <w:noProof/>
        </w:rPr>
        <w:t> </w:t>
      </w:r>
      <w:r w:rsidR="004910EE" w:rsidRPr="00BB4B61">
        <w:rPr>
          <w:noProof/>
        </w:rPr>
        <w:t xml:space="preserve">68(12) of the Convention. The recommendations are based on the GREVIO report and differentiate between those measures which the Committee of the Parties considers the Party should take as soon as possible, with a requirement to report back to it on steps taken in that regard within a </w:t>
      </w:r>
      <w:r w:rsidR="007D2EB5">
        <w:rPr>
          <w:noProof/>
        </w:rPr>
        <w:t>three</w:t>
      </w:r>
      <w:r w:rsidR="004910EE" w:rsidRPr="00BB4B61">
        <w:rPr>
          <w:noProof/>
        </w:rPr>
        <w:t xml:space="preserve">-year period, and </w:t>
      </w:r>
      <w:r w:rsidR="004910EE">
        <w:rPr>
          <w:noProof/>
        </w:rPr>
        <w:t xml:space="preserve">those </w:t>
      </w:r>
      <w:r w:rsidR="5155003E">
        <w:rPr>
          <w:noProof/>
        </w:rPr>
        <w:t xml:space="preserve">measures </w:t>
      </w:r>
      <w:r w:rsidR="004910EE">
        <w:rPr>
          <w:noProof/>
        </w:rPr>
        <w:t>which</w:t>
      </w:r>
      <w:r w:rsidR="004910EE" w:rsidRPr="00BB4B61" w:rsidDel="00ED5A3E">
        <w:rPr>
          <w:noProof/>
        </w:rPr>
        <w:t>,</w:t>
      </w:r>
      <w:r w:rsidR="004910EE" w:rsidRPr="00BB4B61">
        <w:rPr>
          <w:noProof/>
        </w:rPr>
        <w:t xml:space="preserve"> while important, </w:t>
      </w:r>
      <w:r w:rsidR="00ED5A3E">
        <w:rPr>
          <w:noProof/>
        </w:rPr>
        <w:t xml:space="preserve">do not carry </w:t>
      </w:r>
      <w:r w:rsidR="004910EE" w:rsidRPr="00BB4B61">
        <w:rPr>
          <w:noProof/>
        </w:rPr>
        <w:t xml:space="preserve">the </w:t>
      </w:r>
      <w:r w:rsidR="00ED5A3E">
        <w:rPr>
          <w:noProof/>
        </w:rPr>
        <w:t xml:space="preserve">same </w:t>
      </w:r>
      <w:r w:rsidR="004910EE" w:rsidRPr="00BB4B61">
        <w:rPr>
          <w:noProof/>
        </w:rPr>
        <w:t xml:space="preserve">level of immediacy. </w:t>
      </w:r>
      <w:bookmarkStart w:id="8" w:name="_Hlk155262451"/>
      <w:r w:rsidR="004910EE" w:rsidRPr="00BB4B61">
        <w:rPr>
          <w:noProof/>
        </w:rPr>
        <w:t xml:space="preserve">At the end of the </w:t>
      </w:r>
      <w:r w:rsidR="00ED5A3E">
        <w:rPr>
          <w:noProof/>
        </w:rPr>
        <w:t>three</w:t>
      </w:r>
      <w:r w:rsidR="004910EE" w:rsidRPr="00BB4B61">
        <w:rPr>
          <w:noProof/>
        </w:rPr>
        <w:t xml:space="preserve">-year period, the Party must report back to the Committee of the Parties on the measures taken, within 10 specific areas of the Convention. </w:t>
      </w:r>
      <w:r w:rsidR="00750A3F">
        <w:rPr>
          <w:noProof/>
        </w:rPr>
        <w:t>O</w:t>
      </w:r>
      <w:r w:rsidR="004910EE" w:rsidRPr="00BB4B61">
        <w:rPr>
          <w:noProof/>
        </w:rPr>
        <w:t>n the basis of that information, and any additional information obtained, the Committee of the Parties adopt</w:t>
      </w:r>
      <w:r w:rsidR="00ED5A3E">
        <w:rPr>
          <w:noProof/>
        </w:rPr>
        <w:t>s</w:t>
      </w:r>
      <w:r w:rsidR="004910EE" w:rsidRPr="00BB4B61">
        <w:rPr>
          <w:noProof/>
        </w:rPr>
        <w:t xml:space="preserve"> conclusions on the implementation of the recommendations, prepared by the Secretariat of the</w:t>
      </w:r>
      <w:bookmarkEnd w:id="8"/>
      <w:r w:rsidR="004910EE" w:rsidRPr="00BB4B61">
        <w:rPr>
          <w:noProof/>
        </w:rPr>
        <w:t xml:space="preserve"> Committee.</w:t>
      </w:r>
    </w:p>
    <w:p w:rsidR="002F2595" w:rsidRPr="00BB4B61" w:rsidRDefault="00910FBB" w:rsidP="00910FBB">
      <w:pPr>
        <w:pStyle w:val="ManualConsidrant"/>
        <w:rPr>
          <w:noProof/>
        </w:rPr>
      </w:pPr>
      <w:r w:rsidRPr="00910FBB">
        <w:rPr>
          <w:noProof/>
        </w:rPr>
        <w:t>(4)</w:t>
      </w:r>
      <w:r w:rsidRPr="00910FBB">
        <w:rPr>
          <w:noProof/>
        </w:rPr>
        <w:tab/>
      </w:r>
      <w:r w:rsidR="002F2595" w:rsidRPr="00BB4B61">
        <w:rPr>
          <w:noProof/>
        </w:rPr>
        <w:t>Pursuant to Article</w:t>
      </w:r>
      <w:r w:rsidR="00BB4B61">
        <w:rPr>
          <w:noProof/>
        </w:rPr>
        <w:t> </w:t>
      </w:r>
      <w:r w:rsidR="002F2595" w:rsidRPr="00BB4B61">
        <w:rPr>
          <w:noProof/>
        </w:rPr>
        <w:t xml:space="preserve">68(3) of the Convention, the evaluation procedures </w:t>
      </w:r>
      <w:r w:rsidR="54578A29" w:rsidRPr="00BB4B61">
        <w:rPr>
          <w:noProof/>
        </w:rPr>
        <w:t>following</w:t>
      </w:r>
      <w:r w:rsidR="002F2595" w:rsidRPr="00BB4B61">
        <w:rPr>
          <w:noProof/>
        </w:rPr>
        <w:t xml:space="preserve"> GREVIO’s initial baseline evaluation procedure</w:t>
      </w:r>
      <w:r w:rsidR="00D87176" w:rsidRPr="00BB4B61">
        <w:rPr>
          <w:noProof/>
        </w:rPr>
        <w:t xml:space="preserve"> </w:t>
      </w:r>
      <w:r w:rsidR="002F2595" w:rsidRPr="00BB4B61">
        <w:rPr>
          <w:noProof/>
        </w:rPr>
        <w:t xml:space="preserve">are to be divided into rounds (‘thematic evaluation rounds’). The first thematic evaluation round is entitled </w:t>
      </w:r>
      <w:r w:rsidR="00BB4B61">
        <w:rPr>
          <w:noProof/>
        </w:rPr>
        <w:t>‘</w:t>
      </w:r>
      <w:r w:rsidR="002F2595" w:rsidRPr="00BB4B61">
        <w:rPr>
          <w:noProof/>
        </w:rPr>
        <w:t>Building Trust by Delivering Support, Protection and Justice</w:t>
      </w:r>
      <w:r w:rsidR="00BB4B61">
        <w:rPr>
          <w:noProof/>
        </w:rPr>
        <w:t>’</w:t>
      </w:r>
      <w:r w:rsidR="002F2595" w:rsidRPr="00BB4B61">
        <w:rPr>
          <w:noProof/>
        </w:rPr>
        <w:t xml:space="preserve"> and addresses </w:t>
      </w:r>
      <w:r w:rsidR="006017BD">
        <w:rPr>
          <w:noProof/>
        </w:rPr>
        <w:t xml:space="preserve">20 </w:t>
      </w:r>
      <w:r w:rsidR="002F2595" w:rsidRPr="00BB4B61">
        <w:rPr>
          <w:noProof/>
        </w:rPr>
        <w:t xml:space="preserve">specific </w:t>
      </w:r>
      <w:r w:rsidR="00171241">
        <w:rPr>
          <w:noProof/>
        </w:rPr>
        <w:t>articles</w:t>
      </w:r>
      <w:r w:rsidR="002F2595" w:rsidRPr="00BB4B61">
        <w:rPr>
          <w:noProof/>
        </w:rPr>
        <w:t xml:space="preserve"> of the Convention, namely Articles </w:t>
      </w:r>
      <w:r w:rsidR="006017BD">
        <w:rPr>
          <w:noProof/>
        </w:rPr>
        <w:t xml:space="preserve">3, </w:t>
      </w:r>
      <w:r w:rsidR="002F2595" w:rsidRPr="00BB4B61">
        <w:rPr>
          <w:noProof/>
        </w:rPr>
        <w:t xml:space="preserve">7, 8, 11, 12, 14, 15, 16, 18, 20, 22, 25, 31, 48, 49, 50, 51, 52, 53 and 56. </w:t>
      </w:r>
      <w:r w:rsidR="27F85D8C" w:rsidRPr="00BB4B61">
        <w:rPr>
          <w:noProof/>
        </w:rPr>
        <w:t>At its last meeting on 17</w:t>
      </w:r>
      <w:r w:rsidR="00BB4B61">
        <w:rPr>
          <w:noProof/>
        </w:rPr>
        <w:t> </w:t>
      </w:r>
      <w:r w:rsidR="27F85D8C" w:rsidRPr="00BB4B61">
        <w:rPr>
          <w:noProof/>
        </w:rPr>
        <w:t>December 2024</w:t>
      </w:r>
      <w:r w:rsidR="002F2595" w:rsidRPr="00BB4B61">
        <w:rPr>
          <w:noProof/>
        </w:rPr>
        <w:t xml:space="preserve">, the </w:t>
      </w:r>
      <w:r w:rsidR="00A22AD4" w:rsidRPr="00BB4B61">
        <w:rPr>
          <w:noProof/>
        </w:rPr>
        <w:t>Committee of the Parties</w:t>
      </w:r>
      <w:r w:rsidR="00A22AD4">
        <w:rPr>
          <w:noProof/>
        </w:rPr>
        <w:t xml:space="preserve"> </w:t>
      </w:r>
      <w:r w:rsidR="002F2595" w:rsidRPr="00BB4B61">
        <w:rPr>
          <w:noProof/>
        </w:rPr>
        <w:t xml:space="preserve"> adopted </w:t>
      </w:r>
      <w:r w:rsidR="7298D463" w:rsidRPr="00BB4B61">
        <w:rPr>
          <w:noProof/>
        </w:rPr>
        <w:t xml:space="preserve">a </w:t>
      </w:r>
      <w:r w:rsidR="002F2595" w:rsidRPr="00BB4B61">
        <w:rPr>
          <w:noProof/>
        </w:rPr>
        <w:t>Decision on the recommendations to be adopted by the Committee of the Parties in light of GREVIO’s reports adopted as part of its first thematic round of evaluation [IC-CP(2024)10 rev].</w:t>
      </w:r>
    </w:p>
    <w:p w:rsidR="004910EE" w:rsidRPr="00BB4B61" w:rsidRDefault="00910FBB" w:rsidP="00910FBB">
      <w:pPr>
        <w:pStyle w:val="ManualConsidrant"/>
        <w:rPr>
          <w:noProof/>
        </w:rPr>
      </w:pPr>
      <w:r w:rsidRPr="00910FBB">
        <w:rPr>
          <w:noProof/>
        </w:rPr>
        <w:t>(5)</w:t>
      </w:r>
      <w:r w:rsidRPr="00910FBB">
        <w:rPr>
          <w:noProof/>
        </w:rPr>
        <w:tab/>
      </w:r>
      <w:r w:rsidR="004910EE" w:rsidRPr="00BB4B61">
        <w:rPr>
          <w:noProof/>
        </w:rPr>
        <w:t>The Committee of the Parties, during its 18th meeting on 5-6</w:t>
      </w:r>
      <w:r w:rsidR="00BB4B61">
        <w:rPr>
          <w:noProof/>
        </w:rPr>
        <w:t> </w:t>
      </w:r>
      <w:r w:rsidR="004910EE" w:rsidRPr="00BB4B61">
        <w:rPr>
          <w:noProof/>
        </w:rPr>
        <w:t xml:space="preserve">June 2025, is expected to adopt eight draft recommendations </w:t>
      </w:r>
      <w:r w:rsidR="00D87176" w:rsidRPr="00BB4B61">
        <w:rPr>
          <w:noProof/>
        </w:rPr>
        <w:t xml:space="preserve">based on the first thematic evaluation round entitled </w:t>
      </w:r>
      <w:r w:rsidR="00BB4B61">
        <w:rPr>
          <w:noProof/>
        </w:rPr>
        <w:t>‘</w:t>
      </w:r>
      <w:r w:rsidR="00D87176" w:rsidRPr="00BB4B61">
        <w:rPr>
          <w:noProof/>
        </w:rPr>
        <w:t>Building Trust by Delivering Support, Protection and Justice</w:t>
      </w:r>
      <w:r w:rsidR="00BB4B61">
        <w:rPr>
          <w:noProof/>
        </w:rPr>
        <w:t>’</w:t>
      </w:r>
      <w:r w:rsidR="00D87176" w:rsidRPr="00BB4B61">
        <w:rPr>
          <w:noProof/>
        </w:rPr>
        <w:t xml:space="preserve"> </w:t>
      </w:r>
      <w:r w:rsidR="004910EE" w:rsidRPr="00BB4B61">
        <w:rPr>
          <w:noProof/>
        </w:rPr>
        <w:t xml:space="preserve">and </w:t>
      </w:r>
      <w:r w:rsidR="00092BFB" w:rsidRPr="00BB4B61">
        <w:rPr>
          <w:noProof/>
        </w:rPr>
        <w:t xml:space="preserve">two </w:t>
      </w:r>
      <w:r w:rsidR="004910EE" w:rsidRPr="00BB4B61">
        <w:rPr>
          <w:noProof/>
        </w:rPr>
        <w:t xml:space="preserve">draft conclusions, </w:t>
      </w:r>
      <w:r w:rsidR="00171241">
        <w:rPr>
          <w:noProof/>
        </w:rPr>
        <w:t>on</w:t>
      </w:r>
      <w:r w:rsidR="004910EE" w:rsidRPr="00BB4B61">
        <w:rPr>
          <w:noProof/>
        </w:rPr>
        <w:t xml:space="preserve"> the implementation of the Convention by </w:t>
      </w:r>
      <w:r w:rsidR="00171241">
        <w:rPr>
          <w:noProof/>
        </w:rPr>
        <w:t>10</w:t>
      </w:r>
      <w:r w:rsidR="004910EE" w:rsidRPr="00BB4B61">
        <w:rPr>
          <w:noProof/>
        </w:rPr>
        <w:t xml:space="preserve"> Parties’ (the ‘draft recommendations and conclusions’):</w:t>
      </w:r>
    </w:p>
    <w:p w:rsidR="0D046CA2" w:rsidRPr="00BB4B61" w:rsidRDefault="6EC931DC" w:rsidP="3C8E0E83">
      <w:pPr>
        <w:pStyle w:val="Tiret1"/>
        <w:rPr>
          <w:rFonts w:eastAsia="Calibri"/>
          <w:noProof/>
        </w:rPr>
      </w:pPr>
      <w:r w:rsidRPr="00BB4B61">
        <w:rPr>
          <w:rFonts w:eastAsia="Calibri"/>
          <w:noProof/>
        </w:rPr>
        <w:t>Recommendations on improving trust by delivering support, protection and justice on the basis of the Istanbul Convention by Albania [IC-CP(2025)2-prov];</w:t>
      </w:r>
    </w:p>
    <w:p w:rsidR="0D046CA2" w:rsidRPr="00BB4B61" w:rsidRDefault="6EC931DC" w:rsidP="3C8E0E83">
      <w:pPr>
        <w:pStyle w:val="Tiret1"/>
        <w:rPr>
          <w:rFonts w:eastAsia="Calibri"/>
          <w:noProof/>
        </w:rPr>
      </w:pPr>
      <w:r w:rsidRPr="00BB4B61">
        <w:rPr>
          <w:rFonts w:eastAsia="Calibri"/>
          <w:noProof/>
        </w:rPr>
        <w:t>Recommendations on improving trust by delivering support, protection and justice on the basis of the Istanbul Convention by Austria [IC-CP(2025)3-prov]</w:t>
      </w:r>
      <w:r w:rsidR="00171241">
        <w:rPr>
          <w:rFonts w:eastAsia="Calibri"/>
          <w:noProof/>
        </w:rPr>
        <w:t>;</w:t>
      </w:r>
    </w:p>
    <w:p w:rsidR="0D046CA2" w:rsidRPr="00BB4B61" w:rsidRDefault="6EC931DC" w:rsidP="3C8E0E83">
      <w:pPr>
        <w:pStyle w:val="Tiret1"/>
        <w:rPr>
          <w:rFonts w:eastAsia="Calibri"/>
          <w:noProof/>
        </w:rPr>
      </w:pPr>
      <w:r w:rsidRPr="00BB4B61">
        <w:rPr>
          <w:rFonts w:eastAsia="Calibri"/>
          <w:noProof/>
        </w:rPr>
        <w:t>Recommendations on improving trust by delivering support, protection and justice on the basis of the Istanbul Convention by Denmark [IC-CP(2025)4-prov]</w:t>
      </w:r>
      <w:r w:rsidR="00171241">
        <w:rPr>
          <w:rFonts w:eastAsia="Calibri"/>
          <w:noProof/>
        </w:rPr>
        <w:t>;</w:t>
      </w:r>
    </w:p>
    <w:p w:rsidR="0D046CA2" w:rsidRPr="00BB4B61" w:rsidRDefault="6EC931DC" w:rsidP="3C8E0E83">
      <w:pPr>
        <w:pStyle w:val="Tiret1"/>
        <w:rPr>
          <w:rFonts w:eastAsia="Calibri"/>
          <w:noProof/>
        </w:rPr>
      </w:pPr>
      <w:r w:rsidRPr="00BB4B61">
        <w:rPr>
          <w:rFonts w:eastAsia="Calibri"/>
          <w:noProof/>
        </w:rPr>
        <w:t>Recommendations on improving trust by delivering support, protection and justice on the basis of the Istanbul Convention by Finland [IC-CP(2025)5-prov]</w:t>
      </w:r>
      <w:r w:rsidR="00171241">
        <w:rPr>
          <w:rFonts w:eastAsia="Calibri"/>
          <w:noProof/>
        </w:rPr>
        <w:t>;</w:t>
      </w:r>
    </w:p>
    <w:p w:rsidR="0D046CA2" w:rsidRPr="00BB4B61" w:rsidRDefault="6EC931DC" w:rsidP="3C8E0E83">
      <w:pPr>
        <w:pStyle w:val="Tiret1"/>
        <w:rPr>
          <w:rFonts w:eastAsia="Calibri"/>
          <w:noProof/>
        </w:rPr>
      </w:pPr>
      <w:r w:rsidRPr="00BB4B61">
        <w:rPr>
          <w:rFonts w:eastAsia="Calibri"/>
          <w:noProof/>
        </w:rPr>
        <w:t>Recommendations on improving trust by delivering support, protection and justice on the basis of the Istanbul Convention by Monaco [IC-CP(2025)6-prov]</w:t>
      </w:r>
      <w:r w:rsidR="00171241">
        <w:rPr>
          <w:rFonts w:eastAsia="Calibri"/>
          <w:noProof/>
        </w:rPr>
        <w:t>;</w:t>
      </w:r>
    </w:p>
    <w:p w:rsidR="0D046CA2" w:rsidRPr="00BB4B61" w:rsidRDefault="6EC931DC" w:rsidP="3C8E0E83">
      <w:pPr>
        <w:pStyle w:val="Tiret1"/>
        <w:rPr>
          <w:rFonts w:eastAsia="Calibri"/>
          <w:noProof/>
        </w:rPr>
      </w:pPr>
      <w:r w:rsidRPr="00BB4B61">
        <w:rPr>
          <w:rFonts w:eastAsia="Calibri"/>
          <w:noProof/>
        </w:rPr>
        <w:t>Recommendations on improving trust by delivering support, protection and justice on the basis of the Istanbul Convention by Montenegro [IC-CP(2025)7-prov]</w:t>
      </w:r>
      <w:r w:rsidR="00171241">
        <w:rPr>
          <w:rFonts w:eastAsia="Calibri"/>
          <w:noProof/>
        </w:rPr>
        <w:t>;</w:t>
      </w:r>
    </w:p>
    <w:p w:rsidR="0D046CA2" w:rsidRPr="00BB4B61" w:rsidRDefault="6EC931DC" w:rsidP="3C8E0E83">
      <w:pPr>
        <w:pStyle w:val="Tiret1"/>
        <w:rPr>
          <w:rFonts w:eastAsia="Calibri"/>
          <w:noProof/>
        </w:rPr>
      </w:pPr>
      <w:r w:rsidRPr="00BB4B61">
        <w:rPr>
          <w:rFonts w:eastAsia="Calibri"/>
          <w:noProof/>
        </w:rPr>
        <w:t>Recommendations on improving trust by delivering support, protection and justice on the basis of the Istanbul Convention by Spain [IC-CP(2025)8-prov]</w:t>
      </w:r>
      <w:r w:rsidR="00171241">
        <w:rPr>
          <w:rFonts w:eastAsia="Calibri"/>
          <w:noProof/>
        </w:rPr>
        <w:t>;</w:t>
      </w:r>
    </w:p>
    <w:p w:rsidR="0D046CA2" w:rsidRPr="00BB4B61" w:rsidRDefault="6EC931DC" w:rsidP="3C8E0E83">
      <w:pPr>
        <w:pStyle w:val="Tiret1"/>
        <w:rPr>
          <w:rFonts w:eastAsia="Calibri"/>
          <w:noProof/>
        </w:rPr>
      </w:pPr>
      <w:r w:rsidRPr="00BB4B61">
        <w:rPr>
          <w:rFonts w:eastAsia="Calibri"/>
          <w:noProof/>
        </w:rPr>
        <w:t>Recommendations on improving trust by delivering support, protection and justice on the basis of the Istanbul Convention by Sweden [IC-CP(2025)9-prov]</w:t>
      </w:r>
      <w:r w:rsidR="00171241">
        <w:rPr>
          <w:rFonts w:eastAsia="Calibri"/>
          <w:noProof/>
        </w:rPr>
        <w:t>;</w:t>
      </w:r>
    </w:p>
    <w:p w:rsidR="0D046CA2" w:rsidRPr="00BB4B61" w:rsidRDefault="0D046CA2" w:rsidP="3C8E0E83">
      <w:pPr>
        <w:pStyle w:val="Tiret1"/>
        <w:rPr>
          <w:rFonts w:eastAsia="Calibri"/>
          <w:noProof/>
        </w:rPr>
      </w:pPr>
      <w:r w:rsidRPr="00BB4B61">
        <w:rPr>
          <w:rFonts w:eastAsia="Calibri"/>
          <w:noProof/>
        </w:rPr>
        <w:t>Conclusions on the implementation of recommendations in respect of San Marino adopted by the Committee of the Parties [IC-CP(2025)10-prov];</w:t>
      </w:r>
      <w:r w:rsidR="00171241">
        <w:rPr>
          <w:rFonts w:eastAsia="Calibri"/>
          <w:noProof/>
        </w:rPr>
        <w:t xml:space="preserve"> and</w:t>
      </w:r>
    </w:p>
    <w:p w:rsidR="004910EE" w:rsidRPr="0038302B" w:rsidRDefault="0D046CA2" w:rsidP="0038302B">
      <w:pPr>
        <w:pStyle w:val="Tiret1"/>
        <w:rPr>
          <w:rFonts w:eastAsia="Calibri"/>
          <w:noProof/>
          <w:color w:val="000000"/>
        </w:rPr>
      </w:pPr>
      <w:r w:rsidRPr="00BB4B61">
        <w:rPr>
          <w:rFonts w:eastAsia="Calibri"/>
          <w:noProof/>
        </w:rPr>
        <w:t>Conclusions on the implementation of recommendations in respect of Slovenia adopted by the Committee of the Parties [IC-CP(2025)11-prov]</w:t>
      </w:r>
      <w:r w:rsidR="00171241">
        <w:rPr>
          <w:rFonts w:eastAsia="Calibri"/>
          <w:noProof/>
        </w:rPr>
        <w:t>.</w:t>
      </w:r>
    </w:p>
    <w:p w:rsidR="001358A1" w:rsidRPr="006017BD" w:rsidRDefault="00910FBB" w:rsidP="00910FBB">
      <w:pPr>
        <w:pStyle w:val="ManualConsidrant"/>
        <w:rPr>
          <w:noProof/>
          <w:lang w:val="en-IE"/>
        </w:rPr>
      </w:pPr>
      <w:r w:rsidRPr="00910FBB">
        <w:rPr>
          <w:noProof/>
        </w:rPr>
        <w:t>(6)</w:t>
      </w:r>
      <w:r w:rsidRPr="00910FBB">
        <w:rPr>
          <w:noProof/>
        </w:rPr>
        <w:tab/>
      </w:r>
      <w:r w:rsidR="004910EE" w:rsidRPr="00BB4B61">
        <w:rPr>
          <w:noProof/>
        </w:rPr>
        <w:t xml:space="preserve">The draft recommendations and conclusions concern the implementation of </w:t>
      </w:r>
      <w:r w:rsidR="004910EE" w:rsidRPr="00BB4B61" w:rsidDel="00183D17">
        <w:rPr>
          <w:noProof/>
        </w:rPr>
        <w:t xml:space="preserve">provisions of </w:t>
      </w:r>
      <w:r w:rsidR="004910EE" w:rsidRPr="00BB4B61">
        <w:rPr>
          <w:noProof/>
        </w:rPr>
        <w:t xml:space="preserve">the Convention </w:t>
      </w:r>
      <w:r w:rsidR="004910EE" w:rsidRPr="00BB4B61" w:rsidDel="00183D17">
        <w:rPr>
          <w:noProof/>
        </w:rPr>
        <w:t>which relate to</w:t>
      </w:r>
      <w:r w:rsidR="004910EE" w:rsidRPr="00BB4B61">
        <w:rPr>
          <w:noProof/>
        </w:rPr>
        <w:t xml:space="preserve"> judicial cooperation in criminal matters, such as matters relating to the protection and support of victims of violence against women and domestic violence</w:t>
      </w:r>
      <w:r w:rsidR="115DC986" w:rsidRPr="00BB4B61">
        <w:rPr>
          <w:noProof/>
        </w:rPr>
        <w:t>. The conclusions also concern the implementation of</w:t>
      </w:r>
      <w:r w:rsidR="004910EE" w:rsidRPr="00BB4B61">
        <w:rPr>
          <w:noProof/>
        </w:rPr>
        <w:t xml:space="preserve"> </w:t>
      </w:r>
      <w:r w:rsidR="004910EE" w:rsidRPr="00BB4B61" w:rsidDel="00183D17">
        <w:rPr>
          <w:noProof/>
        </w:rPr>
        <w:t xml:space="preserve"> provisions of the Convention relating to</w:t>
      </w:r>
      <w:r w:rsidR="004910EE" w:rsidRPr="00BB4B61">
        <w:rPr>
          <w:noProof/>
        </w:rPr>
        <w:t xml:space="preserve"> asylum and non-refoulement. </w:t>
      </w:r>
      <w:r w:rsidR="2FDD963E">
        <w:rPr>
          <w:noProof/>
        </w:rPr>
        <w:t>T</w:t>
      </w:r>
      <w:r w:rsidR="004910EE" w:rsidRPr="00BB4B61">
        <w:rPr>
          <w:noProof/>
        </w:rPr>
        <w:t>hese matters are covered by</w:t>
      </w:r>
      <w:r w:rsidR="0122A9DC">
        <w:rPr>
          <w:noProof/>
        </w:rPr>
        <w:t xml:space="preserve"> </w:t>
      </w:r>
      <w:r w:rsidR="76C7225B">
        <w:rPr>
          <w:noProof/>
        </w:rPr>
        <w:t>the</w:t>
      </w:r>
      <w:r w:rsidR="004910EE" w:rsidRPr="00BB4B61">
        <w:rPr>
          <w:noProof/>
        </w:rPr>
        <w:t xml:space="preserve"> Union acquis, in particular Directive 2024/</w:t>
      </w:r>
      <w:r w:rsidR="009B531F" w:rsidRPr="00BB4B61">
        <w:rPr>
          <w:noProof/>
        </w:rPr>
        <w:t>1385</w:t>
      </w:r>
      <w:r w:rsidR="004910EE" w:rsidRPr="00BB4B61">
        <w:rPr>
          <w:noProof/>
        </w:rPr>
        <w:t xml:space="preserve"> of the European Parliament and of the Council</w:t>
      </w:r>
      <w:r w:rsidR="004910EE" w:rsidRPr="00BB4B61">
        <w:rPr>
          <w:rStyle w:val="FootnoteReference"/>
          <w:noProof/>
        </w:rPr>
        <w:footnoteReference w:id="22"/>
      </w:r>
      <w:r w:rsidR="004910EE" w:rsidRPr="00BB4B61">
        <w:rPr>
          <w:noProof/>
        </w:rPr>
        <w:t>, Directive 2012/29/EU of the European Parliament and of the Council</w:t>
      </w:r>
      <w:r w:rsidR="004910EE" w:rsidRPr="00BB4B61">
        <w:rPr>
          <w:rStyle w:val="FootnoteReference"/>
          <w:noProof/>
        </w:rPr>
        <w:footnoteReference w:id="23"/>
      </w:r>
      <w:r w:rsidR="004910EE" w:rsidRPr="00BB4B61">
        <w:rPr>
          <w:noProof/>
        </w:rPr>
        <w:t xml:space="preserve">, </w:t>
      </w:r>
      <w:bookmarkStart w:id="10" w:name="_Hlk166517647"/>
      <w:r w:rsidR="004910EE" w:rsidRPr="00BB4B61">
        <w:rPr>
          <w:noProof/>
        </w:rPr>
        <w:t>Regulation (EU) 2024/</w:t>
      </w:r>
      <w:r w:rsidR="00E30690" w:rsidRPr="00BB4B61">
        <w:rPr>
          <w:noProof/>
        </w:rPr>
        <w:t xml:space="preserve">1348 </w:t>
      </w:r>
      <w:r w:rsidR="004910EE" w:rsidRPr="00BB4B61">
        <w:rPr>
          <w:noProof/>
        </w:rPr>
        <w:t>of the European Parliament and of the Council</w:t>
      </w:r>
      <w:r w:rsidR="004910EE" w:rsidRPr="00BB4B61">
        <w:rPr>
          <w:rStyle w:val="FootnoteReference"/>
          <w:noProof/>
        </w:rPr>
        <w:footnoteReference w:id="24"/>
      </w:r>
      <w:r w:rsidR="004910EE" w:rsidRPr="00BB4B61">
        <w:rPr>
          <w:noProof/>
        </w:rPr>
        <w:t xml:space="preserve"> </w:t>
      </w:r>
      <w:bookmarkEnd w:id="10"/>
      <w:r w:rsidR="1161C5B0">
        <w:rPr>
          <w:noProof/>
        </w:rPr>
        <w:t>,</w:t>
      </w:r>
      <w:r w:rsidR="004910EE" w:rsidRPr="00BB4B61">
        <w:rPr>
          <w:noProof/>
        </w:rPr>
        <w:t xml:space="preserve"> Directive </w:t>
      </w:r>
      <w:r w:rsidR="00E30690" w:rsidRPr="00BB4B61">
        <w:rPr>
          <w:noProof/>
        </w:rPr>
        <w:t>2024/1346</w:t>
      </w:r>
      <w:r w:rsidR="004910EE" w:rsidRPr="00BB4B61">
        <w:rPr>
          <w:noProof/>
        </w:rPr>
        <w:t xml:space="preserve"> of the European Parliament and of the Council</w:t>
      </w:r>
      <w:r w:rsidR="004910EE" w:rsidRPr="00BB4B61">
        <w:rPr>
          <w:rStyle w:val="FootnoteReference"/>
          <w:noProof/>
        </w:rPr>
        <w:footnoteReference w:id="25"/>
      </w:r>
      <w:r w:rsidR="004910EE" w:rsidRPr="00BB4B61">
        <w:rPr>
          <w:noProof/>
        </w:rPr>
        <w:t xml:space="preserve"> </w:t>
      </w:r>
      <w:r w:rsidR="34832A85" w:rsidRPr="00BB4B61">
        <w:rPr>
          <w:noProof/>
        </w:rPr>
        <w:t>and Council Directive 2003/</w:t>
      </w:r>
      <w:r w:rsidR="34832A85">
        <w:rPr>
          <w:noProof/>
        </w:rPr>
        <w:t>86/EC</w:t>
      </w:r>
      <w:r w:rsidR="0038302B">
        <w:rPr>
          <w:rStyle w:val="FootnoteReference"/>
          <w:noProof/>
        </w:rPr>
        <w:footnoteReference w:id="26"/>
      </w:r>
      <w:r w:rsidR="34832A85">
        <w:rPr>
          <w:noProof/>
        </w:rPr>
        <w:t xml:space="preserve">. </w:t>
      </w:r>
      <w:r w:rsidR="59C5E62B" w:rsidRPr="00886338">
        <w:rPr>
          <w:rFonts w:eastAsia="Times New Roman"/>
          <w:noProof/>
        </w:rPr>
        <w:t>The draft recommendations and conclusions will have legal effects.</w:t>
      </w:r>
      <w:r w:rsidR="59C5E62B" w:rsidRPr="2262BD98">
        <w:rPr>
          <w:noProof/>
        </w:rPr>
        <w:t xml:space="preserve"> </w:t>
      </w:r>
      <w:r w:rsidR="004910EE" w:rsidRPr="00BB4B61">
        <w:rPr>
          <w:noProof/>
        </w:rPr>
        <w:t xml:space="preserve">It is therefore appropriate to establish the position to be taken on the Union’s behalf in the Committee of the Parties </w:t>
      </w:r>
      <w:r w:rsidR="00327BA4">
        <w:rPr>
          <w:noProof/>
        </w:rPr>
        <w:t>for</w:t>
      </w:r>
      <w:r w:rsidR="004910EE" w:rsidRPr="00BB4B61">
        <w:rPr>
          <w:noProof/>
        </w:rPr>
        <w:t xml:space="preserve"> matters related to judicial cooperation in criminal matters, asylum and non-refoulement.</w:t>
      </w:r>
      <w:r w:rsidR="00C019C2">
        <w:rPr>
          <w:noProof/>
        </w:rPr>
        <w:t xml:space="preserve"> </w:t>
      </w:r>
    </w:p>
    <w:p w:rsidR="00AC3C31" w:rsidRPr="00BB4B61" w:rsidRDefault="00910FBB" w:rsidP="00910FBB">
      <w:pPr>
        <w:pStyle w:val="ManualConsidrant"/>
        <w:rPr>
          <w:noProof/>
        </w:rPr>
      </w:pPr>
      <w:bookmarkStart w:id="11" w:name="_Hlk197533465"/>
      <w:r w:rsidRPr="00910FBB">
        <w:rPr>
          <w:noProof/>
        </w:rPr>
        <w:t>(7)</w:t>
      </w:r>
      <w:r w:rsidRPr="00910FBB">
        <w:rPr>
          <w:noProof/>
        </w:rPr>
        <w:tab/>
      </w:r>
      <w:r w:rsidR="00912121" w:rsidRPr="00D83C2D">
        <w:rPr>
          <w:noProof/>
          <w:lang w:val="en-IE"/>
        </w:rPr>
        <w:t xml:space="preserve">It should be noted that </w:t>
      </w:r>
      <w:r w:rsidR="00572401" w:rsidRPr="00572401">
        <w:rPr>
          <w:noProof/>
          <w:lang w:val="en-IE"/>
        </w:rPr>
        <w:t xml:space="preserve">recommendations relating to certain </w:t>
      </w:r>
      <w:r w:rsidR="00572401">
        <w:rPr>
          <w:noProof/>
          <w:lang w:val="en-IE"/>
        </w:rPr>
        <w:t>a</w:t>
      </w:r>
      <w:r w:rsidR="00572401" w:rsidRPr="00572401">
        <w:rPr>
          <w:noProof/>
          <w:lang w:val="en-IE"/>
        </w:rPr>
        <w:t xml:space="preserve">rticles of the Convention are only partly covered by </w:t>
      </w:r>
      <w:r w:rsidR="003E2174">
        <w:rPr>
          <w:noProof/>
          <w:lang w:val="en-IE"/>
        </w:rPr>
        <w:t>Union’s</w:t>
      </w:r>
      <w:r w:rsidR="00883906">
        <w:rPr>
          <w:noProof/>
          <w:lang w:val="en-IE"/>
        </w:rPr>
        <w:t xml:space="preserve"> competence</w:t>
      </w:r>
      <w:r w:rsidR="00572401" w:rsidRPr="00572401">
        <w:rPr>
          <w:noProof/>
          <w:lang w:val="en-IE"/>
        </w:rPr>
        <w:t>.</w:t>
      </w:r>
      <w:r w:rsidR="00572401">
        <w:rPr>
          <w:noProof/>
          <w:lang w:val="en-IE"/>
        </w:rPr>
        <w:t xml:space="preserve"> Thus, as to </w:t>
      </w:r>
      <w:r w:rsidR="00912121" w:rsidRPr="00D83C2D">
        <w:rPr>
          <w:noProof/>
          <w:lang w:val="en-IE"/>
        </w:rPr>
        <w:t xml:space="preserve">recommendations </w:t>
      </w:r>
      <w:r w:rsidR="00572401">
        <w:rPr>
          <w:noProof/>
          <w:lang w:val="en-IE"/>
        </w:rPr>
        <w:t xml:space="preserve">on </w:t>
      </w:r>
      <w:r w:rsidR="00912121" w:rsidRPr="00D83C2D">
        <w:rPr>
          <w:noProof/>
          <w:lang w:val="en-IE"/>
        </w:rPr>
        <w:t>Art</w:t>
      </w:r>
      <w:r w:rsidR="00D83C2D">
        <w:rPr>
          <w:noProof/>
          <w:lang w:val="en-IE"/>
        </w:rPr>
        <w:t>icles</w:t>
      </w:r>
      <w:r w:rsidR="00912121" w:rsidRPr="00D83C2D">
        <w:rPr>
          <w:noProof/>
          <w:lang w:val="en-IE"/>
        </w:rPr>
        <w:t xml:space="preserve"> 49 and 50</w:t>
      </w:r>
      <w:r w:rsidR="00572401">
        <w:rPr>
          <w:noProof/>
          <w:lang w:val="en-IE"/>
        </w:rPr>
        <w:t xml:space="preserve">, this decision should be </w:t>
      </w:r>
      <w:r w:rsidR="00912121" w:rsidRPr="00D83C2D">
        <w:rPr>
          <w:noProof/>
          <w:lang w:val="en-IE"/>
        </w:rPr>
        <w:t>without prejudice to M</w:t>
      </w:r>
      <w:r w:rsidR="00F0735E">
        <w:rPr>
          <w:noProof/>
          <w:lang w:val="en-IE"/>
        </w:rPr>
        <w:t xml:space="preserve">ember </w:t>
      </w:r>
      <w:r w:rsidR="00912121" w:rsidRPr="00D83C2D">
        <w:rPr>
          <w:noProof/>
          <w:lang w:val="en-IE"/>
        </w:rPr>
        <w:t>S</w:t>
      </w:r>
      <w:r w:rsidR="00F0735E">
        <w:rPr>
          <w:noProof/>
          <w:lang w:val="en-IE"/>
        </w:rPr>
        <w:t>tates’</w:t>
      </w:r>
      <w:r w:rsidR="00912121" w:rsidRPr="00D83C2D">
        <w:rPr>
          <w:noProof/>
          <w:lang w:val="en-IE"/>
        </w:rPr>
        <w:t xml:space="preserve"> competence for the </w:t>
      </w:r>
      <w:r w:rsidR="005735E3" w:rsidRPr="00D83C2D">
        <w:rPr>
          <w:noProof/>
          <w:lang w:val="en-IE"/>
        </w:rPr>
        <w:t xml:space="preserve">internal </w:t>
      </w:r>
      <w:r w:rsidR="00912121" w:rsidRPr="00D83C2D">
        <w:rPr>
          <w:noProof/>
          <w:lang w:val="en-IE"/>
        </w:rPr>
        <w:t xml:space="preserve">organisation and administration of their </w:t>
      </w:r>
      <w:r w:rsidR="00572401">
        <w:rPr>
          <w:noProof/>
          <w:lang w:val="en-IE"/>
        </w:rPr>
        <w:t>justice</w:t>
      </w:r>
      <w:r w:rsidR="00912121" w:rsidRPr="00D83C2D">
        <w:rPr>
          <w:noProof/>
          <w:lang w:val="en-IE"/>
        </w:rPr>
        <w:t xml:space="preserve"> systems; </w:t>
      </w:r>
      <w:r w:rsidR="00572401">
        <w:rPr>
          <w:noProof/>
          <w:lang w:val="en-IE"/>
        </w:rPr>
        <w:t>as to</w:t>
      </w:r>
      <w:r w:rsidR="00912121" w:rsidRPr="00D83C2D">
        <w:rPr>
          <w:noProof/>
          <w:lang w:val="en-IE"/>
        </w:rPr>
        <w:t xml:space="preserve"> recommendations on Art</w:t>
      </w:r>
      <w:r w:rsidR="008A40BA" w:rsidRPr="00D83C2D">
        <w:rPr>
          <w:noProof/>
          <w:lang w:val="en-IE"/>
        </w:rPr>
        <w:t>icle</w:t>
      </w:r>
      <w:r w:rsidR="00D83C2D">
        <w:rPr>
          <w:noProof/>
          <w:lang w:val="en-IE"/>
        </w:rPr>
        <w:t>s</w:t>
      </w:r>
      <w:r w:rsidR="008A40BA" w:rsidRPr="00D83C2D">
        <w:rPr>
          <w:noProof/>
          <w:lang w:val="en-IE"/>
        </w:rPr>
        <w:t xml:space="preserve"> 11 and </w:t>
      </w:r>
      <w:r w:rsidR="00912121" w:rsidRPr="00D83C2D">
        <w:rPr>
          <w:noProof/>
          <w:lang w:val="en-IE"/>
        </w:rPr>
        <w:t>20</w:t>
      </w:r>
      <w:r w:rsidR="00572401">
        <w:rPr>
          <w:noProof/>
          <w:lang w:val="en-IE"/>
        </w:rPr>
        <w:t xml:space="preserve">, this decision should be </w:t>
      </w:r>
      <w:r w:rsidR="00912121" w:rsidRPr="00D83C2D">
        <w:rPr>
          <w:noProof/>
          <w:lang w:val="en-IE"/>
        </w:rPr>
        <w:t xml:space="preserve">without prejudice to </w:t>
      </w:r>
      <w:r w:rsidR="00F0735E">
        <w:rPr>
          <w:noProof/>
          <w:lang w:val="en-IE"/>
        </w:rPr>
        <w:t xml:space="preserve">Member States’ </w:t>
      </w:r>
      <w:r w:rsidR="00912121" w:rsidRPr="00D83C2D">
        <w:rPr>
          <w:noProof/>
          <w:lang w:val="en-IE"/>
        </w:rPr>
        <w:t>competence for the organisation and delivery of healthcare services</w:t>
      </w:r>
      <w:r w:rsidR="00F0735E">
        <w:rPr>
          <w:noProof/>
          <w:lang w:val="en-IE"/>
        </w:rPr>
        <w:t xml:space="preserve"> and medical care</w:t>
      </w:r>
      <w:r w:rsidR="00912121" w:rsidRPr="00D83C2D">
        <w:rPr>
          <w:noProof/>
          <w:lang w:val="en-IE"/>
        </w:rPr>
        <w:t xml:space="preserve">; </w:t>
      </w:r>
      <w:r w:rsidR="00572401">
        <w:rPr>
          <w:noProof/>
          <w:lang w:val="en-IE"/>
        </w:rPr>
        <w:t xml:space="preserve">as to recommendations on </w:t>
      </w:r>
      <w:r w:rsidR="00912121" w:rsidRPr="00D83C2D">
        <w:rPr>
          <w:noProof/>
          <w:lang w:val="en-IE"/>
        </w:rPr>
        <w:t>Art</w:t>
      </w:r>
      <w:r w:rsidR="006466E4">
        <w:rPr>
          <w:noProof/>
          <w:lang w:val="en-IE"/>
        </w:rPr>
        <w:t>icle</w:t>
      </w:r>
      <w:r w:rsidR="00912121" w:rsidRPr="00D83C2D">
        <w:rPr>
          <w:noProof/>
          <w:lang w:val="en-IE"/>
        </w:rPr>
        <w:t xml:space="preserve"> 14</w:t>
      </w:r>
      <w:r w:rsidR="00572401">
        <w:rPr>
          <w:noProof/>
          <w:lang w:val="en-IE"/>
        </w:rPr>
        <w:t xml:space="preserve">, this decision should be </w:t>
      </w:r>
      <w:r w:rsidR="00912121" w:rsidRPr="00D83C2D">
        <w:rPr>
          <w:noProof/>
          <w:lang w:val="en-IE"/>
        </w:rPr>
        <w:t xml:space="preserve">without prejudice to </w:t>
      </w:r>
      <w:r w:rsidR="00F0735E">
        <w:rPr>
          <w:noProof/>
          <w:lang w:val="en-IE"/>
        </w:rPr>
        <w:t xml:space="preserve">Member States’ </w:t>
      </w:r>
      <w:r w:rsidR="00912121" w:rsidRPr="00D83C2D">
        <w:rPr>
          <w:noProof/>
          <w:lang w:val="en-IE"/>
        </w:rPr>
        <w:t xml:space="preserve">competence for </w:t>
      </w:r>
      <w:r w:rsidR="00F0735E">
        <w:rPr>
          <w:noProof/>
          <w:lang w:val="en-IE"/>
        </w:rPr>
        <w:t xml:space="preserve">the </w:t>
      </w:r>
      <w:r w:rsidR="00F0735E" w:rsidRPr="00F0735E">
        <w:rPr>
          <w:noProof/>
        </w:rPr>
        <w:t xml:space="preserve">content of teaching and the organisation of </w:t>
      </w:r>
      <w:r w:rsidR="00912121" w:rsidRPr="00D83C2D">
        <w:rPr>
          <w:noProof/>
          <w:lang w:val="en-IE"/>
        </w:rPr>
        <w:t>education</w:t>
      </w:r>
      <w:r w:rsidR="00F0735E">
        <w:rPr>
          <w:noProof/>
          <w:lang w:val="en-IE"/>
        </w:rPr>
        <w:t xml:space="preserve"> systems</w:t>
      </w:r>
      <w:r w:rsidR="00912121" w:rsidRPr="00D83C2D">
        <w:rPr>
          <w:noProof/>
          <w:lang w:val="en-IE"/>
        </w:rPr>
        <w:t xml:space="preserve">, </w:t>
      </w:r>
      <w:r w:rsidR="00572401">
        <w:rPr>
          <w:noProof/>
          <w:lang w:val="en-IE"/>
        </w:rPr>
        <w:t xml:space="preserve">as to </w:t>
      </w:r>
      <w:r w:rsidR="00912121" w:rsidRPr="00D83C2D">
        <w:rPr>
          <w:noProof/>
          <w:lang w:val="en-IE"/>
        </w:rPr>
        <w:t>recommendations on Art</w:t>
      </w:r>
      <w:r w:rsidR="006466E4">
        <w:rPr>
          <w:noProof/>
          <w:lang w:val="en-IE"/>
        </w:rPr>
        <w:t>icle</w:t>
      </w:r>
      <w:r w:rsidR="00912121" w:rsidRPr="00D83C2D">
        <w:rPr>
          <w:noProof/>
          <w:lang w:val="en-IE"/>
        </w:rPr>
        <w:t xml:space="preserve"> 31</w:t>
      </w:r>
      <w:r w:rsidR="00572401">
        <w:rPr>
          <w:noProof/>
          <w:lang w:val="en-IE"/>
        </w:rPr>
        <w:t xml:space="preserve">, this decision should be </w:t>
      </w:r>
      <w:r w:rsidR="00912121" w:rsidRPr="00D83C2D">
        <w:rPr>
          <w:noProof/>
          <w:lang w:val="en-IE"/>
        </w:rPr>
        <w:t xml:space="preserve">without prejudice to </w:t>
      </w:r>
      <w:r w:rsidR="00F0735E">
        <w:rPr>
          <w:noProof/>
          <w:lang w:val="en-IE"/>
        </w:rPr>
        <w:t>Member States’</w:t>
      </w:r>
      <w:r w:rsidR="00912121" w:rsidRPr="00D83C2D">
        <w:rPr>
          <w:noProof/>
          <w:lang w:val="en-IE"/>
        </w:rPr>
        <w:t xml:space="preserve"> competence in the area of family law. </w:t>
      </w:r>
      <w:bookmarkEnd w:id="11"/>
    </w:p>
    <w:p w:rsidR="00E03EDF" w:rsidRPr="00BB4B61" w:rsidRDefault="00910FBB" w:rsidP="00910FBB">
      <w:pPr>
        <w:pStyle w:val="ManualConsidrant"/>
        <w:rPr>
          <w:noProof/>
        </w:rPr>
      </w:pPr>
      <w:r w:rsidRPr="00910FBB">
        <w:rPr>
          <w:noProof/>
        </w:rPr>
        <w:t>(8)</w:t>
      </w:r>
      <w:r w:rsidRPr="00910FBB">
        <w:rPr>
          <w:noProof/>
        </w:rPr>
        <w:tab/>
      </w:r>
      <w:r w:rsidR="001322CC" w:rsidRPr="00BB4B61">
        <w:rPr>
          <w:noProof/>
        </w:rPr>
        <w:t xml:space="preserve">As regards Albania, the draft recommendation on its implementation of the Convention includes the need to ensure that </w:t>
      </w:r>
      <w:r w:rsidR="00350ACA" w:rsidRPr="00BB4B61">
        <w:rPr>
          <w:noProof/>
        </w:rPr>
        <w:t>relevant</w:t>
      </w:r>
      <w:r w:rsidR="001322CC" w:rsidRPr="00BB4B61">
        <w:rPr>
          <w:noProof/>
        </w:rPr>
        <w:t xml:space="preserve"> policies and measures </w:t>
      </w:r>
      <w:r w:rsidR="001B23EA">
        <w:rPr>
          <w:noProof/>
        </w:rPr>
        <w:t xml:space="preserve">to prevent and combat all forms of violence against women </w:t>
      </w:r>
      <w:r w:rsidR="001322CC" w:rsidRPr="00BB4B61">
        <w:rPr>
          <w:noProof/>
        </w:rPr>
        <w:t xml:space="preserve">are </w:t>
      </w:r>
      <w:r w:rsidR="001A35B6">
        <w:rPr>
          <w:noProof/>
        </w:rPr>
        <w:t xml:space="preserve">provide </w:t>
      </w:r>
      <w:r w:rsidR="001475FD">
        <w:rPr>
          <w:noProof/>
        </w:rPr>
        <w:t>with</w:t>
      </w:r>
      <w:r w:rsidR="001475FD" w:rsidRPr="00BB4B61">
        <w:rPr>
          <w:noProof/>
        </w:rPr>
        <w:t xml:space="preserve"> </w:t>
      </w:r>
      <w:r w:rsidR="001322CC" w:rsidRPr="00BB4B61">
        <w:rPr>
          <w:noProof/>
        </w:rPr>
        <w:t xml:space="preserve">sufficient and sustainable funding, </w:t>
      </w:r>
      <w:r w:rsidR="00201FF9" w:rsidRPr="00BB4B61">
        <w:rPr>
          <w:noProof/>
        </w:rPr>
        <w:t xml:space="preserve">including </w:t>
      </w:r>
      <w:r w:rsidR="00A4126D">
        <w:rPr>
          <w:noProof/>
        </w:rPr>
        <w:t>through</w:t>
      </w:r>
      <w:r w:rsidR="00C2493D">
        <w:rPr>
          <w:noProof/>
        </w:rPr>
        <w:t xml:space="preserve"> transparent</w:t>
      </w:r>
      <w:r w:rsidR="001B23EA">
        <w:rPr>
          <w:noProof/>
        </w:rPr>
        <w:t xml:space="preserve"> procedures </w:t>
      </w:r>
      <w:r w:rsidR="004A304B">
        <w:rPr>
          <w:noProof/>
        </w:rPr>
        <w:t>to secure funding for</w:t>
      </w:r>
      <w:r w:rsidR="004A304B" w:rsidRPr="00BB4B61">
        <w:rPr>
          <w:noProof/>
        </w:rPr>
        <w:t xml:space="preserve"> </w:t>
      </w:r>
      <w:r w:rsidR="001322CC" w:rsidRPr="00BB4B61">
        <w:rPr>
          <w:noProof/>
        </w:rPr>
        <w:t>women’s rights organisations (Article</w:t>
      </w:r>
      <w:r w:rsidR="00BB4B61">
        <w:rPr>
          <w:noProof/>
        </w:rPr>
        <w:t> </w:t>
      </w:r>
      <w:r w:rsidR="001322CC" w:rsidRPr="00BB4B61">
        <w:rPr>
          <w:noProof/>
        </w:rPr>
        <w:t>8 of the Convention)</w:t>
      </w:r>
      <w:r w:rsidR="001A35B6">
        <w:rPr>
          <w:noProof/>
        </w:rPr>
        <w:t>;</w:t>
      </w:r>
      <w:r w:rsidR="00E443AF">
        <w:rPr>
          <w:noProof/>
        </w:rPr>
        <w:t xml:space="preserve"> </w:t>
      </w:r>
      <w:r w:rsidR="001322CC" w:rsidRPr="00BB4B61">
        <w:rPr>
          <w:noProof/>
        </w:rPr>
        <w:t>promote</w:t>
      </w:r>
      <w:r w:rsidR="00350ACA" w:rsidRPr="00BB4B61">
        <w:rPr>
          <w:noProof/>
        </w:rPr>
        <w:t xml:space="preserve"> </w:t>
      </w:r>
      <w:r w:rsidR="001322CC" w:rsidRPr="00BB4B61">
        <w:rPr>
          <w:noProof/>
        </w:rPr>
        <w:t>awareness-raising campaigns or programmes</w:t>
      </w:r>
      <w:r w:rsidR="00C30A0C">
        <w:rPr>
          <w:noProof/>
        </w:rPr>
        <w:t xml:space="preserve"> and to </w:t>
      </w:r>
      <w:r w:rsidR="00350ACA" w:rsidRPr="00BB4B61">
        <w:rPr>
          <w:noProof/>
        </w:rPr>
        <w:t>regularly assess their impact</w:t>
      </w:r>
      <w:r w:rsidR="00AB5536" w:rsidRPr="00BB4B61">
        <w:rPr>
          <w:noProof/>
        </w:rPr>
        <w:t xml:space="preserve"> (Article</w:t>
      </w:r>
      <w:r w:rsidR="00BB4B61">
        <w:rPr>
          <w:noProof/>
        </w:rPr>
        <w:t> </w:t>
      </w:r>
      <w:r w:rsidR="00AB5536" w:rsidRPr="00BB4B61">
        <w:rPr>
          <w:noProof/>
        </w:rPr>
        <w:t>12 of the Convention)</w:t>
      </w:r>
      <w:r w:rsidR="00FC1D8D">
        <w:rPr>
          <w:noProof/>
        </w:rPr>
        <w:t>;</w:t>
      </w:r>
      <w:r w:rsidR="00350ACA" w:rsidRPr="00BB4B61">
        <w:rPr>
          <w:noProof/>
        </w:rPr>
        <w:t xml:space="preserve"> ensure training for relevant professiona</w:t>
      </w:r>
      <w:r w:rsidR="00AB5536" w:rsidRPr="00BB4B61">
        <w:rPr>
          <w:noProof/>
        </w:rPr>
        <w:t>ls</w:t>
      </w:r>
      <w:r w:rsidR="00350ACA" w:rsidRPr="00BB4B61">
        <w:rPr>
          <w:noProof/>
        </w:rPr>
        <w:t xml:space="preserve"> and to follow-up on such training (Article</w:t>
      </w:r>
      <w:r w:rsidR="00BB4B61">
        <w:rPr>
          <w:noProof/>
        </w:rPr>
        <w:t> </w:t>
      </w:r>
      <w:r w:rsidR="00AB5536" w:rsidRPr="00BB4B61">
        <w:rPr>
          <w:noProof/>
        </w:rPr>
        <w:t>15</w:t>
      </w:r>
      <w:r w:rsidR="00350ACA" w:rsidRPr="00BB4B61">
        <w:rPr>
          <w:noProof/>
        </w:rPr>
        <w:t xml:space="preserve"> of the Convention)</w:t>
      </w:r>
      <w:r w:rsidR="00FC1D8D">
        <w:rPr>
          <w:noProof/>
        </w:rPr>
        <w:t xml:space="preserve">; </w:t>
      </w:r>
      <w:r w:rsidR="00AB5536" w:rsidRPr="00BB4B61">
        <w:rPr>
          <w:noProof/>
        </w:rPr>
        <w:t xml:space="preserve"> expand the existing perpetrator programmes and introduce programmes aimed specifically at perpetrators of sexual violence (</w:t>
      </w:r>
      <w:r w:rsidR="00AB5536" w:rsidRPr="00886338">
        <w:rPr>
          <w:rFonts w:eastAsia="Times New Roman"/>
          <w:noProof/>
        </w:rPr>
        <w:t>Article</w:t>
      </w:r>
      <w:r w:rsidR="00BB4B61" w:rsidRPr="00886338">
        <w:rPr>
          <w:rFonts w:eastAsia="Times New Roman"/>
          <w:noProof/>
        </w:rPr>
        <w:t> </w:t>
      </w:r>
      <w:r w:rsidR="00AB5536" w:rsidRPr="00886338">
        <w:rPr>
          <w:rFonts w:eastAsia="Times New Roman"/>
          <w:noProof/>
        </w:rPr>
        <w:t>16 of the Convention)</w:t>
      </w:r>
      <w:r w:rsidR="00FC1D8D" w:rsidRPr="00886338">
        <w:rPr>
          <w:rFonts w:eastAsia="Times New Roman"/>
          <w:noProof/>
        </w:rPr>
        <w:t xml:space="preserve">; </w:t>
      </w:r>
      <w:r w:rsidR="00007EA7" w:rsidRPr="00886338">
        <w:rPr>
          <w:rFonts w:eastAsia="Times New Roman"/>
          <w:noProof/>
        </w:rPr>
        <w:t>to ensure</w:t>
      </w:r>
      <w:r w:rsidR="005217B0" w:rsidRPr="00886338">
        <w:rPr>
          <w:rFonts w:eastAsia="Times New Roman"/>
          <w:noProof/>
        </w:rPr>
        <w:t xml:space="preserve"> victims of violence have access to comprehensive healthcare services</w:t>
      </w:r>
      <w:r w:rsidR="004156B4" w:rsidRPr="00886338">
        <w:rPr>
          <w:rFonts w:eastAsia="Times New Roman"/>
          <w:noProof/>
        </w:rPr>
        <w:t xml:space="preserve"> (Article 20 of the Convention)</w:t>
      </w:r>
      <w:r w:rsidR="00AB5536" w:rsidRPr="00886338">
        <w:rPr>
          <w:rFonts w:eastAsia="Times New Roman"/>
          <w:noProof/>
        </w:rPr>
        <w:t xml:space="preserve"> increase the funding and the number of available services for women victims, especially for women with special needs (Article</w:t>
      </w:r>
      <w:r w:rsidR="00BB4B61" w:rsidRPr="00886338">
        <w:rPr>
          <w:rFonts w:eastAsia="Times New Roman"/>
          <w:noProof/>
        </w:rPr>
        <w:t> </w:t>
      </w:r>
      <w:r w:rsidR="00AB5536" w:rsidRPr="00886338">
        <w:rPr>
          <w:rFonts w:eastAsia="Times New Roman"/>
          <w:noProof/>
        </w:rPr>
        <w:t>20 of the Convention)</w:t>
      </w:r>
      <w:r w:rsidR="00FC1D8D" w:rsidRPr="00886338">
        <w:rPr>
          <w:rFonts w:eastAsia="Times New Roman"/>
          <w:noProof/>
        </w:rPr>
        <w:t xml:space="preserve">; </w:t>
      </w:r>
      <w:r w:rsidR="0072415A" w:rsidRPr="00886338">
        <w:rPr>
          <w:rFonts w:eastAsia="Times New Roman"/>
          <w:noProof/>
        </w:rPr>
        <w:t xml:space="preserve"> ensure </w:t>
      </w:r>
      <w:r w:rsidR="000575F8" w:rsidRPr="00886338">
        <w:rPr>
          <w:rFonts w:eastAsia="Times New Roman"/>
          <w:noProof/>
        </w:rPr>
        <w:t>sufficient</w:t>
      </w:r>
      <w:r w:rsidR="0072415A" w:rsidRPr="00886338">
        <w:rPr>
          <w:rFonts w:eastAsia="Times New Roman"/>
          <w:noProof/>
        </w:rPr>
        <w:t xml:space="preserve"> specialist support services to all </w:t>
      </w:r>
      <w:r w:rsidR="007015D7" w:rsidRPr="00886338">
        <w:rPr>
          <w:rFonts w:eastAsia="Times New Roman"/>
          <w:noProof/>
        </w:rPr>
        <w:t xml:space="preserve">women </w:t>
      </w:r>
      <w:r w:rsidR="0072415A" w:rsidRPr="00886338">
        <w:rPr>
          <w:rFonts w:eastAsia="Times New Roman"/>
          <w:noProof/>
        </w:rPr>
        <w:t>victims and their children, irrespective of their will to report the violence</w:t>
      </w:r>
      <w:r w:rsidR="00B82B51" w:rsidRPr="00886338">
        <w:rPr>
          <w:rFonts w:eastAsia="Times New Roman"/>
          <w:noProof/>
        </w:rPr>
        <w:t xml:space="preserve">, and to ensure </w:t>
      </w:r>
      <w:r w:rsidR="008B328C" w:rsidRPr="00886338">
        <w:rPr>
          <w:rFonts w:eastAsia="Times New Roman"/>
          <w:noProof/>
        </w:rPr>
        <w:t xml:space="preserve">national </w:t>
      </w:r>
      <w:r w:rsidR="00B82B51" w:rsidRPr="00886338">
        <w:rPr>
          <w:rFonts w:eastAsia="Times New Roman"/>
          <w:noProof/>
        </w:rPr>
        <w:t>helplines receive funding (Article</w:t>
      </w:r>
      <w:r w:rsidR="00BB4B61" w:rsidRPr="00886338">
        <w:rPr>
          <w:rFonts w:eastAsia="Times New Roman"/>
          <w:noProof/>
        </w:rPr>
        <w:t> </w:t>
      </w:r>
      <w:r w:rsidR="00B82B51" w:rsidRPr="00886338">
        <w:rPr>
          <w:rFonts w:eastAsia="Times New Roman"/>
          <w:noProof/>
        </w:rPr>
        <w:t>22 of the Convention)</w:t>
      </w:r>
      <w:r w:rsidR="00FC1D8D" w:rsidRPr="00886338">
        <w:rPr>
          <w:rFonts w:eastAsia="Times New Roman"/>
          <w:noProof/>
        </w:rPr>
        <w:t xml:space="preserve">; </w:t>
      </w:r>
      <w:r w:rsidR="00B82B51" w:rsidRPr="00886338">
        <w:rPr>
          <w:rFonts w:eastAsia="Times New Roman"/>
          <w:noProof/>
        </w:rPr>
        <w:t xml:space="preserve"> ensure that victims of sexual violence have access to</w:t>
      </w:r>
      <w:r w:rsidR="00BB4B61" w:rsidRPr="00886338">
        <w:rPr>
          <w:rFonts w:eastAsia="Times New Roman"/>
          <w:noProof/>
        </w:rPr>
        <w:t xml:space="preserve"> </w:t>
      </w:r>
      <w:r w:rsidR="00B82B51" w:rsidRPr="00886338">
        <w:rPr>
          <w:rFonts w:eastAsia="Times New Roman"/>
          <w:noProof/>
        </w:rPr>
        <w:t>forensic examination, not conditional on their willingness to report the crime</w:t>
      </w:r>
      <w:r w:rsidR="0087011A" w:rsidRPr="00886338">
        <w:rPr>
          <w:rFonts w:eastAsia="Times New Roman"/>
          <w:noProof/>
        </w:rPr>
        <w:t>, and that</w:t>
      </w:r>
      <w:r w:rsidR="00B62EAD" w:rsidRPr="00886338">
        <w:rPr>
          <w:rFonts w:eastAsia="Times New Roman"/>
          <w:noProof/>
        </w:rPr>
        <w:t xml:space="preserve"> </w:t>
      </w:r>
      <w:r w:rsidR="00A308C5" w:rsidRPr="00886338">
        <w:rPr>
          <w:rFonts w:eastAsia="Times New Roman"/>
          <w:noProof/>
        </w:rPr>
        <w:t xml:space="preserve">forensic evidence is </w:t>
      </w:r>
      <w:r w:rsidR="000B1F97" w:rsidRPr="00886338">
        <w:rPr>
          <w:rFonts w:eastAsia="Times New Roman"/>
          <w:noProof/>
        </w:rPr>
        <w:t xml:space="preserve">properly </w:t>
      </w:r>
      <w:r w:rsidR="00A308C5" w:rsidRPr="00886338">
        <w:rPr>
          <w:rFonts w:eastAsia="Times New Roman"/>
          <w:noProof/>
        </w:rPr>
        <w:t>stored</w:t>
      </w:r>
      <w:r w:rsidR="00B82B51" w:rsidRPr="00886338">
        <w:rPr>
          <w:rFonts w:eastAsia="Times New Roman"/>
          <w:noProof/>
        </w:rPr>
        <w:t xml:space="preserve"> (Article</w:t>
      </w:r>
      <w:r w:rsidR="00BB4B61" w:rsidRPr="00886338">
        <w:rPr>
          <w:rFonts w:eastAsia="Times New Roman"/>
          <w:noProof/>
        </w:rPr>
        <w:t> </w:t>
      </w:r>
      <w:r w:rsidR="00B82B51" w:rsidRPr="00886338">
        <w:rPr>
          <w:rFonts w:eastAsia="Times New Roman"/>
          <w:noProof/>
        </w:rPr>
        <w:t>25</w:t>
      </w:r>
      <w:r w:rsidR="0040209B" w:rsidRPr="00886338">
        <w:rPr>
          <w:rFonts w:eastAsia="Times New Roman"/>
          <w:noProof/>
        </w:rPr>
        <w:t xml:space="preserve"> </w:t>
      </w:r>
      <w:r w:rsidR="00B82B51" w:rsidRPr="00886338">
        <w:rPr>
          <w:rFonts w:eastAsia="Times New Roman"/>
          <w:noProof/>
        </w:rPr>
        <w:t>of the Convention)</w:t>
      </w:r>
      <w:r w:rsidR="00FC1D8D" w:rsidRPr="00886338">
        <w:rPr>
          <w:rFonts w:eastAsia="Times New Roman"/>
          <w:noProof/>
        </w:rPr>
        <w:t xml:space="preserve">; </w:t>
      </w:r>
      <w:r w:rsidR="000B5361" w:rsidRPr="00886338">
        <w:rPr>
          <w:rFonts w:eastAsia="Times New Roman"/>
          <w:noProof/>
        </w:rPr>
        <w:t>take measures to abolish mandatory conciliation in all criminal cases concerning violence against women</w:t>
      </w:r>
      <w:r w:rsidR="00705FA8" w:rsidRPr="00886338">
        <w:rPr>
          <w:rFonts w:eastAsia="Times New Roman"/>
          <w:noProof/>
        </w:rPr>
        <w:t>;</w:t>
      </w:r>
      <w:r w:rsidR="00285009" w:rsidRPr="00886338">
        <w:rPr>
          <w:rFonts w:eastAsia="Times New Roman"/>
          <w:noProof/>
        </w:rPr>
        <w:t xml:space="preserve"> enhance the capacity, knowledge and response of law-enforcement officers in order to achieve a timely and victim-sensitive response</w:t>
      </w:r>
      <w:r w:rsidR="00127395" w:rsidRPr="00886338">
        <w:rPr>
          <w:rFonts w:eastAsia="Times New Roman"/>
          <w:noProof/>
        </w:rPr>
        <w:t xml:space="preserve"> and</w:t>
      </w:r>
      <w:r w:rsidR="00BB4B61" w:rsidRPr="00886338">
        <w:rPr>
          <w:rFonts w:eastAsia="Times New Roman"/>
          <w:noProof/>
        </w:rPr>
        <w:t xml:space="preserve"> </w:t>
      </w:r>
      <w:r w:rsidR="00285009" w:rsidRPr="00886338">
        <w:rPr>
          <w:rFonts w:eastAsia="Times New Roman"/>
          <w:noProof/>
        </w:rPr>
        <w:t>take measures to improve reporting by women victims</w:t>
      </w:r>
      <w:r w:rsidR="00A6591B" w:rsidRPr="00886338">
        <w:rPr>
          <w:rFonts w:eastAsia="Times New Roman"/>
          <w:noProof/>
        </w:rPr>
        <w:t xml:space="preserve"> </w:t>
      </w:r>
      <w:r w:rsidR="00285009" w:rsidRPr="00886338">
        <w:rPr>
          <w:rFonts w:eastAsia="Times New Roman"/>
          <w:noProof/>
        </w:rPr>
        <w:t>(Articles 49 and 50</w:t>
      </w:r>
      <w:r w:rsidR="004C327E" w:rsidRPr="00886338">
        <w:rPr>
          <w:rFonts w:eastAsia="Times New Roman"/>
          <w:noProof/>
        </w:rPr>
        <w:t xml:space="preserve"> of the Convention</w:t>
      </w:r>
      <w:r w:rsidR="00285009" w:rsidRPr="00886338">
        <w:rPr>
          <w:rFonts w:eastAsia="Times New Roman"/>
          <w:noProof/>
        </w:rPr>
        <w:t>)</w:t>
      </w:r>
      <w:r w:rsidR="00FC1D8D" w:rsidRPr="00886338">
        <w:rPr>
          <w:rFonts w:eastAsia="Times New Roman"/>
          <w:noProof/>
        </w:rPr>
        <w:t xml:space="preserve">; </w:t>
      </w:r>
      <w:r w:rsidR="00644D3F" w:rsidRPr="00886338">
        <w:rPr>
          <w:rFonts w:eastAsia="Times New Roman"/>
          <w:noProof/>
        </w:rPr>
        <w:t xml:space="preserve">ensure that risk assessment procedures are applied </w:t>
      </w:r>
      <w:r w:rsidR="00E15162" w:rsidRPr="00886338">
        <w:rPr>
          <w:rFonts w:eastAsia="Times New Roman"/>
          <w:noProof/>
        </w:rPr>
        <w:t>in cases concerning</w:t>
      </w:r>
      <w:r w:rsidR="00B3234D" w:rsidRPr="00886338">
        <w:rPr>
          <w:rFonts w:eastAsia="Times New Roman"/>
          <w:noProof/>
        </w:rPr>
        <w:t xml:space="preserve"> all forms of violence covered by the Convention</w:t>
      </w:r>
      <w:r w:rsidR="00644D3F" w:rsidRPr="00886338">
        <w:rPr>
          <w:rFonts w:eastAsia="Times New Roman"/>
          <w:noProof/>
        </w:rPr>
        <w:t xml:space="preserve"> and in coordination with all relevant agencies</w:t>
      </w:r>
      <w:r w:rsidR="00D82A7A" w:rsidRPr="00886338">
        <w:rPr>
          <w:rFonts w:eastAsia="Times New Roman"/>
          <w:noProof/>
        </w:rPr>
        <w:t xml:space="preserve"> (Article</w:t>
      </w:r>
      <w:r w:rsidR="00BB4B61" w:rsidRPr="00886338">
        <w:rPr>
          <w:rFonts w:eastAsia="Times New Roman"/>
          <w:noProof/>
        </w:rPr>
        <w:t> </w:t>
      </w:r>
      <w:r w:rsidR="00D82A7A" w:rsidRPr="00886338">
        <w:rPr>
          <w:rFonts w:eastAsia="Times New Roman"/>
          <w:noProof/>
        </w:rPr>
        <w:t>51 of the Convention)</w:t>
      </w:r>
      <w:r w:rsidR="00FC1D8D" w:rsidRPr="00886338">
        <w:rPr>
          <w:rFonts w:eastAsia="Times New Roman"/>
          <w:noProof/>
        </w:rPr>
        <w:t xml:space="preserve">; </w:t>
      </w:r>
      <w:r w:rsidR="005222F4" w:rsidRPr="00886338">
        <w:rPr>
          <w:rFonts w:eastAsia="Times New Roman"/>
          <w:noProof/>
        </w:rPr>
        <w:t>make better use of emergency barring orders and monitor</w:t>
      </w:r>
      <w:r w:rsidR="00931011" w:rsidRPr="00886338">
        <w:rPr>
          <w:rFonts w:eastAsia="Times New Roman"/>
          <w:noProof/>
        </w:rPr>
        <w:t xml:space="preserve"> and enforce such orders</w:t>
      </w:r>
      <w:r w:rsidR="00882152" w:rsidRPr="00886338">
        <w:rPr>
          <w:rFonts w:eastAsia="Times New Roman"/>
          <w:noProof/>
        </w:rPr>
        <w:t xml:space="preserve"> (Article</w:t>
      </w:r>
      <w:r w:rsidR="00BB4B61" w:rsidRPr="00886338">
        <w:rPr>
          <w:rFonts w:eastAsia="Times New Roman"/>
          <w:noProof/>
        </w:rPr>
        <w:t> </w:t>
      </w:r>
      <w:r w:rsidR="00882152" w:rsidRPr="00886338">
        <w:rPr>
          <w:rFonts w:eastAsia="Times New Roman"/>
          <w:noProof/>
        </w:rPr>
        <w:t>52 of the Convention)</w:t>
      </w:r>
      <w:r w:rsidR="00FC1D8D" w:rsidRPr="00886338">
        <w:rPr>
          <w:rFonts w:eastAsia="Times New Roman"/>
          <w:noProof/>
        </w:rPr>
        <w:t xml:space="preserve">; </w:t>
      </w:r>
      <w:r w:rsidR="00557860" w:rsidRPr="00886338">
        <w:rPr>
          <w:rFonts w:eastAsia="Times New Roman"/>
          <w:noProof/>
        </w:rPr>
        <w:t xml:space="preserve"> ensure that protection orders are available and accessible to all victims</w:t>
      </w:r>
      <w:r w:rsidR="006017BD">
        <w:rPr>
          <w:rFonts w:eastAsia="Times New Roman"/>
          <w:noProof/>
        </w:rPr>
        <w:t>, and</w:t>
      </w:r>
      <w:r w:rsidR="00557860" w:rsidRPr="00886338">
        <w:rPr>
          <w:rFonts w:eastAsia="Times New Roman"/>
          <w:noProof/>
        </w:rPr>
        <w:t xml:space="preserve"> enfor</w:t>
      </w:r>
      <w:r w:rsidR="007535C3" w:rsidRPr="00886338">
        <w:rPr>
          <w:rFonts w:eastAsia="Times New Roman"/>
          <w:noProof/>
        </w:rPr>
        <w:t>c</w:t>
      </w:r>
      <w:r w:rsidR="00557860" w:rsidRPr="00886338">
        <w:rPr>
          <w:rFonts w:eastAsia="Times New Roman"/>
          <w:noProof/>
        </w:rPr>
        <w:t>e and monitor such orders</w:t>
      </w:r>
      <w:r w:rsidR="00E2224A" w:rsidRPr="00886338">
        <w:rPr>
          <w:rFonts w:eastAsia="Times New Roman"/>
          <w:noProof/>
        </w:rPr>
        <w:t>, including through sanctions for breaches</w:t>
      </w:r>
      <w:r w:rsidR="00FE5C6B" w:rsidRPr="00886338">
        <w:rPr>
          <w:rFonts w:eastAsia="Times New Roman"/>
          <w:noProof/>
        </w:rPr>
        <w:t xml:space="preserve"> (Article</w:t>
      </w:r>
      <w:r w:rsidR="00BB4B61" w:rsidRPr="00886338">
        <w:rPr>
          <w:rFonts w:eastAsia="Times New Roman"/>
          <w:noProof/>
        </w:rPr>
        <w:t> </w:t>
      </w:r>
      <w:r w:rsidR="00FE5C6B" w:rsidRPr="00886338">
        <w:rPr>
          <w:rFonts w:eastAsia="Times New Roman"/>
          <w:noProof/>
        </w:rPr>
        <w:t>53 of the Convention)</w:t>
      </w:r>
      <w:r w:rsidR="00FC1D8D" w:rsidRPr="00886338">
        <w:rPr>
          <w:rFonts w:eastAsia="Times New Roman"/>
          <w:noProof/>
        </w:rPr>
        <w:t>;</w:t>
      </w:r>
      <w:r w:rsidR="005A7BED" w:rsidRPr="00886338">
        <w:rPr>
          <w:rFonts w:eastAsia="Times New Roman"/>
          <w:noProof/>
        </w:rPr>
        <w:t xml:space="preserve"> and</w:t>
      </w:r>
      <w:r w:rsidR="000E3D09" w:rsidRPr="00886338">
        <w:rPr>
          <w:rFonts w:eastAsia="Times New Roman"/>
          <w:noProof/>
        </w:rPr>
        <w:t xml:space="preserve">  evaluate the</w:t>
      </w:r>
      <w:r w:rsidR="00B37890" w:rsidRPr="00886338">
        <w:rPr>
          <w:rFonts w:eastAsia="Times New Roman"/>
          <w:noProof/>
        </w:rPr>
        <w:t xml:space="preserve"> </w:t>
      </w:r>
      <w:r w:rsidR="00A05C14" w:rsidRPr="00886338">
        <w:rPr>
          <w:rFonts w:eastAsia="Times New Roman"/>
          <w:noProof/>
        </w:rPr>
        <w:t>implementation</w:t>
      </w:r>
      <w:r w:rsidR="00B37890" w:rsidRPr="00886338">
        <w:rPr>
          <w:rFonts w:eastAsia="Times New Roman"/>
          <w:noProof/>
        </w:rPr>
        <w:t xml:space="preserve"> of</w:t>
      </w:r>
      <w:r w:rsidR="00A05C14" w:rsidRPr="00886338">
        <w:rPr>
          <w:rFonts w:eastAsia="Times New Roman"/>
          <w:noProof/>
        </w:rPr>
        <w:t xml:space="preserve"> protection measures and ensure</w:t>
      </w:r>
      <w:r w:rsidR="005E007E" w:rsidRPr="00886338">
        <w:rPr>
          <w:rFonts w:eastAsia="Times New Roman"/>
          <w:noProof/>
        </w:rPr>
        <w:t xml:space="preserve"> they are in line with the </w:t>
      </w:r>
      <w:r w:rsidR="00BA5432" w:rsidRPr="00886338">
        <w:rPr>
          <w:rFonts w:eastAsia="Times New Roman"/>
          <w:noProof/>
        </w:rPr>
        <w:t>C</w:t>
      </w:r>
      <w:r w:rsidR="005E007E" w:rsidRPr="00886338">
        <w:rPr>
          <w:rFonts w:eastAsia="Times New Roman"/>
          <w:noProof/>
        </w:rPr>
        <w:t>onvention (Article</w:t>
      </w:r>
      <w:r w:rsidR="00BB4B61" w:rsidRPr="00886338">
        <w:rPr>
          <w:rFonts w:eastAsia="Times New Roman"/>
          <w:noProof/>
        </w:rPr>
        <w:t> </w:t>
      </w:r>
      <w:r w:rsidR="005E007E" w:rsidRPr="00886338">
        <w:rPr>
          <w:rFonts w:eastAsia="Times New Roman"/>
          <w:noProof/>
        </w:rPr>
        <w:t>56 of the Convention)</w:t>
      </w:r>
      <w:r w:rsidR="005A7BED" w:rsidRPr="00886338">
        <w:rPr>
          <w:rFonts w:eastAsia="Times New Roman"/>
          <w:noProof/>
        </w:rPr>
        <w:t xml:space="preserve">. </w:t>
      </w:r>
      <w:r w:rsidR="002E1011" w:rsidRPr="00BB4B61">
        <w:rPr>
          <w:noProof/>
        </w:rPr>
        <w:t>As the recommendations on these matters are in line with the Union’s policies and objectives in the area of judicial cooperation in criminal matters and do not raise any concerns with respect to Union law, the position of the Union should be to not object to the adoption of the recommendation addressed to Albania.</w:t>
      </w:r>
    </w:p>
    <w:p w:rsidR="005A44DE" w:rsidRPr="00BB4B61" w:rsidRDefault="00910FBB" w:rsidP="00910FBB">
      <w:pPr>
        <w:pStyle w:val="ManualConsidrant"/>
        <w:rPr>
          <w:noProof/>
        </w:rPr>
      </w:pPr>
      <w:r w:rsidRPr="00910FBB">
        <w:rPr>
          <w:noProof/>
        </w:rPr>
        <w:t>(9)</w:t>
      </w:r>
      <w:r w:rsidRPr="00910FBB">
        <w:rPr>
          <w:noProof/>
        </w:rPr>
        <w:tab/>
      </w:r>
      <w:r w:rsidR="005A44DE" w:rsidRPr="00BB4B61">
        <w:rPr>
          <w:noProof/>
        </w:rPr>
        <w:t xml:space="preserve">As regards Austria, the draft recommendation on its implementation of the Convention includes the need to adopt and align the definition of </w:t>
      </w:r>
      <w:r w:rsidR="00BB4B61">
        <w:rPr>
          <w:noProof/>
        </w:rPr>
        <w:t>‘</w:t>
      </w:r>
      <w:r w:rsidR="005A44DE" w:rsidRPr="00BB4B61">
        <w:rPr>
          <w:noProof/>
        </w:rPr>
        <w:t>domestic violence</w:t>
      </w:r>
      <w:r w:rsidR="00BB4B61">
        <w:rPr>
          <w:noProof/>
        </w:rPr>
        <w:t>’</w:t>
      </w:r>
      <w:r w:rsidR="005A44DE" w:rsidRPr="00BB4B61">
        <w:rPr>
          <w:noProof/>
        </w:rPr>
        <w:t xml:space="preserve"> (Article</w:t>
      </w:r>
      <w:r w:rsidR="00BB4B61">
        <w:rPr>
          <w:noProof/>
        </w:rPr>
        <w:t> </w:t>
      </w:r>
      <w:r w:rsidR="005A44DE" w:rsidRPr="00BB4B61">
        <w:rPr>
          <w:noProof/>
        </w:rPr>
        <w:t>3 of the Convention)</w:t>
      </w:r>
      <w:r w:rsidR="001A35B6">
        <w:rPr>
          <w:noProof/>
        </w:rPr>
        <w:t>;</w:t>
      </w:r>
      <w:r w:rsidR="005A44DE" w:rsidRPr="00BB4B61">
        <w:rPr>
          <w:noProof/>
        </w:rPr>
        <w:t xml:space="preserve"> develop a long-term compreh</w:t>
      </w:r>
      <w:r w:rsidR="006A4FA1">
        <w:rPr>
          <w:noProof/>
        </w:rPr>
        <w:t>e</w:t>
      </w:r>
      <w:r w:rsidR="005A44DE" w:rsidRPr="00BB4B61">
        <w:rPr>
          <w:noProof/>
        </w:rPr>
        <w:t>nsive action plan/strategic policy document on all forms of violence covered by the Convention (Article</w:t>
      </w:r>
      <w:r w:rsidR="00BB4B61">
        <w:rPr>
          <w:noProof/>
        </w:rPr>
        <w:t> </w:t>
      </w:r>
      <w:r w:rsidR="005A44DE" w:rsidRPr="00BB4B61">
        <w:rPr>
          <w:noProof/>
        </w:rPr>
        <w:t>7 of the Convention)</w:t>
      </w:r>
      <w:r w:rsidR="00CE5BF3">
        <w:rPr>
          <w:noProof/>
        </w:rPr>
        <w:t xml:space="preserve">; </w:t>
      </w:r>
      <w:r w:rsidR="005A44DE" w:rsidRPr="00BB4B61">
        <w:rPr>
          <w:noProof/>
        </w:rPr>
        <w:t xml:space="preserve"> adapt data categories for use by the justice sector and collect data on the number of women and girls who contact the social services (Article</w:t>
      </w:r>
      <w:r w:rsidR="00BB4B61">
        <w:rPr>
          <w:noProof/>
        </w:rPr>
        <w:t> </w:t>
      </w:r>
      <w:r w:rsidR="005A44DE" w:rsidRPr="00BB4B61">
        <w:rPr>
          <w:noProof/>
        </w:rPr>
        <w:t>11 of the Convention)</w:t>
      </w:r>
      <w:r w:rsidR="00CE5BF3">
        <w:rPr>
          <w:noProof/>
        </w:rPr>
        <w:t xml:space="preserve">; </w:t>
      </w:r>
      <w:r w:rsidR="005A44DE" w:rsidRPr="00BB4B61">
        <w:rPr>
          <w:noProof/>
        </w:rPr>
        <w:t xml:space="preserve"> step up efforts to eradicate prejudice and gender ster</w:t>
      </w:r>
      <w:r w:rsidR="006A4FA1">
        <w:rPr>
          <w:noProof/>
        </w:rPr>
        <w:t>e</w:t>
      </w:r>
      <w:r w:rsidR="005A44DE" w:rsidRPr="00BB4B61">
        <w:rPr>
          <w:noProof/>
        </w:rPr>
        <w:t xml:space="preserve">otypes in Austrian society through prevention measures, </w:t>
      </w:r>
      <w:r w:rsidR="005E1E69">
        <w:rPr>
          <w:noProof/>
        </w:rPr>
        <w:t>including awareness-raising campaigns or programmes</w:t>
      </w:r>
      <w:r w:rsidR="006E50C3">
        <w:rPr>
          <w:noProof/>
        </w:rPr>
        <w:t xml:space="preserve">, </w:t>
      </w:r>
      <w:r w:rsidR="000F768D" w:rsidRPr="00BB4B61">
        <w:rPr>
          <w:noProof/>
        </w:rPr>
        <w:t xml:space="preserve">to </w:t>
      </w:r>
      <w:r w:rsidR="005A44DE" w:rsidRPr="00BB4B61">
        <w:rPr>
          <w:noProof/>
        </w:rPr>
        <w:t>inform victims of the availability of support services and evaluat</w:t>
      </w:r>
      <w:r w:rsidR="000F768D" w:rsidRPr="00BB4B61">
        <w:rPr>
          <w:noProof/>
        </w:rPr>
        <w:t>e</w:t>
      </w:r>
      <w:r w:rsidR="005A44DE" w:rsidRPr="00BB4B61">
        <w:rPr>
          <w:noProof/>
        </w:rPr>
        <w:t xml:space="preserve"> their impact (Article</w:t>
      </w:r>
      <w:r w:rsidR="00BB4B61">
        <w:rPr>
          <w:noProof/>
        </w:rPr>
        <w:t> </w:t>
      </w:r>
      <w:r w:rsidR="005A44DE" w:rsidRPr="00BB4B61">
        <w:rPr>
          <w:noProof/>
        </w:rPr>
        <w:t>12 of the Convention)</w:t>
      </w:r>
      <w:r w:rsidR="00CE5BF3">
        <w:rPr>
          <w:noProof/>
        </w:rPr>
        <w:t xml:space="preserve">; </w:t>
      </w:r>
      <w:r w:rsidR="009A624D" w:rsidRPr="00BB4B61">
        <w:rPr>
          <w:noProof/>
        </w:rPr>
        <w:t xml:space="preserve"> </w:t>
      </w:r>
      <w:r w:rsidR="005A44DE" w:rsidRPr="00BB4B61">
        <w:rPr>
          <w:noProof/>
        </w:rPr>
        <w:t>ensure that relevant pr</w:t>
      </w:r>
      <w:r w:rsidR="00556148" w:rsidRPr="00BB4B61">
        <w:rPr>
          <w:noProof/>
        </w:rPr>
        <w:t>ofessionals</w:t>
      </w:r>
      <w:r w:rsidR="005A44DE" w:rsidRPr="00BB4B61">
        <w:rPr>
          <w:noProof/>
        </w:rPr>
        <w:t xml:space="preserve"> receive appropriate training (Article</w:t>
      </w:r>
      <w:r w:rsidR="00BB4B61">
        <w:rPr>
          <w:noProof/>
        </w:rPr>
        <w:t> </w:t>
      </w:r>
      <w:r w:rsidR="005A44DE" w:rsidRPr="00BB4B61">
        <w:rPr>
          <w:noProof/>
        </w:rPr>
        <w:t>15 of the Convention)</w:t>
      </w:r>
      <w:r w:rsidR="00CE5BF3">
        <w:rPr>
          <w:noProof/>
        </w:rPr>
        <w:t xml:space="preserve">; </w:t>
      </w:r>
      <w:r w:rsidR="005A44DE" w:rsidRPr="00BB4B61">
        <w:rPr>
          <w:noProof/>
        </w:rPr>
        <w:t xml:space="preserve"> </w:t>
      </w:r>
      <w:r w:rsidR="005D4BEC">
        <w:rPr>
          <w:noProof/>
        </w:rPr>
        <w:t xml:space="preserve">ensure that victims have </w:t>
      </w:r>
      <w:r w:rsidR="008E006F">
        <w:rPr>
          <w:noProof/>
        </w:rPr>
        <w:t xml:space="preserve">access </w:t>
      </w:r>
      <w:r w:rsidR="00A72BA4">
        <w:rPr>
          <w:noProof/>
        </w:rPr>
        <w:t xml:space="preserve">to </w:t>
      </w:r>
      <w:r w:rsidR="00026239">
        <w:rPr>
          <w:noProof/>
        </w:rPr>
        <w:t xml:space="preserve">support services including </w:t>
      </w:r>
      <w:r w:rsidR="00A72BA4">
        <w:rPr>
          <w:noProof/>
        </w:rPr>
        <w:t>housing</w:t>
      </w:r>
      <w:r w:rsidR="008E006F">
        <w:rPr>
          <w:noProof/>
        </w:rPr>
        <w:t xml:space="preserve"> and</w:t>
      </w:r>
      <w:r w:rsidR="00581211">
        <w:rPr>
          <w:noProof/>
        </w:rPr>
        <w:t xml:space="preserve"> </w:t>
      </w:r>
      <w:r w:rsidR="00FE4AFB">
        <w:rPr>
          <w:noProof/>
        </w:rPr>
        <w:t>the issuance of forensic reports</w:t>
      </w:r>
      <w:r w:rsidR="00CF54A9">
        <w:rPr>
          <w:noProof/>
        </w:rPr>
        <w:t xml:space="preserve"> documenting injuries</w:t>
      </w:r>
      <w:r w:rsidR="00FE1463">
        <w:rPr>
          <w:noProof/>
        </w:rPr>
        <w:t>;</w:t>
      </w:r>
      <w:r w:rsidR="00CF54A9">
        <w:rPr>
          <w:noProof/>
        </w:rPr>
        <w:t xml:space="preserve"> </w:t>
      </w:r>
      <w:r w:rsidR="005A44DE" w:rsidRPr="00BB4B61">
        <w:rPr>
          <w:noProof/>
        </w:rPr>
        <w:t xml:space="preserve">ensure that places </w:t>
      </w:r>
      <w:r w:rsidR="00CE5BF3">
        <w:rPr>
          <w:noProof/>
        </w:rPr>
        <w:t xml:space="preserve">in shelters </w:t>
      </w:r>
      <w:r w:rsidR="005A44DE" w:rsidRPr="00BB4B61">
        <w:rPr>
          <w:noProof/>
        </w:rPr>
        <w:t>are available in sufficient numbers across the country (Article</w:t>
      </w:r>
      <w:r w:rsidR="00BB4B61">
        <w:rPr>
          <w:noProof/>
        </w:rPr>
        <w:t> </w:t>
      </w:r>
      <w:r w:rsidR="005A44DE" w:rsidRPr="00BB4B61">
        <w:rPr>
          <w:noProof/>
        </w:rPr>
        <w:t>22 of the Convention)</w:t>
      </w:r>
      <w:r w:rsidR="00CE5BF3">
        <w:rPr>
          <w:noProof/>
        </w:rPr>
        <w:t xml:space="preserve">; </w:t>
      </w:r>
      <w:r w:rsidR="005A44DE" w:rsidRPr="00BB4B61">
        <w:rPr>
          <w:noProof/>
        </w:rPr>
        <w:t xml:space="preserve"> set up sexual violence referral centres </w:t>
      </w:r>
      <w:r w:rsidR="00CE5BF3">
        <w:rPr>
          <w:noProof/>
        </w:rPr>
        <w:t xml:space="preserve"> across the country</w:t>
      </w:r>
      <w:r w:rsidR="00665B4B">
        <w:rPr>
          <w:noProof/>
        </w:rPr>
        <w:t xml:space="preserve"> and ensure </w:t>
      </w:r>
      <w:r w:rsidR="00581BEC">
        <w:rPr>
          <w:noProof/>
        </w:rPr>
        <w:t>e</w:t>
      </w:r>
      <w:r w:rsidR="00762CD2">
        <w:rPr>
          <w:noProof/>
        </w:rPr>
        <w:t xml:space="preserve">ffective support to </w:t>
      </w:r>
      <w:r w:rsidR="00665B4B">
        <w:rPr>
          <w:noProof/>
        </w:rPr>
        <w:t xml:space="preserve">victims of sexual violence </w:t>
      </w:r>
      <w:r w:rsidR="005A44DE" w:rsidRPr="00BB4B61">
        <w:rPr>
          <w:noProof/>
        </w:rPr>
        <w:t xml:space="preserve"> (Article</w:t>
      </w:r>
      <w:r w:rsidR="00BB4B61">
        <w:rPr>
          <w:noProof/>
        </w:rPr>
        <w:t> </w:t>
      </w:r>
      <w:r w:rsidR="005A44DE" w:rsidRPr="00BB4B61">
        <w:rPr>
          <w:noProof/>
        </w:rPr>
        <w:t xml:space="preserve">25 of the </w:t>
      </w:r>
      <w:r w:rsidR="002E4EBA">
        <w:rPr>
          <w:noProof/>
        </w:rPr>
        <w:t>C</w:t>
      </w:r>
      <w:r w:rsidR="002E4EBA" w:rsidRPr="00BB4B61">
        <w:rPr>
          <w:noProof/>
        </w:rPr>
        <w:t>onvention</w:t>
      </w:r>
      <w:r w:rsidR="005A44DE" w:rsidRPr="00BB4B61">
        <w:rPr>
          <w:noProof/>
        </w:rPr>
        <w:t>)</w:t>
      </w:r>
      <w:r w:rsidR="00CE5BF3">
        <w:rPr>
          <w:noProof/>
        </w:rPr>
        <w:t xml:space="preserve">; </w:t>
      </w:r>
      <w:r w:rsidR="005A44DE" w:rsidRPr="00BB4B61">
        <w:rPr>
          <w:noProof/>
        </w:rPr>
        <w:t xml:space="preserve"> to reinforce information sharing between relevant competent authorities in cases concerning child custody and visitation rights (Article</w:t>
      </w:r>
      <w:r w:rsidR="00BB4B61">
        <w:rPr>
          <w:noProof/>
        </w:rPr>
        <w:t> </w:t>
      </w:r>
      <w:r w:rsidR="005A44DE" w:rsidRPr="00BB4B61">
        <w:rPr>
          <w:noProof/>
        </w:rPr>
        <w:t>31 of the Convention)</w:t>
      </w:r>
      <w:r w:rsidR="00CE5BF3">
        <w:rPr>
          <w:noProof/>
        </w:rPr>
        <w:t>;</w:t>
      </w:r>
      <w:r w:rsidR="0083639B" w:rsidRPr="00BB4B61">
        <w:rPr>
          <w:noProof/>
        </w:rPr>
        <w:t xml:space="preserve"> </w:t>
      </w:r>
      <w:r w:rsidR="00181C5E" w:rsidRPr="00BB4B61">
        <w:rPr>
          <w:noProof/>
        </w:rPr>
        <w:t>and</w:t>
      </w:r>
      <w:r w:rsidR="005A44DE" w:rsidRPr="00BB4B61">
        <w:rPr>
          <w:noProof/>
        </w:rPr>
        <w:t xml:space="preserve">  ensure the use of protection orders and avoid gaps between barring orders and protection orders (Articles 53 of the Convention). As the recommendations on these matters are in line with the Union’s policies and objectives in the area of judicial cooperation in criminal matters and do not raise any concerns with respect to Union law, the position of the Union should be to not object to the adoption of the recommendation addressed to Austria.</w:t>
      </w:r>
    </w:p>
    <w:p w:rsidR="005A44DE" w:rsidRPr="00BB4B61" w:rsidRDefault="00910FBB" w:rsidP="00910FBB">
      <w:pPr>
        <w:pStyle w:val="ManualConsidrant"/>
        <w:rPr>
          <w:noProof/>
        </w:rPr>
      </w:pPr>
      <w:r w:rsidRPr="00910FBB">
        <w:rPr>
          <w:noProof/>
        </w:rPr>
        <w:t>(10)</w:t>
      </w:r>
      <w:r w:rsidRPr="00910FBB">
        <w:rPr>
          <w:noProof/>
        </w:rPr>
        <w:tab/>
      </w:r>
      <w:r w:rsidR="005A44DE" w:rsidRPr="00BB4B61">
        <w:rPr>
          <w:noProof/>
        </w:rPr>
        <w:t xml:space="preserve">As regards Denmark, the draft recommendation on its implementation of the Convention </w:t>
      </w:r>
      <w:r w:rsidR="00ED1721" w:rsidRPr="00BB4B61">
        <w:rPr>
          <w:noProof/>
        </w:rPr>
        <w:t xml:space="preserve">includes the need to </w:t>
      </w:r>
      <w:r w:rsidR="00E5372F">
        <w:rPr>
          <w:noProof/>
        </w:rPr>
        <w:t xml:space="preserve"> </w:t>
      </w:r>
      <w:r w:rsidR="00200767" w:rsidRPr="00BB4B61">
        <w:rPr>
          <w:noProof/>
        </w:rPr>
        <w:t>ensure that</w:t>
      </w:r>
      <w:r w:rsidR="0009517C" w:rsidRPr="00BB4B61">
        <w:rPr>
          <w:noProof/>
        </w:rPr>
        <w:t xml:space="preserve"> relevant definitions of forms of violence against women </w:t>
      </w:r>
      <w:r w:rsidR="00ED2D44" w:rsidRPr="00BB4B61">
        <w:rPr>
          <w:noProof/>
        </w:rPr>
        <w:t>align</w:t>
      </w:r>
      <w:r w:rsidR="00200767" w:rsidRPr="00BB4B61">
        <w:rPr>
          <w:noProof/>
        </w:rPr>
        <w:t xml:space="preserve"> </w:t>
      </w:r>
      <w:r w:rsidR="00171B6F" w:rsidRPr="00BB4B61">
        <w:rPr>
          <w:noProof/>
        </w:rPr>
        <w:t>with</w:t>
      </w:r>
      <w:r w:rsidR="00200767" w:rsidRPr="00BB4B61">
        <w:rPr>
          <w:noProof/>
        </w:rPr>
        <w:t xml:space="preserve"> </w:t>
      </w:r>
      <w:r w:rsidR="00171B6F" w:rsidRPr="00BB4B61">
        <w:rPr>
          <w:noProof/>
        </w:rPr>
        <w:t xml:space="preserve">the </w:t>
      </w:r>
      <w:r w:rsidR="00200767" w:rsidRPr="00BB4B61">
        <w:rPr>
          <w:noProof/>
        </w:rPr>
        <w:t>Convention</w:t>
      </w:r>
      <w:r w:rsidR="00ED1721" w:rsidRPr="00BB4B61">
        <w:rPr>
          <w:noProof/>
        </w:rPr>
        <w:t xml:space="preserve"> (Article</w:t>
      </w:r>
      <w:r w:rsidR="00BB4B61">
        <w:rPr>
          <w:noProof/>
        </w:rPr>
        <w:t> </w:t>
      </w:r>
      <w:r w:rsidR="00ED1721" w:rsidRPr="00BB4B61">
        <w:rPr>
          <w:noProof/>
        </w:rPr>
        <w:t>3 of the Convention)</w:t>
      </w:r>
      <w:r w:rsidR="00E5372F">
        <w:rPr>
          <w:noProof/>
        </w:rPr>
        <w:t>;</w:t>
      </w:r>
      <w:r w:rsidR="00071CEB" w:rsidRPr="00BB4B61">
        <w:rPr>
          <w:rFonts w:eastAsia="Times New Roman"/>
          <w:noProof/>
        </w:rPr>
        <w:t xml:space="preserve"> </w:t>
      </w:r>
      <w:r w:rsidR="00795D9C">
        <w:rPr>
          <w:rFonts w:eastAsia="Times New Roman"/>
          <w:noProof/>
        </w:rPr>
        <w:t xml:space="preserve"> </w:t>
      </w:r>
      <w:r w:rsidR="003848EA" w:rsidRPr="00BB4B61">
        <w:rPr>
          <w:rFonts w:eastAsia="Times New Roman"/>
          <w:noProof/>
        </w:rPr>
        <w:t>develop a long-term national strategy in line wit</w:t>
      </w:r>
      <w:r w:rsidR="00A47FB3" w:rsidRPr="00BB4B61">
        <w:rPr>
          <w:rFonts w:eastAsia="Times New Roman"/>
          <w:noProof/>
        </w:rPr>
        <w:t>h</w:t>
      </w:r>
      <w:r w:rsidR="003848EA" w:rsidRPr="00BB4B61">
        <w:rPr>
          <w:rFonts w:eastAsia="Times New Roman"/>
          <w:noProof/>
        </w:rPr>
        <w:t xml:space="preserve"> the </w:t>
      </w:r>
      <w:r w:rsidR="00A47FB3" w:rsidRPr="00BB4B61">
        <w:rPr>
          <w:rFonts w:eastAsia="Times New Roman"/>
          <w:noProof/>
        </w:rPr>
        <w:t>C</w:t>
      </w:r>
      <w:r w:rsidR="003848EA" w:rsidRPr="00BB4B61">
        <w:rPr>
          <w:rFonts w:eastAsia="Times New Roman"/>
          <w:noProof/>
        </w:rPr>
        <w:t>onvention</w:t>
      </w:r>
      <w:r w:rsidR="00A47FB3" w:rsidRPr="00BB4B61">
        <w:rPr>
          <w:rFonts w:eastAsia="Times New Roman"/>
          <w:noProof/>
        </w:rPr>
        <w:t xml:space="preserve"> (Article</w:t>
      </w:r>
      <w:r w:rsidR="00BB4B61">
        <w:rPr>
          <w:rFonts w:eastAsia="Times New Roman"/>
          <w:noProof/>
        </w:rPr>
        <w:t> </w:t>
      </w:r>
      <w:r w:rsidR="00A47FB3" w:rsidRPr="00BB4B61">
        <w:rPr>
          <w:rFonts w:eastAsia="Times New Roman"/>
          <w:noProof/>
        </w:rPr>
        <w:t>7 of the Convention)</w:t>
      </w:r>
      <w:r w:rsidR="00795D9C">
        <w:rPr>
          <w:rFonts w:eastAsia="Times New Roman"/>
          <w:noProof/>
        </w:rPr>
        <w:t xml:space="preserve">; </w:t>
      </w:r>
      <w:r w:rsidR="00342D87" w:rsidRPr="00BB4B61">
        <w:rPr>
          <w:rFonts w:eastAsia="Times New Roman"/>
          <w:noProof/>
        </w:rPr>
        <w:t xml:space="preserve"> ensure appropriate allocation of fund</w:t>
      </w:r>
      <w:r w:rsidR="000E4371" w:rsidRPr="00BB4B61">
        <w:rPr>
          <w:rFonts w:eastAsia="Times New Roman"/>
          <w:noProof/>
        </w:rPr>
        <w:t>s</w:t>
      </w:r>
      <w:r w:rsidR="00342D87" w:rsidRPr="00BB4B61">
        <w:rPr>
          <w:rFonts w:eastAsia="Times New Roman"/>
          <w:noProof/>
        </w:rPr>
        <w:t>, including resources for domestic violence shelters</w:t>
      </w:r>
      <w:r w:rsidR="00342D87" w:rsidRPr="00BB4B61">
        <w:rPr>
          <w:rFonts w:eastAsia="Times New Roman"/>
          <w:b/>
          <w:bCs/>
          <w:noProof/>
        </w:rPr>
        <w:t xml:space="preserve"> </w:t>
      </w:r>
      <w:r w:rsidR="00F32783" w:rsidRPr="00BB4B61">
        <w:rPr>
          <w:rFonts w:eastAsia="Times New Roman"/>
          <w:noProof/>
        </w:rPr>
        <w:t>(Article</w:t>
      </w:r>
      <w:r w:rsidR="00BB4B61">
        <w:rPr>
          <w:rFonts w:eastAsia="Times New Roman"/>
          <w:noProof/>
        </w:rPr>
        <w:t> </w:t>
      </w:r>
      <w:r w:rsidR="00F32783" w:rsidRPr="00BB4B61">
        <w:rPr>
          <w:rFonts w:eastAsia="Times New Roman"/>
          <w:noProof/>
        </w:rPr>
        <w:t>8 of the Convention</w:t>
      </w:r>
      <w:r w:rsidR="00071CEB" w:rsidRPr="00BB4B61">
        <w:rPr>
          <w:rFonts w:eastAsia="Times New Roman"/>
          <w:noProof/>
        </w:rPr>
        <w:t>)</w:t>
      </w:r>
      <w:r w:rsidR="00795D9C">
        <w:rPr>
          <w:rFonts w:eastAsia="Times New Roman"/>
          <w:noProof/>
        </w:rPr>
        <w:t xml:space="preserve">; </w:t>
      </w:r>
      <w:r w:rsidR="00F32783" w:rsidRPr="00BB4B61">
        <w:rPr>
          <w:rFonts w:eastAsia="Times New Roman"/>
          <w:noProof/>
        </w:rPr>
        <w:t xml:space="preserve"> ensure </w:t>
      </w:r>
      <w:r w:rsidR="00777069" w:rsidRPr="00BB4B61">
        <w:rPr>
          <w:rFonts w:eastAsia="Times New Roman"/>
          <w:noProof/>
        </w:rPr>
        <w:t>that data</w:t>
      </w:r>
      <w:r w:rsidR="00B82416" w:rsidRPr="00BB4B61">
        <w:rPr>
          <w:rFonts w:eastAsia="Times New Roman"/>
          <w:noProof/>
        </w:rPr>
        <w:t xml:space="preserve"> collect</w:t>
      </w:r>
      <w:r w:rsidR="00BC7299" w:rsidRPr="00BB4B61">
        <w:rPr>
          <w:rFonts w:eastAsia="Times New Roman"/>
          <w:noProof/>
        </w:rPr>
        <w:t xml:space="preserve">ed </w:t>
      </w:r>
      <w:r w:rsidR="00CC444B" w:rsidRPr="00BB4B61">
        <w:rPr>
          <w:rFonts w:eastAsia="Times New Roman"/>
          <w:noProof/>
        </w:rPr>
        <w:t xml:space="preserve">is </w:t>
      </w:r>
      <w:r w:rsidR="007D66E6" w:rsidRPr="00BB4B61">
        <w:rPr>
          <w:rFonts w:eastAsia="Times New Roman"/>
          <w:noProof/>
        </w:rPr>
        <w:t xml:space="preserve">disaggregated </w:t>
      </w:r>
      <w:r w:rsidR="00744B4D" w:rsidRPr="00BB4B61">
        <w:rPr>
          <w:rFonts w:eastAsia="Times New Roman"/>
          <w:noProof/>
        </w:rPr>
        <w:t xml:space="preserve">and confidentiality </w:t>
      </w:r>
      <w:r w:rsidR="00795D9C">
        <w:rPr>
          <w:rFonts w:eastAsia="Times New Roman"/>
          <w:noProof/>
        </w:rPr>
        <w:t xml:space="preserve">is guaranteed </w:t>
      </w:r>
      <w:r w:rsidR="00744B4D" w:rsidRPr="00BB4B61">
        <w:rPr>
          <w:rFonts w:eastAsia="Times New Roman"/>
          <w:noProof/>
        </w:rPr>
        <w:t>(Article</w:t>
      </w:r>
      <w:r w:rsidR="00BB4B61">
        <w:rPr>
          <w:rFonts w:eastAsia="Times New Roman"/>
          <w:noProof/>
        </w:rPr>
        <w:t> </w:t>
      </w:r>
      <w:r w:rsidR="00744B4D" w:rsidRPr="00BB4B61">
        <w:rPr>
          <w:rFonts w:eastAsia="Times New Roman"/>
          <w:noProof/>
        </w:rPr>
        <w:t>11 of the Convention)</w:t>
      </w:r>
      <w:r w:rsidR="00795D9C">
        <w:rPr>
          <w:rFonts w:eastAsia="Times New Roman"/>
          <w:noProof/>
        </w:rPr>
        <w:t xml:space="preserve">; </w:t>
      </w:r>
      <w:r w:rsidR="002944B5" w:rsidRPr="00BB4B61">
        <w:rPr>
          <w:rFonts w:eastAsia="Times New Roman"/>
          <w:noProof/>
        </w:rPr>
        <w:t xml:space="preserve"> prioritise a gender-sensitive approach </w:t>
      </w:r>
      <w:r w:rsidR="00E55B3D" w:rsidRPr="00BB4B61">
        <w:rPr>
          <w:rFonts w:eastAsia="Times New Roman"/>
          <w:noProof/>
        </w:rPr>
        <w:t>in preventive initiatives (Article</w:t>
      </w:r>
      <w:r w:rsidR="00BB4B61">
        <w:rPr>
          <w:rFonts w:eastAsia="Times New Roman"/>
          <w:noProof/>
        </w:rPr>
        <w:t> </w:t>
      </w:r>
      <w:r w:rsidR="00E55B3D" w:rsidRPr="00BB4B61">
        <w:rPr>
          <w:rFonts w:eastAsia="Times New Roman"/>
          <w:noProof/>
        </w:rPr>
        <w:t>12 of the Convention)</w:t>
      </w:r>
      <w:r w:rsidR="007F1879">
        <w:rPr>
          <w:rFonts w:eastAsia="Times New Roman"/>
          <w:noProof/>
        </w:rPr>
        <w:t>;</w:t>
      </w:r>
      <w:r w:rsidR="006C32E3" w:rsidRPr="00BB4B61">
        <w:rPr>
          <w:rFonts w:eastAsia="Times New Roman"/>
          <w:noProof/>
        </w:rPr>
        <w:t xml:space="preserve"> ensure the provision of </w:t>
      </w:r>
      <w:r w:rsidR="00BD561C" w:rsidRPr="00BB4B61">
        <w:rPr>
          <w:rFonts w:eastAsia="Times New Roman"/>
          <w:noProof/>
        </w:rPr>
        <w:t xml:space="preserve">systematic </w:t>
      </w:r>
      <w:r w:rsidR="00AB0853" w:rsidRPr="00BB4B61">
        <w:rPr>
          <w:rFonts w:eastAsia="Times New Roman"/>
          <w:noProof/>
        </w:rPr>
        <w:t>initial and</w:t>
      </w:r>
      <w:r w:rsidR="00C925F7" w:rsidRPr="00BB4B61">
        <w:rPr>
          <w:rFonts w:eastAsia="Times New Roman"/>
          <w:noProof/>
        </w:rPr>
        <w:t xml:space="preserve"> in-service </w:t>
      </w:r>
      <w:r w:rsidR="00BD561C" w:rsidRPr="00BB4B61">
        <w:rPr>
          <w:rFonts w:eastAsia="Times New Roman"/>
          <w:noProof/>
        </w:rPr>
        <w:t xml:space="preserve">training </w:t>
      </w:r>
      <w:r w:rsidR="00FC35D8" w:rsidRPr="00BB4B61">
        <w:rPr>
          <w:rFonts w:eastAsia="Times New Roman"/>
          <w:noProof/>
        </w:rPr>
        <w:t>for relevant p</w:t>
      </w:r>
      <w:r w:rsidR="0089269C" w:rsidRPr="00BB4B61">
        <w:rPr>
          <w:rFonts w:eastAsia="Times New Roman"/>
          <w:noProof/>
        </w:rPr>
        <w:t>rofessionals</w:t>
      </w:r>
      <w:r w:rsidR="00556148" w:rsidRPr="00BB4B61">
        <w:rPr>
          <w:rFonts w:eastAsia="Times New Roman"/>
          <w:noProof/>
        </w:rPr>
        <w:t xml:space="preserve"> (Article</w:t>
      </w:r>
      <w:r w:rsidR="00BB4B61">
        <w:rPr>
          <w:rFonts w:eastAsia="Times New Roman"/>
          <w:noProof/>
        </w:rPr>
        <w:t> </w:t>
      </w:r>
      <w:r w:rsidR="00556148" w:rsidRPr="00BB4B61">
        <w:rPr>
          <w:rFonts w:eastAsia="Times New Roman"/>
          <w:noProof/>
        </w:rPr>
        <w:t>15</w:t>
      </w:r>
      <w:r w:rsidR="009862E8" w:rsidRPr="00BB4B61">
        <w:rPr>
          <w:rFonts w:eastAsia="Times New Roman"/>
          <w:noProof/>
        </w:rPr>
        <w:t xml:space="preserve"> of the Convention)</w:t>
      </w:r>
      <w:r w:rsidR="004045AD">
        <w:rPr>
          <w:rFonts w:eastAsia="Times New Roman"/>
          <w:noProof/>
        </w:rPr>
        <w:t xml:space="preserve">; </w:t>
      </w:r>
      <w:r w:rsidR="0058404E" w:rsidRPr="00BB4B61">
        <w:rPr>
          <w:rFonts w:eastAsia="Times New Roman"/>
          <w:noProof/>
        </w:rPr>
        <w:t xml:space="preserve"> set-up </w:t>
      </w:r>
      <w:r w:rsidR="00525B5F" w:rsidRPr="00BB4B61">
        <w:rPr>
          <w:rFonts w:eastAsia="Times New Roman"/>
          <w:noProof/>
        </w:rPr>
        <w:t>institutionalised</w:t>
      </w:r>
      <w:r w:rsidR="00FB5EEC" w:rsidRPr="00BB4B61">
        <w:rPr>
          <w:rFonts w:eastAsia="Times New Roman"/>
          <w:noProof/>
        </w:rPr>
        <w:t xml:space="preserve"> structures for cooperation to ensure effective multi-agency cooperation</w:t>
      </w:r>
      <w:r w:rsidR="00525B5F" w:rsidRPr="00BB4B61">
        <w:rPr>
          <w:rFonts w:eastAsia="Times New Roman"/>
          <w:noProof/>
        </w:rPr>
        <w:t xml:space="preserve"> (Article</w:t>
      </w:r>
      <w:r w:rsidR="00BB4B61">
        <w:rPr>
          <w:rFonts w:eastAsia="Times New Roman"/>
          <w:noProof/>
        </w:rPr>
        <w:t> </w:t>
      </w:r>
      <w:r w:rsidR="00525B5F" w:rsidRPr="00BB4B61">
        <w:rPr>
          <w:rFonts w:eastAsia="Times New Roman"/>
          <w:noProof/>
        </w:rPr>
        <w:t>18 of the Convention)</w:t>
      </w:r>
      <w:r w:rsidR="004045AD">
        <w:rPr>
          <w:rFonts w:eastAsia="Times New Roman"/>
          <w:noProof/>
        </w:rPr>
        <w:t xml:space="preserve">; </w:t>
      </w:r>
      <w:r w:rsidR="002303E8" w:rsidRPr="00BB4B61">
        <w:rPr>
          <w:rFonts w:eastAsia="Times New Roman"/>
          <w:noProof/>
        </w:rPr>
        <w:t xml:space="preserve"> ensure </w:t>
      </w:r>
      <w:r w:rsidR="00B4350E">
        <w:rPr>
          <w:rFonts w:eastAsia="Times New Roman"/>
          <w:noProof/>
        </w:rPr>
        <w:t xml:space="preserve">access to </w:t>
      </w:r>
      <w:r w:rsidR="00414971">
        <w:rPr>
          <w:rFonts w:eastAsia="Times New Roman"/>
          <w:noProof/>
        </w:rPr>
        <w:t>psychologica</w:t>
      </w:r>
      <w:r w:rsidR="005E2C81">
        <w:rPr>
          <w:rFonts w:eastAsia="Times New Roman"/>
          <w:noProof/>
        </w:rPr>
        <w:t>l</w:t>
      </w:r>
      <w:r w:rsidR="00414971">
        <w:rPr>
          <w:rFonts w:eastAsia="Times New Roman"/>
          <w:noProof/>
        </w:rPr>
        <w:t xml:space="preserve"> </w:t>
      </w:r>
      <w:r w:rsidR="00B4350E">
        <w:rPr>
          <w:rFonts w:eastAsia="Times New Roman"/>
          <w:noProof/>
        </w:rPr>
        <w:t>counselling</w:t>
      </w:r>
      <w:r w:rsidR="007E4008">
        <w:rPr>
          <w:rFonts w:eastAsia="Times New Roman"/>
          <w:noProof/>
        </w:rPr>
        <w:t xml:space="preserve">, </w:t>
      </w:r>
      <w:r w:rsidR="002303E8" w:rsidRPr="00BB4B61">
        <w:rPr>
          <w:rFonts w:eastAsia="Times New Roman"/>
          <w:noProof/>
        </w:rPr>
        <w:t>quality standard</w:t>
      </w:r>
      <w:r w:rsidR="00F024B4" w:rsidRPr="00BB4B61">
        <w:rPr>
          <w:rFonts w:eastAsia="Times New Roman"/>
          <w:noProof/>
        </w:rPr>
        <w:t>s, accessibility</w:t>
      </w:r>
      <w:r w:rsidR="002303E8" w:rsidRPr="00BB4B61">
        <w:rPr>
          <w:rFonts w:eastAsia="Times New Roman"/>
          <w:noProof/>
        </w:rPr>
        <w:t xml:space="preserve"> and financial sustainability for shelters</w:t>
      </w:r>
      <w:r w:rsidR="00F024B4" w:rsidRPr="00BB4B61">
        <w:rPr>
          <w:rFonts w:eastAsia="Times New Roman"/>
          <w:noProof/>
        </w:rPr>
        <w:t xml:space="preserve">, and to </w:t>
      </w:r>
      <w:r w:rsidR="00CE3CC4" w:rsidRPr="00BB4B61">
        <w:rPr>
          <w:rFonts w:eastAsia="Times New Roman"/>
          <w:noProof/>
        </w:rPr>
        <w:t>ensure</w:t>
      </w:r>
      <w:r w:rsidR="00A20104" w:rsidRPr="00BB4B61">
        <w:rPr>
          <w:rFonts w:eastAsia="Times New Roman"/>
          <w:noProof/>
        </w:rPr>
        <w:t xml:space="preserve"> necessary</w:t>
      </w:r>
      <w:r w:rsidR="00CE3CC4" w:rsidRPr="00BB4B61">
        <w:rPr>
          <w:rFonts w:eastAsia="Times New Roman"/>
          <w:noProof/>
        </w:rPr>
        <w:t xml:space="preserve"> </w:t>
      </w:r>
      <w:r w:rsidR="00AF545D" w:rsidRPr="00BB4B61">
        <w:rPr>
          <w:rFonts w:eastAsia="Times New Roman"/>
          <w:noProof/>
        </w:rPr>
        <w:t>support for</w:t>
      </w:r>
      <w:r w:rsidR="00A20104" w:rsidRPr="00BB4B61">
        <w:rPr>
          <w:rFonts w:eastAsia="Times New Roman"/>
          <w:noProof/>
        </w:rPr>
        <w:t xml:space="preserve"> victims of sexual violence (Articles 22 and 25 of the Convention)</w:t>
      </w:r>
      <w:r w:rsidR="004045AD">
        <w:rPr>
          <w:rFonts w:eastAsia="Times New Roman"/>
          <w:noProof/>
        </w:rPr>
        <w:t xml:space="preserve">; </w:t>
      </w:r>
      <w:r w:rsidR="001B4C7D" w:rsidRPr="00BB4B61">
        <w:rPr>
          <w:rFonts w:eastAsia="Times New Roman"/>
          <w:noProof/>
        </w:rPr>
        <w:t xml:space="preserve"> raise awareness </w:t>
      </w:r>
      <w:r w:rsidR="00C273EF" w:rsidRPr="00BB4B61">
        <w:rPr>
          <w:rFonts w:eastAsia="Times New Roman"/>
          <w:noProof/>
        </w:rPr>
        <w:t xml:space="preserve">among </w:t>
      </w:r>
      <w:r w:rsidR="00923FF4" w:rsidRPr="00BB4B61">
        <w:rPr>
          <w:rFonts w:eastAsia="Times New Roman"/>
          <w:noProof/>
        </w:rPr>
        <w:t>criminal justice</w:t>
      </w:r>
      <w:r w:rsidR="00005A19" w:rsidRPr="00BB4B61">
        <w:rPr>
          <w:rFonts w:eastAsia="Times New Roman"/>
          <w:noProof/>
        </w:rPr>
        <w:t xml:space="preserve"> actors</w:t>
      </w:r>
      <w:r w:rsidR="00B05258" w:rsidRPr="00BB4B61">
        <w:rPr>
          <w:rFonts w:eastAsia="Times New Roman"/>
          <w:noProof/>
        </w:rPr>
        <w:t xml:space="preserve"> </w:t>
      </w:r>
      <w:r w:rsidR="001B4C7D" w:rsidRPr="00BB4B61">
        <w:rPr>
          <w:rFonts w:eastAsia="Times New Roman"/>
          <w:noProof/>
        </w:rPr>
        <w:t xml:space="preserve">about new </w:t>
      </w:r>
      <w:r w:rsidR="00740591" w:rsidRPr="00BB4B61">
        <w:rPr>
          <w:rFonts w:eastAsia="Times New Roman"/>
          <w:noProof/>
        </w:rPr>
        <w:t xml:space="preserve">criminal </w:t>
      </w:r>
      <w:r w:rsidR="001B4C7D" w:rsidRPr="00BB4B61">
        <w:rPr>
          <w:rFonts w:eastAsia="Times New Roman"/>
          <w:noProof/>
        </w:rPr>
        <w:t>legislation</w:t>
      </w:r>
      <w:r w:rsidR="00740591" w:rsidRPr="00BB4B61">
        <w:rPr>
          <w:rFonts w:eastAsia="Times New Roman"/>
          <w:noProof/>
        </w:rPr>
        <w:t xml:space="preserve"> (Articles 49 and 50 of the Convention)</w:t>
      </w:r>
      <w:r w:rsidR="004045AD">
        <w:rPr>
          <w:rFonts w:eastAsia="Times New Roman"/>
          <w:noProof/>
        </w:rPr>
        <w:t xml:space="preserve">; </w:t>
      </w:r>
      <w:r w:rsidR="00BC1956" w:rsidRPr="00BB4B61">
        <w:rPr>
          <w:rFonts w:eastAsia="Times New Roman"/>
          <w:noProof/>
        </w:rPr>
        <w:t xml:space="preserve"> ensure that risk assessment </w:t>
      </w:r>
      <w:r w:rsidR="00F114DC" w:rsidRPr="00BB4B61">
        <w:rPr>
          <w:rFonts w:eastAsia="Times New Roman"/>
          <w:noProof/>
        </w:rPr>
        <w:t>is c</w:t>
      </w:r>
      <w:r w:rsidR="000161AF" w:rsidRPr="00BB4B61">
        <w:rPr>
          <w:rFonts w:eastAsia="Times New Roman"/>
          <w:noProof/>
        </w:rPr>
        <w:t>onducted in coordination with relevant a</w:t>
      </w:r>
      <w:r w:rsidR="00256B61" w:rsidRPr="00BB4B61">
        <w:rPr>
          <w:rFonts w:eastAsia="Times New Roman"/>
          <w:noProof/>
        </w:rPr>
        <w:t>ctors</w:t>
      </w:r>
      <w:r w:rsidR="00F41C5C" w:rsidRPr="00BB4B61">
        <w:rPr>
          <w:rFonts w:eastAsia="Times New Roman"/>
          <w:noProof/>
        </w:rPr>
        <w:t xml:space="preserve"> (Article</w:t>
      </w:r>
      <w:r w:rsidR="00BB4B61">
        <w:rPr>
          <w:rFonts w:eastAsia="Times New Roman"/>
          <w:noProof/>
        </w:rPr>
        <w:t> </w:t>
      </w:r>
      <w:r w:rsidR="00F41C5C" w:rsidRPr="00BB4B61">
        <w:rPr>
          <w:rFonts w:eastAsia="Times New Roman"/>
          <w:noProof/>
        </w:rPr>
        <w:t>51 of the Convention)</w:t>
      </w:r>
      <w:r w:rsidR="004045AD">
        <w:rPr>
          <w:rFonts w:eastAsia="Times New Roman"/>
          <w:noProof/>
        </w:rPr>
        <w:t xml:space="preserve">; </w:t>
      </w:r>
      <w:r w:rsidR="00FB30FE" w:rsidRPr="00BB4B61">
        <w:rPr>
          <w:rFonts w:eastAsia="Times New Roman"/>
          <w:noProof/>
        </w:rPr>
        <w:t xml:space="preserve"> increase the use of </w:t>
      </w:r>
      <w:r w:rsidR="00301E52" w:rsidRPr="00BB4B61">
        <w:rPr>
          <w:rFonts w:eastAsia="Times New Roman"/>
          <w:noProof/>
        </w:rPr>
        <w:t>emergency barring orders and protection orders</w:t>
      </w:r>
      <w:r w:rsidR="006074E1" w:rsidRPr="00BB4B61">
        <w:rPr>
          <w:rFonts w:eastAsia="Times New Roman"/>
          <w:noProof/>
        </w:rPr>
        <w:t xml:space="preserve"> to monitor</w:t>
      </w:r>
      <w:r w:rsidR="00C02727" w:rsidRPr="00BB4B61">
        <w:rPr>
          <w:rFonts w:eastAsia="Times New Roman"/>
          <w:noProof/>
        </w:rPr>
        <w:t xml:space="preserve"> compliance </w:t>
      </w:r>
      <w:r w:rsidR="004045AD">
        <w:rPr>
          <w:rFonts w:eastAsia="Times New Roman"/>
          <w:noProof/>
        </w:rPr>
        <w:t xml:space="preserve">ratings </w:t>
      </w:r>
      <w:r w:rsidR="00C02727" w:rsidRPr="00BB4B61">
        <w:rPr>
          <w:rFonts w:eastAsia="Times New Roman"/>
          <w:noProof/>
        </w:rPr>
        <w:t>and</w:t>
      </w:r>
      <w:r w:rsidR="00AD4B48" w:rsidRPr="00BB4B61">
        <w:rPr>
          <w:rFonts w:eastAsia="Times New Roman"/>
          <w:noProof/>
        </w:rPr>
        <w:t xml:space="preserve"> ensure sanctions in case of breach (Articles 52 and 53 of the Convention)</w:t>
      </w:r>
      <w:r w:rsidR="004045AD">
        <w:rPr>
          <w:rFonts w:eastAsia="Times New Roman"/>
          <w:noProof/>
        </w:rPr>
        <w:t>;</w:t>
      </w:r>
      <w:r w:rsidR="004C71C3" w:rsidRPr="00BB4B61">
        <w:rPr>
          <w:rFonts w:eastAsia="Times New Roman"/>
          <w:noProof/>
        </w:rPr>
        <w:t xml:space="preserve"> and </w:t>
      </w:r>
      <w:r w:rsidR="00C13516" w:rsidRPr="00BB4B61">
        <w:rPr>
          <w:rFonts w:eastAsia="Times New Roman"/>
          <w:noProof/>
        </w:rPr>
        <w:t xml:space="preserve"> </w:t>
      </w:r>
      <w:r w:rsidR="00E971B2" w:rsidRPr="00BB4B61">
        <w:rPr>
          <w:rFonts w:eastAsia="Times New Roman"/>
          <w:noProof/>
        </w:rPr>
        <w:t>ensure the</w:t>
      </w:r>
      <w:r w:rsidR="00A4276A" w:rsidRPr="00BB4B61">
        <w:rPr>
          <w:rFonts w:eastAsia="Times New Roman"/>
          <w:noProof/>
        </w:rPr>
        <w:t xml:space="preserve"> proper implementation of victim protection measures in investigations and judicial proceedings</w:t>
      </w:r>
      <w:r w:rsidR="00C141CB" w:rsidRPr="00BB4B61">
        <w:rPr>
          <w:rFonts w:eastAsia="Times New Roman"/>
          <w:noProof/>
        </w:rPr>
        <w:t xml:space="preserve"> (Article</w:t>
      </w:r>
      <w:r w:rsidR="00BB4B61">
        <w:rPr>
          <w:rFonts w:eastAsia="Times New Roman"/>
          <w:noProof/>
        </w:rPr>
        <w:t> </w:t>
      </w:r>
      <w:r w:rsidR="00C141CB" w:rsidRPr="00BB4B61">
        <w:rPr>
          <w:rFonts w:eastAsia="Times New Roman"/>
          <w:noProof/>
        </w:rPr>
        <w:t xml:space="preserve">56 of the Convention). </w:t>
      </w:r>
      <w:r w:rsidR="00C141CB" w:rsidRPr="00BB4B61">
        <w:rPr>
          <w:noProof/>
        </w:rPr>
        <w:t>As the recommendations on these matters are in line with the Union’s policies and objectives in the area of judicial cooperation in criminal matters and do not raise any concerns with respect to Union law, the position of the Union should be to not object to the adoption of the recommendation addressed to Denmark.</w:t>
      </w:r>
    </w:p>
    <w:p w:rsidR="007A788B" w:rsidRPr="00BB4B61" w:rsidRDefault="00910FBB" w:rsidP="00910FBB">
      <w:pPr>
        <w:pStyle w:val="ManualConsidrant"/>
        <w:rPr>
          <w:noProof/>
        </w:rPr>
      </w:pPr>
      <w:r w:rsidRPr="00910FBB">
        <w:rPr>
          <w:noProof/>
        </w:rPr>
        <w:t>(11)</w:t>
      </w:r>
      <w:r w:rsidRPr="00910FBB">
        <w:rPr>
          <w:noProof/>
        </w:rPr>
        <w:tab/>
      </w:r>
      <w:r w:rsidR="007A788B" w:rsidRPr="00BB4B61">
        <w:rPr>
          <w:noProof/>
        </w:rPr>
        <w:t xml:space="preserve">As regards </w:t>
      </w:r>
      <w:r w:rsidR="00F94B95" w:rsidRPr="00BB4B61">
        <w:rPr>
          <w:noProof/>
        </w:rPr>
        <w:t>Finland</w:t>
      </w:r>
      <w:r w:rsidR="007A788B" w:rsidRPr="00BB4B61">
        <w:rPr>
          <w:noProof/>
        </w:rPr>
        <w:t xml:space="preserve">, the draft recommendation on its implementation of the Convention includes the need to </w:t>
      </w:r>
      <w:r w:rsidR="00CB11AD" w:rsidRPr="00BB4B61">
        <w:rPr>
          <w:noProof/>
        </w:rPr>
        <w:t xml:space="preserve">develop a </w:t>
      </w:r>
      <w:r w:rsidR="00322487" w:rsidRPr="00BB4B61">
        <w:rPr>
          <w:noProof/>
        </w:rPr>
        <w:t xml:space="preserve">long-term national strategy to </w:t>
      </w:r>
      <w:r w:rsidR="007C3ACA">
        <w:rPr>
          <w:noProof/>
        </w:rPr>
        <w:t xml:space="preserve"> </w:t>
      </w:r>
      <w:r w:rsidR="00322487" w:rsidRPr="00BB4B61">
        <w:rPr>
          <w:noProof/>
        </w:rPr>
        <w:t>ensure a comprehensive, coordinated approach</w:t>
      </w:r>
      <w:r w:rsidR="007A788B" w:rsidRPr="00BB4B61">
        <w:rPr>
          <w:noProof/>
        </w:rPr>
        <w:t xml:space="preserve"> (Article</w:t>
      </w:r>
      <w:r w:rsidR="00BB4B61">
        <w:rPr>
          <w:noProof/>
        </w:rPr>
        <w:t> </w:t>
      </w:r>
      <w:r w:rsidR="00322487" w:rsidRPr="00BB4B61">
        <w:rPr>
          <w:noProof/>
        </w:rPr>
        <w:t>7</w:t>
      </w:r>
      <w:r w:rsidR="007A788B" w:rsidRPr="00BB4B61">
        <w:rPr>
          <w:noProof/>
        </w:rPr>
        <w:t xml:space="preserve"> of the Convention</w:t>
      </w:r>
      <w:r w:rsidR="00322487" w:rsidRPr="00BB4B61">
        <w:rPr>
          <w:noProof/>
        </w:rPr>
        <w:t>)</w:t>
      </w:r>
      <w:r w:rsidR="007C3ACA">
        <w:rPr>
          <w:noProof/>
        </w:rPr>
        <w:t xml:space="preserve">; </w:t>
      </w:r>
      <w:r w:rsidR="007B67DB" w:rsidRPr="00BB4B61">
        <w:rPr>
          <w:noProof/>
        </w:rPr>
        <w:t xml:space="preserve"> ensure </w:t>
      </w:r>
      <w:r w:rsidR="00CB796A">
        <w:rPr>
          <w:noProof/>
        </w:rPr>
        <w:t>sufficient public funding and</w:t>
      </w:r>
      <w:r w:rsidR="0016318C">
        <w:rPr>
          <w:noProof/>
        </w:rPr>
        <w:t xml:space="preserve"> </w:t>
      </w:r>
      <w:r w:rsidR="002D4481" w:rsidRPr="00BB4B61">
        <w:rPr>
          <w:noProof/>
        </w:rPr>
        <w:t xml:space="preserve">sustainable financing mechanisms for </w:t>
      </w:r>
      <w:r w:rsidR="004E3619" w:rsidRPr="00BB4B61">
        <w:rPr>
          <w:noProof/>
        </w:rPr>
        <w:t>non-governmental organisations</w:t>
      </w:r>
      <w:r w:rsidR="00726590" w:rsidRPr="00BB4B61">
        <w:rPr>
          <w:noProof/>
        </w:rPr>
        <w:t xml:space="preserve"> providing specialist support to victims (Article</w:t>
      </w:r>
      <w:r w:rsidR="00BB4B61">
        <w:rPr>
          <w:noProof/>
        </w:rPr>
        <w:t> </w:t>
      </w:r>
      <w:r w:rsidR="00726590" w:rsidRPr="00BB4B61">
        <w:rPr>
          <w:noProof/>
        </w:rPr>
        <w:t>8 of the Convention)</w:t>
      </w:r>
      <w:r w:rsidR="007C3ACA">
        <w:rPr>
          <w:noProof/>
        </w:rPr>
        <w:t>;</w:t>
      </w:r>
      <w:r w:rsidR="00E0702F" w:rsidRPr="00BB4B61">
        <w:rPr>
          <w:noProof/>
        </w:rPr>
        <w:t xml:space="preserve"> </w:t>
      </w:r>
      <w:r w:rsidR="00411400" w:rsidRPr="00BB4B61">
        <w:rPr>
          <w:noProof/>
        </w:rPr>
        <w:t>establish standardised data categories</w:t>
      </w:r>
      <w:r w:rsidR="002B6009" w:rsidRPr="00BB4B61">
        <w:rPr>
          <w:noProof/>
        </w:rPr>
        <w:t xml:space="preserve"> and </w:t>
      </w:r>
      <w:r w:rsidR="00E0702F" w:rsidRPr="00BB4B61">
        <w:rPr>
          <w:noProof/>
        </w:rPr>
        <w:t>harmonise data coll</w:t>
      </w:r>
      <w:r w:rsidR="00910EB3" w:rsidRPr="00BB4B61">
        <w:rPr>
          <w:noProof/>
        </w:rPr>
        <w:t>ection systems</w:t>
      </w:r>
      <w:r w:rsidR="001544EE" w:rsidRPr="00BB4B61">
        <w:rPr>
          <w:noProof/>
        </w:rPr>
        <w:t xml:space="preserve"> (Article</w:t>
      </w:r>
      <w:r w:rsidR="00BB4B61">
        <w:rPr>
          <w:noProof/>
        </w:rPr>
        <w:t> </w:t>
      </w:r>
      <w:r w:rsidR="001544EE" w:rsidRPr="00BB4B61">
        <w:rPr>
          <w:noProof/>
        </w:rPr>
        <w:t xml:space="preserve">11 of the </w:t>
      </w:r>
      <w:r w:rsidR="0045521A" w:rsidRPr="00BB4B61">
        <w:rPr>
          <w:noProof/>
        </w:rPr>
        <w:t>C</w:t>
      </w:r>
      <w:r w:rsidR="001544EE" w:rsidRPr="00BB4B61">
        <w:rPr>
          <w:noProof/>
        </w:rPr>
        <w:t>onvention)</w:t>
      </w:r>
      <w:r w:rsidR="007C3ACA">
        <w:rPr>
          <w:noProof/>
        </w:rPr>
        <w:t>;</w:t>
      </w:r>
      <w:r w:rsidR="00143C75" w:rsidRPr="00BB4B61">
        <w:rPr>
          <w:noProof/>
        </w:rPr>
        <w:t xml:space="preserve"> regularly conduct awareness</w:t>
      </w:r>
      <w:r w:rsidR="00A535D8" w:rsidRPr="00BB4B61">
        <w:rPr>
          <w:noProof/>
        </w:rPr>
        <w:t>-raising campaigns (Article</w:t>
      </w:r>
      <w:r w:rsidR="00BB4B61">
        <w:rPr>
          <w:noProof/>
        </w:rPr>
        <w:t> </w:t>
      </w:r>
      <w:r w:rsidR="00A535D8" w:rsidRPr="00BB4B61">
        <w:rPr>
          <w:noProof/>
        </w:rPr>
        <w:t xml:space="preserve">12 of the </w:t>
      </w:r>
      <w:r w:rsidR="005B388D" w:rsidRPr="00BB4B61">
        <w:rPr>
          <w:noProof/>
        </w:rPr>
        <w:t>C</w:t>
      </w:r>
      <w:r w:rsidR="00A535D8" w:rsidRPr="00BB4B61">
        <w:rPr>
          <w:noProof/>
        </w:rPr>
        <w:t>onvention)</w:t>
      </w:r>
      <w:r w:rsidR="007C3ACA">
        <w:rPr>
          <w:noProof/>
        </w:rPr>
        <w:t>;</w:t>
      </w:r>
      <w:r w:rsidR="008F5D54" w:rsidRPr="00BB4B61">
        <w:rPr>
          <w:rFonts w:eastAsia="Times New Roman"/>
          <w:noProof/>
        </w:rPr>
        <w:t xml:space="preserve"> ensure the provision of systematic training for relevant professionals (Article</w:t>
      </w:r>
      <w:r w:rsidR="00BB4B61">
        <w:rPr>
          <w:rFonts w:eastAsia="Times New Roman"/>
          <w:noProof/>
        </w:rPr>
        <w:t> </w:t>
      </w:r>
      <w:r w:rsidR="008F5D54" w:rsidRPr="00BB4B61">
        <w:rPr>
          <w:rFonts w:eastAsia="Times New Roman"/>
          <w:noProof/>
        </w:rPr>
        <w:t>15 of the Convention</w:t>
      </w:r>
      <w:r w:rsidR="00D535E0" w:rsidRPr="00BB4B61">
        <w:rPr>
          <w:rFonts w:eastAsia="Times New Roman"/>
          <w:noProof/>
        </w:rPr>
        <w:t>)</w:t>
      </w:r>
      <w:r w:rsidR="007C3ACA">
        <w:rPr>
          <w:rFonts w:eastAsia="Times New Roman"/>
          <w:noProof/>
        </w:rPr>
        <w:t xml:space="preserve">; </w:t>
      </w:r>
      <w:r w:rsidR="00446382" w:rsidRPr="00BB4B61">
        <w:rPr>
          <w:rFonts w:eastAsia="Times New Roman"/>
          <w:noProof/>
        </w:rPr>
        <w:t xml:space="preserve"> establish perpetrator programmes </w:t>
      </w:r>
      <w:r w:rsidR="00FA0F61" w:rsidRPr="00BB4B61">
        <w:rPr>
          <w:rFonts w:eastAsia="Times New Roman"/>
          <w:noProof/>
        </w:rPr>
        <w:t>for domestic violence</w:t>
      </w:r>
      <w:r w:rsidR="00FD08F9" w:rsidRPr="00BB4B61">
        <w:rPr>
          <w:rFonts w:eastAsia="Times New Roman"/>
          <w:noProof/>
        </w:rPr>
        <w:t xml:space="preserve"> (Article</w:t>
      </w:r>
      <w:r w:rsidR="00BB4B61">
        <w:rPr>
          <w:rFonts w:eastAsia="Times New Roman"/>
          <w:noProof/>
        </w:rPr>
        <w:t> </w:t>
      </w:r>
      <w:r w:rsidR="00FD08F9" w:rsidRPr="00BB4B61">
        <w:rPr>
          <w:rFonts w:eastAsia="Times New Roman"/>
          <w:noProof/>
        </w:rPr>
        <w:t>16 of the Convention)</w:t>
      </w:r>
      <w:r w:rsidR="007C3ACA">
        <w:rPr>
          <w:rFonts w:eastAsia="Times New Roman"/>
          <w:noProof/>
        </w:rPr>
        <w:t xml:space="preserve">; </w:t>
      </w:r>
      <w:r w:rsidR="00B10D6B" w:rsidRPr="00BB4B61">
        <w:rPr>
          <w:rFonts w:eastAsia="Times New Roman"/>
          <w:noProof/>
        </w:rPr>
        <w:t xml:space="preserve"> establish institutionalised multi-agency coordination structures among relevant actors</w:t>
      </w:r>
      <w:r w:rsidR="00013561" w:rsidRPr="00BB4B61">
        <w:rPr>
          <w:rFonts w:eastAsia="Times New Roman"/>
          <w:noProof/>
        </w:rPr>
        <w:t xml:space="preserve"> (Article</w:t>
      </w:r>
      <w:r w:rsidR="00BB4B61">
        <w:rPr>
          <w:rFonts w:eastAsia="Times New Roman"/>
          <w:noProof/>
        </w:rPr>
        <w:t> </w:t>
      </w:r>
      <w:r w:rsidR="00013561" w:rsidRPr="00BB4B61">
        <w:rPr>
          <w:rFonts w:eastAsia="Times New Roman"/>
          <w:noProof/>
        </w:rPr>
        <w:t>18 of the Convention)</w:t>
      </w:r>
      <w:r w:rsidR="007C3ACA">
        <w:rPr>
          <w:rFonts w:eastAsia="Times New Roman"/>
          <w:noProof/>
        </w:rPr>
        <w:t xml:space="preserve">; </w:t>
      </w:r>
      <w:r w:rsidR="006E796C" w:rsidRPr="00BB4B61">
        <w:rPr>
          <w:rFonts w:eastAsia="Times New Roman"/>
          <w:noProof/>
        </w:rPr>
        <w:t xml:space="preserve"> establish </w:t>
      </w:r>
      <w:r w:rsidR="00A94068" w:rsidRPr="00BB4B61">
        <w:rPr>
          <w:rFonts w:eastAsia="Times New Roman"/>
          <w:noProof/>
        </w:rPr>
        <w:t xml:space="preserve">support services to facilitate victims’ </w:t>
      </w:r>
      <w:r w:rsidR="0009733B" w:rsidRPr="00BB4B61">
        <w:rPr>
          <w:rFonts w:eastAsia="Times New Roman"/>
          <w:noProof/>
        </w:rPr>
        <w:t>recovery and independence</w:t>
      </w:r>
      <w:r w:rsidR="00E744DF" w:rsidRPr="00BB4B61">
        <w:rPr>
          <w:rFonts w:eastAsia="Times New Roman"/>
          <w:noProof/>
        </w:rPr>
        <w:t xml:space="preserve"> </w:t>
      </w:r>
      <w:r w:rsidR="004E7F94">
        <w:rPr>
          <w:rFonts w:eastAsia="Times New Roman"/>
          <w:noProof/>
        </w:rPr>
        <w:t xml:space="preserve">(Article 20 of the Convention); </w:t>
      </w:r>
      <w:r w:rsidR="00F92F49" w:rsidRPr="00BB4B61">
        <w:rPr>
          <w:rFonts w:eastAsia="Times New Roman"/>
          <w:noProof/>
        </w:rPr>
        <w:t xml:space="preserve"> increase </w:t>
      </w:r>
      <w:r w:rsidR="007C3ACA">
        <w:rPr>
          <w:rFonts w:eastAsia="Times New Roman"/>
          <w:noProof/>
        </w:rPr>
        <w:t xml:space="preserve">both </w:t>
      </w:r>
      <w:r w:rsidR="00F92F49" w:rsidRPr="00BB4B61">
        <w:rPr>
          <w:rFonts w:eastAsia="Times New Roman"/>
          <w:noProof/>
        </w:rPr>
        <w:t xml:space="preserve">the number </w:t>
      </w:r>
      <w:r w:rsidR="007C3ACA">
        <w:rPr>
          <w:rFonts w:eastAsia="Times New Roman"/>
          <w:noProof/>
        </w:rPr>
        <w:t xml:space="preserve">of </w:t>
      </w:r>
      <w:r w:rsidR="00F92F49" w:rsidRPr="00BB4B61">
        <w:rPr>
          <w:rFonts w:eastAsia="Times New Roman"/>
          <w:noProof/>
        </w:rPr>
        <w:t xml:space="preserve">and </w:t>
      </w:r>
      <w:r w:rsidR="009D02FD" w:rsidRPr="00BB4B61">
        <w:rPr>
          <w:rFonts w:eastAsia="Times New Roman"/>
          <w:noProof/>
        </w:rPr>
        <w:t>access</w:t>
      </w:r>
      <w:r w:rsidR="00F207B2" w:rsidRPr="00BB4B61">
        <w:rPr>
          <w:rFonts w:eastAsia="Times New Roman"/>
          <w:noProof/>
        </w:rPr>
        <w:t xml:space="preserve"> </w:t>
      </w:r>
      <w:r w:rsidR="007C3ACA">
        <w:rPr>
          <w:rFonts w:eastAsia="Times New Roman"/>
          <w:noProof/>
        </w:rPr>
        <w:t>to</w:t>
      </w:r>
      <w:r w:rsidR="00F207B2" w:rsidRPr="00BB4B61">
        <w:rPr>
          <w:rFonts w:eastAsia="Times New Roman"/>
          <w:noProof/>
        </w:rPr>
        <w:t xml:space="preserve"> shelters</w:t>
      </w:r>
      <w:r w:rsidR="00907B14" w:rsidRPr="00BB4B61">
        <w:rPr>
          <w:rFonts w:eastAsia="Times New Roman"/>
          <w:noProof/>
        </w:rPr>
        <w:t xml:space="preserve"> (Article</w:t>
      </w:r>
      <w:r w:rsidR="00BB4B61">
        <w:rPr>
          <w:rFonts w:eastAsia="Times New Roman"/>
          <w:noProof/>
        </w:rPr>
        <w:t> </w:t>
      </w:r>
      <w:r w:rsidR="00907B14" w:rsidRPr="00BB4B61">
        <w:rPr>
          <w:rFonts w:eastAsia="Times New Roman"/>
          <w:noProof/>
        </w:rPr>
        <w:t>22 of the Convention)</w:t>
      </w:r>
      <w:r w:rsidR="007C3ACA">
        <w:rPr>
          <w:rFonts w:eastAsia="Times New Roman"/>
          <w:noProof/>
        </w:rPr>
        <w:t xml:space="preserve">; </w:t>
      </w:r>
      <w:r w:rsidR="00234BFA" w:rsidRPr="00BB4B61">
        <w:rPr>
          <w:rFonts w:eastAsia="Times New Roman"/>
          <w:noProof/>
        </w:rPr>
        <w:t xml:space="preserve"> </w:t>
      </w:r>
      <w:r w:rsidR="00764F21" w:rsidRPr="00BB4B61">
        <w:rPr>
          <w:rFonts w:eastAsia="Times New Roman"/>
          <w:noProof/>
        </w:rPr>
        <w:t xml:space="preserve">ensure the </w:t>
      </w:r>
      <w:r w:rsidR="00492DBE" w:rsidRPr="00BB4B61">
        <w:rPr>
          <w:rFonts w:eastAsia="Times New Roman"/>
          <w:noProof/>
        </w:rPr>
        <w:t xml:space="preserve">geographical distribution </w:t>
      </w:r>
      <w:r w:rsidR="00234BFA" w:rsidRPr="00BB4B61">
        <w:rPr>
          <w:rFonts w:eastAsia="Times New Roman"/>
          <w:noProof/>
        </w:rPr>
        <w:t xml:space="preserve">of rape crisis </w:t>
      </w:r>
      <w:r w:rsidR="00EC127B" w:rsidRPr="00BB4B61">
        <w:rPr>
          <w:rFonts w:eastAsia="Times New Roman"/>
          <w:noProof/>
        </w:rPr>
        <w:t>centres</w:t>
      </w:r>
      <w:r w:rsidR="00234BFA" w:rsidRPr="00BB4B61">
        <w:rPr>
          <w:rFonts w:eastAsia="Times New Roman"/>
          <w:noProof/>
        </w:rPr>
        <w:t xml:space="preserve"> </w:t>
      </w:r>
      <w:r w:rsidR="00697FA3" w:rsidRPr="00BB4B61">
        <w:rPr>
          <w:rFonts w:eastAsia="Times New Roman"/>
          <w:noProof/>
        </w:rPr>
        <w:t>to ensure support</w:t>
      </w:r>
      <w:r w:rsidR="00586C2D" w:rsidRPr="00BB4B61">
        <w:rPr>
          <w:rFonts w:eastAsia="Times New Roman"/>
          <w:noProof/>
        </w:rPr>
        <w:t xml:space="preserve"> to all victims of sexual violence (Article</w:t>
      </w:r>
      <w:r w:rsidR="00BB4B61">
        <w:rPr>
          <w:rFonts w:eastAsia="Times New Roman"/>
          <w:noProof/>
        </w:rPr>
        <w:t> </w:t>
      </w:r>
      <w:r w:rsidR="00586C2D" w:rsidRPr="00BB4B61">
        <w:rPr>
          <w:rFonts w:eastAsia="Times New Roman"/>
          <w:noProof/>
        </w:rPr>
        <w:t>25 of the Convention)</w:t>
      </w:r>
      <w:r w:rsidR="007C3ACA">
        <w:rPr>
          <w:rFonts w:eastAsia="Times New Roman"/>
          <w:noProof/>
        </w:rPr>
        <w:t xml:space="preserve">; </w:t>
      </w:r>
      <w:r w:rsidR="0008042F" w:rsidRPr="00BB4B61">
        <w:rPr>
          <w:rFonts w:eastAsia="Times New Roman"/>
          <w:noProof/>
        </w:rPr>
        <w:t xml:space="preserve"> </w:t>
      </w:r>
      <w:r w:rsidR="00A35B12">
        <w:rPr>
          <w:rFonts w:eastAsia="Times New Roman"/>
          <w:noProof/>
        </w:rPr>
        <w:t xml:space="preserve">ensure mediation does not negatively impact criminal investigations nor hamper victims’ access to justice (Article 48 of the Convention); </w:t>
      </w:r>
      <w:r w:rsidR="0008042F" w:rsidRPr="00BB4B61">
        <w:rPr>
          <w:rFonts w:eastAsia="Times New Roman"/>
          <w:noProof/>
        </w:rPr>
        <w:t>ensure</w:t>
      </w:r>
      <w:r w:rsidR="009F0A41" w:rsidRPr="00BB4B61">
        <w:rPr>
          <w:rFonts w:eastAsia="Times New Roman"/>
          <w:noProof/>
        </w:rPr>
        <w:t xml:space="preserve"> </w:t>
      </w:r>
      <w:r w:rsidR="00797F1B" w:rsidRPr="00BB4B61">
        <w:rPr>
          <w:rFonts w:eastAsia="Times New Roman"/>
          <w:noProof/>
        </w:rPr>
        <w:t xml:space="preserve">law enforcement </w:t>
      </w:r>
      <w:r w:rsidR="2716CD0B" w:rsidRPr="48945479">
        <w:rPr>
          <w:rFonts w:eastAsia="Times New Roman"/>
          <w:noProof/>
        </w:rPr>
        <w:t>services</w:t>
      </w:r>
      <w:r w:rsidR="007C3ACA">
        <w:rPr>
          <w:rFonts w:eastAsia="Times New Roman"/>
          <w:noProof/>
        </w:rPr>
        <w:t xml:space="preserve"> </w:t>
      </w:r>
      <w:r w:rsidR="009F0A41" w:rsidRPr="00BB4B61">
        <w:rPr>
          <w:rFonts w:eastAsia="Times New Roman"/>
          <w:noProof/>
        </w:rPr>
        <w:t>receive</w:t>
      </w:r>
      <w:r w:rsidR="00DE642F" w:rsidRPr="00BB4B61">
        <w:rPr>
          <w:rFonts w:eastAsia="Times New Roman"/>
          <w:noProof/>
        </w:rPr>
        <w:t xml:space="preserve"> relevant training to respond</w:t>
      </w:r>
      <w:r w:rsidR="00251E35" w:rsidRPr="00BB4B61">
        <w:rPr>
          <w:rFonts w:eastAsia="Times New Roman"/>
          <w:noProof/>
        </w:rPr>
        <w:t xml:space="preserve"> </w:t>
      </w:r>
      <w:r w:rsidR="00A504EE" w:rsidRPr="00BB4B61">
        <w:rPr>
          <w:rFonts w:eastAsia="Times New Roman"/>
          <w:noProof/>
        </w:rPr>
        <w:t xml:space="preserve">to </w:t>
      </w:r>
      <w:r w:rsidR="006F6D1B" w:rsidRPr="00BB4B61">
        <w:rPr>
          <w:rFonts w:eastAsia="Times New Roman"/>
          <w:noProof/>
        </w:rPr>
        <w:t xml:space="preserve">and timely </w:t>
      </w:r>
      <w:r w:rsidR="00C53313" w:rsidRPr="00BB4B61">
        <w:rPr>
          <w:rFonts w:eastAsia="Times New Roman"/>
          <w:noProof/>
        </w:rPr>
        <w:t xml:space="preserve">and adequately </w:t>
      </w:r>
      <w:r w:rsidR="006F6D1B" w:rsidRPr="00BB4B61">
        <w:rPr>
          <w:rFonts w:eastAsia="Times New Roman"/>
          <w:noProof/>
        </w:rPr>
        <w:t>investigate</w:t>
      </w:r>
      <w:r w:rsidR="00251E35" w:rsidRPr="00BB4B61">
        <w:rPr>
          <w:rFonts w:eastAsia="Times New Roman"/>
          <w:noProof/>
        </w:rPr>
        <w:t xml:space="preserve"> cases</w:t>
      </w:r>
      <w:r w:rsidR="009340D7" w:rsidRPr="00BB4B61">
        <w:rPr>
          <w:rFonts w:eastAsia="Times New Roman"/>
          <w:noProof/>
        </w:rPr>
        <w:t xml:space="preserve"> </w:t>
      </w:r>
      <w:r w:rsidR="00EC2AC2" w:rsidRPr="00BB4B61">
        <w:rPr>
          <w:rFonts w:eastAsia="Times New Roman"/>
          <w:noProof/>
        </w:rPr>
        <w:t>of violence against women</w:t>
      </w:r>
      <w:r w:rsidR="00343551" w:rsidRPr="00BB4B61">
        <w:rPr>
          <w:rFonts w:eastAsia="Times New Roman"/>
          <w:noProof/>
        </w:rPr>
        <w:t xml:space="preserve"> (Articles 49 and 50 of the Convention)</w:t>
      </w:r>
      <w:r w:rsidR="00C26F58">
        <w:rPr>
          <w:rFonts w:eastAsia="Times New Roman"/>
          <w:noProof/>
        </w:rPr>
        <w:t xml:space="preserve">; </w:t>
      </w:r>
      <w:r w:rsidR="00B32298" w:rsidRPr="00BB4B61">
        <w:rPr>
          <w:rFonts w:eastAsia="Times New Roman"/>
          <w:noProof/>
        </w:rPr>
        <w:t xml:space="preserve"> </w:t>
      </w:r>
      <w:r w:rsidR="008D14B5" w:rsidRPr="00BB4B61">
        <w:rPr>
          <w:rFonts w:eastAsia="Times New Roman"/>
          <w:noProof/>
        </w:rPr>
        <w:t xml:space="preserve">take measures to </w:t>
      </w:r>
      <w:r w:rsidR="00B32298" w:rsidRPr="00BB4B61">
        <w:rPr>
          <w:rFonts w:eastAsia="Times New Roman"/>
          <w:noProof/>
        </w:rPr>
        <w:t xml:space="preserve">establish a </w:t>
      </w:r>
      <w:r w:rsidR="00C44A22" w:rsidRPr="00BB4B61">
        <w:rPr>
          <w:rFonts w:eastAsia="Times New Roman"/>
          <w:noProof/>
        </w:rPr>
        <w:t xml:space="preserve">standardised </w:t>
      </w:r>
      <w:r w:rsidR="00834F33" w:rsidRPr="00BB4B61">
        <w:rPr>
          <w:rFonts w:eastAsia="Times New Roman"/>
          <w:noProof/>
        </w:rPr>
        <w:t>risk asse</w:t>
      </w:r>
      <w:r w:rsidR="00DD4741" w:rsidRPr="00BB4B61">
        <w:rPr>
          <w:rFonts w:eastAsia="Times New Roman"/>
          <w:noProof/>
        </w:rPr>
        <w:t>s</w:t>
      </w:r>
      <w:r w:rsidR="00834F33" w:rsidRPr="00BB4B61">
        <w:rPr>
          <w:rFonts w:eastAsia="Times New Roman"/>
          <w:noProof/>
        </w:rPr>
        <w:t>sment</w:t>
      </w:r>
      <w:r w:rsidR="00D343C8" w:rsidRPr="00BB4B61">
        <w:rPr>
          <w:rFonts w:eastAsia="Times New Roman"/>
          <w:noProof/>
        </w:rPr>
        <w:t xml:space="preserve"> mechanism applied systematically (Article</w:t>
      </w:r>
      <w:r w:rsidR="00BB4B61">
        <w:rPr>
          <w:rFonts w:eastAsia="Times New Roman"/>
          <w:noProof/>
        </w:rPr>
        <w:t> </w:t>
      </w:r>
      <w:r w:rsidR="00D343C8" w:rsidRPr="00BB4B61">
        <w:rPr>
          <w:rFonts w:eastAsia="Times New Roman"/>
          <w:noProof/>
        </w:rPr>
        <w:t>51 of the Convention)</w:t>
      </w:r>
      <w:r w:rsidR="00514CA7" w:rsidRPr="00BB4B61">
        <w:rPr>
          <w:rFonts w:eastAsia="Times New Roman"/>
          <w:noProof/>
        </w:rPr>
        <w:t xml:space="preserve"> and</w:t>
      </w:r>
      <w:r w:rsidR="00D343C8" w:rsidRPr="00BB4B61">
        <w:rPr>
          <w:rFonts w:eastAsia="Times New Roman"/>
          <w:noProof/>
        </w:rPr>
        <w:t xml:space="preserve"> </w:t>
      </w:r>
      <w:r w:rsidR="00E44331" w:rsidRPr="00BB4B61">
        <w:rPr>
          <w:rFonts w:eastAsia="Times New Roman"/>
          <w:noProof/>
        </w:rPr>
        <w:t>to increase the use of emergency barring orders</w:t>
      </w:r>
      <w:r w:rsidR="00732998" w:rsidRPr="00BB4B61">
        <w:rPr>
          <w:rFonts w:eastAsia="Times New Roman"/>
          <w:noProof/>
        </w:rPr>
        <w:t xml:space="preserve"> </w:t>
      </w:r>
      <w:r w:rsidR="08166BA9" w:rsidRPr="00BB4B61">
        <w:rPr>
          <w:rFonts w:eastAsia="Times New Roman"/>
          <w:noProof/>
        </w:rPr>
        <w:t xml:space="preserve">and protection orders </w:t>
      </w:r>
      <w:r w:rsidR="00732998" w:rsidRPr="00BB4B61">
        <w:rPr>
          <w:rFonts w:eastAsia="Times New Roman"/>
          <w:noProof/>
        </w:rPr>
        <w:t xml:space="preserve">and strengthen the monitoring of </w:t>
      </w:r>
      <w:r w:rsidR="343450B2" w:rsidRPr="00BB4B61">
        <w:rPr>
          <w:rFonts w:eastAsia="Times New Roman"/>
          <w:noProof/>
        </w:rPr>
        <w:t xml:space="preserve">such </w:t>
      </w:r>
      <w:r w:rsidR="00732998" w:rsidRPr="00BB4B61">
        <w:rPr>
          <w:rFonts w:eastAsia="Times New Roman"/>
          <w:noProof/>
        </w:rPr>
        <w:t>orders</w:t>
      </w:r>
      <w:r w:rsidR="2A2E0AEE" w:rsidRPr="32D59165">
        <w:rPr>
          <w:rFonts w:eastAsia="Times New Roman"/>
          <w:noProof/>
        </w:rPr>
        <w:t xml:space="preserve"> </w:t>
      </w:r>
      <w:r w:rsidR="2A2E0AEE" w:rsidRPr="3F5D6E65">
        <w:rPr>
          <w:rFonts w:eastAsia="Times New Roman"/>
          <w:noProof/>
        </w:rPr>
        <w:t>(</w:t>
      </w:r>
      <w:r w:rsidR="2A2E0AEE" w:rsidRPr="57915303">
        <w:rPr>
          <w:rFonts w:eastAsia="Times New Roman"/>
          <w:noProof/>
        </w:rPr>
        <w:t xml:space="preserve">Articles </w:t>
      </w:r>
      <w:r w:rsidR="2A2E0AEE" w:rsidRPr="04C617EC">
        <w:rPr>
          <w:rFonts w:eastAsia="Times New Roman"/>
          <w:noProof/>
        </w:rPr>
        <w:t xml:space="preserve">52 and 53 of the </w:t>
      </w:r>
      <w:r w:rsidR="2A2E0AEE" w:rsidRPr="2FEBF1A6">
        <w:rPr>
          <w:rFonts w:eastAsia="Times New Roman"/>
          <w:noProof/>
        </w:rPr>
        <w:t>Convention</w:t>
      </w:r>
      <w:r w:rsidR="2A2E0AEE" w:rsidRPr="3F5D6E65">
        <w:rPr>
          <w:rFonts w:eastAsia="Times New Roman"/>
          <w:noProof/>
        </w:rPr>
        <w:t>)</w:t>
      </w:r>
      <w:r w:rsidR="00FA024F" w:rsidRPr="3F5D6E65">
        <w:rPr>
          <w:rFonts w:eastAsia="Times New Roman"/>
          <w:noProof/>
        </w:rPr>
        <w:t>.</w:t>
      </w:r>
      <w:r w:rsidR="00FA024F" w:rsidRPr="00BB4B61">
        <w:rPr>
          <w:rFonts w:eastAsia="Times New Roman"/>
          <w:noProof/>
        </w:rPr>
        <w:t xml:space="preserve"> </w:t>
      </w:r>
      <w:r w:rsidR="00FA024F" w:rsidRPr="00BB4B61">
        <w:rPr>
          <w:noProof/>
        </w:rPr>
        <w:t>As the recommendations on these matters are in line with the Union’s policies and objectives in the area of judicial cooperation in criminal matters and do not raise any concerns with respect to Union law, the position of the Union should be to not object to the adoption of the recommendation addressed to Finland.</w:t>
      </w:r>
    </w:p>
    <w:p w:rsidR="00D02367" w:rsidRPr="00BB4B61" w:rsidRDefault="00910FBB" w:rsidP="00910FBB">
      <w:pPr>
        <w:pStyle w:val="ManualConsidrant"/>
        <w:rPr>
          <w:noProof/>
        </w:rPr>
      </w:pPr>
      <w:r w:rsidRPr="00910FBB">
        <w:rPr>
          <w:noProof/>
        </w:rPr>
        <w:t>(12)</w:t>
      </w:r>
      <w:r w:rsidRPr="00910FBB">
        <w:rPr>
          <w:noProof/>
        </w:rPr>
        <w:tab/>
      </w:r>
      <w:r w:rsidR="00FA024F" w:rsidRPr="00BB4B61">
        <w:rPr>
          <w:noProof/>
        </w:rPr>
        <w:t xml:space="preserve">As regards </w:t>
      </w:r>
      <w:r w:rsidR="00D5361A" w:rsidRPr="00BB4B61">
        <w:rPr>
          <w:noProof/>
        </w:rPr>
        <w:t>Monaco</w:t>
      </w:r>
      <w:r w:rsidR="00FA024F" w:rsidRPr="00BB4B61">
        <w:rPr>
          <w:noProof/>
        </w:rPr>
        <w:t xml:space="preserve">, the draft recommendation on its implementation of the Convention includes </w:t>
      </w:r>
      <w:r w:rsidR="00B85D82" w:rsidRPr="00BB4B61">
        <w:rPr>
          <w:noProof/>
        </w:rPr>
        <w:t xml:space="preserve">the need to </w:t>
      </w:r>
      <w:r w:rsidR="00044CC8">
        <w:rPr>
          <w:noProof/>
        </w:rPr>
        <w:t xml:space="preserve"> </w:t>
      </w:r>
      <w:r w:rsidR="00BE024C" w:rsidRPr="00BB4B61">
        <w:rPr>
          <w:noProof/>
        </w:rPr>
        <w:t>adopt a definition of domestic violence</w:t>
      </w:r>
      <w:r w:rsidR="00E91FBE" w:rsidRPr="00BB4B61">
        <w:rPr>
          <w:noProof/>
        </w:rPr>
        <w:t xml:space="preserve"> that</w:t>
      </w:r>
      <w:r w:rsidR="00B85D82" w:rsidRPr="00BB4B61">
        <w:rPr>
          <w:noProof/>
        </w:rPr>
        <w:t xml:space="preserve"> aligns with the Convention </w:t>
      </w:r>
      <w:r w:rsidR="00B47C5B" w:rsidRPr="00BB4B61">
        <w:rPr>
          <w:noProof/>
        </w:rPr>
        <w:t>(Article</w:t>
      </w:r>
      <w:r w:rsidR="00BB4B61">
        <w:rPr>
          <w:noProof/>
        </w:rPr>
        <w:t> </w:t>
      </w:r>
      <w:r w:rsidR="00B47C5B" w:rsidRPr="00BB4B61">
        <w:rPr>
          <w:noProof/>
        </w:rPr>
        <w:t>3 of the Convention)</w:t>
      </w:r>
      <w:r w:rsidR="00044CC8">
        <w:rPr>
          <w:noProof/>
        </w:rPr>
        <w:t xml:space="preserve">; </w:t>
      </w:r>
      <w:r w:rsidR="000B0168" w:rsidRPr="00BB4B61">
        <w:rPr>
          <w:noProof/>
        </w:rPr>
        <w:t xml:space="preserve"> develop a long-term overarching strategy</w:t>
      </w:r>
      <w:r w:rsidR="00EB4C47" w:rsidRPr="00BB4B61">
        <w:rPr>
          <w:noProof/>
        </w:rPr>
        <w:t xml:space="preserve"> to achieve a</w:t>
      </w:r>
      <w:r w:rsidR="00C1218F" w:rsidRPr="00BB4B61">
        <w:rPr>
          <w:noProof/>
        </w:rPr>
        <w:t xml:space="preserve"> </w:t>
      </w:r>
      <w:r w:rsidR="00EB4C47" w:rsidRPr="00BB4B61">
        <w:rPr>
          <w:noProof/>
        </w:rPr>
        <w:t>comprehensive and coordinated policy approach</w:t>
      </w:r>
      <w:r w:rsidR="00F86DEF" w:rsidRPr="00BB4B61">
        <w:rPr>
          <w:noProof/>
        </w:rPr>
        <w:t xml:space="preserve"> </w:t>
      </w:r>
      <w:r w:rsidR="007A0501" w:rsidRPr="00BB4B61">
        <w:rPr>
          <w:noProof/>
        </w:rPr>
        <w:t>(Article</w:t>
      </w:r>
      <w:r w:rsidR="00BB4B61">
        <w:rPr>
          <w:noProof/>
        </w:rPr>
        <w:t> </w:t>
      </w:r>
      <w:r w:rsidR="007A0501" w:rsidRPr="00BB4B61">
        <w:rPr>
          <w:noProof/>
        </w:rPr>
        <w:t>7 of the Convention)</w:t>
      </w:r>
      <w:r w:rsidR="00044CC8">
        <w:rPr>
          <w:noProof/>
        </w:rPr>
        <w:t xml:space="preserve">; </w:t>
      </w:r>
      <w:r w:rsidR="00F61412" w:rsidRPr="00BB4B61">
        <w:rPr>
          <w:noProof/>
        </w:rPr>
        <w:t xml:space="preserve"> continue to develop the collection of </w:t>
      </w:r>
      <w:r w:rsidR="00DA1B59" w:rsidRPr="00BB4B61">
        <w:rPr>
          <w:noProof/>
        </w:rPr>
        <w:t>data</w:t>
      </w:r>
      <w:r w:rsidR="001A4F4C" w:rsidRPr="00BB4B61">
        <w:rPr>
          <w:noProof/>
        </w:rPr>
        <w:t xml:space="preserve"> on all forms of violence </w:t>
      </w:r>
      <w:r w:rsidR="0083046E" w:rsidRPr="00BB4B61">
        <w:rPr>
          <w:noProof/>
        </w:rPr>
        <w:t xml:space="preserve">against women </w:t>
      </w:r>
      <w:r w:rsidR="001A4F4C" w:rsidRPr="00BB4B61">
        <w:rPr>
          <w:noProof/>
        </w:rPr>
        <w:t>covered by the Convention</w:t>
      </w:r>
      <w:r w:rsidR="00DA1B59" w:rsidRPr="00BB4B61">
        <w:rPr>
          <w:noProof/>
        </w:rPr>
        <w:t xml:space="preserve"> (Article</w:t>
      </w:r>
      <w:r w:rsidR="00BB4B61">
        <w:rPr>
          <w:noProof/>
        </w:rPr>
        <w:t> </w:t>
      </w:r>
      <w:r w:rsidR="00DA1B59" w:rsidRPr="00BB4B61">
        <w:rPr>
          <w:noProof/>
        </w:rPr>
        <w:t>11 of the Convention)</w:t>
      </w:r>
      <w:r w:rsidR="00044CC8">
        <w:rPr>
          <w:noProof/>
        </w:rPr>
        <w:t xml:space="preserve">; </w:t>
      </w:r>
      <w:r w:rsidR="00CD3AB0" w:rsidRPr="00BB4B61">
        <w:rPr>
          <w:noProof/>
        </w:rPr>
        <w:t xml:space="preserve"> expan</w:t>
      </w:r>
      <w:r w:rsidR="00E30244" w:rsidRPr="00BB4B61">
        <w:rPr>
          <w:noProof/>
        </w:rPr>
        <w:t>d</w:t>
      </w:r>
      <w:r w:rsidR="00CD3AB0" w:rsidRPr="00BB4B61">
        <w:rPr>
          <w:noProof/>
        </w:rPr>
        <w:t xml:space="preserve"> measures to prevent domestic violence to include other </w:t>
      </w:r>
      <w:r w:rsidR="00CD3AB0" w:rsidRPr="006017BD">
        <w:rPr>
          <w:noProof/>
        </w:rPr>
        <w:t>forms of violence covered by the Istanbul Con</w:t>
      </w:r>
      <w:r w:rsidR="00E30244" w:rsidRPr="006017BD">
        <w:rPr>
          <w:noProof/>
        </w:rPr>
        <w:t>ven</w:t>
      </w:r>
      <w:r w:rsidR="00CD3AB0" w:rsidRPr="006017BD">
        <w:rPr>
          <w:noProof/>
        </w:rPr>
        <w:t>tion (Article</w:t>
      </w:r>
      <w:r w:rsidR="00BB4B61" w:rsidRPr="006017BD">
        <w:rPr>
          <w:noProof/>
        </w:rPr>
        <w:t> </w:t>
      </w:r>
      <w:r w:rsidR="00CD3AB0" w:rsidRPr="006017BD">
        <w:rPr>
          <w:noProof/>
        </w:rPr>
        <w:t xml:space="preserve">12 of the </w:t>
      </w:r>
      <w:r w:rsidR="00E30244" w:rsidRPr="006017BD">
        <w:rPr>
          <w:noProof/>
        </w:rPr>
        <w:t>C</w:t>
      </w:r>
      <w:r w:rsidR="00CD3AB0" w:rsidRPr="006017BD">
        <w:rPr>
          <w:noProof/>
        </w:rPr>
        <w:t>onvention)</w:t>
      </w:r>
      <w:r w:rsidR="00044CC8" w:rsidRPr="006017BD">
        <w:rPr>
          <w:noProof/>
        </w:rPr>
        <w:t>:</w:t>
      </w:r>
      <w:r w:rsidR="008944D8" w:rsidRPr="006017BD">
        <w:rPr>
          <w:noProof/>
        </w:rPr>
        <w:t xml:space="preserve"> pursue measures to raise awareness</w:t>
      </w:r>
      <w:r w:rsidR="00B73114" w:rsidRPr="006017BD">
        <w:rPr>
          <w:noProof/>
        </w:rPr>
        <w:t xml:space="preserve"> o</w:t>
      </w:r>
      <w:r w:rsidR="008E720D" w:rsidRPr="006017BD">
        <w:rPr>
          <w:noProof/>
        </w:rPr>
        <w:t>f</w:t>
      </w:r>
      <w:r w:rsidR="00B73114" w:rsidRPr="006017BD">
        <w:rPr>
          <w:noProof/>
        </w:rPr>
        <w:t xml:space="preserve"> violence against women</w:t>
      </w:r>
      <w:r w:rsidR="00F5156D" w:rsidRPr="006017BD">
        <w:rPr>
          <w:noProof/>
        </w:rPr>
        <w:t xml:space="preserve"> </w:t>
      </w:r>
      <w:r w:rsidR="72279903" w:rsidRPr="006017BD">
        <w:rPr>
          <w:noProof/>
        </w:rPr>
        <w:t xml:space="preserve">in schools </w:t>
      </w:r>
      <w:r w:rsidR="005E731D" w:rsidRPr="006017BD">
        <w:rPr>
          <w:noProof/>
        </w:rPr>
        <w:t>(Article</w:t>
      </w:r>
      <w:r w:rsidR="00BB4B61" w:rsidRPr="006017BD">
        <w:rPr>
          <w:noProof/>
        </w:rPr>
        <w:t> </w:t>
      </w:r>
      <w:r w:rsidR="005E731D" w:rsidRPr="006017BD">
        <w:rPr>
          <w:noProof/>
        </w:rPr>
        <w:t>14 of the Convention</w:t>
      </w:r>
      <w:r w:rsidR="00044CC8" w:rsidRPr="006017BD">
        <w:rPr>
          <w:noProof/>
        </w:rPr>
        <w:t xml:space="preserve">; </w:t>
      </w:r>
      <w:r w:rsidR="005E731D" w:rsidRPr="006017BD">
        <w:rPr>
          <w:noProof/>
        </w:rPr>
        <w:t xml:space="preserve"> </w:t>
      </w:r>
      <w:r w:rsidR="00061896" w:rsidRPr="006017BD">
        <w:rPr>
          <w:noProof/>
        </w:rPr>
        <w:t>set</w:t>
      </w:r>
      <w:r w:rsidR="000E4ED2" w:rsidRPr="006017BD">
        <w:rPr>
          <w:noProof/>
        </w:rPr>
        <w:t xml:space="preserve"> up programmes for perpetrators of violence</w:t>
      </w:r>
      <w:r w:rsidR="004A4248" w:rsidRPr="006017BD">
        <w:rPr>
          <w:noProof/>
        </w:rPr>
        <w:t xml:space="preserve"> </w:t>
      </w:r>
      <w:r w:rsidR="00B7504A" w:rsidRPr="006017BD">
        <w:rPr>
          <w:noProof/>
        </w:rPr>
        <w:t>(Article</w:t>
      </w:r>
      <w:r w:rsidR="00BB4B61" w:rsidRPr="006017BD">
        <w:rPr>
          <w:noProof/>
        </w:rPr>
        <w:t> </w:t>
      </w:r>
      <w:r w:rsidR="00B7504A" w:rsidRPr="006017BD">
        <w:rPr>
          <w:noProof/>
        </w:rPr>
        <w:t>16 of the Convention)</w:t>
      </w:r>
      <w:r w:rsidR="00044CC8" w:rsidRPr="006017BD">
        <w:rPr>
          <w:noProof/>
        </w:rPr>
        <w:t xml:space="preserve">; </w:t>
      </w:r>
      <w:r w:rsidR="00A47E14" w:rsidRPr="006017BD">
        <w:rPr>
          <w:noProof/>
        </w:rPr>
        <w:t xml:space="preserve"> set up</w:t>
      </w:r>
      <w:r w:rsidR="00313B89" w:rsidRPr="006017BD">
        <w:rPr>
          <w:noProof/>
        </w:rPr>
        <w:t xml:space="preserve"> </w:t>
      </w:r>
      <w:r w:rsidR="00BC7BFA" w:rsidRPr="006017BD">
        <w:rPr>
          <w:noProof/>
        </w:rPr>
        <w:t xml:space="preserve">a </w:t>
      </w:r>
      <w:r w:rsidR="00313B89" w:rsidRPr="006017BD">
        <w:rPr>
          <w:noProof/>
        </w:rPr>
        <w:t xml:space="preserve">national helpline for women victims of violence and to continue to develop specialist </w:t>
      </w:r>
      <w:r w:rsidR="007E70B5" w:rsidRPr="006017BD">
        <w:rPr>
          <w:noProof/>
        </w:rPr>
        <w:t>services</w:t>
      </w:r>
      <w:r w:rsidR="0056209E" w:rsidRPr="006017BD">
        <w:rPr>
          <w:noProof/>
        </w:rPr>
        <w:t xml:space="preserve"> for victims of violence covered by the Convention (Article</w:t>
      </w:r>
      <w:r w:rsidR="00BB4B61" w:rsidRPr="006017BD">
        <w:rPr>
          <w:noProof/>
        </w:rPr>
        <w:t> </w:t>
      </w:r>
      <w:r w:rsidR="00735E36" w:rsidRPr="006017BD">
        <w:rPr>
          <w:noProof/>
        </w:rPr>
        <w:t>22 of the Convention)</w:t>
      </w:r>
      <w:r w:rsidR="00044CC8" w:rsidRPr="006017BD">
        <w:rPr>
          <w:noProof/>
        </w:rPr>
        <w:t xml:space="preserve">; </w:t>
      </w:r>
      <w:r w:rsidR="001E76C0" w:rsidRPr="006017BD">
        <w:rPr>
          <w:noProof/>
        </w:rPr>
        <w:t xml:space="preserve"> set up</w:t>
      </w:r>
      <w:r w:rsidR="003B15A0" w:rsidRPr="006017BD">
        <w:rPr>
          <w:noProof/>
        </w:rPr>
        <w:t xml:space="preserve"> a </w:t>
      </w:r>
      <w:r w:rsidR="006B3400" w:rsidRPr="006017BD">
        <w:rPr>
          <w:noProof/>
        </w:rPr>
        <w:t xml:space="preserve">rape crisis and sexual violence referral centre </w:t>
      </w:r>
      <w:r w:rsidR="00EC5835" w:rsidRPr="006017BD">
        <w:rPr>
          <w:noProof/>
        </w:rPr>
        <w:t>(Article</w:t>
      </w:r>
      <w:r w:rsidR="00BB4B61" w:rsidRPr="006017BD">
        <w:rPr>
          <w:noProof/>
        </w:rPr>
        <w:t> </w:t>
      </w:r>
      <w:r w:rsidR="00EC5835" w:rsidRPr="006017BD">
        <w:rPr>
          <w:noProof/>
        </w:rPr>
        <w:t>25 of the Convention)</w:t>
      </w:r>
      <w:r w:rsidR="00044CC8" w:rsidRPr="006017BD">
        <w:rPr>
          <w:noProof/>
        </w:rPr>
        <w:t xml:space="preserve">; </w:t>
      </w:r>
      <w:r w:rsidR="00E6732F" w:rsidRPr="006017BD">
        <w:rPr>
          <w:noProof/>
        </w:rPr>
        <w:t xml:space="preserve"> ensur</w:t>
      </w:r>
      <w:r w:rsidR="00A3376A" w:rsidRPr="006017BD">
        <w:rPr>
          <w:noProof/>
        </w:rPr>
        <w:t>e professionals</w:t>
      </w:r>
      <w:r w:rsidR="00FE4E71" w:rsidRPr="006017BD">
        <w:rPr>
          <w:noProof/>
        </w:rPr>
        <w:t xml:space="preserve"> involved in criminal proceedings</w:t>
      </w:r>
      <w:r w:rsidR="00A3376A" w:rsidRPr="006017BD">
        <w:rPr>
          <w:noProof/>
        </w:rPr>
        <w:t xml:space="preserve"> have</w:t>
      </w:r>
      <w:r w:rsidR="00A3376A" w:rsidRPr="00BB4B61">
        <w:rPr>
          <w:noProof/>
        </w:rPr>
        <w:t xml:space="preserve"> </w:t>
      </w:r>
      <w:r w:rsidR="00044CC8">
        <w:rPr>
          <w:noProof/>
        </w:rPr>
        <w:t xml:space="preserve">sufficient </w:t>
      </w:r>
      <w:r w:rsidR="00A3376A" w:rsidRPr="00BB4B61">
        <w:rPr>
          <w:noProof/>
        </w:rPr>
        <w:t>expertis</w:t>
      </w:r>
      <w:r w:rsidR="003E3EA7" w:rsidRPr="00BB4B61">
        <w:rPr>
          <w:noProof/>
        </w:rPr>
        <w:t xml:space="preserve">e and </w:t>
      </w:r>
      <w:r w:rsidR="00FE4E71" w:rsidRPr="00BB4B61">
        <w:rPr>
          <w:noProof/>
        </w:rPr>
        <w:t xml:space="preserve">receive </w:t>
      </w:r>
      <w:r w:rsidR="00A56316" w:rsidRPr="00BB4B61">
        <w:rPr>
          <w:noProof/>
        </w:rPr>
        <w:t>gender-sensitive</w:t>
      </w:r>
      <w:r w:rsidR="007C6718" w:rsidRPr="00BB4B61">
        <w:rPr>
          <w:noProof/>
        </w:rPr>
        <w:t xml:space="preserve"> </w:t>
      </w:r>
      <w:r w:rsidR="00E16EF8" w:rsidRPr="00BB4B61">
        <w:rPr>
          <w:noProof/>
        </w:rPr>
        <w:t>training</w:t>
      </w:r>
      <w:r w:rsidR="003556BB" w:rsidRPr="00BB4B61">
        <w:rPr>
          <w:noProof/>
        </w:rPr>
        <w:t xml:space="preserve"> </w:t>
      </w:r>
      <w:r w:rsidR="009D026E" w:rsidRPr="00BB4B61">
        <w:rPr>
          <w:noProof/>
        </w:rPr>
        <w:t>(Articles 49 and 50 of the Convention)</w:t>
      </w:r>
      <w:r w:rsidR="00044CC8">
        <w:rPr>
          <w:noProof/>
        </w:rPr>
        <w:t xml:space="preserve">; </w:t>
      </w:r>
      <w:r w:rsidR="006C1552" w:rsidRPr="00BB4B61">
        <w:rPr>
          <w:noProof/>
        </w:rPr>
        <w:t xml:space="preserve"> </w:t>
      </w:r>
      <w:r w:rsidR="00674036" w:rsidRPr="00BB4B61">
        <w:rPr>
          <w:noProof/>
        </w:rPr>
        <w:t xml:space="preserve">standardise the practise of </w:t>
      </w:r>
      <w:r w:rsidR="00F472A1" w:rsidRPr="00BB4B61">
        <w:rPr>
          <w:noProof/>
        </w:rPr>
        <w:t>coordinated risk asses</w:t>
      </w:r>
      <w:r w:rsidR="00324852">
        <w:rPr>
          <w:noProof/>
        </w:rPr>
        <w:t>s</w:t>
      </w:r>
      <w:r w:rsidR="00F472A1" w:rsidRPr="00BB4B61">
        <w:rPr>
          <w:noProof/>
        </w:rPr>
        <w:t>ment to relevant services</w:t>
      </w:r>
      <w:r w:rsidR="00457B3F" w:rsidRPr="00BB4B61">
        <w:rPr>
          <w:noProof/>
        </w:rPr>
        <w:t xml:space="preserve"> on all forms of violence covered by the Convention</w:t>
      </w:r>
      <w:r w:rsidR="00E16EF8" w:rsidRPr="00BB4B61">
        <w:rPr>
          <w:noProof/>
        </w:rPr>
        <w:t xml:space="preserve"> </w:t>
      </w:r>
      <w:r w:rsidR="007818E9" w:rsidRPr="00BB4B61">
        <w:rPr>
          <w:noProof/>
        </w:rPr>
        <w:t>(Article</w:t>
      </w:r>
      <w:r w:rsidR="00BB4B61">
        <w:rPr>
          <w:noProof/>
        </w:rPr>
        <w:t> </w:t>
      </w:r>
      <w:r w:rsidR="007818E9" w:rsidRPr="00BB4B61">
        <w:rPr>
          <w:noProof/>
        </w:rPr>
        <w:t>51 of the Convention)</w:t>
      </w:r>
      <w:r w:rsidR="00044CC8">
        <w:rPr>
          <w:noProof/>
        </w:rPr>
        <w:t>;</w:t>
      </w:r>
      <w:r w:rsidR="001F0787" w:rsidRPr="00BB4B61">
        <w:rPr>
          <w:noProof/>
        </w:rPr>
        <w:t xml:space="preserve"> and </w:t>
      </w:r>
      <w:r w:rsidR="00044CC8">
        <w:rPr>
          <w:noProof/>
        </w:rPr>
        <w:t xml:space="preserve"> </w:t>
      </w:r>
      <w:r w:rsidR="00165EEB" w:rsidRPr="00BB4B61">
        <w:rPr>
          <w:noProof/>
        </w:rPr>
        <w:t>ensure the rights of victims are protected</w:t>
      </w:r>
      <w:r w:rsidR="00490A3F" w:rsidRPr="00BB4B61">
        <w:rPr>
          <w:noProof/>
        </w:rPr>
        <w:t xml:space="preserve"> duri</w:t>
      </w:r>
      <w:r w:rsidR="001F0787" w:rsidRPr="00BB4B61">
        <w:rPr>
          <w:noProof/>
        </w:rPr>
        <w:t>ng</w:t>
      </w:r>
      <w:r w:rsidR="00490A3F" w:rsidRPr="00BB4B61">
        <w:rPr>
          <w:noProof/>
        </w:rPr>
        <w:t xml:space="preserve"> investigations and judicial proceedings (Article</w:t>
      </w:r>
      <w:r w:rsidR="00BB4B61">
        <w:rPr>
          <w:noProof/>
        </w:rPr>
        <w:t> </w:t>
      </w:r>
      <w:r w:rsidR="00490A3F" w:rsidRPr="00BB4B61">
        <w:rPr>
          <w:noProof/>
        </w:rPr>
        <w:t>56 of the Convention)</w:t>
      </w:r>
      <w:r w:rsidR="009161FE" w:rsidRPr="00BB4B61">
        <w:rPr>
          <w:noProof/>
        </w:rPr>
        <w:t xml:space="preserve">. As the recommendations on these matters are in line with the Union’s policies and objectives in the area of judicial cooperation in criminal matters and do not raise any concerns with respect to Union law, the position of the Union should be to not object to the adoption of the recommendation addressed to </w:t>
      </w:r>
      <w:r w:rsidR="00FF4C1C" w:rsidRPr="00BB4B61">
        <w:rPr>
          <w:noProof/>
        </w:rPr>
        <w:t>Monaco</w:t>
      </w:r>
      <w:r w:rsidR="009161FE" w:rsidRPr="00BB4B61">
        <w:rPr>
          <w:noProof/>
        </w:rPr>
        <w:t>.</w:t>
      </w:r>
    </w:p>
    <w:p w:rsidR="00FF4C1C" w:rsidRPr="00BB4B61" w:rsidRDefault="00910FBB" w:rsidP="00910FBB">
      <w:pPr>
        <w:pStyle w:val="ManualConsidrant"/>
        <w:rPr>
          <w:noProof/>
        </w:rPr>
      </w:pPr>
      <w:r w:rsidRPr="00910FBB">
        <w:rPr>
          <w:noProof/>
        </w:rPr>
        <w:t>(13)</w:t>
      </w:r>
      <w:r w:rsidRPr="00910FBB">
        <w:rPr>
          <w:noProof/>
        </w:rPr>
        <w:tab/>
      </w:r>
      <w:r w:rsidR="00FF4C1C" w:rsidRPr="00BB4B61">
        <w:rPr>
          <w:noProof/>
        </w:rPr>
        <w:t>As regards Mon</w:t>
      </w:r>
      <w:r w:rsidR="00416F50" w:rsidRPr="00BB4B61">
        <w:rPr>
          <w:noProof/>
        </w:rPr>
        <w:t>tenegro</w:t>
      </w:r>
      <w:r w:rsidR="00FF4C1C" w:rsidRPr="00BB4B61">
        <w:rPr>
          <w:noProof/>
        </w:rPr>
        <w:t xml:space="preserve">, the draft recommendation on its implementation of the Convention includes </w:t>
      </w:r>
      <w:r w:rsidR="00044CC8">
        <w:rPr>
          <w:noProof/>
        </w:rPr>
        <w:t xml:space="preserve">the need </w:t>
      </w:r>
      <w:r w:rsidR="00AE49FD" w:rsidRPr="00BB4B61">
        <w:rPr>
          <w:noProof/>
        </w:rPr>
        <w:t xml:space="preserve">to ensure appropriate human and financial resources for policies, measures and legislation </w:t>
      </w:r>
      <w:r w:rsidR="00132C40" w:rsidRPr="00BB4B61">
        <w:rPr>
          <w:noProof/>
        </w:rPr>
        <w:t>aimed at preventing and combating violence against women, and to ensure susta</w:t>
      </w:r>
      <w:r w:rsidR="00224268">
        <w:rPr>
          <w:noProof/>
        </w:rPr>
        <w:t>i</w:t>
      </w:r>
      <w:r w:rsidR="00132C40" w:rsidRPr="00BB4B61">
        <w:rPr>
          <w:noProof/>
        </w:rPr>
        <w:t>nable funding for non-governmental organisations</w:t>
      </w:r>
      <w:r w:rsidR="00454B8F" w:rsidRPr="00BB4B61">
        <w:rPr>
          <w:noProof/>
        </w:rPr>
        <w:t xml:space="preserve"> (Article</w:t>
      </w:r>
      <w:r w:rsidR="00BB4B61">
        <w:rPr>
          <w:noProof/>
        </w:rPr>
        <w:t> </w:t>
      </w:r>
      <w:r w:rsidR="00B86F53" w:rsidRPr="00BB4B61">
        <w:rPr>
          <w:noProof/>
        </w:rPr>
        <w:t>8 of the Convention)</w:t>
      </w:r>
      <w:r w:rsidR="00224268">
        <w:rPr>
          <w:noProof/>
        </w:rPr>
        <w:t xml:space="preserve">; </w:t>
      </w:r>
      <w:r w:rsidR="1832F7F8" w:rsidRPr="00BB4B61">
        <w:rPr>
          <w:noProof/>
        </w:rPr>
        <w:t xml:space="preserve"> </w:t>
      </w:r>
      <w:r w:rsidR="00B86F53" w:rsidRPr="00BB4B61">
        <w:rPr>
          <w:noProof/>
        </w:rPr>
        <w:t>ensure the collection and disaggregation of data by all relevant stakeholders and to harmonise the collection of data</w:t>
      </w:r>
      <w:r w:rsidR="000F2324" w:rsidRPr="00BB4B61">
        <w:rPr>
          <w:noProof/>
        </w:rPr>
        <w:t xml:space="preserve"> (Article</w:t>
      </w:r>
      <w:r w:rsidR="00BB4B61">
        <w:rPr>
          <w:noProof/>
        </w:rPr>
        <w:t> </w:t>
      </w:r>
      <w:r w:rsidR="000F2324" w:rsidRPr="00BB4B61">
        <w:rPr>
          <w:noProof/>
        </w:rPr>
        <w:t>11 of the Convention)</w:t>
      </w:r>
      <w:r w:rsidR="00626E93">
        <w:rPr>
          <w:noProof/>
        </w:rPr>
        <w:t>; (</w:t>
      </w:r>
      <w:r w:rsidR="000F2324" w:rsidRPr="00BB4B61">
        <w:rPr>
          <w:noProof/>
        </w:rPr>
        <w:t xml:space="preserve"> </w:t>
      </w:r>
      <w:r w:rsidR="005B2EF3">
        <w:rPr>
          <w:noProof/>
        </w:rPr>
        <w:t>step up</w:t>
      </w:r>
      <w:r w:rsidR="008F2421" w:rsidRPr="00BB4B61">
        <w:rPr>
          <w:noProof/>
        </w:rPr>
        <w:t xml:space="preserve"> efforts to implement regular preventive measures</w:t>
      </w:r>
      <w:r w:rsidR="00F6490A" w:rsidRPr="00BB4B61">
        <w:rPr>
          <w:noProof/>
        </w:rPr>
        <w:t xml:space="preserve">, conduct awareness-raising campaigns and highlight the </w:t>
      </w:r>
      <w:r w:rsidR="53F7C98D" w:rsidRPr="00BB4B61">
        <w:rPr>
          <w:noProof/>
        </w:rPr>
        <w:t>increased</w:t>
      </w:r>
      <w:r w:rsidR="0009794A" w:rsidRPr="00BB4B61">
        <w:rPr>
          <w:noProof/>
        </w:rPr>
        <w:t xml:space="preserve"> risk of violence faced by victims of i</w:t>
      </w:r>
      <w:r w:rsidR="00AD295B" w:rsidRPr="00BB4B61">
        <w:rPr>
          <w:noProof/>
        </w:rPr>
        <w:t>nt</w:t>
      </w:r>
      <w:r w:rsidR="0009794A" w:rsidRPr="00BB4B61">
        <w:rPr>
          <w:noProof/>
        </w:rPr>
        <w:t>ersec</w:t>
      </w:r>
      <w:r w:rsidR="00AD295B" w:rsidRPr="00BB4B61">
        <w:rPr>
          <w:noProof/>
        </w:rPr>
        <w:t>ti</w:t>
      </w:r>
      <w:r w:rsidR="0009794A" w:rsidRPr="00BB4B61">
        <w:rPr>
          <w:noProof/>
        </w:rPr>
        <w:t>onal discrim</w:t>
      </w:r>
      <w:r w:rsidR="00626E93">
        <w:rPr>
          <w:noProof/>
        </w:rPr>
        <w:t>i</w:t>
      </w:r>
      <w:r w:rsidR="0009794A" w:rsidRPr="00BB4B61">
        <w:rPr>
          <w:noProof/>
        </w:rPr>
        <w:t>nation (Articl</w:t>
      </w:r>
      <w:r w:rsidR="0071588B" w:rsidRPr="00BB4B61">
        <w:rPr>
          <w:noProof/>
        </w:rPr>
        <w:t>e</w:t>
      </w:r>
      <w:r w:rsidR="00BB4B61">
        <w:rPr>
          <w:noProof/>
        </w:rPr>
        <w:t> </w:t>
      </w:r>
      <w:r w:rsidR="0009794A" w:rsidRPr="00BB4B61">
        <w:rPr>
          <w:noProof/>
        </w:rPr>
        <w:t>12 of the Convention)</w:t>
      </w:r>
      <w:r w:rsidR="00A12412">
        <w:rPr>
          <w:noProof/>
        </w:rPr>
        <w:t xml:space="preserve">; </w:t>
      </w:r>
      <w:r w:rsidR="0033129E" w:rsidRPr="00BB4B61">
        <w:rPr>
          <w:rFonts w:eastAsia="Times New Roman"/>
          <w:noProof/>
        </w:rPr>
        <w:t xml:space="preserve"> ensure initial and in-service training on violence against women for all relevant</w:t>
      </w:r>
      <w:r w:rsidR="00A121E9" w:rsidRPr="00BB4B61">
        <w:rPr>
          <w:rFonts w:eastAsia="Times New Roman"/>
          <w:noProof/>
        </w:rPr>
        <w:t xml:space="preserve"> </w:t>
      </w:r>
      <w:r w:rsidR="0033129E" w:rsidRPr="00BB4B61">
        <w:rPr>
          <w:rFonts w:eastAsia="Times New Roman"/>
          <w:noProof/>
        </w:rPr>
        <w:t>professional</w:t>
      </w:r>
      <w:r w:rsidR="7ADAE58E" w:rsidRPr="00BB4B61">
        <w:rPr>
          <w:rFonts w:eastAsia="Times New Roman"/>
          <w:noProof/>
        </w:rPr>
        <w:t>s</w:t>
      </w:r>
      <w:r w:rsidR="0033129E" w:rsidRPr="00BB4B61">
        <w:rPr>
          <w:rFonts w:eastAsia="Times New Roman"/>
          <w:noProof/>
        </w:rPr>
        <w:t xml:space="preserve"> </w:t>
      </w:r>
      <w:r w:rsidR="00A121E9" w:rsidRPr="00BB4B61">
        <w:rPr>
          <w:rFonts w:eastAsia="Times New Roman"/>
          <w:noProof/>
        </w:rPr>
        <w:t>(Article</w:t>
      </w:r>
      <w:r w:rsidR="00BB4B61">
        <w:rPr>
          <w:rFonts w:eastAsia="Times New Roman"/>
          <w:noProof/>
        </w:rPr>
        <w:t> </w:t>
      </w:r>
      <w:r w:rsidR="00A121E9" w:rsidRPr="00BB4B61">
        <w:rPr>
          <w:rFonts w:eastAsia="Times New Roman"/>
          <w:noProof/>
        </w:rPr>
        <w:t>15 of the Convention)</w:t>
      </w:r>
      <w:r w:rsidR="00A12412">
        <w:rPr>
          <w:rFonts w:eastAsia="Times New Roman"/>
          <w:noProof/>
        </w:rPr>
        <w:t xml:space="preserve">; </w:t>
      </w:r>
      <w:r w:rsidR="00AE31A3" w:rsidRPr="00BB4B61">
        <w:rPr>
          <w:rFonts w:eastAsia="Times New Roman"/>
          <w:noProof/>
        </w:rPr>
        <w:t xml:space="preserve"> set up and expand programmes for perpetrators</w:t>
      </w:r>
      <w:r w:rsidR="00755EBC">
        <w:rPr>
          <w:rFonts w:eastAsia="Times New Roman"/>
          <w:noProof/>
        </w:rPr>
        <w:t xml:space="preserve"> of domestic violence</w:t>
      </w:r>
      <w:r w:rsidR="003A2AA7">
        <w:rPr>
          <w:rFonts w:eastAsia="Times New Roman"/>
          <w:noProof/>
        </w:rPr>
        <w:t xml:space="preserve"> and perpetrators of sexual violence </w:t>
      </w:r>
      <w:r w:rsidR="0029509E" w:rsidRPr="00BB4B61">
        <w:rPr>
          <w:rFonts w:eastAsia="Times New Roman"/>
          <w:noProof/>
        </w:rPr>
        <w:t xml:space="preserve"> </w:t>
      </w:r>
      <w:r w:rsidR="00A22F34" w:rsidRPr="00BB4B61">
        <w:rPr>
          <w:rFonts w:eastAsia="Times New Roman"/>
          <w:noProof/>
        </w:rPr>
        <w:t>(Article</w:t>
      </w:r>
      <w:r w:rsidR="00BB4B61">
        <w:rPr>
          <w:rFonts w:eastAsia="Times New Roman"/>
          <w:noProof/>
        </w:rPr>
        <w:t> </w:t>
      </w:r>
      <w:r w:rsidR="00A22F34" w:rsidRPr="00BB4B61">
        <w:rPr>
          <w:rFonts w:eastAsia="Times New Roman"/>
          <w:noProof/>
        </w:rPr>
        <w:t>16 of the Convention)</w:t>
      </w:r>
      <w:r w:rsidR="00A12412">
        <w:rPr>
          <w:rFonts w:eastAsia="Times New Roman"/>
          <w:noProof/>
        </w:rPr>
        <w:t>;</w:t>
      </w:r>
      <w:r w:rsidR="00243A23" w:rsidRPr="00243A23">
        <w:rPr>
          <w:rFonts w:eastAsia="Times New Roman"/>
          <w:noProof/>
        </w:rPr>
        <w:t>ensure that healthcare providers give priority to women victims of violence against women and domestic violence and respect their privacy (Article 20 of the Convention);</w:t>
      </w:r>
      <w:r w:rsidR="00BB4B61" w:rsidRPr="00BB4B61">
        <w:rPr>
          <w:rFonts w:eastAsia="Times New Roman"/>
          <w:noProof/>
        </w:rPr>
        <w:t xml:space="preserve"> </w:t>
      </w:r>
      <w:r w:rsidR="00247886" w:rsidRPr="00BB4B61">
        <w:rPr>
          <w:rFonts w:eastAsia="Times New Roman"/>
          <w:noProof/>
        </w:rPr>
        <w:t xml:space="preserve"> </w:t>
      </w:r>
      <w:r w:rsidR="00A12412">
        <w:rPr>
          <w:rFonts w:eastAsia="Times New Roman"/>
          <w:noProof/>
        </w:rPr>
        <w:t>boost</w:t>
      </w:r>
      <w:r w:rsidR="00247886" w:rsidRPr="00BB4B61">
        <w:rPr>
          <w:rFonts w:eastAsia="Times New Roman"/>
          <w:noProof/>
        </w:rPr>
        <w:t xml:space="preserve"> multi-agency cooperation (Article</w:t>
      </w:r>
      <w:r w:rsidR="00BB4B61">
        <w:rPr>
          <w:rFonts w:eastAsia="Times New Roman"/>
          <w:noProof/>
        </w:rPr>
        <w:t> </w:t>
      </w:r>
      <w:r w:rsidR="00247886" w:rsidRPr="00BB4B61">
        <w:rPr>
          <w:rFonts w:eastAsia="Times New Roman"/>
          <w:noProof/>
        </w:rPr>
        <w:t>18 of the Convention)</w:t>
      </w:r>
      <w:r w:rsidR="00A12412">
        <w:rPr>
          <w:rFonts w:eastAsia="Times New Roman"/>
          <w:noProof/>
        </w:rPr>
        <w:t xml:space="preserve">; </w:t>
      </w:r>
      <w:r w:rsidR="00854C02" w:rsidRPr="00BB4B61">
        <w:rPr>
          <w:rFonts w:eastAsia="Times New Roman"/>
          <w:noProof/>
        </w:rPr>
        <w:t xml:space="preserve"> increase the availability of specialist support services</w:t>
      </w:r>
      <w:r w:rsidR="00A15B04" w:rsidRPr="00BB4B61">
        <w:rPr>
          <w:rFonts w:eastAsia="Times New Roman"/>
          <w:noProof/>
        </w:rPr>
        <w:t xml:space="preserve"> for victims </w:t>
      </w:r>
      <w:r w:rsidR="006251E4" w:rsidRPr="00BB4B61">
        <w:rPr>
          <w:rFonts w:eastAsia="Times New Roman"/>
          <w:noProof/>
        </w:rPr>
        <w:t>(</w:t>
      </w:r>
      <w:r w:rsidR="00B64615" w:rsidRPr="00BB4B61">
        <w:rPr>
          <w:rFonts w:eastAsia="Times New Roman"/>
          <w:noProof/>
        </w:rPr>
        <w:t>Article</w:t>
      </w:r>
      <w:r w:rsidR="00BB4B61">
        <w:rPr>
          <w:rFonts w:eastAsia="Times New Roman"/>
          <w:noProof/>
        </w:rPr>
        <w:t> </w:t>
      </w:r>
      <w:r w:rsidR="00B64615" w:rsidRPr="00BB4B61">
        <w:rPr>
          <w:rFonts w:eastAsia="Times New Roman"/>
          <w:noProof/>
        </w:rPr>
        <w:t>22 of the Convention</w:t>
      </w:r>
      <w:r w:rsidR="0021732F" w:rsidRPr="00BB4B61">
        <w:rPr>
          <w:rFonts w:eastAsia="Times New Roman"/>
          <w:noProof/>
        </w:rPr>
        <w:t>)</w:t>
      </w:r>
      <w:r w:rsidR="00A12412">
        <w:rPr>
          <w:rFonts w:eastAsia="Times New Roman"/>
          <w:noProof/>
        </w:rPr>
        <w:t xml:space="preserve">; </w:t>
      </w:r>
      <w:r w:rsidR="0021732F" w:rsidRPr="00BB4B61">
        <w:rPr>
          <w:rFonts w:eastAsia="Times New Roman"/>
          <w:noProof/>
        </w:rPr>
        <w:t xml:space="preserve"> set up rape crisis centres throughout the country (Article</w:t>
      </w:r>
      <w:r w:rsidR="00BB4B61">
        <w:rPr>
          <w:rFonts w:eastAsia="Times New Roman"/>
          <w:noProof/>
        </w:rPr>
        <w:t> </w:t>
      </w:r>
      <w:r w:rsidR="0021732F" w:rsidRPr="00BB4B61">
        <w:rPr>
          <w:rFonts w:eastAsia="Times New Roman"/>
          <w:noProof/>
        </w:rPr>
        <w:t>25 of the Convention)</w:t>
      </w:r>
      <w:r w:rsidR="00A12412">
        <w:rPr>
          <w:rFonts w:eastAsia="Times New Roman"/>
          <w:noProof/>
        </w:rPr>
        <w:t xml:space="preserve">; </w:t>
      </w:r>
      <w:r w:rsidR="00315952" w:rsidRPr="00BB4B61">
        <w:rPr>
          <w:noProof/>
        </w:rPr>
        <w:t xml:space="preserve"> ensure information sharing </w:t>
      </w:r>
      <w:r w:rsidR="000E4522" w:rsidRPr="00BB4B61">
        <w:rPr>
          <w:noProof/>
        </w:rPr>
        <w:t>on violence against women</w:t>
      </w:r>
      <w:r w:rsidR="00FE2ECE" w:rsidRPr="00BB4B61">
        <w:rPr>
          <w:noProof/>
        </w:rPr>
        <w:t xml:space="preserve"> </w:t>
      </w:r>
      <w:r w:rsidR="00315952" w:rsidRPr="00BB4B61">
        <w:rPr>
          <w:noProof/>
        </w:rPr>
        <w:t xml:space="preserve">between relevant </w:t>
      </w:r>
      <w:r w:rsidR="00DB7189" w:rsidRPr="00BB4B61">
        <w:rPr>
          <w:noProof/>
        </w:rPr>
        <w:t>courts</w:t>
      </w:r>
      <w:r w:rsidR="00315952" w:rsidRPr="00BB4B61">
        <w:rPr>
          <w:noProof/>
        </w:rPr>
        <w:t xml:space="preserve"> in </w:t>
      </w:r>
      <w:r w:rsidR="00F47A6A" w:rsidRPr="00BB4B61">
        <w:rPr>
          <w:noProof/>
        </w:rPr>
        <w:t>civil proceedings</w:t>
      </w:r>
      <w:r w:rsidR="00315952" w:rsidRPr="00BB4B61">
        <w:rPr>
          <w:noProof/>
        </w:rPr>
        <w:t xml:space="preserve"> (Article</w:t>
      </w:r>
      <w:r w:rsidR="00BB4B61">
        <w:rPr>
          <w:noProof/>
        </w:rPr>
        <w:t> </w:t>
      </w:r>
      <w:r w:rsidR="00315952" w:rsidRPr="00BB4B61">
        <w:rPr>
          <w:noProof/>
        </w:rPr>
        <w:t>31 of the Convention</w:t>
      </w:r>
      <w:r w:rsidR="00FE0F21" w:rsidRPr="00BB4B61">
        <w:rPr>
          <w:noProof/>
        </w:rPr>
        <w:t>)</w:t>
      </w:r>
      <w:r w:rsidR="00A12412">
        <w:rPr>
          <w:noProof/>
        </w:rPr>
        <w:t>;</w:t>
      </w:r>
      <w:r w:rsidR="007C48E8" w:rsidRPr="00BB4B61">
        <w:rPr>
          <w:noProof/>
        </w:rPr>
        <w:t xml:space="preserve"> </w:t>
      </w:r>
      <w:r w:rsidR="00A61580" w:rsidRPr="00BB4B61">
        <w:rPr>
          <w:noProof/>
        </w:rPr>
        <w:t xml:space="preserve">investigate and </w:t>
      </w:r>
      <w:r w:rsidR="00550607" w:rsidRPr="00BB4B61">
        <w:rPr>
          <w:noProof/>
        </w:rPr>
        <w:t>prosecute</w:t>
      </w:r>
      <w:r w:rsidR="00054E3B" w:rsidRPr="00BB4B61">
        <w:rPr>
          <w:noProof/>
        </w:rPr>
        <w:t xml:space="preserve"> acts of violence against women and domestic violence</w:t>
      </w:r>
      <w:r w:rsidR="00A12412" w:rsidRPr="00A12412">
        <w:rPr>
          <w:noProof/>
        </w:rPr>
        <w:t xml:space="preserve"> </w:t>
      </w:r>
      <w:r w:rsidR="00A12412" w:rsidRPr="00BB4B61">
        <w:rPr>
          <w:noProof/>
        </w:rPr>
        <w:t>effectively and in a timely manner</w:t>
      </w:r>
      <w:r w:rsidR="006355B6" w:rsidRPr="00BB4B61">
        <w:rPr>
          <w:noProof/>
        </w:rPr>
        <w:t>, in</w:t>
      </w:r>
      <w:r w:rsidR="00510246" w:rsidRPr="00BB4B61">
        <w:rPr>
          <w:noProof/>
        </w:rPr>
        <w:t>c</w:t>
      </w:r>
      <w:r w:rsidR="006355B6" w:rsidRPr="00BB4B61">
        <w:rPr>
          <w:noProof/>
        </w:rPr>
        <w:t>luding by ensuring</w:t>
      </w:r>
      <w:r w:rsidR="00D96A24" w:rsidRPr="00BB4B61">
        <w:rPr>
          <w:noProof/>
        </w:rPr>
        <w:t xml:space="preserve"> </w:t>
      </w:r>
      <w:r w:rsidR="00A12412">
        <w:rPr>
          <w:noProof/>
        </w:rPr>
        <w:t xml:space="preserve">that the </w:t>
      </w:r>
      <w:r w:rsidR="00D96A24" w:rsidRPr="00BB4B61">
        <w:rPr>
          <w:noProof/>
        </w:rPr>
        <w:t>relevant professionals</w:t>
      </w:r>
      <w:r w:rsidR="00E37BE8" w:rsidRPr="00BB4B61">
        <w:rPr>
          <w:noProof/>
        </w:rPr>
        <w:t xml:space="preserve"> </w:t>
      </w:r>
      <w:r w:rsidR="00A12412">
        <w:rPr>
          <w:noProof/>
        </w:rPr>
        <w:t xml:space="preserve">have the expertise required </w:t>
      </w:r>
      <w:r w:rsidR="00E37BE8" w:rsidRPr="00BB4B61">
        <w:rPr>
          <w:noProof/>
        </w:rPr>
        <w:t>(</w:t>
      </w:r>
      <w:r w:rsidR="008866D4" w:rsidRPr="00BB4B61">
        <w:rPr>
          <w:noProof/>
        </w:rPr>
        <w:t>Article</w:t>
      </w:r>
      <w:r w:rsidR="00BB4B61">
        <w:rPr>
          <w:noProof/>
        </w:rPr>
        <w:t> </w:t>
      </w:r>
      <w:r w:rsidR="008866D4" w:rsidRPr="00BB4B61">
        <w:rPr>
          <w:noProof/>
        </w:rPr>
        <w:t>49 and 50 of the Convention)</w:t>
      </w:r>
      <w:r w:rsidR="00A12412">
        <w:rPr>
          <w:noProof/>
        </w:rPr>
        <w:t xml:space="preserve">; </w:t>
      </w:r>
      <w:r w:rsidR="008B6071" w:rsidRPr="00BB4B61">
        <w:rPr>
          <w:noProof/>
        </w:rPr>
        <w:t xml:space="preserve"> ensure that risk assessment</w:t>
      </w:r>
      <w:r w:rsidR="008F5E34" w:rsidRPr="00BB4B61">
        <w:rPr>
          <w:noProof/>
        </w:rPr>
        <w:t>s are systematically carried out</w:t>
      </w:r>
      <w:r w:rsidR="007E36C8" w:rsidRPr="00BB4B61">
        <w:rPr>
          <w:noProof/>
        </w:rPr>
        <w:t xml:space="preserve"> in cases of domestic violence</w:t>
      </w:r>
      <w:r w:rsidR="00D96A24" w:rsidRPr="00BB4B61">
        <w:rPr>
          <w:noProof/>
        </w:rPr>
        <w:t xml:space="preserve"> </w:t>
      </w:r>
      <w:r w:rsidR="00CB6355" w:rsidRPr="00BB4B61">
        <w:rPr>
          <w:noProof/>
        </w:rPr>
        <w:t>in collaboration with relevant</w:t>
      </w:r>
      <w:r w:rsidR="003241C9" w:rsidRPr="00BB4B61">
        <w:rPr>
          <w:noProof/>
        </w:rPr>
        <w:t xml:space="preserve"> competent authorities</w:t>
      </w:r>
      <w:r w:rsidR="0033518F" w:rsidRPr="00BB4B61">
        <w:rPr>
          <w:noProof/>
        </w:rPr>
        <w:t xml:space="preserve"> (Article</w:t>
      </w:r>
      <w:r w:rsidR="00BB4B61">
        <w:rPr>
          <w:noProof/>
        </w:rPr>
        <w:t> </w:t>
      </w:r>
      <w:r w:rsidR="0033518F" w:rsidRPr="00BB4B61">
        <w:rPr>
          <w:noProof/>
        </w:rPr>
        <w:t>51 of the Convention)</w:t>
      </w:r>
      <w:r w:rsidR="006A2219">
        <w:rPr>
          <w:noProof/>
        </w:rPr>
        <w:t xml:space="preserve">; </w:t>
      </w:r>
      <w:r w:rsidR="00C0734F" w:rsidRPr="00BB4B61">
        <w:rPr>
          <w:noProof/>
        </w:rPr>
        <w:t xml:space="preserve"> ensure that emergency barring orders</w:t>
      </w:r>
      <w:r w:rsidR="00EB6375" w:rsidRPr="00BB4B61">
        <w:rPr>
          <w:noProof/>
        </w:rPr>
        <w:t xml:space="preserve"> are available to all victims of violence against women</w:t>
      </w:r>
      <w:r w:rsidR="00523C15" w:rsidRPr="00BB4B61">
        <w:rPr>
          <w:noProof/>
        </w:rPr>
        <w:t>, including children</w:t>
      </w:r>
      <w:r w:rsidR="006A2219">
        <w:rPr>
          <w:noProof/>
        </w:rPr>
        <w:t xml:space="preserve"> </w:t>
      </w:r>
      <w:r w:rsidR="006A2219" w:rsidRPr="00BB4B61">
        <w:rPr>
          <w:noProof/>
        </w:rPr>
        <w:t>(Articles 52</w:t>
      </w:r>
      <w:r w:rsidR="006A2219">
        <w:rPr>
          <w:noProof/>
        </w:rPr>
        <w:t xml:space="preserve"> of the Convention); )</w:t>
      </w:r>
      <w:r w:rsidR="00523C15" w:rsidRPr="00BB4B61">
        <w:rPr>
          <w:noProof/>
        </w:rPr>
        <w:t xml:space="preserve"> ensure that protection orders are effectively monitored and breaches sanctioned </w:t>
      </w:r>
      <w:r w:rsidR="006A2219">
        <w:rPr>
          <w:noProof/>
        </w:rPr>
        <w:t xml:space="preserve">(Article </w:t>
      </w:r>
      <w:r w:rsidR="00523C15" w:rsidRPr="00BB4B61">
        <w:rPr>
          <w:noProof/>
        </w:rPr>
        <w:t>53 of the Convention)</w:t>
      </w:r>
      <w:r w:rsidR="006A2219">
        <w:rPr>
          <w:noProof/>
        </w:rPr>
        <w:t>;</w:t>
      </w:r>
      <w:r w:rsidR="006A4AA8" w:rsidRPr="00BB4B61">
        <w:rPr>
          <w:noProof/>
        </w:rPr>
        <w:t xml:space="preserve"> </w:t>
      </w:r>
      <w:r w:rsidR="00AE5944" w:rsidRPr="00BB4B61">
        <w:rPr>
          <w:noProof/>
        </w:rPr>
        <w:t xml:space="preserve">and </w:t>
      </w:r>
      <w:r w:rsidR="006A4AA8" w:rsidRPr="00BB4B61">
        <w:rPr>
          <w:noProof/>
        </w:rPr>
        <w:t xml:space="preserve"> ensure</w:t>
      </w:r>
      <w:r w:rsidR="002627B7" w:rsidRPr="00BB4B61">
        <w:rPr>
          <w:noProof/>
        </w:rPr>
        <w:t xml:space="preserve"> the effective use of existing protection measures and </w:t>
      </w:r>
      <w:r w:rsidR="000A29ED" w:rsidRPr="00BB4B61">
        <w:rPr>
          <w:noProof/>
        </w:rPr>
        <w:t xml:space="preserve">to </w:t>
      </w:r>
      <w:r w:rsidR="002627B7" w:rsidRPr="00BB4B61">
        <w:rPr>
          <w:noProof/>
        </w:rPr>
        <w:t xml:space="preserve">introduce additional protection measures in line with the Convention </w:t>
      </w:r>
      <w:r w:rsidR="000A29ED" w:rsidRPr="00BB4B61">
        <w:rPr>
          <w:noProof/>
        </w:rPr>
        <w:t>(Article</w:t>
      </w:r>
      <w:r w:rsidR="00BB4B61">
        <w:rPr>
          <w:noProof/>
        </w:rPr>
        <w:t> </w:t>
      </w:r>
      <w:r w:rsidR="000A29ED" w:rsidRPr="00BB4B61">
        <w:rPr>
          <w:noProof/>
        </w:rPr>
        <w:t>56 of the Con</w:t>
      </w:r>
      <w:r w:rsidR="006C1532" w:rsidRPr="00BB4B61">
        <w:rPr>
          <w:noProof/>
        </w:rPr>
        <w:t>ven</w:t>
      </w:r>
      <w:r w:rsidR="000A29ED" w:rsidRPr="00BB4B61">
        <w:rPr>
          <w:noProof/>
        </w:rPr>
        <w:t>tion</w:t>
      </w:r>
      <w:r w:rsidR="006C1532" w:rsidRPr="00BB4B61">
        <w:rPr>
          <w:noProof/>
        </w:rPr>
        <w:t>)</w:t>
      </w:r>
      <w:r w:rsidR="000A29ED" w:rsidRPr="00BB4B61">
        <w:rPr>
          <w:noProof/>
        </w:rPr>
        <w:t xml:space="preserve">. </w:t>
      </w:r>
      <w:r w:rsidR="00FF4C1C" w:rsidRPr="00BB4B61">
        <w:rPr>
          <w:noProof/>
        </w:rPr>
        <w:t xml:space="preserve">As the recommendations on these matters are in line with the Union’s policies and objectives in the area of judicial cooperation in criminal matters and do not raise any concerns with respect to Union law, the position of the Union should be to not object to the adoption of the recommendation addressed to </w:t>
      </w:r>
      <w:r w:rsidR="000A29ED" w:rsidRPr="00BB4B61">
        <w:rPr>
          <w:noProof/>
        </w:rPr>
        <w:t>Montenegro</w:t>
      </w:r>
      <w:r w:rsidR="00FF4C1C" w:rsidRPr="00BB4B61">
        <w:rPr>
          <w:noProof/>
        </w:rPr>
        <w:t>.</w:t>
      </w:r>
    </w:p>
    <w:p w:rsidR="006C1532" w:rsidRPr="00BB4B61" w:rsidRDefault="00910FBB" w:rsidP="00910FBB">
      <w:pPr>
        <w:pStyle w:val="ManualConsidrant"/>
        <w:rPr>
          <w:noProof/>
        </w:rPr>
      </w:pPr>
      <w:r w:rsidRPr="00910FBB">
        <w:rPr>
          <w:noProof/>
        </w:rPr>
        <w:t>(14)</w:t>
      </w:r>
      <w:r w:rsidRPr="00910FBB">
        <w:rPr>
          <w:noProof/>
        </w:rPr>
        <w:tab/>
      </w:r>
      <w:r w:rsidR="00AE0921" w:rsidRPr="00BB4B61">
        <w:rPr>
          <w:noProof/>
        </w:rPr>
        <w:t xml:space="preserve">As regards </w:t>
      </w:r>
      <w:r w:rsidR="001038DB" w:rsidRPr="00BB4B61">
        <w:rPr>
          <w:noProof/>
        </w:rPr>
        <w:t>Spain</w:t>
      </w:r>
      <w:r w:rsidR="00AE0921" w:rsidRPr="00BB4B61">
        <w:rPr>
          <w:noProof/>
        </w:rPr>
        <w:t xml:space="preserve">, the draft recommendation on its implementation of the Convention includes </w:t>
      </w:r>
      <w:r w:rsidR="0058521C">
        <w:rPr>
          <w:noProof/>
        </w:rPr>
        <w:t xml:space="preserve">the need </w:t>
      </w:r>
      <w:r w:rsidR="00AE0921" w:rsidRPr="00BB4B61">
        <w:rPr>
          <w:noProof/>
        </w:rPr>
        <w:t xml:space="preserve">to </w:t>
      </w:r>
      <w:r w:rsidR="0058521C">
        <w:rPr>
          <w:noProof/>
        </w:rPr>
        <w:t xml:space="preserve"> </w:t>
      </w:r>
      <w:r w:rsidR="00E862F4" w:rsidRPr="00BB4B61">
        <w:rPr>
          <w:noProof/>
        </w:rPr>
        <w:t xml:space="preserve">ensure </w:t>
      </w:r>
      <w:r w:rsidR="0055451D" w:rsidRPr="00BB4B61">
        <w:rPr>
          <w:noProof/>
        </w:rPr>
        <w:t>implementation of existing policies</w:t>
      </w:r>
      <w:r w:rsidR="00432BB9" w:rsidRPr="00BB4B61">
        <w:rPr>
          <w:noProof/>
        </w:rPr>
        <w:t xml:space="preserve"> </w:t>
      </w:r>
      <w:r w:rsidR="0055451D" w:rsidRPr="00BB4B61">
        <w:rPr>
          <w:noProof/>
        </w:rPr>
        <w:t>to prevent and combat violence against women and domestic violence</w:t>
      </w:r>
      <w:r w:rsidR="00B978B0" w:rsidRPr="00BB4B61">
        <w:rPr>
          <w:noProof/>
        </w:rPr>
        <w:t xml:space="preserve">, </w:t>
      </w:r>
      <w:r w:rsidR="00117C98" w:rsidRPr="00BB4B61">
        <w:rPr>
          <w:noProof/>
        </w:rPr>
        <w:t xml:space="preserve">and to involve </w:t>
      </w:r>
      <w:r w:rsidR="00BC7B2C" w:rsidRPr="00BB4B61">
        <w:rPr>
          <w:noProof/>
        </w:rPr>
        <w:t>non-governmental organisations</w:t>
      </w:r>
      <w:r w:rsidR="00117C98" w:rsidRPr="00BB4B61">
        <w:rPr>
          <w:noProof/>
        </w:rPr>
        <w:t xml:space="preserve"> in policymaking</w:t>
      </w:r>
      <w:r w:rsidR="00527241" w:rsidRPr="00BB4B61">
        <w:rPr>
          <w:noProof/>
        </w:rPr>
        <w:t xml:space="preserve"> and in the evaluation </w:t>
      </w:r>
      <w:r w:rsidR="00196D9F" w:rsidRPr="00BB4B61">
        <w:rPr>
          <w:noProof/>
        </w:rPr>
        <w:t>of policies and measures (Article</w:t>
      </w:r>
      <w:r w:rsidR="00BB4B61">
        <w:rPr>
          <w:noProof/>
        </w:rPr>
        <w:t> </w:t>
      </w:r>
      <w:r w:rsidR="00196D9F" w:rsidRPr="00BB4B61">
        <w:rPr>
          <w:noProof/>
        </w:rPr>
        <w:t>7 of the Convention)</w:t>
      </w:r>
      <w:r w:rsidR="0058521C">
        <w:rPr>
          <w:noProof/>
        </w:rPr>
        <w:t xml:space="preserve">; </w:t>
      </w:r>
      <w:r w:rsidR="007420A9" w:rsidRPr="00BB4B61">
        <w:rPr>
          <w:noProof/>
        </w:rPr>
        <w:t xml:space="preserve"> ensure </w:t>
      </w:r>
      <w:r w:rsidR="000B526B" w:rsidRPr="00BB4B61">
        <w:rPr>
          <w:noProof/>
        </w:rPr>
        <w:t xml:space="preserve">that </w:t>
      </w:r>
      <w:r w:rsidR="007420A9" w:rsidRPr="00BB4B61">
        <w:rPr>
          <w:noProof/>
        </w:rPr>
        <w:t>data collected are disaggregated</w:t>
      </w:r>
      <w:r w:rsidR="003B0C3D" w:rsidRPr="00BB4B61">
        <w:rPr>
          <w:noProof/>
        </w:rPr>
        <w:t xml:space="preserve"> and to harmonise data collection</w:t>
      </w:r>
      <w:r w:rsidR="00375A53" w:rsidRPr="00BB4B61">
        <w:rPr>
          <w:noProof/>
        </w:rPr>
        <w:t xml:space="preserve"> (Article</w:t>
      </w:r>
      <w:r w:rsidR="00BB4B61">
        <w:rPr>
          <w:noProof/>
        </w:rPr>
        <w:t> </w:t>
      </w:r>
      <w:r w:rsidR="00375A53" w:rsidRPr="00BB4B61">
        <w:rPr>
          <w:noProof/>
        </w:rPr>
        <w:t>11 of the Convention</w:t>
      </w:r>
      <w:r w:rsidR="00375A53" w:rsidRPr="006017BD">
        <w:rPr>
          <w:noProof/>
        </w:rPr>
        <w:t>)</w:t>
      </w:r>
      <w:r w:rsidR="003A291E" w:rsidRPr="006017BD">
        <w:rPr>
          <w:noProof/>
        </w:rPr>
        <w:t xml:space="preserve">; </w:t>
      </w:r>
      <w:r w:rsidR="00F32C32" w:rsidRPr="006017BD">
        <w:rPr>
          <w:noProof/>
        </w:rPr>
        <w:t xml:space="preserve"> </w:t>
      </w:r>
      <w:r w:rsidR="00B90E92" w:rsidRPr="006017BD">
        <w:rPr>
          <w:noProof/>
        </w:rPr>
        <w:t>teach children about</w:t>
      </w:r>
      <w:r w:rsidR="00F32C32" w:rsidRPr="006017BD">
        <w:rPr>
          <w:noProof/>
        </w:rPr>
        <w:t xml:space="preserve"> the central role of consent in sexual relationship</w:t>
      </w:r>
      <w:r w:rsidR="000656BD" w:rsidRPr="006017BD">
        <w:rPr>
          <w:noProof/>
        </w:rPr>
        <w:t>s (Article</w:t>
      </w:r>
      <w:r w:rsidR="00BB4B61" w:rsidRPr="006017BD">
        <w:rPr>
          <w:noProof/>
        </w:rPr>
        <w:t> </w:t>
      </w:r>
      <w:r w:rsidR="000656BD" w:rsidRPr="006017BD">
        <w:rPr>
          <w:noProof/>
        </w:rPr>
        <w:t>14 of the Convention)</w:t>
      </w:r>
      <w:r w:rsidR="003A291E" w:rsidRPr="006017BD">
        <w:rPr>
          <w:noProof/>
        </w:rPr>
        <w:t xml:space="preserve">; </w:t>
      </w:r>
      <w:r w:rsidR="009B06B2" w:rsidRPr="006017BD">
        <w:rPr>
          <w:noProof/>
        </w:rPr>
        <w:t xml:space="preserve"> step up </w:t>
      </w:r>
      <w:r w:rsidR="009C759C" w:rsidRPr="006017BD">
        <w:rPr>
          <w:noProof/>
        </w:rPr>
        <w:t xml:space="preserve">the </w:t>
      </w:r>
      <w:r w:rsidR="009B06B2" w:rsidRPr="006017BD">
        <w:rPr>
          <w:noProof/>
        </w:rPr>
        <w:t xml:space="preserve">training of all </w:t>
      </w:r>
      <w:r w:rsidR="009C759C" w:rsidRPr="006017BD">
        <w:rPr>
          <w:noProof/>
        </w:rPr>
        <w:t xml:space="preserve">relevant </w:t>
      </w:r>
      <w:r w:rsidR="009B06B2" w:rsidRPr="006017BD">
        <w:rPr>
          <w:noProof/>
        </w:rPr>
        <w:t xml:space="preserve">professionals </w:t>
      </w:r>
      <w:r w:rsidR="009C759C" w:rsidRPr="006017BD">
        <w:rPr>
          <w:noProof/>
        </w:rPr>
        <w:t>(Article</w:t>
      </w:r>
      <w:r w:rsidR="00BB4B61" w:rsidRPr="006017BD">
        <w:rPr>
          <w:noProof/>
        </w:rPr>
        <w:t> </w:t>
      </w:r>
      <w:r w:rsidR="009C759C" w:rsidRPr="006017BD">
        <w:rPr>
          <w:noProof/>
        </w:rPr>
        <w:t>15 of the Conv</w:t>
      </w:r>
      <w:r w:rsidR="009C759C" w:rsidRPr="00BB4B61">
        <w:rPr>
          <w:noProof/>
        </w:rPr>
        <w:t>ention)</w:t>
      </w:r>
      <w:r w:rsidR="003A291E">
        <w:rPr>
          <w:noProof/>
        </w:rPr>
        <w:t xml:space="preserve">; </w:t>
      </w:r>
      <w:r w:rsidR="00FE3026" w:rsidRPr="00BB4B61">
        <w:rPr>
          <w:rFonts w:eastAsia="Times New Roman"/>
          <w:noProof/>
        </w:rPr>
        <w:t xml:space="preserve"> improve the compliance of perpetrator programmes with the Convention (Article</w:t>
      </w:r>
      <w:r w:rsidR="00BB4B61">
        <w:rPr>
          <w:rFonts w:eastAsia="Times New Roman"/>
          <w:noProof/>
        </w:rPr>
        <w:t> </w:t>
      </w:r>
      <w:r w:rsidR="00FE3026" w:rsidRPr="00BB4B61">
        <w:rPr>
          <w:rFonts w:eastAsia="Times New Roman"/>
          <w:noProof/>
        </w:rPr>
        <w:t>16 of the Convention)</w:t>
      </w:r>
      <w:r w:rsidR="003A291E">
        <w:rPr>
          <w:rFonts w:eastAsia="Times New Roman"/>
          <w:noProof/>
        </w:rPr>
        <w:t xml:space="preserve">; </w:t>
      </w:r>
      <w:r w:rsidR="00E64E7C" w:rsidRPr="00BB4B61">
        <w:rPr>
          <w:rFonts w:eastAsia="Times New Roman"/>
          <w:noProof/>
        </w:rPr>
        <w:t xml:space="preserve"> set up multi-agency cooperation mechanisms</w:t>
      </w:r>
      <w:r w:rsidR="00663942" w:rsidRPr="00BB4B61">
        <w:rPr>
          <w:rFonts w:eastAsia="Times New Roman"/>
          <w:noProof/>
        </w:rPr>
        <w:t xml:space="preserve"> </w:t>
      </w:r>
      <w:r w:rsidR="002E13B3" w:rsidRPr="00BB4B61">
        <w:rPr>
          <w:rFonts w:eastAsia="Times New Roman"/>
          <w:noProof/>
        </w:rPr>
        <w:t xml:space="preserve">with all relevant actors </w:t>
      </w:r>
      <w:r w:rsidR="00663942" w:rsidRPr="00BB4B61">
        <w:rPr>
          <w:rFonts w:eastAsia="Times New Roman"/>
          <w:noProof/>
        </w:rPr>
        <w:t>on all forms of violence covered by the Convention</w:t>
      </w:r>
      <w:r w:rsidR="004B0E20">
        <w:rPr>
          <w:rFonts w:eastAsia="Times New Roman"/>
          <w:noProof/>
        </w:rPr>
        <w:t xml:space="preserve"> and to set up one-stop-shop services</w:t>
      </w:r>
      <w:r w:rsidR="00DC104D">
        <w:rPr>
          <w:rFonts w:eastAsia="Times New Roman"/>
          <w:noProof/>
        </w:rPr>
        <w:t xml:space="preserve"> where appropriate</w:t>
      </w:r>
      <w:r w:rsidR="00D6250C" w:rsidRPr="00BB4B61">
        <w:rPr>
          <w:rFonts w:eastAsia="Times New Roman"/>
          <w:noProof/>
        </w:rPr>
        <w:t xml:space="preserve"> (Article</w:t>
      </w:r>
      <w:r w:rsidR="00BB4B61">
        <w:rPr>
          <w:rFonts w:eastAsia="Times New Roman"/>
          <w:noProof/>
        </w:rPr>
        <w:t> </w:t>
      </w:r>
      <w:r w:rsidR="00D6250C" w:rsidRPr="00BB4B61">
        <w:rPr>
          <w:rFonts w:eastAsia="Times New Roman"/>
          <w:noProof/>
        </w:rPr>
        <w:t>18 of the Convention)</w:t>
      </w:r>
      <w:r w:rsidR="003A291E">
        <w:rPr>
          <w:rFonts w:eastAsia="Times New Roman"/>
          <w:noProof/>
        </w:rPr>
        <w:t xml:space="preserve">; </w:t>
      </w:r>
      <w:r w:rsidR="001D5DB2" w:rsidRPr="00BB4B61">
        <w:rPr>
          <w:rFonts w:eastAsia="Times New Roman"/>
          <w:noProof/>
        </w:rPr>
        <w:t xml:space="preserve"> ensure all victims of sexual violence have access to support services</w:t>
      </w:r>
      <w:r w:rsidR="00BB34ED" w:rsidRPr="00BB4B61">
        <w:rPr>
          <w:rFonts w:eastAsia="Times New Roman"/>
          <w:noProof/>
        </w:rPr>
        <w:t xml:space="preserve"> (Article</w:t>
      </w:r>
      <w:r w:rsidR="00BB4B61">
        <w:rPr>
          <w:rFonts w:eastAsia="Times New Roman"/>
          <w:noProof/>
        </w:rPr>
        <w:t> </w:t>
      </w:r>
      <w:r w:rsidR="00BB34ED" w:rsidRPr="00BB4B61">
        <w:rPr>
          <w:rFonts w:eastAsia="Times New Roman"/>
          <w:noProof/>
        </w:rPr>
        <w:t>25 of the Convention)</w:t>
      </w:r>
      <w:r w:rsidR="003A291E">
        <w:rPr>
          <w:rFonts w:eastAsia="Times New Roman"/>
          <w:noProof/>
        </w:rPr>
        <w:t>;</w:t>
      </w:r>
      <w:r w:rsidR="00AC3B6C" w:rsidRPr="00BB4B61">
        <w:rPr>
          <w:rFonts w:eastAsia="Times New Roman"/>
          <w:noProof/>
        </w:rPr>
        <w:t xml:space="preserve"> strengthen information </w:t>
      </w:r>
      <w:r w:rsidR="00E95698" w:rsidRPr="00BB4B61">
        <w:rPr>
          <w:rFonts w:eastAsia="Times New Roman"/>
          <w:noProof/>
        </w:rPr>
        <w:t xml:space="preserve">sharing </w:t>
      </w:r>
      <w:r w:rsidR="00AC3B6C" w:rsidRPr="00BB4B61">
        <w:rPr>
          <w:rFonts w:eastAsia="Times New Roman"/>
          <w:noProof/>
        </w:rPr>
        <w:t>between civil courts and criminal courts</w:t>
      </w:r>
      <w:r w:rsidR="00126120" w:rsidRPr="00BB4B61">
        <w:rPr>
          <w:rFonts w:eastAsia="Times New Roman"/>
          <w:noProof/>
        </w:rPr>
        <w:t xml:space="preserve"> and</w:t>
      </w:r>
      <w:r w:rsidR="00A47200" w:rsidRPr="00BB4B61">
        <w:rPr>
          <w:rFonts w:eastAsia="Times New Roman"/>
          <w:noProof/>
        </w:rPr>
        <w:t xml:space="preserve"> </w:t>
      </w:r>
      <w:r w:rsidR="003A291E">
        <w:rPr>
          <w:rFonts w:eastAsia="Times New Roman"/>
          <w:noProof/>
        </w:rPr>
        <w:t>boost</w:t>
      </w:r>
      <w:r w:rsidR="00126120" w:rsidRPr="00BB4B61">
        <w:rPr>
          <w:rFonts w:eastAsia="Times New Roman"/>
          <w:noProof/>
        </w:rPr>
        <w:t xml:space="preserve"> measures to ensure that supervised visitation facilities are </w:t>
      </w:r>
      <w:r w:rsidR="003A291E">
        <w:rPr>
          <w:rFonts w:eastAsia="Times New Roman"/>
          <w:noProof/>
        </w:rPr>
        <w:t>sufficiently</w:t>
      </w:r>
      <w:r w:rsidR="00126120" w:rsidRPr="00BB4B61">
        <w:rPr>
          <w:rFonts w:eastAsia="Times New Roman"/>
          <w:noProof/>
        </w:rPr>
        <w:t xml:space="preserve"> resourced</w:t>
      </w:r>
      <w:r w:rsidR="00A47200" w:rsidRPr="00BB4B61">
        <w:rPr>
          <w:rFonts w:eastAsia="Times New Roman"/>
          <w:noProof/>
        </w:rPr>
        <w:t xml:space="preserve"> (Article</w:t>
      </w:r>
      <w:r w:rsidR="00BB4B61">
        <w:rPr>
          <w:rFonts w:eastAsia="Times New Roman"/>
          <w:noProof/>
        </w:rPr>
        <w:t> </w:t>
      </w:r>
      <w:r w:rsidR="00A47200" w:rsidRPr="00BB4B61">
        <w:rPr>
          <w:rFonts w:eastAsia="Times New Roman"/>
          <w:noProof/>
        </w:rPr>
        <w:t>31 of the Convention)</w:t>
      </w:r>
      <w:r w:rsidR="003A291E">
        <w:rPr>
          <w:rFonts w:eastAsia="Times New Roman"/>
          <w:noProof/>
        </w:rPr>
        <w:t xml:space="preserve">; </w:t>
      </w:r>
      <w:r w:rsidR="00EB7EFD" w:rsidRPr="00BB4B61">
        <w:rPr>
          <w:rFonts w:eastAsia="Times New Roman"/>
          <w:noProof/>
        </w:rPr>
        <w:t xml:space="preserve"> address factors that prevent victims from reporting</w:t>
      </w:r>
      <w:r w:rsidR="00915A1E" w:rsidRPr="00BB4B61">
        <w:rPr>
          <w:rFonts w:eastAsia="Times New Roman"/>
          <w:noProof/>
        </w:rPr>
        <w:t xml:space="preserve"> and</w:t>
      </w:r>
      <w:r w:rsidR="00EB7EFD" w:rsidRPr="00BB4B61">
        <w:rPr>
          <w:rFonts w:eastAsia="Times New Roman"/>
          <w:noProof/>
        </w:rPr>
        <w:t xml:space="preserve"> that lead to secondary victi</w:t>
      </w:r>
      <w:r w:rsidR="007F6CEC" w:rsidRPr="00BB4B61">
        <w:rPr>
          <w:rFonts w:eastAsia="Times New Roman"/>
          <w:noProof/>
        </w:rPr>
        <w:t>m</w:t>
      </w:r>
      <w:r w:rsidR="00EB7EFD" w:rsidRPr="00BB4B61">
        <w:rPr>
          <w:rFonts w:eastAsia="Times New Roman"/>
          <w:noProof/>
        </w:rPr>
        <w:t>isation</w:t>
      </w:r>
      <w:r w:rsidR="000A69C6" w:rsidRPr="00BB4B61">
        <w:rPr>
          <w:rFonts w:eastAsia="Times New Roman"/>
          <w:noProof/>
        </w:rPr>
        <w:t xml:space="preserve"> (Articles 49 and 50 of the Convention)</w:t>
      </w:r>
      <w:r w:rsidR="003A291E">
        <w:rPr>
          <w:rFonts w:eastAsia="Times New Roman"/>
          <w:noProof/>
        </w:rPr>
        <w:t>;</w:t>
      </w:r>
      <w:r w:rsidR="000062F1" w:rsidRPr="00BB4B61">
        <w:rPr>
          <w:rFonts w:eastAsia="Times New Roman"/>
          <w:noProof/>
        </w:rPr>
        <w:t xml:space="preserve"> and  ensure competent authorities</w:t>
      </w:r>
      <w:r w:rsidR="00B91EE2" w:rsidRPr="00BB4B61">
        <w:rPr>
          <w:rFonts w:eastAsia="Times New Roman"/>
          <w:noProof/>
        </w:rPr>
        <w:t xml:space="preserve"> have access to emergency barring orders in line with the Convention</w:t>
      </w:r>
      <w:r w:rsidR="003A291E">
        <w:rPr>
          <w:rFonts w:eastAsia="Times New Roman"/>
          <w:noProof/>
        </w:rPr>
        <w:t xml:space="preserve"> (Article 52 of the Convention);</w:t>
      </w:r>
      <w:r w:rsidR="00BB4B61" w:rsidRPr="00BB4B61">
        <w:rPr>
          <w:rFonts w:eastAsia="Times New Roman"/>
          <w:noProof/>
        </w:rPr>
        <w:t xml:space="preserve"> </w:t>
      </w:r>
      <w:r w:rsidR="2F82E664" w:rsidRPr="00BB4B61">
        <w:rPr>
          <w:rFonts w:eastAsia="Times New Roman"/>
          <w:noProof/>
        </w:rPr>
        <w:t xml:space="preserve">and </w:t>
      </w:r>
      <w:r w:rsidR="00FA6F99">
        <w:rPr>
          <w:rFonts w:eastAsia="Times New Roman"/>
          <w:noProof/>
        </w:rPr>
        <w:t xml:space="preserve"> </w:t>
      </w:r>
      <w:r w:rsidR="41FB7A63" w:rsidRPr="00BB4B61">
        <w:rPr>
          <w:rFonts w:eastAsia="Times New Roman"/>
          <w:noProof/>
        </w:rPr>
        <w:t>take</w:t>
      </w:r>
      <w:r w:rsidR="00AE5944" w:rsidRPr="00BB4B61">
        <w:rPr>
          <w:rFonts w:eastAsia="Times New Roman"/>
          <w:noProof/>
        </w:rPr>
        <w:t xml:space="preserve"> measures to </w:t>
      </w:r>
      <w:r w:rsidR="003A291E">
        <w:rPr>
          <w:rFonts w:eastAsia="Times New Roman"/>
          <w:noProof/>
        </w:rPr>
        <w:t>properly</w:t>
      </w:r>
      <w:r w:rsidR="5D6B0E5A" w:rsidRPr="00BB4B61">
        <w:rPr>
          <w:rFonts w:eastAsia="Times New Roman"/>
          <w:noProof/>
        </w:rPr>
        <w:t xml:space="preserve"> </w:t>
      </w:r>
      <w:r w:rsidR="00AE5944" w:rsidRPr="00BB4B61">
        <w:rPr>
          <w:rFonts w:eastAsia="Times New Roman"/>
          <w:noProof/>
        </w:rPr>
        <w:t>address breaches of protection orders (Article</w:t>
      </w:r>
      <w:r w:rsidR="00BB4B61">
        <w:rPr>
          <w:rFonts w:eastAsia="Times New Roman"/>
          <w:noProof/>
        </w:rPr>
        <w:t> </w:t>
      </w:r>
      <w:r w:rsidR="00AE5944" w:rsidRPr="00BB4B61">
        <w:rPr>
          <w:rFonts w:eastAsia="Times New Roman"/>
          <w:noProof/>
        </w:rPr>
        <w:t>53 of the Convention)</w:t>
      </w:r>
      <w:r w:rsidR="006C1532" w:rsidRPr="00BB4B61">
        <w:rPr>
          <w:rFonts w:eastAsia="Times New Roman"/>
          <w:noProof/>
        </w:rPr>
        <w:t xml:space="preserve">. </w:t>
      </w:r>
      <w:r w:rsidR="006C1532" w:rsidRPr="00BB4B61">
        <w:rPr>
          <w:noProof/>
        </w:rPr>
        <w:t>As the recommendations on these matters are in line with the Union’s policies and objectives in the area of judicial cooperation in criminal matters and do not raise any concerns with respect to Union law, the position of the Union should be to not object to the adoption of the recommendation addressed to Spain.</w:t>
      </w:r>
    </w:p>
    <w:p w:rsidR="000B0E40" w:rsidRPr="00BB4B61" w:rsidRDefault="00910FBB" w:rsidP="00910FBB">
      <w:pPr>
        <w:pStyle w:val="ManualConsidrant"/>
        <w:rPr>
          <w:noProof/>
        </w:rPr>
      </w:pPr>
      <w:r w:rsidRPr="00910FBB">
        <w:rPr>
          <w:noProof/>
        </w:rPr>
        <w:t>(15)</w:t>
      </w:r>
      <w:r w:rsidRPr="00910FBB">
        <w:rPr>
          <w:noProof/>
        </w:rPr>
        <w:tab/>
      </w:r>
      <w:r w:rsidR="00B25B6D" w:rsidRPr="00BB4B61">
        <w:rPr>
          <w:noProof/>
        </w:rPr>
        <w:t xml:space="preserve">As regards Sweden, the draft recommendation on its implementation of the Convention </w:t>
      </w:r>
      <w:r w:rsidR="00A22AD4">
        <w:rPr>
          <w:noProof/>
        </w:rPr>
        <w:t>requires</w:t>
      </w:r>
      <w:r w:rsidR="007574AE" w:rsidRPr="00BB4B61">
        <w:rPr>
          <w:noProof/>
        </w:rPr>
        <w:t xml:space="preserve"> that policies on violence against women </w:t>
      </w:r>
      <w:r w:rsidR="00397896">
        <w:rPr>
          <w:noProof/>
        </w:rPr>
        <w:t>consider</w:t>
      </w:r>
      <w:r w:rsidR="007574AE" w:rsidRPr="00BB4B61">
        <w:rPr>
          <w:noProof/>
        </w:rPr>
        <w:t xml:space="preserve"> </w:t>
      </w:r>
      <w:r w:rsidR="005D79CE" w:rsidRPr="00BB4B61">
        <w:rPr>
          <w:noProof/>
        </w:rPr>
        <w:t>the needs of victims exposed to intersectional discrimination</w:t>
      </w:r>
      <w:r w:rsidR="008F6FFD" w:rsidRPr="00BB4B61">
        <w:rPr>
          <w:noProof/>
        </w:rPr>
        <w:t xml:space="preserve"> </w:t>
      </w:r>
      <w:r w:rsidR="003B06DF">
        <w:rPr>
          <w:noProof/>
        </w:rPr>
        <w:t>,</w:t>
      </w:r>
      <w:r w:rsidR="003B06DF" w:rsidRPr="00BB4B61">
        <w:rPr>
          <w:noProof/>
        </w:rPr>
        <w:t xml:space="preserve"> </w:t>
      </w:r>
      <w:r w:rsidR="000A2CDD" w:rsidRPr="00BB4B61">
        <w:rPr>
          <w:noProof/>
        </w:rPr>
        <w:t>evaluate strategies to access their impact</w:t>
      </w:r>
      <w:r w:rsidR="003B06DF">
        <w:rPr>
          <w:noProof/>
        </w:rPr>
        <w:t xml:space="preserve"> and to</w:t>
      </w:r>
      <w:r w:rsidR="000A02D9">
        <w:rPr>
          <w:noProof/>
        </w:rPr>
        <w:t xml:space="preserve"> ensure</w:t>
      </w:r>
      <w:r w:rsidR="009D2888">
        <w:rPr>
          <w:noProof/>
        </w:rPr>
        <w:t xml:space="preserve"> policies apply a gendered understanding of violence against women</w:t>
      </w:r>
      <w:r w:rsidR="005D79CE" w:rsidRPr="00BB4B61">
        <w:rPr>
          <w:noProof/>
        </w:rPr>
        <w:t xml:space="preserve"> </w:t>
      </w:r>
      <w:r w:rsidR="008F6FFD" w:rsidRPr="00BB4B61">
        <w:rPr>
          <w:noProof/>
        </w:rPr>
        <w:t>(Articles 3 and 7 of the Convention)</w:t>
      </w:r>
      <w:r w:rsidR="00E77777">
        <w:rPr>
          <w:noProof/>
        </w:rPr>
        <w:t xml:space="preserve">; </w:t>
      </w:r>
      <w:r w:rsidR="009D0531" w:rsidRPr="00BB4B61">
        <w:rPr>
          <w:noProof/>
        </w:rPr>
        <w:t xml:space="preserve"> ensure sustainable funding levels of women’s rights organisations that run specialist support servi</w:t>
      </w:r>
      <w:r w:rsidR="00AE370A" w:rsidRPr="00BB4B61">
        <w:rPr>
          <w:noProof/>
        </w:rPr>
        <w:t>ces (Article</w:t>
      </w:r>
      <w:r w:rsidR="00BB4B61">
        <w:rPr>
          <w:noProof/>
        </w:rPr>
        <w:t> </w:t>
      </w:r>
      <w:r w:rsidR="009169FF" w:rsidRPr="00BB4B61">
        <w:rPr>
          <w:noProof/>
        </w:rPr>
        <w:t>8</w:t>
      </w:r>
      <w:r w:rsidR="00AE370A" w:rsidRPr="00BB4B61">
        <w:rPr>
          <w:noProof/>
        </w:rPr>
        <w:t xml:space="preserve"> of the Convention)</w:t>
      </w:r>
      <w:r w:rsidR="00E77777">
        <w:rPr>
          <w:noProof/>
        </w:rPr>
        <w:t xml:space="preserve">; </w:t>
      </w:r>
      <w:r w:rsidR="00AE370A" w:rsidRPr="00BB4B61">
        <w:rPr>
          <w:noProof/>
        </w:rPr>
        <w:t xml:space="preserve"> harmonise the collection of data and ensure that data</w:t>
      </w:r>
      <w:r w:rsidR="00C50F67" w:rsidRPr="00BB4B61">
        <w:rPr>
          <w:noProof/>
        </w:rPr>
        <w:t xml:space="preserve"> are disaggregated</w:t>
      </w:r>
      <w:r w:rsidR="00153865" w:rsidRPr="00BB4B61">
        <w:rPr>
          <w:noProof/>
        </w:rPr>
        <w:t xml:space="preserve"> (Article</w:t>
      </w:r>
      <w:r w:rsidR="00BB4B61">
        <w:rPr>
          <w:noProof/>
        </w:rPr>
        <w:t> </w:t>
      </w:r>
      <w:r w:rsidR="009169FF" w:rsidRPr="00BB4B61">
        <w:rPr>
          <w:noProof/>
        </w:rPr>
        <w:t>11 of the Convention)</w:t>
      </w:r>
      <w:r w:rsidR="00397896">
        <w:rPr>
          <w:noProof/>
        </w:rPr>
        <w:t xml:space="preserve">; </w:t>
      </w:r>
      <w:r w:rsidR="002742CA" w:rsidRPr="00BB4B61">
        <w:rPr>
          <w:noProof/>
        </w:rPr>
        <w:t xml:space="preserve"> ensure wider prevention measures for all forms of violence against women </w:t>
      </w:r>
      <w:r w:rsidR="00A706FC" w:rsidRPr="00BB4B61">
        <w:rPr>
          <w:noProof/>
        </w:rPr>
        <w:t>(Article</w:t>
      </w:r>
      <w:r w:rsidR="00BB4B61">
        <w:rPr>
          <w:noProof/>
        </w:rPr>
        <w:t> </w:t>
      </w:r>
      <w:r w:rsidR="00A706FC" w:rsidRPr="00BB4B61">
        <w:rPr>
          <w:noProof/>
        </w:rPr>
        <w:t>12 of the Convention)</w:t>
      </w:r>
      <w:r w:rsidR="00397896">
        <w:rPr>
          <w:noProof/>
        </w:rPr>
        <w:t xml:space="preserve">; </w:t>
      </w:r>
      <w:r w:rsidR="00093D87" w:rsidRPr="00BB4B61">
        <w:rPr>
          <w:noProof/>
        </w:rPr>
        <w:t xml:space="preserve"> i</w:t>
      </w:r>
      <w:r w:rsidR="00A86908" w:rsidRPr="00BB4B61">
        <w:rPr>
          <w:noProof/>
        </w:rPr>
        <w:t>ntroduce systematic training on all forms of</w:t>
      </w:r>
      <w:r w:rsidR="003C6E62" w:rsidRPr="00BB4B61">
        <w:rPr>
          <w:noProof/>
        </w:rPr>
        <w:t xml:space="preserve"> </w:t>
      </w:r>
      <w:r w:rsidR="00A86908" w:rsidRPr="00BB4B61">
        <w:rPr>
          <w:noProof/>
        </w:rPr>
        <w:t>violence covered by the Convention for relevant professionals</w:t>
      </w:r>
      <w:r w:rsidR="003C6E62" w:rsidRPr="00BB4B61">
        <w:rPr>
          <w:noProof/>
        </w:rPr>
        <w:t>, and</w:t>
      </w:r>
      <w:r w:rsidR="003062C2" w:rsidRPr="00BB4B61">
        <w:rPr>
          <w:noProof/>
        </w:rPr>
        <w:t xml:space="preserve"> </w:t>
      </w:r>
      <w:r w:rsidR="00397896">
        <w:rPr>
          <w:noProof/>
        </w:rPr>
        <w:t xml:space="preserve">an </w:t>
      </w:r>
      <w:r w:rsidR="003062C2" w:rsidRPr="00BB4B61">
        <w:rPr>
          <w:noProof/>
        </w:rPr>
        <w:t>evaluat</w:t>
      </w:r>
      <w:r w:rsidR="00397896">
        <w:rPr>
          <w:noProof/>
        </w:rPr>
        <w:t>ion of that</w:t>
      </w:r>
      <w:r w:rsidR="003062C2" w:rsidRPr="00BB4B61">
        <w:rPr>
          <w:noProof/>
        </w:rPr>
        <w:t xml:space="preserve"> training</w:t>
      </w:r>
      <w:r w:rsidR="00CE43AC" w:rsidRPr="00BB4B61">
        <w:rPr>
          <w:noProof/>
        </w:rPr>
        <w:t xml:space="preserve"> (Article</w:t>
      </w:r>
      <w:r w:rsidR="00BB4B61">
        <w:rPr>
          <w:noProof/>
        </w:rPr>
        <w:t> </w:t>
      </w:r>
      <w:r w:rsidR="00CE43AC" w:rsidRPr="00BB4B61">
        <w:rPr>
          <w:noProof/>
        </w:rPr>
        <w:t>15 of the Convention)</w:t>
      </w:r>
      <w:r w:rsidR="00397896">
        <w:rPr>
          <w:noProof/>
        </w:rPr>
        <w:t xml:space="preserve">; </w:t>
      </w:r>
      <w:r w:rsidR="006E6E12" w:rsidRPr="00BB4B61">
        <w:rPr>
          <w:noProof/>
        </w:rPr>
        <w:t xml:space="preserve"> develop minimum standards for perpetrator programmes in line with the </w:t>
      </w:r>
      <w:r w:rsidR="00EE44F7" w:rsidRPr="00BB4B61">
        <w:rPr>
          <w:noProof/>
        </w:rPr>
        <w:t>C</w:t>
      </w:r>
      <w:r w:rsidR="006E6E12" w:rsidRPr="00BB4B61">
        <w:rPr>
          <w:noProof/>
        </w:rPr>
        <w:t xml:space="preserve">onvention </w:t>
      </w:r>
      <w:r w:rsidR="00171619">
        <w:rPr>
          <w:noProof/>
        </w:rPr>
        <w:t>and ensure evaluation</w:t>
      </w:r>
      <w:r w:rsidR="00924533">
        <w:rPr>
          <w:noProof/>
        </w:rPr>
        <w:t xml:space="preserve"> </w:t>
      </w:r>
      <w:r w:rsidR="006E6E12" w:rsidRPr="00BB4B61">
        <w:rPr>
          <w:noProof/>
        </w:rPr>
        <w:t>(Article</w:t>
      </w:r>
      <w:r w:rsidR="00BB4B61">
        <w:rPr>
          <w:noProof/>
        </w:rPr>
        <w:t> </w:t>
      </w:r>
      <w:r w:rsidR="006E6E12" w:rsidRPr="00BB4B61">
        <w:rPr>
          <w:noProof/>
        </w:rPr>
        <w:t>16 of the Convention)</w:t>
      </w:r>
      <w:r w:rsidR="00397896">
        <w:rPr>
          <w:noProof/>
        </w:rPr>
        <w:t xml:space="preserve">; </w:t>
      </w:r>
      <w:r w:rsidR="00EE44F7" w:rsidRPr="00BB4B61">
        <w:rPr>
          <w:noProof/>
        </w:rPr>
        <w:t xml:space="preserve"> </w:t>
      </w:r>
      <w:r w:rsidR="00A34E02" w:rsidRPr="00BB4B61">
        <w:rPr>
          <w:noProof/>
        </w:rPr>
        <w:t xml:space="preserve">adopt coordination and </w:t>
      </w:r>
      <w:r w:rsidR="00CF1D45" w:rsidRPr="00BB4B61">
        <w:rPr>
          <w:noProof/>
        </w:rPr>
        <w:t xml:space="preserve">cooperation </w:t>
      </w:r>
      <w:r w:rsidR="00397896">
        <w:rPr>
          <w:noProof/>
        </w:rPr>
        <w:t xml:space="preserve">mechanisms </w:t>
      </w:r>
      <w:r w:rsidR="00CF1D45" w:rsidRPr="00BB4B61">
        <w:rPr>
          <w:noProof/>
        </w:rPr>
        <w:t>among relevant agencies</w:t>
      </w:r>
      <w:r w:rsidR="00FC3761" w:rsidRPr="00BB4B61">
        <w:rPr>
          <w:noProof/>
        </w:rPr>
        <w:t xml:space="preserve"> and</w:t>
      </w:r>
      <w:r w:rsidR="00B8353E" w:rsidRPr="00BB4B61">
        <w:rPr>
          <w:noProof/>
        </w:rPr>
        <w:t xml:space="preserve"> </w:t>
      </w:r>
      <w:r w:rsidR="00397896">
        <w:rPr>
          <w:noProof/>
        </w:rPr>
        <w:t>where</w:t>
      </w:r>
      <w:r w:rsidR="00E054A4" w:rsidRPr="00BB4B61">
        <w:rPr>
          <w:noProof/>
        </w:rPr>
        <w:t xml:space="preserve"> possible on the same premises</w:t>
      </w:r>
      <w:r w:rsidR="006F2FF2" w:rsidRPr="00BB4B61">
        <w:rPr>
          <w:noProof/>
        </w:rPr>
        <w:t xml:space="preserve"> (Article</w:t>
      </w:r>
      <w:r w:rsidR="00BB4B61">
        <w:rPr>
          <w:noProof/>
        </w:rPr>
        <w:t> </w:t>
      </w:r>
      <w:r w:rsidR="006F2FF2" w:rsidRPr="00BB4B61">
        <w:rPr>
          <w:noProof/>
        </w:rPr>
        <w:t>18 of the Convention)</w:t>
      </w:r>
      <w:r w:rsidR="00397896">
        <w:rPr>
          <w:noProof/>
        </w:rPr>
        <w:t xml:space="preserve">; </w:t>
      </w:r>
      <w:r w:rsidR="00D745DC" w:rsidRPr="00BB4B61">
        <w:rPr>
          <w:noProof/>
        </w:rPr>
        <w:t xml:space="preserve"> ensure that social services provide </w:t>
      </w:r>
      <w:r w:rsidR="00583221">
        <w:rPr>
          <w:noProof/>
        </w:rPr>
        <w:t xml:space="preserve">sufficient </w:t>
      </w:r>
      <w:r w:rsidR="00D745DC" w:rsidRPr="00BB4B61">
        <w:rPr>
          <w:noProof/>
        </w:rPr>
        <w:t xml:space="preserve">support and assistance to </w:t>
      </w:r>
      <w:r w:rsidR="00AC2CC8" w:rsidRPr="00BB4B61">
        <w:rPr>
          <w:noProof/>
        </w:rPr>
        <w:t xml:space="preserve">all </w:t>
      </w:r>
      <w:r w:rsidR="00D745DC" w:rsidRPr="00BB4B61">
        <w:rPr>
          <w:noProof/>
        </w:rPr>
        <w:t>victims</w:t>
      </w:r>
      <w:r w:rsidR="0015243C" w:rsidRPr="00BB4B61">
        <w:rPr>
          <w:noProof/>
        </w:rPr>
        <w:t xml:space="preserve">, </w:t>
      </w:r>
      <w:r w:rsidR="00253737" w:rsidRPr="00BB4B61">
        <w:rPr>
          <w:noProof/>
        </w:rPr>
        <w:t xml:space="preserve">including </w:t>
      </w:r>
      <w:r w:rsidR="00454668" w:rsidRPr="00BB4B61">
        <w:rPr>
          <w:noProof/>
        </w:rPr>
        <w:t>support on practical matters</w:t>
      </w:r>
      <w:r w:rsidR="0045200D" w:rsidRPr="00BB4B61">
        <w:rPr>
          <w:noProof/>
        </w:rPr>
        <w:t xml:space="preserve"> (</w:t>
      </w:r>
      <w:r w:rsidR="00B53C0D" w:rsidRPr="00BB4B61">
        <w:rPr>
          <w:noProof/>
        </w:rPr>
        <w:t>Article</w:t>
      </w:r>
      <w:r w:rsidR="00BB4B61">
        <w:rPr>
          <w:noProof/>
        </w:rPr>
        <w:t> </w:t>
      </w:r>
      <w:r w:rsidR="00B53C0D" w:rsidRPr="00BB4B61">
        <w:rPr>
          <w:noProof/>
        </w:rPr>
        <w:t>2</w:t>
      </w:r>
      <w:r w:rsidR="00355D55" w:rsidRPr="00BB4B61">
        <w:rPr>
          <w:noProof/>
        </w:rPr>
        <w:t>0</w:t>
      </w:r>
      <w:r w:rsidR="00B53C0D" w:rsidRPr="00BB4B61">
        <w:rPr>
          <w:noProof/>
        </w:rPr>
        <w:t xml:space="preserve"> of the Convention)</w:t>
      </w:r>
      <w:r w:rsidR="00583221">
        <w:rPr>
          <w:noProof/>
        </w:rPr>
        <w:t xml:space="preserve">; </w:t>
      </w:r>
      <w:r w:rsidR="00F96675" w:rsidRPr="00BB4B61">
        <w:rPr>
          <w:noProof/>
        </w:rPr>
        <w:t xml:space="preserve"> </w:t>
      </w:r>
      <w:r w:rsidR="00DD5B8C" w:rsidRPr="00BB4B61">
        <w:rPr>
          <w:noProof/>
        </w:rPr>
        <w:t>increase the availability of and ensure access to</w:t>
      </w:r>
      <w:r w:rsidR="00186635" w:rsidRPr="00BB4B61">
        <w:rPr>
          <w:noProof/>
        </w:rPr>
        <w:t xml:space="preserve"> </w:t>
      </w:r>
      <w:r w:rsidR="00922439" w:rsidRPr="00BB4B61">
        <w:rPr>
          <w:noProof/>
        </w:rPr>
        <w:t>shelters</w:t>
      </w:r>
      <w:r w:rsidR="00627D19" w:rsidRPr="00BB4B61">
        <w:rPr>
          <w:noProof/>
        </w:rPr>
        <w:t xml:space="preserve"> for all victims and their children </w:t>
      </w:r>
      <w:r w:rsidR="008B3AFF" w:rsidRPr="00BB4B61">
        <w:rPr>
          <w:noProof/>
        </w:rPr>
        <w:t>(Article</w:t>
      </w:r>
      <w:r w:rsidR="00BB4B61">
        <w:rPr>
          <w:noProof/>
        </w:rPr>
        <w:t> </w:t>
      </w:r>
      <w:r w:rsidR="008B3AFF" w:rsidRPr="00BB4B61">
        <w:rPr>
          <w:noProof/>
        </w:rPr>
        <w:t>22 of the Convention)</w:t>
      </w:r>
      <w:r w:rsidR="00583221">
        <w:rPr>
          <w:noProof/>
        </w:rPr>
        <w:t xml:space="preserve">; </w:t>
      </w:r>
      <w:r w:rsidR="00F96675" w:rsidRPr="00BB4B61">
        <w:rPr>
          <w:noProof/>
        </w:rPr>
        <w:t xml:space="preserve"> </w:t>
      </w:r>
      <w:r w:rsidR="00701AF8" w:rsidRPr="00BB4B61">
        <w:rPr>
          <w:noProof/>
        </w:rPr>
        <w:t>ensure a sufficient number of rape crisis and/or sexual violence centres</w:t>
      </w:r>
      <w:r w:rsidR="00CA1265" w:rsidRPr="00BB4B61">
        <w:rPr>
          <w:noProof/>
        </w:rPr>
        <w:t xml:space="preserve"> throughout the </w:t>
      </w:r>
      <w:r w:rsidR="004C0D2D" w:rsidRPr="00BB4B61">
        <w:rPr>
          <w:noProof/>
        </w:rPr>
        <w:t>cou</w:t>
      </w:r>
      <w:r w:rsidR="00CA1265" w:rsidRPr="00BB4B61">
        <w:rPr>
          <w:noProof/>
        </w:rPr>
        <w:t>ntry</w:t>
      </w:r>
      <w:r w:rsidR="008966DD" w:rsidRPr="00BB4B61">
        <w:rPr>
          <w:noProof/>
        </w:rPr>
        <w:t xml:space="preserve"> (Article</w:t>
      </w:r>
      <w:r w:rsidR="00BB4B61">
        <w:rPr>
          <w:noProof/>
        </w:rPr>
        <w:t> </w:t>
      </w:r>
      <w:r w:rsidR="00AD6D9A" w:rsidRPr="00BB4B61">
        <w:rPr>
          <w:noProof/>
        </w:rPr>
        <w:t>25 of the Convention)</w:t>
      </w:r>
      <w:r w:rsidR="00583221">
        <w:rPr>
          <w:noProof/>
        </w:rPr>
        <w:t xml:space="preserve">; </w:t>
      </w:r>
      <w:r w:rsidR="00A03989" w:rsidRPr="00BB4B61">
        <w:rPr>
          <w:noProof/>
        </w:rPr>
        <w:t xml:space="preserve"> </w:t>
      </w:r>
      <w:r w:rsidR="00040F28" w:rsidRPr="00BB4B61">
        <w:rPr>
          <w:noProof/>
        </w:rPr>
        <w:t>provide safe premises where supervised</w:t>
      </w:r>
      <w:r w:rsidR="00880DC9" w:rsidRPr="00BB4B61">
        <w:rPr>
          <w:noProof/>
        </w:rPr>
        <w:t xml:space="preserve"> </w:t>
      </w:r>
      <w:r w:rsidR="00A149C5" w:rsidRPr="00BB4B61">
        <w:rPr>
          <w:noProof/>
        </w:rPr>
        <w:t>visits can take plac</w:t>
      </w:r>
      <w:r w:rsidR="00B902D4" w:rsidRPr="00BB4B61">
        <w:rPr>
          <w:noProof/>
        </w:rPr>
        <w:t>e with trained professionals (Article</w:t>
      </w:r>
      <w:r w:rsidR="00BB4B61">
        <w:rPr>
          <w:noProof/>
        </w:rPr>
        <w:t> </w:t>
      </w:r>
      <w:r w:rsidR="000939BC" w:rsidRPr="00BB4B61">
        <w:rPr>
          <w:noProof/>
        </w:rPr>
        <w:t>31 of the Convention)</w:t>
      </w:r>
      <w:r w:rsidR="00583221">
        <w:rPr>
          <w:noProof/>
        </w:rPr>
        <w:t>;  strengthen</w:t>
      </w:r>
      <w:r w:rsidR="0024707E" w:rsidRPr="00BB4B61">
        <w:rPr>
          <w:noProof/>
        </w:rPr>
        <w:t xml:space="preserve"> the capacity of the police to respond to and </w:t>
      </w:r>
      <w:r w:rsidR="002E3DF4" w:rsidRPr="00BB4B61">
        <w:rPr>
          <w:noProof/>
        </w:rPr>
        <w:t xml:space="preserve">investigate all forms of violence against women, including </w:t>
      </w:r>
      <w:r w:rsidR="00231D1C" w:rsidRPr="00BB4B61">
        <w:rPr>
          <w:noProof/>
        </w:rPr>
        <w:t xml:space="preserve">its </w:t>
      </w:r>
      <w:r w:rsidR="002E3DF4" w:rsidRPr="00BB4B61">
        <w:rPr>
          <w:noProof/>
        </w:rPr>
        <w:t>digital manifestations</w:t>
      </w:r>
      <w:r w:rsidR="00031810" w:rsidRPr="00BB4B61">
        <w:rPr>
          <w:noProof/>
        </w:rPr>
        <w:t xml:space="preserve">, </w:t>
      </w:r>
      <w:r w:rsidR="009A2F72" w:rsidRPr="00BB4B61">
        <w:rPr>
          <w:noProof/>
        </w:rPr>
        <w:t>and</w:t>
      </w:r>
      <w:r w:rsidR="00031810" w:rsidRPr="00BB4B61">
        <w:rPr>
          <w:noProof/>
        </w:rPr>
        <w:t xml:space="preserve"> take measures to encourage reporting</w:t>
      </w:r>
      <w:r w:rsidR="00C91842" w:rsidRPr="00BB4B61">
        <w:rPr>
          <w:noProof/>
        </w:rPr>
        <w:t xml:space="preserve"> </w:t>
      </w:r>
      <w:r w:rsidR="00443F85" w:rsidRPr="00BB4B61">
        <w:rPr>
          <w:noProof/>
        </w:rPr>
        <w:t>b</w:t>
      </w:r>
      <w:r w:rsidR="00C91842" w:rsidRPr="00BB4B61">
        <w:rPr>
          <w:noProof/>
        </w:rPr>
        <w:t>y women at risk of intersectional discrimination</w:t>
      </w:r>
      <w:r w:rsidR="004B18F7" w:rsidRPr="00BB4B61">
        <w:rPr>
          <w:noProof/>
        </w:rPr>
        <w:t xml:space="preserve"> (Articles 49 and 50</w:t>
      </w:r>
      <w:r w:rsidR="00583221">
        <w:rPr>
          <w:noProof/>
        </w:rPr>
        <w:t xml:space="preserve"> of the Convention</w:t>
      </w:r>
      <w:r w:rsidR="004B18F7" w:rsidRPr="00BB4B61">
        <w:rPr>
          <w:noProof/>
        </w:rPr>
        <w:t>)</w:t>
      </w:r>
      <w:r w:rsidR="00583221">
        <w:rPr>
          <w:noProof/>
        </w:rPr>
        <w:t xml:space="preserve">; </w:t>
      </w:r>
      <w:r w:rsidR="00A727BC" w:rsidRPr="00BB4B61">
        <w:rPr>
          <w:noProof/>
        </w:rPr>
        <w:t xml:space="preserve"> ensure that risk assessments are systematically carried out for victims and their children</w:t>
      </w:r>
      <w:r w:rsidR="00D0223E" w:rsidRPr="00BB4B61">
        <w:rPr>
          <w:noProof/>
        </w:rPr>
        <w:t xml:space="preserve"> in a coordinated manner</w:t>
      </w:r>
      <w:r w:rsidR="000023E4" w:rsidRPr="00BB4B61">
        <w:rPr>
          <w:noProof/>
        </w:rPr>
        <w:t xml:space="preserve"> (Article</w:t>
      </w:r>
      <w:r w:rsidR="00BB4B61">
        <w:rPr>
          <w:noProof/>
        </w:rPr>
        <w:t> </w:t>
      </w:r>
      <w:r w:rsidR="000023E4" w:rsidRPr="00BB4B61">
        <w:rPr>
          <w:noProof/>
        </w:rPr>
        <w:t xml:space="preserve">51 of the </w:t>
      </w:r>
      <w:r w:rsidR="000D1DD2" w:rsidRPr="00BB4B61">
        <w:rPr>
          <w:noProof/>
        </w:rPr>
        <w:t>C</w:t>
      </w:r>
      <w:r w:rsidR="000023E4" w:rsidRPr="00BB4B61">
        <w:rPr>
          <w:noProof/>
        </w:rPr>
        <w:t>onvention)</w:t>
      </w:r>
      <w:r w:rsidR="007B3491">
        <w:rPr>
          <w:noProof/>
        </w:rPr>
        <w:t>;</w:t>
      </w:r>
      <w:r w:rsidR="000023E4" w:rsidRPr="00BB4B61">
        <w:rPr>
          <w:noProof/>
        </w:rPr>
        <w:t xml:space="preserve"> and  take measures to ensure that </w:t>
      </w:r>
      <w:r w:rsidR="461CF656" w:rsidRPr="00BB4B61">
        <w:rPr>
          <w:noProof/>
        </w:rPr>
        <w:t>emergency barring</w:t>
      </w:r>
      <w:r w:rsidR="000023E4" w:rsidRPr="00BB4B61">
        <w:rPr>
          <w:noProof/>
        </w:rPr>
        <w:t xml:space="preserve"> </w:t>
      </w:r>
      <w:r w:rsidR="461CF656" w:rsidRPr="00BB4B61">
        <w:rPr>
          <w:noProof/>
        </w:rPr>
        <w:t>orders, restraining and protection orders (</w:t>
      </w:r>
      <w:r w:rsidR="00BB4B61">
        <w:rPr>
          <w:noProof/>
        </w:rPr>
        <w:t>‘</w:t>
      </w:r>
      <w:r w:rsidR="000023E4" w:rsidRPr="00BB4B61">
        <w:rPr>
          <w:noProof/>
        </w:rPr>
        <w:t>non-contact orders</w:t>
      </w:r>
      <w:r w:rsidR="000D1DD2" w:rsidRPr="00BB4B61">
        <w:rPr>
          <w:noProof/>
        </w:rPr>
        <w:t xml:space="preserve"> </w:t>
      </w:r>
      <w:r w:rsidR="006159FB" w:rsidRPr="00BB4B61">
        <w:rPr>
          <w:noProof/>
        </w:rPr>
        <w:t>for the joint home</w:t>
      </w:r>
      <w:r w:rsidR="00BB4B61">
        <w:rPr>
          <w:noProof/>
        </w:rPr>
        <w:t>’</w:t>
      </w:r>
      <w:r w:rsidR="5F067618" w:rsidRPr="00BB4B61">
        <w:rPr>
          <w:noProof/>
        </w:rPr>
        <w:t>)</w:t>
      </w:r>
      <w:r w:rsidR="00BB4B61" w:rsidRPr="00BB4B61">
        <w:rPr>
          <w:noProof/>
        </w:rPr>
        <w:t xml:space="preserve"> </w:t>
      </w:r>
      <w:r w:rsidR="00CD2918" w:rsidRPr="00BB4B61">
        <w:rPr>
          <w:noProof/>
        </w:rPr>
        <w:t>are</w:t>
      </w:r>
      <w:r w:rsidR="000D1DD2" w:rsidRPr="00BB4B61">
        <w:rPr>
          <w:noProof/>
        </w:rPr>
        <w:t xml:space="preserve"> </w:t>
      </w:r>
      <w:r w:rsidR="006159FB" w:rsidRPr="00BB4B61">
        <w:rPr>
          <w:noProof/>
        </w:rPr>
        <w:t>issued swiftly with immediate effect</w:t>
      </w:r>
      <w:r w:rsidR="003558DF" w:rsidRPr="00BB4B61">
        <w:rPr>
          <w:noProof/>
        </w:rPr>
        <w:t xml:space="preserve">, including </w:t>
      </w:r>
      <w:r w:rsidR="00F96675" w:rsidRPr="00BB4B61">
        <w:rPr>
          <w:noProof/>
        </w:rPr>
        <w:t xml:space="preserve">for </w:t>
      </w:r>
      <w:r w:rsidR="003558DF" w:rsidRPr="00BB4B61">
        <w:rPr>
          <w:noProof/>
        </w:rPr>
        <w:t>children</w:t>
      </w:r>
      <w:r w:rsidR="007A00B8" w:rsidRPr="00BB4B61">
        <w:rPr>
          <w:noProof/>
        </w:rPr>
        <w:t>,</w:t>
      </w:r>
      <w:r w:rsidR="00A666E8" w:rsidRPr="00BB4B61">
        <w:rPr>
          <w:noProof/>
        </w:rPr>
        <w:t xml:space="preserve"> </w:t>
      </w:r>
      <w:r w:rsidR="4DA0C24B" w:rsidRPr="00BB4B61">
        <w:rPr>
          <w:noProof/>
        </w:rPr>
        <w:t>effectively monitored and accompanied by appropriate sanctions</w:t>
      </w:r>
      <w:r w:rsidR="007B3491">
        <w:rPr>
          <w:noProof/>
        </w:rPr>
        <w:t xml:space="preserve"> </w:t>
      </w:r>
      <w:r w:rsidR="000B0E40" w:rsidRPr="00BB4B61">
        <w:rPr>
          <w:noProof/>
        </w:rPr>
        <w:t>(Article</w:t>
      </w:r>
      <w:r w:rsidR="00BB4B61">
        <w:rPr>
          <w:noProof/>
        </w:rPr>
        <w:t> </w:t>
      </w:r>
      <w:r w:rsidR="000B0E40" w:rsidRPr="00BB4B61">
        <w:rPr>
          <w:noProof/>
        </w:rPr>
        <w:t xml:space="preserve">52 and 53 of the </w:t>
      </w:r>
      <w:r w:rsidR="0015602D" w:rsidRPr="00BB4B61">
        <w:rPr>
          <w:noProof/>
        </w:rPr>
        <w:t>C</w:t>
      </w:r>
      <w:r w:rsidR="000B0E40" w:rsidRPr="00BB4B61">
        <w:rPr>
          <w:noProof/>
        </w:rPr>
        <w:t xml:space="preserve">onvention). As the recommendations on these matters are in line with the Union’s policies and objectives in the area of judicial cooperation in criminal matters and do not raise any concerns with respect to Union law, the position of the Union should be to not object to the adoption of the recommendation addressed to </w:t>
      </w:r>
      <w:r w:rsidR="00A22AD4" w:rsidRPr="00BB4B61">
        <w:rPr>
          <w:noProof/>
        </w:rPr>
        <w:t>S</w:t>
      </w:r>
      <w:r w:rsidR="00A22AD4">
        <w:rPr>
          <w:noProof/>
        </w:rPr>
        <w:t>weden</w:t>
      </w:r>
      <w:r w:rsidR="000B0E40" w:rsidRPr="00BB4B61">
        <w:rPr>
          <w:noProof/>
        </w:rPr>
        <w:t>.</w:t>
      </w:r>
    </w:p>
    <w:p w:rsidR="5396E572" w:rsidRPr="00BB4B61" w:rsidRDefault="00910FBB" w:rsidP="00910FBB">
      <w:pPr>
        <w:pStyle w:val="ManualConsidrant"/>
        <w:rPr>
          <w:noProof/>
        </w:rPr>
      </w:pPr>
      <w:r w:rsidRPr="00910FBB">
        <w:rPr>
          <w:noProof/>
        </w:rPr>
        <w:t>(16)</w:t>
      </w:r>
      <w:r w:rsidRPr="00910FBB">
        <w:rPr>
          <w:noProof/>
        </w:rPr>
        <w:tab/>
      </w:r>
      <w:r w:rsidR="5396E572" w:rsidRPr="00BB4B61">
        <w:rPr>
          <w:noProof/>
        </w:rPr>
        <w:t>As regards</w:t>
      </w:r>
      <w:r w:rsidR="00BB4B61" w:rsidRPr="00BB4B61">
        <w:rPr>
          <w:noProof/>
        </w:rPr>
        <w:t xml:space="preserve"> </w:t>
      </w:r>
      <w:r w:rsidR="5396E572" w:rsidRPr="00BB4B61">
        <w:rPr>
          <w:noProof/>
        </w:rPr>
        <w:t>San Marino, the draft conclusions on its implementation of the Convention include</w:t>
      </w:r>
      <w:r w:rsidR="009B65D1">
        <w:rPr>
          <w:noProof/>
        </w:rPr>
        <w:t>s</w:t>
      </w:r>
      <w:r w:rsidR="5396E572" w:rsidRPr="00BB4B61">
        <w:rPr>
          <w:noProof/>
        </w:rPr>
        <w:t xml:space="preserve"> the need to </w:t>
      </w:r>
      <w:r w:rsidR="009B65D1">
        <w:rPr>
          <w:noProof/>
        </w:rPr>
        <w:t xml:space="preserve"> </w:t>
      </w:r>
      <w:r w:rsidR="00946BBF" w:rsidRPr="00BB4B61">
        <w:rPr>
          <w:noProof/>
        </w:rPr>
        <w:t>support</w:t>
      </w:r>
      <w:r w:rsidR="00710E68" w:rsidRPr="00BB4B61">
        <w:rPr>
          <w:noProof/>
        </w:rPr>
        <w:t xml:space="preserve"> civil society organisation</w:t>
      </w:r>
      <w:r w:rsidR="000E0AD6" w:rsidRPr="00BB4B61">
        <w:rPr>
          <w:noProof/>
        </w:rPr>
        <w:t>s</w:t>
      </w:r>
      <w:r w:rsidR="00710E68" w:rsidRPr="00BB4B61">
        <w:rPr>
          <w:noProof/>
        </w:rPr>
        <w:t xml:space="preserve"> by ensuring sustainable funding</w:t>
      </w:r>
      <w:r w:rsidR="003E03B4" w:rsidRPr="00BB4B61">
        <w:rPr>
          <w:noProof/>
        </w:rPr>
        <w:t xml:space="preserve"> </w:t>
      </w:r>
      <w:r w:rsidR="0032238E" w:rsidRPr="00BB4B61">
        <w:rPr>
          <w:noProof/>
        </w:rPr>
        <w:t>to set</w:t>
      </w:r>
      <w:r w:rsidR="000756CD" w:rsidRPr="00BB4B61">
        <w:rPr>
          <w:noProof/>
        </w:rPr>
        <w:t xml:space="preserve"> up cooperation mechanisms</w:t>
      </w:r>
      <w:r w:rsidR="00BF4D60">
        <w:rPr>
          <w:noProof/>
        </w:rPr>
        <w:t>,</w:t>
      </w:r>
      <w:r w:rsidR="000E0AD6" w:rsidRPr="00BB4B61">
        <w:rPr>
          <w:noProof/>
        </w:rPr>
        <w:t xml:space="preserve"> and </w:t>
      </w:r>
      <w:r w:rsidR="00E546F9" w:rsidRPr="00BB4B61">
        <w:rPr>
          <w:noProof/>
        </w:rPr>
        <w:t>ensure</w:t>
      </w:r>
      <w:r w:rsidR="000E0AD6" w:rsidRPr="00BB4B61">
        <w:rPr>
          <w:noProof/>
        </w:rPr>
        <w:t xml:space="preserve"> that the national coord</w:t>
      </w:r>
      <w:r w:rsidR="003E03B4" w:rsidRPr="00BB4B61">
        <w:rPr>
          <w:noProof/>
        </w:rPr>
        <w:t>in</w:t>
      </w:r>
      <w:r w:rsidR="008C1EB0" w:rsidRPr="00BB4B61">
        <w:rPr>
          <w:noProof/>
        </w:rPr>
        <w:t>ating body coordinates with civil society organisations</w:t>
      </w:r>
      <w:r w:rsidR="5396E572" w:rsidRPr="00BB4B61">
        <w:rPr>
          <w:noProof/>
        </w:rPr>
        <w:t xml:space="preserve"> (Article</w:t>
      </w:r>
      <w:r w:rsidR="00BB4B61">
        <w:rPr>
          <w:noProof/>
        </w:rPr>
        <w:t> </w:t>
      </w:r>
      <w:r w:rsidR="735E8211" w:rsidRPr="00BB4B61">
        <w:rPr>
          <w:noProof/>
        </w:rPr>
        <w:t>9</w:t>
      </w:r>
      <w:r w:rsidR="5396E572" w:rsidRPr="00BB4B61">
        <w:rPr>
          <w:noProof/>
        </w:rPr>
        <w:t xml:space="preserve"> </w:t>
      </w:r>
      <w:r w:rsidR="735E8211" w:rsidRPr="00BB4B61">
        <w:rPr>
          <w:noProof/>
        </w:rPr>
        <w:t>and Article</w:t>
      </w:r>
      <w:r w:rsidR="00BB4B61">
        <w:rPr>
          <w:noProof/>
        </w:rPr>
        <w:t> </w:t>
      </w:r>
      <w:r w:rsidR="735E8211" w:rsidRPr="00BB4B61">
        <w:rPr>
          <w:noProof/>
        </w:rPr>
        <w:t>10</w:t>
      </w:r>
      <w:r w:rsidR="5396E572" w:rsidRPr="00BB4B61">
        <w:rPr>
          <w:noProof/>
        </w:rPr>
        <w:t xml:space="preserve"> of the Convention)</w:t>
      </w:r>
      <w:r w:rsidR="00BF4D60">
        <w:rPr>
          <w:noProof/>
        </w:rPr>
        <w:t xml:space="preserve">; </w:t>
      </w:r>
      <w:r w:rsidR="5396E572" w:rsidRPr="00BB4B61">
        <w:rPr>
          <w:noProof/>
        </w:rPr>
        <w:t xml:space="preserve"> </w:t>
      </w:r>
      <w:r w:rsidR="006C14A3" w:rsidRPr="00BB4B61">
        <w:rPr>
          <w:noProof/>
        </w:rPr>
        <w:t>improve</w:t>
      </w:r>
      <w:r w:rsidR="5396E572" w:rsidRPr="00BB4B61">
        <w:rPr>
          <w:noProof/>
        </w:rPr>
        <w:t xml:space="preserve"> the collection of disaggregated data </w:t>
      </w:r>
      <w:r w:rsidR="001B61A9" w:rsidRPr="00BB4B61">
        <w:rPr>
          <w:noProof/>
        </w:rPr>
        <w:t xml:space="preserve">on the basis of a </w:t>
      </w:r>
      <w:r w:rsidR="002D4253" w:rsidRPr="00BB4B61">
        <w:rPr>
          <w:noProof/>
        </w:rPr>
        <w:t>c</w:t>
      </w:r>
      <w:r w:rsidR="001B61A9" w:rsidRPr="00BB4B61">
        <w:rPr>
          <w:noProof/>
        </w:rPr>
        <w:t>ommon data-collection system</w:t>
      </w:r>
      <w:r w:rsidR="002D4253" w:rsidRPr="00BB4B61">
        <w:rPr>
          <w:noProof/>
        </w:rPr>
        <w:t xml:space="preserve"> </w:t>
      </w:r>
      <w:r w:rsidR="4C51E62B" w:rsidRPr="00BB4B61">
        <w:rPr>
          <w:noProof/>
        </w:rPr>
        <w:t xml:space="preserve">to regularly conduct victimisation surveys </w:t>
      </w:r>
      <w:r w:rsidR="00974F0E" w:rsidRPr="00BB4B61">
        <w:rPr>
          <w:noProof/>
        </w:rPr>
        <w:t>and promote research activities</w:t>
      </w:r>
      <w:r w:rsidR="00BB4B61" w:rsidRPr="00BB4B61">
        <w:rPr>
          <w:noProof/>
        </w:rPr>
        <w:t xml:space="preserve"> </w:t>
      </w:r>
      <w:r w:rsidR="5396E572" w:rsidRPr="00BB4B61">
        <w:rPr>
          <w:noProof/>
        </w:rPr>
        <w:t>(Article</w:t>
      </w:r>
      <w:r w:rsidR="00BB4B61">
        <w:rPr>
          <w:noProof/>
        </w:rPr>
        <w:t> </w:t>
      </w:r>
      <w:r w:rsidR="5396E572" w:rsidRPr="00BB4B61">
        <w:rPr>
          <w:noProof/>
        </w:rPr>
        <w:t>11 of the Conventio</w:t>
      </w:r>
      <w:r w:rsidR="001352C4" w:rsidRPr="00BB4B61">
        <w:rPr>
          <w:noProof/>
        </w:rPr>
        <w:t>n)</w:t>
      </w:r>
      <w:r w:rsidR="00BF4D60">
        <w:rPr>
          <w:noProof/>
        </w:rPr>
        <w:t>;</w:t>
      </w:r>
      <w:r w:rsidR="001352C4" w:rsidRPr="00BB4B61">
        <w:rPr>
          <w:noProof/>
        </w:rPr>
        <w:t xml:space="preserve"> </w:t>
      </w:r>
      <w:r w:rsidR="5BF81A5C" w:rsidRPr="00BB4B61">
        <w:rPr>
          <w:noProof/>
        </w:rPr>
        <w:t>and</w:t>
      </w:r>
      <w:r w:rsidR="5396E572" w:rsidRPr="00BB4B61">
        <w:rPr>
          <w:noProof/>
        </w:rPr>
        <w:t xml:space="preserve"> </w:t>
      </w:r>
      <w:r w:rsidR="00BF4D60">
        <w:rPr>
          <w:noProof/>
        </w:rPr>
        <w:t xml:space="preserve"> </w:t>
      </w:r>
      <w:r w:rsidR="5396E572" w:rsidRPr="00BB4B61">
        <w:rPr>
          <w:noProof/>
        </w:rPr>
        <w:t xml:space="preserve">comply with the requirements of </w:t>
      </w:r>
      <w:r w:rsidR="001352C4" w:rsidRPr="00BB4B61">
        <w:rPr>
          <w:noProof/>
        </w:rPr>
        <w:t>Article</w:t>
      </w:r>
      <w:r w:rsidR="00BB4B61">
        <w:rPr>
          <w:noProof/>
        </w:rPr>
        <w:t> </w:t>
      </w:r>
      <w:r w:rsidR="001352C4" w:rsidRPr="00BB4B61">
        <w:rPr>
          <w:noProof/>
        </w:rPr>
        <w:t xml:space="preserve">59 of </w:t>
      </w:r>
      <w:r w:rsidR="5396E572" w:rsidRPr="00BB4B61">
        <w:rPr>
          <w:noProof/>
        </w:rPr>
        <w:t>the Convention</w:t>
      </w:r>
      <w:r w:rsidR="000D6B1C" w:rsidRPr="00BB4B61">
        <w:rPr>
          <w:noProof/>
        </w:rPr>
        <w:t xml:space="preserve"> </w:t>
      </w:r>
      <w:r w:rsidR="00BF4D60">
        <w:rPr>
          <w:noProof/>
        </w:rPr>
        <w:t>on</w:t>
      </w:r>
      <w:r w:rsidR="5396E572" w:rsidRPr="00BB4B61">
        <w:rPr>
          <w:noProof/>
        </w:rPr>
        <w:t xml:space="preserve"> </w:t>
      </w:r>
      <w:r w:rsidR="3531DBC8" w:rsidRPr="00BB4B61">
        <w:rPr>
          <w:noProof/>
        </w:rPr>
        <w:t xml:space="preserve">the </w:t>
      </w:r>
      <w:r w:rsidR="5396E572" w:rsidRPr="00BB4B61">
        <w:rPr>
          <w:noProof/>
        </w:rPr>
        <w:t>residence status of victims of violence against women (Article</w:t>
      </w:r>
      <w:r w:rsidR="00BB4B61">
        <w:rPr>
          <w:noProof/>
        </w:rPr>
        <w:t> </w:t>
      </w:r>
      <w:r w:rsidR="5396E572" w:rsidRPr="00BB4B61">
        <w:rPr>
          <w:noProof/>
        </w:rPr>
        <w:t>59 of the Convention). As the conclusions on these matters are in line with the Union’s policies and objectives in the areas of judicial cooperation in criminal matters, asylum and non-refoulement, and do not raise any concerns with respect to Union law, the position of the Union should be to not object to the adoption of the conclusion addressed to San Marino.</w:t>
      </w:r>
    </w:p>
    <w:p w:rsidR="20B14CB5" w:rsidRPr="00BB4B61" w:rsidRDefault="00910FBB" w:rsidP="00910FBB">
      <w:pPr>
        <w:pStyle w:val="ManualConsidrant"/>
        <w:rPr>
          <w:noProof/>
        </w:rPr>
      </w:pPr>
      <w:r w:rsidRPr="00910FBB">
        <w:rPr>
          <w:noProof/>
        </w:rPr>
        <w:t>(17)</w:t>
      </w:r>
      <w:r w:rsidRPr="00910FBB">
        <w:rPr>
          <w:noProof/>
        </w:rPr>
        <w:tab/>
      </w:r>
      <w:r w:rsidR="07385B0D" w:rsidRPr="00BB4B61">
        <w:rPr>
          <w:noProof/>
        </w:rPr>
        <w:t>As regards</w:t>
      </w:r>
      <w:r w:rsidR="00BB4B61" w:rsidRPr="00BB4B61">
        <w:rPr>
          <w:noProof/>
        </w:rPr>
        <w:t xml:space="preserve"> </w:t>
      </w:r>
      <w:r w:rsidR="07385B0D" w:rsidRPr="00BB4B61">
        <w:rPr>
          <w:noProof/>
        </w:rPr>
        <w:t>Slovenia, the draft conclusions on its implementation of the Convention include</w:t>
      </w:r>
      <w:r w:rsidR="00BF4D60">
        <w:rPr>
          <w:noProof/>
        </w:rPr>
        <w:t>s</w:t>
      </w:r>
      <w:r w:rsidR="07385B0D" w:rsidRPr="00BB4B61">
        <w:rPr>
          <w:noProof/>
        </w:rPr>
        <w:t xml:space="preserve"> the need to assign </w:t>
      </w:r>
      <w:r w:rsidR="00805E95" w:rsidRPr="00BB4B61">
        <w:rPr>
          <w:noProof/>
        </w:rPr>
        <w:t>the role of</w:t>
      </w:r>
      <w:r w:rsidR="00DA60D0" w:rsidRPr="00BB4B61">
        <w:rPr>
          <w:noProof/>
        </w:rPr>
        <w:t xml:space="preserve"> the </w:t>
      </w:r>
      <w:r w:rsidR="07385B0D" w:rsidRPr="00BB4B61">
        <w:rPr>
          <w:noProof/>
        </w:rPr>
        <w:t>coordinating bod</w:t>
      </w:r>
      <w:r w:rsidR="00DA60D0" w:rsidRPr="00BB4B61">
        <w:rPr>
          <w:noProof/>
        </w:rPr>
        <w:t>y to fully institutionalised entities</w:t>
      </w:r>
      <w:r w:rsidR="07385B0D" w:rsidRPr="00BB4B61">
        <w:rPr>
          <w:noProof/>
        </w:rPr>
        <w:t xml:space="preserve"> and </w:t>
      </w:r>
      <w:r w:rsidR="00F72BD4" w:rsidRPr="00BB4B61">
        <w:rPr>
          <w:noProof/>
        </w:rPr>
        <w:t xml:space="preserve">ensure </w:t>
      </w:r>
      <w:r w:rsidR="07385B0D" w:rsidRPr="00BB4B61">
        <w:rPr>
          <w:noProof/>
        </w:rPr>
        <w:t>the necessary human and financial resources (Article</w:t>
      </w:r>
      <w:r w:rsidR="00BB4B61">
        <w:rPr>
          <w:noProof/>
        </w:rPr>
        <w:t> </w:t>
      </w:r>
      <w:r w:rsidR="07385B0D" w:rsidRPr="00BB4B61">
        <w:rPr>
          <w:noProof/>
        </w:rPr>
        <w:t>10 of the Convention)</w:t>
      </w:r>
      <w:r w:rsidR="00BF4D60">
        <w:rPr>
          <w:noProof/>
        </w:rPr>
        <w:t xml:space="preserve">; </w:t>
      </w:r>
      <w:r w:rsidR="07385B0D" w:rsidRPr="00BB4B61">
        <w:rPr>
          <w:noProof/>
        </w:rPr>
        <w:t xml:space="preserve"> ensure the comprehensive collection of data on all forms of violence under the Convention (Article</w:t>
      </w:r>
      <w:r w:rsidR="00BB4B61">
        <w:rPr>
          <w:noProof/>
        </w:rPr>
        <w:t> </w:t>
      </w:r>
      <w:r w:rsidR="07385B0D" w:rsidRPr="00BB4B61">
        <w:rPr>
          <w:noProof/>
        </w:rPr>
        <w:t>11 of the Convention)</w:t>
      </w:r>
      <w:r w:rsidR="00BF4D60">
        <w:rPr>
          <w:noProof/>
        </w:rPr>
        <w:t xml:space="preserve">; </w:t>
      </w:r>
      <w:r w:rsidR="07385B0D" w:rsidRPr="00BB4B61">
        <w:rPr>
          <w:noProof/>
        </w:rPr>
        <w:t xml:space="preserve"> strengthen information exchange between civil and criminal courts (Article</w:t>
      </w:r>
      <w:r w:rsidR="00BB4B61">
        <w:rPr>
          <w:noProof/>
        </w:rPr>
        <w:t> </w:t>
      </w:r>
      <w:r w:rsidR="07385B0D" w:rsidRPr="00BB4B61">
        <w:rPr>
          <w:noProof/>
        </w:rPr>
        <w:t>31 of the Convention)</w:t>
      </w:r>
      <w:r w:rsidR="00BF4D60">
        <w:rPr>
          <w:noProof/>
        </w:rPr>
        <w:t xml:space="preserve">; </w:t>
      </w:r>
      <w:r w:rsidR="07385B0D" w:rsidRPr="00BB4B61">
        <w:rPr>
          <w:noProof/>
        </w:rPr>
        <w:t xml:space="preserve"> ensure </w:t>
      </w:r>
      <w:r w:rsidR="00BF4D60">
        <w:rPr>
          <w:noProof/>
        </w:rPr>
        <w:t xml:space="preserve">a </w:t>
      </w:r>
      <w:r w:rsidR="07385B0D" w:rsidRPr="00BB4B61">
        <w:rPr>
          <w:noProof/>
        </w:rPr>
        <w:t>prompt and appropriate response by law enforcement agencies to violence against women (Articles 49 and 50)</w:t>
      </w:r>
      <w:r w:rsidR="00BF4D60">
        <w:rPr>
          <w:noProof/>
        </w:rPr>
        <w:t>;</w:t>
      </w:r>
      <w:r w:rsidR="07385B0D" w:rsidRPr="00BB4B61">
        <w:rPr>
          <w:noProof/>
        </w:rPr>
        <w:t xml:space="preserve"> and  </w:t>
      </w:r>
      <w:r w:rsidR="00BF4D60">
        <w:rPr>
          <w:noProof/>
        </w:rPr>
        <w:t>comply</w:t>
      </w:r>
      <w:r w:rsidR="00FB4C13" w:rsidRPr="00BB4B61">
        <w:rPr>
          <w:noProof/>
        </w:rPr>
        <w:t xml:space="preserve"> with the Convention </w:t>
      </w:r>
      <w:r w:rsidR="00BF4D60">
        <w:rPr>
          <w:noProof/>
        </w:rPr>
        <w:t>on matters</w:t>
      </w:r>
      <w:r w:rsidR="00FB4C13" w:rsidRPr="00BB4B61">
        <w:rPr>
          <w:noProof/>
        </w:rPr>
        <w:t xml:space="preserve"> regard</w:t>
      </w:r>
      <w:r w:rsidR="00BF4D60">
        <w:rPr>
          <w:noProof/>
        </w:rPr>
        <w:t>ing</w:t>
      </w:r>
      <w:r w:rsidR="00EC23BB" w:rsidRPr="00BB4B61">
        <w:rPr>
          <w:noProof/>
        </w:rPr>
        <w:t xml:space="preserve"> </w:t>
      </w:r>
      <w:r w:rsidR="00EC23BB" w:rsidRPr="006017BD">
        <w:rPr>
          <w:noProof/>
        </w:rPr>
        <w:t>ex officio</w:t>
      </w:r>
      <w:r w:rsidR="00EC23BB" w:rsidRPr="00BB4B61">
        <w:rPr>
          <w:noProof/>
        </w:rPr>
        <w:t xml:space="preserve"> prosecution of</w:t>
      </w:r>
      <w:r w:rsidR="0000141C" w:rsidRPr="00BB4B61">
        <w:rPr>
          <w:noProof/>
        </w:rPr>
        <w:t xml:space="preserve"> marital</w:t>
      </w:r>
      <w:r w:rsidR="00EC23BB" w:rsidRPr="00BB4B61">
        <w:rPr>
          <w:noProof/>
        </w:rPr>
        <w:t xml:space="preserve"> rape </w:t>
      </w:r>
      <w:r w:rsidR="07385B0D" w:rsidRPr="00BB4B61">
        <w:rPr>
          <w:noProof/>
        </w:rPr>
        <w:t>(Article</w:t>
      </w:r>
      <w:r w:rsidR="00BB4B61">
        <w:rPr>
          <w:noProof/>
        </w:rPr>
        <w:t> </w:t>
      </w:r>
      <w:r w:rsidR="07385B0D" w:rsidRPr="00BB4B61">
        <w:rPr>
          <w:noProof/>
        </w:rPr>
        <w:t>55 of the Convention). As the conclusions on these matters are in line with the Union’s policies and objectives in the areas of judicial cooperation in criminal matters</w:t>
      </w:r>
      <w:r w:rsidR="007949E6" w:rsidRPr="00BB4B61">
        <w:rPr>
          <w:noProof/>
        </w:rPr>
        <w:t xml:space="preserve"> </w:t>
      </w:r>
      <w:r w:rsidR="07385B0D" w:rsidRPr="00BB4B61">
        <w:rPr>
          <w:noProof/>
        </w:rPr>
        <w:t>and do not raise any concerns with respect to Union law, the position of the Union should be to not object to the adoption of the conclusion addressed to Slovenia.</w:t>
      </w:r>
    </w:p>
    <w:p w:rsidR="008B3E75" w:rsidRPr="00BB4B61" w:rsidRDefault="00910FBB" w:rsidP="00910FBB">
      <w:pPr>
        <w:pStyle w:val="ManualConsidrant"/>
        <w:rPr>
          <w:noProof/>
        </w:rPr>
      </w:pPr>
      <w:r w:rsidRPr="00910FBB">
        <w:rPr>
          <w:noProof/>
        </w:rPr>
        <w:t>(18)</w:t>
      </w:r>
      <w:r w:rsidRPr="00910FBB">
        <w:rPr>
          <w:noProof/>
        </w:rPr>
        <w:tab/>
      </w:r>
      <w:r w:rsidR="008B3E75" w:rsidRPr="00BB4B61">
        <w:rPr>
          <w:noProof/>
        </w:rPr>
        <w:t>Ireland is not bound by Council Decision (EU) 2023/1076 and is therefore not taking part in the adoption of this Decision.</w:t>
      </w:r>
    </w:p>
    <w:p w:rsidR="00CA0046" w:rsidRPr="00BB4B61" w:rsidRDefault="00910FBB" w:rsidP="00910FBB">
      <w:pPr>
        <w:pStyle w:val="ManualConsidrant"/>
        <w:rPr>
          <w:noProof/>
        </w:rPr>
      </w:pPr>
      <w:r w:rsidRPr="00910FBB">
        <w:rPr>
          <w:noProof/>
        </w:rPr>
        <w:t>(19)</w:t>
      </w:r>
      <w:r w:rsidRPr="00910FBB">
        <w:rPr>
          <w:noProof/>
        </w:rPr>
        <w:tab/>
      </w:r>
      <w:r w:rsidR="008B3E75" w:rsidRPr="00BB4B61">
        <w:rPr>
          <w:noProof/>
        </w:rPr>
        <w:t>In accordance with Articles 1 and 2 of Protocol No</w:t>
      </w:r>
      <w:r w:rsidR="00BB4B61">
        <w:rPr>
          <w:noProof/>
        </w:rPr>
        <w:t> </w:t>
      </w:r>
      <w:r w:rsidR="008B3E75" w:rsidRPr="00BB4B61">
        <w:rPr>
          <w:noProof/>
        </w:rPr>
        <w:t>22 on the position of Denmark, annexed to the Treaty on European Union and to the Treaty on the Functioning of the European Union, Denmark is not taking part in the adoption of this Decision and is not bound by it or subject to its application,</w:t>
      </w:r>
    </w:p>
    <w:p w:rsidR="00CA0046" w:rsidRPr="00BB4B61" w:rsidRDefault="00CA0046" w:rsidP="009B37BC">
      <w:pPr>
        <w:pStyle w:val="Formuledadoption"/>
        <w:rPr>
          <w:noProof/>
        </w:rPr>
      </w:pPr>
      <w:r w:rsidRPr="00BB4B61">
        <w:rPr>
          <w:noProof/>
        </w:rPr>
        <w:t>HAS ADOPTED THIS DECISION:</w:t>
      </w:r>
    </w:p>
    <w:p w:rsidR="00CA0046" w:rsidRPr="00BB4B61" w:rsidRDefault="00CA0046" w:rsidP="009B37BC">
      <w:pPr>
        <w:pStyle w:val="Titrearticle"/>
        <w:rPr>
          <w:noProof/>
        </w:rPr>
      </w:pPr>
      <w:r w:rsidRPr="00BB4B61">
        <w:rPr>
          <w:noProof/>
        </w:rPr>
        <w:t>Article 1</w:t>
      </w:r>
    </w:p>
    <w:p w:rsidR="008B3E75" w:rsidRPr="00BB4B61" w:rsidRDefault="008B3E75" w:rsidP="008B3E75">
      <w:pPr>
        <w:rPr>
          <w:noProof/>
        </w:rPr>
      </w:pPr>
      <w:r w:rsidRPr="00BB4B61">
        <w:rPr>
          <w:noProof/>
        </w:rPr>
        <w:t>The position to be taken on behalf of the Union at the 18th meeting of the Committee of the Parties, established under Article</w:t>
      </w:r>
      <w:r w:rsidR="00BB4B61">
        <w:rPr>
          <w:noProof/>
        </w:rPr>
        <w:t> </w:t>
      </w:r>
      <w:r w:rsidRPr="00BB4B61">
        <w:rPr>
          <w:noProof/>
        </w:rPr>
        <w:t>67 of the Convention, shall be to not object to the adoption of the following acts:</w:t>
      </w:r>
    </w:p>
    <w:p w:rsidR="6BFA5043" w:rsidRPr="00BB4B61" w:rsidRDefault="00910FBB" w:rsidP="00910FBB">
      <w:pPr>
        <w:pStyle w:val="Point1"/>
        <w:rPr>
          <w:noProof/>
        </w:rPr>
      </w:pPr>
      <w:r w:rsidRPr="00910FBB">
        <w:rPr>
          <w:noProof/>
        </w:rPr>
        <w:t>(1)</w:t>
      </w:r>
      <w:r w:rsidRPr="00910FBB">
        <w:rPr>
          <w:noProof/>
        </w:rPr>
        <w:tab/>
      </w:r>
      <w:r w:rsidR="6BFA5043" w:rsidRPr="00BB4B61">
        <w:rPr>
          <w:noProof/>
        </w:rPr>
        <w:t>Recommendations on improving trust by delivering support, protection and justice on the basis of the Istanbul Convention by Albania [IC-CP(2025)2-prov];</w:t>
      </w:r>
    </w:p>
    <w:p w:rsidR="6BFA5043" w:rsidRPr="00BB4B61" w:rsidRDefault="00910FBB" w:rsidP="00910FBB">
      <w:pPr>
        <w:pStyle w:val="Point1"/>
        <w:rPr>
          <w:rFonts w:eastAsia="Calibri"/>
          <w:noProof/>
        </w:rPr>
      </w:pPr>
      <w:r w:rsidRPr="00910FBB">
        <w:rPr>
          <w:noProof/>
        </w:rPr>
        <w:t>(2)</w:t>
      </w:r>
      <w:r w:rsidRPr="00910FBB">
        <w:rPr>
          <w:noProof/>
        </w:rPr>
        <w:tab/>
      </w:r>
      <w:r w:rsidR="6BFA5043" w:rsidRPr="00BB4B61">
        <w:rPr>
          <w:noProof/>
        </w:rPr>
        <w:t>Recommendations on improving trust by delivering support, protection and justice on the basis of the Istanbul Convention by Austria [IC-CP(2025)3-prov]</w:t>
      </w:r>
      <w:r w:rsidR="00452AB9" w:rsidRPr="00BB4B61">
        <w:rPr>
          <w:noProof/>
        </w:rPr>
        <w:t>;</w:t>
      </w:r>
    </w:p>
    <w:p w:rsidR="6BFA5043" w:rsidRPr="00BB4B61" w:rsidRDefault="00910FBB" w:rsidP="00910FBB">
      <w:pPr>
        <w:pStyle w:val="Point1"/>
        <w:rPr>
          <w:rFonts w:eastAsia="Calibri"/>
          <w:noProof/>
        </w:rPr>
      </w:pPr>
      <w:r w:rsidRPr="00910FBB">
        <w:rPr>
          <w:noProof/>
        </w:rPr>
        <w:t>(3)</w:t>
      </w:r>
      <w:r w:rsidRPr="00910FBB">
        <w:rPr>
          <w:noProof/>
        </w:rPr>
        <w:tab/>
      </w:r>
      <w:r w:rsidR="6BFA5043" w:rsidRPr="00BB4B61">
        <w:rPr>
          <w:noProof/>
        </w:rPr>
        <w:t>Recommendations on improving trust by delivering support, protection and justice on the basis of the Istanbul Convention by Denmark [IC-CP(2025)4-prov]</w:t>
      </w:r>
      <w:r w:rsidR="00452AB9" w:rsidRPr="00BB4B61">
        <w:rPr>
          <w:noProof/>
        </w:rPr>
        <w:t>;</w:t>
      </w:r>
    </w:p>
    <w:p w:rsidR="6BFA5043" w:rsidRPr="00BB4B61" w:rsidRDefault="00910FBB" w:rsidP="00910FBB">
      <w:pPr>
        <w:pStyle w:val="Point1"/>
        <w:rPr>
          <w:noProof/>
        </w:rPr>
      </w:pPr>
      <w:r w:rsidRPr="00910FBB">
        <w:rPr>
          <w:noProof/>
        </w:rPr>
        <w:t>(4)</w:t>
      </w:r>
      <w:r w:rsidRPr="00910FBB">
        <w:rPr>
          <w:noProof/>
        </w:rPr>
        <w:tab/>
      </w:r>
      <w:r w:rsidR="6BFA5043" w:rsidRPr="00BB4B61">
        <w:rPr>
          <w:noProof/>
        </w:rPr>
        <w:t>Recommendations on improving trust by delivering support, protection and justice on the basis of the Istanbul Convention by Finland [IC-CP(2025)5-prov]</w:t>
      </w:r>
      <w:r w:rsidR="00452AB9" w:rsidRPr="00BB4B61">
        <w:rPr>
          <w:noProof/>
        </w:rPr>
        <w:t>;</w:t>
      </w:r>
    </w:p>
    <w:p w:rsidR="6BFA5043" w:rsidRPr="00BB4B61" w:rsidRDefault="00910FBB" w:rsidP="00910FBB">
      <w:pPr>
        <w:pStyle w:val="Point1"/>
        <w:rPr>
          <w:noProof/>
        </w:rPr>
      </w:pPr>
      <w:r w:rsidRPr="00910FBB">
        <w:rPr>
          <w:noProof/>
        </w:rPr>
        <w:t>(5)</w:t>
      </w:r>
      <w:r w:rsidRPr="00910FBB">
        <w:rPr>
          <w:noProof/>
        </w:rPr>
        <w:tab/>
      </w:r>
      <w:r w:rsidR="6BFA5043" w:rsidRPr="00BB4B61">
        <w:rPr>
          <w:noProof/>
        </w:rPr>
        <w:t>Recommendations on improving trust by delivering support, protection and justice on the basis of the Istanbul Convention by Monaco [IC-CP(2025)6-prov]</w:t>
      </w:r>
      <w:r w:rsidR="00452AB9" w:rsidRPr="00BB4B61">
        <w:rPr>
          <w:noProof/>
        </w:rPr>
        <w:t>;</w:t>
      </w:r>
    </w:p>
    <w:p w:rsidR="6BFA5043" w:rsidRPr="00BB4B61" w:rsidRDefault="00910FBB" w:rsidP="00910FBB">
      <w:pPr>
        <w:pStyle w:val="Point1"/>
        <w:rPr>
          <w:noProof/>
        </w:rPr>
      </w:pPr>
      <w:r w:rsidRPr="00910FBB">
        <w:rPr>
          <w:noProof/>
        </w:rPr>
        <w:t>(6)</w:t>
      </w:r>
      <w:r w:rsidRPr="00910FBB">
        <w:rPr>
          <w:noProof/>
        </w:rPr>
        <w:tab/>
      </w:r>
      <w:r w:rsidR="6BFA5043" w:rsidRPr="00BB4B61">
        <w:rPr>
          <w:noProof/>
        </w:rPr>
        <w:t>Recommendations on improving trust by delivering support, protection and justice on the basis of the Istanbul Convention by Montenegro [IC-CP(2025)7-prov]</w:t>
      </w:r>
      <w:r w:rsidR="00452AB9" w:rsidRPr="00BB4B61">
        <w:rPr>
          <w:noProof/>
        </w:rPr>
        <w:t>;</w:t>
      </w:r>
    </w:p>
    <w:p w:rsidR="6BFA5043" w:rsidRPr="00BB4B61" w:rsidRDefault="00910FBB" w:rsidP="00910FBB">
      <w:pPr>
        <w:pStyle w:val="Point1"/>
        <w:rPr>
          <w:noProof/>
        </w:rPr>
      </w:pPr>
      <w:r w:rsidRPr="00910FBB">
        <w:rPr>
          <w:noProof/>
        </w:rPr>
        <w:t>(7)</w:t>
      </w:r>
      <w:r w:rsidRPr="00910FBB">
        <w:rPr>
          <w:noProof/>
        </w:rPr>
        <w:tab/>
      </w:r>
      <w:r w:rsidR="6BFA5043" w:rsidRPr="00BB4B61">
        <w:rPr>
          <w:noProof/>
        </w:rPr>
        <w:t>Recommendations on improving trust by delivering support, protection and justice on the basis of the Istanbul Convention by Spain [IC-CP(2025)8-prov]</w:t>
      </w:r>
      <w:r w:rsidR="00452AB9" w:rsidRPr="00BB4B61">
        <w:rPr>
          <w:noProof/>
        </w:rPr>
        <w:t>;</w:t>
      </w:r>
    </w:p>
    <w:p w:rsidR="6BFA5043" w:rsidRPr="00BB4B61" w:rsidRDefault="00910FBB" w:rsidP="00910FBB">
      <w:pPr>
        <w:pStyle w:val="Point1"/>
        <w:rPr>
          <w:noProof/>
        </w:rPr>
      </w:pPr>
      <w:r w:rsidRPr="00910FBB">
        <w:rPr>
          <w:noProof/>
        </w:rPr>
        <w:t>(8)</w:t>
      </w:r>
      <w:r w:rsidRPr="00910FBB">
        <w:rPr>
          <w:noProof/>
        </w:rPr>
        <w:tab/>
      </w:r>
      <w:r w:rsidR="6BFA5043" w:rsidRPr="00BB4B61">
        <w:rPr>
          <w:noProof/>
        </w:rPr>
        <w:t>Recommendations on improving trust by delivering support, protection and justice on the basis of the Istanbul Convention by Sweden [IC-CP(2025)9-prov]</w:t>
      </w:r>
      <w:r w:rsidR="00452AB9" w:rsidRPr="00BB4B61">
        <w:rPr>
          <w:noProof/>
        </w:rPr>
        <w:t>;</w:t>
      </w:r>
    </w:p>
    <w:p w:rsidR="493C003A" w:rsidRPr="00BB4B61" w:rsidRDefault="00910FBB" w:rsidP="00910FBB">
      <w:pPr>
        <w:pStyle w:val="Point1"/>
        <w:rPr>
          <w:noProof/>
        </w:rPr>
      </w:pPr>
      <w:r w:rsidRPr="00910FBB">
        <w:rPr>
          <w:noProof/>
        </w:rPr>
        <w:t>(9)</w:t>
      </w:r>
      <w:r w:rsidRPr="00910FBB">
        <w:rPr>
          <w:noProof/>
        </w:rPr>
        <w:tab/>
      </w:r>
      <w:r w:rsidR="493C003A" w:rsidRPr="00BB4B61">
        <w:rPr>
          <w:noProof/>
        </w:rPr>
        <w:t>Conclusions on the implementation of recommendations in respect of San Marino adopted by the Committee of the Parties [IC-CP(2025)10-prov]</w:t>
      </w:r>
      <w:r w:rsidR="003F3338">
        <w:rPr>
          <w:noProof/>
        </w:rPr>
        <w:t>;</w:t>
      </w:r>
      <w:r w:rsidR="00452AB9" w:rsidRPr="00BB4B61">
        <w:rPr>
          <w:noProof/>
        </w:rPr>
        <w:t xml:space="preserve"> and</w:t>
      </w:r>
    </w:p>
    <w:p w:rsidR="493C003A" w:rsidRPr="00BB4B61" w:rsidRDefault="00910FBB" w:rsidP="00910FBB">
      <w:pPr>
        <w:pStyle w:val="Point1"/>
        <w:rPr>
          <w:noProof/>
        </w:rPr>
      </w:pPr>
      <w:r w:rsidRPr="00910FBB">
        <w:rPr>
          <w:noProof/>
        </w:rPr>
        <w:t>(10)</w:t>
      </w:r>
      <w:r w:rsidRPr="00910FBB">
        <w:rPr>
          <w:noProof/>
        </w:rPr>
        <w:tab/>
      </w:r>
      <w:r w:rsidR="493C003A" w:rsidRPr="00BB4B61">
        <w:rPr>
          <w:noProof/>
        </w:rPr>
        <w:t>Conclusions on the implementation of recommendations in respect of Slovenia adopted by the Committee of the Parties [IC-CP(2025)11-prov]</w:t>
      </w:r>
      <w:r w:rsidR="00452AB9" w:rsidRPr="00BB4B61">
        <w:rPr>
          <w:noProof/>
        </w:rPr>
        <w:t>.</w:t>
      </w:r>
    </w:p>
    <w:p w:rsidR="3154F711" w:rsidRPr="00BB4B61" w:rsidRDefault="3154F711" w:rsidP="3C8E0E83">
      <w:pPr>
        <w:pStyle w:val="ListParagraph"/>
        <w:ind w:left="1080"/>
        <w:rPr>
          <w:noProof/>
        </w:rPr>
      </w:pPr>
    </w:p>
    <w:p w:rsidR="00CA0046" w:rsidRPr="0038302B" w:rsidRDefault="00CA0046" w:rsidP="006E312B">
      <w:pPr>
        <w:pStyle w:val="Titrearticle"/>
        <w:rPr>
          <w:noProof/>
        </w:rPr>
      </w:pPr>
      <w:r w:rsidRPr="00BB4B61">
        <w:rPr>
          <w:noProof/>
        </w:rPr>
        <w:t xml:space="preserve">Article </w:t>
      </w:r>
      <w:r w:rsidR="008B3E75" w:rsidRPr="0038302B">
        <w:rPr>
          <w:noProof/>
        </w:rPr>
        <w:t>2</w:t>
      </w:r>
    </w:p>
    <w:p w:rsidR="008B3E75" w:rsidRPr="00BB4B61" w:rsidRDefault="008B3E75" w:rsidP="008B3E75">
      <w:pPr>
        <w:rPr>
          <w:noProof/>
        </w:rPr>
      </w:pPr>
      <w:bookmarkStart w:id="12" w:name="_Hlk167359088"/>
      <w:r w:rsidRPr="00BB4B61">
        <w:rPr>
          <w:noProof/>
        </w:rPr>
        <w:t>This Decision shall enter into force on the date of its adoption</w:t>
      </w:r>
      <w:bookmarkEnd w:id="12"/>
      <w:r w:rsidRPr="00BB4B61">
        <w:rPr>
          <w:noProof/>
        </w:rPr>
        <w:t>.</w:t>
      </w:r>
    </w:p>
    <w:p w:rsidR="00CA0046" w:rsidRPr="00BB4B61" w:rsidRDefault="006017BD" w:rsidP="006E312B">
      <w:pPr>
        <w:pStyle w:val="Fait"/>
        <w:rPr>
          <w:noProof/>
        </w:rPr>
      </w:pPr>
      <w:r>
        <w:rPr>
          <w:noProof/>
        </w:rPr>
        <w:t>Done at Brussels,</w:t>
      </w:r>
    </w:p>
    <w:p w:rsidR="00CA0046" w:rsidRPr="00BB4B61" w:rsidRDefault="00CA0046" w:rsidP="006E312B">
      <w:pPr>
        <w:pStyle w:val="Institutionquisigne"/>
        <w:rPr>
          <w:noProof/>
        </w:rPr>
      </w:pPr>
      <w:r w:rsidRPr="00BB4B61">
        <w:rPr>
          <w:noProof/>
        </w:rPr>
        <w:tab/>
        <w:t>For the Council</w:t>
      </w:r>
    </w:p>
    <w:p w:rsidR="00CA0046" w:rsidRPr="00BB4B61" w:rsidRDefault="00CA0046" w:rsidP="00CA0046">
      <w:pPr>
        <w:pStyle w:val="Personnequisigne"/>
        <w:rPr>
          <w:noProof/>
        </w:rPr>
      </w:pPr>
      <w:r w:rsidRPr="00BB4B61">
        <w:rPr>
          <w:noProof/>
        </w:rPr>
        <w:tab/>
        <w:t>The President</w:t>
      </w:r>
    </w:p>
    <w:sectPr w:rsidR="00CA0046" w:rsidRPr="00BB4B61" w:rsidSect="005253FE">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84F" w:rsidRPr="00BB4B61" w:rsidRDefault="0058084F" w:rsidP="00CA0046">
      <w:pPr>
        <w:spacing w:before="0" w:after="0"/>
      </w:pPr>
      <w:r w:rsidRPr="00BB4B61">
        <w:separator/>
      </w:r>
    </w:p>
  </w:endnote>
  <w:endnote w:type="continuationSeparator" w:id="0">
    <w:p w:rsidR="0058084F" w:rsidRPr="00BB4B61" w:rsidRDefault="0058084F" w:rsidP="00CA0046">
      <w:pPr>
        <w:spacing w:before="0" w:after="0"/>
      </w:pPr>
      <w:r w:rsidRPr="00BB4B61">
        <w:continuationSeparator/>
      </w:r>
    </w:p>
  </w:endnote>
  <w:endnote w:type="continuationNotice" w:id="1">
    <w:p w:rsidR="0058084F" w:rsidRPr="00BB4B61" w:rsidRDefault="0058084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3FE" w:rsidRPr="005253FE" w:rsidRDefault="005253FE" w:rsidP="005253FE">
    <w:pPr>
      <w:pStyle w:val="Footer"/>
      <w:rPr>
        <w:rFonts w:ascii="Arial" w:hAnsi="Arial" w:cs="Arial"/>
        <w:b/>
        <w:sz w:val="48"/>
      </w:rPr>
    </w:pPr>
    <w:r w:rsidRPr="005253FE">
      <w:rPr>
        <w:rFonts w:ascii="Arial" w:hAnsi="Arial" w:cs="Arial"/>
        <w:b/>
        <w:sz w:val="48"/>
      </w:rPr>
      <w:t>EN</w:t>
    </w:r>
    <w:r w:rsidRPr="005253FE">
      <w:rPr>
        <w:rFonts w:ascii="Arial" w:hAnsi="Arial" w:cs="Arial"/>
        <w:b/>
        <w:sz w:val="48"/>
      </w:rPr>
      <w:tab/>
    </w:r>
    <w:r w:rsidRPr="005253FE">
      <w:rPr>
        <w:rFonts w:ascii="Arial" w:hAnsi="Arial" w:cs="Arial"/>
        <w:b/>
        <w:sz w:val="48"/>
      </w:rPr>
      <w:tab/>
    </w:r>
    <w:r w:rsidRPr="005253FE">
      <w:tab/>
    </w:r>
    <w:r w:rsidRPr="005253FE">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3FE" w:rsidRPr="005253FE" w:rsidRDefault="005253FE" w:rsidP="005253FE">
    <w:pPr>
      <w:pStyle w:val="Footer"/>
      <w:rPr>
        <w:rFonts w:ascii="Arial" w:hAnsi="Arial" w:cs="Arial"/>
        <w:b/>
        <w:sz w:val="48"/>
      </w:rPr>
    </w:pPr>
    <w:r w:rsidRPr="005253FE">
      <w:rPr>
        <w:rFonts w:ascii="Arial" w:hAnsi="Arial" w:cs="Arial"/>
        <w:b/>
        <w:sz w:val="48"/>
      </w:rPr>
      <w:t>EN</w:t>
    </w:r>
    <w:r w:rsidRPr="005253FE">
      <w:rPr>
        <w:rFonts w:ascii="Arial" w:hAnsi="Arial" w:cs="Arial"/>
        <w:b/>
        <w:sz w:val="48"/>
      </w:rPr>
      <w:tab/>
    </w:r>
    <w:r w:rsidRPr="005253FE">
      <w:rPr>
        <w:rFonts w:ascii="Arial" w:hAnsi="Arial" w:cs="Arial"/>
        <w:b/>
        <w:sz w:val="48"/>
      </w:rPr>
      <w:tab/>
    </w:r>
    <w:r w:rsidRPr="005253FE">
      <w:tab/>
    </w:r>
    <w:r w:rsidRPr="005253FE">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3FE" w:rsidRDefault="005253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3FE" w:rsidRPr="005253FE" w:rsidRDefault="005253FE" w:rsidP="005253FE">
    <w:pPr>
      <w:pStyle w:val="Footer"/>
      <w:rPr>
        <w:rFonts w:ascii="Arial" w:hAnsi="Arial" w:cs="Arial"/>
        <w:b/>
        <w:sz w:val="48"/>
      </w:rPr>
    </w:pPr>
    <w:r w:rsidRPr="005253FE">
      <w:rPr>
        <w:rFonts w:ascii="Arial" w:hAnsi="Arial" w:cs="Arial"/>
        <w:b/>
        <w:sz w:val="48"/>
      </w:rPr>
      <w:t>EN</w:t>
    </w:r>
    <w:r w:rsidRPr="005253FE">
      <w:rPr>
        <w:rFonts w:ascii="Arial" w:hAnsi="Arial" w:cs="Arial"/>
        <w:b/>
        <w:sz w:val="48"/>
      </w:rPr>
      <w:tab/>
    </w:r>
    <w:r>
      <w:fldChar w:fldCharType="begin"/>
    </w:r>
    <w:r>
      <w:instrText xml:space="preserve"> PAGE  \* MERGEFORMAT </w:instrText>
    </w:r>
    <w:r>
      <w:fldChar w:fldCharType="separate"/>
    </w:r>
    <w:r w:rsidR="006E312B">
      <w:rPr>
        <w:noProof/>
      </w:rPr>
      <w:t>14</w:t>
    </w:r>
    <w:r>
      <w:fldChar w:fldCharType="end"/>
    </w:r>
    <w:r>
      <w:tab/>
    </w:r>
    <w:r w:rsidRPr="005253FE">
      <w:tab/>
    </w:r>
    <w:r w:rsidRPr="005253FE">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3FE" w:rsidRDefault="005253FE" w:rsidP="005253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84F" w:rsidRPr="00BB4B61" w:rsidRDefault="0058084F" w:rsidP="00CA0046">
      <w:pPr>
        <w:spacing w:before="0" w:after="0"/>
      </w:pPr>
      <w:r w:rsidRPr="00BB4B61">
        <w:separator/>
      </w:r>
    </w:p>
  </w:footnote>
  <w:footnote w:type="continuationSeparator" w:id="0">
    <w:p w:rsidR="0058084F" w:rsidRPr="00BB4B61" w:rsidRDefault="0058084F" w:rsidP="00CA0046">
      <w:pPr>
        <w:spacing w:before="0" w:after="0"/>
      </w:pPr>
      <w:r w:rsidRPr="00BB4B61">
        <w:continuationSeparator/>
      </w:r>
    </w:p>
  </w:footnote>
  <w:footnote w:type="continuationNotice" w:id="1">
    <w:p w:rsidR="0058084F" w:rsidRPr="00BB4B61" w:rsidRDefault="0058084F">
      <w:pPr>
        <w:spacing w:before="0" w:after="0"/>
      </w:pPr>
    </w:p>
  </w:footnote>
  <w:footnote w:id="2">
    <w:p w:rsidR="00B9721A" w:rsidRPr="00BB4B61" w:rsidRDefault="00B9721A" w:rsidP="00B9721A">
      <w:pPr>
        <w:pStyle w:val="FootnoteText"/>
      </w:pPr>
      <w:r w:rsidRPr="00BB4B61">
        <w:rPr>
          <w:rStyle w:val="FootnoteReference"/>
        </w:rPr>
        <w:footnoteRef/>
      </w:r>
      <w:r w:rsidRPr="00BB4B61">
        <w:tab/>
        <w:t>Council Decision (EU) 2023/1075 of 1</w:t>
      </w:r>
      <w:r w:rsidR="00BB4B61">
        <w:t> </w:t>
      </w:r>
      <w:r w:rsidRPr="00BB4B61">
        <w:t>June 2023 on the conclusion, on behalf of the European Union, of the Council of Europe Convention on preventing and combating violence against women and domestic violence with regard to institutions and public administration of the Union, OJ L 143 I, 2.6.2023, p.</w:t>
      </w:r>
      <w:r w:rsidR="00BB4B61">
        <w:t> </w:t>
      </w:r>
      <w:r w:rsidRPr="00BB4B61">
        <w:t xml:space="preserve">1, </w:t>
      </w:r>
      <w:bookmarkStart w:id="1" w:name="_Hlk166497907"/>
      <w:r w:rsidRPr="00BB4B61">
        <w:t xml:space="preserve">ELI: </w:t>
      </w:r>
      <w:hyperlink r:id="rId1" w:history="1">
        <w:r w:rsidRPr="00BB4B61">
          <w:rPr>
            <w:rStyle w:val="Hyperlink"/>
          </w:rPr>
          <w:t>http://data.europa.eu/eli/dec/2023/1075/oj</w:t>
        </w:r>
      </w:hyperlink>
      <w:r w:rsidRPr="00BB4B61">
        <w:t>.</w:t>
      </w:r>
    </w:p>
    <w:bookmarkEnd w:id="1"/>
  </w:footnote>
  <w:footnote w:id="3">
    <w:p w:rsidR="00B9721A" w:rsidRPr="00BB4B61" w:rsidRDefault="00B9721A" w:rsidP="00B9721A">
      <w:pPr>
        <w:pStyle w:val="FootnoteText"/>
      </w:pPr>
      <w:r w:rsidRPr="00BB4B61">
        <w:rPr>
          <w:rStyle w:val="FootnoteReference"/>
        </w:rPr>
        <w:footnoteRef/>
      </w:r>
      <w:r w:rsidRPr="00BB4B61">
        <w:tab/>
        <w:t>Council Decision (EU) 2023/1076 of 1</w:t>
      </w:r>
      <w:r w:rsidR="00BB4B61">
        <w:t> </w:t>
      </w:r>
      <w:r w:rsidRPr="00BB4B61">
        <w:t>June 2023 on the conclusion, on behalf of the European Union, of the Council of Europe Convention on preventing and combating violence against women and domestic violence with regard to matters related to judicial cooperation in criminal matters, asylum and non-refoulement, OJ L 143 I, 2.6.2023, p.</w:t>
      </w:r>
      <w:r w:rsidR="00BB4B61">
        <w:t> </w:t>
      </w:r>
      <w:r w:rsidRPr="00BB4B61">
        <w:t xml:space="preserve">4, </w:t>
      </w:r>
      <w:bookmarkStart w:id="2" w:name="_Hlk166497990"/>
      <w:r w:rsidRPr="00BB4B61">
        <w:t xml:space="preserve">ELI: </w:t>
      </w:r>
      <w:hyperlink r:id="rId2" w:history="1">
        <w:r w:rsidRPr="00BB4B61">
          <w:rPr>
            <w:rStyle w:val="Hyperlink"/>
          </w:rPr>
          <w:t>http://data.europa.eu/eli/dec/2023/1076/oj</w:t>
        </w:r>
      </w:hyperlink>
      <w:r w:rsidRPr="00BB4B61">
        <w:t>)</w:t>
      </w:r>
      <w:bookmarkEnd w:id="2"/>
      <w:r w:rsidRPr="00BB4B61">
        <w:t>.</w:t>
      </w:r>
    </w:p>
  </w:footnote>
  <w:footnote w:id="4">
    <w:p w:rsidR="00B9721A" w:rsidRPr="00BB4B61" w:rsidRDefault="00B9721A" w:rsidP="00B9721A">
      <w:pPr>
        <w:pStyle w:val="FootnoteText"/>
      </w:pPr>
      <w:r w:rsidRPr="00BB4B61">
        <w:rPr>
          <w:rStyle w:val="FootnoteReference"/>
        </w:rPr>
        <w:footnoteRef/>
      </w:r>
      <w:r w:rsidRPr="00BB4B61">
        <w:tab/>
        <w:t xml:space="preserve">Status of ratifications on </w:t>
      </w:r>
      <w:r w:rsidR="001E310A" w:rsidRPr="00BB4B61">
        <w:t>24.4.2025</w:t>
      </w:r>
      <w:r w:rsidRPr="00BB4B61">
        <w:t>: AT (2013); BE (2016); CY (2017); DE (2017); DK (2014); IE (2019); EL (2018); ES (2014); EE (2017) FI (2015); FR (2014); HR (2018); IT (2013); LU (2018); MT (2014); NL (2015); PL (2015); PT (2013); RO (2016); SI (2015); SV (2014), LV (2023).</w:t>
      </w:r>
    </w:p>
  </w:footnote>
  <w:footnote w:id="5">
    <w:p w:rsidR="00B9721A" w:rsidRPr="00BB4B61" w:rsidRDefault="00B9721A" w:rsidP="00B9721A">
      <w:pPr>
        <w:pStyle w:val="FootnoteText"/>
      </w:pPr>
      <w:r w:rsidRPr="00BB4B61">
        <w:rPr>
          <w:rStyle w:val="FootnoteReference"/>
        </w:rPr>
        <w:footnoteRef/>
      </w:r>
      <w:r w:rsidRPr="00BB4B61">
        <w:tab/>
      </w:r>
      <w:hyperlink r:id="rId3" w:history="1">
        <w:r w:rsidRPr="00BB4B61">
          <w:rPr>
            <w:rStyle w:val="Hyperlink"/>
          </w:rPr>
          <w:t>Committee of the Parties - Istanbul Convention Action against violence against women and domestic violence (coe.int)</w:t>
        </w:r>
      </w:hyperlink>
    </w:p>
  </w:footnote>
  <w:footnote w:id="6">
    <w:p w:rsidR="00B9721A" w:rsidRPr="00BB4B61" w:rsidRDefault="00B9721A" w:rsidP="00B9721A">
      <w:pPr>
        <w:pStyle w:val="FootnoteText"/>
      </w:pPr>
      <w:r w:rsidRPr="00BB4B61">
        <w:rPr>
          <w:rStyle w:val="FootnoteReference"/>
        </w:rPr>
        <w:footnoteRef/>
      </w:r>
      <w:r w:rsidRPr="00BB4B61">
        <w:tab/>
        <w:t>Rule 2.1.b of the Rules of Procedures of the Committee of the Parties.</w:t>
      </w:r>
    </w:p>
  </w:footnote>
  <w:footnote w:id="7">
    <w:p w:rsidR="00B9721A" w:rsidRPr="00BB4B61" w:rsidRDefault="00B9721A" w:rsidP="00B9721A">
      <w:pPr>
        <w:pStyle w:val="FootnoteText"/>
      </w:pPr>
      <w:r w:rsidRPr="00BB4B61">
        <w:rPr>
          <w:rStyle w:val="FootnoteReference"/>
        </w:rPr>
        <w:footnoteRef/>
      </w:r>
      <w:r w:rsidRPr="00BB4B61">
        <w:tab/>
        <w:t>Document IC-CP(2015)2, adopted on 4</w:t>
      </w:r>
      <w:r w:rsidR="00BB4B61">
        <w:t> </w:t>
      </w:r>
      <w:r w:rsidRPr="00BB4B61">
        <w:t>May 2015.</w:t>
      </w:r>
    </w:p>
  </w:footnote>
  <w:footnote w:id="8">
    <w:p w:rsidR="00425494" w:rsidRPr="00BB4B61" w:rsidRDefault="00425494" w:rsidP="00425494">
      <w:pPr>
        <w:pStyle w:val="FootnoteText"/>
      </w:pPr>
      <w:r w:rsidRPr="00BB4B61">
        <w:rPr>
          <w:rStyle w:val="FootnoteReference"/>
        </w:rPr>
        <w:footnoteRef/>
      </w:r>
      <w:r w:rsidRPr="00BB4B61">
        <w:tab/>
        <w:t>Article</w:t>
      </w:r>
      <w:r w:rsidR="00BB4B61">
        <w:t> </w:t>
      </w:r>
      <w:r w:rsidRPr="00BB4B61">
        <w:t>1(2) of the Istanbul Convention.</w:t>
      </w:r>
    </w:p>
  </w:footnote>
  <w:footnote w:id="9">
    <w:p w:rsidR="007B19AA" w:rsidRPr="00BB4B61" w:rsidRDefault="007B19AA" w:rsidP="007B19AA">
      <w:pPr>
        <w:pStyle w:val="FootnoteText"/>
      </w:pPr>
      <w:r w:rsidRPr="00BB4B61">
        <w:rPr>
          <w:rStyle w:val="FootnoteReference"/>
        </w:rPr>
        <w:footnoteRef/>
      </w:r>
      <w:r w:rsidRPr="00BB4B61">
        <w:tab/>
      </w:r>
      <w:r w:rsidRPr="00BB4B61">
        <w:rPr>
          <w:rFonts w:eastAsia="Arial Unicode MS"/>
        </w:rPr>
        <w:t>Article</w:t>
      </w:r>
      <w:r w:rsidR="00BB4B61">
        <w:rPr>
          <w:rFonts w:eastAsia="Arial Unicode MS"/>
        </w:rPr>
        <w:t> </w:t>
      </w:r>
      <w:r w:rsidRPr="00BB4B61">
        <w:rPr>
          <w:rFonts w:eastAsia="Arial Unicode MS"/>
        </w:rPr>
        <w:t>68(10)of the Istanbul Convention.</w:t>
      </w:r>
    </w:p>
  </w:footnote>
  <w:footnote w:id="10">
    <w:p w:rsidR="004B2364" w:rsidRPr="00BB4B61" w:rsidRDefault="004B2364" w:rsidP="004B2364">
      <w:pPr>
        <w:pStyle w:val="FootnoteText"/>
      </w:pPr>
      <w:r w:rsidRPr="00BB4B61">
        <w:rPr>
          <w:rStyle w:val="FootnoteReference"/>
        </w:rPr>
        <w:footnoteRef/>
      </w:r>
      <w:r w:rsidRPr="00BB4B61">
        <w:tab/>
        <w:t xml:space="preserve">The applicable procedure for supervising the implementation and the reporting is defined in the </w:t>
      </w:r>
      <w:r>
        <w:t>‘</w:t>
      </w:r>
      <w:r w:rsidRPr="00BB4B61">
        <w:t>Framework for supervising the implementation of the recommendations addressed to state parties</w:t>
      </w:r>
      <w:r>
        <w:t>’</w:t>
      </w:r>
      <w:r w:rsidRPr="00BB4B61">
        <w:t>, adopted by the CoP on 13</w:t>
      </w:r>
      <w:r>
        <w:t> </w:t>
      </w:r>
      <w:r w:rsidRPr="00BB4B61">
        <w:t>April 2021, IC-CP/Inf(2021)2.</w:t>
      </w:r>
    </w:p>
  </w:footnote>
  <w:footnote w:id="11">
    <w:p w:rsidR="006F40B7" w:rsidRPr="006F40B7" w:rsidRDefault="006F40B7">
      <w:pPr>
        <w:pStyle w:val="FootnoteText"/>
        <w:rPr>
          <w:lang w:val="fr-BE"/>
        </w:rPr>
      </w:pPr>
      <w:r>
        <w:rPr>
          <w:rStyle w:val="FootnoteReference"/>
        </w:rPr>
        <w:footnoteRef/>
      </w:r>
      <w:r>
        <w:rPr>
          <w:lang w:val="fr-BE"/>
        </w:rPr>
        <w:tab/>
      </w:r>
      <w:r w:rsidRPr="00BB4B61">
        <w:t>Article</w:t>
      </w:r>
      <w:r>
        <w:t> </w:t>
      </w:r>
      <w:r w:rsidRPr="00BB4B61">
        <w:t>67(2) of the Convention.</w:t>
      </w:r>
    </w:p>
  </w:footnote>
  <w:footnote w:id="12">
    <w:p w:rsidR="00425494" w:rsidRPr="00BB4B61" w:rsidRDefault="00425494" w:rsidP="00425494">
      <w:pPr>
        <w:pStyle w:val="FootnoteText"/>
      </w:pPr>
      <w:r w:rsidRPr="00BB4B61">
        <w:rPr>
          <w:rStyle w:val="FootnoteReference"/>
        </w:rPr>
        <w:footnoteRef/>
      </w:r>
      <w:r w:rsidRPr="00BB4B61">
        <w:tab/>
        <w:t xml:space="preserve">Directive </w:t>
      </w:r>
      <w:r w:rsidR="00497CD3" w:rsidRPr="00BB4B61">
        <w:t>2024</w:t>
      </w:r>
      <w:r w:rsidR="00ED12B1" w:rsidRPr="00BB4B61">
        <w:t>/1385</w:t>
      </w:r>
      <w:r w:rsidRPr="00BB4B61">
        <w:t xml:space="preserve"> of the European Parliament and of the Council </w:t>
      </w:r>
      <w:r w:rsidR="00ED12B1" w:rsidRPr="00BB4B61">
        <w:t>of 14</w:t>
      </w:r>
      <w:r w:rsidR="00BB4B61">
        <w:t> </w:t>
      </w:r>
      <w:r w:rsidR="00ED12B1" w:rsidRPr="00BB4B61">
        <w:t xml:space="preserve">May 2024 </w:t>
      </w:r>
      <w:r w:rsidRPr="00BB4B61">
        <w:t xml:space="preserve">on </w:t>
      </w:r>
      <w:r w:rsidR="00BB4B61">
        <w:t>combating</w:t>
      </w:r>
      <w:r w:rsidRPr="00BB4B61">
        <w:t xml:space="preserve"> violence against women and domestic violence (</w:t>
      </w:r>
      <w:r w:rsidR="00CA4181" w:rsidRPr="00BB4B61">
        <w:t>O</w:t>
      </w:r>
      <w:r w:rsidR="00CA4181" w:rsidRPr="00BB4B61">
        <w:rPr>
          <w:i/>
          <w:iCs/>
        </w:rPr>
        <w:t>J L, 2024/1385, ELI: </w:t>
      </w:r>
      <w:hyperlink r:id="rId4" w:tgtFrame="_blank" w:tooltip="Gives access to this document through its ELI URI." w:history="1">
        <w:r w:rsidR="00CA4181" w:rsidRPr="00BB4B61">
          <w:rPr>
            <w:rStyle w:val="Hyperlink"/>
            <w:i/>
            <w:iCs/>
          </w:rPr>
          <w:t>http://data.europa.eu/eli/dir/2024/1385/o</w:t>
        </w:r>
      </w:hyperlink>
      <w:r w:rsidR="00CA4181" w:rsidRPr="00BB4B61">
        <w:t>)</w:t>
      </w:r>
      <w:r w:rsidR="00BB4B61" w:rsidRPr="00BB4B61">
        <w:t>.</w:t>
      </w:r>
    </w:p>
  </w:footnote>
  <w:footnote w:id="13">
    <w:p w:rsidR="00425494" w:rsidRPr="00BB4B61" w:rsidRDefault="00425494" w:rsidP="00425494">
      <w:pPr>
        <w:pStyle w:val="FootnoteText"/>
      </w:pPr>
      <w:r w:rsidRPr="00BB4B61">
        <w:rPr>
          <w:rStyle w:val="FootnoteReference"/>
        </w:rPr>
        <w:footnoteRef/>
      </w:r>
      <w:r w:rsidRPr="00BB4B61">
        <w:tab/>
      </w:r>
      <w:r w:rsidR="00F151FC" w:rsidRPr="00BB4B61">
        <w:t xml:space="preserve">Directive 2012/29/EU of the European Parliament and of the Council of 25 October 2012 establishing minimum standards on the rights, support and protection of victims of crime, and replacing Council Framework Decision 2001/220/JHA (OJ L 315, ELI: </w:t>
      </w:r>
      <w:hyperlink r:id="rId5" w:history="1">
        <w:r w:rsidR="00F151FC" w:rsidRPr="00BB4B61">
          <w:rPr>
            <w:rStyle w:val="Hyperlink"/>
          </w:rPr>
          <w:t>http://data.europa.eu/eli/dir/2012/29/oj</w:t>
        </w:r>
      </w:hyperlink>
      <w:r w:rsidR="00F151FC" w:rsidRPr="00BB4B61">
        <w:t>).</w:t>
      </w:r>
    </w:p>
  </w:footnote>
  <w:footnote w:id="14">
    <w:p w:rsidR="00425494" w:rsidRPr="00BB4B61" w:rsidRDefault="00425494" w:rsidP="00425494">
      <w:pPr>
        <w:pStyle w:val="FootnoteText"/>
      </w:pPr>
      <w:r w:rsidRPr="00BB4B61">
        <w:rPr>
          <w:rStyle w:val="FootnoteReference"/>
        </w:rPr>
        <w:footnoteRef/>
      </w:r>
      <w:r w:rsidRPr="00BB4B61">
        <w:tab/>
        <w:t xml:space="preserve">Regulation </w:t>
      </w:r>
      <w:r w:rsidR="00566288" w:rsidRPr="00BB4B61">
        <w:t xml:space="preserve">2024/1348 </w:t>
      </w:r>
      <w:r w:rsidRPr="00BB4B61">
        <w:t>of the European Parliament and of the Council establishing a common procedure for international protection in the Union and repealing Directive 2013/32/EU (OJ L</w:t>
      </w:r>
      <w:r w:rsidR="0092439D" w:rsidRPr="00BB4B61">
        <w:t>, 2024/1348</w:t>
      </w:r>
      <w:r w:rsidRPr="00BB4B61">
        <w:t>, ELI:</w:t>
      </w:r>
      <w:r w:rsidR="0092439D" w:rsidRPr="00BB4B61">
        <w:rPr>
          <w:i/>
          <w:iCs/>
        </w:rPr>
        <w:t> </w:t>
      </w:r>
      <w:hyperlink r:id="rId6" w:tgtFrame="_blank" w:tooltip="Gives access to this document through its ELI URI." w:history="1">
        <w:r w:rsidR="0092439D" w:rsidRPr="00BB4B61">
          <w:rPr>
            <w:rStyle w:val="Hyperlink"/>
            <w:i/>
            <w:iCs/>
          </w:rPr>
          <w:t>http://data.europa.eu/eli/reg/2024/1348/oj</w:t>
        </w:r>
      </w:hyperlink>
      <w:r w:rsidRPr="00BB4B61">
        <w:t>).</w:t>
      </w:r>
    </w:p>
  </w:footnote>
  <w:footnote w:id="15">
    <w:p w:rsidR="00425494" w:rsidRPr="00BB4B61" w:rsidRDefault="00425494" w:rsidP="00425494">
      <w:pPr>
        <w:pStyle w:val="FootnoteText"/>
      </w:pPr>
      <w:r w:rsidRPr="00BB4B61">
        <w:rPr>
          <w:rStyle w:val="FootnoteReference"/>
        </w:rPr>
        <w:footnoteRef/>
      </w:r>
      <w:r w:rsidRPr="00BB4B61">
        <w:tab/>
        <w:t>Directive 20</w:t>
      </w:r>
      <w:r w:rsidR="00757989" w:rsidRPr="00BB4B61">
        <w:t>24</w:t>
      </w:r>
      <w:r w:rsidRPr="00BB4B61">
        <w:t>/</w:t>
      </w:r>
      <w:r w:rsidR="00757989" w:rsidRPr="00BB4B61">
        <w:t xml:space="preserve">1346 </w:t>
      </w:r>
      <w:r w:rsidRPr="00BB4B61">
        <w:t xml:space="preserve">EU of the European Parliament and of the Council </w:t>
      </w:r>
      <w:r w:rsidR="00DF1567" w:rsidRPr="00BB4B61">
        <w:t>of 14</w:t>
      </w:r>
      <w:r w:rsidR="00BB4B61">
        <w:t> </w:t>
      </w:r>
      <w:r w:rsidR="00DF1567" w:rsidRPr="00BB4B61">
        <w:t>May 2024</w:t>
      </w:r>
      <w:r w:rsidRPr="00BB4B61">
        <w:t xml:space="preserve"> laying down standards for the reception of applicants for international protection</w:t>
      </w:r>
      <w:r w:rsidR="00BB4B61" w:rsidRPr="00BB4B61">
        <w:t xml:space="preserve"> </w:t>
      </w:r>
      <w:r w:rsidRPr="00BB4B61">
        <w:t>(OJ L</w:t>
      </w:r>
      <w:r w:rsidR="00DF1567" w:rsidRPr="00BB4B61">
        <w:t>, 2024/1346</w:t>
      </w:r>
      <w:r w:rsidRPr="00BB4B61">
        <w:t>, ELI:</w:t>
      </w:r>
      <w:r w:rsidR="006E2B85">
        <w:t xml:space="preserve"> </w:t>
      </w:r>
      <w:r w:rsidR="00DF1567" w:rsidRPr="00BB4B61">
        <w:t>http://data.europa.eu/eli/dir/2024/1346/</w:t>
      </w:r>
      <w:r w:rsidR="00BB4B61">
        <w:t>OJ</w:t>
      </w:r>
      <w:r w:rsidRPr="00BB4B61">
        <w:t>).</w:t>
      </w:r>
    </w:p>
  </w:footnote>
  <w:footnote w:id="16">
    <w:p w:rsidR="006F40B7" w:rsidRPr="006F40B7" w:rsidRDefault="006F40B7">
      <w:pPr>
        <w:pStyle w:val="FootnoteText"/>
        <w:rPr>
          <w:lang w:val="en-IE"/>
        </w:rPr>
      </w:pPr>
      <w:r>
        <w:rPr>
          <w:rStyle w:val="FootnoteReference"/>
        </w:rPr>
        <w:footnoteRef/>
      </w:r>
      <w:r w:rsidRPr="006F40B7">
        <w:rPr>
          <w:lang w:val="en-IE"/>
        </w:rPr>
        <w:tab/>
      </w:r>
      <w:r w:rsidRPr="006017BD">
        <w:rPr>
          <w:rFonts w:eastAsia="Calibri"/>
          <w:lang w:val="en-IE"/>
        </w:rPr>
        <w:t xml:space="preserve">Directive 2003/86 of 22 September 2003 on the right to family reunification (OJ L 251, ELI: </w:t>
      </w:r>
      <w:hyperlink r:id="rId7" w:history="1">
        <w:r w:rsidRPr="006017BD">
          <w:rPr>
            <w:rStyle w:val="Hyperlink"/>
            <w:rFonts w:eastAsia="Calibri"/>
            <w:lang w:val="en-IE"/>
          </w:rPr>
          <w:t>http://data.europa.eu/eli/dir/2003/86/oj</w:t>
        </w:r>
      </w:hyperlink>
      <w:r>
        <w:t>)</w:t>
      </w:r>
    </w:p>
  </w:footnote>
  <w:footnote w:id="17">
    <w:p w:rsidR="00CA0046" w:rsidRPr="00BB4B61" w:rsidRDefault="00CA0046" w:rsidP="009B37BC">
      <w:pPr>
        <w:pStyle w:val="FootnoteText"/>
      </w:pPr>
      <w:r w:rsidRPr="00BB4B61">
        <w:rPr>
          <w:rStyle w:val="FootnoteReference"/>
        </w:rPr>
        <w:footnoteRef/>
      </w:r>
      <w:r w:rsidRPr="00BB4B61">
        <w:tab/>
        <w:t>Judgment of the Court of Justice of 7</w:t>
      </w:r>
      <w:r w:rsidR="00BB4B61">
        <w:t> </w:t>
      </w:r>
      <w:r w:rsidRPr="00BB4B61">
        <w:t>October 2014, Germany v Council, C-399/12, ECLI:EU:C:2014:2258, paragraphs 61 to 64.</w:t>
      </w:r>
    </w:p>
  </w:footnote>
  <w:footnote w:id="18">
    <w:p w:rsidR="004910EE" w:rsidRPr="00BB4B61" w:rsidRDefault="004910EE" w:rsidP="004910EE">
      <w:pPr>
        <w:pStyle w:val="FootnoteText"/>
      </w:pPr>
      <w:r w:rsidRPr="00BB4B61">
        <w:rPr>
          <w:rStyle w:val="FootnoteReference"/>
        </w:rPr>
        <w:footnoteRef/>
      </w:r>
      <w:r w:rsidRPr="00BB4B61">
        <w:tab/>
        <w:t>Council Decision (EU) 2023/1075 of 1</w:t>
      </w:r>
      <w:r w:rsidR="00BB4B61">
        <w:t> </w:t>
      </w:r>
      <w:r w:rsidRPr="00BB4B61">
        <w:t>June 2023 on the conclusion, on behalf of the European Union, of the Council of Europe Convention on preventing and combating violence against women and domestic violence with regard to institutions and public administration of the Union (OJ L 143 I, 2.6.2023, p.</w:t>
      </w:r>
      <w:r w:rsidR="00BB4B61">
        <w:t> </w:t>
      </w:r>
      <w:r w:rsidRPr="00BB4B61">
        <w:t>1, ELI: http://data.europa.eu/eli/dec/2023/1075/</w:t>
      </w:r>
      <w:r w:rsidR="00BB4B61">
        <w:t>OJ</w:t>
      </w:r>
      <w:r w:rsidRPr="00BB4B61">
        <w:t>).</w:t>
      </w:r>
    </w:p>
  </w:footnote>
  <w:footnote w:id="19">
    <w:p w:rsidR="004910EE" w:rsidRPr="00BB4B61" w:rsidRDefault="004910EE" w:rsidP="004910EE">
      <w:pPr>
        <w:pStyle w:val="FootnoteText"/>
      </w:pPr>
      <w:r w:rsidRPr="00BB4B61">
        <w:rPr>
          <w:rStyle w:val="FootnoteReference"/>
        </w:rPr>
        <w:footnoteRef/>
      </w:r>
      <w:r w:rsidRPr="00BB4B61">
        <w:tab/>
        <w:t>Council Decision (EU) 2023/1076 of 1</w:t>
      </w:r>
      <w:r w:rsidR="00BB4B61">
        <w:t> </w:t>
      </w:r>
      <w:r w:rsidRPr="00BB4B61">
        <w:t>June 2023 on the conclusion, on behalf of the European Union, of the Council of Europe Convention on preventing and combating violence against women and domestic violence with regard to matters related to judicial cooperation in criminal matters, asylum and non-refoulement (OJ L 143 I, 2.6.2023, p.</w:t>
      </w:r>
      <w:r w:rsidR="00BB4B61">
        <w:t> </w:t>
      </w:r>
      <w:r w:rsidRPr="00BB4B61">
        <w:t>4, ELI: http://data.europa.eu/eli/dec/2023/1076/</w:t>
      </w:r>
      <w:r w:rsidR="00BB4B61">
        <w:t>OJ</w:t>
      </w:r>
      <w:r w:rsidRPr="00BB4B61">
        <w:t>).</w:t>
      </w:r>
    </w:p>
  </w:footnote>
  <w:footnote w:id="20">
    <w:p w:rsidR="004910EE" w:rsidRPr="00BB4B61" w:rsidRDefault="004910EE" w:rsidP="004910EE">
      <w:pPr>
        <w:pStyle w:val="FootnoteText"/>
      </w:pPr>
      <w:r w:rsidRPr="00BB4B61">
        <w:rPr>
          <w:rStyle w:val="FootnoteReference"/>
        </w:rPr>
        <w:footnoteRef/>
      </w:r>
      <w:r w:rsidRPr="00BB4B61">
        <w:tab/>
        <w:t>Council Decision (EU) 2023/1075 of 1</w:t>
      </w:r>
      <w:r w:rsidR="00BB4B61">
        <w:t> </w:t>
      </w:r>
      <w:r w:rsidRPr="00BB4B61">
        <w:t>June 2023 on the conclusion, on behalf of the European Union, of the Council of Europe Convention on preventing and combating violence against women and domestic violence with regard to institutions and public administration of the Union (OJ L 143 I, 2.6.2023, p.</w:t>
      </w:r>
      <w:r w:rsidR="00BB4B61">
        <w:t> </w:t>
      </w:r>
      <w:r w:rsidRPr="00BB4B61">
        <w:t>1)</w:t>
      </w:r>
      <w:r w:rsidR="009B531F" w:rsidRPr="00BB4B61">
        <w:t xml:space="preserve">, </w:t>
      </w:r>
      <w:hyperlink r:id="rId8" w:history="1">
        <w:r w:rsidR="009B531F" w:rsidRPr="00BB4B61">
          <w:rPr>
            <w:rStyle w:val="Hyperlink"/>
          </w:rPr>
          <w:t>Decision - 2023/1075 - EN - EUR-Lex</w:t>
        </w:r>
      </w:hyperlink>
      <w:r w:rsidRPr="00BB4B61">
        <w:t>.</w:t>
      </w:r>
    </w:p>
  </w:footnote>
  <w:footnote w:id="21">
    <w:p w:rsidR="004910EE" w:rsidRPr="00BB4B61" w:rsidRDefault="004910EE" w:rsidP="004910EE">
      <w:pPr>
        <w:pStyle w:val="FootnoteText"/>
      </w:pPr>
      <w:r w:rsidRPr="00BB4B61">
        <w:rPr>
          <w:rStyle w:val="FootnoteReference"/>
        </w:rPr>
        <w:footnoteRef/>
      </w:r>
      <w:r w:rsidRPr="00BB4B61">
        <w:tab/>
        <w:t>Council Decision (EU) 2023/1076 of 1</w:t>
      </w:r>
      <w:r w:rsidR="00BB4B61">
        <w:t> </w:t>
      </w:r>
      <w:r w:rsidRPr="00BB4B61">
        <w:t>June 2023 on the conclusion, on behalf of the European Union, of the Council of Europe Convention on preventing and combating violence against women and domestic violence with regard to matters related to judicial cooperation in criminal matters, asylum and non-refoulement (OJ L 143 I, 2.6.2023 p.</w:t>
      </w:r>
      <w:r w:rsidR="00BB4B61">
        <w:t> </w:t>
      </w:r>
      <w:r w:rsidRPr="00BB4B61">
        <w:t>4</w:t>
      </w:r>
      <w:r w:rsidRPr="00BB4B61">
        <w:rPr>
          <w:rStyle w:val="Hyperlink"/>
          <w:color w:val="000000" w:themeColor="text1"/>
        </w:rPr>
        <w:t>)</w:t>
      </w:r>
      <w:r w:rsidR="009B531F" w:rsidRPr="00BB4B61">
        <w:rPr>
          <w:rStyle w:val="Hyperlink"/>
          <w:color w:val="000000" w:themeColor="text1"/>
        </w:rPr>
        <w:t xml:space="preserve">, </w:t>
      </w:r>
      <w:hyperlink r:id="rId9" w:history="1">
        <w:r w:rsidR="009B531F" w:rsidRPr="00BB4B61">
          <w:rPr>
            <w:rStyle w:val="Hyperlink"/>
          </w:rPr>
          <w:t>Decision - 2023/1076 - EN - EUR-Lex</w:t>
        </w:r>
      </w:hyperlink>
      <w:r w:rsidR="009B531F" w:rsidRPr="00BB4B61">
        <w:t>.</w:t>
      </w:r>
    </w:p>
  </w:footnote>
  <w:footnote w:id="22">
    <w:p w:rsidR="004910EE" w:rsidRPr="003E2174" w:rsidRDefault="004910EE" w:rsidP="004910EE">
      <w:pPr>
        <w:pStyle w:val="FootnoteText"/>
      </w:pPr>
      <w:r w:rsidRPr="00BB4B61">
        <w:rPr>
          <w:rStyle w:val="FootnoteReference"/>
        </w:rPr>
        <w:footnoteRef/>
      </w:r>
      <w:r w:rsidRPr="00BB4B61">
        <w:tab/>
      </w:r>
      <w:bookmarkStart w:id="9" w:name="_Hlk166517794"/>
      <w:r w:rsidR="009B531F" w:rsidRPr="00BB4B61">
        <w:t>Directive (EU) 2024/1385 of the European Parliament and of the Council of 14</w:t>
      </w:r>
      <w:r w:rsidR="00BB4B61">
        <w:t> </w:t>
      </w:r>
      <w:r w:rsidR="009B531F" w:rsidRPr="00BB4B61">
        <w:t>May 2024 on combating violence against women and domestic violence</w:t>
      </w:r>
      <w:r w:rsidR="009B531F" w:rsidRPr="003E2174">
        <w:t xml:space="preserve"> </w:t>
      </w:r>
      <w:r w:rsidR="003E2174">
        <w:t>(</w:t>
      </w:r>
      <w:r w:rsidR="009B531F" w:rsidRPr="006017BD">
        <w:t>OJ L, 2024/1385, 24.5.2024, ELI: </w:t>
      </w:r>
      <w:hyperlink r:id="rId10" w:tgtFrame="_blank" w:tooltip="Gives access to this document through its ELI URI." w:history="1">
        <w:r w:rsidR="009B531F" w:rsidRPr="006017BD">
          <w:rPr>
            <w:rStyle w:val="Hyperlink"/>
          </w:rPr>
          <w:t>http://data.europa.eu/eli/dir/2024/1385/o</w:t>
        </w:r>
      </w:hyperlink>
      <w:r w:rsidR="003E2174">
        <w:rPr>
          <w:rStyle w:val="Hyperlink"/>
        </w:rPr>
        <w:t>j)</w:t>
      </w:r>
      <w:r w:rsidRPr="003E2174">
        <w:t>.</w:t>
      </w:r>
      <w:bookmarkEnd w:id="9"/>
    </w:p>
  </w:footnote>
  <w:footnote w:id="23">
    <w:p w:rsidR="004910EE" w:rsidRPr="003E2174" w:rsidRDefault="004910EE" w:rsidP="004910EE">
      <w:pPr>
        <w:pStyle w:val="FootnoteText"/>
      </w:pPr>
      <w:r w:rsidRPr="003E2174">
        <w:rPr>
          <w:rStyle w:val="FootnoteReference"/>
        </w:rPr>
        <w:footnoteRef/>
      </w:r>
      <w:r w:rsidRPr="003E2174">
        <w:tab/>
      </w:r>
      <w:r w:rsidR="009B531F" w:rsidRPr="003E2174">
        <w:t xml:space="preserve">Directive 2012/29/EU of the European Parliament and of the Council of 25 October 2012 establishing minimum standards on the rights, support and protection of victims of crime, and replacing Council Framework Decision 2001/220/JHA </w:t>
      </w:r>
      <w:r w:rsidR="003E2174">
        <w:t>(</w:t>
      </w:r>
      <w:r w:rsidR="009B531F" w:rsidRPr="006017BD">
        <w:t>OJ L 315, 14.11.2012, p. 57–73, http://data.europa.eu/eli/dir/2012/29/oj</w:t>
      </w:r>
      <w:r w:rsidR="003E2174">
        <w:t>)</w:t>
      </w:r>
      <w:r w:rsidR="009B531F" w:rsidRPr="006017BD">
        <w:t>.</w:t>
      </w:r>
    </w:p>
  </w:footnote>
  <w:footnote w:id="24">
    <w:p w:rsidR="004910EE" w:rsidRPr="003E2174" w:rsidRDefault="004910EE" w:rsidP="002861A5">
      <w:pPr>
        <w:pStyle w:val="FootnoteText"/>
      </w:pPr>
      <w:r w:rsidRPr="003E2174">
        <w:rPr>
          <w:rStyle w:val="FootnoteReference"/>
        </w:rPr>
        <w:footnoteRef/>
      </w:r>
      <w:r w:rsidRPr="003E2174">
        <w:tab/>
      </w:r>
      <w:r w:rsidR="00A269B3" w:rsidRPr="003E2174">
        <w:t>Regulation 2024/1348 of the European Parliament and of the Council establishing a common procedure for international protection in the Union and repealing Directive 2013/32/EU (OJ L, 2024/1348, ELI:</w:t>
      </w:r>
      <w:r w:rsidR="00A269B3" w:rsidRPr="006017BD">
        <w:t> </w:t>
      </w:r>
      <w:hyperlink r:id="rId11" w:tgtFrame="_blank" w:tooltip="Gives access to this document through its ELI URI." w:history="1">
        <w:r w:rsidR="00A269B3" w:rsidRPr="006017BD">
          <w:rPr>
            <w:rStyle w:val="Hyperlink"/>
          </w:rPr>
          <w:t>http://data.europa.eu/eli/reg/2024/1348/oj</w:t>
        </w:r>
      </w:hyperlink>
      <w:r w:rsidR="00A269B3" w:rsidRPr="003E2174">
        <w:t>).</w:t>
      </w:r>
    </w:p>
  </w:footnote>
  <w:footnote w:id="25">
    <w:p w:rsidR="004910EE" w:rsidRPr="003E2174" w:rsidRDefault="004910EE" w:rsidP="00E30690">
      <w:pPr>
        <w:pStyle w:val="FootnoteText"/>
      </w:pPr>
      <w:r w:rsidRPr="003E2174">
        <w:rPr>
          <w:rStyle w:val="FootnoteReference"/>
        </w:rPr>
        <w:footnoteRef/>
      </w:r>
      <w:r w:rsidRPr="003E2174">
        <w:tab/>
      </w:r>
      <w:r w:rsidR="00E30690" w:rsidRPr="003E2174">
        <w:t>Directive 2024/1346 EU of the European Parliament and of the Council of 14</w:t>
      </w:r>
      <w:r w:rsidR="00BB4B61" w:rsidRPr="003E2174">
        <w:t> </w:t>
      </w:r>
      <w:r w:rsidR="00E30690" w:rsidRPr="003E2174">
        <w:t>May 2024 laying down standards for the reception of applicants for international protection (OJ L, 2024/1346, ELI: http://data.europa.eu/eli/dir/2024/1346/oj).</w:t>
      </w:r>
    </w:p>
  </w:footnote>
  <w:footnote w:id="26">
    <w:p w:rsidR="0038302B" w:rsidRPr="00D87E08" w:rsidRDefault="0038302B">
      <w:pPr>
        <w:pStyle w:val="FootnoteText"/>
        <w:rPr>
          <w:lang w:val="en-IE"/>
        </w:rPr>
      </w:pPr>
      <w:r>
        <w:rPr>
          <w:rStyle w:val="FootnoteReference"/>
        </w:rPr>
        <w:footnoteRef/>
      </w:r>
      <w:r w:rsidRPr="00D87E08">
        <w:rPr>
          <w:lang w:val="en-IE"/>
        </w:rPr>
        <w:tab/>
      </w:r>
      <w:r w:rsidRPr="003E2174">
        <w:rPr>
          <w:rFonts w:eastAsia="Calibri"/>
        </w:rPr>
        <w:t xml:space="preserve">Council Directive 2003/86/EC of 22 September 2003 on the right to family reunification (OJ L 251, 3.10.2003, p. 12, ELI: </w:t>
      </w:r>
      <w:hyperlink r:id="rId12" w:history="1">
        <w:r w:rsidRPr="003E2174">
          <w:rPr>
            <w:rStyle w:val="Hyperlink"/>
            <w:rFonts w:eastAsia="Calibri"/>
          </w:rPr>
          <w:t>http://data.europa.eu/eli/dir/2003/86/oj</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3FE" w:rsidRDefault="005253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3FE" w:rsidRDefault="00525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1B2CAA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33B8649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9F44A1F8"/>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1538635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18"/>
    <w:lvlOverride w:ilvl="0">
      <w:startOverride w:val="1"/>
    </w:lvlOverride>
  </w:num>
  <w:num w:numId="8">
    <w:abstractNumId w:val="15"/>
  </w:num>
  <w:num w:numId="9">
    <w:abstractNumId w:val="8"/>
  </w:num>
  <w:num w:numId="10">
    <w:abstractNumId w:val="17"/>
  </w:num>
  <w:num w:numId="11">
    <w:abstractNumId w:val="7"/>
  </w:num>
  <w:num w:numId="12">
    <w:abstractNumId w:val="9"/>
  </w:num>
  <w:num w:numId="13">
    <w:abstractNumId w:val="10"/>
  </w:num>
  <w:num w:numId="14">
    <w:abstractNumId w:val="5"/>
  </w:num>
  <w:num w:numId="15">
    <w:abstractNumId w:val="16"/>
  </w:num>
  <w:num w:numId="16">
    <w:abstractNumId w:val="4"/>
  </w:num>
  <w:num w:numId="17">
    <w:abstractNumId w:val="11"/>
  </w:num>
  <w:num w:numId="18">
    <w:abstractNumId w:val="13"/>
  </w:num>
  <w:num w:numId="19">
    <w:abstractNumId w:val="14"/>
  </w:num>
  <w:num w:numId="20">
    <w:abstractNumId w:val="6"/>
  </w:num>
  <w:num w:numId="21">
    <w:abstractNumId w:val="12"/>
  </w:num>
  <w:num w:numId="22">
    <w:abstractNumId w:val="1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8"/>
  </w:num>
  <w:num w:numId="26">
    <w:abstractNumId w:val="17"/>
  </w:num>
  <w:num w:numId="27">
    <w:abstractNumId w:val="7"/>
  </w:num>
  <w:num w:numId="28">
    <w:abstractNumId w:val="9"/>
  </w:num>
  <w:num w:numId="29">
    <w:abstractNumId w:val="10"/>
  </w:num>
  <w:num w:numId="30">
    <w:abstractNumId w:val="5"/>
  </w:num>
  <w:num w:numId="31">
    <w:abstractNumId w:val="16"/>
  </w:num>
  <w:num w:numId="32">
    <w:abstractNumId w:val="4"/>
  </w:num>
  <w:num w:numId="33">
    <w:abstractNumId w:val="11"/>
  </w:num>
  <w:num w:numId="34">
    <w:abstractNumId w:val="13"/>
  </w:num>
  <w:num w:numId="35">
    <w:abstractNumId w:val="14"/>
  </w:num>
  <w:num w:numId="36">
    <w:abstractNumId w:val="6"/>
  </w:num>
  <w:num w:numId="37">
    <w:abstractNumId w:val="12"/>
  </w:num>
  <w:num w:numId="38">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05-12 08:52:50"/>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08580A97-E03F-450C-A345-2BF31E09B5C3"/>
    <w:docVar w:name="LW_COVERPAGE_TYPE" w:val="1"/>
    <w:docVar w:name="LW_CreatedUtc" w:val="2025-04-16T14:07:37.9010800Z"/>
    <w:docVar w:name="LW_CROSSREFERENCE" w:val="&lt;UNUSED&gt;"/>
    <w:docVar w:name="LW_DocType" w:val="COM"/>
    <w:docVar w:name="LW_EMISSION" w:val="13.5.2025"/>
    <w:docVar w:name="LW_EMISSION_ISODATE" w:val="2025-05-13"/>
    <w:docVar w:name="LW_EMISSION_LOCATION" w:val="BRX"/>
    <w:docVar w:name="LW_EMISSION_PREFIX" w:val="Brussels, "/>
    <w:docVar w:name="LW_EMISSION_SUFFIX" w:val=" "/>
    <w:docVar w:name="LW_ID_DOCMODEL" w:val="SJ-043"/>
    <w:docVar w:name="LW_ID_DOCSIGNATURE" w:val="SJ-019"/>
    <w:docVar w:name="LW_ID_DOCSTRUCTURE" w:val="COM/PL/ORG"/>
    <w:docVar w:name="LW_ID_DOCTYPE" w:val="SJ-043"/>
    <w:docVar w:name="LW_ID_STATUT" w:val="SJ-019"/>
    <w:docVar w:name="LW_INSERT_EXP.MOTIFS.NEW" w:val="1"/>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NLE"/>
    <w:docVar w:name="LW_REF.II.NEW.CP_NUMBER" w:val="0118"/>
    <w:docVar w:name="LW_REF.II.NEW.CP_YEAR" w:val="2025"/>
    <w:docVar w:name="LW_REF.INST.NEW" w:val="COM"/>
    <w:docVar w:name="LW_REF.INST.NEW_ADOPTED" w:val="final"/>
    <w:docVar w:name="LW_REF.INST.NEW_TEXT" w:val="(2025) 246"/>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 w:val="on the position to be taken on behalf of the European Union at the 18th meeting of the Committee of the Parties to the Council of Europe Convention on preventing and combating violence against women and domestic violence on the adoption of recommendations and conclusions addressed to 10 State Parties on their implementation of that Convention, with regard to matters related to judicial cooperation in criminal matters, asylum and non-refoulement_x000b_"/>
    <w:docVar w:name="LW_TITRE.OBJ.CP" w:val="on the position to be taken on behalf of the European Union at the 18th meeting of the Committee of the Parties to the Council of Europe Convention on preventing and combating violence against women and domestic violence on the adoption of recommendations and conclusions addressed to 10 State Parties on their implementation of that Convention, with regard to matters related to judicial cooperation in criminal matters, asylum and non-refoulement_x000b_"/>
    <w:docVar w:name="LW_TYPE.DOC.CP" w:val="COUNCIL DECISION"/>
    <w:docVar w:name="LwApiVersions" w:val="LW4CoDe 1.24.5.0; LW 9.0, Build 20240221"/>
    <w:docVar w:name="Stamp" w:val="\\net1.cec.eu.int\offline\06\bouroya\Desktop\Draft 218.9 dec. jud.coop.clean.docx"/>
  </w:docVars>
  <w:rsids>
    <w:rsidRoot w:val="00CA0046"/>
    <w:rsid w:val="00000997"/>
    <w:rsid w:val="00000AD3"/>
    <w:rsid w:val="00000B95"/>
    <w:rsid w:val="0000141C"/>
    <w:rsid w:val="00001660"/>
    <w:rsid w:val="00001D40"/>
    <w:rsid w:val="000023E4"/>
    <w:rsid w:val="00002B6D"/>
    <w:rsid w:val="00003680"/>
    <w:rsid w:val="00004534"/>
    <w:rsid w:val="0000453B"/>
    <w:rsid w:val="000047AE"/>
    <w:rsid w:val="00004A25"/>
    <w:rsid w:val="00005A19"/>
    <w:rsid w:val="000062F1"/>
    <w:rsid w:val="00007EA7"/>
    <w:rsid w:val="000119EB"/>
    <w:rsid w:val="000122F4"/>
    <w:rsid w:val="00012B0F"/>
    <w:rsid w:val="00013561"/>
    <w:rsid w:val="000135DC"/>
    <w:rsid w:val="00013F0C"/>
    <w:rsid w:val="000141E4"/>
    <w:rsid w:val="00015C74"/>
    <w:rsid w:val="000161AF"/>
    <w:rsid w:val="00020ECD"/>
    <w:rsid w:val="0002155C"/>
    <w:rsid w:val="00021A8A"/>
    <w:rsid w:val="000221AC"/>
    <w:rsid w:val="00022877"/>
    <w:rsid w:val="0002289D"/>
    <w:rsid w:val="00022F7F"/>
    <w:rsid w:val="00023EBB"/>
    <w:rsid w:val="000245A7"/>
    <w:rsid w:val="00025163"/>
    <w:rsid w:val="00026239"/>
    <w:rsid w:val="00027C37"/>
    <w:rsid w:val="00031810"/>
    <w:rsid w:val="000321EC"/>
    <w:rsid w:val="0003776C"/>
    <w:rsid w:val="00040F28"/>
    <w:rsid w:val="000425A0"/>
    <w:rsid w:val="0004297A"/>
    <w:rsid w:val="00042E50"/>
    <w:rsid w:val="0004431F"/>
    <w:rsid w:val="00044A90"/>
    <w:rsid w:val="00044CC8"/>
    <w:rsid w:val="000453E0"/>
    <w:rsid w:val="0004581C"/>
    <w:rsid w:val="00045FB9"/>
    <w:rsid w:val="000467C4"/>
    <w:rsid w:val="00047318"/>
    <w:rsid w:val="00050F66"/>
    <w:rsid w:val="00053505"/>
    <w:rsid w:val="00053B7B"/>
    <w:rsid w:val="00053D46"/>
    <w:rsid w:val="000540E2"/>
    <w:rsid w:val="0005456B"/>
    <w:rsid w:val="00054958"/>
    <w:rsid w:val="00054E3B"/>
    <w:rsid w:val="00055874"/>
    <w:rsid w:val="00056009"/>
    <w:rsid w:val="00056FA1"/>
    <w:rsid w:val="000575F8"/>
    <w:rsid w:val="00057603"/>
    <w:rsid w:val="000601B2"/>
    <w:rsid w:val="00061433"/>
    <w:rsid w:val="00061896"/>
    <w:rsid w:val="0006219F"/>
    <w:rsid w:val="00062547"/>
    <w:rsid w:val="00062D3C"/>
    <w:rsid w:val="00064C1A"/>
    <w:rsid w:val="000656BD"/>
    <w:rsid w:val="000661E3"/>
    <w:rsid w:val="000673DC"/>
    <w:rsid w:val="00067AF7"/>
    <w:rsid w:val="0007030F"/>
    <w:rsid w:val="00071B28"/>
    <w:rsid w:val="00071CEB"/>
    <w:rsid w:val="000728BB"/>
    <w:rsid w:val="00072956"/>
    <w:rsid w:val="00072A12"/>
    <w:rsid w:val="000735F2"/>
    <w:rsid w:val="00073E8A"/>
    <w:rsid w:val="0007418A"/>
    <w:rsid w:val="000756CD"/>
    <w:rsid w:val="00075966"/>
    <w:rsid w:val="00076107"/>
    <w:rsid w:val="000763E3"/>
    <w:rsid w:val="00077C29"/>
    <w:rsid w:val="0008042F"/>
    <w:rsid w:val="000818A8"/>
    <w:rsid w:val="00082627"/>
    <w:rsid w:val="00082BEB"/>
    <w:rsid w:val="00082F02"/>
    <w:rsid w:val="000835A1"/>
    <w:rsid w:val="0008791D"/>
    <w:rsid w:val="00087E20"/>
    <w:rsid w:val="0009010A"/>
    <w:rsid w:val="00090C20"/>
    <w:rsid w:val="00091418"/>
    <w:rsid w:val="00092822"/>
    <w:rsid w:val="00092BFB"/>
    <w:rsid w:val="0009363F"/>
    <w:rsid w:val="000939BC"/>
    <w:rsid w:val="00093D87"/>
    <w:rsid w:val="0009517C"/>
    <w:rsid w:val="000967E7"/>
    <w:rsid w:val="00096F15"/>
    <w:rsid w:val="0009733B"/>
    <w:rsid w:val="0009738B"/>
    <w:rsid w:val="0009794A"/>
    <w:rsid w:val="000A02D9"/>
    <w:rsid w:val="000A0566"/>
    <w:rsid w:val="000A0AF3"/>
    <w:rsid w:val="000A0FFC"/>
    <w:rsid w:val="000A17B4"/>
    <w:rsid w:val="000A18A2"/>
    <w:rsid w:val="000A2965"/>
    <w:rsid w:val="000A29ED"/>
    <w:rsid w:val="000A2CD3"/>
    <w:rsid w:val="000A2CDD"/>
    <w:rsid w:val="000A2E77"/>
    <w:rsid w:val="000A3AF6"/>
    <w:rsid w:val="000A45DF"/>
    <w:rsid w:val="000A5822"/>
    <w:rsid w:val="000A587E"/>
    <w:rsid w:val="000A69C6"/>
    <w:rsid w:val="000A6C60"/>
    <w:rsid w:val="000A72EE"/>
    <w:rsid w:val="000B0168"/>
    <w:rsid w:val="000B0E40"/>
    <w:rsid w:val="000B0F0C"/>
    <w:rsid w:val="000B1E1C"/>
    <w:rsid w:val="000B1F97"/>
    <w:rsid w:val="000B2A65"/>
    <w:rsid w:val="000B3956"/>
    <w:rsid w:val="000B47FA"/>
    <w:rsid w:val="000B526B"/>
    <w:rsid w:val="000B5361"/>
    <w:rsid w:val="000C2DCF"/>
    <w:rsid w:val="000C2FB2"/>
    <w:rsid w:val="000C31B0"/>
    <w:rsid w:val="000C500B"/>
    <w:rsid w:val="000C5A31"/>
    <w:rsid w:val="000C61FA"/>
    <w:rsid w:val="000C61FB"/>
    <w:rsid w:val="000C7AE1"/>
    <w:rsid w:val="000D023F"/>
    <w:rsid w:val="000D1DD2"/>
    <w:rsid w:val="000D1F34"/>
    <w:rsid w:val="000D2219"/>
    <w:rsid w:val="000D4271"/>
    <w:rsid w:val="000D6444"/>
    <w:rsid w:val="000D649D"/>
    <w:rsid w:val="000D6B1C"/>
    <w:rsid w:val="000D7106"/>
    <w:rsid w:val="000D72C0"/>
    <w:rsid w:val="000E0AD6"/>
    <w:rsid w:val="000E0C51"/>
    <w:rsid w:val="000E0F6D"/>
    <w:rsid w:val="000E26D7"/>
    <w:rsid w:val="000E2FB0"/>
    <w:rsid w:val="000E3D09"/>
    <w:rsid w:val="000E4371"/>
    <w:rsid w:val="000E4522"/>
    <w:rsid w:val="000E4ED2"/>
    <w:rsid w:val="000E5631"/>
    <w:rsid w:val="000E6133"/>
    <w:rsid w:val="000E77BB"/>
    <w:rsid w:val="000E7DAB"/>
    <w:rsid w:val="000F0FFD"/>
    <w:rsid w:val="000F2324"/>
    <w:rsid w:val="000F2688"/>
    <w:rsid w:val="000F2A5F"/>
    <w:rsid w:val="000F324B"/>
    <w:rsid w:val="000F3D4C"/>
    <w:rsid w:val="000F4523"/>
    <w:rsid w:val="000F50D8"/>
    <w:rsid w:val="000F5B74"/>
    <w:rsid w:val="000F768D"/>
    <w:rsid w:val="000F7B22"/>
    <w:rsid w:val="00102E7D"/>
    <w:rsid w:val="001038DB"/>
    <w:rsid w:val="001039B9"/>
    <w:rsid w:val="00103AA8"/>
    <w:rsid w:val="0010494D"/>
    <w:rsid w:val="00105B57"/>
    <w:rsid w:val="00105B9C"/>
    <w:rsid w:val="001065F5"/>
    <w:rsid w:val="00107B04"/>
    <w:rsid w:val="00111401"/>
    <w:rsid w:val="00111950"/>
    <w:rsid w:val="00112217"/>
    <w:rsid w:val="0011267F"/>
    <w:rsid w:val="0011282C"/>
    <w:rsid w:val="001157BA"/>
    <w:rsid w:val="00117AC8"/>
    <w:rsid w:val="00117C98"/>
    <w:rsid w:val="0012187B"/>
    <w:rsid w:val="00122158"/>
    <w:rsid w:val="0012275B"/>
    <w:rsid w:val="0012293C"/>
    <w:rsid w:val="00122952"/>
    <w:rsid w:val="001235D8"/>
    <w:rsid w:val="001238EF"/>
    <w:rsid w:val="00123AB9"/>
    <w:rsid w:val="00125AED"/>
    <w:rsid w:val="00126120"/>
    <w:rsid w:val="00126215"/>
    <w:rsid w:val="00126EB1"/>
    <w:rsid w:val="00127395"/>
    <w:rsid w:val="001303A8"/>
    <w:rsid w:val="00131554"/>
    <w:rsid w:val="00131F0E"/>
    <w:rsid w:val="001321DD"/>
    <w:rsid w:val="001322CC"/>
    <w:rsid w:val="00132C40"/>
    <w:rsid w:val="001343D6"/>
    <w:rsid w:val="001352C4"/>
    <w:rsid w:val="001358A1"/>
    <w:rsid w:val="00137C30"/>
    <w:rsid w:val="00140957"/>
    <w:rsid w:val="00143C75"/>
    <w:rsid w:val="00143E44"/>
    <w:rsid w:val="00144125"/>
    <w:rsid w:val="00144654"/>
    <w:rsid w:val="00146761"/>
    <w:rsid w:val="00146D74"/>
    <w:rsid w:val="001475FD"/>
    <w:rsid w:val="0015243C"/>
    <w:rsid w:val="00153114"/>
    <w:rsid w:val="00153396"/>
    <w:rsid w:val="00153865"/>
    <w:rsid w:val="00153CB3"/>
    <w:rsid w:val="0015432D"/>
    <w:rsid w:val="001544EE"/>
    <w:rsid w:val="0015602D"/>
    <w:rsid w:val="001563EE"/>
    <w:rsid w:val="00156741"/>
    <w:rsid w:val="001621CF"/>
    <w:rsid w:val="00162714"/>
    <w:rsid w:val="00162F83"/>
    <w:rsid w:val="0016318C"/>
    <w:rsid w:val="00163AB0"/>
    <w:rsid w:val="00165971"/>
    <w:rsid w:val="00165EEB"/>
    <w:rsid w:val="001662E0"/>
    <w:rsid w:val="00166C63"/>
    <w:rsid w:val="00166D6D"/>
    <w:rsid w:val="00167522"/>
    <w:rsid w:val="0017082E"/>
    <w:rsid w:val="0017088C"/>
    <w:rsid w:val="001710D5"/>
    <w:rsid w:val="00171241"/>
    <w:rsid w:val="00171619"/>
    <w:rsid w:val="00171905"/>
    <w:rsid w:val="00171B6F"/>
    <w:rsid w:val="00172747"/>
    <w:rsid w:val="0017347F"/>
    <w:rsid w:val="001751C9"/>
    <w:rsid w:val="00175549"/>
    <w:rsid w:val="00175949"/>
    <w:rsid w:val="00175BB0"/>
    <w:rsid w:val="00175E38"/>
    <w:rsid w:val="00177775"/>
    <w:rsid w:val="00177E1B"/>
    <w:rsid w:val="00181C5E"/>
    <w:rsid w:val="001820AD"/>
    <w:rsid w:val="00182217"/>
    <w:rsid w:val="0018279B"/>
    <w:rsid w:val="00183193"/>
    <w:rsid w:val="00183536"/>
    <w:rsid w:val="00183D17"/>
    <w:rsid w:val="00183EA8"/>
    <w:rsid w:val="00186635"/>
    <w:rsid w:val="00186EBE"/>
    <w:rsid w:val="00187522"/>
    <w:rsid w:val="001879B2"/>
    <w:rsid w:val="00190D9D"/>
    <w:rsid w:val="001919AC"/>
    <w:rsid w:val="00192044"/>
    <w:rsid w:val="00192A1F"/>
    <w:rsid w:val="00193048"/>
    <w:rsid w:val="00193183"/>
    <w:rsid w:val="001937B0"/>
    <w:rsid w:val="00194929"/>
    <w:rsid w:val="001951E8"/>
    <w:rsid w:val="001961FF"/>
    <w:rsid w:val="00196234"/>
    <w:rsid w:val="00196D9F"/>
    <w:rsid w:val="00197613"/>
    <w:rsid w:val="00197C36"/>
    <w:rsid w:val="001A0E90"/>
    <w:rsid w:val="001A12CE"/>
    <w:rsid w:val="001A160E"/>
    <w:rsid w:val="001A253B"/>
    <w:rsid w:val="001A35B6"/>
    <w:rsid w:val="001A4F4C"/>
    <w:rsid w:val="001A5039"/>
    <w:rsid w:val="001A7170"/>
    <w:rsid w:val="001A7639"/>
    <w:rsid w:val="001A7B26"/>
    <w:rsid w:val="001B06B6"/>
    <w:rsid w:val="001B0967"/>
    <w:rsid w:val="001B1E69"/>
    <w:rsid w:val="001B23EA"/>
    <w:rsid w:val="001B2533"/>
    <w:rsid w:val="001B2B90"/>
    <w:rsid w:val="001B3748"/>
    <w:rsid w:val="001B4A53"/>
    <w:rsid w:val="001B4C7D"/>
    <w:rsid w:val="001B61A9"/>
    <w:rsid w:val="001B6E50"/>
    <w:rsid w:val="001B742A"/>
    <w:rsid w:val="001B773B"/>
    <w:rsid w:val="001C06B3"/>
    <w:rsid w:val="001C0E2F"/>
    <w:rsid w:val="001C1887"/>
    <w:rsid w:val="001C271E"/>
    <w:rsid w:val="001C3BEC"/>
    <w:rsid w:val="001C4665"/>
    <w:rsid w:val="001C486A"/>
    <w:rsid w:val="001C575C"/>
    <w:rsid w:val="001C6B1C"/>
    <w:rsid w:val="001C7377"/>
    <w:rsid w:val="001D0543"/>
    <w:rsid w:val="001D27CD"/>
    <w:rsid w:val="001D2967"/>
    <w:rsid w:val="001D2AC4"/>
    <w:rsid w:val="001D3B86"/>
    <w:rsid w:val="001D4DD2"/>
    <w:rsid w:val="001D5DB2"/>
    <w:rsid w:val="001D770E"/>
    <w:rsid w:val="001D7C95"/>
    <w:rsid w:val="001E0617"/>
    <w:rsid w:val="001E0EC6"/>
    <w:rsid w:val="001E17CA"/>
    <w:rsid w:val="001E182C"/>
    <w:rsid w:val="001E1DD5"/>
    <w:rsid w:val="001E1ED2"/>
    <w:rsid w:val="001E291F"/>
    <w:rsid w:val="001E308F"/>
    <w:rsid w:val="001E310A"/>
    <w:rsid w:val="001E336B"/>
    <w:rsid w:val="001E3526"/>
    <w:rsid w:val="001E35AF"/>
    <w:rsid w:val="001E512B"/>
    <w:rsid w:val="001E5558"/>
    <w:rsid w:val="001E76C0"/>
    <w:rsid w:val="001F0787"/>
    <w:rsid w:val="001F1814"/>
    <w:rsid w:val="001F1AAE"/>
    <w:rsid w:val="001F1EAA"/>
    <w:rsid w:val="001F345A"/>
    <w:rsid w:val="001F48AF"/>
    <w:rsid w:val="001F4B78"/>
    <w:rsid w:val="001F6FCF"/>
    <w:rsid w:val="001F7258"/>
    <w:rsid w:val="001F76DC"/>
    <w:rsid w:val="00200767"/>
    <w:rsid w:val="00201B76"/>
    <w:rsid w:val="00201FF9"/>
    <w:rsid w:val="00202409"/>
    <w:rsid w:val="0020364D"/>
    <w:rsid w:val="00203C52"/>
    <w:rsid w:val="00204006"/>
    <w:rsid w:val="00204256"/>
    <w:rsid w:val="002044B3"/>
    <w:rsid w:val="0020575F"/>
    <w:rsid w:val="00205A40"/>
    <w:rsid w:val="00205BBB"/>
    <w:rsid w:val="00210D83"/>
    <w:rsid w:val="00211018"/>
    <w:rsid w:val="00211097"/>
    <w:rsid w:val="00212078"/>
    <w:rsid w:val="0021210E"/>
    <w:rsid w:val="00212115"/>
    <w:rsid w:val="002127C5"/>
    <w:rsid w:val="002135B9"/>
    <w:rsid w:val="0021396A"/>
    <w:rsid w:val="0021440A"/>
    <w:rsid w:val="002160F2"/>
    <w:rsid w:val="0021732F"/>
    <w:rsid w:val="00220499"/>
    <w:rsid w:val="00222526"/>
    <w:rsid w:val="00222A16"/>
    <w:rsid w:val="00224268"/>
    <w:rsid w:val="002245AA"/>
    <w:rsid w:val="0022551C"/>
    <w:rsid w:val="0022743B"/>
    <w:rsid w:val="00227E8C"/>
    <w:rsid w:val="002303E8"/>
    <w:rsid w:val="0023051D"/>
    <w:rsid w:val="00231128"/>
    <w:rsid w:val="00231C01"/>
    <w:rsid w:val="00231D1C"/>
    <w:rsid w:val="00231FD5"/>
    <w:rsid w:val="0023251E"/>
    <w:rsid w:val="00233DC7"/>
    <w:rsid w:val="002340A1"/>
    <w:rsid w:val="002348E5"/>
    <w:rsid w:val="00234BFA"/>
    <w:rsid w:val="00235173"/>
    <w:rsid w:val="00236E21"/>
    <w:rsid w:val="002379B8"/>
    <w:rsid w:val="00237B3C"/>
    <w:rsid w:val="0024056F"/>
    <w:rsid w:val="0024201C"/>
    <w:rsid w:val="00242835"/>
    <w:rsid w:val="00242AD3"/>
    <w:rsid w:val="00242F46"/>
    <w:rsid w:val="002431EB"/>
    <w:rsid w:val="00243809"/>
    <w:rsid w:val="00243A23"/>
    <w:rsid w:val="00244EC3"/>
    <w:rsid w:val="00245CFF"/>
    <w:rsid w:val="0024707E"/>
    <w:rsid w:val="002474D7"/>
    <w:rsid w:val="00247779"/>
    <w:rsid w:val="00247886"/>
    <w:rsid w:val="00247C50"/>
    <w:rsid w:val="0025101A"/>
    <w:rsid w:val="00251433"/>
    <w:rsid w:val="00251A91"/>
    <w:rsid w:val="00251E35"/>
    <w:rsid w:val="0025228F"/>
    <w:rsid w:val="00252CEE"/>
    <w:rsid w:val="0025346A"/>
    <w:rsid w:val="00253737"/>
    <w:rsid w:val="00253AFB"/>
    <w:rsid w:val="00253E6F"/>
    <w:rsid w:val="00254DAB"/>
    <w:rsid w:val="00256B61"/>
    <w:rsid w:val="00256E03"/>
    <w:rsid w:val="0026015C"/>
    <w:rsid w:val="00260270"/>
    <w:rsid w:val="00261799"/>
    <w:rsid w:val="002627B7"/>
    <w:rsid w:val="00263925"/>
    <w:rsid w:val="00264CE7"/>
    <w:rsid w:val="0026513B"/>
    <w:rsid w:val="00265D41"/>
    <w:rsid w:val="002664A7"/>
    <w:rsid w:val="00266C71"/>
    <w:rsid w:val="00266F98"/>
    <w:rsid w:val="00267139"/>
    <w:rsid w:val="002705B5"/>
    <w:rsid w:val="002708CA"/>
    <w:rsid w:val="00271030"/>
    <w:rsid w:val="002715AA"/>
    <w:rsid w:val="00272E7F"/>
    <w:rsid w:val="00273C20"/>
    <w:rsid w:val="00273C4E"/>
    <w:rsid w:val="00274095"/>
    <w:rsid w:val="002742CA"/>
    <w:rsid w:val="00274A97"/>
    <w:rsid w:val="0027539C"/>
    <w:rsid w:val="00275B41"/>
    <w:rsid w:val="0028202D"/>
    <w:rsid w:val="00282ACB"/>
    <w:rsid w:val="00284A60"/>
    <w:rsid w:val="00285009"/>
    <w:rsid w:val="0028579B"/>
    <w:rsid w:val="00285BEE"/>
    <w:rsid w:val="002861A5"/>
    <w:rsid w:val="002861C1"/>
    <w:rsid w:val="00286360"/>
    <w:rsid w:val="002878AA"/>
    <w:rsid w:val="0029053B"/>
    <w:rsid w:val="00292E47"/>
    <w:rsid w:val="002937AE"/>
    <w:rsid w:val="00293D07"/>
    <w:rsid w:val="002944B5"/>
    <w:rsid w:val="00294A88"/>
    <w:rsid w:val="00294B1C"/>
    <w:rsid w:val="0029509E"/>
    <w:rsid w:val="0029533F"/>
    <w:rsid w:val="00296319"/>
    <w:rsid w:val="002A1DD8"/>
    <w:rsid w:val="002A20E7"/>
    <w:rsid w:val="002A277A"/>
    <w:rsid w:val="002A2FD1"/>
    <w:rsid w:val="002A71B6"/>
    <w:rsid w:val="002A7214"/>
    <w:rsid w:val="002A7ABE"/>
    <w:rsid w:val="002B0213"/>
    <w:rsid w:val="002B0AB9"/>
    <w:rsid w:val="002B0DDB"/>
    <w:rsid w:val="002B126E"/>
    <w:rsid w:val="002B30AF"/>
    <w:rsid w:val="002B37DC"/>
    <w:rsid w:val="002B484C"/>
    <w:rsid w:val="002B52B8"/>
    <w:rsid w:val="002B6009"/>
    <w:rsid w:val="002B641D"/>
    <w:rsid w:val="002B6E03"/>
    <w:rsid w:val="002C0E0A"/>
    <w:rsid w:val="002C15FF"/>
    <w:rsid w:val="002C563D"/>
    <w:rsid w:val="002C5710"/>
    <w:rsid w:val="002C5920"/>
    <w:rsid w:val="002C5B55"/>
    <w:rsid w:val="002C6012"/>
    <w:rsid w:val="002C69D2"/>
    <w:rsid w:val="002C6C1F"/>
    <w:rsid w:val="002C777A"/>
    <w:rsid w:val="002C7971"/>
    <w:rsid w:val="002D032E"/>
    <w:rsid w:val="002D088B"/>
    <w:rsid w:val="002D0F63"/>
    <w:rsid w:val="002D1F34"/>
    <w:rsid w:val="002D1FAB"/>
    <w:rsid w:val="002D2440"/>
    <w:rsid w:val="002D2BE3"/>
    <w:rsid w:val="002D30E6"/>
    <w:rsid w:val="002D4253"/>
    <w:rsid w:val="002D4481"/>
    <w:rsid w:val="002D4ECA"/>
    <w:rsid w:val="002D56A6"/>
    <w:rsid w:val="002D5B75"/>
    <w:rsid w:val="002D77EC"/>
    <w:rsid w:val="002D79BD"/>
    <w:rsid w:val="002D7F4C"/>
    <w:rsid w:val="002E1011"/>
    <w:rsid w:val="002E13B3"/>
    <w:rsid w:val="002E18A9"/>
    <w:rsid w:val="002E29B1"/>
    <w:rsid w:val="002E340E"/>
    <w:rsid w:val="002E3DF4"/>
    <w:rsid w:val="002E4EB6"/>
    <w:rsid w:val="002E4EBA"/>
    <w:rsid w:val="002E5D0F"/>
    <w:rsid w:val="002E5D43"/>
    <w:rsid w:val="002F0081"/>
    <w:rsid w:val="002F0819"/>
    <w:rsid w:val="002F08F5"/>
    <w:rsid w:val="002F0E9D"/>
    <w:rsid w:val="002F1AF4"/>
    <w:rsid w:val="002F255C"/>
    <w:rsid w:val="002F2595"/>
    <w:rsid w:val="002F46C6"/>
    <w:rsid w:val="002F551A"/>
    <w:rsid w:val="002F58A0"/>
    <w:rsid w:val="002F67FC"/>
    <w:rsid w:val="00300C79"/>
    <w:rsid w:val="00301E52"/>
    <w:rsid w:val="00303A91"/>
    <w:rsid w:val="00303DAC"/>
    <w:rsid w:val="0030521D"/>
    <w:rsid w:val="0030590F"/>
    <w:rsid w:val="003062C2"/>
    <w:rsid w:val="00306516"/>
    <w:rsid w:val="00306706"/>
    <w:rsid w:val="003069EB"/>
    <w:rsid w:val="00306B10"/>
    <w:rsid w:val="00313B89"/>
    <w:rsid w:val="00315952"/>
    <w:rsid w:val="0031720F"/>
    <w:rsid w:val="00320F08"/>
    <w:rsid w:val="00321544"/>
    <w:rsid w:val="0032215A"/>
    <w:rsid w:val="0032238E"/>
    <w:rsid w:val="00322487"/>
    <w:rsid w:val="00323D94"/>
    <w:rsid w:val="003241C9"/>
    <w:rsid w:val="00324852"/>
    <w:rsid w:val="003259BA"/>
    <w:rsid w:val="00326976"/>
    <w:rsid w:val="003269FE"/>
    <w:rsid w:val="00327BA4"/>
    <w:rsid w:val="0033115F"/>
    <w:rsid w:val="0033129E"/>
    <w:rsid w:val="0033344A"/>
    <w:rsid w:val="00333BD8"/>
    <w:rsid w:val="0033518F"/>
    <w:rsid w:val="003358A2"/>
    <w:rsid w:val="00335A55"/>
    <w:rsid w:val="00336E00"/>
    <w:rsid w:val="003379B7"/>
    <w:rsid w:val="0034120C"/>
    <w:rsid w:val="00341C72"/>
    <w:rsid w:val="00342D87"/>
    <w:rsid w:val="00343551"/>
    <w:rsid w:val="00344605"/>
    <w:rsid w:val="00344B49"/>
    <w:rsid w:val="003459F4"/>
    <w:rsid w:val="003466D0"/>
    <w:rsid w:val="00347BB4"/>
    <w:rsid w:val="00350ACA"/>
    <w:rsid w:val="003551DD"/>
    <w:rsid w:val="00355389"/>
    <w:rsid w:val="003556BB"/>
    <w:rsid w:val="003558DF"/>
    <w:rsid w:val="00355D55"/>
    <w:rsid w:val="00360454"/>
    <w:rsid w:val="00361F15"/>
    <w:rsid w:val="003620CA"/>
    <w:rsid w:val="00362223"/>
    <w:rsid w:val="003623E2"/>
    <w:rsid w:val="00364684"/>
    <w:rsid w:val="00365623"/>
    <w:rsid w:val="00365EA4"/>
    <w:rsid w:val="00366A8C"/>
    <w:rsid w:val="003701DC"/>
    <w:rsid w:val="00370750"/>
    <w:rsid w:val="0037233C"/>
    <w:rsid w:val="00372E54"/>
    <w:rsid w:val="00372EB5"/>
    <w:rsid w:val="00374CF6"/>
    <w:rsid w:val="00374F25"/>
    <w:rsid w:val="00375A53"/>
    <w:rsid w:val="00375A8E"/>
    <w:rsid w:val="00375B0D"/>
    <w:rsid w:val="00377F82"/>
    <w:rsid w:val="00377FAA"/>
    <w:rsid w:val="003801F5"/>
    <w:rsid w:val="0038302B"/>
    <w:rsid w:val="0038336C"/>
    <w:rsid w:val="003848EA"/>
    <w:rsid w:val="00384BBF"/>
    <w:rsid w:val="00385CE5"/>
    <w:rsid w:val="0038625D"/>
    <w:rsid w:val="003867D1"/>
    <w:rsid w:val="00387190"/>
    <w:rsid w:val="00387F04"/>
    <w:rsid w:val="00387FBB"/>
    <w:rsid w:val="00390822"/>
    <w:rsid w:val="003915ED"/>
    <w:rsid w:val="00391989"/>
    <w:rsid w:val="00391AB4"/>
    <w:rsid w:val="0039452A"/>
    <w:rsid w:val="00395494"/>
    <w:rsid w:val="003974DF"/>
    <w:rsid w:val="00397896"/>
    <w:rsid w:val="003A0197"/>
    <w:rsid w:val="003A0805"/>
    <w:rsid w:val="003A1B99"/>
    <w:rsid w:val="003A1E9A"/>
    <w:rsid w:val="003A1EDC"/>
    <w:rsid w:val="003A2172"/>
    <w:rsid w:val="003A291E"/>
    <w:rsid w:val="003A2AA7"/>
    <w:rsid w:val="003A2B17"/>
    <w:rsid w:val="003A3CE5"/>
    <w:rsid w:val="003A49DF"/>
    <w:rsid w:val="003A5925"/>
    <w:rsid w:val="003A5C99"/>
    <w:rsid w:val="003A600F"/>
    <w:rsid w:val="003A6C01"/>
    <w:rsid w:val="003A725C"/>
    <w:rsid w:val="003A771E"/>
    <w:rsid w:val="003A7FF6"/>
    <w:rsid w:val="003B06DF"/>
    <w:rsid w:val="003B0C3D"/>
    <w:rsid w:val="003B15A0"/>
    <w:rsid w:val="003B1BA8"/>
    <w:rsid w:val="003B2A36"/>
    <w:rsid w:val="003B2D49"/>
    <w:rsid w:val="003B3BB2"/>
    <w:rsid w:val="003B3FE8"/>
    <w:rsid w:val="003B545A"/>
    <w:rsid w:val="003C1082"/>
    <w:rsid w:val="003C1758"/>
    <w:rsid w:val="003C18E9"/>
    <w:rsid w:val="003C19BC"/>
    <w:rsid w:val="003C1A64"/>
    <w:rsid w:val="003C2368"/>
    <w:rsid w:val="003C3964"/>
    <w:rsid w:val="003C4861"/>
    <w:rsid w:val="003C6E62"/>
    <w:rsid w:val="003C7578"/>
    <w:rsid w:val="003C7B7E"/>
    <w:rsid w:val="003C7E22"/>
    <w:rsid w:val="003D04F1"/>
    <w:rsid w:val="003D0507"/>
    <w:rsid w:val="003D0DD5"/>
    <w:rsid w:val="003D3782"/>
    <w:rsid w:val="003D400E"/>
    <w:rsid w:val="003D525E"/>
    <w:rsid w:val="003D6859"/>
    <w:rsid w:val="003D7E3C"/>
    <w:rsid w:val="003E0177"/>
    <w:rsid w:val="003E03B4"/>
    <w:rsid w:val="003E1443"/>
    <w:rsid w:val="003E18AA"/>
    <w:rsid w:val="003E2174"/>
    <w:rsid w:val="003E227B"/>
    <w:rsid w:val="003E2C11"/>
    <w:rsid w:val="003E3EA7"/>
    <w:rsid w:val="003E591B"/>
    <w:rsid w:val="003F0179"/>
    <w:rsid w:val="003F3338"/>
    <w:rsid w:val="003F4F83"/>
    <w:rsid w:val="003F5D64"/>
    <w:rsid w:val="003F7686"/>
    <w:rsid w:val="0040209B"/>
    <w:rsid w:val="00403C69"/>
    <w:rsid w:val="0040427E"/>
    <w:rsid w:val="0040456E"/>
    <w:rsid w:val="004045AD"/>
    <w:rsid w:val="00406AC1"/>
    <w:rsid w:val="00406EA4"/>
    <w:rsid w:val="00407553"/>
    <w:rsid w:val="004075BE"/>
    <w:rsid w:val="00411311"/>
    <w:rsid w:val="00411400"/>
    <w:rsid w:val="0041150A"/>
    <w:rsid w:val="00411CDE"/>
    <w:rsid w:val="0041299B"/>
    <w:rsid w:val="00413A75"/>
    <w:rsid w:val="004144E4"/>
    <w:rsid w:val="00414971"/>
    <w:rsid w:val="004156B4"/>
    <w:rsid w:val="00416D43"/>
    <w:rsid w:val="00416F50"/>
    <w:rsid w:val="004172AC"/>
    <w:rsid w:val="00417C2B"/>
    <w:rsid w:val="00420304"/>
    <w:rsid w:val="00420C76"/>
    <w:rsid w:val="00421952"/>
    <w:rsid w:val="00422C59"/>
    <w:rsid w:val="004231AB"/>
    <w:rsid w:val="00424445"/>
    <w:rsid w:val="004244AF"/>
    <w:rsid w:val="004249D7"/>
    <w:rsid w:val="00424CC8"/>
    <w:rsid w:val="00424DD4"/>
    <w:rsid w:val="004253DB"/>
    <w:rsid w:val="00425494"/>
    <w:rsid w:val="0042648E"/>
    <w:rsid w:val="004274C6"/>
    <w:rsid w:val="00427E68"/>
    <w:rsid w:val="0043016E"/>
    <w:rsid w:val="00430DE3"/>
    <w:rsid w:val="00431CBF"/>
    <w:rsid w:val="00432B63"/>
    <w:rsid w:val="00432BB9"/>
    <w:rsid w:val="00434494"/>
    <w:rsid w:val="00434A16"/>
    <w:rsid w:val="00434C8C"/>
    <w:rsid w:val="00435D99"/>
    <w:rsid w:val="00436A07"/>
    <w:rsid w:val="00437649"/>
    <w:rsid w:val="00437DBC"/>
    <w:rsid w:val="00437FC2"/>
    <w:rsid w:val="00440B22"/>
    <w:rsid w:val="00441355"/>
    <w:rsid w:val="004427C3"/>
    <w:rsid w:val="00442B45"/>
    <w:rsid w:val="00443502"/>
    <w:rsid w:val="004436CF"/>
    <w:rsid w:val="00443F85"/>
    <w:rsid w:val="004457CF"/>
    <w:rsid w:val="00445E14"/>
    <w:rsid w:val="00446382"/>
    <w:rsid w:val="00447CE7"/>
    <w:rsid w:val="00450654"/>
    <w:rsid w:val="0045200D"/>
    <w:rsid w:val="00452AB9"/>
    <w:rsid w:val="004537F9"/>
    <w:rsid w:val="00454668"/>
    <w:rsid w:val="00454B8F"/>
    <w:rsid w:val="00455121"/>
    <w:rsid w:val="0045521A"/>
    <w:rsid w:val="00455749"/>
    <w:rsid w:val="00455DE4"/>
    <w:rsid w:val="00456781"/>
    <w:rsid w:val="00457B3F"/>
    <w:rsid w:val="0046024F"/>
    <w:rsid w:val="0046331D"/>
    <w:rsid w:val="00466785"/>
    <w:rsid w:val="00470547"/>
    <w:rsid w:val="00471607"/>
    <w:rsid w:val="004729FE"/>
    <w:rsid w:val="00472DF9"/>
    <w:rsid w:val="00472F12"/>
    <w:rsid w:val="00475032"/>
    <w:rsid w:val="00476820"/>
    <w:rsid w:val="00480CBC"/>
    <w:rsid w:val="00481463"/>
    <w:rsid w:val="00481A1E"/>
    <w:rsid w:val="004858FB"/>
    <w:rsid w:val="00485CBF"/>
    <w:rsid w:val="00490A3F"/>
    <w:rsid w:val="00490F2E"/>
    <w:rsid w:val="004910EE"/>
    <w:rsid w:val="00491867"/>
    <w:rsid w:val="00491E5B"/>
    <w:rsid w:val="00492CC6"/>
    <w:rsid w:val="00492DBE"/>
    <w:rsid w:val="00493425"/>
    <w:rsid w:val="004936D2"/>
    <w:rsid w:val="004958AF"/>
    <w:rsid w:val="00497CD3"/>
    <w:rsid w:val="004A2CC3"/>
    <w:rsid w:val="004A304B"/>
    <w:rsid w:val="004A4248"/>
    <w:rsid w:val="004A4F3D"/>
    <w:rsid w:val="004A7860"/>
    <w:rsid w:val="004A7C07"/>
    <w:rsid w:val="004B06AF"/>
    <w:rsid w:val="004B0E20"/>
    <w:rsid w:val="004B1747"/>
    <w:rsid w:val="004B18F7"/>
    <w:rsid w:val="004B2364"/>
    <w:rsid w:val="004B3A34"/>
    <w:rsid w:val="004B4B5E"/>
    <w:rsid w:val="004B524B"/>
    <w:rsid w:val="004B5862"/>
    <w:rsid w:val="004B59D3"/>
    <w:rsid w:val="004C0879"/>
    <w:rsid w:val="004C0D2D"/>
    <w:rsid w:val="004C2AE4"/>
    <w:rsid w:val="004C327E"/>
    <w:rsid w:val="004C5051"/>
    <w:rsid w:val="004C5627"/>
    <w:rsid w:val="004C66B7"/>
    <w:rsid w:val="004C71C3"/>
    <w:rsid w:val="004D070C"/>
    <w:rsid w:val="004D11D1"/>
    <w:rsid w:val="004D1283"/>
    <w:rsid w:val="004D236F"/>
    <w:rsid w:val="004D2428"/>
    <w:rsid w:val="004D2791"/>
    <w:rsid w:val="004D30C5"/>
    <w:rsid w:val="004D3CB0"/>
    <w:rsid w:val="004D49CF"/>
    <w:rsid w:val="004D63C3"/>
    <w:rsid w:val="004D771C"/>
    <w:rsid w:val="004D7AEB"/>
    <w:rsid w:val="004E07AB"/>
    <w:rsid w:val="004E0C6A"/>
    <w:rsid w:val="004E1254"/>
    <w:rsid w:val="004E1B17"/>
    <w:rsid w:val="004E3619"/>
    <w:rsid w:val="004E43FB"/>
    <w:rsid w:val="004E5B38"/>
    <w:rsid w:val="004E6E3F"/>
    <w:rsid w:val="004E776D"/>
    <w:rsid w:val="004E7F10"/>
    <w:rsid w:val="004E7F94"/>
    <w:rsid w:val="004F02AD"/>
    <w:rsid w:val="004F2010"/>
    <w:rsid w:val="004F2781"/>
    <w:rsid w:val="004F280F"/>
    <w:rsid w:val="004F4CFF"/>
    <w:rsid w:val="004F6A9A"/>
    <w:rsid w:val="004F6E1B"/>
    <w:rsid w:val="005016D6"/>
    <w:rsid w:val="00505ADF"/>
    <w:rsid w:val="00505EDA"/>
    <w:rsid w:val="0050619B"/>
    <w:rsid w:val="0050655A"/>
    <w:rsid w:val="00506BD9"/>
    <w:rsid w:val="005076D4"/>
    <w:rsid w:val="00507FC0"/>
    <w:rsid w:val="00510215"/>
    <w:rsid w:val="00510246"/>
    <w:rsid w:val="00510F37"/>
    <w:rsid w:val="00511153"/>
    <w:rsid w:val="0051241D"/>
    <w:rsid w:val="005126DA"/>
    <w:rsid w:val="005136E3"/>
    <w:rsid w:val="00514531"/>
    <w:rsid w:val="005145C2"/>
    <w:rsid w:val="005147C0"/>
    <w:rsid w:val="00514CA7"/>
    <w:rsid w:val="00515EDD"/>
    <w:rsid w:val="0051601E"/>
    <w:rsid w:val="00516182"/>
    <w:rsid w:val="00517F6E"/>
    <w:rsid w:val="0052056A"/>
    <w:rsid w:val="0052149E"/>
    <w:rsid w:val="005217B0"/>
    <w:rsid w:val="005222F4"/>
    <w:rsid w:val="005228FC"/>
    <w:rsid w:val="00522DF3"/>
    <w:rsid w:val="00523C15"/>
    <w:rsid w:val="00523C99"/>
    <w:rsid w:val="00524387"/>
    <w:rsid w:val="00524588"/>
    <w:rsid w:val="005253FE"/>
    <w:rsid w:val="00525B5F"/>
    <w:rsid w:val="005260C1"/>
    <w:rsid w:val="00527241"/>
    <w:rsid w:val="00527359"/>
    <w:rsid w:val="00530667"/>
    <w:rsid w:val="005310AF"/>
    <w:rsid w:val="00532406"/>
    <w:rsid w:val="00532E1C"/>
    <w:rsid w:val="00533002"/>
    <w:rsid w:val="00533691"/>
    <w:rsid w:val="00533713"/>
    <w:rsid w:val="00533A46"/>
    <w:rsid w:val="005346A2"/>
    <w:rsid w:val="00535294"/>
    <w:rsid w:val="00535BC1"/>
    <w:rsid w:val="00535E5F"/>
    <w:rsid w:val="00537203"/>
    <w:rsid w:val="005373DD"/>
    <w:rsid w:val="00538BE4"/>
    <w:rsid w:val="005429C3"/>
    <w:rsid w:val="00542E21"/>
    <w:rsid w:val="00543558"/>
    <w:rsid w:val="005446B3"/>
    <w:rsid w:val="00545B02"/>
    <w:rsid w:val="005500CD"/>
    <w:rsid w:val="00550607"/>
    <w:rsid w:val="00550D22"/>
    <w:rsid w:val="0055143E"/>
    <w:rsid w:val="00551B02"/>
    <w:rsid w:val="00551B22"/>
    <w:rsid w:val="00551CB5"/>
    <w:rsid w:val="00552AFC"/>
    <w:rsid w:val="00552EBA"/>
    <w:rsid w:val="0055451D"/>
    <w:rsid w:val="00554B1F"/>
    <w:rsid w:val="00556148"/>
    <w:rsid w:val="005566E0"/>
    <w:rsid w:val="005572E4"/>
    <w:rsid w:val="00557860"/>
    <w:rsid w:val="00557D18"/>
    <w:rsid w:val="0056209E"/>
    <w:rsid w:val="005651CE"/>
    <w:rsid w:val="005657F6"/>
    <w:rsid w:val="00565E6E"/>
    <w:rsid w:val="0056620B"/>
    <w:rsid w:val="00566288"/>
    <w:rsid w:val="0057152C"/>
    <w:rsid w:val="005715DE"/>
    <w:rsid w:val="005723DA"/>
    <w:rsid w:val="00572401"/>
    <w:rsid w:val="005735E3"/>
    <w:rsid w:val="005747AE"/>
    <w:rsid w:val="0057501B"/>
    <w:rsid w:val="00575A4C"/>
    <w:rsid w:val="00575B2E"/>
    <w:rsid w:val="00577479"/>
    <w:rsid w:val="00577699"/>
    <w:rsid w:val="0058084F"/>
    <w:rsid w:val="00581211"/>
    <w:rsid w:val="00581BEC"/>
    <w:rsid w:val="00583221"/>
    <w:rsid w:val="0058404E"/>
    <w:rsid w:val="00584619"/>
    <w:rsid w:val="00584A46"/>
    <w:rsid w:val="0058521C"/>
    <w:rsid w:val="00586C2D"/>
    <w:rsid w:val="00590B20"/>
    <w:rsid w:val="005914A7"/>
    <w:rsid w:val="00592344"/>
    <w:rsid w:val="005924A3"/>
    <w:rsid w:val="005934CA"/>
    <w:rsid w:val="00594003"/>
    <w:rsid w:val="00595483"/>
    <w:rsid w:val="00597756"/>
    <w:rsid w:val="00597D6A"/>
    <w:rsid w:val="005A03AF"/>
    <w:rsid w:val="005A2841"/>
    <w:rsid w:val="005A29C9"/>
    <w:rsid w:val="005A44DE"/>
    <w:rsid w:val="005A49FD"/>
    <w:rsid w:val="005A5511"/>
    <w:rsid w:val="005A5BCC"/>
    <w:rsid w:val="005A67BF"/>
    <w:rsid w:val="005A6BC0"/>
    <w:rsid w:val="005A758D"/>
    <w:rsid w:val="005A7638"/>
    <w:rsid w:val="005A7BED"/>
    <w:rsid w:val="005A7DBC"/>
    <w:rsid w:val="005B1071"/>
    <w:rsid w:val="005B1CFD"/>
    <w:rsid w:val="005B1EB6"/>
    <w:rsid w:val="005B25F8"/>
    <w:rsid w:val="005B2648"/>
    <w:rsid w:val="005B2EBC"/>
    <w:rsid w:val="005B2EF3"/>
    <w:rsid w:val="005B388D"/>
    <w:rsid w:val="005B514C"/>
    <w:rsid w:val="005B6595"/>
    <w:rsid w:val="005B6AF1"/>
    <w:rsid w:val="005B7014"/>
    <w:rsid w:val="005B70A2"/>
    <w:rsid w:val="005B7461"/>
    <w:rsid w:val="005C00FE"/>
    <w:rsid w:val="005C1342"/>
    <w:rsid w:val="005C197A"/>
    <w:rsid w:val="005C34C0"/>
    <w:rsid w:val="005C4E39"/>
    <w:rsid w:val="005C4F87"/>
    <w:rsid w:val="005C61C5"/>
    <w:rsid w:val="005C6708"/>
    <w:rsid w:val="005C7E06"/>
    <w:rsid w:val="005D0128"/>
    <w:rsid w:val="005D0505"/>
    <w:rsid w:val="005D1192"/>
    <w:rsid w:val="005D3B40"/>
    <w:rsid w:val="005D455A"/>
    <w:rsid w:val="005D4914"/>
    <w:rsid w:val="005D4BEC"/>
    <w:rsid w:val="005D79CE"/>
    <w:rsid w:val="005D7E28"/>
    <w:rsid w:val="005E007E"/>
    <w:rsid w:val="005E02B3"/>
    <w:rsid w:val="005E0B7E"/>
    <w:rsid w:val="005E1E69"/>
    <w:rsid w:val="005E2342"/>
    <w:rsid w:val="005E2C81"/>
    <w:rsid w:val="005E45FA"/>
    <w:rsid w:val="005E48E3"/>
    <w:rsid w:val="005E4EB0"/>
    <w:rsid w:val="005E731D"/>
    <w:rsid w:val="005F0DCA"/>
    <w:rsid w:val="005F0ECB"/>
    <w:rsid w:val="005F160D"/>
    <w:rsid w:val="005F21CF"/>
    <w:rsid w:val="005F22DB"/>
    <w:rsid w:val="005F234F"/>
    <w:rsid w:val="005F2C35"/>
    <w:rsid w:val="005F2FD1"/>
    <w:rsid w:val="005F59F5"/>
    <w:rsid w:val="005F5DB1"/>
    <w:rsid w:val="005F67D0"/>
    <w:rsid w:val="006001FB"/>
    <w:rsid w:val="00600DC0"/>
    <w:rsid w:val="006017BD"/>
    <w:rsid w:val="00602F9E"/>
    <w:rsid w:val="00604818"/>
    <w:rsid w:val="006074E1"/>
    <w:rsid w:val="006111B8"/>
    <w:rsid w:val="006112A7"/>
    <w:rsid w:val="00611C80"/>
    <w:rsid w:val="00612DAD"/>
    <w:rsid w:val="00613792"/>
    <w:rsid w:val="006143ED"/>
    <w:rsid w:val="00615446"/>
    <w:rsid w:val="006159FB"/>
    <w:rsid w:val="00615BD3"/>
    <w:rsid w:val="00616210"/>
    <w:rsid w:val="0061754F"/>
    <w:rsid w:val="006175AE"/>
    <w:rsid w:val="00620B3E"/>
    <w:rsid w:val="006215B9"/>
    <w:rsid w:val="00621C08"/>
    <w:rsid w:val="00621DCC"/>
    <w:rsid w:val="0062308E"/>
    <w:rsid w:val="0062367F"/>
    <w:rsid w:val="006244DC"/>
    <w:rsid w:val="006246A4"/>
    <w:rsid w:val="006251E4"/>
    <w:rsid w:val="0062612B"/>
    <w:rsid w:val="00626E93"/>
    <w:rsid w:val="00627D19"/>
    <w:rsid w:val="006316BC"/>
    <w:rsid w:val="00631A78"/>
    <w:rsid w:val="0063265C"/>
    <w:rsid w:val="00632DF1"/>
    <w:rsid w:val="00633D15"/>
    <w:rsid w:val="00633D84"/>
    <w:rsid w:val="006341AD"/>
    <w:rsid w:val="006341B4"/>
    <w:rsid w:val="0063449D"/>
    <w:rsid w:val="006355B6"/>
    <w:rsid w:val="006355EF"/>
    <w:rsid w:val="00635ED7"/>
    <w:rsid w:val="006375F8"/>
    <w:rsid w:val="0063790D"/>
    <w:rsid w:val="00640061"/>
    <w:rsid w:val="006404FE"/>
    <w:rsid w:val="00641836"/>
    <w:rsid w:val="006419EE"/>
    <w:rsid w:val="00642B90"/>
    <w:rsid w:val="006439D5"/>
    <w:rsid w:val="00644104"/>
    <w:rsid w:val="0064486C"/>
    <w:rsid w:val="00644D3F"/>
    <w:rsid w:val="006466E4"/>
    <w:rsid w:val="00646D3F"/>
    <w:rsid w:val="0065276B"/>
    <w:rsid w:val="00653A23"/>
    <w:rsid w:val="006572BB"/>
    <w:rsid w:val="00657720"/>
    <w:rsid w:val="00660966"/>
    <w:rsid w:val="0066142F"/>
    <w:rsid w:val="00662B75"/>
    <w:rsid w:val="00663942"/>
    <w:rsid w:val="006647D7"/>
    <w:rsid w:val="00665B4B"/>
    <w:rsid w:val="00670DF0"/>
    <w:rsid w:val="00670EC2"/>
    <w:rsid w:val="00672446"/>
    <w:rsid w:val="0067296B"/>
    <w:rsid w:val="00672E9F"/>
    <w:rsid w:val="00673EF2"/>
    <w:rsid w:val="00674036"/>
    <w:rsid w:val="00675D67"/>
    <w:rsid w:val="00677269"/>
    <w:rsid w:val="0068162B"/>
    <w:rsid w:val="006822E5"/>
    <w:rsid w:val="006827C7"/>
    <w:rsid w:val="00682AC1"/>
    <w:rsid w:val="00683686"/>
    <w:rsid w:val="00684CB1"/>
    <w:rsid w:val="00686578"/>
    <w:rsid w:val="00687E83"/>
    <w:rsid w:val="00690BCD"/>
    <w:rsid w:val="00690D4D"/>
    <w:rsid w:val="00691376"/>
    <w:rsid w:val="006914FC"/>
    <w:rsid w:val="00696C7E"/>
    <w:rsid w:val="0069758F"/>
    <w:rsid w:val="00697D93"/>
    <w:rsid w:val="00697FA3"/>
    <w:rsid w:val="006A0B03"/>
    <w:rsid w:val="006A11AE"/>
    <w:rsid w:val="006A12DD"/>
    <w:rsid w:val="006A1397"/>
    <w:rsid w:val="006A21CB"/>
    <w:rsid w:val="006A2219"/>
    <w:rsid w:val="006A30B5"/>
    <w:rsid w:val="006A4AA8"/>
    <w:rsid w:val="006A4FA1"/>
    <w:rsid w:val="006A7269"/>
    <w:rsid w:val="006B080F"/>
    <w:rsid w:val="006B2715"/>
    <w:rsid w:val="006B3400"/>
    <w:rsid w:val="006B35DE"/>
    <w:rsid w:val="006B4131"/>
    <w:rsid w:val="006B6969"/>
    <w:rsid w:val="006B6B35"/>
    <w:rsid w:val="006B6C86"/>
    <w:rsid w:val="006B6E6D"/>
    <w:rsid w:val="006C14A3"/>
    <w:rsid w:val="006C1532"/>
    <w:rsid w:val="006C1552"/>
    <w:rsid w:val="006C32E3"/>
    <w:rsid w:val="006C4534"/>
    <w:rsid w:val="006C7D90"/>
    <w:rsid w:val="006D3477"/>
    <w:rsid w:val="006D368B"/>
    <w:rsid w:val="006D5CCD"/>
    <w:rsid w:val="006E0825"/>
    <w:rsid w:val="006E1D88"/>
    <w:rsid w:val="006E2A58"/>
    <w:rsid w:val="006E2B85"/>
    <w:rsid w:val="006E312B"/>
    <w:rsid w:val="006E33AD"/>
    <w:rsid w:val="006E41E3"/>
    <w:rsid w:val="006E50C3"/>
    <w:rsid w:val="006E6E12"/>
    <w:rsid w:val="006E6F4C"/>
    <w:rsid w:val="006E796C"/>
    <w:rsid w:val="006F0692"/>
    <w:rsid w:val="006F24EE"/>
    <w:rsid w:val="006F2DAF"/>
    <w:rsid w:val="006F2E22"/>
    <w:rsid w:val="006F2FF2"/>
    <w:rsid w:val="006F3CDB"/>
    <w:rsid w:val="006F40B7"/>
    <w:rsid w:val="006F49D1"/>
    <w:rsid w:val="006F578C"/>
    <w:rsid w:val="006F626F"/>
    <w:rsid w:val="006F6D1B"/>
    <w:rsid w:val="006F7066"/>
    <w:rsid w:val="007015D7"/>
    <w:rsid w:val="00701AF8"/>
    <w:rsid w:val="00701D9E"/>
    <w:rsid w:val="00702110"/>
    <w:rsid w:val="0070268F"/>
    <w:rsid w:val="00704267"/>
    <w:rsid w:val="0070494F"/>
    <w:rsid w:val="00705E6D"/>
    <w:rsid w:val="00705FA8"/>
    <w:rsid w:val="00706875"/>
    <w:rsid w:val="007073BE"/>
    <w:rsid w:val="00707DF1"/>
    <w:rsid w:val="00710E68"/>
    <w:rsid w:val="00711D20"/>
    <w:rsid w:val="007126CA"/>
    <w:rsid w:val="00713899"/>
    <w:rsid w:val="00713D32"/>
    <w:rsid w:val="007147C2"/>
    <w:rsid w:val="007148DE"/>
    <w:rsid w:val="00714E8B"/>
    <w:rsid w:val="00715505"/>
    <w:rsid w:val="0071588B"/>
    <w:rsid w:val="00716D00"/>
    <w:rsid w:val="00717C7F"/>
    <w:rsid w:val="007218B9"/>
    <w:rsid w:val="00722DA5"/>
    <w:rsid w:val="00723B88"/>
    <w:rsid w:val="0072415A"/>
    <w:rsid w:val="007251C2"/>
    <w:rsid w:val="00726590"/>
    <w:rsid w:val="00727920"/>
    <w:rsid w:val="007279CC"/>
    <w:rsid w:val="00730A9B"/>
    <w:rsid w:val="0073289A"/>
    <w:rsid w:val="00732998"/>
    <w:rsid w:val="00733D75"/>
    <w:rsid w:val="00735E36"/>
    <w:rsid w:val="0073652F"/>
    <w:rsid w:val="00736837"/>
    <w:rsid w:val="0073684E"/>
    <w:rsid w:val="00736AE7"/>
    <w:rsid w:val="00736F90"/>
    <w:rsid w:val="00740591"/>
    <w:rsid w:val="00741424"/>
    <w:rsid w:val="007420A9"/>
    <w:rsid w:val="0074230C"/>
    <w:rsid w:val="007425DA"/>
    <w:rsid w:val="00742B2D"/>
    <w:rsid w:val="0074398A"/>
    <w:rsid w:val="007439E3"/>
    <w:rsid w:val="00744B4D"/>
    <w:rsid w:val="00744DF5"/>
    <w:rsid w:val="00745C1D"/>
    <w:rsid w:val="00746AEF"/>
    <w:rsid w:val="007471AF"/>
    <w:rsid w:val="007471F3"/>
    <w:rsid w:val="007505CC"/>
    <w:rsid w:val="00750A3F"/>
    <w:rsid w:val="00751084"/>
    <w:rsid w:val="00751DE5"/>
    <w:rsid w:val="00752E06"/>
    <w:rsid w:val="007535C3"/>
    <w:rsid w:val="00753B08"/>
    <w:rsid w:val="00753FB7"/>
    <w:rsid w:val="007541E6"/>
    <w:rsid w:val="00754244"/>
    <w:rsid w:val="00754C59"/>
    <w:rsid w:val="00755EBC"/>
    <w:rsid w:val="00756409"/>
    <w:rsid w:val="00756828"/>
    <w:rsid w:val="007574AE"/>
    <w:rsid w:val="00757989"/>
    <w:rsid w:val="00760066"/>
    <w:rsid w:val="00760249"/>
    <w:rsid w:val="00760406"/>
    <w:rsid w:val="00760A78"/>
    <w:rsid w:val="00762CD2"/>
    <w:rsid w:val="007639A7"/>
    <w:rsid w:val="00764F21"/>
    <w:rsid w:val="00765022"/>
    <w:rsid w:val="007658F6"/>
    <w:rsid w:val="0076596F"/>
    <w:rsid w:val="0076644D"/>
    <w:rsid w:val="00766C68"/>
    <w:rsid w:val="00766C86"/>
    <w:rsid w:val="00767894"/>
    <w:rsid w:val="007702AF"/>
    <w:rsid w:val="00773331"/>
    <w:rsid w:val="00773409"/>
    <w:rsid w:val="00773568"/>
    <w:rsid w:val="00773F6E"/>
    <w:rsid w:val="00774B63"/>
    <w:rsid w:val="00776E36"/>
    <w:rsid w:val="00777069"/>
    <w:rsid w:val="00777EB9"/>
    <w:rsid w:val="0078173F"/>
    <w:rsid w:val="00781860"/>
    <w:rsid w:val="007818E9"/>
    <w:rsid w:val="00781FBA"/>
    <w:rsid w:val="00783331"/>
    <w:rsid w:val="00785283"/>
    <w:rsid w:val="007852FF"/>
    <w:rsid w:val="00785891"/>
    <w:rsid w:val="0078606A"/>
    <w:rsid w:val="00786574"/>
    <w:rsid w:val="00786E70"/>
    <w:rsid w:val="00787373"/>
    <w:rsid w:val="0078786A"/>
    <w:rsid w:val="00787C52"/>
    <w:rsid w:val="00790BC1"/>
    <w:rsid w:val="007925D0"/>
    <w:rsid w:val="007931F9"/>
    <w:rsid w:val="007932EF"/>
    <w:rsid w:val="0079336E"/>
    <w:rsid w:val="007934E5"/>
    <w:rsid w:val="007949E6"/>
    <w:rsid w:val="00795B2C"/>
    <w:rsid w:val="00795D1D"/>
    <w:rsid w:val="00795D9C"/>
    <w:rsid w:val="0079764D"/>
    <w:rsid w:val="00797AA2"/>
    <w:rsid w:val="00797F1B"/>
    <w:rsid w:val="007A00B8"/>
    <w:rsid w:val="007A0501"/>
    <w:rsid w:val="007A0524"/>
    <w:rsid w:val="007A0756"/>
    <w:rsid w:val="007A0C8F"/>
    <w:rsid w:val="007A228D"/>
    <w:rsid w:val="007A3266"/>
    <w:rsid w:val="007A386A"/>
    <w:rsid w:val="007A4526"/>
    <w:rsid w:val="007A57A3"/>
    <w:rsid w:val="007A6457"/>
    <w:rsid w:val="007A75D8"/>
    <w:rsid w:val="007A788B"/>
    <w:rsid w:val="007B0362"/>
    <w:rsid w:val="007B069C"/>
    <w:rsid w:val="007B14B6"/>
    <w:rsid w:val="007B16B2"/>
    <w:rsid w:val="007B19AA"/>
    <w:rsid w:val="007B3491"/>
    <w:rsid w:val="007B38E1"/>
    <w:rsid w:val="007B64F1"/>
    <w:rsid w:val="007B67DB"/>
    <w:rsid w:val="007B71EC"/>
    <w:rsid w:val="007B7495"/>
    <w:rsid w:val="007B7A58"/>
    <w:rsid w:val="007C09F7"/>
    <w:rsid w:val="007C1CD0"/>
    <w:rsid w:val="007C2702"/>
    <w:rsid w:val="007C2B7B"/>
    <w:rsid w:val="007C2BAB"/>
    <w:rsid w:val="007C3ACA"/>
    <w:rsid w:val="007C48E8"/>
    <w:rsid w:val="007C55AA"/>
    <w:rsid w:val="007C62A6"/>
    <w:rsid w:val="007C65A5"/>
    <w:rsid w:val="007C6718"/>
    <w:rsid w:val="007C672D"/>
    <w:rsid w:val="007D0F49"/>
    <w:rsid w:val="007D2EB5"/>
    <w:rsid w:val="007D3F9F"/>
    <w:rsid w:val="007D4537"/>
    <w:rsid w:val="007D59F1"/>
    <w:rsid w:val="007D5F18"/>
    <w:rsid w:val="007D6547"/>
    <w:rsid w:val="007D66E6"/>
    <w:rsid w:val="007E0515"/>
    <w:rsid w:val="007E05B0"/>
    <w:rsid w:val="007E1311"/>
    <w:rsid w:val="007E36C8"/>
    <w:rsid w:val="007E4008"/>
    <w:rsid w:val="007E481C"/>
    <w:rsid w:val="007E664D"/>
    <w:rsid w:val="007E6E8D"/>
    <w:rsid w:val="007E70B5"/>
    <w:rsid w:val="007E714E"/>
    <w:rsid w:val="007F1879"/>
    <w:rsid w:val="007F20F9"/>
    <w:rsid w:val="007F35F1"/>
    <w:rsid w:val="007F3763"/>
    <w:rsid w:val="007F40F2"/>
    <w:rsid w:val="007F4C19"/>
    <w:rsid w:val="007F5B91"/>
    <w:rsid w:val="007F6052"/>
    <w:rsid w:val="007F6CEC"/>
    <w:rsid w:val="007F759D"/>
    <w:rsid w:val="007F77FC"/>
    <w:rsid w:val="0080018E"/>
    <w:rsid w:val="0080131A"/>
    <w:rsid w:val="00803254"/>
    <w:rsid w:val="0080378C"/>
    <w:rsid w:val="008046D7"/>
    <w:rsid w:val="008049AE"/>
    <w:rsid w:val="00804C60"/>
    <w:rsid w:val="00805351"/>
    <w:rsid w:val="008054E0"/>
    <w:rsid w:val="00805E95"/>
    <w:rsid w:val="00806462"/>
    <w:rsid w:val="00807666"/>
    <w:rsid w:val="00810A27"/>
    <w:rsid w:val="00810B32"/>
    <w:rsid w:val="00810CC9"/>
    <w:rsid w:val="00811977"/>
    <w:rsid w:val="00811C31"/>
    <w:rsid w:val="00812199"/>
    <w:rsid w:val="00812483"/>
    <w:rsid w:val="0081255C"/>
    <w:rsid w:val="00812ACE"/>
    <w:rsid w:val="008131CA"/>
    <w:rsid w:val="00813759"/>
    <w:rsid w:val="00815143"/>
    <w:rsid w:val="00817315"/>
    <w:rsid w:val="00820201"/>
    <w:rsid w:val="00820EC1"/>
    <w:rsid w:val="0082325D"/>
    <w:rsid w:val="00823BDA"/>
    <w:rsid w:val="00824380"/>
    <w:rsid w:val="00824414"/>
    <w:rsid w:val="0082441B"/>
    <w:rsid w:val="0082530F"/>
    <w:rsid w:val="00826D0F"/>
    <w:rsid w:val="0083046E"/>
    <w:rsid w:val="0083060D"/>
    <w:rsid w:val="0083316B"/>
    <w:rsid w:val="00833597"/>
    <w:rsid w:val="00834057"/>
    <w:rsid w:val="00834693"/>
    <w:rsid w:val="0083473E"/>
    <w:rsid w:val="00834F33"/>
    <w:rsid w:val="0083549E"/>
    <w:rsid w:val="00835C1C"/>
    <w:rsid w:val="0083639B"/>
    <w:rsid w:val="008369F6"/>
    <w:rsid w:val="00837FAA"/>
    <w:rsid w:val="00840023"/>
    <w:rsid w:val="008403AA"/>
    <w:rsid w:val="00840603"/>
    <w:rsid w:val="0084126E"/>
    <w:rsid w:val="00841A38"/>
    <w:rsid w:val="00841E94"/>
    <w:rsid w:val="008427EE"/>
    <w:rsid w:val="00843D21"/>
    <w:rsid w:val="008441A0"/>
    <w:rsid w:val="00847C85"/>
    <w:rsid w:val="008535F6"/>
    <w:rsid w:val="00854916"/>
    <w:rsid w:val="00854C02"/>
    <w:rsid w:val="008551D0"/>
    <w:rsid w:val="00855C9A"/>
    <w:rsid w:val="008560A1"/>
    <w:rsid w:val="00857268"/>
    <w:rsid w:val="008576B6"/>
    <w:rsid w:val="00860170"/>
    <w:rsid w:val="00860264"/>
    <w:rsid w:val="00860415"/>
    <w:rsid w:val="0086060E"/>
    <w:rsid w:val="00860A7E"/>
    <w:rsid w:val="00863636"/>
    <w:rsid w:val="008636AB"/>
    <w:rsid w:val="00867B92"/>
    <w:rsid w:val="0087011A"/>
    <w:rsid w:val="00870C0B"/>
    <w:rsid w:val="00870FF7"/>
    <w:rsid w:val="00871122"/>
    <w:rsid w:val="008713AF"/>
    <w:rsid w:val="00872C80"/>
    <w:rsid w:val="0087361A"/>
    <w:rsid w:val="008740C3"/>
    <w:rsid w:val="0087424D"/>
    <w:rsid w:val="008746D6"/>
    <w:rsid w:val="00874D22"/>
    <w:rsid w:val="00876DC5"/>
    <w:rsid w:val="00877D65"/>
    <w:rsid w:val="00880DC9"/>
    <w:rsid w:val="008816C7"/>
    <w:rsid w:val="00882152"/>
    <w:rsid w:val="008823E2"/>
    <w:rsid w:val="00882A77"/>
    <w:rsid w:val="00883906"/>
    <w:rsid w:val="00883CFB"/>
    <w:rsid w:val="00883DD8"/>
    <w:rsid w:val="0088562B"/>
    <w:rsid w:val="00886338"/>
    <w:rsid w:val="00886525"/>
    <w:rsid w:val="008866D4"/>
    <w:rsid w:val="00887666"/>
    <w:rsid w:val="00887EDF"/>
    <w:rsid w:val="00887F4F"/>
    <w:rsid w:val="00890167"/>
    <w:rsid w:val="00892568"/>
    <w:rsid w:val="0089269C"/>
    <w:rsid w:val="008944D8"/>
    <w:rsid w:val="00894D83"/>
    <w:rsid w:val="00895F3D"/>
    <w:rsid w:val="00896052"/>
    <w:rsid w:val="008966DD"/>
    <w:rsid w:val="00897E71"/>
    <w:rsid w:val="008A2172"/>
    <w:rsid w:val="008A27D8"/>
    <w:rsid w:val="008A2914"/>
    <w:rsid w:val="008A291F"/>
    <w:rsid w:val="008A3450"/>
    <w:rsid w:val="008A40BA"/>
    <w:rsid w:val="008A512A"/>
    <w:rsid w:val="008B15DE"/>
    <w:rsid w:val="008B193E"/>
    <w:rsid w:val="008B1AD8"/>
    <w:rsid w:val="008B328C"/>
    <w:rsid w:val="008B3AFF"/>
    <w:rsid w:val="008B3E75"/>
    <w:rsid w:val="008B5830"/>
    <w:rsid w:val="008B6071"/>
    <w:rsid w:val="008B60FA"/>
    <w:rsid w:val="008B655B"/>
    <w:rsid w:val="008C06AC"/>
    <w:rsid w:val="008C12B4"/>
    <w:rsid w:val="008C17D5"/>
    <w:rsid w:val="008C1EB0"/>
    <w:rsid w:val="008C2746"/>
    <w:rsid w:val="008C2938"/>
    <w:rsid w:val="008C384A"/>
    <w:rsid w:val="008C3D42"/>
    <w:rsid w:val="008C4700"/>
    <w:rsid w:val="008C4970"/>
    <w:rsid w:val="008C4F70"/>
    <w:rsid w:val="008C611C"/>
    <w:rsid w:val="008C65C6"/>
    <w:rsid w:val="008D08BB"/>
    <w:rsid w:val="008D14B5"/>
    <w:rsid w:val="008D228D"/>
    <w:rsid w:val="008D260F"/>
    <w:rsid w:val="008D4F70"/>
    <w:rsid w:val="008D79C4"/>
    <w:rsid w:val="008E006F"/>
    <w:rsid w:val="008E007D"/>
    <w:rsid w:val="008E00E7"/>
    <w:rsid w:val="008E0760"/>
    <w:rsid w:val="008E1CE2"/>
    <w:rsid w:val="008E24C5"/>
    <w:rsid w:val="008E4D8E"/>
    <w:rsid w:val="008E720D"/>
    <w:rsid w:val="008E7715"/>
    <w:rsid w:val="008E783D"/>
    <w:rsid w:val="008E7DC7"/>
    <w:rsid w:val="008F18E3"/>
    <w:rsid w:val="008F2421"/>
    <w:rsid w:val="008F2F96"/>
    <w:rsid w:val="008F310A"/>
    <w:rsid w:val="008F5D54"/>
    <w:rsid w:val="008F5E34"/>
    <w:rsid w:val="008F66BE"/>
    <w:rsid w:val="008F6FFD"/>
    <w:rsid w:val="008F7CFC"/>
    <w:rsid w:val="00901C94"/>
    <w:rsid w:val="00901ED9"/>
    <w:rsid w:val="009039FC"/>
    <w:rsid w:val="00903FAB"/>
    <w:rsid w:val="009042C2"/>
    <w:rsid w:val="00904A36"/>
    <w:rsid w:val="00904C73"/>
    <w:rsid w:val="00905280"/>
    <w:rsid w:val="00905733"/>
    <w:rsid w:val="009061DD"/>
    <w:rsid w:val="00907A16"/>
    <w:rsid w:val="00907B14"/>
    <w:rsid w:val="00907D0B"/>
    <w:rsid w:val="00910EB3"/>
    <w:rsid w:val="00910FBB"/>
    <w:rsid w:val="00912121"/>
    <w:rsid w:val="00912532"/>
    <w:rsid w:val="00912746"/>
    <w:rsid w:val="009129DE"/>
    <w:rsid w:val="00913223"/>
    <w:rsid w:val="0091365C"/>
    <w:rsid w:val="00913AAC"/>
    <w:rsid w:val="00913B2C"/>
    <w:rsid w:val="00913C2A"/>
    <w:rsid w:val="00913C31"/>
    <w:rsid w:val="00915660"/>
    <w:rsid w:val="00915A1E"/>
    <w:rsid w:val="00915EF5"/>
    <w:rsid w:val="0091617D"/>
    <w:rsid w:val="009161B7"/>
    <w:rsid w:val="009161FE"/>
    <w:rsid w:val="009169E2"/>
    <w:rsid w:val="009169FF"/>
    <w:rsid w:val="00917116"/>
    <w:rsid w:val="00920337"/>
    <w:rsid w:val="00920E3F"/>
    <w:rsid w:val="00921935"/>
    <w:rsid w:val="00922435"/>
    <w:rsid w:val="00922439"/>
    <w:rsid w:val="00923E62"/>
    <w:rsid w:val="00923FF4"/>
    <w:rsid w:val="0092439D"/>
    <w:rsid w:val="00924533"/>
    <w:rsid w:val="00925503"/>
    <w:rsid w:val="009258F9"/>
    <w:rsid w:val="00926192"/>
    <w:rsid w:val="009261B2"/>
    <w:rsid w:val="0092633E"/>
    <w:rsid w:val="0093028F"/>
    <w:rsid w:val="00930D8B"/>
    <w:rsid w:val="00931011"/>
    <w:rsid w:val="00932528"/>
    <w:rsid w:val="009328E7"/>
    <w:rsid w:val="00932EE8"/>
    <w:rsid w:val="00933056"/>
    <w:rsid w:val="00933FA8"/>
    <w:rsid w:val="0093406E"/>
    <w:rsid w:val="009340D7"/>
    <w:rsid w:val="00934B69"/>
    <w:rsid w:val="009366BE"/>
    <w:rsid w:val="0093755E"/>
    <w:rsid w:val="0093777A"/>
    <w:rsid w:val="0093794F"/>
    <w:rsid w:val="00937C0D"/>
    <w:rsid w:val="00937FDD"/>
    <w:rsid w:val="0094154E"/>
    <w:rsid w:val="009415C3"/>
    <w:rsid w:val="00942047"/>
    <w:rsid w:val="0094298B"/>
    <w:rsid w:val="00943C11"/>
    <w:rsid w:val="00944CD3"/>
    <w:rsid w:val="00945C10"/>
    <w:rsid w:val="00946AAC"/>
    <w:rsid w:val="00946BBF"/>
    <w:rsid w:val="00947235"/>
    <w:rsid w:val="00947254"/>
    <w:rsid w:val="00947B71"/>
    <w:rsid w:val="00951725"/>
    <w:rsid w:val="009528F6"/>
    <w:rsid w:val="0095302A"/>
    <w:rsid w:val="00953AB4"/>
    <w:rsid w:val="00955299"/>
    <w:rsid w:val="00955434"/>
    <w:rsid w:val="0095566C"/>
    <w:rsid w:val="009558EF"/>
    <w:rsid w:val="0095691C"/>
    <w:rsid w:val="00957C5A"/>
    <w:rsid w:val="00957DB8"/>
    <w:rsid w:val="00957EA1"/>
    <w:rsid w:val="00960296"/>
    <w:rsid w:val="009614A2"/>
    <w:rsid w:val="00962A5B"/>
    <w:rsid w:val="009631B2"/>
    <w:rsid w:val="0096327D"/>
    <w:rsid w:val="00963AB2"/>
    <w:rsid w:val="00963C3C"/>
    <w:rsid w:val="00963D8A"/>
    <w:rsid w:val="00963E42"/>
    <w:rsid w:val="00964683"/>
    <w:rsid w:val="009658F7"/>
    <w:rsid w:val="00966220"/>
    <w:rsid w:val="00966C8D"/>
    <w:rsid w:val="00966EAE"/>
    <w:rsid w:val="00970390"/>
    <w:rsid w:val="009717B7"/>
    <w:rsid w:val="0097187D"/>
    <w:rsid w:val="00972733"/>
    <w:rsid w:val="00972A22"/>
    <w:rsid w:val="00973762"/>
    <w:rsid w:val="009738B2"/>
    <w:rsid w:val="00974B3A"/>
    <w:rsid w:val="00974F0E"/>
    <w:rsid w:val="00976183"/>
    <w:rsid w:val="0097694B"/>
    <w:rsid w:val="00976E0A"/>
    <w:rsid w:val="0097700C"/>
    <w:rsid w:val="0098006E"/>
    <w:rsid w:val="00980811"/>
    <w:rsid w:val="0098172B"/>
    <w:rsid w:val="00982048"/>
    <w:rsid w:val="00982B55"/>
    <w:rsid w:val="00983750"/>
    <w:rsid w:val="00983A26"/>
    <w:rsid w:val="009842CB"/>
    <w:rsid w:val="00985661"/>
    <w:rsid w:val="009862E8"/>
    <w:rsid w:val="00991139"/>
    <w:rsid w:val="00992E7F"/>
    <w:rsid w:val="00994B73"/>
    <w:rsid w:val="0099552A"/>
    <w:rsid w:val="0099768F"/>
    <w:rsid w:val="009976D1"/>
    <w:rsid w:val="009A0036"/>
    <w:rsid w:val="009A13AA"/>
    <w:rsid w:val="009A1BDB"/>
    <w:rsid w:val="009A1C2D"/>
    <w:rsid w:val="009A257C"/>
    <w:rsid w:val="009A2709"/>
    <w:rsid w:val="009A282C"/>
    <w:rsid w:val="009A2F72"/>
    <w:rsid w:val="009A3FCD"/>
    <w:rsid w:val="009A426F"/>
    <w:rsid w:val="009A4628"/>
    <w:rsid w:val="009A4E99"/>
    <w:rsid w:val="009A5083"/>
    <w:rsid w:val="009A60F4"/>
    <w:rsid w:val="009A624D"/>
    <w:rsid w:val="009A72E8"/>
    <w:rsid w:val="009A770A"/>
    <w:rsid w:val="009B0652"/>
    <w:rsid w:val="009B06B2"/>
    <w:rsid w:val="009B26B0"/>
    <w:rsid w:val="009B29F4"/>
    <w:rsid w:val="009B37BC"/>
    <w:rsid w:val="009B3E5C"/>
    <w:rsid w:val="009B4C69"/>
    <w:rsid w:val="009B531F"/>
    <w:rsid w:val="009B6256"/>
    <w:rsid w:val="009B630E"/>
    <w:rsid w:val="009B65D1"/>
    <w:rsid w:val="009B73C7"/>
    <w:rsid w:val="009C0E2A"/>
    <w:rsid w:val="009C16ED"/>
    <w:rsid w:val="009C170F"/>
    <w:rsid w:val="009C1819"/>
    <w:rsid w:val="009C1A71"/>
    <w:rsid w:val="009C2636"/>
    <w:rsid w:val="009C4114"/>
    <w:rsid w:val="009C508F"/>
    <w:rsid w:val="009C5D58"/>
    <w:rsid w:val="009C759C"/>
    <w:rsid w:val="009C7D8D"/>
    <w:rsid w:val="009D026E"/>
    <w:rsid w:val="009D02FD"/>
    <w:rsid w:val="009D0531"/>
    <w:rsid w:val="009D1E0A"/>
    <w:rsid w:val="009D22D2"/>
    <w:rsid w:val="009D24D6"/>
    <w:rsid w:val="009D2888"/>
    <w:rsid w:val="009D2BB1"/>
    <w:rsid w:val="009D462E"/>
    <w:rsid w:val="009D4BE4"/>
    <w:rsid w:val="009D5FDB"/>
    <w:rsid w:val="009D6D92"/>
    <w:rsid w:val="009D719E"/>
    <w:rsid w:val="009E088B"/>
    <w:rsid w:val="009E19F5"/>
    <w:rsid w:val="009E280E"/>
    <w:rsid w:val="009E2BC1"/>
    <w:rsid w:val="009E2D53"/>
    <w:rsid w:val="009E34FD"/>
    <w:rsid w:val="009E3FEF"/>
    <w:rsid w:val="009E4C09"/>
    <w:rsid w:val="009E567C"/>
    <w:rsid w:val="009E62D7"/>
    <w:rsid w:val="009E6EAA"/>
    <w:rsid w:val="009F0A41"/>
    <w:rsid w:val="009F2A59"/>
    <w:rsid w:val="009F3826"/>
    <w:rsid w:val="009F56DC"/>
    <w:rsid w:val="009F707B"/>
    <w:rsid w:val="00A012AB"/>
    <w:rsid w:val="00A01657"/>
    <w:rsid w:val="00A01C00"/>
    <w:rsid w:val="00A02510"/>
    <w:rsid w:val="00A030FF"/>
    <w:rsid w:val="00A034A4"/>
    <w:rsid w:val="00A03989"/>
    <w:rsid w:val="00A05C14"/>
    <w:rsid w:val="00A05ED4"/>
    <w:rsid w:val="00A10473"/>
    <w:rsid w:val="00A1131D"/>
    <w:rsid w:val="00A121E9"/>
    <w:rsid w:val="00A12410"/>
    <w:rsid w:val="00A12412"/>
    <w:rsid w:val="00A12F56"/>
    <w:rsid w:val="00A13452"/>
    <w:rsid w:val="00A13849"/>
    <w:rsid w:val="00A13C33"/>
    <w:rsid w:val="00A149C5"/>
    <w:rsid w:val="00A14E2B"/>
    <w:rsid w:val="00A15B04"/>
    <w:rsid w:val="00A16390"/>
    <w:rsid w:val="00A168E8"/>
    <w:rsid w:val="00A17E85"/>
    <w:rsid w:val="00A20104"/>
    <w:rsid w:val="00A2060E"/>
    <w:rsid w:val="00A2068F"/>
    <w:rsid w:val="00A20BFA"/>
    <w:rsid w:val="00A2178F"/>
    <w:rsid w:val="00A21EF4"/>
    <w:rsid w:val="00A2202B"/>
    <w:rsid w:val="00A2219E"/>
    <w:rsid w:val="00A22AD4"/>
    <w:rsid w:val="00A22F34"/>
    <w:rsid w:val="00A23276"/>
    <w:rsid w:val="00A237C6"/>
    <w:rsid w:val="00A238CF"/>
    <w:rsid w:val="00A24CC3"/>
    <w:rsid w:val="00A24DED"/>
    <w:rsid w:val="00A25298"/>
    <w:rsid w:val="00A25608"/>
    <w:rsid w:val="00A269B3"/>
    <w:rsid w:val="00A27807"/>
    <w:rsid w:val="00A308C5"/>
    <w:rsid w:val="00A30909"/>
    <w:rsid w:val="00A32E64"/>
    <w:rsid w:val="00A3376A"/>
    <w:rsid w:val="00A33A5B"/>
    <w:rsid w:val="00A34E02"/>
    <w:rsid w:val="00A35B12"/>
    <w:rsid w:val="00A364DC"/>
    <w:rsid w:val="00A37836"/>
    <w:rsid w:val="00A37EA7"/>
    <w:rsid w:val="00A4126D"/>
    <w:rsid w:val="00A41289"/>
    <w:rsid w:val="00A42034"/>
    <w:rsid w:val="00A4276A"/>
    <w:rsid w:val="00A4426B"/>
    <w:rsid w:val="00A44A92"/>
    <w:rsid w:val="00A47200"/>
    <w:rsid w:val="00A47E14"/>
    <w:rsid w:val="00A47FB3"/>
    <w:rsid w:val="00A50237"/>
    <w:rsid w:val="00A504EE"/>
    <w:rsid w:val="00A50547"/>
    <w:rsid w:val="00A5206D"/>
    <w:rsid w:val="00A52389"/>
    <w:rsid w:val="00A52FFF"/>
    <w:rsid w:val="00A535D8"/>
    <w:rsid w:val="00A53830"/>
    <w:rsid w:val="00A54239"/>
    <w:rsid w:val="00A543CB"/>
    <w:rsid w:val="00A54B69"/>
    <w:rsid w:val="00A555B2"/>
    <w:rsid w:val="00A559BF"/>
    <w:rsid w:val="00A5620F"/>
    <w:rsid w:val="00A56316"/>
    <w:rsid w:val="00A56E29"/>
    <w:rsid w:val="00A57991"/>
    <w:rsid w:val="00A579A2"/>
    <w:rsid w:val="00A606EC"/>
    <w:rsid w:val="00A61580"/>
    <w:rsid w:val="00A642F7"/>
    <w:rsid w:val="00A646F4"/>
    <w:rsid w:val="00A6591B"/>
    <w:rsid w:val="00A66366"/>
    <w:rsid w:val="00A666E8"/>
    <w:rsid w:val="00A66938"/>
    <w:rsid w:val="00A706FC"/>
    <w:rsid w:val="00A70FA8"/>
    <w:rsid w:val="00A71AE0"/>
    <w:rsid w:val="00A72076"/>
    <w:rsid w:val="00A72729"/>
    <w:rsid w:val="00A727BC"/>
    <w:rsid w:val="00A72BA4"/>
    <w:rsid w:val="00A73257"/>
    <w:rsid w:val="00A73AB9"/>
    <w:rsid w:val="00A742E1"/>
    <w:rsid w:val="00A74AC6"/>
    <w:rsid w:val="00A7537D"/>
    <w:rsid w:val="00A75F58"/>
    <w:rsid w:val="00A8069D"/>
    <w:rsid w:val="00A806F1"/>
    <w:rsid w:val="00A8161D"/>
    <w:rsid w:val="00A81D42"/>
    <w:rsid w:val="00A842DB"/>
    <w:rsid w:val="00A843F5"/>
    <w:rsid w:val="00A86048"/>
    <w:rsid w:val="00A86908"/>
    <w:rsid w:val="00A86D5F"/>
    <w:rsid w:val="00A9086D"/>
    <w:rsid w:val="00A90F1F"/>
    <w:rsid w:val="00A91032"/>
    <w:rsid w:val="00A914F2"/>
    <w:rsid w:val="00A9245C"/>
    <w:rsid w:val="00A932E0"/>
    <w:rsid w:val="00A93DBF"/>
    <w:rsid w:val="00A94068"/>
    <w:rsid w:val="00A95159"/>
    <w:rsid w:val="00A95283"/>
    <w:rsid w:val="00A96708"/>
    <w:rsid w:val="00A96F81"/>
    <w:rsid w:val="00A97A79"/>
    <w:rsid w:val="00A97AA1"/>
    <w:rsid w:val="00AA11B1"/>
    <w:rsid w:val="00AA304C"/>
    <w:rsid w:val="00AA3101"/>
    <w:rsid w:val="00AA3601"/>
    <w:rsid w:val="00AA573A"/>
    <w:rsid w:val="00AA5AA5"/>
    <w:rsid w:val="00AA5DF4"/>
    <w:rsid w:val="00AA6320"/>
    <w:rsid w:val="00AA693E"/>
    <w:rsid w:val="00AA6ECF"/>
    <w:rsid w:val="00AA73B9"/>
    <w:rsid w:val="00AA7C6C"/>
    <w:rsid w:val="00AB00BA"/>
    <w:rsid w:val="00AB0853"/>
    <w:rsid w:val="00AB1D4B"/>
    <w:rsid w:val="00AB2E8B"/>
    <w:rsid w:val="00AB38AA"/>
    <w:rsid w:val="00AB3B5F"/>
    <w:rsid w:val="00AB4623"/>
    <w:rsid w:val="00AB4655"/>
    <w:rsid w:val="00AB4FE8"/>
    <w:rsid w:val="00AB5536"/>
    <w:rsid w:val="00AB7275"/>
    <w:rsid w:val="00AC090B"/>
    <w:rsid w:val="00AC0C05"/>
    <w:rsid w:val="00AC1737"/>
    <w:rsid w:val="00AC2CC8"/>
    <w:rsid w:val="00AC3B6C"/>
    <w:rsid w:val="00AC3C31"/>
    <w:rsid w:val="00AC4087"/>
    <w:rsid w:val="00AC42D3"/>
    <w:rsid w:val="00AC58BB"/>
    <w:rsid w:val="00AC63C5"/>
    <w:rsid w:val="00AC6FD9"/>
    <w:rsid w:val="00AD286F"/>
    <w:rsid w:val="00AD295B"/>
    <w:rsid w:val="00AD2F7A"/>
    <w:rsid w:val="00AD4B48"/>
    <w:rsid w:val="00AD4BB2"/>
    <w:rsid w:val="00AD4FE4"/>
    <w:rsid w:val="00AD520D"/>
    <w:rsid w:val="00AD5FBF"/>
    <w:rsid w:val="00AD631A"/>
    <w:rsid w:val="00AD6464"/>
    <w:rsid w:val="00AD6D9A"/>
    <w:rsid w:val="00AD70BE"/>
    <w:rsid w:val="00AE0921"/>
    <w:rsid w:val="00AE0D95"/>
    <w:rsid w:val="00AE31A3"/>
    <w:rsid w:val="00AE370A"/>
    <w:rsid w:val="00AE386F"/>
    <w:rsid w:val="00AE43FA"/>
    <w:rsid w:val="00AE49FD"/>
    <w:rsid w:val="00AE50D7"/>
    <w:rsid w:val="00AE53EB"/>
    <w:rsid w:val="00AE5944"/>
    <w:rsid w:val="00AF1EFA"/>
    <w:rsid w:val="00AF1F86"/>
    <w:rsid w:val="00AF1F88"/>
    <w:rsid w:val="00AF3376"/>
    <w:rsid w:val="00AF4188"/>
    <w:rsid w:val="00AF480D"/>
    <w:rsid w:val="00AF4D8F"/>
    <w:rsid w:val="00AF545D"/>
    <w:rsid w:val="00AF78BD"/>
    <w:rsid w:val="00AF7CA0"/>
    <w:rsid w:val="00B0137D"/>
    <w:rsid w:val="00B01590"/>
    <w:rsid w:val="00B036E0"/>
    <w:rsid w:val="00B04108"/>
    <w:rsid w:val="00B0431C"/>
    <w:rsid w:val="00B05009"/>
    <w:rsid w:val="00B05258"/>
    <w:rsid w:val="00B0574D"/>
    <w:rsid w:val="00B05CEC"/>
    <w:rsid w:val="00B07259"/>
    <w:rsid w:val="00B07582"/>
    <w:rsid w:val="00B10D6B"/>
    <w:rsid w:val="00B13D26"/>
    <w:rsid w:val="00B1485B"/>
    <w:rsid w:val="00B14BA8"/>
    <w:rsid w:val="00B153B3"/>
    <w:rsid w:val="00B15B3F"/>
    <w:rsid w:val="00B178F2"/>
    <w:rsid w:val="00B21220"/>
    <w:rsid w:val="00B24D30"/>
    <w:rsid w:val="00B25B6D"/>
    <w:rsid w:val="00B2777B"/>
    <w:rsid w:val="00B304F7"/>
    <w:rsid w:val="00B30689"/>
    <w:rsid w:val="00B31819"/>
    <w:rsid w:val="00B32298"/>
    <w:rsid w:val="00B3234D"/>
    <w:rsid w:val="00B328F3"/>
    <w:rsid w:val="00B32AB5"/>
    <w:rsid w:val="00B3371A"/>
    <w:rsid w:val="00B34174"/>
    <w:rsid w:val="00B348E3"/>
    <w:rsid w:val="00B350C1"/>
    <w:rsid w:val="00B37890"/>
    <w:rsid w:val="00B37CA5"/>
    <w:rsid w:val="00B40A43"/>
    <w:rsid w:val="00B41C06"/>
    <w:rsid w:val="00B428B4"/>
    <w:rsid w:val="00B433C8"/>
    <w:rsid w:val="00B43437"/>
    <w:rsid w:val="00B4350E"/>
    <w:rsid w:val="00B45F2E"/>
    <w:rsid w:val="00B47C5B"/>
    <w:rsid w:val="00B51E28"/>
    <w:rsid w:val="00B53C0D"/>
    <w:rsid w:val="00B54115"/>
    <w:rsid w:val="00B54309"/>
    <w:rsid w:val="00B54414"/>
    <w:rsid w:val="00B56EA1"/>
    <w:rsid w:val="00B57C54"/>
    <w:rsid w:val="00B60919"/>
    <w:rsid w:val="00B61BB7"/>
    <w:rsid w:val="00B61E38"/>
    <w:rsid w:val="00B62318"/>
    <w:rsid w:val="00B62EAD"/>
    <w:rsid w:val="00B63957"/>
    <w:rsid w:val="00B6446D"/>
    <w:rsid w:val="00B64615"/>
    <w:rsid w:val="00B65C28"/>
    <w:rsid w:val="00B65EC2"/>
    <w:rsid w:val="00B67721"/>
    <w:rsid w:val="00B71B65"/>
    <w:rsid w:val="00B73114"/>
    <w:rsid w:val="00B73839"/>
    <w:rsid w:val="00B73FE4"/>
    <w:rsid w:val="00B74F71"/>
    <w:rsid w:val="00B7504A"/>
    <w:rsid w:val="00B75329"/>
    <w:rsid w:val="00B768E2"/>
    <w:rsid w:val="00B76E87"/>
    <w:rsid w:val="00B80569"/>
    <w:rsid w:val="00B8092C"/>
    <w:rsid w:val="00B80E6F"/>
    <w:rsid w:val="00B80FB2"/>
    <w:rsid w:val="00B818C3"/>
    <w:rsid w:val="00B81B6D"/>
    <w:rsid w:val="00B82416"/>
    <w:rsid w:val="00B8270C"/>
    <w:rsid w:val="00B82916"/>
    <w:rsid w:val="00B82B51"/>
    <w:rsid w:val="00B82DE8"/>
    <w:rsid w:val="00B8353E"/>
    <w:rsid w:val="00B8358C"/>
    <w:rsid w:val="00B837D6"/>
    <w:rsid w:val="00B83C9C"/>
    <w:rsid w:val="00B849EB"/>
    <w:rsid w:val="00B85580"/>
    <w:rsid w:val="00B85886"/>
    <w:rsid w:val="00B85D82"/>
    <w:rsid w:val="00B86F53"/>
    <w:rsid w:val="00B902D4"/>
    <w:rsid w:val="00B903C2"/>
    <w:rsid w:val="00B90B64"/>
    <w:rsid w:val="00B90E92"/>
    <w:rsid w:val="00B91024"/>
    <w:rsid w:val="00B915B1"/>
    <w:rsid w:val="00B91DE3"/>
    <w:rsid w:val="00B91EE2"/>
    <w:rsid w:val="00B927A0"/>
    <w:rsid w:val="00B92F0E"/>
    <w:rsid w:val="00B9504A"/>
    <w:rsid w:val="00B9721A"/>
    <w:rsid w:val="00B978B0"/>
    <w:rsid w:val="00BA124E"/>
    <w:rsid w:val="00BA1DAE"/>
    <w:rsid w:val="00BA1E0E"/>
    <w:rsid w:val="00BA2CD1"/>
    <w:rsid w:val="00BA4503"/>
    <w:rsid w:val="00BA5432"/>
    <w:rsid w:val="00BB0321"/>
    <w:rsid w:val="00BB0552"/>
    <w:rsid w:val="00BB170A"/>
    <w:rsid w:val="00BB2718"/>
    <w:rsid w:val="00BB34ED"/>
    <w:rsid w:val="00BB4079"/>
    <w:rsid w:val="00BB4B61"/>
    <w:rsid w:val="00BB5849"/>
    <w:rsid w:val="00BB5EE8"/>
    <w:rsid w:val="00BB6008"/>
    <w:rsid w:val="00BB6D35"/>
    <w:rsid w:val="00BC1258"/>
    <w:rsid w:val="00BC1956"/>
    <w:rsid w:val="00BC1EC0"/>
    <w:rsid w:val="00BC410B"/>
    <w:rsid w:val="00BC413B"/>
    <w:rsid w:val="00BC44F7"/>
    <w:rsid w:val="00BC5554"/>
    <w:rsid w:val="00BC5709"/>
    <w:rsid w:val="00BC59A1"/>
    <w:rsid w:val="00BC5CE6"/>
    <w:rsid w:val="00BC646E"/>
    <w:rsid w:val="00BC7249"/>
    <w:rsid w:val="00BC7299"/>
    <w:rsid w:val="00BC7B2C"/>
    <w:rsid w:val="00BC7BFA"/>
    <w:rsid w:val="00BD1171"/>
    <w:rsid w:val="00BD312F"/>
    <w:rsid w:val="00BD37EA"/>
    <w:rsid w:val="00BD561C"/>
    <w:rsid w:val="00BD6943"/>
    <w:rsid w:val="00BD6C21"/>
    <w:rsid w:val="00BD7480"/>
    <w:rsid w:val="00BD7615"/>
    <w:rsid w:val="00BE00CB"/>
    <w:rsid w:val="00BE024C"/>
    <w:rsid w:val="00BE25F3"/>
    <w:rsid w:val="00BE3DE1"/>
    <w:rsid w:val="00BE40D9"/>
    <w:rsid w:val="00BE45D6"/>
    <w:rsid w:val="00BE46B5"/>
    <w:rsid w:val="00BE62C6"/>
    <w:rsid w:val="00BE6403"/>
    <w:rsid w:val="00BE69D8"/>
    <w:rsid w:val="00BE70D9"/>
    <w:rsid w:val="00BF0406"/>
    <w:rsid w:val="00BF06C0"/>
    <w:rsid w:val="00BF0A80"/>
    <w:rsid w:val="00BF12B8"/>
    <w:rsid w:val="00BF25FF"/>
    <w:rsid w:val="00BF2D20"/>
    <w:rsid w:val="00BF3CF9"/>
    <w:rsid w:val="00BF44A7"/>
    <w:rsid w:val="00BF4D60"/>
    <w:rsid w:val="00BF5ADE"/>
    <w:rsid w:val="00BF61C8"/>
    <w:rsid w:val="00BF77D2"/>
    <w:rsid w:val="00C00647"/>
    <w:rsid w:val="00C01297"/>
    <w:rsid w:val="00C019C2"/>
    <w:rsid w:val="00C02727"/>
    <w:rsid w:val="00C03A26"/>
    <w:rsid w:val="00C04B80"/>
    <w:rsid w:val="00C05400"/>
    <w:rsid w:val="00C05628"/>
    <w:rsid w:val="00C05EC5"/>
    <w:rsid w:val="00C05F04"/>
    <w:rsid w:val="00C06652"/>
    <w:rsid w:val="00C0679B"/>
    <w:rsid w:val="00C0734F"/>
    <w:rsid w:val="00C10615"/>
    <w:rsid w:val="00C1218F"/>
    <w:rsid w:val="00C12301"/>
    <w:rsid w:val="00C130F9"/>
    <w:rsid w:val="00C13516"/>
    <w:rsid w:val="00C13693"/>
    <w:rsid w:val="00C136DB"/>
    <w:rsid w:val="00C138A6"/>
    <w:rsid w:val="00C140DA"/>
    <w:rsid w:val="00C141CB"/>
    <w:rsid w:val="00C15293"/>
    <w:rsid w:val="00C162AC"/>
    <w:rsid w:val="00C16D24"/>
    <w:rsid w:val="00C21790"/>
    <w:rsid w:val="00C21C52"/>
    <w:rsid w:val="00C225CD"/>
    <w:rsid w:val="00C2493D"/>
    <w:rsid w:val="00C24A5C"/>
    <w:rsid w:val="00C24D58"/>
    <w:rsid w:val="00C24F2B"/>
    <w:rsid w:val="00C25041"/>
    <w:rsid w:val="00C2647D"/>
    <w:rsid w:val="00C26F58"/>
    <w:rsid w:val="00C273EF"/>
    <w:rsid w:val="00C278E0"/>
    <w:rsid w:val="00C300F3"/>
    <w:rsid w:val="00C30525"/>
    <w:rsid w:val="00C30A0C"/>
    <w:rsid w:val="00C331A8"/>
    <w:rsid w:val="00C33B1C"/>
    <w:rsid w:val="00C33FDB"/>
    <w:rsid w:val="00C3474D"/>
    <w:rsid w:val="00C3522C"/>
    <w:rsid w:val="00C37EA6"/>
    <w:rsid w:val="00C41468"/>
    <w:rsid w:val="00C43267"/>
    <w:rsid w:val="00C443BD"/>
    <w:rsid w:val="00C44548"/>
    <w:rsid w:val="00C44A22"/>
    <w:rsid w:val="00C45380"/>
    <w:rsid w:val="00C45B1E"/>
    <w:rsid w:val="00C462DF"/>
    <w:rsid w:val="00C46DF0"/>
    <w:rsid w:val="00C4763A"/>
    <w:rsid w:val="00C50F67"/>
    <w:rsid w:val="00C51C02"/>
    <w:rsid w:val="00C524F1"/>
    <w:rsid w:val="00C5320D"/>
    <w:rsid w:val="00C53313"/>
    <w:rsid w:val="00C538E7"/>
    <w:rsid w:val="00C544BA"/>
    <w:rsid w:val="00C55679"/>
    <w:rsid w:val="00C560B5"/>
    <w:rsid w:val="00C5632C"/>
    <w:rsid w:val="00C56432"/>
    <w:rsid w:val="00C638A0"/>
    <w:rsid w:val="00C63F83"/>
    <w:rsid w:val="00C6400F"/>
    <w:rsid w:val="00C64C91"/>
    <w:rsid w:val="00C661A1"/>
    <w:rsid w:val="00C67AFE"/>
    <w:rsid w:val="00C70347"/>
    <w:rsid w:val="00C70477"/>
    <w:rsid w:val="00C72EB1"/>
    <w:rsid w:val="00C7393F"/>
    <w:rsid w:val="00C775F7"/>
    <w:rsid w:val="00C813D7"/>
    <w:rsid w:val="00C81787"/>
    <w:rsid w:val="00C81DE8"/>
    <w:rsid w:val="00C820B1"/>
    <w:rsid w:val="00C82C8F"/>
    <w:rsid w:val="00C83670"/>
    <w:rsid w:val="00C838B3"/>
    <w:rsid w:val="00C846B7"/>
    <w:rsid w:val="00C8477B"/>
    <w:rsid w:val="00C8492B"/>
    <w:rsid w:val="00C86D6D"/>
    <w:rsid w:val="00C86FBC"/>
    <w:rsid w:val="00C900E9"/>
    <w:rsid w:val="00C915B1"/>
    <w:rsid w:val="00C91842"/>
    <w:rsid w:val="00C9245E"/>
    <w:rsid w:val="00C925F7"/>
    <w:rsid w:val="00C926F1"/>
    <w:rsid w:val="00C92DD2"/>
    <w:rsid w:val="00C93079"/>
    <w:rsid w:val="00C936E6"/>
    <w:rsid w:val="00C94B5F"/>
    <w:rsid w:val="00C96773"/>
    <w:rsid w:val="00C975E4"/>
    <w:rsid w:val="00CA0046"/>
    <w:rsid w:val="00CA06E0"/>
    <w:rsid w:val="00CA0F81"/>
    <w:rsid w:val="00CA1265"/>
    <w:rsid w:val="00CA15E8"/>
    <w:rsid w:val="00CA2334"/>
    <w:rsid w:val="00CA3376"/>
    <w:rsid w:val="00CA35A5"/>
    <w:rsid w:val="00CA4181"/>
    <w:rsid w:val="00CA65F2"/>
    <w:rsid w:val="00CA718B"/>
    <w:rsid w:val="00CA737E"/>
    <w:rsid w:val="00CA7879"/>
    <w:rsid w:val="00CB02CE"/>
    <w:rsid w:val="00CB11AD"/>
    <w:rsid w:val="00CB25A7"/>
    <w:rsid w:val="00CB4F8E"/>
    <w:rsid w:val="00CB61A1"/>
    <w:rsid w:val="00CB6355"/>
    <w:rsid w:val="00CB716F"/>
    <w:rsid w:val="00CB74C6"/>
    <w:rsid w:val="00CB796A"/>
    <w:rsid w:val="00CC12AA"/>
    <w:rsid w:val="00CC1BD0"/>
    <w:rsid w:val="00CC36D2"/>
    <w:rsid w:val="00CC444B"/>
    <w:rsid w:val="00CC6079"/>
    <w:rsid w:val="00CC6604"/>
    <w:rsid w:val="00CC6C12"/>
    <w:rsid w:val="00CC6CC4"/>
    <w:rsid w:val="00CC7C77"/>
    <w:rsid w:val="00CD1809"/>
    <w:rsid w:val="00CD1E43"/>
    <w:rsid w:val="00CD23D6"/>
    <w:rsid w:val="00CD2918"/>
    <w:rsid w:val="00CD3AB0"/>
    <w:rsid w:val="00CD3D04"/>
    <w:rsid w:val="00CD44EC"/>
    <w:rsid w:val="00CD609A"/>
    <w:rsid w:val="00CD664E"/>
    <w:rsid w:val="00CE14CD"/>
    <w:rsid w:val="00CE1EB3"/>
    <w:rsid w:val="00CE2F49"/>
    <w:rsid w:val="00CE3CC4"/>
    <w:rsid w:val="00CE43AC"/>
    <w:rsid w:val="00CE4E13"/>
    <w:rsid w:val="00CE5BF3"/>
    <w:rsid w:val="00CE5E20"/>
    <w:rsid w:val="00CE6CF1"/>
    <w:rsid w:val="00CF0D33"/>
    <w:rsid w:val="00CF1AC2"/>
    <w:rsid w:val="00CF1C75"/>
    <w:rsid w:val="00CF1D45"/>
    <w:rsid w:val="00CF2353"/>
    <w:rsid w:val="00CF249C"/>
    <w:rsid w:val="00CF2EB8"/>
    <w:rsid w:val="00CF3782"/>
    <w:rsid w:val="00CF3FD9"/>
    <w:rsid w:val="00CF40F5"/>
    <w:rsid w:val="00CF4827"/>
    <w:rsid w:val="00CF54A9"/>
    <w:rsid w:val="00CF5D1A"/>
    <w:rsid w:val="00CF60EA"/>
    <w:rsid w:val="00CF614E"/>
    <w:rsid w:val="00CF63B8"/>
    <w:rsid w:val="00CF64E5"/>
    <w:rsid w:val="00CF7368"/>
    <w:rsid w:val="00CF77E9"/>
    <w:rsid w:val="00D00E79"/>
    <w:rsid w:val="00D01B35"/>
    <w:rsid w:val="00D0223E"/>
    <w:rsid w:val="00D02367"/>
    <w:rsid w:val="00D025F5"/>
    <w:rsid w:val="00D04370"/>
    <w:rsid w:val="00D043CD"/>
    <w:rsid w:val="00D045E3"/>
    <w:rsid w:val="00D04979"/>
    <w:rsid w:val="00D06693"/>
    <w:rsid w:val="00D07419"/>
    <w:rsid w:val="00D10CAF"/>
    <w:rsid w:val="00D1384A"/>
    <w:rsid w:val="00D143BC"/>
    <w:rsid w:val="00D14B14"/>
    <w:rsid w:val="00D14D3B"/>
    <w:rsid w:val="00D1540D"/>
    <w:rsid w:val="00D17B30"/>
    <w:rsid w:val="00D20381"/>
    <w:rsid w:val="00D2320C"/>
    <w:rsid w:val="00D24414"/>
    <w:rsid w:val="00D24F75"/>
    <w:rsid w:val="00D25A13"/>
    <w:rsid w:val="00D271BA"/>
    <w:rsid w:val="00D2771F"/>
    <w:rsid w:val="00D30BCB"/>
    <w:rsid w:val="00D31AC6"/>
    <w:rsid w:val="00D31B2C"/>
    <w:rsid w:val="00D33E11"/>
    <w:rsid w:val="00D343C8"/>
    <w:rsid w:val="00D34B69"/>
    <w:rsid w:val="00D34CBB"/>
    <w:rsid w:val="00D36C7B"/>
    <w:rsid w:val="00D36DD9"/>
    <w:rsid w:val="00D40F4D"/>
    <w:rsid w:val="00D413EB"/>
    <w:rsid w:val="00D417F0"/>
    <w:rsid w:val="00D41896"/>
    <w:rsid w:val="00D42A7D"/>
    <w:rsid w:val="00D42E44"/>
    <w:rsid w:val="00D4400F"/>
    <w:rsid w:val="00D44837"/>
    <w:rsid w:val="00D44E01"/>
    <w:rsid w:val="00D46E24"/>
    <w:rsid w:val="00D506A2"/>
    <w:rsid w:val="00D50C31"/>
    <w:rsid w:val="00D51268"/>
    <w:rsid w:val="00D513D6"/>
    <w:rsid w:val="00D51CC1"/>
    <w:rsid w:val="00D535E0"/>
    <w:rsid w:val="00D5361A"/>
    <w:rsid w:val="00D53F2E"/>
    <w:rsid w:val="00D5544E"/>
    <w:rsid w:val="00D55A4A"/>
    <w:rsid w:val="00D55E47"/>
    <w:rsid w:val="00D55E50"/>
    <w:rsid w:val="00D5621A"/>
    <w:rsid w:val="00D57C0A"/>
    <w:rsid w:val="00D60E40"/>
    <w:rsid w:val="00D61A96"/>
    <w:rsid w:val="00D6222F"/>
    <w:rsid w:val="00D6250C"/>
    <w:rsid w:val="00D640B1"/>
    <w:rsid w:val="00D6464D"/>
    <w:rsid w:val="00D66D0A"/>
    <w:rsid w:val="00D706A0"/>
    <w:rsid w:val="00D71A51"/>
    <w:rsid w:val="00D7206C"/>
    <w:rsid w:val="00D722F6"/>
    <w:rsid w:val="00D73E7D"/>
    <w:rsid w:val="00D745DC"/>
    <w:rsid w:val="00D747F4"/>
    <w:rsid w:val="00D74BA7"/>
    <w:rsid w:val="00D74F31"/>
    <w:rsid w:val="00D75124"/>
    <w:rsid w:val="00D753C5"/>
    <w:rsid w:val="00D755DA"/>
    <w:rsid w:val="00D76872"/>
    <w:rsid w:val="00D8078C"/>
    <w:rsid w:val="00D80AA1"/>
    <w:rsid w:val="00D813C1"/>
    <w:rsid w:val="00D819C5"/>
    <w:rsid w:val="00D81F24"/>
    <w:rsid w:val="00D82935"/>
    <w:rsid w:val="00D82A7A"/>
    <w:rsid w:val="00D83281"/>
    <w:rsid w:val="00D83641"/>
    <w:rsid w:val="00D83C2D"/>
    <w:rsid w:val="00D87176"/>
    <w:rsid w:val="00D87E08"/>
    <w:rsid w:val="00D91AF3"/>
    <w:rsid w:val="00D921DC"/>
    <w:rsid w:val="00D9313D"/>
    <w:rsid w:val="00D95535"/>
    <w:rsid w:val="00D95613"/>
    <w:rsid w:val="00D95FA9"/>
    <w:rsid w:val="00D96A24"/>
    <w:rsid w:val="00D96ED1"/>
    <w:rsid w:val="00D9736B"/>
    <w:rsid w:val="00D97C99"/>
    <w:rsid w:val="00DA0F6B"/>
    <w:rsid w:val="00DA1B59"/>
    <w:rsid w:val="00DA1D8B"/>
    <w:rsid w:val="00DA2009"/>
    <w:rsid w:val="00DA2871"/>
    <w:rsid w:val="00DA3467"/>
    <w:rsid w:val="00DA46AD"/>
    <w:rsid w:val="00DA4E59"/>
    <w:rsid w:val="00DA4F66"/>
    <w:rsid w:val="00DA60D0"/>
    <w:rsid w:val="00DA62FD"/>
    <w:rsid w:val="00DA6C86"/>
    <w:rsid w:val="00DA77AB"/>
    <w:rsid w:val="00DB3A24"/>
    <w:rsid w:val="00DB5059"/>
    <w:rsid w:val="00DB5958"/>
    <w:rsid w:val="00DB61BD"/>
    <w:rsid w:val="00DB63E1"/>
    <w:rsid w:val="00DB7189"/>
    <w:rsid w:val="00DB742E"/>
    <w:rsid w:val="00DB7AE9"/>
    <w:rsid w:val="00DC06A0"/>
    <w:rsid w:val="00DC0C9F"/>
    <w:rsid w:val="00DC104D"/>
    <w:rsid w:val="00DC20AB"/>
    <w:rsid w:val="00DC2CF4"/>
    <w:rsid w:val="00DC3D97"/>
    <w:rsid w:val="00DC41A0"/>
    <w:rsid w:val="00DC4383"/>
    <w:rsid w:val="00DC43EB"/>
    <w:rsid w:val="00DC566A"/>
    <w:rsid w:val="00DC6132"/>
    <w:rsid w:val="00DD0B63"/>
    <w:rsid w:val="00DD3781"/>
    <w:rsid w:val="00DD407F"/>
    <w:rsid w:val="00DD4741"/>
    <w:rsid w:val="00DD5B8C"/>
    <w:rsid w:val="00DD7121"/>
    <w:rsid w:val="00DD764C"/>
    <w:rsid w:val="00DD7849"/>
    <w:rsid w:val="00DE06D6"/>
    <w:rsid w:val="00DE1709"/>
    <w:rsid w:val="00DE369D"/>
    <w:rsid w:val="00DE52E0"/>
    <w:rsid w:val="00DE642F"/>
    <w:rsid w:val="00DE6889"/>
    <w:rsid w:val="00DE695C"/>
    <w:rsid w:val="00DE788B"/>
    <w:rsid w:val="00DE7EE3"/>
    <w:rsid w:val="00DF00D4"/>
    <w:rsid w:val="00DF05A7"/>
    <w:rsid w:val="00DF1567"/>
    <w:rsid w:val="00DF1832"/>
    <w:rsid w:val="00DF1D4D"/>
    <w:rsid w:val="00DF2494"/>
    <w:rsid w:val="00DF32E8"/>
    <w:rsid w:val="00DF33FE"/>
    <w:rsid w:val="00DF4DBC"/>
    <w:rsid w:val="00DF50BC"/>
    <w:rsid w:val="00DF53D6"/>
    <w:rsid w:val="00DF65A2"/>
    <w:rsid w:val="00DF7057"/>
    <w:rsid w:val="00DF7446"/>
    <w:rsid w:val="00DF78DE"/>
    <w:rsid w:val="00E000FA"/>
    <w:rsid w:val="00E0044F"/>
    <w:rsid w:val="00E00F08"/>
    <w:rsid w:val="00E01248"/>
    <w:rsid w:val="00E01C21"/>
    <w:rsid w:val="00E02223"/>
    <w:rsid w:val="00E02537"/>
    <w:rsid w:val="00E035AE"/>
    <w:rsid w:val="00E03EDF"/>
    <w:rsid w:val="00E046D0"/>
    <w:rsid w:val="00E04AF5"/>
    <w:rsid w:val="00E052EA"/>
    <w:rsid w:val="00E05319"/>
    <w:rsid w:val="00E054A4"/>
    <w:rsid w:val="00E05716"/>
    <w:rsid w:val="00E067F3"/>
    <w:rsid w:val="00E0702F"/>
    <w:rsid w:val="00E111FE"/>
    <w:rsid w:val="00E11B6C"/>
    <w:rsid w:val="00E11C1C"/>
    <w:rsid w:val="00E15162"/>
    <w:rsid w:val="00E15EA7"/>
    <w:rsid w:val="00E15EBB"/>
    <w:rsid w:val="00E15F01"/>
    <w:rsid w:val="00E162A6"/>
    <w:rsid w:val="00E16960"/>
    <w:rsid w:val="00E16C5A"/>
    <w:rsid w:val="00E16EF8"/>
    <w:rsid w:val="00E17D8D"/>
    <w:rsid w:val="00E17FD5"/>
    <w:rsid w:val="00E2224A"/>
    <w:rsid w:val="00E23493"/>
    <w:rsid w:val="00E2648E"/>
    <w:rsid w:val="00E2692A"/>
    <w:rsid w:val="00E27ECA"/>
    <w:rsid w:val="00E30244"/>
    <w:rsid w:val="00E30690"/>
    <w:rsid w:val="00E328E5"/>
    <w:rsid w:val="00E33852"/>
    <w:rsid w:val="00E33AB5"/>
    <w:rsid w:val="00E33F38"/>
    <w:rsid w:val="00E37BE8"/>
    <w:rsid w:val="00E37BFC"/>
    <w:rsid w:val="00E37C3F"/>
    <w:rsid w:val="00E44331"/>
    <w:rsid w:val="00E443AF"/>
    <w:rsid w:val="00E4697B"/>
    <w:rsid w:val="00E472BA"/>
    <w:rsid w:val="00E50DF4"/>
    <w:rsid w:val="00E5218D"/>
    <w:rsid w:val="00E5372F"/>
    <w:rsid w:val="00E546F9"/>
    <w:rsid w:val="00E553E5"/>
    <w:rsid w:val="00E55B3D"/>
    <w:rsid w:val="00E563D5"/>
    <w:rsid w:val="00E56587"/>
    <w:rsid w:val="00E57626"/>
    <w:rsid w:val="00E57BA9"/>
    <w:rsid w:val="00E621EE"/>
    <w:rsid w:val="00E6237E"/>
    <w:rsid w:val="00E63F39"/>
    <w:rsid w:val="00E645E9"/>
    <w:rsid w:val="00E64E7C"/>
    <w:rsid w:val="00E65056"/>
    <w:rsid w:val="00E66AC6"/>
    <w:rsid w:val="00E6732F"/>
    <w:rsid w:val="00E67B6C"/>
    <w:rsid w:val="00E72399"/>
    <w:rsid w:val="00E7318B"/>
    <w:rsid w:val="00E744DF"/>
    <w:rsid w:val="00E75296"/>
    <w:rsid w:val="00E75E95"/>
    <w:rsid w:val="00E76264"/>
    <w:rsid w:val="00E77777"/>
    <w:rsid w:val="00E77935"/>
    <w:rsid w:val="00E77AA6"/>
    <w:rsid w:val="00E77AF5"/>
    <w:rsid w:val="00E77C16"/>
    <w:rsid w:val="00E80341"/>
    <w:rsid w:val="00E80B4A"/>
    <w:rsid w:val="00E81C38"/>
    <w:rsid w:val="00E81D58"/>
    <w:rsid w:val="00E82233"/>
    <w:rsid w:val="00E823B6"/>
    <w:rsid w:val="00E83FEE"/>
    <w:rsid w:val="00E862F4"/>
    <w:rsid w:val="00E86BBD"/>
    <w:rsid w:val="00E86EB0"/>
    <w:rsid w:val="00E86F83"/>
    <w:rsid w:val="00E87F33"/>
    <w:rsid w:val="00E90B2B"/>
    <w:rsid w:val="00E90D98"/>
    <w:rsid w:val="00E91FBE"/>
    <w:rsid w:val="00E92F29"/>
    <w:rsid w:val="00E9509C"/>
    <w:rsid w:val="00E95698"/>
    <w:rsid w:val="00E95BD2"/>
    <w:rsid w:val="00E95F4F"/>
    <w:rsid w:val="00E95F9A"/>
    <w:rsid w:val="00E96978"/>
    <w:rsid w:val="00E96B61"/>
    <w:rsid w:val="00E971B2"/>
    <w:rsid w:val="00E97ADA"/>
    <w:rsid w:val="00EA0200"/>
    <w:rsid w:val="00EA059E"/>
    <w:rsid w:val="00EA45CF"/>
    <w:rsid w:val="00EA5F6C"/>
    <w:rsid w:val="00EA6124"/>
    <w:rsid w:val="00EA6E47"/>
    <w:rsid w:val="00EA6E79"/>
    <w:rsid w:val="00EA7B4C"/>
    <w:rsid w:val="00EA7BDA"/>
    <w:rsid w:val="00EB070D"/>
    <w:rsid w:val="00EB1D5F"/>
    <w:rsid w:val="00EB3187"/>
    <w:rsid w:val="00EB3D0E"/>
    <w:rsid w:val="00EB4C47"/>
    <w:rsid w:val="00EB516D"/>
    <w:rsid w:val="00EB60F3"/>
    <w:rsid w:val="00EB6195"/>
    <w:rsid w:val="00EB6375"/>
    <w:rsid w:val="00EB638E"/>
    <w:rsid w:val="00EB7A64"/>
    <w:rsid w:val="00EB7EFD"/>
    <w:rsid w:val="00EB7F47"/>
    <w:rsid w:val="00EC127B"/>
    <w:rsid w:val="00EC14EA"/>
    <w:rsid w:val="00EC1679"/>
    <w:rsid w:val="00EC18DD"/>
    <w:rsid w:val="00EC23BB"/>
    <w:rsid w:val="00EC2AC2"/>
    <w:rsid w:val="00EC2F13"/>
    <w:rsid w:val="00EC33AE"/>
    <w:rsid w:val="00EC3C8E"/>
    <w:rsid w:val="00EC4DDC"/>
    <w:rsid w:val="00EC553E"/>
    <w:rsid w:val="00EC5835"/>
    <w:rsid w:val="00EC5AFF"/>
    <w:rsid w:val="00EC5CA7"/>
    <w:rsid w:val="00EC6579"/>
    <w:rsid w:val="00EC6882"/>
    <w:rsid w:val="00EC7AF3"/>
    <w:rsid w:val="00EC7BB1"/>
    <w:rsid w:val="00ED039A"/>
    <w:rsid w:val="00ED12B1"/>
    <w:rsid w:val="00ED1432"/>
    <w:rsid w:val="00ED1721"/>
    <w:rsid w:val="00ED1FC9"/>
    <w:rsid w:val="00ED223F"/>
    <w:rsid w:val="00ED2702"/>
    <w:rsid w:val="00ED2D44"/>
    <w:rsid w:val="00ED40E4"/>
    <w:rsid w:val="00ED5993"/>
    <w:rsid w:val="00ED5A3E"/>
    <w:rsid w:val="00ED60F4"/>
    <w:rsid w:val="00ED78FF"/>
    <w:rsid w:val="00EE0AE3"/>
    <w:rsid w:val="00EE0C1D"/>
    <w:rsid w:val="00EE2F5E"/>
    <w:rsid w:val="00EE3A8F"/>
    <w:rsid w:val="00EE44F7"/>
    <w:rsid w:val="00EE7C0C"/>
    <w:rsid w:val="00EF4BAA"/>
    <w:rsid w:val="00EF4BCA"/>
    <w:rsid w:val="00EF579C"/>
    <w:rsid w:val="00EF6459"/>
    <w:rsid w:val="00EF79A7"/>
    <w:rsid w:val="00EF7A47"/>
    <w:rsid w:val="00F0057A"/>
    <w:rsid w:val="00F020B8"/>
    <w:rsid w:val="00F024B4"/>
    <w:rsid w:val="00F02A92"/>
    <w:rsid w:val="00F059C1"/>
    <w:rsid w:val="00F0614D"/>
    <w:rsid w:val="00F061AA"/>
    <w:rsid w:val="00F06C4D"/>
    <w:rsid w:val="00F0735E"/>
    <w:rsid w:val="00F07DA3"/>
    <w:rsid w:val="00F114DC"/>
    <w:rsid w:val="00F14236"/>
    <w:rsid w:val="00F14B8A"/>
    <w:rsid w:val="00F151FC"/>
    <w:rsid w:val="00F17093"/>
    <w:rsid w:val="00F207B2"/>
    <w:rsid w:val="00F22BCB"/>
    <w:rsid w:val="00F23A1C"/>
    <w:rsid w:val="00F24A65"/>
    <w:rsid w:val="00F24AD0"/>
    <w:rsid w:val="00F25492"/>
    <w:rsid w:val="00F27229"/>
    <w:rsid w:val="00F277C4"/>
    <w:rsid w:val="00F27EFF"/>
    <w:rsid w:val="00F3146E"/>
    <w:rsid w:val="00F31AA1"/>
    <w:rsid w:val="00F31DFC"/>
    <w:rsid w:val="00F3223A"/>
    <w:rsid w:val="00F32783"/>
    <w:rsid w:val="00F32C32"/>
    <w:rsid w:val="00F32F3C"/>
    <w:rsid w:val="00F334D5"/>
    <w:rsid w:val="00F33CB5"/>
    <w:rsid w:val="00F35A60"/>
    <w:rsid w:val="00F37863"/>
    <w:rsid w:val="00F4079A"/>
    <w:rsid w:val="00F409E2"/>
    <w:rsid w:val="00F41C5C"/>
    <w:rsid w:val="00F41E64"/>
    <w:rsid w:val="00F41FF1"/>
    <w:rsid w:val="00F42CFA"/>
    <w:rsid w:val="00F431B3"/>
    <w:rsid w:val="00F45296"/>
    <w:rsid w:val="00F45B94"/>
    <w:rsid w:val="00F462E1"/>
    <w:rsid w:val="00F472A1"/>
    <w:rsid w:val="00F473AA"/>
    <w:rsid w:val="00F47A6A"/>
    <w:rsid w:val="00F5090E"/>
    <w:rsid w:val="00F5156D"/>
    <w:rsid w:val="00F517C3"/>
    <w:rsid w:val="00F525E0"/>
    <w:rsid w:val="00F53FF2"/>
    <w:rsid w:val="00F54995"/>
    <w:rsid w:val="00F54ED6"/>
    <w:rsid w:val="00F552DB"/>
    <w:rsid w:val="00F55524"/>
    <w:rsid w:val="00F57217"/>
    <w:rsid w:val="00F60DC9"/>
    <w:rsid w:val="00F610E7"/>
    <w:rsid w:val="00F6133E"/>
    <w:rsid w:val="00F61412"/>
    <w:rsid w:val="00F63FA7"/>
    <w:rsid w:val="00F64229"/>
    <w:rsid w:val="00F6490A"/>
    <w:rsid w:val="00F64D8E"/>
    <w:rsid w:val="00F66008"/>
    <w:rsid w:val="00F66E20"/>
    <w:rsid w:val="00F6714D"/>
    <w:rsid w:val="00F727CE"/>
    <w:rsid w:val="00F72BD4"/>
    <w:rsid w:val="00F735B8"/>
    <w:rsid w:val="00F7461F"/>
    <w:rsid w:val="00F75736"/>
    <w:rsid w:val="00F75F0A"/>
    <w:rsid w:val="00F766B2"/>
    <w:rsid w:val="00F76AD7"/>
    <w:rsid w:val="00F80559"/>
    <w:rsid w:val="00F82AAD"/>
    <w:rsid w:val="00F83F67"/>
    <w:rsid w:val="00F85DA1"/>
    <w:rsid w:val="00F868AF"/>
    <w:rsid w:val="00F86DEF"/>
    <w:rsid w:val="00F86E2C"/>
    <w:rsid w:val="00F877C8"/>
    <w:rsid w:val="00F905CE"/>
    <w:rsid w:val="00F917C5"/>
    <w:rsid w:val="00F92F49"/>
    <w:rsid w:val="00F93759"/>
    <w:rsid w:val="00F93C70"/>
    <w:rsid w:val="00F9408A"/>
    <w:rsid w:val="00F94121"/>
    <w:rsid w:val="00F94B95"/>
    <w:rsid w:val="00F94EBE"/>
    <w:rsid w:val="00F958E9"/>
    <w:rsid w:val="00F9612C"/>
    <w:rsid w:val="00F96675"/>
    <w:rsid w:val="00FA0026"/>
    <w:rsid w:val="00FA024F"/>
    <w:rsid w:val="00FA0F61"/>
    <w:rsid w:val="00FA26E5"/>
    <w:rsid w:val="00FA2DF3"/>
    <w:rsid w:val="00FA4557"/>
    <w:rsid w:val="00FA4C5C"/>
    <w:rsid w:val="00FA5645"/>
    <w:rsid w:val="00FA6477"/>
    <w:rsid w:val="00FA6F99"/>
    <w:rsid w:val="00FA7873"/>
    <w:rsid w:val="00FB0D40"/>
    <w:rsid w:val="00FB30FE"/>
    <w:rsid w:val="00FB35AF"/>
    <w:rsid w:val="00FB36FC"/>
    <w:rsid w:val="00FB4018"/>
    <w:rsid w:val="00FB4C13"/>
    <w:rsid w:val="00FB52CA"/>
    <w:rsid w:val="00FB5EEC"/>
    <w:rsid w:val="00FB70D3"/>
    <w:rsid w:val="00FB7898"/>
    <w:rsid w:val="00FC1148"/>
    <w:rsid w:val="00FC1A01"/>
    <w:rsid w:val="00FC1D8D"/>
    <w:rsid w:val="00FC1EA4"/>
    <w:rsid w:val="00FC21B3"/>
    <w:rsid w:val="00FC35D8"/>
    <w:rsid w:val="00FC3761"/>
    <w:rsid w:val="00FC38F8"/>
    <w:rsid w:val="00FC4492"/>
    <w:rsid w:val="00FC4E2A"/>
    <w:rsid w:val="00FC508B"/>
    <w:rsid w:val="00FC50BC"/>
    <w:rsid w:val="00FC5998"/>
    <w:rsid w:val="00FC7561"/>
    <w:rsid w:val="00FC7765"/>
    <w:rsid w:val="00FD057D"/>
    <w:rsid w:val="00FD08F9"/>
    <w:rsid w:val="00FD1AD7"/>
    <w:rsid w:val="00FD1CDD"/>
    <w:rsid w:val="00FD3289"/>
    <w:rsid w:val="00FD3B45"/>
    <w:rsid w:val="00FD5D1B"/>
    <w:rsid w:val="00FD6247"/>
    <w:rsid w:val="00FD6D67"/>
    <w:rsid w:val="00FD70A4"/>
    <w:rsid w:val="00FE0816"/>
    <w:rsid w:val="00FE0F21"/>
    <w:rsid w:val="00FE1463"/>
    <w:rsid w:val="00FE219A"/>
    <w:rsid w:val="00FE2D58"/>
    <w:rsid w:val="00FE2ECE"/>
    <w:rsid w:val="00FE3026"/>
    <w:rsid w:val="00FE31E0"/>
    <w:rsid w:val="00FE3EA6"/>
    <w:rsid w:val="00FE4396"/>
    <w:rsid w:val="00FE4AFB"/>
    <w:rsid w:val="00FE4C8C"/>
    <w:rsid w:val="00FE4E71"/>
    <w:rsid w:val="00FE50C0"/>
    <w:rsid w:val="00FE5C6B"/>
    <w:rsid w:val="00FE6F20"/>
    <w:rsid w:val="00FE7BCB"/>
    <w:rsid w:val="00FF17B7"/>
    <w:rsid w:val="00FF1CB4"/>
    <w:rsid w:val="00FF29B2"/>
    <w:rsid w:val="00FF36C8"/>
    <w:rsid w:val="00FF4C1C"/>
    <w:rsid w:val="00FF5A3F"/>
    <w:rsid w:val="00FF6652"/>
    <w:rsid w:val="00FF7E46"/>
    <w:rsid w:val="0122A9DC"/>
    <w:rsid w:val="01C66662"/>
    <w:rsid w:val="01CE9C72"/>
    <w:rsid w:val="02129DD0"/>
    <w:rsid w:val="02A2E507"/>
    <w:rsid w:val="02DEEACF"/>
    <w:rsid w:val="03340122"/>
    <w:rsid w:val="0361E987"/>
    <w:rsid w:val="03B82D74"/>
    <w:rsid w:val="0443158E"/>
    <w:rsid w:val="04698617"/>
    <w:rsid w:val="04C617EC"/>
    <w:rsid w:val="04DF3F45"/>
    <w:rsid w:val="052BFE08"/>
    <w:rsid w:val="0532E620"/>
    <w:rsid w:val="0558BE32"/>
    <w:rsid w:val="066F9112"/>
    <w:rsid w:val="0721D8C7"/>
    <w:rsid w:val="07385B0D"/>
    <w:rsid w:val="07C0BB2B"/>
    <w:rsid w:val="07EB0BB1"/>
    <w:rsid w:val="08166BA9"/>
    <w:rsid w:val="083E2DDF"/>
    <w:rsid w:val="08404DCF"/>
    <w:rsid w:val="089DE7CB"/>
    <w:rsid w:val="08D1D774"/>
    <w:rsid w:val="08D20BFC"/>
    <w:rsid w:val="091A355C"/>
    <w:rsid w:val="093D0EE4"/>
    <w:rsid w:val="0998AF6B"/>
    <w:rsid w:val="09C66E5F"/>
    <w:rsid w:val="09CDC870"/>
    <w:rsid w:val="0AA38AB7"/>
    <w:rsid w:val="0AD4D343"/>
    <w:rsid w:val="0ADF53B9"/>
    <w:rsid w:val="0B1C7EED"/>
    <w:rsid w:val="0B3FED32"/>
    <w:rsid w:val="0BC50998"/>
    <w:rsid w:val="0BD53A73"/>
    <w:rsid w:val="0BEB001E"/>
    <w:rsid w:val="0C97F905"/>
    <w:rsid w:val="0D046CA2"/>
    <w:rsid w:val="0D2707BF"/>
    <w:rsid w:val="0D3E848E"/>
    <w:rsid w:val="0D7991C8"/>
    <w:rsid w:val="0D847D6D"/>
    <w:rsid w:val="0E5992B3"/>
    <w:rsid w:val="0E944201"/>
    <w:rsid w:val="0EBFE358"/>
    <w:rsid w:val="0EEB4B5D"/>
    <w:rsid w:val="0F5E825A"/>
    <w:rsid w:val="0F912125"/>
    <w:rsid w:val="0FD2616D"/>
    <w:rsid w:val="0FD54690"/>
    <w:rsid w:val="0FD92298"/>
    <w:rsid w:val="10E630F5"/>
    <w:rsid w:val="10F3CFF3"/>
    <w:rsid w:val="10FBC128"/>
    <w:rsid w:val="110A03D5"/>
    <w:rsid w:val="110C1551"/>
    <w:rsid w:val="115DC986"/>
    <w:rsid w:val="1161C5B0"/>
    <w:rsid w:val="1217B992"/>
    <w:rsid w:val="12633DB4"/>
    <w:rsid w:val="12C9DE99"/>
    <w:rsid w:val="130B24B2"/>
    <w:rsid w:val="131BB49C"/>
    <w:rsid w:val="13A3EFA4"/>
    <w:rsid w:val="13FE8298"/>
    <w:rsid w:val="147BDA52"/>
    <w:rsid w:val="14F5A1DB"/>
    <w:rsid w:val="15CA48CC"/>
    <w:rsid w:val="15D2B4B1"/>
    <w:rsid w:val="15EE58A3"/>
    <w:rsid w:val="163D2C2F"/>
    <w:rsid w:val="16A3DBAE"/>
    <w:rsid w:val="179523C3"/>
    <w:rsid w:val="179723AD"/>
    <w:rsid w:val="17ABB847"/>
    <w:rsid w:val="17D957F8"/>
    <w:rsid w:val="18183C05"/>
    <w:rsid w:val="1832F7F8"/>
    <w:rsid w:val="186A187D"/>
    <w:rsid w:val="18BBC0D2"/>
    <w:rsid w:val="1923B0D3"/>
    <w:rsid w:val="19707D7F"/>
    <w:rsid w:val="19747647"/>
    <w:rsid w:val="197F918C"/>
    <w:rsid w:val="1A5CAC9E"/>
    <w:rsid w:val="1A981E65"/>
    <w:rsid w:val="1B0FDC24"/>
    <w:rsid w:val="1B5CB4BC"/>
    <w:rsid w:val="1B631E5D"/>
    <w:rsid w:val="1B84EA26"/>
    <w:rsid w:val="1B9F8121"/>
    <w:rsid w:val="1C5EE05C"/>
    <w:rsid w:val="1C8E8876"/>
    <w:rsid w:val="1C8FE500"/>
    <w:rsid w:val="1CB2350B"/>
    <w:rsid w:val="1D222234"/>
    <w:rsid w:val="1DAF00DF"/>
    <w:rsid w:val="1DBEA599"/>
    <w:rsid w:val="1DC118CF"/>
    <w:rsid w:val="1DF593E2"/>
    <w:rsid w:val="1DF94A40"/>
    <w:rsid w:val="1E245EAC"/>
    <w:rsid w:val="1E5742BB"/>
    <w:rsid w:val="1EA0D121"/>
    <w:rsid w:val="1EE4E5C1"/>
    <w:rsid w:val="1F43AAA9"/>
    <w:rsid w:val="1FDAD8F8"/>
    <w:rsid w:val="205A62C1"/>
    <w:rsid w:val="207FC294"/>
    <w:rsid w:val="20A859A1"/>
    <w:rsid w:val="20B14CB5"/>
    <w:rsid w:val="213C10DB"/>
    <w:rsid w:val="215DA0F9"/>
    <w:rsid w:val="2169F394"/>
    <w:rsid w:val="21F65521"/>
    <w:rsid w:val="22459F9E"/>
    <w:rsid w:val="224BEA94"/>
    <w:rsid w:val="2262BD98"/>
    <w:rsid w:val="227CEA68"/>
    <w:rsid w:val="238AF00A"/>
    <w:rsid w:val="238CDA2F"/>
    <w:rsid w:val="23D837AF"/>
    <w:rsid w:val="23DA891A"/>
    <w:rsid w:val="23DD27C6"/>
    <w:rsid w:val="23EBC9B4"/>
    <w:rsid w:val="2414F336"/>
    <w:rsid w:val="2421FE67"/>
    <w:rsid w:val="24541749"/>
    <w:rsid w:val="24A69220"/>
    <w:rsid w:val="25693A3B"/>
    <w:rsid w:val="25901C65"/>
    <w:rsid w:val="25A53DCF"/>
    <w:rsid w:val="268F7D99"/>
    <w:rsid w:val="270CA0F1"/>
    <w:rsid w:val="2716CD0B"/>
    <w:rsid w:val="272853A8"/>
    <w:rsid w:val="273F55A4"/>
    <w:rsid w:val="275DBF24"/>
    <w:rsid w:val="27C5E78E"/>
    <w:rsid w:val="27F16C49"/>
    <w:rsid w:val="27F85D8C"/>
    <w:rsid w:val="281F63DA"/>
    <w:rsid w:val="2889CAF2"/>
    <w:rsid w:val="2890A283"/>
    <w:rsid w:val="28A01006"/>
    <w:rsid w:val="28BB42FD"/>
    <w:rsid w:val="28FD2B74"/>
    <w:rsid w:val="2995E207"/>
    <w:rsid w:val="29BDAA74"/>
    <w:rsid w:val="29CF4FE3"/>
    <w:rsid w:val="29F318DC"/>
    <w:rsid w:val="2A24EBAC"/>
    <w:rsid w:val="2A2E0AEE"/>
    <w:rsid w:val="2A7740AA"/>
    <w:rsid w:val="2AB540F3"/>
    <w:rsid w:val="2AE71820"/>
    <w:rsid w:val="2B7279B0"/>
    <w:rsid w:val="2B949EBA"/>
    <w:rsid w:val="2BFF0E29"/>
    <w:rsid w:val="2C279CD9"/>
    <w:rsid w:val="2C5C5ACC"/>
    <w:rsid w:val="2C837FC0"/>
    <w:rsid w:val="2D674E9F"/>
    <w:rsid w:val="2D8EF5FB"/>
    <w:rsid w:val="2DEECD1B"/>
    <w:rsid w:val="2E4A0BA2"/>
    <w:rsid w:val="2E4B487A"/>
    <w:rsid w:val="2E5316CC"/>
    <w:rsid w:val="2E7F666C"/>
    <w:rsid w:val="2EFD2473"/>
    <w:rsid w:val="2F0B6D93"/>
    <w:rsid w:val="2F82E664"/>
    <w:rsid w:val="2F9E0BAE"/>
    <w:rsid w:val="2F9F46D8"/>
    <w:rsid w:val="2FDD963E"/>
    <w:rsid w:val="2FEBF1A6"/>
    <w:rsid w:val="3016432A"/>
    <w:rsid w:val="3050C0FE"/>
    <w:rsid w:val="30A2B7B9"/>
    <w:rsid w:val="30AC69A7"/>
    <w:rsid w:val="3154F711"/>
    <w:rsid w:val="31732782"/>
    <w:rsid w:val="31CB7003"/>
    <w:rsid w:val="32162F7C"/>
    <w:rsid w:val="322EE4F3"/>
    <w:rsid w:val="32AD3EED"/>
    <w:rsid w:val="32D59165"/>
    <w:rsid w:val="33179E48"/>
    <w:rsid w:val="33D3F99A"/>
    <w:rsid w:val="340AF6A8"/>
    <w:rsid w:val="343450B2"/>
    <w:rsid w:val="34832A85"/>
    <w:rsid w:val="34DB3991"/>
    <w:rsid w:val="34E21A53"/>
    <w:rsid w:val="34E853AC"/>
    <w:rsid w:val="350B423B"/>
    <w:rsid w:val="3518076A"/>
    <w:rsid w:val="3531DBC8"/>
    <w:rsid w:val="3598B426"/>
    <w:rsid w:val="35CAF3EE"/>
    <w:rsid w:val="362ED1B8"/>
    <w:rsid w:val="363F5BEB"/>
    <w:rsid w:val="3712DE55"/>
    <w:rsid w:val="373E7136"/>
    <w:rsid w:val="3755C847"/>
    <w:rsid w:val="377D06C1"/>
    <w:rsid w:val="37C6E2EB"/>
    <w:rsid w:val="3823906F"/>
    <w:rsid w:val="383F1DDA"/>
    <w:rsid w:val="38AFB1E7"/>
    <w:rsid w:val="38C5E382"/>
    <w:rsid w:val="38E83FCD"/>
    <w:rsid w:val="395A0219"/>
    <w:rsid w:val="39CD72D8"/>
    <w:rsid w:val="39DDBFFE"/>
    <w:rsid w:val="3A6BAEF8"/>
    <w:rsid w:val="3A8E3FE9"/>
    <w:rsid w:val="3AA47286"/>
    <w:rsid w:val="3B11BD70"/>
    <w:rsid w:val="3B36B9A2"/>
    <w:rsid w:val="3B8B7EFF"/>
    <w:rsid w:val="3BB0FC24"/>
    <w:rsid w:val="3BDD82D0"/>
    <w:rsid w:val="3C6138E7"/>
    <w:rsid w:val="3C7EEF07"/>
    <w:rsid w:val="3C806FDE"/>
    <w:rsid w:val="3C8E0E83"/>
    <w:rsid w:val="3C99E574"/>
    <w:rsid w:val="3C9BABA3"/>
    <w:rsid w:val="3CAAC534"/>
    <w:rsid w:val="3CE3FC83"/>
    <w:rsid w:val="3D05D615"/>
    <w:rsid w:val="3D228293"/>
    <w:rsid w:val="3D250B07"/>
    <w:rsid w:val="3D305199"/>
    <w:rsid w:val="3DA66E5A"/>
    <w:rsid w:val="3DD95441"/>
    <w:rsid w:val="3DE9EA8D"/>
    <w:rsid w:val="3E0C6226"/>
    <w:rsid w:val="3E1F8444"/>
    <w:rsid w:val="3E2F5730"/>
    <w:rsid w:val="3E5EDE8E"/>
    <w:rsid w:val="3E8479E5"/>
    <w:rsid w:val="3EAD04BD"/>
    <w:rsid w:val="3EB6D1FC"/>
    <w:rsid w:val="3F10202B"/>
    <w:rsid w:val="3F3AC93B"/>
    <w:rsid w:val="3F3C505C"/>
    <w:rsid w:val="3F5D6E65"/>
    <w:rsid w:val="3F654D60"/>
    <w:rsid w:val="3F8E17A8"/>
    <w:rsid w:val="3FB7C619"/>
    <w:rsid w:val="3FC85C3C"/>
    <w:rsid w:val="402A28A2"/>
    <w:rsid w:val="40903556"/>
    <w:rsid w:val="40B0CA5A"/>
    <w:rsid w:val="40B5E45E"/>
    <w:rsid w:val="40C5086F"/>
    <w:rsid w:val="414F1016"/>
    <w:rsid w:val="417ACC73"/>
    <w:rsid w:val="41A77591"/>
    <w:rsid w:val="41B8F4F4"/>
    <w:rsid w:val="41D20EBE"/>
    <w:rsid w:val="41FB7A63"/>
    <w:rsid w:val="423CEE14"/>
    <w:rsid w:val="43044235"/>
    <w:rsid w:val="43E12D9D"/>
    <w:rsid w:val="4469BD44"/>
    <w:rsid w:val="44E98E55"/>
    <w:rsid w:val="45A17421"/>
    <w:rsid w:val="4602D0CA"/>
    <w:rsid w:val="461CF656"/>
    <w:rsid w:val="46636F10"/>
    <w:rsid w:val="4666523D"/>
    <w:rsid w:val="46E1B731"/>
    <w:rsid w:val="46E83787"/>
    <w:rsid w:val="46F9495A"/>
    <w:rsid w:val="47019A3D"/>
    <w:rsid w:val="470C8771"/>
    <w:rsid w:val="472E6D07"/>
    <w:rsid w:val="4784EC0B"/>
    <w:rsid w:val="47D63829"/>
    <w:rsid w:val="48945479"/>
    <w:rsid w:val="49134DFC"/>
    <w:rsid w:val="493C003A"/>
    <w:rsid w:val="493C98C1"/>
    <w:rsid w:val="496B1DD4"/>
    <w:rsid w:val="4A3E3214"/>
    <w:rsid w:val="4AB6CD2F"/>
    <w:rsid w:val="4ACB8248"/>
    <w:rsid w:val="4AF86D63"/>
    <w:rsid w:val="4B9B9EB1"/>
    <w:rsid w:val="4B9F2E87"/>
    <w:rsid w:val="4BA1B463"/>
    <w:rsid w:val="4BC3A91C"/>
    <w:rsid w:val="4C51E62B"/>
    <w:rsid w:val="4CEFA8AA"/>
    <w:rsid w:val="4D29FC84"/>
    <w:rsid w:val="4D3405FF"/>
    <w:rsid w:val="4DA0C24B"/>
    <w:rsid w:val="4DA3BDD4"/>
    <w:rsid w:val="4DD0780F"/>
    <w:rsid w:val="4DE9B33E"/>
    <w:rsid w:val="4DF19E2C"/>
    <w:rsid w:val="4E5A937D"/>
    <w:rsid w:val="4EE6208D"/>
    <w:rsid w:val="4F689CC9"/>
    <w:rsid w:val="4F895387"/>
    <w:rsid w:val="4FC9F2E3"/>
    <w:rsid w:val="4FE2FCEC"/>
    <w:rsid w:val="50102F2F"/>
    <w:rsid w:val="506E681C"/>
    <w:rsid w:val="506FD6C6"/>
    <w:rsid w:val="5076831F"/>
    <w:rsid w:val="50F9A511"/>
    <w:rsid w:val="5118CD10"/>
    <w:rsid w:val="5155003E"/>
    <w:rsid w:val="5190AF66"/>
    <w:rsid w:val="52138165"/>
    <w:rsid w:val="527671C6"/>
    <w:rsid w:val="52855D78"/>
    <w:rsid w:val="528FF45C"/>
    <w:rsid w:val="52EC6F2F"/>
    <w:rsid w:val="5305CE1D"/>
    <w:rsid w:val="531534E6"/>
    <w:rsid w:val="534F2AD0"/>
    <w:rsid w:val="5386308A"/>
    <w:rsid w:val="5396E572"/>
    <w:rsid w:val="53B12261"/>
    <w:rsid w:val="53C18112"/>
    <w:rsid w:val="53F7C98D"/>
    <w:rsid w:val="5439CD05"/>
    <w:rsid w:val="543B02FE"/>
    <w:rsid w:val="54578A29"/>
    <w:rsid w:val="54A6AA0A"/>
    <w:rsid w:val="54D27E75"/>
    <w:rsid w:val="552067EC"/>
    <w:rsid w:val="55926E4C"/>
    <w:rsid w:val="55EAB6A5"/>
    <w:rsid w:val="561107B2"/>
    <w:rsid w:val="56625095"/>
    <w:rsid w:val="566B8B57"/>
    <w:rsid w:val="56C1130D"/>
    <w:rsid w:val="57074D6C"/>
    <w:rsid w:val="576CF0EB"/>
    <w:rsid w:val="57915303"/>
    <w:rsid w:val="57C8199E"/>
    <w:rsid w:val="593CD065"/>
    <w:rsid w:val="599B65F4"/>
    <w:rsid w:val="59C5E62B"/>
    <w:rsid w:val="5A068F46"/>
    <w:rsid w:val="5A86C7A9"/>
    <w:rsid w:val="5AC17DA0"/>
    <w:rsid w:val="5B0D6213"/>
    <w:rsid w:val="5B498F3B"/>
    <w:rsid w:val="5BB50EFF"/>
    <w:rsid w:val="5BB8CCC6"/>
    <w:rsid w:val="5BF74387"/>
    <w:rsid w:val="5BF81A5C"/>
    <w:rsid w:val="5C0186C3"/>
    <w:rsid w:val="5C62BDCE"/>
    <w:rsid w:val="5C648FC2"/>
    <w:rsid w:val="5C6D1BD1"/>
    <w:rsid w:val="5C88EA35"/>
    <w:rsid w:val="5C90C0B0"/>
    <w:rsid w:val="5CBA0071"/>
    <w:rsid w:val="5CBD3C87"/>
    <w:rsid w:val="5D6B0E5A"/>
    <w:rsid w:val="5DA1EFA3"/>
    <w:rsid w:val="5EB5F8A5"/>
    <w:rsid w:val="5ECA22DE"/>
    <w:rsid w:val="5F067618"/>
    <w:rsid w:val="5F1BCFB7"/>
    <w:rsid w:val="5F2CBCB5"/>
    <w:rsid w:val="5FA05155"/>
    <w:rsid w:val="5FECEF6C"/>
    <w:rsid w:val="60BAA220"/>
    <w:rsid w:val="61159ED1"/>
    <w:rsid w:val="611E4ACF"/>
    <w:rsid w:val="61246B81"/>
    <w:rsid w:val="61406AA4"/>
    <w:rsid w:val="61DA9C11"/>
    <w:rsid w:val="61DF6971"/>
    <w:rsid w:val="6216D6BA"/>
    <w:rsid w:val="622CEB2C"/>
    <w:rsid w:val="630385C1"/>
    <w:rsid w:val="630F50C5"/>
    <w:rsid w:val="636C722B"/>
    <w:rsid w:val="63908307"/>
    <w:rsid w:val="63A20AE7"/>
    <w:rsid w:val="63F6837B"/>
    <w:rsid w:val="646B90DE"/>
    <w:rsid w:val="64872C0D"/>
    <w:rsid w:val="648982E6"/>
    <w:rsid w:val="6489B1C3"/>
    <w:rsid w:val="64DEF8E9"/>
    <w:rsid w:val="65157B8E"/>
    <w:rsid w:val="65231B79"/>
    <w:rsid w:val="659C30CB"/>
    <w:rsid w:val="65A0410C"/>
    <w:rsid w:val="65F58BA5"/>
    <w:rsid w:val="663FEF3D"/>
    <w:rsid w:val="665C3550"/>
    <w:rsid w:val="67829F56"/>
    <w:rsid w:val="678B457E"/>
    <w:rsid w:val="6798D694"/>
    <w:rsid w:val="67B75450"/>
    <w:rsid w:val="681127F9"/>
    <w:rsid w:val="6824ECB3"/>
    <w:rsid w:val="684CB92A"/>
    <w:rsid w:val="687BE08D"/>
    <w:rsid w:val="687D3B05"/>
    <w:rsid w:val="68D7760B"/>
    <w:rsid w:val="68E486BE"/>
    <w:rsid w:val="693F45CD"/>
    <w:rsid w:val="6968A502"/>
    <w:rsid w:val="6A2704AD"/>
    <w:rsid w:val="6A60F0B1"/>
    <w:rsid w:val="6ABCCFBB"/>
    <w:rsid w:val="6B4E3F3B"/>
    <w:rsid w:val="6B7C0972"/>
    <w:rsid w:val="6BFA5043"/>
    <w:rsid w:val="6C1983CD"/>
    <w:rsid w:val="6C6F9A91"/>
    <w:rsid w:val="6CB89F0C"/>
    <w:rsid w:val="6CCD9E30"/>
    <w:rsid w:val="6CD91A31"/>
    <w:rsid w:val="6CF6B28F"/>
    <w:rsid w:val="6D4CEF02"/>
    <w:rsid w:val="6D4DAD69"/>
    <w:rsid w:val="6D844DF0"/>
    <w:rsid w:val="6DAF7EA2"/>
    <w:rsid w:val="6DEDE434"/>
    <w:rsid w:val="6E141AEC"/>
    <w:rsid w:val="6E487759"/>
    <w:rsid w:val="6E6403E8"/>
    <w:rsid w:val="6EC931DC"/>
    <w:rsid w:val="6F081BB0"/>
    <w:rsid w:val="6F424023"/>
    <w:rsid w:val="6F7AA33C"/>
    <w:rsid w:val="6FB60F94"/>
    <w:rsid w:val="707B5B01"/>
    <w:rsid w:val="70989DDC"/>
    <w:rsid w:val="70C0F718"/>
    <w:rsid w:val="7115A8B3"/>
    <w:rsid w:val="712A23D4"/>
    <w:rsid w:val="7148ACBF"/>
    <w:rsid w:val="717160C6"/>
    <w:rsid w:val="717D3B26"/>
    <w:rsid w:val="7180885C"/>
    <w:rsid w:val="718B6DEE"/>
    <w:rsid w:val="71DEFFD9"/>
    <w:rsid w:val="71F0B98B"/>
    <w:rsid w:val="72279903"/>
    <w:rsid w:val="722CFC61"/>
    <w:rsid w:val="7298D463"/>
    <w:rsid w:val="72B9D621"/>
    <w:rsid w:val="72BA7A1D"/>
    <w:rsid w:val="735E8211"/>
    <w:rsid w:val="7363CFB0"/>
    <w:rsid w:val="736FD2EC"/>
    <w:rsid w:val="73C3A5C0"/>
    <w:rsid w:val="7426AC7A"/>
    <w:rsid w:val="7451997A"/>
    <w:rsid w:val="7457EEEE"/>
    <w:rsid w:val="74AF6367"/>
    <w:rsid w:val="74F7CF8B"/>
    <w:rsid w:val="76310950"/>
    <w:rsid w:val="7673AED6"/>
    <w:rsid w:val="7678D3AE"/>
    <w:rsid w:val="767CFDA7"/>
    <w:rsid w:val="76C7225B"/>
    <w:rsid w:val="76E0CCBF"/>
    <w:rsid w:val="7767B854"/>
    <w:rsid w:val="77995124"/>
    <w:rsid w:val="7862A001"/>
    <w:rsid w:val="78B7902D"/>
    <w:rsid w:val="78EC6BC4"/>
    <w:rsid w:val="7910360D"/>
    <w:rsid w:val="79618B3A"/>
    <w:rsid w:val="796CB526"/>
    <w:rsid w:val="79ECFA61"/>
    <w:rsid w:val="7A13D2D6"/>
    <w:rsid w:val="7A83DE3B"/>
    <w:rsid w:val="7AB15B72"/>
    <w:rsid w:val="7AB958C3"/>
    <w:rsid w:val="7ACF85F5"/>
    <w:rsid w:val="7AD36153"/>
    <w:rsid w:val="7ADAE58E"/>
    <w:rsid w:val="7AF37471"/>
    <w:rsid w:val="7B0F6256"/>
    <w:rsid w:val="7B2478F4"/>
    <w:rsid w:val="7B54B441"/>
    <w:rsid w:val="7B69996C"/>
    <w:rsid w:val="7B765619"/>
    <w:rsid w:val="7BA89766"/>
    <w:rsid w:val="7C7D90AF"/>
    <w:rsid w:val="7CABAD44"/>
    <w:rsid w:val="7E550680"/>
    <w:rsid w:val="7E5F7922"/>
    <w:rsid w:val="7F37E08C"/>
    <w:rsid w:val="7F6BA449"/>
    <w:rsid w:val="7F9217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26080958-C991-48B2-BB6E-99AC928B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1"/>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1"/>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1"/>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1"/>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1"/>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B9721A"/>
    <w:pPr>
      <w:numPr>
        <w:numId w:val="1"/>
      </w:numPr>
      <w:contextualSpacing/>
    </w:pPr>
  </w:style>
  <w:style w:type="paragraph" w:styleId="ListBullet2">
    <w:name w:val="List Bullet 2"/>
    <w:basedOn w:val="Normal"/>
    <w:uiPriority w:val="99"/>
    <w:semiHidden/>
    <w:unhideWhenUsed/>
    <w:rsid w:val="00B9721A"/>
    <w:pPr>
      <w:numPr>
        <w:numId w:val="2"/>
      </w:numPr>
      <w:contextualSpacing/>
    </w:pPr>
  </w:style>
  <w:style w:type="paragraph" w:styleId="ListBullet3">
    <w:name w:val="List Bullet 3"/>
    <w:basedOn w:val="Normal"/>
    <w:uiPriority w:val="99"/>
    <w:semiHidden/>
    <w:unhideWhenUsed/>
    <w:rsid w:val="00B9721A"/>
    <w:pPr>
      <w:numPr>
        <w:numId w:val="3"/>
      </w:numPr>
      <w:contextualSpacing/>
    </w:pPr>
  </w:style>
  <w:style w:type="paragraph" w:styleId="ListBullet4">
    <w:name w:val="List Bullet 4"/>
    <w:basedOn w:val="Normal"/>
    <w:uiPriority w:val="99"/>
    <w:semiHidden/>
    <w:unhideWhenUsed/>
    <w:rsid w:val="00B9721A"/>
    <w:pPr>
      <w:numPr>
        <w:numId w:val="4"/>
      </w:numPr>
      <w:contextualSpacing/>
    </w:pPr>
  </w:style>
  <w:style w:type="character" w:styleId="Hyperlink">
    <w:name w:val="Hyperlink"/>
    <w:basedOn w:val="DefaultParagraphFont"/>
    <w:uiPriority w:val="99"/>
    <w:unhideWhenUsed/>
    <w:rsid w:val="00B9721A"/>
    <w:rPr>
      <w:color w:val="0000FF"/>
      <w:u w:val="single"/>
    </w:rPr>
  </w:style>
  <w:style w:type="paragraph" w:styleId="ListParagraph">
    <w:name w:val="List Paragraph"/>
    <w:basedOn w:val="Normal"/>
    <w:uiPriority w:val="34"/>
    <w:qFormat/>
    <w:rsid w:val="004910EE"/>
    <w:pPr>
      <w:ind w:left="720"/>
      <w:contextualSpacing/>
    </w:pPr>
  </w:style>
  <w:style w:type="character" w:styleId="CommentReference">
    <w:name w:val="annotation reference"/>
    <w:basedOn w:val="DefaultParagraphFont"/>
    <w:uiPriority w:val="99"/>
    <w:semiHidden/>
    <w:unhideWhenUsed/>
    <w:rsid w:val="00205A40"/>
    <w:rPr>
      <w:sz w:val="16"/>
      <w:szCs w:val="16"/>
    </w:rPr>
  </w:style>
  <w:style w:type="paragraph" w:styleId="CommentText">
    <w:name w:val="annotation text"/>
    <w:basedOn w:val="Normal"/>
    <w:link w:val="CommentTextChar"/>
    <w:uiPriority w:val="99"/>
    <w:unhideWhenUsed/>
    <w:rsid w:val="00205A40"/>
    <w:pPr>
      <w:spacing w:before="0" w:after="160"/>
      <w:jc w:val="left"/>
    </w:pPr>
    <w:rPr>
      <w:rFonts w:asciiTheme="minorHAnsi" w:eastAsiaTheme="minorEastAsia" w:hAnsiTheme="minorHAnsi" w:cstheme="minorBidi"/>
      <w:sz w:val="20"/>
      <w:szCs w:val="20"/>
      <w:lang w:val="en-US" w:eastAsia="ja-JP"/>
    </w:rPr>
  </w:style>
  <w:style w:type="character" w:customStyle="1" w:styleId="CommentTextChar">
    <w:name w:val="Comment Text Char"/>
    <w:basedOn w:val="DefaultParagraphFont"/>
    <w:link w:val="CommentText"/>
    <w:uiPriority w:val="99"/>
    <w:rsid w:val="00205A40"/>
    <w:rPr>
      <w:rFonts w:eastAsiaTheme="minorEastAsia"/>
      <w:sz w:val="20"/>
      <w:szCs w:val="20"/>
      <w:lang w:eastAsia="ja-JP"/>
    </w:rPr>
  </w:style>
  <w:style w:type="character" w:customStyle="1" w:styleId="UnresolvedMention">
    <w:name w:val="Unresolved Mention"/>
    <w:basedOn w:val="DefaultParagraphFont"/>
    <w:uiPriority w:val="99"/>
    <w:semiHidden/>
    <w:unhideWhenUsed/>
    <w:rsid w:val="009B531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86D6D"/>
    <w:pPr>
      <w:spacing w:before="120" w:after="120"/>
      <w:jc w:val="both"/>
    </w:pPr>
    <w:rPr>
      <w:rFonts w:ascii="Times New Roman" w:eastAsiaTheme="minorHAnsi" w:hAnsi="Times New Roman" w:cs="Times New Roman"/>
      <w:b/>
      <w:bCs/>
      <w:lang w:val="en-GB" w:eastAsia="en-US"/>
    </w:rPr>
  </w:style>
  <w:style w:type="character" w:customStyle="1" w:styleId="CommentSubjectChar">
    <w:name w:val="Comment Subject Char"/>
    <w:basedOn w:val="CommentTextChar"/>
    <w:link w:val="CommentSubject"/>
    <w:uiPriority w:val="99"/>
    <w:semiHidden/>
    <w:rsid w:val="00C86D6D"/>
    <w:rPr>
      <w:rFonts w:ascii="Times New Roman" w:eastAsiaTheme="minorEastAsia" w:hAnsi="Times New Roman" w:cs="Times New Roman"/>
      <w:b/>
      <w:bCs/>
      <w:sz w:val="20"/>
      <w:szCs w:val="20"/>
      <w:lang w:val="en-GB" w:eastAsia="ja-JP"/>
    </w:rPr>
  </w:style>
  <w:style w:type="character" w:customStyle="1" w:styleId="Mention">
    <w:name w:val="Mention"/>
    <w:basedOn w:val="DefaultParagraphFont"/>
    <w:uiPriority w:val="99"/>
    <w:unhideWhenUsed/>
    <w:rsid w:val="00C86D6D"/>
    <w:rPr>
      <w:color w:val="2B579A"/>
      <w:shd w:val="clear" w:color="auto" w:fill="E1DFDD"/>
    </w:rPr>
  </w:style>
  <w:style w:type="paragraph" w:styleId="Revision">
    <w:name w:val="Revision"/>
    <w:hidden/>
    <w:uiPriority w:val="99"/>
    <w:semiHidden/>
    <w:rsid w:val="0009738B"/>
    <w:pPr>
      <w:spacing w:after="0" w:line="240" w:lineRule="auto"/>
    </w:pPr>
    <w:rPr>
      <w:rFonts w:ascii="Times New Roman" w:hAnsi="Times New Roman" w:cs="Times New Roman"/>
      <w:sz w:val="24"/>
      <w:lang w:val="en-GB"/>
    </w:rPr>
  </w:style>
  <w:style w:type="character" w:styleId="FollowedHyperlink">
    <w:name w:val="FollowedHyperlink"/>
    <w:basedOn w:val="DefaultParagraphFont"/>
    <w:uiPriority w:val="99"/>
    <w:semiHidden/>
    <w:unhideWhenUsed/>
    <w:rsid w:val="006E2B85"/>
    <w:rPr>
      <w:color w:val="800080" w:themeColor="followedHyperlink"/>
      <w:u w:val="single"/>
    </w:rPr>
  </w:style>
  <w:style w:type="paragraph" w:customStyle="1" w:styleId="No">
    <w:name w:val="No"/>
    <w:basedOn w:val="Heading2"/>
    <w:rsid w:val="0038302B"/>
    <w:pPr>
      <w:numPr>
        <w:numId w:val="0"/>
      </w:numPr>
    </w:pPr>
    <w:rPr>
      <w:rFonts w:eastAsia="Arial Unicode MS"/>
      <w:b w:val="0"/>
      <w:bCs w:val="0"/>
    </w:rPr>
  </w:style>
  <w:style w:type="character" w:customStyle="1" w:styleId="HeaderChar">
    <w:name w:val="Header Char"/>
    <w:basedOn w:val="DefaultParagraphFont"/>
    <w:link w:val="Header"/>
    <w:uiPriority w:val="99"/>
    <w:rsid w:val="005253FE"/>
    <w:rPr>
      <w:rFonts w:ascii="Times New Roman" w:hAnsi="Times New Roman" w:cs="Times New Roman"/>
      <w:sz w:val="24"/>
      <w:lang w:val="en-GB"/>
    </w:rPr>
  </w:style>
  <w:style w:type="character" w:customStyle="1" w:styleId="FooterChar">
    <w:name w:val="Footer Char"/>
    <w:basedOn w:val="DefaultParagraphFont"/>
    <w:link w:val="Footer"/>
    <w:uiPriority w:val="99"/>
    <w:rsid w:val="005253FE"/>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5253FE"/>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5253FE"/>
    <w:pPr>
      <w:spacing w:before="0"/>
      <w:jc w:val="right"/>
    </w:pPr>
    <w:rPr>
      <w:sz w:val="28"/>
    </w:rPr>
  </w:style>
  <w:style w:type="paragraph" w:customStyle="1" w:styleId="FooterSensitivity">
    <w:name w:val="Footer Sensitivity"/>
    <w:basedOn w:val="Normal"/>
    <w:rsid w:val="005253FE"/>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Tiret5">
    <w:name w:val="Tiret 5"/>
    <w:basedOn w:val="Point5"/>
    <w:pPr>
      <w:numPr>
        <w:numId w:val="29"/>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0"/>
      </w:numPr>
    </w:pPr>
  </w:style>
  <w:style w:type="paragraph" w:customStyle="1" w:styleId="NumPar2">
    <w:name w:val="NumPar 2"/>
    <w:basedOn w:val="Normal"/>
    <w:next w:val="Text1"/>
    <w:pPr>
      <w:numPr>
        <w:ilvl w:val="1"/>
        <w:numId w:val="30"/>
      </w:numPr>
    </w:pPr>
  </w:style>
  <w:style w:type="paragraph" w:customStyle="1" w:styleId="NumPar3">
    <w:name w:val="NumPar 3"/>
    <w:basedOn w:val="Normal"/>
    <w:next w:val="Text1"/>
    <w:pPr>
      <w:numPr>
        <w:ilvl w:val="2"/>
        <w:numId w:val="30"/>
      </w:numPr>
    </w:pPr>
  </w:style>
  <w:style w:type="paragraph" w:customStyle="1" w:styleId="NumPar4">
    <w:name w:val="NumPar 4"/>
    <w:basedOn w:val="Normal"/>
    <w:next w:val="Text1"/>
    <w:pPr>
      <w:numPr>
        <w:ilvl w:val="3"/>
        <w:numId w:val="30"/>
      </w:numPr>
    </w:pPr>
  </w:style>
  <w:style w:type="paragraph" w:customStyle="1" w:styleId="NumPar5">
    <w:name w:val="NumPar 5"/>
    <w:basedOn w:val="Normal"/>
    <w:next w:val="Text2"/>
    <w:pPr>
      <w:numPr>
        <w:ilvl w:val="4"/>
        <w:numId w:val="30"/>
      </w:numPr>
    </w:pPr>
  </w:style>
  <w:style w:type="paragraph" w:customStyle="1" w:styleId="NumPar6">
    <w:name w:val="NumPar 6"/>
    <w:basedOn w:val="Normal"/>
    <w:next w:val="Text2"/>
    <w:pPr>
      <w:numPr>
        <w:ilvl w:val="5"/>
        <w:numId w:val="30"/>
      </w:numPr>
    </w:pPr>
  </w:style>
  <w:style w:type="paragraph" w:customStyle="1" w:styleId="NumPar7">
    <w:name w:val="NumPar 7"/>
    <w:basedOn w:val="Normal"/>
    <w:next w:val="Text2"/>
    <w:pPr>
      <w:numPr>
        <w:ilvl w:val="6"/>
        <w:numId w:val="30"/>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2"/>
      </w:numPr>
    </w:pPr>
  </w:style>
  <w:style w:type="paragraph" w:customStyle="1" w:styleId="Point1number">
    <w:name w:val="Point 1 (number)"/>
    <w:basedOn w:val="Normal"/>
    <w:pPr>
      <w:numPr>
        <w:ilvl w:val="2"/>
        <w:numId w:val="32"/>
      </w:numPr>
    </w:pPr>
  </w:style>
  <w:style w:type="paragraph" w:customStyle="1" w:styleId="Point2number">
    <w:name w:val="Point 2 (number)"/>
    <w:basedOn w:val="Normal"/>
    <w:pPr>
      <w:numPr>
        <w:ilvl w:val="4"/>
        <w:numId w:val="32"/>
      </w:numPr>
    </w:pPr>
  </w:style>
  <w:style w:type="paragraph" w:customStyle="1" w:styleId="Point3number">
    <w:name w:val="Point 3 (number)"/>
    <w:basedOn w:val="Normal"/>
    <w:pPr>
      <w:numPr>
        <w:ilvl w:val="6"/>
        <w:numId w:val="32"/>
      </w:numPr>
    </w:pPr>
  </w:style>
  <w:style w:type="paragraph" w:customStyle="1" w:styleId="Point0letter">
    <w:name w:val="Point 0 (letter)"/>
    <w:basedOn w:val="Normal"/>
    <w:pPr>
      <w:numPr>
        <w:ilvl w:val="1"/>
        <w:numId w:val="32"/>
      </w:numPr>
    </w:pPr>
  </w:style>
  <w:style w:type="paragraph" w:customStyle="1" w:styleId="Point1letter">
    <w:name w:val="Point 1 (letter)"/>
    <w:basedOn w:val="Normal"/>
    <w:pPr>
      <w:numPr>
        <w:ilvl w:val="3"/>
        <w:numId w:val="32"/>
      </w:numPr>
    </w:pPr>
  </w:style>
  <w:style w:type="paragraph" w:customStyle="1" w:styleId="Point2letter">
    <w:name w:val="Point 2 (letter)"/>
    <w:basedOn w:val="Normal"/>
    <w:pPr>
      <w:numPr>
        <w:ilvl w:val="5"/>
        <w:numId w:val="32"/>
      </w:numPr>
    </w:pPr>
  </w:style>
  <w:style w:type="paragraph" w:customStyle="1" w:styleId="Point3letter">
    <w:name w:val="Point 3 (letter)"/>
    <w:basedOn w:val="Normal"/>
    <w:pPr>
      <w:numPr>
        <w:ilvl w:val="7"/>
        <w:numId w:val="32"/>
      </w:numPr>
    </w:pPr>
  </w:style>
  <w:style w:type="paragraph" w:customStyle="1" w:styleId="Point4letter">
    <w:name w:val="Point 4 (letter)"/>
    <w:basedOn w:val="Normal"/>
    <w:pPr>
      <w:numPr>
        <w:ilvl w:val="8"/>
        <w:numId w:val="32"/>
      </w:numPr>
    </w:pPr>
  </w:style>
  <w:style w:type="paragraph" w:customStyle="1" w:styleId="Bullet0">
    <w:name w:val="Bullet 0"/>
    <w:basedOn w:val="Normal"/>
    <w:pPr>
      <w:numPr>
        <w:numId w:val="33"/>
      </w:numPr>
    </w:pPr>
  </w:style>
  <w:style w:type="paragraph" w:customStyle="1" w:styleId="Bullet1">
    <w:name w:val="Bullet 1"/>
    <w:basedOn w:val="Normal"/>
    <w:pPr>
      <w:numPr>
        <w:numId w:val="34"/>
      </w:numPr>
    </w:pPr>
  </w:style>
  <w:style w:type="paragraph" w:customStyle="1" w:styleId="Bullet2">
    <w:name w:val="Bullet 2"/>
    <w:basedOn w:val="Normal"/>
    <w:pPr>
      <w:numPr>
        <w:numId w:val="35"/>
      </w:numPr>
    </w:pPr>
  </w:style>
  <w:style w:type="paragraph" w:customStyle="1" w:styleId="Bullet3">
    <w:name w:val="Bullet 3"/>
    <w:basedOn w:val="Normal"/>
    <w:pPr>
      <w:numPr>
        <w:numId w:val="36"/>
      </w:numPr>
    </w:pPr>
  </w:style>
  <w:style w:type="paragraph" w:customStyle="1" w:styleId="Bullet4">
    <w:name w:val="Bullet 4"/>
    <w:basedOn w:val="Normal"/>
    <w:pPr>
      <w:numPr>
        <w:numId w:val="37"/>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8"/>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5253FE"/>
    <w:pPr>
      <w:tabs>
        <w:tab w:val="center" w:pos="4535"/>
        <w:tab w:val="right" w:pos="9071"/>
      </w:tabs>
      <w:spacing w:before="0"/>
    </w:pPr>
  </w:style>
  <w:style w:type="paragraph" w:customStyle="1" w:styleId="HeaderLandscape">
    <w:name w:val="HeaderLandscape"/>
    <w:basedOn w:val="Normal"/>
    <w:rsid w:val="005253FE"/>
    <w:pPr>
      <w:tabs>
        <w:tab w:val="center" w:pos="7285"/>
        <w:tab w:val="right" w:pos="14003"/>
      </w:tabs>
      <w:spacing w:before="0"/>
    </w:pPr>
  </w:style>
  <w:style w:type="paragraph" w:styleId="Footer">
    <w:name w:val="footer"/>
    <w:basedOn w:val="Normal"/>
    <w:link w:val="FooterChar"/>
    <w:uiPriority w:val="99"/>
    <w:unhideWhenUsed/>
    <w:rsid w:val="005253FE"/>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5253FE"/>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75809">
      <w:bodyDiv w:val="1"/>
      <w:marLeft w:val="0"/>
      <w:marRight w:val="0"/>
      <w:marTop w:val="0"/>
      <w:marBottom w:val="0"/>
      <w:divBdr>
        <w:top w:val="none" w:sz="0" w:space="0" w:color="auto"/>
        <w:left w:val="none" w:sz="0" w:space="0" w:color="auto"/>
        <w:bottom w:val="none" w:sz="0" w:space="0" w:color="auto"/>
        <w:right w:val="none" w:sz="0" w:space="0" w:color="auto"/>
      </w:divBdr>
    </w:div>
    <w:div w:id="147551660">
      <w:bodyDiv w:val="1"/>
      <w:marLeft w:val="0"/>
      <w:marRight w:val="0"/>
      <w:marTop w:val="0"/>
      <w:marBottom w:val="0"/>
      <w:divBdr>
        <w:top w:val="none" w:sz="0" w:space="0" w:color="auto"/>
        <w:left w:val="none" w:sz="0" w:space="0" w:color="auto"/>
        <w:bottom w:val="none" w:sz="0" w:space="0" w:color="auto"/>
        <w:right w:val="none" w:sz="0" w:space="0" w:color="auto"/>
      </w:divBdr>
    </w:div>
    <w:div w:id="362901744">
      <w:bodyDiv w:val="1"/>
      <w:marLeft w:val="0"/>
      <w:marRight w:val="0"/>
      <w:marTop w:val="0"/>
      <w:marBottom w:val="0"/>
      <w:divBdr>
        <w:top w:val="none" w:sz="0" w:space="0" w:color="auto"/>
        <w:left w:val="none" w:sz="0" w:space="0" w:color="auto"/>
        <w:bottom w:val="none" w:sz="0" w:space="0" w:color="auto"/>
        <w:right w:val="none" w:sz="0" w:space="0" w:color="auto"/>
      </w:divBdr>
    </w:div>
    <w:div w:id="757596909">
      <w:bodyDiv w:val="1"/>
      <w:marLeft w:val="0"/>
      <w:marRight w:val="0"/>
      <w:marTop w:val="0"/>
      <w:marBottom w:val="0"/>
      <w:divBdr>
        <w:top w:val="none" w:sz="0" w:space="0" w:color="auto"/>
        <w:left w:val="none" w:sz="0" w:space="0" w:color="auto"/>
        <w:bottom w:val="none" w:sz="0" w:space="0" w:color="auto"/>
        <w:right w:val="none" w:sz="0" w:space="0" w:color="auto"/>
      </w:divBdr>
    </w:div>
    <w:div w:id="936602264">
      <w:bodyDiv w:val="1"/>
      <w:marLeft w:val="0"/>
      <w:marRight w:val="0"/>
      <w:marTop w:val="0"/>
      <w:marBottom w:val="0"/>
      <w:divBdr>
        <w:top w:val="none" w:sz="0" w:space="0" w:color="auto"/>
        <w:left w:val="none" w:sz="0" w:space="0" w:color="auto"/>
        <w:bottom w:val="none" w:sz="0" w:space="0" w:color="auto"/>
        <w:right w:val="none" w:sz="0" w:space="0" w:color="auto"/>
      </w:divBdr>
    </w:div>
    <w:div w:id="993409546">
      <w:bodyDiv w:val="1"/>
      <w:marLeft w:val="0"/>
      <w:marRight w:val="0"/>
      <w:marTop w:val="0"/>
      <w:marBottom w:val="0"/>
      <w:divBdr>
        <w:top w:val="none" w:sz="0" w:space="0" w:color="auto"/>
        <w:left w:val="none" w:sz="0" w:space="0" w:color="auto"/>
        <w:bottom w:val="none" w:sz="0" w:space="0" w:color="auto"/>
        <w:right w:val="none" w:sz="0" w:space="0" w:color="auto"/>
      </w:divBdr>
    </w:div>
    <w:div w:id="996418028">
      <w:bodyDiv w:val="1"/>
      <w:marLeft w:val="0"/>
      <w:marRight w:val="0"/>
      <w:marTop w:val="0"/>
      <w:marBottom w:val="0"/>
      <w:divBdr>
        <w:top w:val="none" w:sz="0" w:space="0" w:color="auto"/>
        <w:left w:val="none" w:sz="0" w:space="0" w:color="auto"/>
        <w:bottom w:val="none" w:sz="0" w:space="0" w:color="auto"/>
        <w:right w:val="none" w:sz="0" w:space="0" w:color="auto"/>
      </w:divBdr>
    </w:div>
    <w:div w:id="1045981097">
      <w:bodyDiv w:val="1"/>
      <w:marLeft w:val="0"/>
      <w:marRight w:val="0"/>
      <w:marTop w:val="0"/>
      <w:marBottom w:val="0"/>
      <w:divBdr>
        <w:top w:val="none" w:sz="0" w:space="0" w:color="auto"/>
        <w:left w:val="none" w:sz="0" w:space="0" w:color="auto"/>
        <w:bottom w:val="none" w:sz="0" w:space="0" w:color="auto"/>
        <w:right w:val="none" w:sz="0" w:space="0" w:color="auto"/>
      </w:divBdr>
    </w:div>
    <w:div w:id="1200972941">
      <w:bodyDiv w:val="1"/>
      <w:marLeft w:val="0"/>
      <w:marRight w:val="0"/>
      <w:marTop w:val="0"/>
      <w:marBottom w:val="0"/>
      <w:divBdr>
        <w:top w:val="none" w:sz="0" w:space="0" w:color="auto"/>
        <w:left w:val="none" w:sz="0" w:space="0" w:color="auto"/>
        <w:bottom w:val="none" w:sz="0" w:space="0" w:color="auto"/>
        <w:right w:val="none" w:sz="0" w:space="0" w:color="auto"/>
      </w:divBdr>
    </w:div>
    <w:div w:id="1389382283">
      <w:bodyDiv w:val="1"/>
      <w:marLeft w:val="0"/>
      <w:marRight w:val="0"/>
      <w:marTop w:val="0"/>
      <w:marBottom w:val="0"/>
      <w:divBdr>
        <w:top w:val="none" w:sz="0" w:space="0" w:color="auto"/>
        <w:left w:val="none" w:sz="0" w:space="0" w:color="auto"/>
        <w:bottom w:val="none" w:sz="0" w:space="0" w:color="auto"/>
        <w:right w:val="none" w:sz="0" w:space="0" w:color="auto"/>
      </w:divBdr>
    </w:div>
    <w:div w:id="1401251643">
      <w:bodyDiv w:val="1"/>
      <w:marLeft w:val="0"/>
      <w:marRight w:val="0"/>
      <w:marTop w:val="0"/>
      <w:marBottom w:val="0"/>
      <w:divBdr>
        <w:top w:val="none" w:sz="0" w:space="0" w:color="auto"/>
        <w:left w:val="none" w:sz="0" w:space="0" w:color="auto"/>
        <w:bottom w:val="none" w:sz="0" w:space="0" w:color="auto"/>
        <w:right w:val="none" w:sz="0" w:space="0" w:color="auto"/>
      </w:divBdr>
    </w:div>
    <w:div w:id="140602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32023D1075" TargetMode="External"/><Relationship Id="rId3" Type="http://schemas.openxmlformats.org/officeDocument/2006/relationships/hyperlink" Target="https://www.coe.int/en/web/istanbul-convention/committee-of-the-parties" TargetMode="External"/><Relationship Id="rId7" Type="http://schemas.openxmlformats.org/officeDocument/2006/relationships/hyperlink" Target="http://data.europa.eu/eli/dir/2003/86/oj" TargetMode="External"/><Relationship Id="rId12" Type="http://schemas.openxmlformats.org/officeDocument/2006/relationships/hyperlink" Target="http://data.europa.eu/eli/dir/2003/86/oj" TargetMode="External"/><Relationship Id="rId2" Type="http://schemas.openxmlformats.org/officeDocument/2006/relationships/hyperlink" Target="http://data.europa.eu/eli/dec/2023/1076/oj" TargetMode="External"/><Relationship Id="rId1" Type="http://schemas.openxmlformats.org/officeDocument/2006/relationships/hyperlink" Target="http://data.europa.eu/eli/dec/2023/1075/oj" TargetMode="External"/><Relationship Id="rId6" Type="http://schemas.openxmlformats.org/officeDocument/2006/relationships/hyperlink" Target="http://data.europa.eu/eli/reg/2024/1348/oj" TargetMode="External"/><Relationship Id="rId11" Type="http://schemas.openxmlformats.org/officeDocument/2006/relationships/hyperlink" Target="http://data.europa.eu/eli/reg/2024/1348/oj" TargetMode="External"/><Relationship Id="rId5" Type="http://schemas.openxmlformats.org/officeDocument/2006/relationships/hyperlink" Target="http://data.europa.eu/eli/dir/2012/29/oj" TargetMode="External"/><Relationship Id="rId10" Type="http://schemas.openxmlformats.org/officeDocument/2006/relationships/hyperlink" Target="http://data.europa.eu/eli/dir/2024/1385/oj" TargetMode="External"/><Relationship Id="rId4" Type="http://schemas.openxmlformats.org/officeDocument/2006/relationships/hyperlink" Target="http://data.europa.eu/eli/dir/2024/1385/oj" TargetMode="External"/><Relationship Id="rId9" Type="http://schemas.openxmlformats.org/officeDocument/2006/relationships/hyperlink" Target="https://eur-lex.europa.eu/eli/dec/2023/1076/oj/e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documenttasks/documenttasks1.xml><?xml version="1.0" encoding="utf-8"?>
<t:Tasks xmlns:t="http://schemas.microsoft.com/office/tasks/2019/documenttasks" xmlns:oel="http://schemas.microsoft.com/office/2019/extlst">
  <t:Task id="{8F81BC71-8523-40F3-8816-8AD16330B3F8}">
    <t:Anchor>
      <t:Comment id="1512105073"/>
    </t:Anchor>
    <t:History>
      <t:Event id="{9CF6CBA2-80FD-417B-9BDA-E960AA4970FC}" time="2025-04-29T07:19:38.257Z">
        <t:Attribution userId="S::Lisa.COLLSTE@ec.europa.eu::45fa20fe-2182-4547-accb-c2d1c9456219" userProvider="AD" userName="COLLSTE Lisa (JUST)"/>
        <t:Anchor>
          <t:Comment id="1512105073"/>
        </t:Anchor>
        <t:Create/>
      </t:Event>
      <t:Event id="{D4A9E3E4-674B-4E54-AC00-3A24D1B1F13F}" time="2025-04-29T07:19:38.257Z">
        <t:Attribution userId="S::Lisa.COLLSTE@ec.europa.eu::45fa20fe-2182-4547-accb-c2d1c9456219" userProvider="AD" userName="COLLSTE Lisa (JUST)"/>
        <t:Anchor>
          <t:Comment id="1512105073"/>
        </t:Anchor>
        <t:Assign userId="S::Maria.POPOVA@ec.europa.eu::1c72ee4f-3675-4581-8b7b-f010e1d4f7c7" userProvider="AD" userName="POPOVA Maria (JUST)"/>
      </t:Event>
      <t:Event id="{AC34CD76-7A86-4185-8A5A-182230C4E8FC}" time="2025-04-29T07:19:38.257Z">
        <t:Attribution userId="S::Lisa.COLLSTE@ec.europa.eu::45fa20fe-2182-4547-accb-c2d1c9456219" userProvider="AD" userName="COLLSTE Lisa (JUST)"/>
        <t:Anchor>
          <t:Comment id="1512105073"/>
        </t:Anchor>
        <t:SetTitle title="@POPOVA Maria (JUST) thanks for adding! However, I think we should add the correct titles of the documents eg Recommendations on improving trust….Thank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1086966748074091B44B156AB49619" ma:contentTypeVersion="6" ma:contentTypeDescription="Create a new document." ma:contentTypeScope="" ma:versionID="f7eb253a49f7cfb41297ba04752bae19">
  <xsd:schema xmlns:xsd="http://www.w3.org/2001/XMLSchema" xmlns:xs="http://www.w3.org/2001/XMLSchema" xmlns:p="http://schemas.microsoft.com/office/2006/metadata/properties" xmlns:ns2="d6a9b4c6-0c29-47a2-af34-ec9724382a1c" xmlns:ns3="f4020994-e754-48c1-817e-f760c4acc320" targetNamespace="http://schemas.microsoft.com/office/2006/metadata/properties" ma:root="true" ma:fieldsID="ad1a6bb99c5e51f8789e849a49664226" ns2:_="" ns3:_="">
    <xsd:import namespace="d6a9b4c6-0c29-47a2-af34-ec9724382a1c"/>
    <xsd:import namespace="f4020994-e754-48c1-817e-f760c4acc3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9b4c6-0c29-47a2-af34-ec9724382a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020994-e754-48c1-817e-f760c4acc32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83028-AC7D-4463-AE1E-57CEEB4C50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52F42B-8E60-4286-A101-7990FD362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9b4c6-0c29-47a2-af34-ec9724382a1c"/>
    <ds:schemaRef ds:uri="f4020994-e754-48c1-817e-f760c4acc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D53C8A-6D3F-4F2E-ABA8-C2706F75A577}">
  <ds:schemaRefs>
    <ds:schemaRef ds:uri="http://schemas.microsoft.com/sharepoint/v3/contenttype/forms"/>
  </ds:schemaRefs>
</ds:datastoreItem>
</file>

<file path=customXml/itemProps4.xml><?xml version="1.0" encoding="utf-8"?>
<ds:datastoreItem xmlns:ds="http://schemas.openxmlformats.org/officeDocument/2006/customXml" ds:itemID="{A752ECE2-FD4C-473D-8D4C-903AFD5FE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13</TotalTime>
  <Pages>13</Pages>
  <Words>6366</Words>
  <Characters>36288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42569</CharactersWithSpaces>
  <SharedDoc>false</SharedDoc>
  <HLinks>
    <vt:vector size="78" baseType="variant">
      <vt:variant>
        <vt:i4>6226011</vt:i4>
      </vt:variant>
      <vt:variant>
        <vt:i4>33</vt:i4>
      </vt:variant>
      <vt:variant>
        <vt:i4>0</vt:i4>
      </vt:variant>
      <vt:variant>
        <vt:i4>5</vt:i4>
      </vt:variant>
      <vt:variant>
        <vt:lpwstr>http://data.europa.eu/eli/dir/2003/86/oj</vt:lpwstr>
      </vt:variant>
      <vt:variant>
        <vt:lpwstr/>
      </vt:variant>
      <vt:variant>
        <vt:i4>6881383</vt:i4>
      </vt:variant>
      <vt:variant>
        <vt:i4>30</vt:i4>
      </vt:variant>
      <vt:variant>
        <vt:i4>0</vt:i4>
      </vt:variant>
      <vt:variant>
        <vt:i4>5</vt:i4>
      </vt:variant>
      <vt:variant>
        <vt:lpwstr>http://data.europa.eu/eli/reg/2024/1348/oj</vt:lpwstr>
      </vt:variant>
      <vt:variant>
        <vt:lpwstr/>
      </vt:variant>
      <vt:variant>
        <vt:i4>6881385</vt:i4>
      </vt:variant>
      <vt:variant>
        <vt:i4>27</vt:i4>
      </vt:variant>
      <vt:variant>
        <vt:i4>0</vt:i4>
      </vt:variant>
      <vt:variant>
        <vt:i4>5</vt:i4>
      </vt:variant>
      <vt:variant>
        <vt:lpwstr>http://data.europa.eu/eli/dir/2024/1385/oj</vt:lpwstr>
      </vt:variant>
      <vt:variant>
        <vt:lpwstr/>
      </vt:variant>
      <vt:variant>
        <vt:i4>7864435</vt:i4>
      </vt:variant>
      <vt:variant>
        <vt:i4>24</vt:i4>
      </vt:variant>
      <vt:variant>
        <vt:i4>0</vt:i4>
      </vt:variant>
      <vt:variant>
        <vt:i4>5</vt:i4>
      </vt:variant>
      <vt:variant>
        <vt:lpwstr>https://eur-lex.europa.eu/eli/dec/2023/1076/oj/eng</vt:lpwstr>
      </vt:variant>
      <vt:variant>
        <vt:lpwstr/>
      </vt:variant>
      <vt:variant>
        <vt:i4>327748</vt:i4>
      </vt:variant>
      <vt:variant>
        <vt:i4>21</vt:i4>
      </vt:variant>
      <vt:variant>
        <vt:i4>0</vt:i4>
      </vt:variant>
      <vt:variant>
        <vt:i4>5</vt:i4>
      </vt:variant>
      <vt:variant>
        <vt:lpwstr>https://eur-lex.europa.eu/legal-content/EN/TXT/?uri=CELEX:32023D1075</vt:lpwstr>
      </vt:variant>
      <vt:variant>
        <vt:lpwstr/>
      </vt:variant>
      <vt:variant>
        <vt:i4>6226011</vt:i4>
      </vt:variant>
      <vt:variant>
        <vt:i4>18</vt:i4>
      </vt:variant>
      <vt:variant>
        <vt:i4>0</vt:i4>
      </vt:variant>
      <vt:variant>
        <vt:i4>5</vt:i4>
      </vt:variant>
      <vt:variant>
        <vt:lpwstr>http://data.europa.eu/eli/dir/2003/86/oj</vt:lpwstr>
      </vt:variant>
      <vt:variant>
        <vt:lpwstr/>
      </vt:variant>
      <vt:variant>
        <vt:i4>6881383</vt:i4>
      </vt:variant>
      <vt:variant>
        <vt:i4>15</vt:i4>
      </vt:variant>
      <vt:variant>
        <vt:i4>0</vt:i4>
      </vt:variant>
      <vt:variant>
        <vt:i4>5</vt:i4>
      </vt:variant>
      <vt:variant>
        <vt:lpwstr>http://data.europa.eu/eli/reg/2024/1348/oj</vt:lpwstr>
      </vt:variant>
      <vt:variant>
        <vt:lpwstr/>
      </vt:variant>
      <vt:variant>
        <vt:i4>5505109</vt:i4>
      </vt:variant>
      <vt:variant>
        <vt:i4>12</vt:i4>
      </vt:variant>
      <vt:variant>
        <vt:i4>0</vt:i4>
      </vt:variant>
      <vt:variant>
        <vt:i4>5</vt:i4>
      </vt:variant>
      <vt:variant>
        <vt:lpwstr>http://data.europa.eu/eli/dir/2012/29/oj</vt:lpwstr>
      </vt:variant>
      <vt:variant>
        <vt:lpwstr/>
      </vt:variant>
      <vt:variant>
        <vt:i4>6881385</vt:i4>
      </vt:variant>
      <vt:variant>
        <vt:i4>9</vt:i4>
      </vt:variant>
      <vt:variant>
        <vt:i4>0</vt:i4>
      </vt:variant>
      <vt:variant>
        <vt:i4>5</vt:i4>
      </vt:variant>
      <vt:variant>
        <vt:lpwstr>http://data.europa.eu/eli/dir/2024/1385/oj</vt:lpwstr>
      </vt:variant>
      <vt:variant>
        <vt:lpwstr/>
      </vt:variant>
      <vt:variant>
        <vt:i4>6881337</vt:i4>
      </vt:variant>
      <vt:variant>
        <vt:i4>6</vt:i4>
      </vt:variant>
      <vt:variant>
        <vt:i4>0</vt:i4>
      </vt:variant>
      <vt:variant>
        <vt:i4>5</vt:i4>
      </vt:variant>
      <vt:variant>
        <vt:lpwstr>https://www.coe.int/en/web/istanbul-convention/committee-of-the-parties</vt:lpwstr>
      </vt:variant>
      <vt:variant>
        <vt:lpwstr/>
      </vt:variant>
      <vt:variant>
        <vt:i4>7143544</vt:i4>
      </vt:variant>
      <vt:variant>
        <vt:i4>3</vt:i4>
      </vt:variant>
      <vt:variant>
        <vt:i4>0</vt:i4>
      </vt:variant>
      <vt:variant>
        <vt:i4>5</vt:i4>
      </vt:variant>
      <vt:variant>
        <vt:lpwstr>http://data.europa.eu/eli/dec/2023/1076/oj</vt:lpwstr>
      </vt:variant>
      <vt:variant>
        <vt:lpwstr/>
      </vt:variant>
      <vt:variant>
        <vt:i4>7143547</vt:i4>
      </vt:variant>
      <vt:variant>
        <vt:i4>0</vt:i4>
      </vt:variant>
      <vt:variant>
        <vt:i4>0</vt:i4>
      </vt:variant>
      <vt:variant>
        <vt:i4>5</vt:i4>
      </vt:variant>
      <vt:variant>
        <vt:lpwstr>http://data.europa.eu/eli/dec/2023/1075/oj</vt:lpwstr>
      </vt:variant>
      <vt:variant>
        <vt:lpwstr/>
      </vt:variant>
      <vt:variant>
        <vt:i4>1507329</vt:i4>
      </vt:variant>
      <vt:variant>
        <vt:i4>0</vt:i4>
      </vt:variant>
      <vt:variant>
        <vt:i4>0</vt:i4>
      </vt:variant>
      <vt:variant>
        <vt:i4>5</vt:i4>
      </vt:variant>
      <vt:variant>
        <vt:lpwstr>https://myintracomm.ec.europa.eu/sg/Documents/commission_style_guide.pdf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28</cp:revision>
  <dcterms:created xsi:type="dcterms:W3CDTF">2025-05-08T15:16:00Z</dcterms:created>
  <dcterms:modified xsi:type="dcterms:W3CDTF">2025-05-12T06:52:00Z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9.1, Build 20240808</vt:lpwstr>
  </property>
  <property fmtid="{D5CDD505-2E9C-101B-9397-08002B2CF9AE}" pid="5" name="Created using">
    <vt:lpwstr>LW 9.1, Build 20240808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SJ-043</vt:lpwstr>
  </property>
  <property fmtid="{D5CDD505-2E9C-101B-9397-08002B2CF9AE}" pid="10" name="MSIP_Label_6bd9ddd1-4d20-43f6-abfa-fc3c07406f94_Enabled">
    <vt:lpwstr>true</vt:lpwstr>
  </property>
  <property fmtid="{D5CDD505-2E9C-101B-9397-08002B2CF9AE}" pid="11" name="MSIP_Label_6bd9ddd1-4d20-43f6-abfa-fc3c07406f94_SetDate">
    <vt:lpwstr>2025-04-16T14:50:23Z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269de435-25e6-40d4-b6d8-14c234a02c5a</vt:lpwstr>
  </property>
  <property fmtid="{D5CDD505-2E9C-101B-9397-08002B2CF9AE}" pid="16" name="MSIP_Label_6bd9ddd1-4d20-43f6-abfa-fc3c07406f94_ContentBits">
    <vt:lpwstr>0</vt:lpwstr>
  </property>
  <property fmtid="{D5CDD505-2E9C-101B-9397-08002B2CF9AE}" pid="17" name="ContentTypeId">
    <vt:lpwstr>0x010100C81086966748074091B44B156AB49619</vt:lpwstr>
  </property>
  <property fmtid="{D5CDD505-2E9C-101B-9397-08002B2CF9AE}" pid="18" name="DQCStatus">
    <vt:lpwstr>Green (DQC version 03)</vt:lpwstr>
  </property>
</Properties>
</file>