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DDB0" w14:textId="17AADB71" w:rsidR="009D1FEE" w:rsidRDefault="00D6173F" w:rsidP="00D6173F">
      <w:pPr>
        <w:pStyle w:val="Pagedecouverture"/>
      </w:pPr>
      <w:r>
        <w:pict w14:anchorId="1A7C1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CCCBB20-1167-4D7A-9B59-335F3CCA6C2F" style="width:455pt;height:413pt">
            <v:imagedata r:id="rId11" o:title=""/>
          </v:shape>
        </w:pict>
      </w:r>
    </w:p>
    <w:p w14:paraId="5F297F2E" w14:textId="77777777" w:rsidR="009D1FEE" w:rsidRDefault="009D1FEE" w:rsidP="009D1FEE">
      <w:pPr>
        <w:sectPr w:rsidR="009D1FEE" w:rsidSect="00D6173F">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600E42C" w14:textId="77777777" w:rsidR="009D1FEE" w:rsidRPr="00433D45" w:rsidRDefault="009D1FEE">
      <w:pPr>
        <w:pStyle w:val="Exposdesmotifstitre"/>
        <w:rPr>
          <w:lang w:val="en-IE"/>
        </w:rPr>
      </w:pPr>
      <w:r w:rsidRPr="00433D45">
        <w:rPr>
          <w:lang w:val="en-IE"/>
        </w:rPr>
        <w:lastRenderedPageBreak/>
        <w:t>EXPLANATORY MEMORANDUM</w:t>
      </w:r>
    </w:p>
    <w:p w14:paraId="7B3E4B5D" w14:textId="77777777" w:rsidR="009D1FEE" w:rsidRPr="00433D45" w:rsidRDefault="009D1FEE">
      <w:pPr>
        <w:pStyle w:val="ManualHeading1"/>
        <w:rPr>
          <w:lang w:val="en-IE"/>
        </w:rPr>
      </w:pPr>
      <w:bookmarkStart w:id="0" w:name="_Toc191189466"/>
      <w:r w:rsidRPr="00433D45">
        <w:rPr>
          <w:lang w:val="en-IE"/>
        </w:rPr>
        <w:t>1.</w:t>
      </w:r>
      <w:r w:rsidRPr="00433D45">
        <w:rPr>
          <w:lang w:val="en-IE"/>
        </w:rPr>
        <w:tab/>
        <w:t>CONTEXT OF THE PROPOSAL</w:t>
      </w:r>
      <w:bookmarkEnd w:id="0"/>
    </w:p>
    <w:p w14:paraId="1FDE37C2" w14:textId="77777777" w:rsidR="009D1FEE" w:rsidRPr="00433D45" w:rsidRDefault="009D1FEE">
      <w:pPr>
        <w:pStyle w:val="ManualHeading2"/>
        <w:rPr>
          <w:rFonts w:eastAsia="Arial Unicode MS"/>
          <w:lang w:val="en-IE"/>
        </w:rPr>
      </w:pPr>
      <w:bookmarkStart w:id="1" w:name="_Toc191189467"/>
      <w:r w:rsidRPr="00433D45">
        <w:rPr>
          <w:rFonts w:eastAsia="Arial Unicode MS"/>
          <w:color w:val="000000"/>
          <w:u w:color="000000"/>
          <w:bdr w:val="nil"/>
          <w:lang w:val="en-IE" w:eastAsia="en-GB"/>
        </w:rPr>
        <w:t>•</w:t>
      </w:r>
      <w:r w:rsidRPr="00433D45">
        <w:rPr>
          <w:rFonts w:eastAsia="Arial Unicode MS"/>
          <w:color w:val="000000"/>
          <w:u w:color="000000"/>
          <w:bdr w:val="nil"/>
          <w:lang w:val="en-IE" w:eastAsia="en-GB"/>
        </w:rPr>
        <w:tab/>
      </w:r>
      <w:r w:rsidRPr="00433D45">
        <w:rPr>
          <w:rFonts w:eastAsia="Arial Unicode MS"/>
          <w:lang w:val="en-IE"/>
        </w:rPr>
        <w:t>Reasons for and objectives of the proposal</w:t>
      </w:r>
      <w:bookmarkEnd w:id="1"/>
    </w:p>
    <w:p w14:paraId="2B0DC274" w14:textId="77777777" w:rsidR="006A052A" w:rsidRPr="00433D45" w:rsidRDefault="006A052A" w:rsidP="00DE466D">
      <w:pPr>
        <w:keepNext/>
        <w:pBdr>
          <w:top w:val="nil"/>
          <w:left w:val="nil"/>
          <w:bottom w:val="nil"/>
          <w:right w:val="nil"/>
          <w:between w:val="nil"/>
          <w:bar w:val="nil"/>
        </w:pBdr>
        <w:spacing w:before="0" w:after="240"/>
        <w:rPr>
          <w:rStyle w:val="normaltextrun"/>
          <w:b/>
          <w:u w:val="single"/>
          <w:lang w:val="en-IE"/>
        </w:rPr>
      </w:pPr>
      <w:r w:rsidRPr="00433D45">
        <w:rPr>
          <w:rStyle w:val="normaltextrun"/>
          <w:u w:val="single"/>
          <w:lang w:val="en-IE"/>
        </w:rPr>
        <w:t>General context and objectives</w:t>
      </w:r>
    </w:p>
    <w:p w14:paraId="49E99FBA" w14:textId="77777777" w:rsidR="006D492A" w:rsidRDefault="006D492A" w:rsidP="00DE466D">
      <w:pPr>
        <w:pBdr>
          <w:top w:val="nil"/>
          <w:left w:val="nil"/>
          <w:bottom w:val="nil"/>
          <w:right w:val="nil"/>
          <w:between w:val="nil"/>
          <w:bar w:val="nil"/>
        </w:pBdr>
        <w:spacing w:before="0" w:after="240"/>
        <w:rPr>
          <w:lang w:val="en-IE"/>
        </w:rPr>
      </w:pPr>
      <w:r w:rsidRPr="00433D45">
        <w:rPr>
          <w:lang w:val="en-IE"/>
        </w:rPr>
        <w:t>In his report on ‘The Future of European Competitiveness’, Mario Draghi emphasised the need for Europe to create a regulatory landscape which facilitates competitiveness and resilience, drawing attention to burden and compliance costs created by the C</w:t>
      </w:r>
      <w:r w:rsidR="002B693A">
        <w:rPr>
          <w:lang w:val="en-IE"/>
        </w:rPr>
        <w:t xml:space="preserve">orporate </w:t>
      </w:r>
      <w:r w:rsidRPr="00433D45">
        <w:rPr>
          <w:lang w:val="en-IE"/>
        </w:rPr>
        <w:t>S</w:t>
      </w:r>
      <w:r w:rsidR="002B693A">
        <w:rPr>
          <w:lang w:val="en-IE"/>
        </w:rPr>
        <w:t xml:space="preserve">ustainability </w:t>
      </w:r>
      <w:r w:rsidRPr="00433D45">
        <w:rPr>
          <w:lang w:val="en-IE"/>
        </w:rPr>
        <w:t>R</w:t>
      </w:r>
      <w:r w:rsidR="002B693A">
        <w:rPr>
          <w:lang w:val="en-IE"/>
        </w:rPr>
        <w:t xml:space="preserve">eporting </w:t>
      </w:r>
      <w:r w:rsidRPr="00433D45">
        <w:rPr>
          <w:lang w:val="en-IE"/>
        </w:rPr>
        <w:t>D</w:t>
      </w:r>
      <w:r w:rsidR="002B693A">
        <w:rPr>
          <w:lang w:val="en-IE"/>
        </w:rPr>
        <w:t>irective</w:t>
      </w:r>
      <w:r w:rsidRPr="00433D45">
        <w:rPr>
          <w:lang w:val="en-IE"/>
        </w:rPr>
        <w:t xml:space="preserve"> </w:t>
      </w:r>
      <w:r w:rsidR="00E3076E">
        <w:rPr>
          <w:lang w:val="en-IE"/>
        </w:rPr>
        <w:t xml:space="preserve">(CSRD) </w:t>
      </w:r>
      <w:r w:rsidRPr="00433D45">
        <w:rPr>
          <w:lang w:val="en-IE"/>
        </w:rPr>
        <w:t>and the C</w:t>
      </w:r>
      <w:r w:rsidR="002B693A">
        <w:rPr>
          <w:lang w:val="en-IE"/>
        </w:rPr>
        <w:t xml:space="preserve">orporate </w:t>
      </w:r>
      <w:r w:rsidRPr="00433D45">
        <w:rPr>
          <w:lang w:val="en-IE"/>
        </w:rPr>
        <w:t>S</w:t>
      </w:r>
      <w:r w:rsidR="002B693A">
        <w:rPr>
          <w:lang w:val="en-IE"/>
        </w:rPr>
        <w:t xml:space="preserve">ustainability </w:t>
      </w:r>
      <w:r w:rsidRPr="00433D45">
        <w:rPr>
          <w:lang w:val="en-IE"/>
        </w:rPr>
        <w:t>D</w:t>
      </w:r>
      <w:r w:rsidR="002B693A">
        <w:rPr>
          <w:lang w:val="en-IE"/>
        </w:rPr>
        <w:t xml:space="preserve">ue </w:t>
      </w:r>
      <w:r w:rsidRPr="00433D45">
        <w:rPr>
          <w:lang w:val="en-IE"/>
        </w:rPr>
        <w:t>D</w:t>
      </w:r>
      <w:r w:rsidR="002B693A">
        <w:rPr>
          <w:lang w:val="en-IE"/>
        </w:rPr>
        <w:t xml:space="preserve">iligence </w:t>
      </w:r>
      <w:r w:rsidRPr="00433D45">
        <w:rPr>
          <w:lang w:val="en-IE"/>
        </w:rPr>
        <w:t>D</w:t>
      </w:r>
      <w:r w:rsidR="002B693A">
        <w:rPr>
          <w:lang w:val="en-IE"/>
        </w:rPr>
        <w:t>irective</w:t>
      </w:r>
      <w:r w:rsidR="00E3076E">
        <w:rPr>
          <w:lang w:val="en-IE"/>
        </w:rPr>
        <w:t xml:space="preserve"> (CSDDD)</w:t>
      </w:r>
      <w:r w:rsidRPr="00433D45">
        <w:rPr>
          <w:lang w:val="en-IE"/>
        </w:rPr>
        <w:t>.</w:t>
      </w:r>
      <w:r w:rsidRPr="00433D45">
        <w:rPr>
          <w:rStyle w:val="FootnoteReference"/>
          <w:lang w:val="en-IE"/>
        </w:rPr>
        <w:footnoteReference w:id="2"/>
      </w:r>
      <w:r w:rsidRPr="00433D45">
        <w:rPr>
          <w:lang w:val="en-IE"/>
        </w:rPr>
        <w:t xml:space="preserve"> In the Budapest Declaration on the New European Competitiveness Deal, EU Heads of State and Government called for ‘a simplification revolution, ensuring a clear, simple and smart regulatory framework for businesses and drastically reducing administrative, regulatory and reporting burdens, in particular for SMEs’.</w:t>
      </w:r>
      <w:r w:rsidRPr="00757AE9">
        <w:rPr>
          <w:rStyle w:val="FootnoteReference"/>
        </w:rPr>
        <w:footnoteReference w:id="3"/>
      </w:r>
      <w:r w:rsidRPr="00433D45">
        <w:rPr>
          <w:lang w:val="en-IE"/>
        </w:rPr>
        <w:t xml:space="preserve"> They called on the Commission to make concrete proposals to reduce reporting requirements by at least 25 % in the first half of 2025. </w:t>
      </w:r>
    </w:p>
    <w:p w14:paraId="22A17644" w14:textId="77777777" w:rsidR="006D492A" w:rsidRPr="00757AE9" w:rsidRDefault="006D492A" w:rsidP="00DE466D">
      <w:pPr>
        <w:pBdr>
          <w:top w:val="nil"/>
          <w:left w:val="nil"/>
          <w:bottom w:val="nil"/>
          <w:right w:val="nil"/>
          <w:between w:val="nil"/>
          <w:bar w:val="nil"/>
        </w:pBdr>
        <w:spacing w:before="0" w:after="240"/>
      </w:pPr>
      <w:r w:rsidRPr="00433D45">
        <w:rPr>
          <w:lang w:val="en-IE"/>
        </w:rPr>
        <w:t xml:space="preserve">In its Communication on the Competitive </w:t>
      </w:r>
      <w:r w:rsidRPr="00433D45">
        <w:rPr>
          <w:bCs/>
          <w:iCs/>
          <w:lang w:val="en-IE"/>
        </w:rPr>
        <w:t>Compass for the EU, the Commission confirmed that it would propose a first ‘Simplification Omnibus package’ which would include far-reaching simplification in the fields of sustainable finance reporting, sustainability due diligence and taxonomy.</w:t>
      </w:r>
      <w:r w:rsidRPr="00757AE9">
        <w:rPr>
          <w:rStyle w:val="FootnoteReference"/>
        </w:rPr>
        <w:footnoteReference w:id="4"/>
      </w:r>
      <w:r w:rsidRPr="00433D45">
        <w:rPr>
          <w:bCs/>
          <w:iCs/>
          <w:sz w:val="22"/>
          <w:vertAlign w:val="superscript"/>
          <w:lang w:val="en-IE"/>
        </w:rPr>
        <w:t xml:space="preserve"> </w:t>
      </w:r>
      <w:r w:rsidRPr="00433D45">
        <w:rPr>
          <w:lang w:val="en-IE"/>
        </w:rPr>
        <w:t>In its Communication entitled ‘A simpler and faster Europe: Communication on implementation and simplification’, the Commission set out an implementation and simplification agenda that delivers fast and visible improvements for people and business on the ground, requiring more than an incremental approach and underlining the need for bold action to streamline and simplify EU, national and regional rules.</w:t>
      </w:r>
      <w:r w:rsidRPr="00433D45">
        <w:rPr>
          <w:rStyle w:val="FootnoteReference"/>
          <w:lang w:val="en-IE"/>
        </w:rPr>
        <w:footnoteReference w:id="5"/>
      </w:r>
    </w:p>
    <w:p w14:paraId="2742E46C" w14:textId="77777777" w:rsidR="004F3681" w:rsidRPr="00433D45" w:rsidRDefault="00041BE4" w:rsidP="00096C51">
      <w:pPr>
        <w:pBdr>
          <w:top w:val="nil"/>
          <w:left w:val="nil"/>
          <w:bottom w:val="nil"/>
          <w:right w:val="nil"/>
          <w:between w:val="nil"/>
          <w:bar w:val="nil"/>
        </w:pBdr>
        <w:spacing w:before="0" w:after="240"/>
        <w:rPr>
          <w:rStyle w:val="eop"/>
          <w:shd w:val="clear" w:color="auto" w:fill="FFFFFF"/>
          <w:lang w:val="en-IE"/>
        </w:rPr>
      </w:pPr>
      <w:r w:rsidRPr="00433D45">
        <w:rPr>
          <w:rStyle w:val="normaltextrun"/>
          <w:lang w:val="en-IE"/>
        </w:rPr>
        <w:t xml:space="preserve">The CSRD </w:t>
      </w:r>
      <w:r w:rsidR="00A5697C" w:rsidRPr="00433D45">
        <w:rPr>
          <w:rStyle w:val="normaltextrun"/>
          <w:lang w:val="en-IE"/>
        </w:rPr>
        <w:t>entered into force</w:t>
      </w:r>
      <w:r w:rsidRPr="00433D45">
        <w:rPr>
          <w:rStyle w:val="normaltextrun"/>
          <w:lang w:val="en-IE"/>
        </w:rPr>
        <w:t xml:space="preserve"> on </w:t>
      </w:r>
      <w:r w:rsidR="00A5697C" w:rsidRPr="00433D45">
        <w:rPr>
          <w:rStyle w:val="normaltextrun"/>
          <w:lang w:val="en-IE"/>
        </w:rPr>
        <w:t>5 January</w:t>
      </w:r>
      <w:r w:rsidRPr="00433D45">
        <w:rPr>
          <w:rStyle w:val="normaltextrun"/>
          <w:lang w:val="en-IE"/>
        </w:rPr>
        <w:t xml:space="preserve"> 202</w:t>
      </w:r>
      <w:r w:rsidR="00A5697C" w:rsidRPr="00433D45">
        <w:rPr>
          <w:rStyle w:val="normaltextrun"/>
          <w:lang w:val="en-IE"/>
        </w:rPr>
        <w:t>3</w:t>
      </w:r>
      <w:r w:rsidRPr="00433D45">
        <w:rPr>
          <w:rStyle w:val="normaltextrun"/>
          <w:lang w:val="en-IE"/>
        </w:rPr>
        <w:t>.</w:t>
      </w:r>
      <w:r w:rsidR="00341E86" w:rsidRPr="00433D45">
        <w:rPr>
          <w:rStyle w:val="FootnoteReference"/>
          <w:lang w:val="en-IE"/>
        </w:rPr>
        <w:footnoteReference w:id="6"/>
      </w:r>
      <w:r w:rsidRPr="00433D45">
        <w:rPr>
          <w:rStyle w:val="normaltextrun"/>
          <w:lang w:val="en-IE"/>
        </w:rPr>
        <w:t xml:space="preserve"> It strengthened and modernised corporate sustainability reporting requirements through modifications to the Accounting Directive, the Transparency Directive, the Audit Directive and the Audit Regulation.</w:t>
      </w:r>
      <w:r w:rsidR="00841383" w:rsidRPr="00433D45">
        <w:rPr>
          <w:rStyle w:val="FootnoteReference"/>
          <w:lang w:val="en-IE"/>
        </w:rPr>
        <w:footnoteReference w:id="7"/>
      </w:r>
      <w:r w:rsidRPr="00433D45">
        <w:rPr>
          <w:rStyle w:val="normaltextrun"/>
          <w:lang w:val="en-IE"/>
        </w:rPr>
        <w:t xml:space="preserve"> </w:t>
      </w:r>
      <w:r w:rsidR="00BC60B4" w:rsidRPr="00433D45">
        <w:rPr>
          <w:rStyle w:val="eop"/>
          <w:shd w:val="clear" w:color="auto" w:fill="FFFFFF"/>
          <w:lang w:val="en-IE"/>
        </w:rPr>
        <w:t xml:space="preserve">The </w:t>
      </w:r>
      <w:r w:rsidR="00943EC2" w:rsidRPr="00433D45">
        <w:rPr>
          <w:rStyle w:val="eop"/>
          <w:shd w:val="clear" w:color="auto" w:fill="FFFFFF"/>
          <w:lang w:val="en-IE"/>
        </w:rPr>
        <w:t xml:space="preserve">CSRD </w:t>
      </w:r>
      <w:r w:rsidR="009155BC" w:rsidRPr="00433D45">
        <w:rPr>
          <w:rStyle w:val="eop"/>
          <w:shd w:val="clear" w:color="auto" w:fill="FFFFFF"/>
          <w:lang w:val="en-IE"/>
        </w:rPr>
        <w:t xml:space="preserve">is an important element of the European Green Deal and of </w:t>
      </w:r>
      <w:r w:rsidR="006F7C4C" w:rsidRPr="00433D45">
        <w:rPr>
          <w:rStyle w:val="eop"/>
          <w:shd w:val="clear" w:color="auto" w:fill="FFFFFF"/>
          <w:lang w:val="en-IE"/>
        </w:rPr>
        <w:t>the Sustainable Finance Action Plan.</w:t>
      </w:r>
      <w:r w:rsidR="00FA0B16" w:rsidRPr="00433D45">
        <w:rPr>
          <w:rStyle w:val="FootnoteReference"/>
          <w:lang w:val="en-IE"/>
        </w:rPr>
        <w:footnoteReference w:id="8"/>
      </w:r>
      <w:r w:rsidR="009E6BEF" w:rsidRPr="00433D45">
        <w:rPr>
          <w:rStyle w:val="eop"/>
          <w:shd w:val="clear" w:color="auto" w:fill="FFFFFF"/>
          <w:lang w:val="en-IE"/>
        </w:rPr>
        <w:t xml:space="preserve"> </w:t>
      </w:r>
      <w:r w:rsidR="00C845D5" w:rsidRPr="00433D45">
        <w:rPr>
          <w:rStyle w:val="eop"/>
          <w:shd w:val="clear" w:color="auto" w:fill="FFFFFF"/>
          <w:lang w:val="en-IE"/>
        </w:rPr>
        <w:t xml:space="preserve">It </w:t>
      </w:r>
      <w:r w:rsidR="008F667F" w:rsidRPr="00433D45">
        <w:rPr>
          <w:rStyle w:val="eop"/>
          <w:shd w:val="clear" w:color="auto" w:fill="FFFFFF"/>
          <w:lang w:val="en-IE"/>
        </w:rPr>
        <w:t>aims to ensure that investors have</w:t>
      </w:r>
      <w:r w:rsidR="00F0250B" w:rsidRPr="00433D45">
        <w:rPr>
          <w:rStyle w:val="eop"/>
          <w:shd w:val="clear" w:color="auto" w:fill="FFFFFF"/>
          <w:lang w:val="en-IE"/>
        </w:rPr>
        <w:t xml:space="preserve"> the information</w:t>
      </w:r>
      <w:r w:rsidR="008F667F" w:rsidRPr="00433D45">
        <w:rPr>
          <w:rStyle w:val="eop"/>
          <w:shd w:val="clear" w:color="auto" w:fill="FFFFFF"/>
          <w:lang w:val="en-IE"/>
        </w:rPr>
        <w:t xml:space="preserve"> the</w:t>
      </w:r>
      <w:r w:rsidR="00101B1A" w:rsidRPr="00433D45">
        <w:rPr>
          <w:rStyle w:val="eop"/>
          <w:shd w:val="clear" w:color="auto" w:fill="FFFFFF"/>
          <w:lang w:val="en-IE"/>
        </w:rPr>
        <w:t xml:space="preserve">y need to </w:t>
      </w:r>
      <w:r w:rsidR="00074C2F" w:rsidRPr="00433D45">
        <w:rPr>
          <w:rStyle w:val="eop"/>
          <w:shd w:val="clear" w:color="auto" w:fill="FFFFFF"/>
          <w:lang w:val="en-IE"/>
        </w:rPr>
        <w:t>understand and manage the risk</w:t>
      </w:r>
      <w:r w:rsidR="00F0250B" w:rsidRPr="00433D45">
        <w:rPr>
          <w:rStyle w:val="eop"/>
          <w:shd w:val="clear" w:color="auto" w:fill="FFFFFF"/>
          <w:lang w:val="en-IE"/>
        </w:rPr>
        <w:t xml:space="preserve">s </w:t>
      </w:r>
      <w:r w:rsidR="00074C2F" w:rsidRPr="00433D45">
        <w:rPr>
          <w:rStyle w:val="eop"/>
          <w:shd w:val="clear" w:color="auto" w:fill="FFFFFF"/>
          <w:lang w:val="en-IE"/>
        </w:rPr>
        <w:t xml:space="preserve">to which </w:t>
      </w:r>
      <w:r w:rsidR="0076282E" w:rsidRPr="00433D45">
        <w:rPr>
          <w:rStyle w:val="eop"/>
          <w:shd w:val="clear" w:color="auto" w:fill="FFFFFF"/>
          <w:lang w:val="en-IE"/>
        </w:rPr>
        <w:t>investee companies</w:t>
      </w:r>
      <w:r w:rsidR="00F0250B" w:rsidRPr="00433D45">
        <w:rPr>
          <w:rStyle w:val="eop"/>
          <w:shd w:val="clear" w:color="auto" w:fill="FFFFFF"/>
          <w:lang w:val="en-IE"/>
        </w:rPr>
        <w:t xml:space="preserve"> are exposed </w:t>
      </w:r>
      <w:r w:rsidR="009A2A67" w:rsidRPr="00433D45">
        <w:rPr>
          <w:rStyle w:val="eop"/>
          <w:shd w:val="clear" w:color="auto" w:fill="FFFFFF"/>
          <w:lang w:val="en-IE"/>
        </w:rPr>
        <w:t xml:space="preserve">from climate change and other </w:t>
      </w:r>
      <w:r w:rsidR="00471FDA" w:rsidRPr="00433D45">
        <w:rPr>
          <w:rStyle w:val="eop"/>
          <w:shd w:val="clear" w:color="auto" w:fill="FFFFFF"/>
          <w:lang w:val="en-IE"/>
        </w:rPr>
        <w:t xml:space="preserve">sustainability </w:t>
      </w:r>
      <w:r w:rsidR="008E64EF" w:rsidRPr="00433D45">
        <w:rPr>
          <w:rStyle w:val="eop"/>
          <w:shd w:val="clear" w:color="auto" w:fill="FFFFFF"/>
          <w:lang w:val="en-IE"/>
        </w:rPr>
        <w:t>issues</w:t>
      </w:r>
      <w:r w:rsidR="00921AAA" w:rsidRPr="00433D45">
        <w:rPr>
          <w:rStyle w:val="eop"/>
          <w:shd w:val="clear" w:color="auto" w:fill="FFFFFF"/>
          <w:lang w:val="en-IE"/>
        </w:rPr>
        <w:t xml:space="preserve">. </w:t>
      </w:r>
      <w:r w:rsidR="00FD499F" w:rsidRPr="00433D45">
        <w:rPr>
          <w:rStyle w:val="eop"/>
          <w:shd w:val="clear" w:color="auto" w:fill="FFFFFF"/>
          <w:lang w:val="en-IE"/>
        </w:rPr>
        <w:t xml:space="preserve">It </w:t>
      </w:r>
      <w:r w:rsidR="00893E92" w:rsidRPr="00433D45">
        <w:rPr>
          <w:rStyle w:val="eop"/>
          <w:shd w:val="clear" w:color="auto" w:fill="FFFFFF"/>
          <w:lang w:val="en-IE"/>
        </w:rPr>
        <w:t xml:space="preserve">also </w:t>
      </w:r>
      <w:r w:rsidR="00FD499F" w:rsidRPr="00433D45">
        <w:rPr>
          <w:rStyle w:val="eop"/>
          <w:shd w:val="clear" w:color="auto" w:fill="FFFFFF"/>
          <w:lang w:val="en-IE"/>
        </w:rPr>
        <w:t xml:space="preserve">aims to ensure that investors </w:t>
      </w:r>
      <w:r w:rsidR="00BE2A47" w:rsidRPr="00433D45">
        <w:rPr>
          <w:rStyle w:val="eop"/>
          <w:shd w:val="clear" w:color="auto" w:fill="FFFFFF"/>
          <w:lang w:val="en-IE"/>
        </w:rPr>
        <w:t xml:space="preserve">and other stakeholders </w:t>
      </w:r>
      <w:r w:rsidR="00EA6BB9" w:rsidRPr="00433D45">
        <w:rPr>
          <w:rStyle w:val="eop"/>
          <w:shd w:val="clear" w:color="auto" w:fill="FFFFFF"/>
          <w:lang w:val="en-IE"/>
        </w:rPr>
        <w:t xml:space="preserve">have the information they </w:t>
      </w:r>
      <w:r w:rsidR="00EA6BB9" w:rsidRPr="00433D45">
        <w:rPr>
          <w:rStyle w:val="eop"/>
          <w:shd w:val="clear" w:color="auto" w:fill="FFFFFF"/>
          <w:lang w:val="en-IE"/>
        </w:rPr>
        <w:lastRenderedPageBreak/>
        <w:t xml:space="preserve">need about the impacts of </w:t>
      </w:r>
      <w:r w:rsidR="0009747D" w:rsidRPr="00433D45">
        <w:rPr>
          <w:rStyle w:val="eop"/>
          <w:shd w:val="clear" w:color="auto" w:fill="FFFFFF"/>
          <w:lang w:val="en-IE"/>
        </w:rPr>
        <w:t xml:space="preserve">companies on </w:t>
      </w:r>
      <w:r w:rsidR="007E177B" w:rsidRPr="00433D45">
        <w:rPr>
          <w:rStyle w:val="eop"/>
          <w:shd w:val="clear" w:color="auto" w:fill="FFFFFF"/>
          <w:lang w:val="en-IE"/>
        </w:rPr>
        <w:t>people and the environment</w:t>
      </w:r>
      <w:r w:rsidR="001D6467" w:rsidRPr="00433D45">
        <w:rPr>
          <w:rStyle w:val="eop"/>
          <w:shd w:val="clear" w:color="auto" w:fill="FFFFFF"/>
          <w:lang w:val="en-IE"/>
        </w:rPr>
        <w:t xml:space="preserve">. </w:t>
      </w:r>
      <w:r w:rsidR="00AA3D45">
        <w:rPr>
          <w:rStyle w:val="eop"/>
          <w:shd w:val="clear" w:color="auto" w:fill="FFFFFF"/>
          <w:lang w:val="en-IE"/>
        </w:rPr>
        <w:t xml:space="preserve">It </w:t>
      </w:r>
      <w:r w:rsidR="00AA3D45" w:rsidRPr="00AA3D45">
        <w:rPr>
          <w:rStyle w:val="eop"/>
          <w:shd w:val="clear" w:color="auto" w:fill="FFFFFF"/>
          <w:lang w:val="en-IE"/>
        </w:rPr>
        <w:t>thereby contribut</w:t>
      </w:r>
      <w:r w:rsidR="00AA3D45">
        <w:rPr>
          <w:rStyle w:val="eop"/>
          <w:shd w:val="clear" w:color="auto" w:fill="FFFFFF"/>
          <w:lang w:val="en-IE"/>
        </w:rPr>
        <w:t>es</w:t>
      </w:r>
      <w:r w:rsidR="00AA3D45" w:rsidRPr="00AA3D45">
        <w:rPr>
          <w:rStyle w:val="eop"/>
          <w:shd w:val="clear" w:color="auto" w:fill="FFFFFF"/>
          <w:lang w:val="en-IE"/>
        </w:rPr>
        <w:t xml:space="preserve"> to financial stability and </w:t>
      </w:r>
      <w:r w:rsidR="009D0CE3">
        <w:rPr>
          <w:rStyle w:val="eop"/>
          <w:shd w:val="clear" w:color="auto" w:fill="FFFFFF"/>
          <w:lang w:val="en-IE"/>
        </w:rPr>
        <w:t>environmental integrity.</w:t>
      </w:r>
      <w:r w:rsidR="00AA3D45" w:rsidRPr="00AA3D45">
        <w:rPr>
          <w:rStyle w:val="eop"/>
          <w:shd w:val="clear" w:color="auto" w:fill="FFFFFF"/>
          <w:lang w:val="en-IE"/>
        </w:rPr>
        <w:t xml:space="preserve"> </w:t>
      </w:r>
      <w:r w:rsidR="001D6467" w:rsidRPr="00433D45">
        <w:rPr>
          <w:rStyle w:val="eop"/>
          <w:shd w:val="clear" w:color="auto" w:fill="FFFFFF"/>
          <w:lang w:val="en-IE"/>
        </w:rPr>
        <w:t xml:space="preserve">This </w:t>
      </w:r>
      <w:r w:rsidR="003A392C" w:rsidRPr="00433D45">
        <w:rPr>
          <w:rStyle w:val="eop"/>
          <w:shd w:val="clear" w:color="auto" w:fill="FFFFFF"/>
          <w:lang w:val="en-IE"/>
        </w:rPr>
        <w:t xml:space="preserve">is a necessary condition for </w:t>
      </w:r>
      <w:r w:rsidR="00713D8B" w:rsidRPr="00433D45">
        <w:rPr>
          <w:rStyle w:val="eop"/>
          <w:shd w:val="clear" w:color="auto" w:fill="FFFFFF"/>
          <w:lang w:val="en-IE"/>
        </w:rPr>
        <w:t>financial</w:t>
      </w:r>
      <w:r w:rsidR="001017FE" w:rsidRPr="00433D45">
        <w:rPr>
          <w:rStyle w:val="eop"/>
          <w:shd w:val="clear" w:color="auto" w:fill="FFFFFF"/>
          <w:lang w:val="en-IE"/>
        </w:rPr>
        <w:t xml:space="preserve"> </w:t>
      </w:r>
      <w:r w:rsidR="001B3EF8" w:rsidRPr="00433D45">
        <w:rPr>
          <w:rStyle w:val="eop"/>
          <w:shd w:val="clear" w:color="auto" w:fill="FFFFFF"/>
          <w:lang w:val="en-IE"/>
        </w:rPr>
        <w:t xml:space="preserve">resources </w:t>
      </w:r>
      <w:r w:rsidR="003A392C" w:rsidRPr="00433D45">
        <w:rPr>
          <w:rStyle w:val="eop"/>
          <w:shd w:val="clear" w:color="auto" w:fill="FFFFFF"/>
          <w:lang w:val="en-IE"/>
        </w:rPr>
        <w:t>to</w:t>
      </w:r>
      <w:r w:rsidR="00713D8B" w:rsidRPr="00433D45">
        <w:rPr>
          <w:rStyle w:val="eop"/>
          <w:shd w:val="clear" w:color="auto" w:fill="FFFFFF"/>
          <w:lang w:val="en-IE"/>
        </w:rPr>
        <w:t xml:space="preserve"> flow to </w:t>
      </w:r>
      <w:r w:rsidR="00A643AD" w:rsidRPr="00433D45">
        <w:rPr>
          <w:rStyle w:val="eop"/>
          <w:shd w:val="clear" w:color="auto" w:fill="FFFFFF"/>
          <w:lang w:val="en-IE"/>
        </w:rPr>
        <w:t xml:space="preserve">companies </w:t>
      </w:r>
      <w:r w:rsidR="004636ED" w:rsidRPr="00433D45">
        <w:rPr>
          <w:rStyle w:val="eop"/>
          <w:shd w:val="clear" w:color="auto" w:fill="FFFFFF"/>
          <w:lang w:val="en-IE"/>
        </w:rPr>
        <w:t xml:space="preserve">that </w:t>
      </w:r>
      <w:r w:rsidR="00856362" w:rsidRPr="00433D45">
        <w:rPr>
          <w:rStyle w:val="eop"/>
          <w:shd w:val="clear" w:color="auto" w:fill="FFFFFF"/>
          <w:lang w:val="en-IE"/>
        </w:rPr>
        <w:t>pursue</w:t>
      </w:r>
      <w:r w:rsidR="001D6467" w:rsidRPr="00433D45">
        <w:rPr>
          <w:rStyle w:val="eop"/>
          <w:shd w:val="clear" w:color="auto" w:fill="FFFFFF"/>
          <w:lang w:val="en-IE"/>
        </w:rPr>
        <w:t xml:space="preserve"> </w:t>
      </w:r>
      <w:r w:rsidR="003A392C" w:rsidRPr="00433D45">
        <w:rPr>
          <w:rStyle w:val="eop"/>
          <w:shd w:val="clear" w:color="auto" w:fill="FFFFFF"/>
          <w:lang w:val="en-IE"/>
        </w:rPr>
        <w:t>sustainability</w:t>
      </w:r>
      <w:r w:rsidR="001D6467" w:rsidRPr="00433D45">
        <w:rPr>
          <w:rStyle w:val="eop"/>
          <w:shd w:val="clear" w:color="auto" w:fill="FFFFFF"/>
          <w:lang w:val="en-IE"/>
        </w:rPr>
        <w:t xml:space="preserve"> </w:t>
      </w:r>
      <w:r w:rsidR="00856362" w:rsidRPr="00433D45">
        <w:rPr>
          <w:rStyle w:val="eop"/>
          <w:shd w:val="clear" w:color="auto" w:fill="FFFFFF"/>
          <w:lang w:val="en-IE"/>
        </w:rPr>
        <w:t>goals</w:t>
      </w:r>
      <w:r w:rsidR="00674479" w:rsidRPr="00433D45">
        <w:rPr>
          <w:rStyle w:val="eop"/>
          <w:shd w:val="clear" w:color="auto" w:fill="FFFFFF"/>
          <w:lang w:val="en-IE"/>
        </w:rPr>
        <w:t xml:space="preserve"> </w:t>
      </w:r>
      <w:r w:rsidR="003A392C" w:rsidRPr="00433D45">
        <w:rPr>
          <w:rStyle w:val="eop"/>
          <w:shd w:val="clear" w:color="auto" w:fill="FFFFFF"/>
          <w:lang w:val="en-IE"/>
        </w:rPr>
        <w:t xml:space="preserve">and </w:t>
      </w:r>
      <w:r w:rsidR="00740004" w:rsidRPr="00433D45">
        <w:rPr>
          <w:rStyle w:val="eop"/>
          <w:shd w:val="clear" w:color="auto" w:fill="FFFFFF"/>
          <w:lang w:val="en-IE"/>
        </w:rPr>
        <w:t>creates more accountability and transparency towards all stakeholders regarding companies’ sustainability performance.</w:t>
      </w:r>
      <w:r w:rsidR="004F3681" w:rsidRPr="00433D45">
        <w:rPr>
          <w:rStyle w:val="eop"/>
          <w:shd w:val="clear" w:color="auto" w:fill="FFFFFF"/>
          <w:lang w:val="en-IE"/>
        </w:rPr>
        <w:t xml:space="preserve"> </w:t>
      </w:r>
    </w:p>
    <w:p w14:paraId="4C41D548" w14:textId="77777777" w:rsidR="00F67237" w:rsidRPr="00DE466D" w:rsidRDefault="00446183" w:rsidP="00096C51">
      <w:pPr>
        <w:pBdr>
          <w:top w:val="nil"/>
          <w:left w:val="nil"/>
          <w:bottom w:val="nil"/>
          <w:right w:val="nil"/>
          <w:between w:val="nil"/>
          <w:bar w:val="nil"/>
        </w:pBdr>
        <w:spacing w:before="0" w:after="240"/>
        <w:rPr>
          <w:rFonts w:eastAsia="Arial Unicode MS"/>
          <w:lang w:val="en-IE"/>
        </w:rPr>
      </w:pPr>
      <w:r w:rsidRPr="00757AE9">
        <w:t xml:space="preserve">The CSDDD </w:t>
      </w:r>
      <w:r w:rsidR="00492581" w:rsidRPr="00757AE9">
        <w:t>entered into force on 25 July</w:t>
      </w:r>
      <w:r w:rsidR="0002708B" w:rsidRPr="00757AE9">
        <w:t xml:space="preserve"> </w:t>
      </w:r>
      <w:r w:rsidR="5E77C45C" w:rsidRPr="00757AE9">
        <w:t>202</w:t>
      </w:r>
      <w:r w:rsidR="00B069AA" w:rsidRPr="00757AE9">
        <w:t>4</w:t>
      </w:r>
      <w:r w:rsidR="00F6679C" w:rsidRPr="00433D45">
        <w:rPr>
          <w:rStyle w:val="FootnoteReference"/>
          <w:rFonts w:eastAsia="Arial Unicode MS"/>
          <w:lang w:val="en-IE"/>
        </w:rPr>
        <w:footnoteReference w:id="9"/>
      </w:r>
      <w:r w:rsidR="5E77C45C" w:rsidRPr="00757AE9">
        <w:t>.</w:t>
      </w:r>
      <w:r w:rsidR="0002708B" w:rsidRPr="00757AE9">
        <w:t xml:space="preserve"> </w:t>
      </w:r>
      <w:r w:rsidR="00C0178B" w:rsidRPr="00433D45">
        <w:rPr>
          <w:lang w:val="en-IE"/>
        </w:rPr>
        <w:t>It aims to ensure that</w:t>
      </w:r>
      <w:r w:rsidR="00F67237" w:rsidRPr="00433D45">
        <w:rPr>
          <w:lang w:val="en-IE"/>
        </w:rPr>
        <w:t xml:space="preserve"> companies </w:t>
      </w:r>
      <w:r w:rsidR="00C0178B" w:rsidRPr="00433D45">
        <w:rPr>
          <w:lang w:val="en-IE"/>
        </w:rPr>
        <w:t xml:space="preserve">operating in the EU single market contribute to attaining </w:t>
      </w:r>
      <w:r w:rsidR="00A35A7C" w:rsidRPr="00A35A7C">
        <w:rPr>
          <w:lang w:val="en-IE"/>
        </w:rPr>
        <w:t>the European Union’s broader ambition to transition towards a sustainable and climate-neutral economy</w:t>
      </w:r>
      <w:r w:rsidR="00A35A7C">
        <w:rPr>
          <w:lang w:val="en-IE"/>
        </w:rPr>
        <w:t xml:space="preserve"> </w:t>
      </w:r>
      <w:r w:rsidR="00C0178B" w:rsidRPr="00433D45">
        <w:rPr>
          <w:lang w:val="en-IE"/>
        </w:rPr>
        <w:t xml:space="preserve">putting in place adequate governance and management systems and taking appropriate measures </w:t>
      </w:r>
      <w:r w:rsidR="00F67237" w:rsidRPr="00433D45">
        <w:rPr>
          <w:lang w:val="en-IE"/>
        </w:rPr>
        <w:t xml:space="preserve">to identify and address adverse human rights and environmental impacts in their own operations, </w:t>
      </w:r>
      <w:r w:rsidR="00C0178B" w:rsidRPr="00433D45">
        <w:rPr>
          <w:lang w:val="en-IE"/>
        </w:rPr>
        <w:t xml:space="preserve">as well as in the operations </w:t>
      </w:r>
      <w:r w:rsidR="00F67237" w:rsidRPr="00433D45">
        <w:rPr>
          <w:lang w:val="en-IE"/>
        </w:rPr>
        <w:t xml:space="preserve">of their subsidiaries and their </w:t>
      </w:r>
      <w:r w:rsidR="00E010C0" w:rsidRPr="00433D45">
        <w:rPr>
          <w:lang w:val="en-IE"/>
        </w:rPr>
        <w:t xml:space="preserve">global </w:t>
      </w:r>
      <w:r w:rsidR="00C0178B" w:rsidRPr="00433D45">
        <w:rPr>
          <w:lang w:val="en-IE"/>
        </w:rPr>
        <w:t xml:space="preserve">value </w:t>
      </w:r>
      <w:r w:rsidR="00F67237" w:rsidRPr="00433D45">
        <w:rPr>
          <w:lang w:val="en-IE"/>
        </w:rPr>
        <w:t>chains</w:t>
      </w:r>
      <w:r w:rsidR="2C2003D0" w:rsidRPr="00433D45">
        <w:rPr>
          <w:lang w:val="en-IE"/>
        </w:rPr>
        <w:t>.</w:t>
      </w:r>
      <w:r w:rsidR="00F67237" w:rsidRPr="00433D45">
        <w:rPr>
          <w:lang w:val="en-IE"/>
        </w:rPr>
        <w:t xml:space="preserve"> In addition, it </w:t>
      </w:r>
      <w:r w:rsidR="00C0178B" w:rsidRPr="00433D45">
        <w:rPr>
          <w:lang w:val="en-IE"/>
        </w:rPr>
        <w:t xml:space="preserve">aims to ensure that companies </w:t>
      </w:r>
      <w:r w:rsidR="00F67237" w:rsidRPr="00433D45">
        <w:rPr>
          <w:lang w:val="en-IE"/>
        </w:rPr>
        <w:t xml:space="preserve">adopt and </w:t>
      </w:r>
      <w:r w:rsidR="00932E04" w:rsidRPr="00433D45">
        <w:rPr>
          <w:lang w:val="en-IE"/>
        </w:rPr>
        <w:t xml:space="preserve">put into effect </w:t>
      </w:r>
      <w:r w:rsidR="00F67237" w:rsidRPr="00433D45">
        <w:rPr>
          <w:lang w:val="en-IE"/>
        </w:rPr>
        <w:t xml:space="preserve">a transition plan for climate change mitigation. </w:t>
      </w:r>
    </w:p>
    <w:p w14:paraId="14A00107" w14:textId="77777777" w:rsidR="003067A7" w:rsidRPr="00757AE9" w:rsidRDefault="00B14210" w:rsidP="00096C51">
      <w:pPr>
        <w:pBdr>
          <w:top w:val="nil"/>
          <w:left w:val="nil"/>
          <w:bottom w:val="nil"/>
          <w:right w:val="nil"/>
          <w:between w:val="nil"/>
          <w:bar w:val="nil"/>
        </w:pBdr>
        <w:spacing w:before="0" w:after="240"/>
      </w:pPr>
      <w:r w:rsidRPr="00757AE9">
        <w:t>T</w:t>
      </w:r>
      <w:r w:rsidR="003067A7" w:rsidRPr="00757AE9">
        <w:t xml:space="preserve">he CSRD and the CSDDD </w:t>
      </w:r>
      <w:r w:rsidR="00C124DA" w:rsidRPr="00757AE9">
        <w:t xml:space="preserve">are </w:t>
      </w:r>
      <w:r w:rsidR="0005622E" w:rsidRPr="00757AE9">
        <w:t xml:space="preserve">now </w:t>
      </w:r>
      <w:r w:rsidR="006E6DEF" w:rsidRPr="00757AE9">
        <w:t xml:space="preserve">being implemented in a </w:t>
      </w:r>
      <w:r w:rsidR="00D7670A" w:rsidRPr="00757AE9">
        <w:t xml:space="preserve">new and difficult context. </w:t>
      </w:r>
      <w:r w:rsidR="00910921" w:rsidRPr="00757AE9">
        <w:t xml:space="preserve">Russia’s </w:t>
      </w:r>
      <w:r w:rsidR="4547C3ED" w:rsidRPr="00757AE9">
        <w:t>war of aggression against</w:t>
      </w:r>
      <w:r w:rsidR="00910921" w:rsidRPr="00757AE9">
        <w:t xml:space="preserve"> Ukraine has </w:t>
      </w:r>
      <w:r w:rsidR="0054029D" w:rsidRPr="00757AE9">
        <w:t xml:space="preserve">driven up energy prices for EU undertakings. </w:t>
      </w:r>
      <w:r w:rsidR="00637628" w:rsidRPr="00757AE9">
        <w:t>Trade tensions are rising as the geopolitical landscape continues to shift.</w:t>
      </w:r>
      <w:r w:rsidR="00091DF8" w:rsidRPr="00757AE9">
        <w:t xml:space="preserve"> </w:t>
      </w:r>
      <w:r w:rsidR="000E0AAD" w:rsidRPr="00757AE9">
        <w:t xml:space="preserve">The </w:t>
      </w:r>
      <w:r w:rsidR="00856362" w:rsidRPr="00757AE9">
        <w:t>different approach undertaken by</w:t>
      </w:r>
      <w:r w:rsidR="000E0AAD" w:rsidRPr="00757AE9">
        <w:t xml:space="preserve"> </w:t>
      </w:r>
      <w:r w:rsidR="0017648E" w:rsidRPr="00757AE9">
        <w:t xml:space="preserve">some </w:t>
      </w:r>
      <w:r w:rsidR="0076408F" w:rsidRPr="00757AE9">
        <w:t>o</w:t>
      </w:r>
      <w:r w:rsidR="00236835" w:rsidRPr="00757AE9">
        <w:t xml:space="preserve">ther major jurisdictions </w:t>
      </w:r>
      <w:r w:rsidR="0076408F" w:rsidRPr="00757AE9">
        <w:t xml:space="preserve">regarding the </w:t>
      </w:r>
      <w:r w:rsidR="0017648E" w:rsidRPr="00757AE9">
        <w:t xml:space="preserve">regulation of </w:t>
      </w:r>
      <w:r w:rsidR="00E82E78" w:rsidRPr="00757AE9">
        <w:t>corporate sustainability reporting and due diligence</w:t>
      </w:r>
      <w:r w:rsidR="00FE0C39" w:rsidRPr="00757AE9">
        <w:t xml:space="preserve"> raises </w:t>
      </w:r>
      <w:r w:rsidR="00C0364C" w:rsidRPr="00757AE9">
        <w:t xml:space="preserve">questions about the </w:t>
      </w:r>
      <w:r w:rsidR="00F00752" w:rsidRPr="00757AE9">
        <w:t>effects of these laws on the competitive</w:t>
      </w:r>
      <w:r w:rsidR="00846FC4" w:rsidRPr="00757AE9">
        <w:t xml:space="preserve"> positioning of EU companies. </w:t>
      </w:r>
      <w:r w:rsidR="00BF1A8A" w:rsidRPr="00757AE9">
        <w:t xml:space="preserve">The ability </w:t>
      </w:r>
      <w:r w:rsidR="00B566D3" w:rsidRPr="00757AE9">
        <w:t>o</w:t>
      </w:r>
      <w:r w:rsidR="00BF1A8A" w:rsidRPr="00757AE9">
        <w:t xml:space="preserve">f the </w:t>
      </w:r>
      <w:r w:rsidR="002D5B13" w:rsidRPr="00757AE9">
        <w:t xml:space="preserve">Union to </w:t>
      </w:r>
      <w:r w:rsidR="00BF1A8A" w:rsidRPr="00757AE9">
        <w:t xml:space="preserve">preserve and protect </w:t>
      </w:r>
      <w:r w:rsidR="002D5B13" w:rsidRPr="00757AE9">
        <w:t>its</w:t>
      </w:r>
      <w:r w:rsidR="00BF1A8A" w:rsidRPr="00757AE9">
        <w:t xml:space="preserve"> values depends </w:t>
      </w:r>
      <w:r w:rsidR="002D5B13" w:rsidRPr="00757AE9">
        <w:t xml:space="preserve">amongst other things on </w:t>
      </w:r>
      <w:r w:rsidR="0014691D" w:rsidRPr="00757AE9">
        <w:t>the</w:t>
      </w:r>
      <w:r w:rsidR="00BF1A8A" w:rsidRPr="00757AE9">
        <w:t xml:space="preserve"> capacity</w:t>
      </w:r>
      <w:r w:rsidR="0014691D" w:rsidRPr="00757AE9">
        <w:t xml:space="preserve"> of its economy</w:t>
      </w:r>
      <w:r w:rsidR="00BF1A8A" w:rsidRPr="00757AE9">
        <w:t xml:space="preserve"> to adapt and compete in </w:t>
      </w:r>
      <w:r w:rsidR="008D076D" w:rsidRPr="00757AE9">
        <w:t>an unstable</w:t>
      </w:r>
      <w:r w:rsidR="00BF1A8A" w:rsidRPr="00757AE9">
        <w:t xml:space="preserve"> and sometimes hostile </w:t>
      </w:r>
      <w:r w:rsidR="007C45BD" w:rsidRPr="00757AE9">
        <w:t>geopolitical con</w:t>
      </w:r>
      <w:r w:rsidR="0035503E" w:rsidRPr="00757AE9">
        <w:t>text</w:t>
      </w:r>
      <w:r w:rsidR="00BF1A8A" w:rsidRPr="00757AE9">
        <w:t>.</w:t>
      </w:r>
    </w:p>
    <w:p w14:paraId="59542329" w14:textId="77777777" w:rsidR="00501623" w:rsidRPr="00757AE9" w:rsidRDefault="00A80EE0" w:rsidP="5F3086A4">
      <w:pPr>
        <w:pBdr>
          <w:top w:val="nil"/>
          <w:left w:val="nil"/>
          <w:bottom w:val="nil"/>
          <w:right w:val="nil"/>
          <w:between w:val="nil"/>
          <w:bar w:val="nil"/>
        </w:pBdr>
        <w:spacing w:before="0" w:after="240"/>
      </w:pPr>
      <w:r w:rsidRPr="00C11055">
        <w:t xml:space="preserve">This proposal therefore </w:t>
      </w:r>
      <w:r w:rsidR="00783A1F" w:rsidRPr="00C11055">
        <w:t xml:space="preserve">contains provisions </w:t>
      </w:r>
      <w:r w:rsidR="0057048E" w:rsidRPr="00C11055">
        <w:t xml:space="preserve">to </w:t>
      </w:r>
      <w:r w:rsidR="0057048E" w:rsidRPr="00433D45">
        <w:rPr>
          <w:lang w:val="en-IE"/>
        </w:rPr>
        <w:t xml:space="preserve">simplify and streamline the regulatory framework with a view </w:t>
      </w:r>
      <w:r w:rsidR="00783A1F" w:rsidRPr="00757AE9">
        <w:t xml:space="preserve">to </w:t>
      </w:r>
      <w:r w:rsidR="007E7F76" w:rsidRPr="00757AE9">
        <w:t xml:space="preserve">reduce the burden </w:t>
      </w:r>
      <w:r w:rsidR="00C9064C" w:rsidRPr="00757AE9">
        <w:t xml:space="preserve">on undertakings resulting from </w:t>
      </w:r>
      <w:r w:rsidR="002A7021" w:rsidRPr="00757AE9">
        <w:t xml:space="preserve">the </w:t>
      </w:r>
      <w:r w:rsidR="009A0112" w:rsidRPr="00757AE9">
        <w:t>CSRD and the CSDD</w:t>
      </w:r>
      <w:r w:rsidR="00862F9E" w:rsidRPr="00757AE9">
        <w:t xml:space="preserve">D </w:t>
      </w:r>
      <w:r w:rsidR="003A0D29" w:rsidRPr="00757AE9">
        <w:t xml:space="preserve">without </w:t>
      </w:r>
      <w:r w:rsidR="004A35DD" w:rsidRPr="00757AE9">
        <w:t xml:space="preserve">undermining the </w:t>
      </w:r>
      <w:r w:rsidR="00A01BFB" w:rsidRPr="00757AE9">
        <w:t xml:space="preserve">policy objectives </w:t>
      </w:r>
      <w:r w:rsidR="008B4E14" w:rsidRPr="00757AE9">
        <w:t xml:space="preserve">of </w:t>
      </w:r>
      <w:r w:rsidR="00F832C2" w:rsidRPr="00757AE9">
        <w:t>either p</w:t>
      </w:r>
      <w:r w:rsidR="0059065C" w:rsidRPr="00757AE9">
        <w:t xml:space="preserve">iece of legislation </w:t>
      </w:r>
      <w:r w:rsidR="0076305C" w:rsidRPr="00757AE9">
        <w:t xml:space="preserve">and to ensure more cost-effective delivery of </w:t>
      </w:r>
      <w:r w:rsidR="0059065C" w:rsidRPr="00757AE9">
        <w:t xml:space="preserve">the </w:t>
      </w:r>
      <w:r w:rsidR="00364217" w:rsidRPr="00757AE9">
        <w:t>overall ambition of the European Green Deal</w:t>
      </w:r>
      <w:r w:rsidR="00301987" w:rsidRPr="00757AE9">
        <w:t xml:space="preserve"> related to the green and just transition</w:t>
      </w:r>
      <w:r w:rsidR="00364217" w:rsidRPr="00757AE9">
        <w:t>.</w:t>
      </w:r>
      <w:r w:rsidR="00CF740B" w:rsidRPr="00757AE9">
        <w:t xml:space="preserve"> </w:t>
      </w:r>
    </w:p>
    <w:p w14:paraId="0BD5CFE3" w14:textId="77777777" w:rsidR="00C266D8" w:rsidRPr="00757AE9" w:rsidRDefault="00C266D8" w:rsidP="5F3086A4">
      <w:pPr>
        <w:pBdr>
          <w:top w:val="nil"/>
          <w:left w:val="nil"/>
          <w:bottom w:val="nil"/>
          <w:right w:val="nil"/>
          <w:between w:val="nil"/>
          <w:bar w:val="nil"/>
        </w:pBdr>
        <w:spacing w:before="0" w:after="240"/>
      </w:pPr>
      <w:r w:rsidRPr="00757AE9">
        <w:t>The proposal include</w:t>
      </w:r>
      <w:r w:rsidR="00035872" w:rsidRPr="00757AE9">
        <w:t>s</w:t>
      </w:r>
      <w:r w:rsidRPr="00757AE9">
        <w:t xml:space="preserve"> several important simplifications and flexibilities, which may encourage undertakings to voluntarily apply sustainability and taxonomy reporting at a bigger scale. Companies with strong sustainab</w:t>
      </w:r>
      <w:r w:rsidR="00052683" w:rsidRPr="00757AE9">
        <w:t>ility</w:t>
      </w:r>
      <w:r w:rsidRPr="00757AE9">
        <w:t xml:space="preserve"> profiles could benefit from </w:t>
      </w:r>
      <w:r w:rsidR="00052683" w:rsidRPr="00757AE9">
        <w:t>this</w:t>
      </w:r>
      <w:r w:rsidRPr="00757AE9">
        <w:t xml:space="preserve"> as differentiator, potentially gaining an edge in attracting investments into their businesses. Companies in transition can benefit from voluntary reporting since these undertakings can decide how to communicate their transition strategies without the pressure of mandatory disclosures, while also attracting investments.</w:t>
      </w:r>
    </w:p>
    <w:p w14:paraId="2494F1D6" w14:textId="77777777" w:rsidR="00BC7459" w:rsidRPr="00757AE9" w:rsidRDefault="00873AD9">
      <w:pPr>
        <w:pBdr>
          <w:top w:val="nil"/>
          <w:left w:val="nil"/>
          <w:bottom w:val="nil"/>
          <w:right w:val="nil"/>
          <w:between w:val="nil"/>
          <w:bar w:val="nil"/>
        </w:pBdr>
        <w:spacing w:before="0" w:after="240"/>
      </w:pPr>
      <w:r w:rsidRPr="00757AE9">
        <w:t>In parallel to this proposal</w:t>
      </w:r>
      <w:r w:rsidR="00046BDD" w:rsidRPr="00757AE9">
        <w:t>,</w:t>
      </w:r>
      <w:r w:rsidRPr="00757AE9">
        <w:t xml:space="preserve"> the Commission is </w:t>
      </w:r>
      <w:r w:rsidR="0046303B" w:rsidRPr="00757AE9">
        <w:t xml:space="preserve">submitting </w:t>
      </w:r>
      <w:r w:rsidRPr="00757AE9">
        <w:t xml:space="preserve">a separate legislative proposal to postpone the entry </w:t>
      </w:r>
      <w:r w:rsidR="00443269" w:rsidRPr="00757AE9">
        <w:t>into</w:t>
      </w:r>
      <w:r w:rsidRPr="00757AE9">
        <w:t xml:space="preserve"> application of </w:t>
      </w:r>
      <w:r w:rsidR="006E1B4B" w:rsidRPr="00757AE9">
        <w:t>the</w:t>
      </w:r>
      <w:r w:rsidRPr="00757AE9">
        <w:t xml:space="preserve"> </w:t>
      </w:r>
      <w:r w:rsidR="000E5FF1" w:rsidRPr="00757AE9">
        <w:t>CSDDD</w:t>
      </w:r>
      <w:r w:rsidR="006E1B4B" w:rsidRPr="00757AE9">
        <w:t xml:space="preserve"> and of </w:t>
      </w:r>
      <w:r w:rsidR="000E5FF1" w:rsidRPr="00757AE9">
        <w:t>certain</w:t>
      </w:r>
      <w:r w:rsidRPr="00757AE9">
        <w:t xml:space="preserve"> provisions of the CSRD.</w:t>
      </w:r>
      <w:r w:rsidR="000E5FF1" w:rsidRPr="00757AE9">
        <w:t xml:space="preserve"> </w:t>
      </w:r>
      <w:r w:rsidR="00C27750" w:rsidRPr="00757AE9">
        <w:t xml:space="preserve"> </w:t>
      </w:r>
    </w:p>
    <w:p w14:paraId="010E6554" w14:textId="77777777" w:rsidR="00B1312B" w:rsidRPr="008740E2" w:rsidRDefault="00DE64B7" w:rsidP="00DE466D">
      <w:pPr>
        <w:keepNext/>
        <w:pBdr>
          <w:top w:val="nil"/>
          <w:left w:val="nil"/>
          <w:bottom w:val="nil"/>
          <w:right w:val="nil"/>
          <w:between w:val="nil"/>
          <w:bar w:val="nil"/>
        </w:pBdr>
        <w:spacing w:before="0" w:after="240"/>
        <w:rPr>
          <w:u w:val="single"/>
        </w:rPr>
      </w:pPr>
      <w:r w:rsidRPr="008740E2">
        <w:rPr>
          <w:u w:val="single"/>
        </w:rPr>
        <w:t>S</w:t>
      </w:r>
      <w:r w:rsidR="005B376E" w:rsidRPr="008740E2">
        <w:rPr>
          <w:u w:val="single"/>
        </w:rPr>
        <w:t>pecific context and objectives</w:t>
      </w:r>
      <w:r w:rsidR="00B1312B" w:rsidRPr="008740E2">
        <w:rPr>
          <w:u w:val="single"/>
        </w:rPr>
        <w:t xml:space="preserve"> </w:t>
      </w:r>
      <w:r w:rsidR="00830AF5" w:rsidRPr="008740E2">
        <w:rPr>
          <w:u w:val="single"/>
        </w:rPr>
        <w:t>of this proposal</w:t>
      </w:r>
      <w:r w:rsidR="00B1312B" w:rsidRPr="008740E2">
        <w:rPr>
          <w:u w:val="single"/>
        </w:rPr>
        <w:t xml:space="preserve"> </w:t>
      </w:r>
      <w:r w:rsidRPr="008740E2">
        <w:rPr>
          <w:u w:val="single"/>
        </w:rPr>
        <w:t>regarding the CSRD</w:t>
      </w:r>
    </w:p>
    <w:p w14:paraId="2051FF0A" w14:textId="77777777" w:rsidR="005775E2" w:rsidRPr="00757AE9" w:rsidRDefault="002647F3" w:rsidP="005775E2">
      <w:pPr>
        <w:pBdr>
          <w:top w:val="nil"/>
          <w:left w:val="nil"/>
          <w:bottom w:val="nil"/>
          <w:right w:val="nil"/>
          <w:between w:val="nil"/>
          <w:bar w:val="nil"/>
        </w:pBdr>
        <w:spacing w:before="0" w:after="240"/>
      </w:pPr>
      <w:r w:rsidRPr="00757AE9">
        <w:t xml:space="preserve">The CSRD </w:t>
      </w:r>
      <w:r w:rsidR="0076305C" w:rsidRPr="00757AE9">
        <w:t xml:space="preserve">is </w:t>
      </w:r>
      <w:r w:rsidRPr="00757AE9">
        <w:t xml:space="preserve">currently </w:t>
      </w:r>
      <w:r w:rsidR="0076305C" w:rsidRPr="00757AE9">
        <w:t xml:space="preserve">scheduled to apply </w:t>
      </w:r>
      <w:r w:rsidRPr="00757AE9">
        <w:t xml:space="preserve">to large undertakings, SMEs with securities listed on the EU regulated markets, parent undertakings of large groups, as well as to issuers that belong to these categories of undertakings. </w:t>
      </w:r>
      <w:r w:rsidR="005775E2" w:rsidRPr="00757AE9">
        <w:t xml:space="preserve">The entry into application of the reporting requirements introduced by the CSRD is phased in according to different categories of undertakings. In the first wave, large public interest entities with more than 500 employees </w:t>
      </w:r>
      <w:r w:rsidR="005775E2" w:rsidRPr="00757AE9">
        <w:lastRenderedPageBreak/>
        <w:t>must report for the first time in 2025 for financial year 2024.</w:t>
      </w:r>
      <w:r w:rsidR="006838CC" w:rsidRPr="00433D45">
        <w:rPr>
          <w:rStyle w:val="FootnoteReference"/>
          <w:rFonts w:eastAsia="Arial Unicode MS"/>
          <w:lang w:val="en-IE" w:eastAsia="en-GB"/>
        </w:rPr>
        <w:footnoteReference w:id="10"/>
      </w:r>
      <w:r w:rsidR="005775E2" w:rsidRPr="00757AE9">
        <w:t xml:space="preserve"> In the second wave, other large </w:t>
      </w:r>
      <w:r w:rsidR="00C05CD0" w:rsidRPr="00757AE9">
        <w:t>undertakings must</w:t>
      </w:r>
      <w:r w:rsidR="005775E2" w:rsidRPr="00757AE9">
        <w:t xml:space="preserve"> report in 2026 for financial year 2025.</w:t>
      </w:r>
      <w:r w:rsidR="00B63A9B" w:rsidRPr="00433D45">
        <w:rPr>
          <w:rStyle w:val="FootnoteReference"/>
          <w:rFonts w:eastAsia="Arial Unicode MS"/>
          <w:lang w:val="en-IE" w:eastAsia="en-GB"/>
        </w:rPr>
        <w:footnoteReference w:id="11"/>
      </w:r>
      <w:r w:rsidR="005775E2" w:rsidRPr="00757AE9">
        <w:t xml:space="preserve"> In the third wave, SMEs with securities listed in EU regulated markets must report in 2027 for financial year 2026, although they have a possibility to opt out of reporting for financial years 2026 and 2027.</w:t>
      </w:r>
      <w:r w:rsidR="00214A9E" w:rsidRPr="00433D45">
        <w:rPr>
          <w:rStyle w:val="FootnoteReference"/>
          <w:rFonts w:eastAsia="Arial Unicode MS"/>
          <w:lang w:val="en-IE" w:eastAsia="en-GB"/>
        </w:rPr>
        <w:footnoteReference w:id="12"/>
      </w:r>
      <w:r w:rsidR="005775E2" w:rsidRPr="00757AE9">
        <w:t xml:space="preserve"> In the fourth wave, certain non-EU undertakings that have business in the territory of the Union </w:t>
      </w:r>
      <w:r w:rsidR="005775E2" w:rsidRPr="00DE466D">
        <w:rPr>
          <w:rStyle w:val="normaltextrun"/>
        </w:rPr>
        <w:t>above</w:t>
      </w:r>
      <w:r w:rsidR="005775E2" w:rsidRPr="00C11055">
        <w:t xml:space="preserve"> certain thresholds must report in 2029 for financial year 2028.</w:t>
      </w:r>
      <w:r w:rsidR="00A51A5E" w:rsidRPr="00433D45">
        <w:rPr>
          <w:rStyle w:val="FootnoteReference"/>
          <w:rFonts w:eastAsia="Arial Unicode MS"/>
          <w:lang w:val="en-IE" w:eastAsia="en-GB"/>
        </w:rPr>
        <w:footnoteReference w:id="13"/>
      </w:r>
      <w:r w:rsidR="005775E2" w:rsidRPr="00757AE9">
        <w:t xml:space="preserve"> </w:t>
      </w:r>
    </w:p>
    <w:p w14:paraId="04B1ECF7" w14:textId="77777777" w:rsidR="005775E2" w:rsidRPr="00433D45" w:rsidRDefault="000A5889" w:rsidP="005775E2">
      <w:pPr>
        <w:pBdr>
          <w:top w:val="nil"/>
          <w:left w:val="nil"/>
          <w:bottom w:val="nil"/>
          <w:right w:val="nil"/>
          <w:between w:val="nil"/>
          <w:bar w:val="nil"/>
        </w:pBdr>
        <w:spacing w:before="0" w:after="240"/>
        <w:rPr>
          <w:rStyle w:val="normaltextrun"/>
          <w:color w:val="000000"/>
          <w:shd w:val="clear" w:color="auto" w:fill="FFFFFF"/>
          <w:lang w:val="en-IE"/>
        </w:rPr>
      </w:pPr>
      <w:r w:rsidRPr="00433D45">
        <w:rPr>
          <w:rStyle w:val="normaltextrun"/>
          <w:lang w:val="en-IE"/>
        </w:rPr>
        <w:t>T</w:t>
      </w:r>
      <w:r w:rsidR="005775E2" w:rsidRPr="00433D45">
        <w:rPr>
          <w:rStyle w:val="normaltextrun"/>
          <w:lang w:val="en-IE"/>
        </w:rPr>
        <w:t xml:space="preserve">he CSRD requires undertakings in scope to report sustainability information according to mandatory European Sustainability Reporting Standards (ESRS) and requires the Commission to adopt such standards through delegated acts. </w:t>
      </w:r>
      <w:r w:rsidR="00C73981" w:rsidRPr="00433D45">
        <w:rPr>
          <w:rStyle w:val="normaltextrun"/>
          <w:lang w:val="en-IE"/>
        </w:rPr>
        <w:t>In July 2023 t</w:t>
      </w:r>
      <w:r w:rsidR="005775E2" w:rsidRPr="00433D45">
        <w:rPr>
          <w:rStyle w:val="normaltextrun"/>
          <w:color w:val="000000"/>
          <w:shd w:val="clear" w:color="auto" w:fill="FFFFFF"/>
          <w:lang w:val="en-IE"/>
        </w:rPr>
        <w:t xml:space="preserve">he Commission adopted a first set of ESRS </w:t>
      </w:r>
      <w:r w:rsidR="000F5D3F" w:rsidRPr="00433D45">
        <w:rPr>
          <w:rStyle w:val="normaltextrun"/>
          <w:color w:val="000000"/>
          <w:shd w:val="clear" w:color="auto" w:fill="FFFFFF"/>
          <w:lang w:val="en-IE"/>
        </w:rPr>
        <w:t xml:space="preserve">which are </w:t>
      </w:r>
      <w:r w:rsidR="00107004" w:rsidRPr="00433D45">
        <w:rPr>
          <w:rStyle w:val="normaltextrun"/>
          <w:color w:val="000000"/>
          <w:shd w:val="clear" w:color="auto" w:fill="FFFFFF"/>
          <w:lang w:val="en-IE"/>
        </w:rPr>
        <w:t>sector-agnostic, meaning they are to be applied by all</w:t>
      </w:r>
      <w:r w:rsidR="00BE42D3" w:rsidRPr="00433D45">
        <w:rPr>
          <w:rStyle w:val="normaltextrun"/>
          <w:color w:val="000000"/>
          <w:shd w:val="clear" w:color="auto" w:fill="FFFFFF"/>
          <w:lang w:val="en-IE"/>
        </w:rPr>
        <w:t xml:space="preserve"> undertakings in scope </w:t>
      </w:r>
      <w:r w:rsidR="007E1BE2" w:rsidRPr="00433D45">
        <w:rPr>
          <w:rStyle w:val="normaltextrun"/>
          <w:color w:val="000000"/>
          <w:shd w:val="clear" w:color="auto" w:fill="FFFFFF"/>
          <w:lang w:val="en-IE"/>
        </w:rPr>
        <w:t>independently</w:t>
      </w:r>
      <w:r w:rsidR="000B6D2C" w:rsidRPr="00433D45">
        <w:rPr>
          <w:rStyle w:val="normaltextrun"/>
          <w:color w:val="000000"/>
          <w:shd w:val="clear" w:color="auto" w:fill="FFFFFF"/>
          <w:lang w:val="en-IE"/>
        </w:rPr>
        <w:t xml:space="preserve"> of </w:t>
      </w:r>
      <w:r w:rsidR="007E1BE2" w:rsidRPr="00433D45">
        <w:rPr>
          <w:rStyle w:val="normaltextrun"/>
          <w:color w:val="000000"/>
          <w:shd w:val="clear" w:color="auto" w:fill="FFFFFF"/>
          <w:lang w:val="en-IE"/>
        </w:rPr>
        <w:t xml:space="preserve">the </w:t>
      </w:r>
      <w:r w:rsidR="000B6D2C" w:rsidRPr="00433D45">
        <w:rPr>
          <w:rStyle w:val="normaltextrun"/>
          <w:color w:val="000000"/>
          <w:shd w:val="clear" w:color="auto" w:fill="FFFFFF"/>
          <w:lang w:val="en-IE"/>
        </w:rPr>
        <w:t xml:space="preserve">sector </w:t>
      </w:r>
      <w:r w:rsidR="007E1BE2" w:rsidRPr="00433D45">
        <w:rPr>
          <w:rStyle w:val="normaltextrun"/>
          <w:color w:val="000000"/>
          <w:shd w:val="clear" w:color="auto" w:fill="FFFFFF"/>
          <w:lang w:val="en-IE"/>
        </w:rPr>
        <w:t xml:space="preserve">of the economy in </w:t>
      </w:r>
      <w:r w:rsidR="000B6D2C" w:rsidRPr="00433D45">
        <w:rPr>
          <w:rStyle w:val="normaltextrun"/>
          <w:color w:val="000000"/>
          <w:shd w:val="clear" w:color="auto" w:fill="FFFFFF"/>
          <w:lang w:val="en-IE"/>
        </w:rPr>
        <w:t xml:space="preserve">which </w:t>
      </w:r>
      <w:r w:rsidR="007E1BE2" w:rsidRPr="00433D45">
        <w:rPr>
          <w:rStyle w:val="normaltextrun"/>
          <w:color w:val="000000"/>
          <w:shd w:val="clear" w:color="auto" w:fill="FFFFFF"/>
          <w:lang w:val="en-IE"/>
        </w:rPr>
        <w:t>the undertaking operates</w:t>
      </w:r>
      <w:r w:rsidR="005775E2" w:rsidRPr="00433D45">
        <w:rPr>
          <w:rStyle w:val="normaltextrun"/>
          <w:color w:val="000000"/>
          <w:shd w:val="clear" w:color="auto" w:fill="FFFFFF"/>
          <w:lang w:val="en-IE"/>
        </w:rPr>
        <w:t>.</w:t>
      </w:r>
      <w:r w:rsidR="005775E2" w:rsidRPr="00433D45">
        <w:rPr>
          <w:rStyle w:val="FootnoteReference"/>
          <w:color w:val="000000"/>
          <w:lang w:val="en-IE"/>
        </w:rPr>
        <w:footnoteReference w:id="14"/>
      </w:r>
      <w:r w:rsidR="007C211F" w:rsidRPr="00433D45">
        <w:rPr>
          <w:rStyle w:val="normaltextrun"/>
          <w:color w:val="000000"/>
          <w:shd w:val="clear" w:color="auto" w:fill="FFFFFF"/>
          <w:lang w:val="en-IE"/>
        </w:rPr>
        <w:t xml:space="preserve"> The </w:t>
      </w:r>
      <w:r w:rsidR="0023130E" w:rsidRPr="00433D45">
        <w:rPr>
          <w:rStyle w:val="normaltextrun"/>
          <w:color w:val="000000"/>
          <w:shd w:val="clear" w:color="auto" w:fill="FFFFFF"/>
          <w:lang w:val="en-IE"/>
        </w:rPr>
        <w:t>CSRD also require</w:t>
      </w:r>
      <w:r w:rsidR="00B97152" w:rsidRPr="00433D45">
        <w:rPr>
          <w:rStyle w:val="normaltextrun"/>
          <w:color w:val="000000"/>
          <w:shd w:val="clear" w:color="auto" w:fill="FFFFFF"/>
          <w:lang w:val="en-IE"/>
        </w:rPr>
        <w:t>s</w:t>
      </w:r>
      <w:r w:rsidR="0023130E" w:rsidRPr="00433D45">
        <w:rPr>
          <w:rStyle w:val="normaltextrun"/>
          <w:color w:val="000000"/>
          <w:shd w:val="clear" w:color="auto" w:fill="FFFFFF"/>
          <w:lang w:val="en-IE"/>
        </w:rPr>
        <w:t xml:space="preserve"> the Commission to </w:t>
      </w:r>
      <w:r w:rsidR="008220AA" w:rsidRPr="00433D45">
        <w:rPr>
          <w:rStyle w:val="normaltextrun"/>
          <w:color w:val="000000"/>
          <w:shd w:val="clear" w:color="auto" w:fill="FFFFFF"/>
          <w:lang w:val="en-IE"/>
        </w:rPr>
        <w:t xml:space="preserve">adopt </w:t>
      </w:r>
      <w:r w:rsidR="002C3A74" w:rsidRPr="00433D45">
        <w:rPr>
          <w:rStyle w:val="normaltextrun"/>
          <w:color w:val="000000"/>
          <w:shd w:val="clear" w:color="auto" w:fill="FFFFFF"/>
          <w:lang w:val="en-IE"/>
        </w:rPr>
        <w:t xml:space="preserve">sector-specific </w:t>
      </w:r>
      <w:r w:rsidR="007918AE" w:rsidRPr="00433D45">
        <w:rPr>
          <w:rStyle w:val="normaltextrun"/>
          <w:color w:val="000000"/>
          <w:shd w:val="clear" w:color="auto" w:fill="FFFFFF"/>
          <w:lang w:val="en-IE"/>
        </w:rPr>
        <w:t>reporting standards</w:t>
      </w:r>
      <w:r w:rsidR="007B1A0F" w:rsidRPr="00433D45">
        <w:rPr>
          <w:rStyle w:val="normaltextrun"/>
          <w:color w:val="000000"/>
          <w:shd w:val="clear" w:color="auto" w:fill="FFFFFF"/>
          <w:lang w:val="en-IE"/>
        </w:rPr>
        <w:t>, with a first set of such standards to be adopted by June 2026</w:t>
      </w:r>
      <w:r w:rsidR="00887C0B" w:rsidRPr="00433D45">
        <w:rPr>
          <w:rStyle w:val="normaltextrun"/>
          <w:color w:val="000000"/>
          <w:shd w:val="clear" w:color="auto" w:fill="FFFFFF"/>
          <w:lang w:val="en-IE"/>
        </w:rPr>
        <w:t xml:space="preserve">. </w:t>
      </w:r>
      <w:r w:rsidR="000E356C" w:rsidRPr="00433D45">
        <w:rPr>
          <w:rStyle w:val="normaltextrun"/>
          <w:color w:val="000000"/>
          <w:shd w:val="clear" w:color="auto" w:fill="FFFFFF"/>
          <w:lang w:val="en-IE"/>
        </w:rPr>
        <w:t>The CSRD allows listed SMEs to report using a separate</w:t>
      </w:r>
      <w:r w:rsidR="005A0C1B">
        <w:rPr>
          <w:rStyle w:val="normaltextrun"/>
          <w:color w:val="000000"/>
          <w:shd w:val="clear" w:color="auto" w:fill="FFFFFF"/>
          <w:lang w:val="en-IE"/>
        </w:rPr>
        <w:t xml:space="preserve"> and lighter</w:t>
      </w:r>
      <w:r w:rsidR="009B4395" w:rsidRPr="00433D45">
        <w:rPr>
          <w:rStyle w:val="normaltextrun"/>
          <w:color w:val="000000"/>
          <w:shd w:val="clear" w:color="auto" w:fill="FFFFFF"/>
          <w:lang w:val="en-IE"/>
        </w:rPr>
        <w:t xml:space="preserve">, proportionate set of standards </w:t>
      </w:r>
      <w:r w:rsidR="00A67E38" w:rsidRPr="00433D45">
        <w:rPr>
          <w:rStyle w:val="normaltextrun"/>
          <w:color w:val="000000"/>
          <w:shd w:val="clear" w:color="auto" w:fill="FFFFFF"/>
          <w:lang w:val="en-IE"/>
        </w:rPr>
        <w:t xml:space="preserve">instead of the full set of ESRS. </w:t>
      </w:r>
    </w:p>
    <w:p w14:paraId="38DC85E7" w14:textId="77777777" w:rsidR="002C1E52" w:rsidRPr="00433D45" w:rsidRDefault="00D6203E" w:rsidP="005775E2">
      <w:pPr>
        <w:pBdr>
          <w:top w:val="nil"/>
          <w:left w:val="nil"/>
          <w:bottom w:val="nil"/>
          <w:right w:val="nil"/>
          <w:between w:val="nil"/>
          <w:bar w:val="nil"/>
        </w:pBdr>
        <w:spacing w:before="0" w:after="240"/>
        <w:rPr>
          <w:rStyle w:val="eop"/>
          <w:shd w:val="clear" w:color="auto" w:fill="FFFFFF"/>
          <w:lang w:val="en-IE"/>
        </w:rPr>
      </w:pPr>
      <w:r w:rsidRPr="00433D45">
        <w:rPr>
          <w:rStyle w:val="normaltextrun"/>
          <w:color w:val="000000"/>
          <w:shd w:val="clear" w:color="auto" w:fill="FFFFFF"/>
          <w:lang w:val="en-IE"/>
        </w:rPr>
        <w:t xml:space="preserve">At the request of the </w:t>
      </w:r>
      <w:r w:rsidR="00F50B13" w:rsidRPr="00433D45">
        <w:rPr>
          <w:rStyle w:val="normaltextrun"/>
          <w:color w:val="000000"/>
          <w:shd w:val="clear" w:color="auto" w:fill="FFFFFF"/>
          <w:lang w:val="en-IE"/>
        </w:rPr>
        <w:t>Commission,</w:t>
      </w:r>
      <w:r w:rsidR="005B2DE3" w:rsidRPr="00433D45">
        <w:rPr>
          <w:rStyle w:val="normaltextrun"/>
          <w:color w:val="000000"/>
          <w:shd w:val="clear" w:color="auto" w:fill="FFFFFF"/>
          <w:lang w:val="en-IE"/>
        </w:rPr>
        <w:t xml:space="preserve"> EFRAG has submitted a sustainability reporting standard for voluntary use by SMEs </w:t>
      </w:r>
      <w:r w:rsidR="00CE01F4" w:rsidRPr="00433D45">
        <w:rPr>
          <w:rStyle w:val="normaltextrun"/>
          <w:color w:val="000000"/>
          <w:shd w:val="clear" w:color="auto" w:fill="FFFFFF"/>
          <w:lang w:val="en-IE"/>
        </w:rPr>
        <w:t xml:space="preserve">that </w:t>
      </w:r>
      <w:r w:rsidR="00797BE0" w:rsidRPr="00433D45">
        <w:rPr>
          <w:rStyle w:val="normaltextrun"/>
          <w:color w:val="000000"/>
          <w:shd w:val="clear" w:color="auto" w:fill="FFFFFF"/>
          <w:lang w:val="en-IE"/>
        </w:rPr>
        <w:t>are</w:t>
      </w:r>
      <w:r w:rsidR="00CE01F4" w:rsidRPr="00433D45">
        <w:rPr>
          <w:rStyle w:val="normaltextrun"/>
          <w:color w:val="000000"/>
          <w:shd w:val="clear" w:color="auto" w:fill="FFFFFF"/>
          <w:lang w:val="en-IE"/>
        </w:rPr>
        <w:t xml:space="preserve"> not in scope of the </w:t>
      </w:r>
      <w:r w:rsidR="007A728A" w:rsidRPr="00433D45">
        <w:rPr>
          <w:rStyle w:val="normaltextrun"/>
          <w:color w:val="000000"/>
          <w:shd w:val="clear" w:color="auto" w:fill="FFFFFF"/>
          <w:lang w:val="en-IE"/>
        </w:rPr>
        <w:t>reporting requirements</w:t>
      </w:r>
      <w:r w:rsidR="00767AFF" w:rsidRPr="00433D45">
        <w:rPr>
          <w:rStyle w:val="normaltextrun"/>
          <w:color w:val="000000"/>
          <w:shd w:val="clear" w:color="auto" w:fill="FFFFFF"/>
          <w:lang w:val="en-IE"/>
        </w:rPr>
        <w:t xml:space="preserve"> (VSME standard)</w:t>
      </w:r>
      <w:r w:rsidR="005B2DE3" w:rsidRPr="00433D45">
        <w:rPr>
          <w:rStyle w:val="normaltextrun"/>
          <w:color w:val="000000"/>
          <w:shd w:val="clear" w:color="auto" w:fill="FFFFFF"/>
          <w:lang w:val="en-IE"/>
        </w:rPr>
        <w:t>.</w:t>
      </w:r>
      <w:r w:rsidR="009524D3" w:rsidRPr="00433D45">
        <w:rPr>
          <w:rStyle w:val="FootnoteReference"/>
          <w:color w:val="000000"/>
          <w:lang w:val="en-IE"/>
        </w:rPr>
        <w:footnoteReference w:id="15"/>
      </w:r>
      <w:r w:rsidR="00767AFF" w:rsidRPr="00433D45">
        <w:rPr>
          <w:rStyle w:val="normaltextrun"/>
          <w:color w:val="000000"/>
          <w:shd w:val="clear" w:color="auto" w:fill="FFFFFF"/>
          <w:lang w:val="en-IE"/>
        </w:rPr>
        <w:t xml:space="preserve"> The </w:t>
      </w:r>
      <w:r w:rsidR="001716CA" w:rsidRPr="00433D45">
        <w:rPr>
          <w:rStyle w:val="normaltextrun"/>
          <w:color w:val="000000"/>
          <w:shd w:val="clear" w:color="auto" w:fill="FFFFFF"/>
          <w:lang w:val="en-IE"/>
        </w:rPr>
        <w:t xml:space="preserve">objective of the VSME standard is </w:t>
      </w:r>
      <w:r w:rsidR="005551AC" w:rsidRPr="00433D45">
        <w:rPr>
          <w:rStyle w:val="normaltextrun"/>
          <w:color w:val="000000"/>
          <w:shd w:val="clear" w:color="auto" w:fill="FFFFFF"/>
          <w:lang w:val="en-IE"/>
        </w:rPr>
        <w:t xml:space="preserve">to </w:t>
      </w:r>
      <w:r w:rsidR="003300F4" w:rsidRPr="00433D45">
        <w:rPr>
          <w:rStyle w:val="normaltextrun"/>
          <w:color w:val="000000"/>
          <w:shd w:val="clear" w:color="auto" w:fill="FFFFFF"/>
          <w:lang w:val="en-IE"/>
        </w:rPr>
        <w:t>provid</w:t>
      </w:r>
      <w:r w:rsidR="00BC3CFB">
        <w:rPr>
          <w:rStyle w:val="normaltextrun"/>
          <w:color w:val="000000"/>
          <w:shd w:val="clear" w:color="auto" w:fill="FFFFFF"/>
          <w:lang w:val="en-IE"/>
        </w:rPr>
        <w:t>e</w:t>
      </w:r>
      <w:r w:rsidR="003300F4" w:rsidRPr="00433D45">
        <w:rPr>
          <w:rStyle w:val="normaltextrun"/>
          <w:color w:val="000000"/>
          <w:shd w:val="clear" w:color="auto" w:fill="FFFFFF"/>
          <w:lang w:val="en-IE"/>
        </w:rPr>
        <w:t xml:space="preserve"> SMEs with a </w:t>
      </w:r>
      <w:r w:rsidR="0078703E" w:rsidRPr="00433D45">
        <w:rPr>
          <w:rStyle w:val="normaltextrun"/>
          <w:color w:val="000000"/>
          <w:shd w:val="clear" w:color="auto" w:fill="FFFFFF"/>
          <w:lang w:val="en-IE"/>
        </w:rPr>
        <w:t xml:space="preserve">simple, widely recognised tool through which they can provide </w:t>
      </w:r>
      <w:r w:rsidR="00E36C01" w:rsidRPr="00433D45">
        <w:rPr>
          <w:rStyle w:val="normaltextrun"/>
          <w:color w:val="000000"/>
          <w:shd w:val="clear" w:color="auto" w:fill="FFFFFF"/>
          <w:lang w:val="en-IE"/>
        </w:rPr>
        <w:t xml:space="preserve">sustainability </w:t>
      </w:r>
      <w:r w:rsidR="0078703E" w:rsidRPr="00433D45">
        <w:rPr>
          <w:rStyle w:val="normaltextrun"/>
          <w:color w:val="000000"/>
          <w:shd w:val="clear" w:color="auto" w:fill="FFFFFF"/>
          <w:lang w:val="en-IE"/>
        </w:rPr>
        <w:t xml:space="preserve">information to </w:t>
      </w:r>
      <w:r w:rsidR="00A064E3" w:rsidRPr="00433D45">
        <w:rPr>
          <w:rStyle w:val="normaltextrun"/>
          <w:color w:val="000000"/>
          <w:shd w:val="clear" w:color="auto" w:fill="FFFFFF"/>
          <w:lang w:val="en-IE"/>
        </w:rPr>
        <w:t xml:space="preserve">banks, large companies and other stakeholders that may </w:t>
      </w:r>
      <w:r w:rsidR="00E36C01" w:rsidRPr="00433D45">
        <w:rPr>
          <w:rStyle w:val="normaltextrun"/>
          <w:color w:val="000000"/>
          <w:shd w:val="clear" w:color="auto" w:fill="FFFFFF"/>
          <w:lang w:val="en-IE"/>
        </w:rPr>
        <w:t>demand</w:t>
      </w:r>
      <w:r w:rsidR="00322AD3" w:rsidRPr="00433D45">
        <w:rPr>
          <w:rStyle w:val="normaltextrun"/>
          <w:color w:val="000000"/>
          <w:shd w:val="clear" w:color="auto" w:fill="FFFFFF"/>
          <w:lang w:val="en-IE"/>
        </w:rPr>
        <w:t xml:space="preserve"> such information.</w:t>
      </w:r>
    </w:p>
    <w:p w14:paraId="7F09B9A8" w14:textId="77777777" w:rsidR="00155281" w:rsidRPr="00757AE9" w:rsidRDefault="00A545A0" w:rsidP="003E5E1C">
      <w:pPr>
        <w:pBdr>
          <w:top w:val="nil"/>
          <w:left w:val="nil"/>
          <w:bottom w:val="nil"/>
          <w:right w:val="nil"/>
          <w:between w:val="nil"/>
          <w:bar w:val="nil"/>
        </w:pBdr>
        <w:spacing w:before="0" w:after="240"/>
      </w:pPr>
      <w:r w:rsidRPr="00C11055">
        <w:t xml:space="preserve">Other important </w:t>
      </w:r>
      <w:r w:rsidR="008B4C5F" w:rsidRPr="00C11055">
        <w:t>asp</w:t>
      </w:r>
      <w:r w:rsidR="00804D81" w:rsidRPr="00C11055">
        <w:t>e</w:t>
      </w:r>
      <w:r w:rsidR="008B4C5F" w:rsidRPr="00C11055">
        <w:t>cts of the CSRD</w:t>
      </w:r>
      <w:r w:rsidR="00804D81" w:rsidRPr="00C11055">
        <w:t xml:space="preserve"> are the </w:t>
      </w:r>
      <w:r w:rsidR="005528D8" w:rsidRPr="00C11055">
        <w:t>provisions</w:t>
      </w:r>
      <w:r w:rsidR="00804D81" w:rsidRPr="00C11055">
        <w:t xml:space="preserve"> on </w:t>
      </w:r>
      <w:r w:rsidR="005528D8" w:rsidRPr="00C11055">
        <w:t xml:space="preserve">assurance and on </w:t>
      </w:r>
      <w:r w:rsidR="00804D81" w:rsidRPr="00C11055">
        <w:t>reporting value-chain information</w:t>
      </w:r>
      <w:r w:rsidR="005528D8" w:rsidRPr="00C11055">
        <w:t xml:space="preserve">. </w:t>
      </w:r>
      <w:r w:rsidR="00991274" w:rsidRPr="00C11055">
        <w:t>Undertaking</w:t>
      </w:r>
      <w:r w:rsidR="002C07A0" w:rsidRPr="00C11055">
        <w:t>s</w:t>
      </w:r>
      <w:r w:rsidR="00991274" w:rsidRPr="00C11055">
        <w:t xml:space="preserve"> </w:t>
      </w:r>
      <w:r w:rsidR="005F0243" w:rsidRPr="00C11055">
        <w:t>must</w:t>
      </w:r>
      <w:r w:rsidR="00991274" w:rsidRPr="00C11055">
        <w:t xml:space="preserve"> </w:t>
      </w:r>
      <w:r w:rsidR="00602B3A" w:rsidRPr="00C11055">
        <w:t xml:space="preserve">publish their </w:t>
      </w:r>
      <w:r w:rsidR="00A053C2" w:rsidRPr="00C11055">
        <w:t xml:space="preserve">sustainability information </w:t>
      </w:r>
      <w:r w:rsidR="001D2FBB" w:rsidRPr="00C11055">
        <w:t>together with the opinion of a</w:t>
      </w:r>
      <w:r w:rsidR="002F21BF" w:rsidRPr="00C11055">
        <w:t xml:space="preserve"> </w:t>
      </w:r>
      <w:r w:rsidR="00510D02" w:rsidRPr="00C11055">
        <w:t>statutory</w:t>
      </w:r>
      <w:r w:rsidR="002F21BF" w:rsidRPr="00C11055">
        <w:t xml:space="preserve"> auditor or, if the Member States </w:t>
      </w:r>
      <w:r w:rsidR="004D3BA7" w:rsidRPr="00C11055">
        <w:t>allows</w:t>
      </w:r>
      <w:r w:rsidR="002E5E2C" w:rsidRPr="00C11055">
        <w:t>,</w:t>
      </w:r>
      <w:r w:rsidR="002F21BF" w:rsidRPr="00C11055">
        <w:t xml:space="preserve"> an </w:t>
      </w:r>
      <w:r w:rsidR="00510D02" w:rsidRPr="00C11055">
        <w:t>independent assurance service provider.</w:t>
      </w:r>
      <w:r w:rsidR="00A053C2" w:rsidRPr="00C11055">
        <w:t xml:space="preserve"> The </w:t>
      </w:r>
      <w:r w:rsidR="00BF1911" w:rsidRPr="00C11055">
        <w:t>current requirement is for limited assurance and</w:t>
      </w:r>
      <w:r w:rsidR="00A053C2" w:rsidRPr="00C11055">
        <w:t xml:space="preserve"> </w:t>
      </w:r>
      <w:r w:rsidR="00715AC8" w:rsidRPr="00C11055">
        <w:t>th</w:t>
      </w:r>
      <w:r w:rsidR="009C78DB" w:rsidRPr="00C11055">
        <w:t>e CSRD provides that this could in the future become a requirement for reasonable assurance under certain conditions.</w:t>
      </w:r>
      <w:r w:rsidR="008233EB" w:rsidRPr="00433D45">
        <w:rPr>
          <w:rStyle w:val="FootnoteReference"/>
          <w:rFonts w:eastAsia="Arial Unicode MS"/>
          <w:lang w:val="en-IE" w:eastAsia="en-GB"/>
        </w:rPr>
        <w:footnoteReference w:id="16"/>
      </w:r>
      <w:r w:rsidR="009C78DB" w:rsidRPr="00757AE9">
        <w:t xml:space="preserve"> </w:t>
      </w:r>
      <w:r w:rsidR="009E761B" w:rsidRPr="00757AE9">
        <w:t xml:space="preserve">The CSRD also requires the </w:t>
      </w:r>
      <w:r w:rsidR="00E5185D" w:rsidRPr="00757AE9">
        <w:t>Commission</w:t>
      </w:r>
      <w:r w:rsidR="009E761B" w:rsidRPr="00757AE9">
        <w:t xml:space="preserve"> to a</w:t>
      </w:r>
      <w:r w:rsidR="0090056C" w:rsidRPr="00757AE9">
        <w:t>dopt standards for</w:t>
      </w:r>
      <w:r w:rsidR="00750CC5" w:rsidRPr="00757AE9">
        <w:t xml:space="preserve"> </w:t>
      </w:r>
      <w:r w:rsidR="0090056C" w:rsidRPr="00757AE9">
        <w:t>sustainab</w:t>
      </w:r>
      <w:r w:rsidR="002449BE" w:rsidRPr="00757AE9">
        <w:t>i</w:t>
      </w:r>
      <w:r w:rsidR="0090056C" w:rsidRPr="00757AE9">
        <w:t>l</w:t>
      </w:r>
      <w:r w:rsidR="00FB0A2D" w:rsidRPr="00757AE9">
        <w:t>i</w:t>
      </w:r>
      <w:r w:rsidR="002449BE" w:rsidRPr="00757AE9">
        <w:t>ty</w:t>
      </w:r>
      <w:r w:rsidR="0090056C" w:rsidRPr="00757AE9">
        <w:t xml:space="preserve"> assurance</w:t>
      </w:r>
      <w:r w:rsidR="001B55B9" w:rsidRPr="00757AE9">
        <w:t xml:space="preserve"> by means of delegated acts</w:t>
      </w:r>
      <w:r w:rsidR="0090056C" w:rsidRPr="00757AE9">
        <w:t xml:space="preserve">. </w:t>
      </w:r>
    </w:p>
    <w:p w14:paraId="3324562C" w14:textId="77777777" w:rsidR="0015572A" w:rsidRPr="00757AE9" w:rsidRDefault="00155281" w:rsidP="003E5E1C">
      <w:pPr>
        <w:pBdr>
          <w:top w:val="nil"/>
          <w:left w:val="nil"/>
          <w:bottom w:val="nil"/>
          <w:right w:val="nil"/>
          <w:between w:val="nil"/>
          <w:bar w:val="nil"/>
        </w:pBdr>
        <w:spacing w:before="0" w:after="240"/>
      </w:pPr>
      <w:r w:rsidRPr="00757AE9">
        <w:lastRenderedPageBreak/>
        <w:t xml:space="preserve">The CSRD requires </w:t>
      </w:r>
      <w:r w:rsidR="005C756C" w:rsidRPr="00757AE9">
        <w:t xml:space="preserve">undertakings to report value-chain information </w:t>
      </w:r>
      <w:r w:rsidR="00FB1436" w:rsidRPr="00757AE9">
        <w:t>to the extent necessary for</w:t>
      </w:r>
      <w:r w:rsidR="00B77637" w:rsidRPr="00757AE9">
        <w:t xml:space="preserve"> understanding their sustainability-related impacts, risks and opportunities. </w:t>
      </w:r>
      <w:r w:rsidR="009D0910" w:rsidRPr="00757AE9">
        <w:t>T</w:t>
      </w:r>
      <w:r w:rsidR="00794DA4" w:rsidRPr="00757AE9">
        <w:t xml:space="preserve">he CSRD </w:t>
      </w:r>
      <w:r w:rsidR="003A785A" w:rsidRPr="00757AE9">
        <w:t>establishes</w:t>
      </w:r>
      <w:r w:rsidR="00305F48" w:rsidRPr="00757AE9">
        <w:t xml:space="preserve"> a so-called value-chain cap, which </w:t>
      </w:r>
      <w:r w:rsidR="00794DA4" w:rsidRPr="00757AE9">
        <w:t xml:space="preserve">states that ESRS may not contain </w:t>
      </w:r>
      <w:r w:rsidR="00101BD6" w:rsidRPr="00757AE9">
        <w:t xml:space="preserve">reporting requirements that </w:t>
      </w:r>
      <w:r w:rsidR="001533F2" w:rsidRPr="00757AE9">
        <w:t xml:space="preserve">would </w:t>
      </w:r>
      <w:r w:rsidR="00794DA4" w:rsidRPr="00757AE9">
        <w:t>require undertakings to</w:t>
      </w:r>
      <w:r w:rsidR="001533F2" w:rsidRPr="00757AE9">
        <w:t xml:space="preserve"> obtain from SMEs in their value chain </w:t>
      </w:r>
      <w:r w:rsidR="00435F23" w:rsidRPr="00757AE9">
        <w:t xml:space="preserve">information </w:t>
      </w:r>
      <w:r w:rsidR="001533F2" w:rsidRPr="00757AE9">
        <w:t>that exceeds the</w:t>
      </w:r>
      <w:r w:rsidR="00FD4FB7" w:rsidRPr="00757AE9">
        <w:t xml:space="preserve"> </w:t>
      </w:r>
      <w:r w:rsidR="001533F2" w:rsidRPr="00757AE9">
        <w:t xml:space="preserve">information to be disclosed </w:t>
      </w:r>
      <w:r w:rsidR="00FD4FB7" w:rsidRPr="00757AE9">
        <w:t>under</w:t>
      </w:r>
      <w:r w:rsidR="001533F2" w:rsidRPr="00757AE9">
        <w:t xml:space="preserve"> the </w:t>
      </w:r>
      <w:r w:rsidR="00FD4FB7" w:rsidRPr="00757AE9">
        <w:t>proportionate standard for listed SMEs.</w:t>
      </w:r>
      <w:r w:rsidR="001533F2" w:rsidRPr="00757AE9">
        <w:t xml:space="preserve"> </w:t>
      </w:r>
    </w:p>
    <w:p w14:paraId="140A9E71" w14:textId="77777777" w:rsidR="00883256" w:rsidRPr="00757AE9" w:rsidRDefault="00D779B2" w:rsidP="003E5E1C">
      <w:pPr>
        <w:pBdr>
          <w:top w:val="nil"/>
          <w:left w:val="nil"/>
          <w:bottom w:val="nil"/>
          <w:right w:val="nil"/>
          <w:between w:val="nil"/>
          <w:bar w:val="nil"/>
        </w:pBdr>
        <w:spacing w:before="0" w:after="240"/>
      </w:pPr>
      <w:r w:rsidRPr="0099151A">
        <w:rPr>
          <w:rFonts w:eastAsia="Arial Unicode MS"/>
          <w:lang w:eastAsia="en-GB"/>
        </w:rPr>
        <w:t xml:space="preserve">This proposal aims </w:t>
      </w:r>
      <w:r>
        <w:rPr>
          <w:rFonts w:eastAsia="Arial Unicode MS"/>
          <w:lang w:eastAsia="en-GB"/>
        </w:rPr>
        <w:t>to</w:t>
      </w:r>
      <w:r w:rsidRPr="0099151A">
        <w:rPr>
          <w:rFonts w:eastAsia="Arial Unicode MS"/>
          <w:lang w:eastAsia="en-GB"/>
        </w:rPr>
        <w:t xml:space="preserve"> reduc</w:t>
      </w:r>
      <w:r>
        <w:rPr>
          <w:rFonts w:eastAsia="Arial Unicode MS"/>
          <w:lang w:eastAsia="en-GB"/>
        </w:rPr>
        <w:t>e</w:t>
      </w:r>
      <w:r w:rsidRPr="0099151A">
        <w:rPr>
          <w:rFonts w:eastAsia="Arial Unicode MS"/>
          <w:lang w:eastAsia="en-GB"/>
        </w:rPr>
        <w:t xml:space="preserve"> the reporting burden and to limit the trickle down of obligations on smaller companies</w:t>
      </w:r>
      <w:r>
        <w:rPr>
          <w:rFonts w:eastAsia="Arial Unicode MS"/>
          <w:lang w:eastAsia="en-GB"/>
        </w:rPr>
        <w:t xml:space="preserve">. </w:t>
      </w:r>
      <w:r w:rsidR="00883256" w:rsidRPr="00757AE9">
        <w:t xml:space="preserve">Firstly, this </w:t>
      </w:r>
      <w:r w:rsidR="004842C4" w:rsidRPr="00757AE9">
        <w:t xml:space="preserve">current </w:t>
      </w:r>
      <w:r w:rsidR="00883256" w:rsidRPr="00757AE9">
        <w:t xml:space="preserve">proposal </w:t>
      </w:r>
      <w:r w:rsidR="007A55F4" w:rsidRPr="00757AE9">
        <w:t>aims to</w:t>
      </w:r>
      <w:r w:rsidR="00883256" w:rsidRPr="00757AE9">
        <w:t xml:space="preserve"> </w:t>
      </w:r>
      <w:r w:rsidR="00A26D71" w:rsidRPr="00757AE9">
        <w:t>simplify the framework and reduce burden in the following ways:</w:t>
      </w:r>
    </w:p>
    <w:p w14:paraId="766D2153" w14:textId="77777777" w:rsidR="003E5E1C" w:rsidRPr="00757AE9" w:rsidRDefault="003E5E1C" w:rsidP="00467E00">
      <w:pPr>
        <w:pStyle w:val="Tiret0"/>
        <w:numPr>
          <w:ilvl w:val="0"/>
          <w:numId w:val="27"/>
        </w:numPr>
      </w:pPr>
      <w:r w:rsidRPr="00757AE9">
        <w:t xml:space="preserve">The number of undertakings subject to mandatory sustainability reporting requirements would be reduced by about </w:t>
      </w:r>
      <w:r w:rsidR="00B35CEB" w:rsidRPr="00757AE9">
        <w:t>8</w:t>
      </w:r>
      <w:r w:rsidR="000C4A99" w:rsidRPr="00757AE9">
        <w:t>0</w:t>
      </w:r>
      <w:r w:rsidRPr="00757AE9">
        <w:t xml:space="preserve">%, taking out of scope </w:t>
      </w:r>
      <w:r w:rsidR="00D5419E" w:rsidRPr="00757AE9">
        <w:t xml:space="preserve">large </w:t>
      </w:r>
      <w:r w:rsidRPr="00757AE9">
        <w:t xml:space="preserve">undertakings </w:t>
      </w:r>
      <w:r w:rsidR="00FE20A1" w:rsidRPr="00757AE9">
        <w:t xml:space="preserve">with </w:t>
      </w:r>
      <w:r w:rsidR="000847AF" w:rsidRPr="00757AE9">
        <w:t>up to</w:t>
      </w:r>
      <w:r w:rsidR="0084227A" w:rsidRPr="00757AE9">
        <w:t xml:space="preserve"> </w:t>
      </w:r>
      <w:r w:rsidR="003E621E" w:rsidRPr="00757AE9">
        <w:t xml:space="preserve">1000 </w:t>
      </w:r>
      <w:r w:rsidRPr="00757AE9">
        <w:t>employees</w:t>
      </w:r>
      <w:r w:rsidR="004327E2" w:rsidRPr="00757AE9">
        <w:t xml:space="preserve"> </w:t>
      </w:r>
      <w:r w:rsidR="00657FCA" w:rsidRPr="00757AE9">
        <w:t>(</w:t>
      </w:r>
      <w:r w:rsidR="001736BB" w:rsidRPr="00757AE9">
        <w:t xml:space="preserve">i.e. some of the </w:t>
      </w:r>
      <w:r w:rsidR="009E0A12" w:rsidRPr="00757AE9">
        <w:t>undertakings</w:t>
      </w:r>
      <w:r w:rsidR="001736BB" w:rsidRPr="00757AE9">
        <w:t xml:space="preserve"> from the second wave</w:t>
      </w:r>
      <w:r w:rsidR="003B4B9B" w:rsidRPr="00757AE9">
        <w:t xml:space="preserve"> and some of the undertakings from the first wave</w:t>
      </w:r>
      <w:r w:rsidR="001736BB" w:rsidRPr="00757AE9">
        <w:t>) and</w:t>
      </w:r>
      <w:r w:rsidR="009E0A12" w:rsidRPr="00757AE9">
        <w:t xml:space="preserve"> listed SMEs (i.e. all undertakings in the third wave)</w:t>
      </w:r>
      <w:r w:rsidRPr="00757AE9">
        <w:t>.</w:t>
      </w:r>
      <w:r w:rsidR="006B77C1" w:rsidRPr="00757AE9">
        <w:t xml:space="preserve"> </w:t>
      </w:r>
      <w:r w:rsidR="002A0188" w:rsidRPr="00757AE9">
        <w:t xml:space="preserve">The </w:t>
      </w:r>
      <w:r w:rsidR="00ED1473" w:rsidRPr="00757AE9">
        <w:t>reporting requirements would only apply to large undertakings with more than 1000 employees (i.e</w:t>
      </w:r>
      <w:r w:rsidR="007A68BC" w:rsidRPr="00757AE9">
        <w:t>.</w:t>
      </w:r>
      <w:r w:rsidR="007A68BC" w:rsidRPr="007A68BC">
        <w:t xml:space="preserve"> </w:t>
      </w:r>
      <w:r w:rsidR="007A68BC" w:rsidRPr="00757AE9">
        <w:t xml:space="preserve">undertakings that have more than 1000 employees and either a turnover above EUR 50 million or a balance sheet above EUR 25 million). </w:t>
      </w:r>
      <w:r w:rsidR="00BA29C3" w:rsidRPr="00757AE9">
        <w:t>This</w:t>
      </w:r>
      <w:r w:rsidR="006B77C1" w:rsidRPr="00757AE9">
        <w:t xml:space="preserve"> revised threshold would align the </w:t>
      </w:r>
      <w:r w:rsidR="000A1AE5" w:rsidRPr="00757AE9">
        <w:t>CSRD more closely with the CSDDD.</w:t>
      </w:r>
      <w:r w:rsidR="001E198A" w:rsidRPr="00433D45">
        <w:rPr>
          <w:rStyle w:val="FootnoteReference"/>
          <w:rFonts w:eastAsia="Arial Unicode MS"/>
          <w:lang w:val="en-IE"/>
        </w:rPr>
        <w:footnoteReference w:id="17"/>
      </w:r>
    </w:p>
    <w:p w14:paraId="53A469E8" w14:textId="77777777" w:rsidR="009C2183" w:rsidRPr="00757AE9" w:rsidRDefault="00175EAD" w:rsidP="00757AE9">
      <w:pPr>
        <w:pStyle w:val="Tiret0"/>
      </w:pPr>
      <w:r w:rsidRPr="00757AE9">
        <w:t xml:space="preserve">For undertakings </w:t>
      </w:r>
      <w:r w:rsidR="00D61029" w:rsidRPr="00757AE9">
        <w:t xml:space="preserve">not subject to mandatory </w:t>
      </w:r>
      <w:r w:rsidR="006A5ECE" w:rsidRPr="00757AE9">
        <w:t xml:space="preserve">sustainability reporting </w:t>
      </w:r>
      <w:r w:rsidR="008B61FC" w:rsidRPr="00757AE9">
        <w:t>requirements</w:t>
      </w:r>
      <w:r w:rsidR="006A5ECE" w:rsidRPr="00757AE9">
        <w:t>,</w:t>
      </w:r>
      <w:r w:rsidR="003D6B0A" w:rsidRPr="00757AE9">
        <w:t xml:space="preserve"> </w:t>
      </w:r>
      <w:r w:rsidRPr="00757AE9">
        <w:t>the Commission proposes a proportionate</w:t>
      </w:r>
      <w:r w:rsidR="00D55CF9" w:rsidRPr="00757AE9">
        <w:t xml:space="preserve"> </w:t>
      </w:r>
      <w:r w:rsidRPr="00757AE9">
        <w:t xml:space="preserve">standard for </w:t>
      </w:r>
      <w:r w:rsidR="00BE321C" w:rsidRPr="00757AE9">
        <w:t>voluntary use</w:t>
      </w:r>
      <w:r w:rsidRPr="00757AE9">
        <w:t xml:space="preserve"> which would be based on the VSME standard developed by EFRAG.</w:t>
      </w:r>
      <w:r w:rsidR="00231A84" w:rsidRPr="00757AE9">
        <w:t xml:space="preserve"> According to this proposal, the Commission would adopt </w:t>
      </w:r>
      <w:r w:rsidR="00477732" w:rsidRPr="00757AE9">
        <w:t xml:space="preserve">this </w:t>
      </w:r>
      <w:r w:rsidR="00231A84" w:rsidRPr="00757AE9">
        <w:t xml:space="preserve">voluntary standard as </w:t>
      </w:r>
      <w:r w:rsidR="00005671" w:rsidRPr="00757AE9">
        <w:t xml:space="preserve">a </w:t>
      </w:r>
      <w:r w:rsidR="00231A84" w:rsidRPr="00757AE9">
        <w:t xml:space="preserve">delegated act. In the meantime, to address market demand, the Commission intends to issue a recommendation on voluntary sustainability reporting as soon as possible, </w:t>
      </w:r>
      <w:r w:rsidR="00787AF8" w:rsidRPr="00757AE9">
        <w:t xml:space="preserve">based on the VSME standard developed by EFRAG. </w:t>
      </w:r>
    </w:p>
    <w:p w14:paraId="657FD3C1" w14:textId="1E7C6AC0" w:rsidR="00DA31E8" w:rsidRPr="00757AE9" w:rsidRDefault="3F1136FC" w:rsidP="00757AE9">
      <w:pPr>
        <w:pStyle w:val="Tiret0"/>
      </w:pPr>
      <w:r w:rsidRPr="00757AE9">
        <w:t>The va</w:t>
      </w:r>
      <w:r w:rsidR="42C95EE0" w:rsidRPr="00757AE9">
        <w:t>lue-ch</w:t>
      </w:r>
      <w:r w:rsidR="7656846B" w:rsidRPr="00757AE9">
        <w:t>ai</w:t>
      </w:r>
      <w:r w:rsidR="42C95EE0" w:rsidRPr="00757AE9">
        <w:t>n cap wou</w:t>
      </w:r>
      <w:r w:rsidR="7656846B" w:rsidRPr="00757AE9">
        <w:t xml:space="preserve">ld </w:t>
      </w:r>
      <w:r w:rsidR="0865971B" w:rsidRPr="00757AE9">
        <w:t xml:space="preserve">be extended and strengthened. It would </w:t>
      </w:r>
      <w:r w:rsidR="107AB3E4" w:rsidRPr="00757AE9">
        <w:t xml:space="preserve">apply directly to the </w:t>
      </w:r>
      <w:r w:rsidR="27E72451" w:rsidRPr="00757AE9">
        <w:t xml:space="preserve">reporting company </w:t>
      </w:r>
      <w:r w:rsidR="009B7B43" w:rsidRPr="00757AE9">
        <w:t xml:space="preserve">instead of being only a limit on what ESRS can specify. </w:t>
      </w:r>
      <w:r w:rsidR="2E32BDD7" w:rsidRPr="00757AE9">
        <w:t>I</w:t>
      </w:r>
      <w:r w:rsidR="1ED11405" w:rsidRPr="00757AE9">
        <w:t>t would protect all undertakings</w:t>
      </w:r>
      <w:r w:rsidR="00D167D4" w:rsidRPr="00757AE9">
        <w:t xml:space="preserve"> </w:t>
      </w:r>
      <w:r w:rsidR="0025470E" w:rsidRPr="00757AE9">
        <w:t xml:space="preserve">with up to 1000 employees </w:t>
      </w:r>
      <w:r w:rsidR="00D167D4" w:rsidRPr="00757AE9">
        <w:t>rather than just SMEs as is currently the case</w:t>
      </w:r>
      <w:r w:rsidR="063FD8F7" w:rsidRPr="00757AE9">
        <w:t xml:space="preserve">. </w:t>
      </w:r>
      <w:r w:rsidR="0865971B" w:rsidRPr="00757AE9">
        <w:t>And</w:t>
      </w:r>
      <w:r w:rsidR="555F6EA5" w:rsidRPr="00757AE9">
        <w:t xml:space="preserve"> the </w:t>
      </w:r>
      <w:r w:rsidR="1711F7E0" w:rsidRPr="00757AE9">
        <w:t>limit wou</w:t>
      </w:r>
      <w:r w:rsidR="2CB4DA6B" w:rsidRPr="00757AE9">
        <w:t>l</w:t>
      </w:r>
      <w:r w:rsidR="1711F7E0" w:rsidRPr="00757AE9">
        <w:t xml:space="preserve">d be </w:t>
      </w:r>
      <w:r w:rsidR="0865971B" w:rsidRPr="00757AE9">
        <w:t>defined</w:t>
      </w:r>
      <w:r w:rsidR="1711F7E0" w:rsidRPr="00757AE9">
        <w:t xml:space="preserve"> </w:t>
      </w:r>
      <w:r w:rsidR="2CB4DA6B" w:rsidRPr="00757AE9">
        <w:t xml:space="preserve">by the </w:t>
      </w:r>
      <w:r w:rsidR="00BE4CD7" w:rsidRPr="00757AE9">
        <w:t xml:space="preserve">voluntary </w:t>
      </w:r>
      <w:r w:rsidR="42425A79" w:rsidRPr="00757AE9">
        <w:t>standard</w:t>
      </w:r>
      <w:r w:rsidR="00BE4CD7" w:rsidRPr="00757AE9">
        <w:t xml:space="preserve"> adopted by the Commission as a delegated act</w:t>
      </w:r>
      <w:r w:rsidR="00A3624A" w:rsidRPr="00757AE9">
        <w:t xml:space="preserve">, based on </w:t>
      </w:r>
      <w:r w:rsidR="00420CE1" w:rsidRPr="00757AE9">
        <w:t>the VSME standard developed by EFRAG</w:t>
      </w:r>
      <w:r w:rsidR="1651ACD6" w:rsidRPr="00757AE9">
        <w:t xml:space="preserve">. </w:t>
      </w:r>
      <w:r w:rsidR="00862BC5" w:rsidRPr="00757AE9">
        <w:t>This will substantially reduce the trickle-down effect</w:t>
      </w:r>
      <w:r w:rsidR="009A542A" w:rsidRPr="00757AE9">
        <w:t xml:space="preserve">. </w:t>
      </w:r>
    </w:p>
    <w:p w14:paraId="73EB7138" w14:textId="77777777" w:rsidR="003E5E1C" w:rsidRPr="00757AE9" w:rsidRDefault="003E5E1C" w:rsidP="00757AE9">
      <w:pPr>
        <w:pStyle w:val="Tiret0"/>
      </w:pPr>
      <w:r w:rsidRPr="00757AE9">
        <w:t xml:space="preserve">There would be no sector-specific reporting standards, so avoiding an increase in the number of prescribed datapoints that undertakings should report.  </w:t>
      </w:r>
    </w:p>
    <w:p w14:paraId="2A6376F1" w14:textId="77777777" w:rsidR="003E5E1C" w:rsidRPr="00757AE9" w:rsidRDefault="003E5E1C" w:rsidP="00757AE9">
      <w:pPr>
        <w:pStyle w:val="Tiret0"/>
      </w:pPr>
      <w:r w:rsidRPr="00757AE9">
        <w:t xml:space="preserve">The possibility </w:t>
      </w:r>
      <w:r w:rsidR="00F921A3" w:rsidRPr="00757AE9">
        <w:t xml:space="preserve">of </w:t>
      </w:r>
      <w:r w:rsidR="00666B13" w:rsidRPr="00757AE9">
        <w:t>mov</w:t>
      </w:r>
      <w:r w:rsidR="0004222E" w:rsidRPr="00757AE9">
        <w:t>ing from</w:t>
      </w:r>
      <w:r w:rsidRPr="00757AE9">
        <w:t xml:space="preserve"> a requirement for limited assurance </w:t>
      </w:r>
      <w:r w:rsidR="000B0B07" w:rsidRPr="00757AE9">
        <w:t>to</w:t>
      </w:r>
      <w:r w:rsidRPr="00757AE9">
        <w:t xml:space="preserve"> a requirement for reasonable assurance would be removed. This will </w:t>
      </w:r>
      <w:r w:rsidR="00FC0A38" w:rsidRPr="00757AE9">
        <w:t>provide clarity that there will be no future</w:t>
      </w:r>
      <w:r w:rsidRPr="00757AE9">
        <w:t xml:space="preserve"> increase in costs of assurance for undertakings in scope.  </w:t>
      </w:r>
    </w:p>
    <w:p w14:paraId="44D6D04B" w14:textId="77777777" w:rsidR="003E5E1C" w:rsidRPr="00757AE9" w:rsidRDefault="00BD3B4D" w:rsidP="00757AE9">
      <w:pPr>
        <w:pStyle w:val="Tiret0"/>
      </w:pPr>
      <w:r w:rsidRPr="00757AE9">
        <w:lastRenderedPageBreak/>
        <w:t xml:space="preserve">Instead of an </w:t>
      </w:r>
      <w:r w:rsidR="003E5E1C" w:rsidRPr="00757AE9">
        <w:t xml:space="preserve">obligation </w:t>
      </w:r>
      <w:r w:rsidR="002C2EDE" w:rsidRPr="00757AE9">
        <w:t>for</w:t>
      </w:r>
      <w:r w:rsidR="003E5E1C" w:rsidRPr="00757AE9">
        <w:t xml:space="preserve"> the Commission to adopt standards for sustainability assurance </w:t>
      </w:r>
      <w:r w:rsidRPr="00757AE9">
        <w:t>by 2026</w:t>
      </w:r>
      <w:r w:rsidR="00421552" w:rsidRPr="00757AE9">
        <w:t xml:space="preserve">, the Commission will </w:t>
      </w:r>
      <w:r w:rsidR="003E5E1C" w:rsidRPr="00757AE9">
        <w:t>issue targeted assurance guidelines</w:t>
      </w:r>
      <w:r w:rsidR="00833EB8" w:rsidRPr="00757AE9">
        <w:t xml:space="preserve"> by 2026</w:t>
      </w:r>
      <w:r w:rsidR="003E5E1C" w:rsidRPr="00757AE9">
        <w:t xml:space="preserve">. This will allow the Commission to address emerging issues </w:t>
      </w:r>
      <w:r w:rsidR="001C37F1" w:rsidRPr="00757AE9">
        <w:t xml:space="preserve">more quickly </w:t>
      </w:r>
      <w:r w:rsidR="003E5E1C" w:rsidRPr="00757AE9">
        <w:t xml:space="preserve">in the field of sustainability assurance that may be generating unnecessary burden on undertakings that are subject to the reporting requirements.  </w:t>
      </w:r>
    </w:p>
    <w:p w14:paraId="0001B7CC" w14:textId="77777777" w:rsidR="00244508" w:rsidRPr="00757AE9" w:rsidRDefault="00244508" w:rsidP="00757AE9">
      <w:pPr>
        <w:pStyle w:val="Tiret0"/>
      </w:pPr>
      <w:r w:rsidRPr="00757AE9">
        <w:t xml:space="preserve">The proposal introduces an “opt-in” regime where </w:t>
      </w:r>
      <w:r w:rsidR="004A5832" w:rsidRPr="00757AE9">
        <w:t xml:space="preserve">large </w:t>
      </w:r>
      <w:r w:rsidRPr="00757AE9">
        <w:t xml:space="preserve">undertakings </w:t>
      </w:r>
      <w:r w:rsidR="004A5832" w:rsidRPr="00757AE9">
        <w:t>with more than 1000 employees</w:t>
      </w:r>
      <w:r w:rsidR="0083493E" w:rsidRPr="00757AE9">
        <w:t xml:space="preserve"> and</w:t>
      </w:r>
      <w:r w:rsidR="004A5832" w:rsidRPr="00757AE9">
        <w:t xml:space="preserve"> </w:t>
      </w:r>
      <w:r w:rsidRPr="00757AE9">
        <w:t xml:space="preserve">with a net turnover not exceeding EUR 450 million </w:t>
      </w:r>
      <w:r w:rsidR="00E31E7F" w:rsidRPr="00757AE9">
        <w:t>which</w:t>
      </w:r>
      <w:r w:rsidRPr="00757AE9">
        <w:t xml:space="preserve"> claim that their activities are aligned or partially aligned with the EU Taxonomy shall disclose their turnover and CapEx KPIs and may choose to disclose their OpEx KPI. This “opt-in” approach will eliminate entirely the cost of compliance with the Taxonomy reporting rules for </w:t>
      </w:r>
      <w:r w:rsidR="00C83CD4" w:rsidRPr="00757AE9">
        <w:t xml:space="preserve">large </w:t>
      </w:r>
      <w:r w:rsidRPr="00757AE9">
        <w:t xml:space="preserve">undertakings </w:t>
      </w:r>
      <w:r w:rsidR="00C83CD4" w:rsidRPr="00757AE9">
        <w:t xml:space="preserve">with more than 1000 employees and </w:t>
      </w:r>
      <w:r w:rsidRPr="00757AE9">
        <w:t xml:space="preserve">with a net turnover not exceeding EUR 450 million </w:t>
      </w:r>
      <w:r w:rsidR="00E31E7F" w:rsidRPr="00757AE9">
        <w:t>which</w:t>
      </w:r>
      <w:r w:rsidRPr="00757AE9">
        <w:t xml:space="preserve"> do not claim that their activities are associated with economic activities that qualify as environmentally sustainable under the Taxonomy Regulation. In addition, this proposal provides more flexibility by allowing these undertakings to report on activities that meet certain Taxonomy technical screening criteria without meeting all of them. Such reporting on partial alignment can foster a gradual environmental transition of activities overtime, in line with the aim to scale up transition finance.</w:t>
      </w:r>
    </w:p>
    <w:p w14:paraId="5CF4CBD3" w14:textId="77777777" w:rsidR="00666366" w:rsidRPr="00433D45" w:rsidRDefault="00E67F22" w:rsidP="00F2238A">
      <w:pPr>
        <w:pBdr>
          <w:top w:val="nil"/>
          <w:left w:val="nil"/>
          <w:bottom w:val="nil"/>
          <w:right w:val="nil"/>
          <w:between w:val="nil"/>
          <w:bar w:val="nil"/>
        </w:pBdr>
        <w:spacing w:before="0" w:after="240"/>
        <w:rPr>
          <w:lang w:val="en-IE"/>
        </w:rPr>
      </w:pPr>
      <w:r w:rsidRPr="00757AE9">
        <w:t>Secondly, t</w:t>
      </w:r>
      <w:r w:rsidR="00B1303B" w:rsidRPr="00757AE9">
        <w:t xml:space="preserve">he Commission intends to adopt a delegated act to revise the first set of ESRS. </w:t>
      </w:r>
      <w:r w:rsidR="009B253E" w:rsidRPr="00757AE9">
        <w:t xml:space="preserve">To deliver swiftly on the simplification and streamlining of the ESRS, </w:t>
      </w:r>
      <w:r w:rsidR="0085127F" w:rsidRPr="00757AE9">
        <w:t xml:space="preserve">and to provide clarity and legal certainty to undertakings, </w:t>
      </w:r>
      <w:r w:rsidR="009B253E" w:rsidRPr="00757AE9">
        <w:t>the Commission aims to adopt the ne</w:t>
      </w:r>
      <w:r w:rsidR="0085127F" w:rsidRPr="00757AE9">
        <w:t>cessary</w:t>
      </w:r>
      <w:r w:rsidR="009B253E" w:rsidRPr="00757AE9">
        <w:t xml:space="preserve"> delegated act as soon as possible, and at the latest six months after the entry into force of th</w:t>
      </w:r>
      <w:r w:rsidR="0085127F" w:rsidRPr="00757AE9">
        <w:t>is</w:t>
      </w:r>
      <w:r w:rsidR="009B253E" w:rsidRPr="00757AE9">
        <w:t xml:space="preserve"> proposal</w:t>
      </w:r>
      <w:r w:rsidR="0085127F" w:rsidRPr="00757AE9">
        <w:t xml:space="preserve">. </w:t>
      </w:r>
      <w:r w:rsidR="00B1303B" w:rsidRPr="00757AE9">
        <w:t xml:space="preserve">The revision of the delegated act will </w:t>
      </w:r>
      <w:r w:rsidR="00B1303B" w:rsidRPr="00757AE9" w:rsidDel="00954FEF">
        <w:t xml:space="preserve">substantially </w:t>
      </w:r>
      <w:r w:rsidR="00B1303B" w:rsidRPr="00757AE9">
        <w:t xml:space="preserve">reduce the number of </w:t>
      </w:r>
      <w:r w:rsidR="00156E97" w:rsidRPr="00757AE9">
        <w:t xml:space="preserve">mandatory </w:t>
      </w:r>
      <w:r w:rsidR="00B1303B" w:rsidRPr="00757AE9">
        <w:t>ESRS datapoints by</w:t>
      </w:r>
      <w:r w:rsidR="00EA0C91" w:rsidRPr="00757AE9">
        <w:t xml:space="preserve"> </w:t>
      </w:r>
      <w:r w:rsidR="00B65C56" w:rsidRPr="00757AE9">
        <w:t>(i)</w:t>
      </w:r>
      <w:r w:rsidR="00EA0C91" w:rsidRPr="00757AE9">
        <w:t xml:space="preserve"> </w:t>
      </w:r>
      <w:r w:rsidR="00B1303B" w:rsidRPr="00757AE9">
        <w:t>removing those deemed least important for general purpose sustainability reporting</w:t>
      </w:r>
      <w:r w:rsidR="00B65C56" w:rsidRPr="00757AE9">
        <w:t>, (ii)</w:t>
      </w:r>
      <w:r w:rsidR="000A40BE" w:rsidRPr="00757AE9">
        <w:t xml:space="preserve"> prioritising </w:t>
      </w:r>
      <w:r w:rsidR="000D5712" w:rsidRPr="00757AE9">
        <w:t xml:space="preserve">quantitative </w:t>
      </w:r>
      <w:r w:rsidR="008E5D5B" w:rsidRPr="00757AE9">
        <w:t xml:space="preserve">datapoints </w:t>
      </w:r>
      <w:r w:rsidR="00AF442A" w:rsidRPr="00757AE9">
        <w:t>over narrative text</w:t>
      </w:r>
      <w:r w:rsidR="00C335D5" w:rsidRPr="00757AE9">
        <w:t xml:space="preserve"> and (iii) further</w:t>
      </w:r>
      <w:r w:rsidR="00865F42" w:rsidRPr="00865F42">
        <w:t xml:space="preserve"> </w:t>
      </w:r>
      <w:r w:rsidR="00865F42" w:rsidRPr="00757AE9">
        <w:t>distinguishing between mandatory and voluntary datapoints</w:t>
      </w:r>
      <w:r w:rsidR="00B1303B" w:rsidRPr="00757AE9">
        <w:t>, without undermining interoperability with global reporting standards</w:t>
      </w:r>
      <w:r w:rsidR="003002EA" w:rsidRPr="00757AE9">
        <w:t xml:space="preserve"> and without prejudice </w:t>
      </w:r>
      <w:r w:rsidR="00403462" w:rsidRPr="00757AE9">
        <w:t xml:space="preserve">to the materiality assessment </w:t>
      </w:r>
      <w:r w:rsidR="004435C6" w:rsidRPr="00757AE9">
        <w:t>of each undertaking</w:t>
      </w:r>
      <w:r w:rsidR="00B1303B" w:rsidRPr="00757AE9">
        <w:t>. The revision will clarify provisions that are deemed unclear. It will improve consistency with other pieces of EU legislation. It will provide clearer instructions on how to apply the materiality principle, to ensure that undertakings only report material information and to reduce the risk that assurance service providers inadvertently encourage undertakings to report information that is not necessary or dedicate excessive resource</w:t>
      </w:r>
      <w:r w:rsidR="00507B98" w:rsidRPr="00757AE9">
        <w:t>s</w:t>
      </w:r>
      <w:r w:rsidR="00B1303B" w:rsidRPr="00757AE9">
        <w:t xml:space="preserve"> to the materiality assessment process. </w:t>
      </w:r>
      <w:r w:rsidR="00ED052B" w:rsidRPr="00757AE9">
        <w:t>I</w:t>
      </w:r>
      <w:r w:rsidR="00B1303B" w:rsidRPr="00757AE9">
        <w:t>t will simplify the structure and presentation of the standards. It will further enhance the already very high degree of interoperability with global sustainability reporting standards. It will also make any other modifications that may be considered necessary considering the experience of the first application of ESRS.</w:t>
      </w:r>
      <w:r w:rsidR="00500CA1" w:rsidRPr="00433D45">
        <w:rPr>
          <w:lang w:val="en-IE"/>
        </w:rPr>
        <w:t xml:space="preserve"> </w:t>
      </w:r>
    </w:p>
    <w:p w14:paraId="363C38C4" w14:textId="77777777" w:rsidR="00272251" w:rsidRPr="00757AE9" w:rsidRDefault="005C5015" w:rsidP="00272251">
      <w:pPr>
        <w:pBdr>
          <w:top w:val="nil"/>
          <w:left w:val="nil"/>
          <w:bottom w:val="nil"/>
          <w:right w:val="nil"/>
          <w:between w:val="nil"/>
          <w:bar w:val="nil"/>
        </w:pBdr>
        <w:spacing w:before="0" w:after="240"/>
      </w:pPr>
      <w:r w:rsidRPr="00C11055">
        <w:t xml:space="preserve">Thirdly, the separate proposal </w:t>
      </w:r>
      <w:r w:rsidR="00C819EB" w:rsidRPr="00C11055">
        <w:t xml:space="preserve">made by the Commission in parallel to this proposal </w:t>
      </w:r>
      <w:r w:rsidRPr="00C11055">
        <w:t xml:space="preserve">would postpone by two years the entry into application of the reporting requirements for the second wave (large undertakings that are not public interest entities </w:t>
      </w:r>
      <w:r w:rsidR="005B3C54" w:rsidRPr="00C11055">
        <w:t>and that have</w:t>
      </w:r>
      <w:r w:rsidRPr="00C11055">
        <w:t xml:space="preserve"> more than 500 employees</w:t>
      </w:r>
      <w:r w:rsidR="009B4A4A" w:rsidRPr="00C11055">
        <w:t xml:space="preserve">, as well as large </w:t>
      </w:r>
      <w:r w:rsidR="00CE3D67" w:rsidRPr="00C11055">
        <w:t>undertakings</w:t>
      </w:r>
      <w:r w:rsidR="009B4A4A" w:rsidRPr="00C11055">
        <w:t xml:space="preserve"> </w:t>
      </w:r>
      <w:r w:rsidR="005D6C99" w:rsidRPr="00C11055">
        <w:t>with up to</w:t>
      </w:r>
      <w:r w:rsidR="009B4A4A" w:rsidRPr="00C11055">
        <w:t xml:space="preserve"> 500 employees</w:t>
      </w:r>
      <w:r w:rsidR="00EF5439" w:rsidRPr="00433D45">
        <w:rPr>
          <w:rStyle w:val="FootnoteReference"/>
          <w:rFonts w:eastAsia="Arial Unicode MS"/>
          <w:lang w:val="en-IE" w:eastAsia="en-GB"/>
        </w:rPr>
        <w:footnoteReference w:id="18"/>
      </w:r>
      <w:r w:rsidRPr="00757AE9">
        <w:t>) and the third wave (listed SMEs</w:t>
      </w:r>
      <w:r w:rsidR="00D87A0E" w:rsidRPr="00757AE9">
        <w:t xml:space="preserve">, </w:t>
      </w:r>
      <w:r w:rsidR="008907D2" w:rsidRPr="00757AE9">
        <w:t>small and non-comple</w:t>
      </w:r>
      <w:r w:rsidR="0033108E" w:rsidRPr="00757AE9">
        <w:t>x credit institutions, and captive insurance and reinsurance undertakings</w:t>
      </w:r>
      <w:r w:rsidRPr="00757AE9">
        <w:t>).</w:t>
      </w:r>
      <w:r w:rsidR="00272251" w:rsidRPr="00757AE9">
        <w:t xml:space="preserve"> The objective of the postponement is to avoid a situation in which certain undertakings are required to report for financial year 2025 (second wave) or 2026 (third wave) and are then subsequently relieved of this requirement. Such a situation would mean that the undertakings in question incur unnecessary and avoidable costs.</w:t>
      </w:r>
    </w:p>
    <w:p w14:paraId="3F5A9A1C" w14:textId="77777777" w:rsidR="008C62C3" w:rsidRPr="00757AE9" w:rsidRDefault="007B18A8" w:rsidP="00B1303B">
      <w:pPr>
        <w:pBdr>
          <w:top w:val="nil"/>
          <w:left w:val="nil"/>
          <w:bottom w:val="nil"/>
          <w:right w:val="nil"/>
          <w:between w:val="nil"/>
          <w:bar w:val="nil"/>
        </w:pBdr>
        <w:spacing w:before="0" w:after="240"/>
      </w:pPr>
      <w:r w:rsidRPr="00757AE9">
        <w:lastRenderedPageBreak/>
        <w:t xml:space="preserve">The Commission </w:t>
      </w:r>
      <w:r w:rsidR="003649C9" w:rsidRPr="00757AE9">
        <w:t>invites</w:t>
      </w:r>
      <w:r w:rsidRPr="00757AE9">
        <w:t xml:space="preserve"> co-</w:t>
      </w:r>
      <w:r w:rsidR="003D740D" w:rsidRPr="00757AE9">
        <w:t>legislators</w:t>
      </w:r>
      <w:r w:rsidRPr="00757AE9">
        <w:t xml:space="preserve"> </w:t>
      </w:r>
      <w:r w:rsidR="003649C9" w:rsidRPr="00757AE9">
        <w:t>to</w:t>
      </w:r>
      <w:r w:rsidRPr="00757AE9">
        <w:t xml:space="preserve"> reach rapid agreement </w:t>
      </w:r>
      <w:r w:rsidR="00DA184F" w:rsidRPr="00757AE9">
        <w:t>on th</w:t>
      </w:r>
      <w:r w:rsidR="00451FE9" w:rsidRPr="00757AE9">
        <w:t>at</w:t>
      </w:r>
      <w:r w:rsidR="00DA184F" w:rsidRPr="00757AE9">
        <w:t xml:space="preserve"> postponement, </w:t>
      </w:r>
      <w:r w:rsidR="00A85489" w:rsidRPr="00757AE9">
        <w:t xml:space="preserve">in particular </w:t>
      </w:r>
      <w:r w:rsidR="00DA184F" w:rsidRPr="00757AE9">
        <w:t xml:space="preserve">to </w:t>
      </w:r>
      <w:r w:rsidR="003028FC" w:rsidRPr="00757AE9">
        <w:t xml:space="preserve">provide </w:t>
      </w:r>
      <w:r w:rsidR="00F30FB7" w:rsidRPr="00757AE9">
        <w:t xml:space="preserve">the necessary </w:t>
      </w:r>
      <w:r w:rsidR="003028FC" w:rsidRPr="00757AE9">
        <w:t xml:space="preserve">legal clarity for </w:t>
      </w:r>
      <w:r w:rsidR="00A85489" w:rsidRPr="00757AE9">
        <w:t xml:space="preserve">undertakings </w:t>
      </w:r>
      <w:r w:rsidR="00B80B3F" w:rsidRPr="00757AE9">
        <w:t xml:space="preserve">in the second wave </w:t>
      </w:r>
      <w:r w:rsidR="00A85489" w:rsidRPr="00757AE9">
        <w:t xml:space="preserve">that </w:t>
      </w:r>
      <w:r w:rsidR="00B80B3F" w:rsidRPr="00757AE9">
        <w:t>are</w:t>
      </w:r>
      <w:r w:rsidR="00A85489" w:rsidRPr="00757AE9">
        <w:t xml:space="preserve"> </w:t>
      </w:r>
      <w:r w:rsidR="008F4949" w:rsidRPr="00757AE9">
        <w:t xml:space="preserve">currently required </w:t>
      </w:r>
      <w:r w:rsidR="00B80B3F" w:rsidRPr="00757AE9">
        <w:t xml:space="preserve">to report </w:t>
      </w:r>
      <w:r w:rsidR="002361BC" w:rsidRPr="00757AE9">
        <w:t>f</w:t>
      </w:r>
      <w:r w:rsidR="00CD65AE" w:rsidRPr="00757AE9">
        <w:t>or</w:t>
      </w:r>
      <w:r w:rsidR="002361BC" w:rsidRPr="00757AE9">
        <w:t xml:space="preserve"> the first time in 2026 for financial year 2025. </w:t>
      </w:r>
    </w:p>
    <w:p w14:paraId="11D6F506" w14:textId="77777777" w:rsidR="00DE64B7" w:rsidRPr="00DE095D" w:rsidRDefault="00DE64B7" w:rsidP="008C75A3">
      <w:pPr>
        <w:pBdr>
          <w:top w:val="nil"/>
          <w:left w:val="nil"/>
          <w:bottom w:val="nil"/>
          <w:right w:val="nil"/>
          <w:between w:val="nil"/>
          <w:bar w:val="nil"/>
        </w:pBdr>
        <w:spacing w:before="0" w:after="240"/>
        <w:rPr>
          <w:u w:val="single"/>
        </w:rPr>
      </w:pPr>
      <w:r w:rsidRPr="00DE095D">
        <w:rPr>
          <w:u w:val="single"/>
        </w:rPr>
        <w:t>Specific context and objectives of this proposal regarding the CSDDD</w:t>
      </w:r>
    </w:p>
    <w:p w14:paraId="7E829A47" w14:textId="77777777" w:rsidR="00125B2B" w:rsidRPr="00757AE9" w:rsidRDefault="00125B2B" w:rsidP="0777A55B">
      <w:pPr>
        <w:pBdr>
          <w:top w:val="nil"/>
          <w:left w:val="nil"/>
          <w:bottom w:val="nil"/>
          <w:right w:val="nil"/>
          <w:between w:val="nil"/>
          <w:bar w:val="nil"/>
        </w:pBdr>
        <w:spacing w:before="0" w:after="240"/>
      </w:pPr>
      <w:r w:rsidRPr="00757AE9">
        <w:t>According to the current rules, Member States should transpose the CSDD Directive by 26</w:t>
      </w:r>
      <w:r w:rsidR="009F03EE" w:rsidRPr="00757AE9">
        <w:t> </w:t>
      </w:r>
      <w:r w:rsidRPr="00757AE9">
        <w:t xml:space="preserve">July 2026. Entry into application is envisaged in three waves: as from July 2027, the rules would start applying only to the largest EU companies, i.e. those that have more than 5000 employees and report a net annual (worldwide) turnover of more than 1.5 billion euro, as well as to non-EU companies that generate more than </w:t>
      </w:r>
      <w:r w:rsidR="00BC67B3" w:rsidRPr="00757AE9">
        <w:t xml:space="preserve">EUR </w:t>
      </w:r>
      <w:r w:rsidRPr="00757AE9">
        <w:t>1.5</w:t>
      </w:r>
      <w:r w:rsidR="009F03EE" w:rsidRPr="00757AE9">
        <w:t> </w:t>
      </w:r>
      <w:r w:rsidRPr="00757AE9">
        <w:t xml:space="preserve">billion net turnover in the EU. In the second wave, EU companies with more than 3000 employees and more than </w:t>
      </w:r>
      <w:r w:rsidR="00BC67B3" w:rsidRPr="00757AE9">
        <w:t xml:space="preserve">EUR </w:t>
      </w:r>
      <w:r w:rsidRPr="00757AE9">
        <w:t>900</w:t>
      </w:r>
      <w:r w:rsidR="009F03EE" w:rsidRPr="00757AE9">
        <w:t> </w:t>
      </w:r>
      <w:r w:rsidRPr="00757AE9">
        <w:t xml:space="preserve">million net turnover, as well as non-EU companies generating such net turnover in the EU would need to comply with the new framework as from July 2028. Last, in July 2029, all other companies falling under the general scope would have to start applying the (national rules transposing the) Directive. </w:t>
      </w:r>
      <w:r w:rsidR="009F03EE" w:rsidRPr="00757AE9">
        <w:t xml:space="preserve">As from this date, the CSDDD is estimated to apply to approximately 6000 large EU companies, and some 900 non-EU companies. The personal scope and phased-in application take into account that companies of different size have different capacities to implement the new mandatory framework and, as such, is a key element in ensuring a proportional approach. </w:t>
      </w:r>
    </w:p>
    <w:p w14:paraId="73659159" w14:textId="77777777" w:rsidR="00F32158" w:rsidRPr="00757AE9" w:rsidRDefault="4ADC5E86" w:rsidP="5F3086A4">
      <w:pPr>
        <w:pBdr>
          <w:top w:val="nil"/>
          <w:left w:val="nil"/>
          <w:bottom w:val="nil"/>
          <w:right w:val="nil"/>
          <w:between w:val="nil"/>
          <w:bar w:val="nil"/>
        </w:pBdr>
        <w:spacing w:before="0" w:after="240"/>
      </w:pPr>
      <w:r w:rsidRPr="00757AE9">
        <w:t>As regards large companies</w:t>
      </w:r>
      <w:r w:rsidR="00F32158" w:rsidRPr="00757AE9">
        <w:t xml:space="preserve">, the Directive adopts a risk-based approach, allowing </w:t>
      </w:r>
      <w:r w:rsidR="4CF66081" w:rsidRPr="00757AE9">
        <w:t>them</w:t>
      </w:r>
      <w:r w:rsidR="00F32158" w:rsidRPr="00757AE9">
        <w:t xml:space="preserve"> to prioritise addressing those impacts first which are most likely or most severe. Also, the Directive requires the company to take “appropriate measures” that are reasonably available to it, taking into account the circumstances of the specific case. </w:t>
      </w:r>
    </w:p>
    <w:p w14:paraId="1A85F168" w14:textId="77777777" w:rsidR="00F32158" w:rsidRPr="00757AE9" w:rsidRDefault="00F32158" w:rsidP="00724A24">
      <w:pPr>
        <w:pBdr>
          <w:top w:val="nil"/>
          <w:left w:val="nil"/>
          <w:bottom w:val="nil"/>
          <w:right w:val="nil"/>
          <w:between w:val="nil"/>
          <w:bar w:val="nil"/>
        </w:pBdr>
        <w:spacing w:before="0" w:after="240"/>
      </w:pPr>
      <w:r w:rsidRPr="00757AE9">
        <w:t xml:space="preserve">The Directive </w:t>
      </w:r>
      <w:r w:rsidR="2240314D" w:rsidRPr="00757AE9">
        <w:t xml:space="preserve">also </w:t>
      </w:r>
      <w:r w:rsidR="00B96053" w:rsidRPr="00757AE9">
        <w:t>enables</w:t>
      </w:r>
      <w:r w:rsidRPr="00757AE9">
        <w:t xml:space="preserve"> cost sharing opportunities through joint industry initiatives and multi-stakeholder initiatives</w:t>
      </w:r>
      <w:r w:rsidR="3107F28A" w:rsidRPr="00757AE9">
        <w:t xml:space="preserve">. </w:t>
      </w:r>
    </w:p>
    <w:p w14:paraId="1F8ACFD1" w14:textId="77777777" w:rsidR="00F32158" w:rsidRPr="00757AE9" w:rsidRDefault="787005D2" w:rsidP="0777A55B">
      <w:pPr>
        <w:pBdr>
          <w:top w:val="nil"/>
          <w:left w:val="nil"/>
          <w:bottom w:val="nil"/>
          <w:right w:val="nil"/>
          <w:between w:val="nil"/>
          <w:bar w:val="nil"/>
        </w:pBdr>
        <w:spacing w:before="0" w:after="240"/>
      </w:pPr>
      <w:r w:rsidRPr="00757AE9">
        <w:t>As regards p</w:t>
      </w:r>
      <w:r w:rsidR="00F32158" w:rsidRPr="00757AE9">
        <w:t>revent</w:t>
      </w:r>
      <w:r w:rsidR="021EA43A" w:rsidRPr="00757AE9">
        <w:t>ing</w:t>
      </w:r>
      <w:r w:rsidR="00F32158" w:rsidRPr="00757AE9">
        <w:t xml:space="preserve"> the shifting of the compliance burden on SME business partners, the Directive requires large companies under the scope to use </w:t>
      </w:r>
      <w:r w:rsidR="79DB7A77" w:rsidRPr="00757AE9">
        <w:t>responsible contractual clauses</w:t>
      </w:r>
      <w:r w:rsidR="00F32158" w:rsidRPr="00757AE9">
        <w:t xml:space="preserve">, investments, support, and improved purchasing practices. </w:t>
      </w:r>
    </w:p>
    <w:p w14:paraId="2B533EC6" w14:textId="77777777" w:rsidR="7E884F0E" w:rsidRPr="00757AE9" w:rsidRDefault="0FF3C6AE" w:rsidP="5F3086A4">
      <w:pPr>
        <w:pBdr>
          <w:top w:val="nil"/>
          <w:left w:val="nil"/>
          <w:bottom w:val="nil"/>
          <w:right w:val="nil"/>
          <w:between w:val="nil"/>
          <w:bar w:val="nil"/>
        </w:pBdr>
        <w:spacing w:before="0" w:after="240"/>
      </w:pPr>
      <w:r w:rsidRPr="00757AE9">
        <w:t xml:space="preserve">Despite all these elements, the Directive is perceived as imposing significant regulatory burden, in particular, when value chains are very complex and extensive and </w:t>
      </w:r>
      <w:r w:rsidR="30D336C6" w:rsidRPr="00757AE9">
        <w:t xml:space="preserve">therefore </w:t>
      </w:r>
      <w:r w:rsidRPr="00757AE9">
        <w:t xml:space="preserve">business associations have called for further simplifications and burden reduction, including regarding SMEs which may </w:t>
      </w:r>
      <w:r w:rsidR="4C23E1FB" w:rsidRPr="00757AE9">
        <w:t xml:space="preserve">allegedly </w:t>
      </w:r>
      <w:r w:rsidRPr="00757AE9">
        <w:t xml:space="preserve">still experience unwanted trickle-down effects. </w:t>
      </w:r>
      <w:r w:rsidR="476B3E09" w:rsidRPr="00757AE9">
        <w:t>Furthermore, b</w:t>
      </w:r>
      <w:r w:rsidRPr="00757AE9">
        <w:t xml:space="preserve">usiness associations have pointed to uncertainties linked to a </w:t>
      </w:r>
      <w:r w:rsidR="00624A4F" w:rsidRPr="00757AE9">
        <w:t xml:space="preserve">possible </w:t>
      </w:r>
      <w:r w:rsidRPr="00757AE9">
        <w:t xml:space="preserve">increase in liability risks.  </w:t>
      </w:r>
    </w:p>
    <w:p w14:paraId="339BEE19" w14:textId="77777777" w:rsidR="00F32158" w:rsidRPr="00757AE9" w:rsidRDefault="0076305C" w:rsidP="5F3086A4">
      <w:pPr>
        <w:pBdr>
          <w:top w:val="nil"/>
          <w:left w:val="nil"/>
          <w:bottom w:val="nil"/>
          <w:right w:val="nil"/>
          <w:between w:val="nil"/>
          <w:bar w:val="nil"/>
        </w:pBdr>
        <w:spacing w:before="0" w:after="240"/>
      </w:pPr>
      <w:r w:rsidRPr="00757AE9">
        <w:t>While the CSDDD already</w:t>
      </w:r>
      <w:r w:rsidR="002D5E40" w:rsidRPr="00757AE9">
        <w:t xml:space="preserve"> incorporates a number of mechanisms to ensure proportionality and to ensure that companies in scope obtain the reputational and resilience benefits of more sustainable value-chain management, t</w:t>
      </w:r>
      <w:r w:rsidR="00F32158" w:rsidRPr="00757AE9">
        <w:t>aking into account companies’ feedback, this proposal aims to clarify and simplify the framework, and to reduce the burden of companies, including one-off and recur</w:t>
      </w:r>
      <w:r w:rsidR="4F1658EB" w:rsidRPr="00757AE9">
        <w:t>r</w:t>
      </w:r>
      <w:r w:rsidR="00F32158" w:rsidRPr="00757AE9">
        <w:t xml:space="preserve">ing compliance costs, already in the short-term. In particular, the following changes are introduced to this end: </w:t>
      </w:r>
    </w:p>
    <w:p w14:paraId="000A0975" w14:textId="77777777" w:rsidR="00F20344" w:rsidRPr="00757AE9" w:rsidRDefault="410C98A4" w:rsidP="00757AE9">
      <w:pPr>
        <w:pStyle w:val="Tiret0"/>
      </w:pPr>
      <w:r w:rsidRPr="00757AE9">
        <w:t>tailoring</w:t>
      </w:r>
      <w:r w:rsidR="00F32158" w:rsidRPr="00757AE9">
        <w:t xml:space="preserve"> the obligations with respect to indirect business partners in the chain of activities</w:t>
      </w:r>
      <w:r w:rsidR="2179DE82" w:rsidRPr="00757AE9">
        <w:t xml:space="preserve"> to cases of circumvention or when there is information pointing to likely or actual adverse impacts</w:t>
      </w:r>
      <w:r w:rsidR="00F32158" w:rsidRPr="00757AE9">
        <w:t>,</w:t>
      </w:r>
    </w:p>
    <w:p w14:paraId="1C196ED9" w14:textId="77777777" w:rsidR="00AC3762" w:rsidRPr="00757AE9" w:rsidRDefault="00F32158" w:rsidP="00757AE9">
      <w:pPr>
        <w:pStyle w:val="Tiret0"/>
      </w:pPr>
      <w:r w:rsidRPr="00757AE9">
        <w:t>reducing the required frequency of the periodic monitoring exercises, and</w:t>
      </w:r>
    </w:p>
    <w:p w14:paraId="16BE4E28" w14:textId="77777777" w:rsidR="00F32158" w:rsidRPr="00757AE9" w:rsidRDefault="00F32158" w:rsidP="00757AE9">
      <w:pPr>
        <w:pStyle w:val="Tiret0"/>
      </w:pPr>
      <w:r w:rsidRPr="00757AE9">
        <w:lastRenderedPageBreak/>
        <w:t>clarifying and targeting the scope of stakeholder engagement.</w:t>
      </w:r>
    </w:p>
    <w:p w14:paraId="1DC9150C" w14:textId="77777777" w:rsidR="00BA49C9" w:rsidRPr="00757AE9" w:rsidRDefault="00F32158">
      <w:pPr>
        <w:pBdr>
          <w:top w:val="nil"/>
          <w:left w:val="nil"/>
          <w:bottom w:val="nil"/>
          <w:right w:val="nil"/>
          <w:between w:val="nil"/>
          <w:bar w:val="nil"/>
        </w:pBdr>
        <w:spacing w:before="0" w:after="240"/>
      </w:pPr>
      <w:r w:rsidRPr="00757AE9">
        <w:t>The proposal also includes several other elements that aim to increase legal certainty and create a level playing field in the EU, contributing to burden reduction and improved international competitiveness.</w:t>
      </w:r>
    </w:p>
    <w:p w14:paraId="46392FE5" w14:textId="77777777" w:rsidR="002B520F" w:rsidRPr="00757AE9" w:rsidRDefault="002B520F" w:rsidP="5F3086A4">
      <w:pPr>
        <w:pBdr>
          <w:top w:val="nil"/>
          <w:left w:val="nil"/>
          <w:bottom w:val="nil"/>
          <w:right w:val="nil"/>
          <w:between w:val="nil"/>
          <w:bar w:val="nil"/>
        </w:pBdr>
        <w:spacing w:before="0" w:after="240"/>
      </w:pPr>
      <w:r w:rsidRPr="00757AE9">
        <w:t>In</w:t>
      </w:r>
      <w:r w:rsidRPr="00433D45">
        <w:rPr>
          <w:lang w:val="en-IE" w:eastAsia="en-GB"/>
        </w:rPr>
        <w:t xml:space="preserve"> parallel with this proposal, the Commission has also adopted a proposal that would postpone by one year the transposition deadline and remove the first wave for the entry into application. </w:t>
      </w:r>
      <w:r w:rsidR="002213AA" w:rsidRPr="00433D45">
        <w:rPr>
          <w:lang w:val="en-IE" w:eastAsia="en-GB"/>
        </w:rPr>
        <w:t>By</w:t>
      </w:r>
      <w:r w:rsidRPr="00433D45">
        <w:rPr>
          <w:lang w:val="en-IE" w:eastAsia="en-GB"/>
        </w:rPr>
        <w:t xml:space="preserve"> </w:t>
      </w:r>
      <w:r w:rsidR="5207EC09" w:rsidRPr="00433D45">
        <w:rPr>
          <w:lang w:val="en-IE" w:eastAsia="en-GB"/>
        </w:rPr>
        <w:t>advancing</w:t>
      </w:r>
      <w:r w:rsidRPr="00433D45">
        <w:rPr>
          <w:lang w:val="en-IE" w:eastAsia="en-GB"/>
        </w:rPr>
        <w:t xml:space="preserve"> the deadline set out in the Directive for adopting the general guidelines by the Commission (Article 19(3)), the overall result is that in-scope companies will have </w:t>
      </w:r>
      <w:r w:rsidR="6B6EE58B" w:rsidRPr="00433D45">
        <w:rPr>
          <w:lang w:val="en-IE" w:eastAsia="en-GB"/>
        </w:rPr>
        <w:t>two years</w:t>
      </w:r>
      <w:r w:rsidRPr="00433D45">
        <w:rPr>
          <w:lang w:val="en-IE" w:eastAsia="en-GB"/>
        </w:rPr>
        <w:t xml:space="preserve"> to prepare for the entry into application</w:t>
      </w:r>
      <w:r w:rsidR="1E22AC2E" w:rsidRPr="00433D45">
        <w:rPr>
          <w:lang w:val="en-IE" w:eastAsia="en-GB"/>
        </w:rPr>
        <w:t xml:space="preserve"> allowing them </w:t>
      </w:r>
      <w:r w:rsidR="00067D21" w:rsidRPr="00433D45">
        <w:rPr>
          <w:lang w:val="en-IE" w:eastAsia="en-GB"/>
        </w:rPr>
        <w:t xml:space="preserve">to </w:t>
      </w:r>
      <w:r w:rsidRPr="00433D45">
        <w:rPr>
          <w:lang w:val="en-IE" w:eastAsia="en-GB"/>
        </w:rPr>
        <w:t>tak</w:t>
      </w:r>
      <w:r w:rsidR="5AB20B40" w:rsidRPr="00433D45">
        <w:rPr>
          <w:lang w:val="en-IE" w:eastAsia="en-GB"/>
        </w:rPr>
        <w:t>e fully</w:t>
      </w:r>
      <w:r w:rsidRPr="00433D45">
        <w:rPr>
          <w:lang w:val="en-IE" w:eastAsia="en-GB"/>
        </w:rPr>
        <w:t xml:space="preserve"> into account the </w:t>
      </w:r>
      <w:r w:rsidR="230B349E" w:rsidRPr="00433D45">
        <w:rPr>
          <w:lang w:val="en-IE" w:eastAsia="en-GB"/>
        </w:rPr>
        <w:t>best</w:t>
      </w:r>
      <w:r w:rsidRPr="00433D45">
        <w:rPr>
          <w:lang w:val="en-IE" w:eastAsia="en-GB"/>
        </w:rPr>
        <w:t xml:space="preserve"> </w:t>
      </w:r>
      <w:r w:rsidR="230B349E" w:rsidRPr="00433D45">
        <w:rPr>
          <w:lang w:val="en-IE" w:eastAsia="en-GB"/>
        </w:rPr>
        <w:t xml:space="preserve">practices </w:t>
      </w:r>
      <w:r w:rsidRPr="00433D45">
        <w:rPr>
          <w:lang w:val="en-IE" w:eastAsia="en-GB"/>
        </w:rPr>
        <w:t>provided in these guidelines</w:t>
      </w:r>
      <w:r w:rsidR="002213AA" w:rsidRPr="00433D45">
        <w:rPr>
          <w:lang w:val="en-IE" w:eastAsia="en-GB"/>
        </w:rPr>
        <w:t>.</w:t>
      </w:r>
    </w:p>
    <w:p w14:paraId="1AEF496C" w14:textId="77777777" w:rsidR="009D1FEE" w:rsidRPr="00433D45" w:rsidRDefault="009D1FEE">
      <w:pPr>
        <w:pStyle w:val="ManualHeading2"/>
        <w:rPr>
          <w:rFonts w:eastAsia="Arial Unicode MS"/>
          <w:color w:val="000000"/>
          <w:u w:color="000000"/>
          <w:bdr w:val="nil"/>
          <w:lang w:val="en-IE" w:eastAsia="en-GB"/>
        </w:rPr>
      </w:pPr>
      <w:bookmarkStart w:id="2" w:name="_Toc191189468"/>
      <w:r w:rsidRPr="00433D45">
        <w:rPr>
          <w:rFonts w:eastAsia="Arial Unicode MS"/>
          <w:color w:val="000000"/>
          <w:u w:color="000000"/>
          <w:bdr w:val="nil"/>
          <w:lang w:val="en-IE" w:eastAsia="en-GB"/>
        </w:rPr>
        <w:t>•</w:t>
      </w:r>
      <w:r w:rsidRPr="00433D45">
        <w:rPr>
          <w:rFonts w:eastAsia="Arial Unicode MS"/>
          <w:color w:val="000000"/>
          <w:u w:color="000000"/>
          <w:bdr w:val="nil"/>
          <w:lang w:val="en-IE" w:eastAsia="en-GB"/>
        </w:rPr>
        <w:tab/>
      </w:r>
      <w:r w:rsidRPr="00433D45">
        <w:rPr>
          <w:rFonts w:eastAsia="Arial Unicode MS"/>
          <w:lang w:val="en-IE"/>
        </w:rPr>
        <w:t>Consistency with existing policy provisions in the policy area</w:t>
      </w:r>
      <w:bookmarkEnd w:id="2"/>
    </w:p>
    <w:p w14:paraId="68E076EB" w14:textId="77777777" w:rsidR="00BD78DA" w:rsidRPr="00433D45" w:rsidRDefault="00BD78DA" w:rsidP="00DE466D">
      <w:pPr>
        <w:keepNext/>
        <w:pBdr>
          <w:top w:val="nil"/>
          <w:left w:val="nil"/>
          <w:bottom w:val="nil"/>
          <w:right w:val="nil"/>
          <w:between w:val="nil"/>
          <w:bar w:val="nil"/>
        </w:pBdr>
        <w:spacing w:before="0" w:after="240"/>
        <w:rPr>
          <w:rFonts w:eastAsia="Arial Unicode MS"/>
          <w:lang w:val="en-IE"/>
        </w:rPr>
      </w:pPr>
      <w:r w:rsidRPr="00433D45">
        <w:rPr>
          <w:rFonts w:eastAsia="Arial Unicode MS"/>
          <w:u w:val="single"/>
          <w:lang w:val="en-IE"/>
        </w:rPr>
        <w:t>Corporate Sustainability Reporting Directive</w:t>
      </w:r>
    </w:p>
    <w:p w14:paraId="063F088A" w14:textId="77777777" w:rsidR="00A007FB" w:rsidRPr="00433D45" w:rsidRDefault="00A007FB" w:rsidP="00A007FB">
      <w:pPr>
        <w:pBdr>
          <w:top w:val="nil"/>
          <w:left w:val="nil"/>
          <w:bottom w:val="nil"/>
          <w:right w:val="nil"/>
          <w:between w:val="nil"/>
          <w:bar w:val="nil"/>
        </w:pBdr>
        <w:spacing w:before="0" w:after="240"/>
        <w:rPr>
          <w:rFonts w:eastAsia="Arial Unicode MS"/>
          <w:lang w:val="en-IE"/>
        </w:rPr>
      </w:pPr>
      <w:r w:rsidRPr="00433D45">
        <w:rPr>
          <w:rFonts w:eastAsia="Arial Unicode MS"/>
          <w:lang w:val="en-IE"/>
        </w:rPr>
        <w:t xml:space="preserve">By removing the distinction between listed and non-listed </w:t>
      </w:r>
      <w:r w:rsidR="00272AF2">
        <w:rPr>
          <w:rFonts w:eastAsia="Arial Unicode MS"/>
          <w:lang w:val="en-IE"/>
        </w:rPr>
        <w:t>undertakings</w:t>
      </w:r>
      <w:r w:rsidR="00272AF2" w:rsidRPr="00433D45">
        <w:rPr>
          <w:rFonts w:eastAsia="Arial Unicode MS"/>
          <w:lang w:val="en-IE"/>
        </w:rPr>
        <w:t xml:space="preserve"> </w:t>
      </w:r>
      <w:r w:rsidRPr="00433D45">
        <w:rPr>
          <w:rFonts w:eastAsia="Arial Unicode MS"/>
          <w:lang w:val="en-IE"/>
        </w:rPr>
        <w:t>this proposal is consistent with the goal of the Capital Markets Union to make EU regulated markets more attractive as a source of financing.</w:t>
      </w:r>
    </w:p>
    <w:p w14:paraId="3B375094" w14:textId="77777777" w:rsidR="00A007FB" w:rsidRPr="00433D45" w:rsidRDefault="00A007FB" w:rsidP="00A007FB">
      <w:pPr>
        <w:pBdr>
          <w:top w:val="nil"/>
          <w:left w:val="nil"/>
          <w:bottom w:val="nil"/>
          <w:right w:val="nil"/>
          <w:between w:val="nil"/>
          <w:bar w:val="nil"/>
        </w:pBdr>
        <w:spacing w:before="0" w:after="240"/>
        <w:rPr>
          <w:rFonts w:eastAsia="Arial Unicode MS"/>
          <w:lang w:val="en-IE"/>
        </w:rPr>
      </w:pPr>
      <w:r w:rsidRPr="00433D45">
        <w:rPr>
          <w:rFonts w:eastAsia="Arial Unicode MS"/>
          <w:lang w:val="en-IE"/>
        </w:rPr>
        <w:t>The reporting requirements set out in the CSRD and ESRS aim to ensure, amongst other things, that financial market participants, credit institutions and benchmark administrators have access to the sustainability information that they need from undertakings to meet their own reporting obligations under the Sustainable Finance Disclosure Regulation, the Capital Requirements Regulation and the Benchmarks Regulation. Undertakings that would no longer be subject to the CSRD reporting requirements according to this proposal may still provide information to financial market participants, credit institutions and benchmark administrators on a voluntary basis. Where appropriate they may do this using the voluntary reporting standard</w:t>
      </w:r>
      <w:r w:rsidR="009506CB" w:rsidRPr="00433D45">
        <w:rPr>
          <w:rFonts w:eastAsia="Arial Unicode MS"/>
          <w:lang w:val="en-IE"/>
        </w:rPr>
        <w:t>s</w:t>
      </w:r>
      <w:r w:rsidRPr="00433D45">
        <w:rPr>
          <w:rFonts w:eastAsia="Arial Unicode MS"/>
          <w:lang w:val="en-IE"/>
        </w:rPr>
        <w:t xml:space="preserve"> that, according to this proposal, the Commission would adopt as delegated act</w:t>
      </w:r>
      <w:r w:rsidR="00EC20AF" w:rsidRPr="00433D45">
        <w:rPr>
          <w:rFonts w:eastAsia="Arial Unicode MS"/>
          <w:lang w:val="en-IE"/>
        </w:rPr>
        <w:t>s</w:t>
      </w:r>
      <w:r w:rsidRPr="00433D45">
        <w:rPr>
          <w:rFonts w:eastAsia="Arial Unicode MS"/>
          <w:lang w:val="en-IE"/>
        </w:rPr>
        <w:t xml:space="preserve">. </w:t>
      </w:r>
    </w:p>
    <w:p w14:paraId="541B0B51" w14:textId="77777777" w:rsidR="007E5C46" w:rsidRPr="00433D45" w:rsidRDefault="00CA7A0B" w:rsidP="00A007FB">
      <w:pPr>
        <w:pBdr>
          <w:top w:val="nil"/>
          <w:left w:val="nil"/>
          <w:bottom w:val="nil"/>
          <w:right w:val="nil"/>
          <w:between w:val="nil"/>
          <w:bar w:val="nil"/>
        </w:pBdr>
        <w:spacing w:before="0" w:after="240"/>
        <w:rPr>
          <w:rFonts w:eastAsia="Arial Unicode MS"/>
          <w:lang w:val="en-IE"/>
        </w:rPr>
      </w:pPr>
      <w:r w:rsidRPr="00757AE9">
        <w:t>According</w:t>
      </w:r>
      <w:r w:rsidRPr="00433D45">
        <w:rPr>
          <w:rFonts w:eastAsia="Arial Unicode MS"/>
          <w:lang w:val="en-IE"/>
        </w:rPr>
        <w:t xml:space="preserve"> to this</w:t>
      </w:r>
      <w:r w:rsidR="009E2627" w:rsidRPr="00433D45">
        <w:rPr>
          <w:rFonts w:eastAsia="Arial Unicode MS"/>
          <w:lang w:val="en-IE"/>
        </w:rPr>
        <w:t xml:space="preserve"> proposal</w:t>
      </w:r>
      <w:r w:rsidRPr="00433D45">
        <w:rPr>
          <w:rFonts w:eastAsia="Arial Unicode MS"/>
          <w:lang w:val="en-IE"/>
        </w:rPr>
        <w:t xml:space="preserve">, </w:t>
      </w:r>
      <w:r w:rsidR="00E851E8" w:rsidRPr="00433D45">
        <w:rPr>
          <w:rFonts w:eastAsia="Arial Unicode MS"/>
          <w:lang w:val="en-IE"/>
        </w:rPr>
        <w:t xml:space="preserve">to be in scope of the </w:t>
      </w:r>
      <w:r w:rsidR="00990048" w:rsidRPr="00433D45">
        <w:rPr>
          <w:rFonts w:eastAsia="Arial Unicode MS"/>
          <w:lang w:val="en-IE"/>
        </w:rPr>
        <w:t xml:space="preserve">sustainability reporting </w:t>
      </w:r>
      <w:r w:rsidR="00790395" w:rsidRPr="00433D45">
        <w:rPr>
          <w:rFonts w:eastAsia="Arial Unicode MS"/>
          <w:lang w:val="en-IE"/>
        </w:rPr>
        <w:t>requirements</w:t>
      </w:r>
      <w:r w:rsidR="00E851E8" w:rsidRPr="00433D45">
        <w:rPr>
          <w:rFonts w:eastAsia="Arial Unicode MS"/>
          <w:lang w:val="en-IE"/>
        </w:rPr>
        <w:t xml:space="preserve"> und</w:t>
      </w:r>
      <w:r w:rsidR="00361D7E" w:rsidRPr="00433D45">
        <w:rPr>
          <w:rFonts w:eastAsia="Arial Unicode MS"/>
          <w:lang w:val="en-IE"/>
        </w:rPr>
        <w:t xml:space="preserve">ertakings must have </w:t>
      </w:r>
      <w:r w:rsidR="0075776C" w:rsidRPr="00433D45">
        <w:rPr>
          <w:rFonts w:eastAsia="Arial Unicode MS"/>
          <w:lang w:val="en-IE"/>
        </w:rPr>
        <w:t>more than 1000 employees</w:t>
      </w:r>
      <w:r w:rsidR="00361D7E" w:rsidRPr="00433D45">
        <w:rPr>
          <w:rFonts w:eastAsia="Arial Unicode MS"/>
          <w:lang w:val="en-IE"/>
        </w:rPr>
        <w:t xml:space="preserve">. </w:t>
      </w:r>
      <w:r w:rsidR="007B304B" w:rsidRPr="00433D45">
        <w:rPr>
          <w:rFonts w:eastAsia="Arial Unicode MS"/>
          <w:lang w:val="en-IE"/>
        </w:rPr>
        <w:t xml:space="preserve">Since </w:t>
      </w:r>
      <w:r w:rsidR="006C4C83">
        <w:rPr>
          <w:rFonts w:eastAsia="Arial Unicode MS"/>
          <w:lang w:val="en-IE"/>
        </w:rPr>
        <w:t>the 1000 employee threshold is one of</w:t>
      </w:r>
      <w:r w:rsidR="00361D7E" w:rsidRPr="00433D45">
        <w:rPr>
          <w:rFonts w:eastAsia="Arial Unicode MS"/>
          <w:lang w:val="en-IE"/>
        </w:rPr>
        <w:t xml:space="preserve"> the </w:t>
      </w:r>
      <w:r w:rsidR="00283DFC" w:rsidRPr="00433D45">
        <w:rPr>
          <w:rFonts w:eastAsia="Arial Unicode MS"/>
          <w:lang w:val="en-IE"/>
        </w:rPr>
        <w:t>main</w:t>
      </w:r>
      <w:r w:rsidR="00361D7E" w:rsidRPr="00433D45">
        <w:rPr>
          <w:rFonts w:eastAsia="Arial Unicode MS"/>
          <w:lang w:val="en-IE"/>
        </w:rPr>
        <w:t xml:space="preserve"> </w:t>
      </w:r>
      <w:r w:rsidR="007B304B" w:rsidRPr="00433D45">
        <w:rPr>
          <w:rFonts w:eastAsia="Arial Unicode MS"/>
          <w:lang w:val="en-IE"/>
        </w:rPr>
        <w:t>criteria</w:t>
      </w:r>
      <w:r w:rsidR="00891301" w:rsidRPr="00433D45">
        <w:rPr>
          <w:rFonts w:eastAsia="Arial Unicode MS"/>
          <w:lang w:val="en-IE"/>
        </w:rPr>
        <w:t xml:space="preserve"> used </w:t>
      </w:r>
      <w:r w:rsidR="00991E6D" w:rsidRPr="00433D45">
        <w:rPr>
          <w:rFonts w:eastAsia="Arial Unicode MS"/>
          <w:lang w:val="en-IE"/>
        </w:rPr>
        <w:t xml:space="preserve">to </w:t>
      </w:r>
      <w:r w:rsidR="00891301" w:rsidRPr="00433D45">
        <w:rPr>
          <w:rFonts w:eastAsia="Arial Unicode MS"/>
          <w:lang w:val="en-IE"/>
        </w:rPr>
        <w:t>define which undertakings are subject to the CSDDD</w:t>
      </w:r>
      <w:r w:rsidR="007B304B" w:rsidRPr="00433D45">
        <w:rPr>
          <w:rFonts w:eastAsia="Arial Unicode MS"/>
          <w:lang w:val="en-IE"/>
        </w:rPr>
        <w:t xml:space="preserve">, this proposal </w:t>
      </w:r>
      <w:r w:rsidR="00BA03ED" w:rsidRPr="00433D45">
        <w:rPr>
          <w:rFonts w:eastAsia="Arial Unicode MS"/>
          <w:lang w:val="en-IE"/>
        </w:rPr>
        <w:t>promotes</w:t>
      </w:r>
      <w:r w:rsidR="005A3CAC" w:rsidRPr="00433D45">
        <w:rPr>
          <w:rFonts w:eastAsia="Arial Unicode MS"/>
          <w:lang w:val="en-IE"/>
        </w:rPr>
        <w:t xml:space="preserve"> </w:t>
      </w:r>
      <w:r w:rsidR="002F30A3" w:rsidRPr="00433D45">
        <w:rPr>
          <w:rFonts w:eastAsia="Arial Unicode MS"/>
          <w:lang w:val="en-IE"/>
        </w:rPr>
        <w:t>closer alignment between</w:t>
      </w:r>
      <w:r w:rsidR="003337FD" w:rsidRPr="00433D45">
        <w:rPr>
          <w:rFonts w:eastAsia="Arial Unicode MS"/>
          <w:lang w:val="en-IE"/>
        </w:rPr>
        <w:t xml:space="preserve"> the </w:t>
      </w:r>
      <w:r w:rsidR="002F30A3" w:rsidRPr="00433D45">
        <w:rPr>
          <w:rFonts w:eastAsia="Arial Unicode MS"/>
          <w:lang w:val="en-IE"/>
        </w:rPr>
        <w:t xml:space="preserve">CSRD and </w:t>
      </w:r>
      <w:r w:rsidR="003337FD" w:rsidRPr="00433D45">
        <w:rPr>
          <w:rFonts w:eastAsia="Arial Unicode MS"/>
          <w:lang w:val="en-IE"/>
        </w:rPr>
        <w:t>CSDDD.</w:t>
      </w:r>
    </w:p>
    <w:p w14:paraId="2C8DFC31" w14:textId="77777777" w:rsidR="00A007FB" w:rsidRPr="00433D45" w:rsidRDefault="00A007FB" w:rsidP="00A007FB">
      <w:pPr>
        <w:pBdr>
          <w:top w:val="nil"/>
          <w:left w:val="nil"/>
          <w:bottom w:val="nil"/>
          <w:right w:val="nil"/>
          <w:between w:val="nil"/>
          <w:bar w:val="nil"/>
        </w:pBdr>
        <w:spacing w:before="0" w:after="240"/>
        <w:rPr>
          <w:rFonts w:eastAsia="Arial Unicode MS"/>
          <w:lang w:val="en-IE"/>
        </w:rPr>
      </w:pPr>
      <w:r w:rsidRPr="00757AE9">
        <w:t>Undertakings</w:t>
      </w:r>
      <w:r w:rsidRPr="00433D45">
        <w:rPr>
          <w:rFonts w:eastAsia="Arial Unicode MS"/>
          <w:lang w:val="en-IE"/>
        </w:rPr>
        <w:t xml:space="preserve"> subject to both the CSRD and the CSDDD are not required by the CSDDD to report any information additional to what they are required to report under the CSRD. The proposed modifications will not take out of the CSRD scope any undertakings that are subject to the CSDDD, meaning that this consistency between the two pieces of legislation is maintained.    </w:t>
      </w:r>
    </w:p>
    <w:p w14:paraId="5E10AE81" w14:textId="77777777" w:rsidR="006312E2" w:rsidRPr="00433D45" w:rsidRDefault="00EF73FD">
      <w:pPr>
        <w:pBdr>
          <w:top w:val="nil"/>
          <w:left w:val="nil"/>
          <w:bottom w:val="nil"/>
          <w:right w:val="nil"/>
          <w:between w:val="nil"/>
          <w:bar w:val="nil"/>
        </w:pBdr>
        <w:spacing w:before="0" w:after="240"/>
        <w:rPr>
          <w:rFonts w:eastAsia="Arial Unicode MS"/>
          <w:lang w:val="en-IE"/>
        </w:rPr>
      </w:pPr>
      <w:r w:rsidRPr="00757AE9">
        <w:t>C</w:t>
      </w:r>
      <w:r w:rsidR="008747E3" w:rsidRPr="00757AE9">
        <w:t>onsistency</w:t>
      </w:r>
      <w:r w:rsidR="008747E3" w:rsidRPr="00433D45">
        <w:rPr>
          <w:rFonts w:eastAsia="Arial Unicode MS"/>
          <w:lang w:val="en-IE"/>
        </w:rPr>
        <w:t xml:space="preserve"> with other pieces of EU legislation </w:t>
      </w:r>
      <w:r w:rsidRPr="00433D45">
        <w:rPr>
          <w:rFonts w:eastAsia="Arial Unicode MS"/>
          <w:lang w:val="en-IE"/>
        </w:rPr>
        <w:t xml:space="preserve">will be enhanced </w:t>
      </w:r>
      <w:r w:rsidR="000F6D99" w:rsidRPr="00433D45">
        <w:rPr>
          <w:rFonts w:eastAsia="Arial Unicode MS"/>
          <w:lang w:val="en-IE"/>
        </w:rPr>
        <w:t xml:space="preserve">through </w:t>
      </w:r>
      <w:r w:rsidR="008747E3" w:rsidRPr="00433D45">
        <w:rPr>
          <w:rFonts w:eastAsia="Arial Unicode MS"/>
          <w:lang w:val="en-IE"/>
        </w:rPr>
        <w:t xml:space="preserve">modifications to </w:t>
      </w:r>
      <w:r w:rsidR="008757E4" w:rsidRPr="00433D45">
        <w:rPr>
          <w:rFonts w:eastAsia="Arial Unicode MS"/>
          <w:lang w:val="en-IE"/>
        </w:rPr>
        <w:t xml:space="preserve">the </w:t>
      </w:r>
      <w:r w:rsidR="008747E3" w:rsidRPr="00433D45">
        <w:rPr>
          <w:rFonts w:eastAsia="Arial Unicode MS"/>
          <w:lang w:val="en-IE"/>
        </w:rPr>
        <w:t xml:space="preserve">ESRS </w:t>
      </w:r>
      <w:r w:rsidR="008757E4" w:rsidRPr="00433D45">
        <w:rPr>
          <w:rFonts w:eastAsia="Arial Unicode MS"/>
          <w:lang w:val="en-IE"/>
        </w:rPr>
        <w:t xml:space="preserve">delegated act </w:t>
      </w:r>
      <w:r w:rsidR="00677569" w:rsidRPr="00433D45">
        <w:rPr>
          <w:rFonts w:eastAsia="Arial Unicode MS"/>
          <w:lang w:val="en-IE"/>
        </w:rPr>
        <w:t xml:space="preserve">where modifications to ESRS are </w:t>
      </w:r>
      <w:r w:rsidR="00B5702E" w:rsidRPr="00433D45">
        <w:rPr>
          <w:rFonts w:eastAsia="Arial Unicode MS"/>
          <w:lang w:val="en-IE"/>
        </w:rPr>
        <w:t xml:space="preserve">the most </w:t>
      </w:r>
      <w:r w:rsidR="008747E3" w:rsidRPr="00433D45">
        <w:rPr>
          <w:rFonts w:eastAsia="Arial Unicode MS"/>
          <w:lang w:val="en-IE"/>
        </w:rPr>
        <w:t>appropriate means of achieving that</w:t>
      </w:r>
      <w:r w:rsidR="00B5702E" w:rsidRPr="00433D45">
        <w:rPr>
          <w:rFonts w:eastAsia="Arial Unicode MS"/>
          <w:lang w:val="en-IE"/>
        </w:rPr>
        <w:t xml:space="preserve"> goal</w:t>
      </w:r>
      <w:r w:rsidR="008747E3" w:rsidRPr="00433D45">
        <w:rPr>
          <w:rFonts w:eastAsia="Arial Unicode MS"/>
          <w:lang w:val="en-IE"/>
        </w:rPr>
        <w:t>.</w:t>
      </w:r>
    </w:p>
    <w:p w14:paraId="41036860" w14:textId="77777777" w:rsidR="00BD78DA" w:rsidRPr="00433D45" w:rsidRDefault="00BD78DA" w:rsidP="00DE466D">
      <w:pPr>
        <w:keepNext/>
        <w:pBdr>
          <w:top w:val="nil"/>
          <w:left w:val="nil"/>
          <w:bottom w:val="nil"/>
          <w:right w:val="nil"/>
          <w:between w:val="nil"/>
          <w:bar w:val="nil"/>
        </w:pBdr>
        <w:spacing w:before="0" w:after="240"/>
        <w:rPr>
          <w:rFonts w:eastAsia="Arial Unicode MS"/>
          <w:u w:val="single"/>
          <w:lang w:val="en-IE"/>
        </w:rPr>
      </w:pPr>
      <w:r w:rsidRPr="00433D45">
        <w:rPr>
          <w:rFonts w:eastAsia="Arial Unicode MS"/>
          <w:u w:val="single"/>
          <w:lang w:val="en-IE"/>
        </w:rPr>
        <w:t>Corporate Sustainability Due Diligence Directive</w:t>
      </w:r>
    </w:p>
    <w:p w14:paraId="3AC7F8BA" w14:textId="77777777" w:rsidR="060D8B42" w:rsidRPr="00433D45" w:rsidRDefault="24869CF2" w:rsidP="00DE466D">
      <w:pPr>
        <w:pBdr>
          <w:top w:val="nil"/>
          <w:left w:val="nil"/>
          <w:bottom w:val="nil"/>
          <w:right w:val="nil"/>
          <w:between w:val="nil"/>
          <w:bar w:val="nil"/>
        </w:pBdr>
        <w:spacing w:before="0" w:after="240"/>
        <w:rPr>
          <w:lang w:eastAsia="en-GB"/>
        </w:rPr>
      </w:pPr>
      <w:r w:rsidRPr="00757AE9">
        <w:t>Under</w:t>
      </w:r>
      <w:r w:rsidRPr="162529BC">
        <w:rPr>
          <w:lang w:eastAsia="en-GB"/>
        </w:rPr>
        <w:t xml:space="preserve"> the CSRD/ESRS, reporting on adverse impacts is not limited to direct value chain partners. Consistency with the CSRD is maintained as t</w:t>
      </w:r>
      <w:r w:rsidR="060D8B42" w:rsidRPr="162529BC">
        <w:rPr>
          <w:lang w:eastAsia="en-GB"/>
        </w:rPr>
        <w:t>he propos</w:t>
      </w:r>
      <w:r w:rsidR="23A6953D" w:rsidRPr="162529BC">
        <w:rPr>
          <w:lang w:eastAsia="en-GB"/>
        </w:rPr>
        <w:t xml:space="preserve">ed changes </w:t>
      </w:r>
      <w:r w:rsidR="1830368D" w:rsidRPr="162529BC">
        <w:rPr>
          <w:lang w:eastAsia="en-GB"/>
        </w:rPr>
        <w:t xml:space="preserve">to CSDDD </w:t>
      </w:r>
      <w:r w:rsidR="5915A350" w:rsidRPr="162529BC">
        <w:rPr>
          <w:lang w:eastAsia="en-GB"/>
        </w:rPr>
        <w:t>limiting due diligence</w:t>
      </w:r>
      <w:r w:rsidR="6B4F5544" w:rsidRPr="162529BC">
        <w:rPr>
          <w:lang w:eastAsia="en-GB"/>
        </w:rPr>
        <w:t>, in the first place,</w:t>
      </w:r>
      <w:r w:rsidR="5915A350" w:rsidRPr="162529BC">
        <w:rPr>
          <w:lang w:eastAsia="en-GB"/>
        </w:rPr>
        <w:t xml:space="preserve"> to direct value chain partners</w:t>
      </w:r>
      <w:r w:rsidR="279E992F" w:rsidRPr="162529BC">
        <w:rPr>
          <w:lang w:eastAsia="en-GB"/>
        </w:rPr>
        <w:t xml:space="preserve"> are complemented by requirements for companies in scope to assess indirect business par</w:t>
      </w:r>
      <w:r w:rsidR="0586BE66" w:rsidRPr="162529BC">
        <w:rPr>
          <w:lang w:eastAsia="en-GB"/>
        </w:rPr>
        <w:t xml:space="preserve">tners in case of </w:t>
      </w:r>
      <w:r w:rsidR="0071076E">
        <w:rPr>
          <w:lang w:eastAsia="en-GB"/>
        </w:rPr>
        <w:t xml:space="preserve">plausible </w:t>
      </w:r>
      <w:r w:rsidR="0586BE66" w:rsidRPr="162529BC">
        <w:rPr>
          <w:lang w:eastAsia="en-GB"/>
        </w:rPr>
        <w:t>information suggesting actual or potential impacts at their level</w:t>
      </w:r>
      <w:r w:rsidR="29DBEC65" w:rsidRPr="162529BC">
        <w:rPr>
          <w:lang w:eastAsia="en-GB"/>
        </w:rPr>
        <w:t xml:space="preserve">. The CSRD </w:t>
      </w:r>
      <w:r w:rsidR="5C6483B4" w:rsidRPr="162529BC">
        <w:rPr>
          <w:lang w:eastAsia="en-GB"/>
        </w:rPr>
        <w:t xml:space="preserve">complements </w:t>
      </w:r>
      <w:r w:rsidR="7BDA954F" w:rsidRPr="162529BC">
        <w:rPr>
          <w:lang w:eastAsia="en-GB"/>
        </w:rPr>
        <w:t xml:space="preserve">the </w:t>
      </w:r>
      <w:r w:rsidR="7BDA954F" w:rsidRPr="162529BC">
        <w:rPr>
          <w:lang w:eastAsia="en-GB"/>
        </w:rPr>
        <w:lastRenderedPageBreak/>
        <w:t xml:space="preserve">CSDDD </w:t>
      </w:r>
      <w:r w:rsidR="5C6483B4" w:rsidRPr="162529BC">
        <w:rPr>
          <w:lang w:eastAsia="en-GB"/>
        </w:rPr>
        <w:t xml:space="preserve">regarding due diligence </w:t>
      </w:r>
      <w:r w:rsidR="251D6D4E" w:rsidRPr="162529BC">
        <w:rPr>
          <w:lang w:eastAsia="en-GB"/>
        </w:rPr>
        <w:t>reporting</w:t>
      </w:r>
      <w:r w:rsidR="5EB5453E" w:rsidRPr="162529BC">
        <w:rPr>
          <w:lang w:eastAsia="en-GB"/>
        </w:rPr>
        <w:t xml:space="preserve"> and the scope of both legal act</w:t>
      </w:r>
      <w:r w:rsidR="00DB11EB" w:rsidRPr="162529BC">
        <w:rPr>
          <w:lang w:eastAsia="en-GB"/>
        </w:rPr>
        <w:t>s</w:t>
      </w:r>
      <w:r w:rsidR="5EB5453E" w:rsidRPr="162529BC">
        <w:rPr>
          <w:lang w:eastAsia="en-GB"/>
        </w:rPr>
        <w:t xml:space="preserve"> is now proposed to be aligned</w:t>
      </w:r>
      <w:r w:rsidR="251D6D4E" w:rsidRPr="162529BC">
        <w:rPr>
          <w:lang w:eastAsia="en-GB"/>
        </w:rPr>
        <w:t xml:space="preserve">.  </w:t>
      </w:r>
      <w:r w:rsidR="002D5E40" w:rsidRPr="162529BC">
        <w:rPr>
          <w:lang w:eastAsia="en-GB"/>
        </w:rPr>
        <w:t>The provision on climate transition plans will be better aligned to the language of the CSRD, while continuing to complement CSRD with a clear obligation to adopt such a plan.</w:t>
      </w:r>
    </w:p>
    <w:p w14:paraId="249DC6D9" w14:textId="77777777" w:rsidR="009D1FEE" w:rsidRPr="00433D45" w:rsidRDefault="009D1FEE">
      <w:pPr>
        <w:pStyle w:val="ManualHeading2"/>
        <w:rPr>
          <w:rFonts w:eastAsia="Arial Unicode MS"/>
          <w:lang w:val="en-IE"/>
        </w:rPr>
      </w:pPr>
      <w:bookmarkStart w:id="3" w:name="_Toc191189469"/>
      <w:r w:rsidRPr="00433D45">
        <w:rPr>
          <w:rFonts w:eastAsia="Arial Unicode MS"/>
          <w:color w:val="000000"/>
          <w:u w:color="000000"/>
          <w:bdr w:val="nil"/>
          <w:lang w:val="en-IE" w:eastAsia="en-GB"/>
        </w:rPr>
        <w:t>•</w:t>
      </w:r>
      <w:r w:rsidRPr="00433D45">
        <w:rPr>
          <w:rFonts w:eastAsia="Arial Unicode MS"/>
          <w:color w:val="000000"/>
          <w:u w:color="000000"/>
          <w:bdr w:val="nil"/>
          <w:lang w:val="en-IE" w:eastAsia="en-GB"/>
        </w:rPr>
        <w:tab/>
      </w:r>
      <w:r w:rsidRPr="00433D45">
        <w:rPr>
          <w:rFonts w:eastAsia="Arial Unicode MS"/>
          <w:lang w:val="en-IE"/>
        </w:rPr>
        <w:t>Consistency with other Union policies</w:t>
      </w:r>
      <w:bookmarkEnd w:id="3"/>
    </w:p>
    <w:p w14:paraId="53E22D0D" w14:textId="77777777" w:rsidR="000551FC" w:rsidRPr="00433D45" w:rsidRDefault="00E07709" w:rsidP="000551FC">
      <w:pPr>
        <w:pBdr>
          <w:top w:val="nil"/>
          <w:left w:val="nil"/>
          <w:bottom w:val="nil"/>
          <w:right w:val="nil"/>
          <w:between w:val="nil"/>
          <w:bar w:val="nil"/>
        </w:pBdr>
        <w:spacing w:before="0" w:after="240"/>
        <w:rPr>
          <w:rFonts w:eastAsia="Arial Unicode MS"/>
          <w:lang w:val="en-IE"/>
        </w:rPr>
      </w:pPr>
      <w:r w:rsidRPr="00757AE9">
        <w:t>This</w:t>
      </w:r>
      <w:r w:rsidRPr="00433D45">
        <w:rPr>
          <w:rFonts w:eastAsia="Arial Unicode MS"/>
          <w:lang w:val="en-IE"/>
        </w:rPr>
        <w:t xml:space="preserve"> proposal is consistent with EU </w:t>
      </w:r>
      <w:r w:rsidR="00047C54" w:rsidRPr="00433D45">
        <w:rPr>
          <w:rFonts w:eastAsia="Arial Unicode MS"/>
          <w:lang w:val="en-IE"/>
        </w:rPr>
        <w:t xml:space="preserve">policy to </w:t>
      </w:r>
      <w:r w:rsidR="00951BD0" w:rsidRPr="00433D45">
        <w:rPr>
          <w:rFonts w:eastAsia="Arial Unicode MS"/>
          <w:lang w:val="en-IE"/>
        </w:rPr>
        <w:t>enhance competit</w:t>
      </w:r>
      <w:r w:rsidR="001228FD" w:rsidRPr="00433D45">
        <w:rPr>
          <w:rFonts w:eastAsia="Arial Unicode MS"/>
          <w:lang w:val="en-IE"/>
        </w:rPr>
        <w:t xml:space="preserve">iveness, to </w:t>
      </w:r>
      <w:r w:rsidR="00EC3FEF" w:rsidRPr="00433D45">
        <w:rPr>
          <w:rFonts w:eastAsia="Arial Unicode MS"/>
          <w:lang w:val="en-IE"/>
        </w:rPr>
        <w:t>simplify</w:t>
      </w:r>
      <w:r w:rsidR="001228FD" w:rsidRPr="00433D45">
        <w:rPr>
          <w:rFonts w:eastAsia="Arial Unicode MS"/>
          <w:lang w:val="en-IE"/>
        </w:rPr>
        <w:t xml:space="preserve"> the regulatory </w:t>
      </w:r>
      <w:r w:rsidR="00EC3FEF" w:rsidRPr="00433D45">
        <w:rPr>
          <w:rFonts w:eastAsia="Arial Unicode MS"/>
          <w:lang w:val="en-IE"/>
        </w:rPr>
        <w:t>framework and to reduce burden on business</w:t>
      </w:r>
      <w:r w:rsidR="00F3258B" w:rsidRPr="00433D45">
        <w:rPr>
          <w:rFonts w:eastAsia="Arial Unicode MS"/>
          <w:lang w:val="en-IE"/>
        </w:rPr>
        <w:t xml:space="preserve"> while still achieving the policy goals of the CSRD and CSDDD</w:t>
      </w:r>
      <w:r w:rsidR="00FC7D10">
        <w:rPr>
          <w:rFonts w:eastAsia="Arial Unicode MS"/>
          <w:lang w:val="en-IE"/>
        </w:rPr>
        <w:t>.</w:t>
      </w:r>
      <w:r w:rsidR="00FC7D10" w:rsidRPr="00FC7D10">
        <w:t xml:space="preserve"> </w:t>
      </w:r>
      <w:r w:rsidR="00FC7D10" w:rsidRPr="00FC7D10">
        <w:rPr>
          <w:rFonts w:eastAsia="Arial Unicode MS"/>
          <w:lang w:val="en-IE"/>
        </w:rPr>
        <w:t>This includes preserving the Green Deal as mid- to long-term competitiveness depends on companies sufficiently integrating sustainability considerations into their operations.</w:t>
      </w:r>
    </w:p>
    <w:p w14:paraId="26E72ABC" w14:textId="77777777" w:rsidR="006E6AC8" w:rsidRDefault="00307339" w:rsidP="5F3086A4">
      <w:pPr>
        <w:pBdr>
          <w:top w:val="nil"/>
          <w:left w:val="nil"/>
          <w:bottom w:val="nil"/>
          <w:right w:val="nil"/>
          <w:between w:val="nil"/>
          <w:bar w:val="nil"/>
        </w:pBdr>
        <w:spacing w:before="0" w:after="240"/>
        <w:rPr>
          <w:lang w:val="en-IE"/>
        </w:rPr>
      </w:pPr>
      <w:r w:rsidRPr="00757AE9">
        <w:t>With</w:t>
      </w:r>
      <w:r w:rsidRPr="00433D45">
        <w:rPr>
          <w:lang w:val="en-IE"/>
        </w:rPr>
        <w:t xml:space="preserve"> regard to the CSDDD, t</w:t>
      </w:r>
      <w:r w:rsidR="00672929" w:rsidRPr="00433D45">
        <w:rPr>
          <w:lang w:val="en-IE"/>
        </w:rPr>
        <w:t xml:space="preserve">he proposal would simplify and streamline the </w:t>
      </w:r>
      <w:r w:rsidR="004F1522" w:rsidRPr="00433D45">
        <w:rPr>
          <w:lang w:val="en-IE"/>
        </w:rPr>
        <w:t xml:space="preserve">sustainability </w:t>
      </w:r>
      <w:r w:rsidR="00672929" w:rsidRPr="00433D45">
        <w:rPr>
          <w:lang w:val="en-IE"/>
        </w:rPr>
        <w:t xml:space="preserve">due diligence requirements for in-scope companies, thereby reducing administrative burdens, in line with the objectives set out in the Competitiveness Compass, namely the 25% and 35% (for SMEs) burden reduction targets. </w:t>
      </w:r>
    </w:p>
    <w:p w14:paraId="0D5F2E10" w14:textId="77777777" w:rsidR="00672929" w:rsidRPr="00433D45" w:rsidRDefault="00E52ED0" w:rsidP="5F3086A4">
      <w:pPr>
        <w:pBdr>
          <w:top w:val="nil"/>
          <w:left w:val="nil"/>
          <w:bottom w:val="nil"/>
          <w:right w:val="nil"/>
          <w:between w:val="nil"/>
          <w:bar w:val="nil"/>
        </w:pBdr>
        <w:spacing w:before="0" w:after="240"/>
        <w:rPr>
          <w:rFonts w:eastAsia="Arial Unicode MS"/>
          <w:lang w:val="en-IE"/>
        </w:rPr>
      </w:pPr>
      <w:r w:rsidRPr="00757AE9">
        <w:t>A</w:t>
      </w:r>
      <w:r w:rsidR="00672929" w:rsidRPr="00757AE9">
        <w:t>t</w:t>
      </w:r>
      <w:r w:rsidR="00672929" w:rsidRPr="00433D45">
        <w:rPr>
          <w:lang w:val="en-IE"/>
        </w:rPr>
        <w:t xml:space="preserve"> the same time</w:t>
      </w:r>
      <w:r w:rsidR="00E12F31" w:rsidRPr="00433D45">
        <w:rPr>
          <w:lang w:val="en-IE"/>
        </w:rPr>
        <w:t>,</w:t>
      </w:r>
      <w:r w:rsidR="00672929" w:rsidRPr="00433D45">
        <w:rPr>
          <w:lang w:val="en-IE"/>
        </w:rPr>
        <w:t xml:space="preserve"> </w:t>
      </w:r>
      <w:r w:rsidR="00D56DA7" w:rsidRPr="00433D45">
        <w:rPr>
          <w:lang w:val="en-IE"/>
        </w:rPr>
        <w:t xml:space="preserve">by </w:t>
      </w:r>
      <w:r w:rsidR="00672929" w:rsidRPr="00433D45">
        <w:rPr>
          <w:lang w:val="en-IE"/>
        </w:rPr>
        <w:t>reducing impacts on business partners, many of which will be SMEs</w:t>
      </w:r>
      <w:r w:rsidR="3CEE9F88" w:rsidRPr="00433D45">
        <w:rPr>
          <w:lang w:val="en-IE"/>
        </w:rPr>
        <w:t xml:space="preserve"> or small mid-caps</w:t>
      </w:r>
      <w:r w:rsidR="62F37884" w:rsidRPr="00433D45">
        <w:rPr>
          <w:lang w:val="en-IE"/>
        </w:rPr>
        <w:t>,</w:t>
      </w:r>
      <w:r w:rsidR="00672929" w:rsidRPr="00433D45">
        <w:rPr>
          <w:lang w:val="en-IE"/>
        </w:rPr>
        <w:t xml:space="preserve"> the proposal also contributes to the objective of supporting SMEs and </w:t>
      </w:r>
      <w:r w:rsidR="33943932" w:rsidRPr="00433D45">
        <w:rPr>
          <w:lang w:val="en-IE"/>
        </w:rPr>
        <w:t xml:space="preserve">small mid-caps </w:t>
      </w:r>
      <w:r w:rsidR="00672929" w:rsidRPr="00433D45">
        <w:rPr>
          <w:lang w:val="en-IE"/>
        </w:rPr>
        <w:t>and relieving them from unnecessary burdens that might negatively affect their prosperity and growth. Extending the scope of provisions subject to maximum harmonisation to cover the core due diligence duties also contributes to the objective of the Single Market by avoiding fragmentation through different national rules (‘gold-plating’) and ensuring a level playing field across the European Union. While removing the uniform rules on civil liability reduces harmonisation, it ensures respect for existing, national liability regimes</w:t>
      </w:r>
      <w:r w:rsidR="002D5E40" w:rsidRPr="00433D45">
        <w:rPr>
          <w:lang w:val="en-IE"/>
        </w:rPr>
        <w:t xml:space="preserve"> – with which companies in scope are familiar -</w:t>
      </w:r>
      <w:r w:rsidR="00672929" w:rsidRPr="00433D45">
        <w:rPr>
          <w:lang w:val="en-IE"/>
        </w:rPr>
        <w:t xml:space="preserve"> in line with the subsidiarity principle</w:t>
      </w:r>
      <w:r w:rsidR="002D5E40" w:rsidRPr="00433D45">
        <w:rPr>
          <w:lang w:val="en-IE"/>
        </w:rPr>
        <w:t xml:space="preserve"> and ensures greater legal certainty on liability risks under a new type of risk-based corporate obligations</w:t>
      </w:r>
      <w:r w:rsidR="00672929" w:rsidRPr="00433D45">
        <w:rPr>
          <w:lang w:val="en-IE"/>
        </w:rPr>
        <w:t>.</w:t>
      </w:r>
    </w:p>
    <w:p w14:paraId="1776E565" w14:textId="77777777" w:rsidR="009D1FEE" w:rsidRPr="00433D45" w:rsidRDefault="009D1FEE">
      <w:pPr>
        <w:pStyle w:val="ManualHeading1"/>
        <w:rPr>
          <w:lang w:val="en-IE"/>
        </w:rPr>
      </w:pPr>
      <w:bookmarkStart w:id="4" w:name="_Toc191189470"/>
      <w:r w:rsidRPr="00433D45">
        <w:rPr>
          <w:lang w:val="en-IE"/>
        </w:rPr>
        <w:t>2.</w:t>
      </w:r>
      <w:r w:rsidRPr="00433D45">
        <w:rPr>
          <w:lang w:val="en-IE"/>
        </w:rPr>
        <w:tab/>
        <w:t>LEGAL BASIS, SUBSIDIARITY AND PROPORTIONALITY</w:t>
      </w:r>
      <w:bookmarkEnd w:id="4"/>
    </w:p>
    <w:p w14:paraId="474B1567" w14:textId="77777777" w:rsidR="009D1FEE" w:rsidRPr="00433D45" w:rsidRDefault="009D1FEE">
      <w:pPr>
        <w:pStyle w:val="ManualHeading2"/>
        <w:rPr>
          <w:rFonts w:eastAsia="Arial Unicode MS"/>
          <w:u w:color="000000"/>
          <w:bdr w:val="nil"/>
          <w:lang w:val="en-IE" w:eastAsia="en-GB"/>
        </w:rPr>
      </w:pPr>
      <w:bookmarkStart w:id="5" w:name="_Toc191189471"/>
      <w:r w:rsidRPr="00433D45">
        <w:rPr>
          <w:rFonts w:eastAsia="Arial Unicode MS"/>
          <w:u w:color="000000"/>
          <w:bdr w:val="nil"/>
          <w:lang w:val="en-IE" w:eastAsia="en-GB"/>
        </w:rPr>
        <w:t>•</w:t>
      </w:r>
      <w:r w:rsidRPr="00433D45">
        <w:rPr>
          <w:rFonts w:eastAsia="Arial Unicode MS"/>
          <w:u w:color="000000"/>
          <w:bdr w:val="nil"/>
          <w:lang w:val="en-IE" w:eastAsia="en-GB"/>
        </w:rPr>
        <w:tab/>
        <w:t>Legal basis</w:t>
      </w:r>
      <w:bookmarkEnd w:id="5"/>
    </w:p>
    <w:p w14:paraId="2680F5B9" w14:textId="77777777" w:rsidR="009D1FEE" w:rsidRPr="00433D45" w:rsidRDefault="000F0872">
      <w:pPr>
        <w:pBdr>
          <w:top w:val="nil"/>
          <w:left w:val="nil"/>
          <w:bottom w:val="nil"/>
          <w:right w:val="nil"/>
          <w:between w:val="nil"/>
          <w:bar w:val="nil"/>
        </w:pBdr>
        <w:spacing w:before="0" w:after="240"/>
        <w:rPr>
          <w:rFonts w:eastAsia="Arial Unicode MS"/>
          <w:lang w:val="en-IE"/>
        </w:rPr>
      </w:pPr>
      <w:r w:rsidRPr="00757AE9">
        <w:t>The</w:t>
      </w:r>
      <w:r w:rsidRPr="00433D45">
        <w:rPr>
          <w:lang w:val="en-IE"/>
        </w:rPr>
        <w:t xml:space="preserve"> proposal’s legal basis rests on Articles 50 and 114 of the Treaty on the Functioning of the European Union (TFEU). Article 50 of the TFEU is the legal basis for adopting EU measures aimed at attaining the right of establishment in the single market in company law</w:t>
      </w:r>
      <w:r w:rsidR="0020066E" w:rsidRPr="00433D45">
        <w:rPr>
          <w:lang w:val="en-IE"/>
        </w:rPr>
        <w:t>, and it mandates the European Parliament and the Council to act by means of Directives.</w:t>
      </w:r>
      <w:r w:rsidRPr="00433D45">
        <w:rPr>
          <w:lang w:val="en-IE"/>
        </w:rPr>
        <w:t xml:space="preserve"> </w:t>
      </w:r>
      <w:r w:rsidR="00C153CD" w:rsidRPr="00433D45">
        <w:rPr>
          <w:lang w:val="en-IE"/>
        </w:rPr>
        <w:t>Article 50 of the TFEU is</w:t>
      </w:r>
      <w:r w:rsidRPr="00433D45">
        <w:rPr>
          <w:lang w:val="en-IE"/>
        </w:rPr>
        <w:t xml:space="preserve"> the legal basis for Directives </w:t>
      </w:r>
      <w:r w:rsidR="008D59B2" w:rsidRPr="00433D45">
        <w:rPr>
          <w:lang w:val="en-IE"/>
        </w:rPr>
        <w:t>2006/43/EC</w:t>
      </w:r>
      <w:r w:rsidR="00BB37BC" w:rsidRPr="00433D45">
        <w:rPr>
          <w:lang w:val="en-IE"/>
        </w:rPr>
        <w:t xml:space="preserve"> </w:t>
      </w:r>
      <w:r w:rsidR="00C920F1" w:rsidRPr="00433D45">
        <w:rPr>
          <w:lang w:val="en-IE"/>
        </w:rPr>
        <w:t>and</w:t>
      </w:r>
      <w:r w:rsidR="008D59B2" w:rsidRPr="00433D45">
        <w:rPr>
          <w:lang w:val="en-IE"/>
        </w:rPr>
        <w:t xml:space="preserve"> </w:t>
      </w:r>
      <w:r w:rsidRPr="00433D45">
        <w:rPr>
          <w:lang w:val="en-IE"/>
        </w:rPr>
        <w:t xml:space="preserve">2013/34/EU, </w:t>
      </w:r>
      <w:r w:rsidR="00C920F1" w:rsidRPr="00433D45">
        <w:rPr>
          <w:lang w:val="en-IE"/>
        </w:rPr>
        <w:t>as well as</w:t>
      </w:r>
      <w:r w:rsidR="00162A98" w:rsidRPr="00433D45">
        <w:rPr>
          <w:lang w:val="en-IE"/>
        </w:rPr>
        <w:t xml:space="preserve"> part of the legal </w:t>
      </w:r>
      <w:r w:rsidR="00E706AB" w:rsidRPr="00433D45">
        <w:rPr>
          <w:lang w:val="en-IE"/>
        </w:rPr>
        <w:t xml:space="preserve">basis for </w:t>
      </w:r>
      <w:r w:rsidRPr="00433D45">
        <w:rPr>
          <w:lang w:val="en-IE"/>
        </w:rPr>
        <w:t xml:space="preserve">Directive </w:t>
      </w:r>
      <w:r w:rsidR="0020066E" w:rsidRPr="00433D45">
        <w:rPr>
          <w:lang w:val="en-IE"/>
        </w:rPr>
        <w:t xml:space="preserve">(EU) </w:t>
      </w:r>
      <w:r w:rsidRPr="00433D45">
        <w:rPr>
          <w:lang w:val="en-IE"/>
        </w:rPr>
        <w:t>20</w:t>
      </w:r>
      <w:r w:rsidR="00036185" w:rsidRPr="00433D45">
        <w:rPr>
          <w:lang w:val="en-IE"/>
        </w:rPr>
        <w:t>22/</w:t>
      </w:r>
      <w:r w:rsidR="0020066E" w:rsidRPr="00433D45">
        <w:rPr>
          <w:lang w:val="en-IE"/>
        </w:rPr>
        <w:t>2464 and Directive (EU) 202</w:t>
      </w:r>
      <w:r w:rsidRPr="00433D45">
        <w:rPr>
          <w:lang w:val="en-IE"/>
        </w:rPr>
        <w:t>4/1</w:t>
      </w:r>
      <w:r w:rsidR="0020066E" w:rsidRPr="00433D45">
        <w:rPr>
          <w:lang w:val="en-IE"/>
        </w:rPr>
        <w:t>760</w:t>
      </w:r>
      <w:r w:rsidRPr="00433D45">
        <w:rPr>
          <w:lang w:val="en-IE"/>
        </w:rPr>
        <w:t xml:space="preserve">. Article 114 of the TFEU is a general legal </w:t>
      </w:r>
      <w:r w:rsidR="00C153CD" w:rsidRPr="00433D45">
        <w:rPr>
          <w:lang w:val="en-IE"/>
        </w:rPr>
        <w:t>bas</w:t>
      </w:r>
      <w:r w:rsidR="003A2C5A" w:rsidRPr="00433D45">
        <w:rPr>
          <w:lang w:val="en-IE"/>
        </w:rPr>
        <w:t>is</w:t>
      </w:r>
      <w:r w:rsidRPr="00433D45">
        <w:rPr>
          <w:lang w:val="en-IE"/>
        </w:rPr>
        <w:t xml:space="preserve"> with the objective of establishing or ensuring the functioning of the single market – in this case, the free movement of capital</w:t>
      </w:r>
      <w:r w:rsidR="006213D2" w:rsidRPr="00433D45">
        <w:rPr>
          <w:lang w:val="en-IE"/>
        </w:rPr>
        <w:t xml:space="preserve"> and the freedom of establishment</w:t>
      </w:r>
      <w:r w:rsidRPr="00433D45">
        <w:rPr>
          <w:lang w:val="en-IE"/>
        </w:rPr>
        <w:t xml:space="preserve">. Article 114 of the TFEU is </w:t>
      </w:r>
      <w:r w:rsidR="00716BDE" w:rsidRPr="00433D45">
        <w:rPr>
          <w:lang w:val="en-IE"/>
        </w:rPr>
        <w:t>part of</w:t>
      </w:r>
      <w:r w:rsidRPr="00433D45">
        <w:rPr>
          <w:lang w:val="en-IE"/>
        </w:rPr>
        <w:t xml:space="preserve"> the legal basis for Directive </w:t>
      </w:r>
      <w:r w:rsidR="00716BDE" w:rsidRPr="00433D45">
        <w:rPr>
          <w:lang w:val="en-IE"/>
        </w:rPr>
        <w:t>(EU) 2022/2464 and Directive (EU) 2024/1760</w:t>
      </w:r>
      <w:r w:rsidRPr="00433D45">
        <w:rPr>
          <w:lang w:val="en-IE"/>
        </w:rPr>
        <w:t>.</w:t>
      </w:r>
    </w:p>
    <w:p w14:paraId="3C5F83DD" w14:textId="77777777" w:rsidR="009D1FEE" w:rsidRPr="00433D45" w:rsidRDefault="009D1FEE">
      <w:pPr>
        <w:pStyle w:val="ManualHeading2"/>
        <w:rPr>
          <w:rFonts w:eastAsia="Arial Unicode MS"/>
          <w:u w:color="000000"/>
          <w:bdr w:val="nil"/>
          <w:lang w:val="en-IE" w:eastAsia="en-GB"/>
        </w:rPr>
      </w:pPr>
      <w:bookmarkStart w:id="6" w:name="_Toc191189472"/>
      <w:r w:rsidRPr="00433D45">
        <w:rPr>
          <w:rFonts w:eastAsia="Arial Unicode MS"/>
          <w:u w:color="000000"/>
          <w:bdr w:val="nil"/>
          <w:lang w:val="en-IE" w:eastAsia="en-GB"/>
        </w:rPr>
        <w:t>•</w:t>
      </w:r>
      <w:r w:rsidRPr="00433D45">
        <w:rPr>
          <w:rFonts w:eastAsia="Arial Unicode MS"/>
          <w:u w:color="000000"/>
          <w:bdr w:val="nil"/>
          <w:lang w:val="en-IE" w:eastAsia="en-GB"/>
        </w:rPr>
        <w:tab/>
        <w:t>Subsidiarity (for non-exclusive competence)</w:t>
      </w:r>
      <w:bookmarkEnd w:id="6"/>
      <w:r w:rsidRPr="00433D45">
        <w:rPr>
          <w:rFonts w:eastAsia="Arial Unicode MS"/>
          <w:u w:color="000000"/>
          <w:bdr w:val="nil"/>
          <w:lang w:val="en-IE" w:eastAsia="en-GB"/>
        </w:rPr>
        <w:t xml:space="preserve"> </w:t>
      </w:r>
    </w:p>
    <w:p w14:paraId="37527DF7" w14:textId="77777777" w:rsidR="001D07FC" w:rsidRPr="00433D45" w:rsidRDefault="001D07FC" w:rsidP="00DE466D">
      <w:pPr>
        <w:keepNext/>
        <w:pBdr>
          <w:top w:val="nil"/>
          <w:left w:val="nil"/>
          <w:bottom w:val="nil"/>
          <w:right w:val="nil"/>
          <w:between w:val="nil"/>
          <w:bar w:val="nil"/>
        </w:pBdr>
        <w:spacing w:before="0" w:after="240"/>
        <w:rPr>
          <w:u w:val="single"/>
          <w:lang w:val="en-IE"/>
        </w:rPr>
      </w:pPr>
      <w:r w:rsidRPr="00433D45">
        <w:rPr>
          <w:u w:val="single"/>
          <w:lang w:val="en-IE"/>
        </w:rPr>
        <w:t>Corporate Sustainability Reporting Directive</w:t>
      </w:r>
    </w:p>
    <w:p w14:paraId="72B74DE9" w14:textId="77777777" w:rsidR="001B73E2" w:rsidRPr="00433D45" w:rsidRDefault="001B73E2" w:rsidP="162529BC">
      <w:pPr>
        <w:pBdr>
          <w:top w:val="nil"/>
          <w:left w:val="nil"/>
          <w:bottom w:val="nil"/>
          <w:right w:val="nil"/>
          <w:between w:val="nil"/>
          <w:bar w:val="nil"/>
        </w:pBdr>
        <w:spacing w:before="0" w:after="240"/>
      </w:pPr>
      <w:r w:rsidRPr="00757AE9">
        <w:t>The</w:t>
      </w:r>
      <w:r w:rsidRPr="162529BC">
        <w:t xml:space="preserve"> Accounting Directive, as amended by the </w:t>
      </w:r>
      <w:r w:rsidR="002B079E" w:rsidRPr="162529BC">
        <w:t>CSRD</w:t>
      </w:r>
      <w:r w:rsidRPr="162529BC">
        <w:t xml:space="preserve">, already regulates the disclosure of sustainability information in the EU. Common rules on sustainability reporting and its assurance ensure a level playing field for companies established in the different Member States. Significant differences in requirements for sustainability reporting and assurance between Member States </w:t>
      </w:r>
      <w:r w:rsidR="00896FCD" w:rsidRPr="162529BC">
        <w:t xml:space="preserve">would </w:t>
      </w:r>
      <w:r w:rsidRPr="162529BC">
        <w:t xml:space="preserve">create additional costs and complexity for companies </w:t>
      </w:r>
      <w:r w:rsidRPr="162529BC">
        <w:lastRenderedPageBreak/>
        <w:t>operating across borders</w:t>
      </w:r>
      <w:r w:rsidR="00896FCD" w:rsidRPr="162529BC">
        <w:t>, which would be</w:t>
      </w:r>
      <w:r w:rsidRPr="162529BC">
        <w:t xml:space="preserve"> detrimental to the single market. </w:t>
      </w:r>
      <w:r w:rsidR="00592C09" w:rsidRPr="162529BC">
        <w:t>Member States acting alone are not able to</w:t>
      </w:r>
      <w:r w:rsidR="00187683" w:rsidRPr="162529BC">
        <w:t xml:space="preserve"> modify </w:t>
      </w:r>
      <w:r w:rsidR="00AB2363" w:rsidRPr="162529BC">
        <w:t>existing EU laws to reduce the burden on companies</w:t>
      </w:r>
      <w:r w:rsidR="00E86F53" w:rsidRPr="162529BC">
        <w:t xml:space="preserve">. </w:t>
      </w:r>
      <w:r w:rsidR="00AB2363" w:rsidRPr="162529BC">
        <w:t xml:space="preserve"> </w:t>
      </w:r>
    </w:p>
    <w:p w14:paraId="7D34D409" w14:textId="77777777" w:rsidR="001D07FC" w:rsidRPr="00433D45" w:rsidRDefault="001D07FC" w:rsidP="00DE466D">
      <w:pPr>
        <w:keepNext/>
        <w:pBdr>
          <w:top w:val="nil"/>
          <w:left w:val="nil"/>
          <w:bottom w:val="nil"/>
          <w:right w:val="nil"/>
          <w:between w:val="nil"/>
          <w:bar w:val="nil"/>
        </w:pBdr>
        <w:spacing w:before="0" w:after="240"/>
        <w:rPr>
          <w:rFonts w:eastAsia="Arial Unicode MS"/>
          <w:u w:val="single"/>
          <w:lang w:val="en-IE"/>
        </w:rPr>
      </w:pPr>
      <w:r w:rsidRPr="00433D45">
        <w:rPr>
          <w:rFonts w:eastAsia="Arial Unicode MS"/>
          <w:u w:val="single"/>
          <w:lang w:val="en-IE"/>
        </w:rPr>
        <w:t>Corporate Sustainability Due Diligence Directive</w:t>
      </w:r>
    </w:p>
    <w:p w14:paraId="6EB748CA" w14:textId="77777777" w:rsidR="00171AB8" w:rsidRPr="00433D45" w:rsidRDefault="00171AB8" w:rsidP="7600636C">
      <w:pPr>
        <w:pBdr>
          <w:top w:val="nil"/>
          <w:left w:val="nil"/>
          <w:bottom w:val="nil"/>
          <w:right w:val="nil"/>
          <w:between w:val="nil"/>
          <w:bar w:val="nil"/>
        </w:pBdr>
        <w:spacing w:before="0" w:after="240"/>
        <w:rPr>
          <w:lang w:val="en-IE"/>
        </w:rPr>
      </w:pPr>
      <w:r w:rsidRPr="00757AE9">
        <w:t>The</w:t>
      </w:r>
      <w:r w:rsidRPr="00433D45">
        <w:rPr>
          <w:lang w:val="en-IE"/>
        </w:rPr>
        <w:t xml:space="preserve"> CSDDD ensures a level playing field across the European Union by harmonising the rules on corporate sustainability due diligence against the background of diverging existing due diligence legislation at Member State level. In this light, the objective of simplifying and streamlining the due diligence requirements and related provisions on public and private enforcement cannot be achieved by the Member States alone. Therefore, action at the EU level is necessary.</w:t>
      </w:r>
      <w:r w:rsidR="00792F5B" w:rsidRPr="00433D45">
        <w:rPr>
          <w:lang w:val="en-IE"/>
        </w:rPr>
        <w:t xml:space="preserve"> </w:t>
      </w:r>
    </w:p>
    <w:p w14:paraId="08706067" w14:textId="77777777" w:rsidR="009D1FEE" w:rsidRPr="00433D45" w:rsidRDefault="009D1FEE">
      <w:pPr>
        <w:pStyle w:val="ManualHeading2"/>
        <w:rPr>
          <w:rFonts w:eastAsia="Arial Unicode MS"/>
          <w:u w:color="000000"/>
          <w:bdr w:val="nil"/>
          <w:lang w:val="en-IE" w:eastAsia="en-GB"/>
        </w:rPr>
      </w:pPr>
      <w:bookmarkStart w:id="7" w:name="_Toc191189473"/>
      <w:r w:rsidRPr="00433D45">
        <w:rPr>
          <w:rFonts w:eastAsia="Arial Unicode MS"/>
          <w:u w:color="000000"/>
          <w:bdr w:val="nil"/>
          <w:lang w:val="en-IE" w:eastAsia="en-GB"/>
        </w:rPr>
        <w:t>•</w:t>
      </w:r>
      <w:r w:rsidRPr="00433D45">
        <w:rPr>
          <w:rFonts w:eastAsia="Arial Unicode MS"/>
          <w:u w:color="000000"/>
          <w:bdr w:val="nil"/>
          <w:lang w:val="en-IE" w:eastAsia="en-GB"/>
        </w:rPr>
        <w:tab/>
        <w:t>Proportionality</w:t>
      </w:r>
      <w:bookmarkEnd w:id="7"/>
    </w:p>
    <w:p w14:paraId="5A2EFC00" w14:textId="77777777" w:rsidR="009838FD" w:rsidRPr="00433D45" w:rsidRDefault="009838FD" w:rsidP="00DE466D">
      <w:pPr>
        <w:keepNext/>
        <w:pBdr>
          <w:top w:val="nil"/>
          <w:left w:val="nil"/>
          <w:bottom w:val="nil"/>
          <w:right w:val="nil"/>
          <w:between w:val="nil"/>
          <w:bar w:val="nil"/>
        </w:pBdr>
        <w:spacing w:before="0" w:after="240"/>
        <w:rPr>
          <w:u w:val="single"/>
          <w:lang w:val="en-IE"/>
        </w:rPr>
      </w:pPr>
      <w:r w:rsidRPr="00433D45">
        <w:rPr>
          <w:u w:val="single"/>
          <w:lang w:val="en-IE"/>
        </w:rPr>
        <w:t>Corporate Sustainability Reporting Directive</w:t>
      </w:r>
    </w:p>
    <w:p w14:paraId="578668C3" w14:textId="77777777" w:rsidR="001C1AD0" w:rsidRPr="00433D45" w:rsidRDefault="00360B98">
      <w:pPr>
        <w:pBdr>
          <w:top w:val="nil"/>
          <w:left w:val="nil"/>
          <w:bottom w:val="nil"/>
          <w:right w:val="nil"/>
          <w:between w:val="nil"/>
          <w:bar w:val="nil"/>
        </w:pBdr>
        <w:spacing w:before="0" w:after="240"/>
        <w:rPr>
          <w:lang w:val="en-IE"/>
        </w:rPr>
      </w:pPr>
      <w:r w:rsidRPr="00757AE9">
        <w:t>This</w:t>
      </w:r>
      <w:r w:rsidRPr="00433D45">
        <w:rPr>
          <w:lang w:val="en-IE"/>
        </w:rPr>
        <w:t xml:space="preserve"> proposal sets out </w:t>
      </w:r>
      <w:r w:rsidR="001C1AD0" w:rsidRPr="00433D45">
        <w:rPr>
          <w:lang w:val="en-IE"/>
        </w:rPr>
        <w:t xml:space="preserve">a </w:t>
      </w:r>
      <w:r w:rsidR="000C3036" w:rsidRPr="00433D45">
        <w:rPr>
          <w:lang w:val="en-IE"/>
        </w:rPr>
        <w:t xml:space="preserve">simple and </w:t>
      </w:r>
      <w:r w:rsidR="001C1AD0" w:rsidRPr="00433D45">
        <w:rPr>
          <w:lang w:val="en-IE"/>
        </w:rPr>
        <w:t xml:space="preserve">proportionate framework for sustainability reporting that would </w:t>
      </w:r>
      <w:r w:rsidR="00CD63C6" w:rsidRPr="00433D45">
        <w:rPr>
          <w:lang w:val="en-IE"/>
        </w:rPr>
        <w:t xml:space="preserve">treat </w:t>
      </w:r>
      <w:r w:rsidR="003347AA" w:rsidRPr="00433D45">
        <w:rPr>
          <w:lang w:val="en-IE"/>
        </w:rPr>
        <w:t>undertakings according to their size</w:t>
      </w:r>
      <w:r w:rsidR="001C1AD0" w:rsidRPr="00433D45">
        <w:rPr>
          <w:lang w:val="en-IE"/>
        </w:rPr>
        <w:t>:</w:t>
      </w:r>
    </w:p>
    <w:p w14:paraId="5A6DD5BB" w14:textId="77777777" w:rsidR="0078064E" w:rsidRPr="00433D45" w:rsidRDefault="00E71908" w:rsidP="00757AE9">
      <w:pPr>
        <w:pStyle w:val="Tiret0"/>
        <w:rPr>
          <w:lang w:val="en-IE"/>
        </w:rPr>
      </w:pPr>
      <w:r>
        <w:rPr>
          <w:lang w:val="en-IE"/>
        </w:rPr>
        <w:t>Large u</w:t>
      </w:r>
      <w:r w:rsidR="001C1AD0" w:rsidRPr="00433D45">
        <w:rPr>
          <w:lang w:val="en-IE"/>
        </w:rPr>
        <w:t>ndertakings with more than 1000 employees</w:t>
      </w:r>
      <w:r w:rsidR="007C551F">
        <w:rPr>
          <w:lang w:val="en-IE"/>
        </w:rPr>
        <w:t xml:space="preserve"> </w:t>
      </w:r>
      <w:r w:rsidR="006807B6">
        <w:rPr>
          <w:lang w:val="en-IE"/>
        </w:rPr>
        <w:t>(</w:t>
      </w:r>
      <w:r w:rsidR="00F06C74">
        <w:rPr>
          <w:lang w:val="en-IE"/>
        </w:rPr>
        <w:t xml:space="preserve">i.e. </w:t>
      </w:r>
      <w:r w:rsidR="00355816">
        <w:rPr>
          <w:lang w:val="en-IE"/>
        </w:rPr>
        <w:t xml:space="preserve">undertakings that </w:t>
      </w:r>
      <w:r w:rsidR="00683CED">
        <w:rPr>
          <w:lang w:val="en-IE"/>
        </w:rPr>
        <w:t xml:space="preserve">have </w:t>
      </w:r>
      <w:r w:rsidR="00EA0C0B">
        <w:rPr>
          <w:lang w:val="en-IE"/>
        </w:rPr>
        <w:t xml:space="preserve">more than 1000 employees and </w:t>
      </w:r>
      <w:r w:rsidR="008F6CF0">
        <w:rPr>
          <w:lang w:val="en-IE"/>
        </w:rPr>
        <w:t xml:space="preserve">either </w:t>
      </w:r>
      <w:r w:rsidR="000D17EE">
        <w:rPr>
          <w:lang w:val="en-IE"/>
        </w:rPr>
        <w:t xml:space="preserve">a turnover above </w:t>
      </w:r>
      <w:r w:rsidR="00724193">
        <w:rPr>
          <w:lang w:val="en-IE"/>
        </w:rPr>
        <w:t xml:space="preserve">EUR 50 million </w:t>
      </w:r>
      <w:r w:rsidR="002914E5">
        <w:rPr>
          <w:lang w:val="en-IE"/>
        </w:rPr>
        <w:t xml:space="preserve">or </w:t>
      </w:r>
      <w:r w:rsidR="000B2BCD">
        <w:rPr>
          <w:lang w:val="en-IE"/>
        </w:rPr>
        <w:t>a balance sheet above EUR 25 million)</w:t>
      </w:r>
      <w:r w:rsidR="00F04D64" w:rsidRPr="00433D45">
        <w:rPr>
          <w:rStyle w:val="FootnoteReference"/>
          <w:lang w:val="en-IE"/>
        </w:rPr>
        <w:footnoteReference w:id="19"/>
      </w:r>
      <w:r w:rsidR="001C1AD0" w:rsidRPr="00433D45">
        <w:rPr>
          <w:lang w:val="en-IE"/>
        </w:rPr>
        <w:t xml:space="preserve">: subject to mandatory reporting requirements and </w:t>
      </w:r>
      <w:r w:rsidR="003436FF" w:rsidRPr="00433D45">
        <w:rPr>
          <w:lang w:val="en-IE"/>
        </w:rPr>
        <w:t>must report against the full set of ESRS</w:t>
      </w:r>
      <w:r w:rsidR="00870507" w:rsidRPr="00433D45">
        <w:rPr>
          <w:lang w:val="en-IE"/>
        </w:rPr>
        <w:t>, which will itself be revised and simplified</w:t>
      </w:r>
      <w:r w:rsidR="00AB18AC" w:rsidRPr="00433D45">
        <w:rPr>
          <w:lang w:val="en-IE"/>
        </w:rPr>
        <w:t>.</w:t>
      </w:r>
    </w:p>
    <w:p w14:paraId="42AD5F6B" w14:textId="77777777" w:rsidR="00A275F8" w:rsidRPr="00433D45" w:rsidRDefault="00A42A5C" w:rsidP="00757AE9">
      <w:pPr>
        <w:pStyle w:val="Tiret0"/>
        <w:rPr>
          <w:lang w:val="en-IE"/>
        </w:rPr>
      </w:pPr>
      <w:r w:rsidRPr="00433D45">
        <w:rPr>
          <w:lang w:val="en-IE"/>
        </w:rPr>
        <w:t>Out-of-scope u</w:t>
      </w:r>
      <w:r w:rsidR="0078064E" w:rsidRPr="00433D45">
        <w:rPr>
          <w:lang w:val="en-IE"/>
        </w:rPr>
        <w:t>ndertakings</w:t>
      </w:r>
      <w:r w:rsidR="00431F1E">
        <w:rPr>
          <w:lang w:val="en-IE"/>
        </w:rPr>
        <w:t xml:space="preserve"> </w:t>
      </w:r>
      <w:r w:rsidR="00E71908">
        <w:rPr>
          <w:lang w:val="en-IE"/>
        </w:rPr>
        <w:t>(undertakings with up to 1000 employees)</w:t>
      </w:r>
      <w:r w:rsidR="008C2BD7" w:rsidRPr="00433D45">
        <w:rPr>
          <w:lang w:val="en-IE"/>
        </w:rPr>
        <w:t xml:space="preserve">: </w:t>
      </w:r>
      <w:r w:rsidR="006A7377" w:rsidRPr="00433D45">
        <w:rPr>
          <w:lang w:val="en-IE"/>
        </w:rPr>
        <w:t xml:space="preserve">not </w:t>
      </w:r>
      <w:r w:rsidR="008C2BD7" w:rsidRPr="00433D45">
        <w:rPr>
          <w:lang w:val="en-IE"/>
        </w:rPr>
        <w:t>subject to mandatory reporting requirements</w:t>
      </w:r>
      <w:r w:rsidR="00677071" w:rsidRPr="00433D45">
        <w:rPr>
          <w:lang w:val="en-IE"/>
        </w:rPr>
        <w:t xml:space="preserve">, </w:t>
      </w:r>
      <w:r w:rsidR="008C2BD7" w:rsidRPr="00433D45">
        <w:rPr>
          <w:lang w:val="en-IE"/>
        </w:rPr>
        <w:t xml:space="preserve">may </w:t>
      </w:r>
      <w:r w:rsidR="00451031" w:rsidRPr="00433D45">
        <w:rPr>
          <w:lang w:val="en-IE"/>
        </w:rPr>
        <w:t>use</w:t>
      </w:r>
      <w:r w:rsidR="008C2BD7" w:rsidRPr="00433D45">
        <w:rPr>
          <w:lang w:val="en-IE"/>
        </w:rPr>
        <w:t xml:space="preserve"> </w:t>
      </w:r>
      <w:r w:rsidR="003D2265" w:rsidRPr="00433D45">
        <w:rPr>
          <w:lang w:val="en-IE"/>
        </w:rPr>
        <w:t xml:space="preserve">the </w:t>
      </w:r>
      <w:r w:rsidR="008C2BD7" w:rsidRPr="00433D45">
        <w:rPr>
          <w:lang w:val="en-IE"/>
        </w:rPr>
        <w:t xml:space="preserve">proportionate </w:t>
      </w:r>
      <w:r w:rsidR="00C267CE" w:rsidRPr="00433D45">
        <w:rPr>
          <w:lang w:val="en-IE"/>
        </w:rPr>
        <w:t xml:space="preserve">voluntary </w:t>
      </w:r>
      <w:r w:rsidR="008C2BD7" w:rsidRPr="00433D45">
        <w:rPr>
          <w:lang w:val="en-IE"/>
        </w:rPr>
        <w:t xml:space="preserve">standard </w:t>
      </w:r>
      <w:r w:rsidR="00C267CE" w:rsidRPr="00433D45">
        <w:rPr>
          <w:lang w:val="en-IE"/>
        </w:rPr>
        <w:t>to be adopted by the Commission as a delegated act</w:t>
      </w:r>
      <w:r w:rsidR="001B07AA" w:rsidRPr="00433D45">
        <w:rPr>
          <w:lang w:val="en-IE"/>
        </w:rPr>
        <w:t>, based on the VSME standard developed by EFRAG</w:t>
      </w:r>
      <w:r w:rsidR="002D5E40" w:rsidRPr="00433D45" w:rsidDel="00F5236E">
        <w:rPr>
          <w:lang w:val="en-IE"/>
        </w:rPr>
        <w:t xml:space="preserve"> </w:t>
      </w:r>
      <w:r w:rsidR="008160C9" w:rsidRPr="00433D45" w:rsidDel="00F5236E">
        <w:rPr>
          <w:lang w:val="en-IE"/>
        </w:rPr>
        <w:t>and</w:t>
      </w:r>
      <w:r w:rsidR="008160C9" w:rsidRPr="00433D45">
        <w:rPr>
          <w:lang w:val="en-IE"/>
        </w:rPr>
        <w:t xml:space="preserve"> are protected by the value-chain cap from excessive information requests from larger companies</w:t>
      </w:r>
      <w:r w:rsidR="002D5E40" w:rsidRPr="00433D45">
        <w:rPr>
          <w:lang w:val="en-IE"/>
        </w:rPr>
        <w:t xml:space="preserve"> within scope</w:t>
      </w:r>
      <w:r w:rsidR="008160C9" w:rsidRPr="00433D45">
        <w:rPr>
          <w:lang w:val="en-IE"/>
        </w:rPr>
        <w:t xml:space="preserve">. </w:t>
      </w:r>
    </w:p>
    <w:p w14:paraId="103268B6" w14:textId="77777777" w:rsidR="00F24C07" w:rsidRPr="00433D45" w:rsidRDefault="005F0080" w:rsidP="00F24C07">
      <w:pPr>
        <w:pBdr>
          <w:top w:val="nil"/>
          <w:left w:val="nil"/>
          <w:bottom w:val="nil"/>
          <w:right w:val="nil"/>
          <w:between w:val="nil"/>
          <w:bar w:val="nil"/>
        </w:pBdr>
        <w:spacing w:before="0" w:after="240"/>
        <w:rPr>
          <w:lang w:val="en-IE"/>
        </w:rPr>
      </w:pPr>
      <w:r w:rsidRPr="00757AE9">
        <w:t>This</w:t>
      </w:r>
      <w:r w:rsidRPr="00433D45">
        <w:rPr>
          <w:lang w:val="en-IE"/>
        </w:rPr>
        <w:t xml:space="preserve"> </w:t>
      </w:r>
      <w:r w:rsidR="009419F2" w:rsidRPr="00433D45">
        <w:rPr>
          <w:lang w:val="en-IE"/>
        </w:rPr>
        <w:t>framework</w:t>
      </w:r>
      <w:r w:rsidR="00461BB8" w:rsidRPr="00433D45">
        <w:rPr>
          <w:lang w:val="en-IE"/>
        </w:rPr>
        <w:t xml:space="preserve"> i</w:t>
      </w:r>
      <w:r w:rsidR="009419F2" w:rsidRPr="00433D45">
        <w:rPr>
          <w:lang w:val="en-IE"/>
        </w:rPr>
        <w:t>s</w:t>
      </w:r>
      <w:r w:rsidR="00461BB8" w:rsidRPr="00433D45">
        <w:rPr>
          <w:lang w:val="en-IE"/>
        </w:rPr>
        <w:t xml:space="preserve"> a more proportionate means of </w:t>
      </w:r>
      <w:r w:rsidR="008D6BB0" w:rsidRPr="00433D45">
        <w:rPr>
          <w:lang w:val="en-IE"/>
        </w:rPr>
        <w:t>achieving the policy obje</w:t>
      </w:r>
      <w:r w:rsidR="00996DBC" w:rsidRPr="00433D45">
        <w:rPr>
          <w:lang w:val="en-IE"/>
        </w:rPr>
        <w:t>ctives of the CSRD</w:t>
      </w:r>
      <w:r w:rsidR="00393542" w:rsidRPr="00433D45">
        <w:rPr>
          <w:lang w:val="en-IE"/>
        </w:rPr>
        <w:t xml:space="preserve">. </w:t>
      </w:r>
    </w:p>
    <w:p w14:paraId="78E7C39D" w14:textId="77777777" w:rsidR="001D07FC" w:rsidRPr="00433D45" w:rsidRDefault="001D07FC" w:rsidP="00DE466D">
      <w:pPr>
        <w:keepNext/>
        <w:pBdr>
          <w:top w:val="nil"/>
          <w:left w:val="nil"/>
          <w:bottom w:val="nil"/>
          <w:right w:val="nil"/>
          <w:between w:val="nil"/>
          <w:bar w:val="nil"/>
        </w:pBdr>
        <w:spacing w:before="0" w:after="240"/>
        <w:rPr>
          <w:rFonts w:eastAsia="Arial Unicode MS"/>
          <w:u w:val="single"/>
          <w:lang w:val="en-IE"/>
        </w:rPr>
      </w:pPr>
      <w:r w:rsidRPr="00433D45">
        <w:rPr>
          <w:rFonts w:eastAsia="Arial Unicode MS"/>
          <w:u w:val="single"/>
          <w:lang w:val="en-IE"/>
        </w:rPr>
        <w:t>Corporate Sustainability Due Diligence Directive</w:t>
      </w:r>
    </w:p>
    <w:p w14:paraId="6E485265" w14:textId="77777777" w:rsidR="001D07FC" w:rsidRPr="00433D45" w:rsidRDefault="005A1223" w:rsidP="003A4330">
      <w:pPr>
        <w:pBdr>
          <w:top w:val="nil"/>
          <w:left w:val="nil"/>
          <w:bottom w:val="nil"/>
          <w:right w:val="nil"/>
          <w:between w:val="nil"/>
          <w:bar w:val="nil"/>
        </w:pBdr>
        <w:spacing w:before="0" w:after="240"/>
        <w:rPr>
          <w:lang w:val="en-IE"/>
        </w:rPr>
      </w:pPr>
      <w:r w:rsidRPr="00757AE9">
        <w:t>With</w:t>
      </w:r>
      <w:r w:rsidRPr="00433D45">
        <w:rPr>
          <w:lang w:val="en-IE"/>
        </w:rPr>
        <w:t xml:space="preserve"> t</w:t>
      </w:r>
      <w:r w:rsidR="00B607A3" w:rsidRPr="00433D45">
        <w:rPr>
          <w:lang w:val="en-IE"/>
        </w:rPr>
        <w:t>he proposed amendments</w:t>
      </w:r>
      <w:r w:rsidR="001E33D1" w:rsidRPr="00433D45">
        <w:rPr>
          <w:lang w:val="en-IE"/>
        </w:rPr>
        <w:t xml:space="preserve"> the CSDDD </w:t>
      </w:r>
      <w:r w:rsidR="001D0594" w:rsidRPr="00433D45">
        <w:rPr>
          <w:lang w:val="en-IE"/>
        </w:rPr>
        <w:t>becomes</w:t>
      </w:r>
      <w:r w:rsidR="001E33D1" w:rsidRPr="00433D45">
        <w:rPr>
          <w:lang w:val="en-IE"/>
        </w:rPr>
        <w:t xml:space="preserve"> more</w:t>
      </w:r>
      <w:r w:rsidR="00B607A3" w:rsidRPr="00433D45">
        <w:rPr>
          <w:lang w:val="en-IE"/>
        </w:rPr>
        <w:t xml:space="preserve"> proportionate as </w:t>
      </w:r>
      <w:r w:rsidR="00D70265" w:rsidRPr="00433D45">
        <w:rPr>
          <w:lang w:val="en-IE"/>
        </w:rPr>
        <w:t xml:space="preserve">the changes </w:t>
      </w:r>
      <w:r w:rsidR="00B607A3" w:rsidRPr="00433D45">
        <w:rPr>
          <w:lang w:val="en-IE"/>
        </w:rPr>
        <w:t xml:space="preserve">aim to simplify and streamline sustainability due diligence obligations </w:t>
      </w:r>
      <w:r w:rsidR="008E40EF" w:rsidRPr="00433D45">
        <w:rPr>
          <w:lang w:val="en-IE"/>
        </w:rPr>
        <w:t xml:space="preserve">of </w:t>
      </w:r>
      <w:r w:rsidR="00B607A3" w:rsidRPr="00433D45">
        <w:rPr>
          <w:lang w:val="en-IE"/>
        </w:rPr>
        <w:t xml:space="preserve">companies without undermining the objectives of the Directive and the EU’s sustainability framework. The underlying policy objective </w:t>
      </w:r>
      <w:r w:rsidR="009367D7" w:rsidRPr="00433D45">
        <w:rPr>
          <w:lang w:val="en-IE"/>
        </w:rPr>
        <w:t>of this proposal</w:t>
      </w:r>
      <w:r w:rsidR="00B607A3" w:rsidRPr="00433D45">
        <w:rPr>
          <w:lang w:val="en-IE"/>
        </w:rPr>
        <w:t xml:space="preserve"> is precisely to further strengthen the proportionality of the Directive with a view to increase its efficiency in achieving its goals, </w:t>
      </w:r>
      <w:r w:rsidR="00772689" w:rsidRPr="00433D45">
        <w:rPr>
          <w:lang w:val="en-IE"/>
        </w:rPr>
        <w:t xml:space="preserve">reflecting on calls from </w:t>
      </w:r>
      <w:r w:rsidR="00B607A3" w:rsidRPr="00433D45">
        <w:rPr>
          <w:lang w:val="en-IE"/>
        </w:rPr>
        <w:t xml:space="preserve">some stakeholders </w:t>
      </w:r>
      <w:r w:rsidR="00217889" w:rsidRPr="00433D45">
        <w:rPr>
          <w:lang w:val="en-IE"/>
        </w:rPr>
        <w:t xml:space="preserve">who </w:t>
      </w:r>
      <w:r w:rsidR="00B607A3" w:rsidRPr="00433D45">
        <w:rPr>
          <w:lang w:val="en-IE"/>
        </w:rPr>
        <w:t xml:space="preserve">consider that </w:t>
      </w:r>
      <w:r w:rsidR="008E4770" w:rsidRPr="00433D45">
        <w:rPr>
          <w:lang w:val="en-IE"/>
        </w:rPr>
        <w:t xml:space="preserve">the CSDDD as currently in force, would have </w:t>
      </w:r>
      <w:r w:rsidR="00B607A3" w:rsidRPr="00433D45">
        <w:rPr>
          <w:lang w:val="en-IE"/>
        </w:rPr>
        <w:t>place</w:t>
      </w:r>
      <w:r w:rsidR="008E4770" w:rsidRPr="00433D45">
        <w:rPr>
          <w:lang w:val="en-IE"/>
        </w:rPr>
        <w:t>d</w:t>
      </w:r>
      <w:r w:rsidR="00B607A3" w:rsidRPr="00433D45">
        <w:rPr>
          <w:lang w:val="en-IE"/>
        </w:rPr>
        <w:t xml:space="preserve"> excessive burden on businesses. </w:t>
      </w:r>
      <w:r w:rsidR="64A3656F" w:rsidRPr="00433D45">
        <w:rPr>
          <w:lang w:val="en-IE"/>
        </w:rPr>
        <w:t>Targeting</w:t>
      </w:r>
      <w:r w:rsidR="00B607A3" w:rsidRPr="00433D45">
        <w:rPr>
          <w:lang w:val="en-IE"/>
        </w:rPr>
        <w:t xml:space="preserve"> the </w:t>
      </w:r>
      <w:r w:rsidR="00E52EDE" w:rsidRPr="00433D45">
        <w:rPr>
          <w:lang w:val="en-IE"/>
        </w:rPr>
        <w:t>obligations</w:t>
      </w:r>
      <w:r w:rsidR="00CA4E33" w:rsidRPr="00433D45">
        <w:rPr>
          <w:lang w:val="en-IE"/>
        </w:rPr>
        <w:t xml:space="preserve"> with respect to</w:t>
      </w:r>
      <w:r w:rsidR="006827A5" w:rsidRPr="00433D45">
        <w:rPr>
          <w:lang w:val="en-IE"/>
        </w:rPr>
        <w:t xml:space="preserve"> </w:t>
      </w:r>
      <w:r w:rsidR="0033067D" w:rsidRPr="00433D45">
        <w:rPr>
          <w:lang w:val="en-IE"/>
        </w:rPr>
        <w:t>in</w:t>
      </w:r>
      <w:r w:rsidR="001F470D" w:rsidRPr="00433D45">
        <w:rPr>
          <w:lang w:val="en-IE"/>
        </w:rPr>
        <w:t>direct business partners</w:t>
      </w:r>
      <w:r w:rsidR="0033067D" w:rsidRPr="00433D45">
        <w:rPr>
          <w:lang w:val="en-IE"/>
        </w:rPr>
        <w:t xml:space="preserve"> in the value chain</w:t>
      </w:r>
      <w:r w:rsidR="001F470D" w:rsidRPr="00433D45">
        <w:rPr>
          <w:lang w:val="en-IE"/>
        </w:rPr>
        <w:t>,</w:t>
      </w:r>
      <w:r w:rsidR="00183A47" w:rsidRPr="00433D45">
        <w:rPr>
          <w:lang w:val="en-IE"/>
        </w:rPr>
        <w:t xml:space="preserve"> </w:t>
      </w:r>
      <w:r w:rsidR="00B13F6C" w:rsidRPr="00433D45">
        <w:rPr>
          <w:lang w:val="en-IE"/>
        </w:rPr>
        <w:t xml:space="preserve">reducing </w:t>
      </w:r>
      <w:r w:rsidR="00183A47" w:rsidRPr="00433D45">
        <w:rPr>
          <w:lang w:val="en-IE"/>
        </w:rPr>
        <w:t>the required frequency of the periodic monitoring exercises</w:t>
      </w:r>
      <w:r w:rsidR="006827A5" w:rsidRPr="00433D45">
        <w:rPr>
          <w:lang w:val="en-IE"/>
        </w:rPr>
        <w:t xml:space="preserve">, </w:t>
      </w:r>
      <w:r w:rsidR="00863371" w:rsidRPr="00433D45">
        <w:rPr>
          <w:lang w:val="en-IE"/>
        </w:rPr>
        <w:t>as well as</w:t>
      </w:r>
      <w:r w:rsidR="007E784D" w:rsidRPr="00433D45">
        <w:rPr>
          <w:lang w:val="en-IE"/>
        </w:rPr>
        <w:t xml:space="preserve"> </w:t>
      </w:r>
      <w:r w:rsidR="000728B8" w:rsidRPr="00433D45">
        <w:rPr>
          <w:lang w:val="en-IE"/>
        </w:rPr>
        <w:t xml:space="preserve">streamlining </w:t>
      </w:r>
      <w:r w:rsidR="00711C2E" w:rsidRPr="00433D45">
        <w:rPr>
          <w:lang w:val="en-IE"/>
        </w:rPr>
        <w:t xml:space="preserve">the </w:t>
      </w:r>
      <w:r w:rsidR="00B607A3" w:rsidRPr="00433D45">
        <w:rPr>
          <w:lang w:val="en-IE"/>
        </w:rPr>
        <w:t>definition of stakeholders</w:t>
      </w:r>
      <w:r w:rsidR="000728B8" w:rsidRPr="00433D45">
        <w:rPr>
          <w:lang w:val="en-IE"/>
        </w:rPr>
        <w:t xml:space="preserve"> and</w:t>
      </w:r>
      <w:r w:rsidR="00B607A3" w:rsidRPr="00433D45">
        <w:rPr>
          <w:lang w:val="en-IE"/>
        </w:rPr>
        <w:t xml:space="preserve"> better targeting engagement to relevant stakeholders </w:t>
      </w:r>
      <w:r w:rsidR="002601F1" w:rsidRPr="00433D45">
        <w:rPr>
          <w:lang w:val="en-IE"/>
        </w:rPr>
        <w:t xml:space="preserve">and </w:t>
      </w:r>
      <w:r w:rsidR="007348FD" w:rsidRPr="00433D45">
        <w:rPr>
          <w:lang w:val="en-IE"/>
        </w:rPr>
        <w:t xml:space="preserve">limiting </w:t>
      </w:r>
      <w:r w:rsidR="00B607A3" w:rsidRPr="00433D45">
        <w:rPr>
          <w:lang w:val="en-IE"/>
        </w:rPr>
        <w:t xml:space="preserve">the due diligence steps </w:t>
      </w:r>
      <w:r w:rsidR="000728B8" w:rsidRPr="00433D45">
        <w:rPr>
          <w:lang w:val="en-IE"/>
        </w:rPr>
        <w:t>whe</w:t>
      </w:r>
      <w:r w:rsidR="0007680C" w:rsidRPr="00433D45">
        <w:rPr>
          <w:lang w:val="en-IE"/>
        </w:rPr>
        <w:t>n</w:t>
      </w:r>
      <w:r w:rsidR="000728B8" w:rsidRPr="00433D45">
        <w:rPr>
          <w:lang w:val="en-IE"/>
        </w:rPr>
        <w:t xml:space="preserve"> engagement is </w:t>
      </w:r>
      <w:r w:rsidR="0007680C" w:rsidRPr="00433D45">
        <w:rPr>
          <w:lang w:val="en-IE"/>
        </w:rPr>
        <w:t>required</w:t>
      </w:r>
      <w:r w:rsidR="000728B8" w:rsidRPr="00433D45">
        <w:rPr>
          <w:lang w:val="en-IE"/>
        </w:rPr>
        <w:t xml:space="preserve"> are all examples for </w:t>
      </w:r>
      <w:r w:rsidR="009836E0" w:rsidRPr="00433D45">
        <w:rPr>
          <w:lang w:val="en-IE"/>
        </w:rPr>
        <w:t xml:space="preserve">the proposed elements that </w:t>
      </w:r>
      <w:r w:rsidR="00C14CAA" w:rsidRPr="00433D45">
        <w:rPr>
          <w:lang w:val="en-IE"/>
        </w:rPr>
        <w:t xml:space="preserve">are designed </w:t>
      </w:r>
      <w:r w:rsidR="00B607A3" w:rsidRPr="00433D45">
        <w:rPr>
          <w:lang w:val="en-IE"/>
        </w:rPr>
        <w:t xml:space="preserve">to make </w:t>
      </w:r>
      <w:r w:rsidR="00C14CAA" w:rsidRPr="00433D45">
        <w:rPr>
          <w:lang w:val="en-IE"/>
        </w:rPr>
        <w:t xml:space="preserve">the Directive </w:t>
      </w:r>
      <w:r w:rsidR="00B607A3" w:rsidRPr="00433D45">
        <w:rPr>
          <w:lang w:val="en-IE"/>
        </w:rPr>
        <w:t xml:space="preserve">more proportionate. </w:t>
      </w:r>
    </w:p>
    <w:p w14:paraId="678DF057" w14:textId="77777777" w:rsidR="009D1FEE" w:rsidRPr="00433D45" w:rsidRDefault="009D1FEE">
      <w:pPr>
        <w:pStyle w:val="ManualHeading2"/>
        <w:rPr>
          <w:rFonts w:eastAsia="Arial Unicode MS"/>
          <w:bdr w:val="nil"/>
          <w:lang w:val="en-IE" w:eastAsia="en-GB"/>
        </w:rPr>
      </w:pPr>
      <w:bookmarkStart w:id="8" w:name="_Toc191189474"/>
      <w:r w:rsidRPr="00433D45">
        <w:rPr>
          <w:rFonts w:eastAsia="Arial Unicode MS"/>
          <w:bdr w:val="nil"/>
          <w:lang w:val="en-IE" w:eastAsia="en-GB"/>
        </w:rPr>
        <w:lastRenderedPageBreak/>
        <w:t>•</w:t>
      </w:r>
      <w:r w:rsidRPr="00433D45">
        <w:rPr>
          <w:rFonts w:eastAsia="Arial Unicode MS"/>
          <w:u w:color="000000"/>
          <w:bdr w:val="nil"/>
          <w:lang w:val="en-IE" w:eastAsia="en-GB"/>
        </w:rPr>
        <w:tab/>
      </w:r>
      <w:r w:rsidRPr="00433D45">
        <w:rPr>
          <w:rFonts w:eastAsia="Arial Unicode MS"/>
          <w:bdr w:val="nil"/>
          <w:lang w:val="en-IE" w:eastAsia="en-GB"/>
        </w:rPr>
        <w:t>Choice of the instrument</w:t>
      </w:r>
      <w:bookmarkEnd w:id="8"/>
    </w:p>
    <w:p w14:paraId="4B4A18FD" w14:textId="77777777" w:rsidR="00DA26D1" w:rsidRPr="00433D45" w:rsidRDefault="003918D2" w:rsidP="162529BC">
      <w:pPr>
        <w:pBdr>
          <w:top w:val="nil"/>
          <w:left w:val="nil"/>
          <w:bottom w:val="nil"/>
          <w:right w:val="nil"/>
          <w:between w:val="nil"/>
          <w:bar w:val="nil"/>
        </w:pBdr>
        <w:spacing w:before="0" w:after="240"/>
        <w:rPr>
          <w:rFonts w:eastAsia="Arial Unicode MS"/>
        </w:rPr>
      </w:pPr>
      <w:r w:rsidRPr="00757AE9">
        <w:t>This</w:t>
      </w:r>
      <w:r w:rsidRPr="162529BC">
        <w:t xml:space="preserve"> proposal </w:t>
      </w:r>
      <w:r w:rsidR="00AA210E" w:rsidRPr="162529BC">
        <w:t>is compos</w:t>
      </w:r>
      <w:r w:rsidR="00F940CA" w:rsidRPr="162529BC">
        <w:t xml:space="preserve">ed of </w:t>
      </w:r>
      <w:r w:rsidR="0096606C" w:rsidRPr="162529BC">
        <w:t>a</w:t>
      </w:r>
      <w:r w:rsidRPr="162529BC">
        <w:t xml:space="preserve"> Directive that amends provisions of the A</w:t>
      </w:r>
      <w:r w:rsidR="00F940CA" w:rsidRPr="162529BC">
        <w:t xml:space="preserve">udit Directive, </w:t>
      </w:r>
      <w:r w:rsidRPr="162529BC">
        <w:t xml:space="preserve">Accounting Directive, </w:t>
      </w:r>
      <w:r w:rsidR="00F940CA" w:rsidRPr="162529BC">
        <w:t>C</w:t>
      </w:r>
      <w:r w:rsidR="004F373D" w:rsidRPr="162529BC">
        <w:t xml:space="preserve">orporate </w:t>
      </w:r>
      <w:r w:rsidR="00627686" w:rsidRPr="162529BC">
        <w:t>Sustainability</w:t>
      </w:r>
      <w:r w:rsidR="004F373D" w:rsidRPr="162529BC">
        <w:t xml:space="preserve"> Reporting Directive (</w:t>
      </w:r>
      <w:r w:rsidR="00F940CA" w:rsidRPr="162529BC">
        <w:t>CSRD</w:t>
      </w:r>
      <w:r w:rsidR="004F373D" w:rsidRPr="162529BC">
        <w:t>)</w:t>
      </w:r>
      <w:r w:rsidR="00F940CA" w:rsidRPr="162529BC">
        <w:t xml:space="preserve"> and </w:t>
      </w:r>
      <w:r w:rsidR="004F373D" w:rsidRPr="162529BC">
        <w:t>Corporate Sustainability Due Diligence Directive (</w:t>
      </w:r>
      <w:r w:rsidR="00F940CA" w:rsidRPr="162529BC">
        <w:t>CSDDD</w:t>
      </w:r>
      <w:r w:rsidR="004F373D" w:rsidRPr="162529BC">
        <w:t>)</w:t>
      </w:r>
      <w:r w:rsidR="00902F29" w:rsidRPr="162529BC">
        <w:t xml:space="preserve">. </w:t>
      </w:r>
      <w:r w:rsidR="00C67E2E" w:rsidRPr="162529BC">
        <w:t>These</w:t>
      </w:r>
      <w:r w:rsidR="00615AB1" w:rsidRPr="162529BC">
        <w:t xml:space="preserve"> </w:t>
      </w:r>
      <w:r w:rsidR="00F11C14" w:rsidRPr="162529BC">
        <w:t>directives</w:t>
      </w:r>
      <w:r w:rsidR="00C67E2E" w:rsidRPr="162529BC">
        <w:t xml:space="preserve"> </w:t>
      </w:r>
      <w:r w:rsidR="00ED5C1E" w:rsidRPr="162529BC">
        <w:t>set out complementary reporting and behavioural duties in the area of sustainability</w:t>
      </w:r>
      <w:r w:rsidR="00D15645" w:rsidRPr="162529BC">
        <w:t xml:space="preserve">, and </w:t>
      </w:r>
      <w:r w:rsidR="00967F03" w:rsidRPr="162529BC">
        <w:t>a</w:t>
      </w:r>
      <w:r w:rsidR="00902F29" w:rsidRPr="162529BC">
        <w:t xml:space="preserve">n Omnibus Directive is the most appropriate legal instrument to amend </w:t>
      </w:r>
      <w:r w:rsidR="00291DC0" w:rsidRPr="162529BC">
        <w:t xml:space="preserve">such </w:t>
      </w:r>
      <w:r w:rsidR="00902F29" w:rsidRPr="162529BC">
        <w:t xml:space="preserve">existing </w:t>
      </w:r>
      <w:r w:rsidR="00291DC0" w:rsidRPr="162529BC">
        <w:t xml:space="preserve">inter-linked </w:t>
      </w:r>
      <w:r w:rsidR="00902F29" w:rsidRPr="162529BC">
        <w:t xml:space="preserve">Directives </w:t>
      </w:r>
      <w:r w:rsidR="002B691E" w:rsidRPr="162529BC">
        <w:t xml:space="preserve">with the </w:t>
      </w:r>
      <w:r w:rsidR="00F762E3" w:rsidRPr="162529BC">
        <w:t>common objective</w:t>
      </w:r>
      <w:r w:rsidR="002B691E" w:rsidRPr="162529BC">
        <w:t xml:space="preserve"> </w:t>
      </w:r>
      <w:r w:rsidR="00902F29" w:rsidRPr="162529BC">
        <w:t>as regards simplification and burden reduction</w:t>
      </w:r>
      <w:r w:rsidR="00B2605D" w:rsidRPr="162529BC">
        <w:t xml:space="preserve">. </w:t>
      </w:r>
      <w:r w:rsidR="00DA26D1" w:rsidRPr="162529BC">
        <w:t xml:space="preserve"> </w:t>
      </w:r>
    </w:p>
    <w:p w14:paraId="74AD8483" w14:textId="77777777" w:rsidR="009D1FEE" w:rsidRPr="00433D45" w:rsidRDefault="009D1FEE">
      <w:pPr>
        <w:pStyle w:val="ManualHeading1"/>
        <w:rPr>
          <w:lang w:val="en-IE"/>
        </w:rPr>
      </w:pPr>
      <w:bookmarkStart w:id="9" w:name="_Toc191189475"/>
      <w:r w:rsidRPr="00433D45">
        <w:rPr>
          <w:lang w:val="en-IE"/>
        </w:rPr>
        <w:t>3.</w:t>
      </w:r>
      <w:r w:rsidRPr="00433D45">
        <w:rPr>
          <w:lang w:val="en-IE"/>
        </w:rPr>
        <w:tab/>
        <w:t>RESULTS OF EX-POST EVALUATIONS, STAKEHOLDER CONSULTATIONS AND IMPACT ASSESSMENTS</w:t>
      </w:r>
      <w:bookmarkEnd w:id="9"/>
    </w:p>
    <w:p w14:paraId="3FC1974B" w14:textId="77777777" w:rsidR="009D1FEE" w:rsidRPr="00433D45" w:rsidRDefault="009D1FEE">
      <w:pPr>
        <w:pStyle w:val="ManualHeading2"/>
        <w:rPr>
          <w:rFonts w:eastAsia="Arial Unicode MS"/>
          <w:u w:color="000000"/>
          <w:bdr w:val="nil"/>
          <w:lang w:val="en-IE" w:eastAsia="en-GB"/>
        </w:rPr>
      </w:pPr>
      <w:bookmarkStart w:id="10" w:name="_Toc191189476"/>
      <w:r w:rsidRPr="00433D45">
        <w:rPr>
          <w:rFonts w:eastAsia="Arial Unicode MS"/>
          <w:u w:color="000000"/>
          <w:bdr w:val="nil"/>
          <w:lang w:val="en-IE" w:eastAsia="en-GB"/>
        </w:rPr>
        <w:t>•</w:t>
      </w:r>
      <w:r w:rsidRPr="00433D45">
        <w:rPr>
          <w:rFonts w:eastAsia="Arial Unicode MS"/>
          <w:u w:color="000000"/>
          <w:bdr w:val="nil"/>
          <w:lang w:val="en-IE" w:eastAsia="en-GB"/>
        </w:rPr>
        <w:tab/>
        <w:t>Ex-post evaluations/fitness checks of existing legislation</w:t>
      </w:r>
      <w:bookmarkEnd w:id="10"/>
    </w:p>
    <w:p w14:paraId="00D5DBE9" w14:textId="77777777" w:rsidR="009D1FEE" w:rsidRPr="00433D45" w:rsidRDefault="006E66FE">
      <w:pPr>
        <w:pBdr>
          <w:top w:val="nil"/>
          <w:left w:val="nil"/>
          <w:bottom w:val="nil"/>
          <w:right w:val="nil"/>
          <w:between w:val="nil"/>
          <w:bar w:val="nil"/>
        </w:pBdr>
        <w:spacing w:before="0" w:after="240"/>
        <w:rPr>
          <w:rFonts w:eastAsia="Arial Unicode MS"/>
          <w:lang w:val="en-IE"/>
        </w:rPr>
      </w:pPr>
      <w:r w:rsidRPr="00757AE9">
        <w:t>The</w:t>
      </w:r>
      <w:r w:rsidRPr="00433D45">
        <w:rPr>
          <w:lang w:val="en-IE"/>
        </w:rPr>
        <w:t xml:space="preserve"> CSDDD has not yet been transposed or applied by companies. The CSRD has been applied </w:t>
      </w:r>
      <w:r w:rsidR="00693550" w:rsidRPr="00433D45">
        <w:rPr>
          <w:lang w:val="en-IE"/>
        </w:rPr>
        <w:t xml:space="preserve">by a first set of companies who </w:t>
      </w:r>
      <w:r w:rsidR="008740D6" w:rsidRPr="00433D45">
        <w:rPr>
          <w:lang w:val="en-IE"/>
        </w:rPr>
        <w:t xml:space="preserve">are publishing their first </w:t>
      </w:r>
      <w:r w:rsidR="00BF776B" w:rsidRPr="00433D45">
        <w:rPr>
          <w:lang w:val="en-IE"/>
        </w:rPr>
        <w:t>sustainability statement</w:t>
      </w:r>
      <w:r w:rsidR="007A46DF" w:rsidRPr="00433D45">
        <w:rPr>
          <w:lang w:val="en-IE"/>
        </w:rPr>
        <w:t xml:space="preserve">s </w:t>
      </w:r>
      <w:r w:rsidR="00CC42D6" w:rsidRPr="00433D45">
        <w:rPr>
          <w:lang w:val="en-IE"/>
        </w:rPr>
        <w:t xml:space="preserve">mainly in the first half of 2025. </w:t>
      </w:r>
      <w:r w:rsidR="00477607" w:rsidRPr="00433D45">
        <w:rPr>
          <w:lang w:val="en-IE"/>
        </w:rPr>
        <w:t>It</w:t>
      </w:r>
      <w:r w:rsidR="00876F79" w:rsidRPr="00433D45">
        <w:rPr>
          <w:lang w:val="en-IE"/>
        </w:rPr>
        <w:t xml:space="preserve"> has </w:t>
      </w:r>
      <w:r w:rsidR="00477607" w:rsidRPr="00433D45">
        <w:rPr>
          <w:lang w:val="en-IE"/>
        </w:rPr>
        <w:t xml:space="preserve">therefore </w:t>
      </w:r>
      <w:r w:rsidR="00876F79" w:rsidRPr="00433D45">
        <w:rPr>
          <w:lang w:val="en-IE"/>
        </w:rPr>
        <w:t xml:space="preserve">not </w:t>
      </w:r>
      <w:r w:rsidR="00CC42D6" w:rsidRPr="00433D45">
        <w:rPr>
          <w:lang w:val="en-IE"/>
        </w:rPr>
        <w:t xml:space="preserve">been possible to </w:t>
      </w:r>
      <w:r w:rsidR="00876F79" w:rsidRPr="00433D45">
        <w:rPr>
          <w:lang w:val="en-IE"/>
        </w:rPr>
        <w:t xml:space="preserve">undertake an ex-post evaluation or </w:t>
      </w:r>
      <w:r w:rsidR="00CC42D6" w:rsidRPr="00433D45">
        <w:rPr>
          <w:lang w:val="en-IE"/>
        </w:rPr>
        <w:t>fitness check</w:t>
      </w:r>
      <w:r w:rsidR="00876F79" w:rsidRPr="00433D45">
        <w:rPr>
          <w:lang w:val="en-IE"/>
        </w:rPr>
        <w:t xml:space="preserve"> of either piece of legislation.  </w:t>
      </w:r>
    </w:p>
    <w:p w14:paraId="27622DF2" w14:textId="77777777" w:rsidR="009D1FEE" w:rsidRPr="00433D45" w:rsidRDefault="009D1FEE">
      <w:pPr>
        <w:pStyle w:val="ManualHeading2"/>
        <w:rPr>
          <w:rFonts w:eastAsia="Arial Unicode MS"/>
          <w:u w:color="000000"/>
          <w:bdr w:val="nil"/>
          <w:lang w:val="en-IE" w:eastAsia="en-GB"/>
        </w:rPr>
      </w:pPr>
      <w:bookmarkStart w:id="11" w:name="_Toc191189477"/>
      <w:r w:rsidRPr="00433D45">
        <w:rPr>
          <w:rFonts w:eastAsia="Arial Unicode MS"/>
          <w:u w:color="000000"/>
          <w:bdr w:val="nil"/>
          <w:lang w:val="en-IE" w:eastAsia="en-GB"/>
        </w:rPr>
        <w:t>•</w:t>
      </w:r>
      <w:r w:rsidRPr="00433D45">
        <w:rPr>
          <w:rFonts w:eastAsia="Arial Unicode MS"/>
          <w:u w:color="000000"/>
          <w:bdr w:val="nil"/>
          <w:lang w:val="en-IE" w:eastAsia="en-GB"/>
        </w:rPr>
        <w:tab/>
        <w:t>Stakeholder consultations</w:t>
      </w:r>
      <w:bookmarkEnd w:id="11"/>
    </w:p>
    <w:p w14:paraId="7C896E82" w14:textId="77777777" w:rsidR="00427FC0" w:rsidRPr="00433D45" w:rsidRDefault="00427FC0">
      <w:pPr>
        <w:pBdr>
          <w:top w:val="nil"/>
          <w:left w:val="nil"/>
          <w:bottom w:val="nil"/>
          <w:right w:val="nil"/>
          <w:between w:val="nil"/>
          <w:bar w:val="nil"/>
        </w:pBdr>
        <w:spacing w:before="0" w:after="240"/>
        <w:rPr>
          <w:lang w:val="en-IE"/>
        </w:rPr>
      </w:pPr>
      <w:r w:rsidRPr="00757AE9">
        <w:t>The</w:t>
      </w:r>
      <w:r w:rsidRPr="00433D45">
        <w:rPr>
          <w:lang w:val="en-IE"/>
        </w:rPr>
        <w:t xml:space="preserve"> following consultation activities have helped to shape the content of this proposal. </w:t>
      </w:r>
    </w:p>
    <w:p w14:paraId="3F617583" w14:textId="77777777" w:rsidR="008D6236" w:rsidRPr="00433D45" w:rsidRDefault="006C00CA" w:rsidP="00757AE9">
      <w:pPr>
        <w:pStyle w:val="Tiret0"/>
        <w:rPr>
          <w:rStyle w:val="normaltextrun"/>
          <w:rFonts w:ascii="Segoe UI" w:hAnsi="Segoe UI" w:cs="Segoe UI"/>
          <w:sz w:val="18"/>
          <w:szCs w:val="18"/>
        </w:rPr>
      </w:pPr>
      <w:r w:rsidRPr="282B7335">
        <w:rPr>
          <w:rStyle w:val="normaltextrun"/>
          <w:color w:val="000000"/>
          <w:shd w:val="clear" w:color="auto" w:fill="FFFFFF"/>
          <w:lang w:val="en-IE"/>
        </w:rPr>
        <w:t>European</w:t>
      </w:r>
      <w:r w:rsidR="001E36A5" w:rsidRPr="282B7335">
        <w:rPr>
          <w:rStyle w:val="normaltextrun"/>
          <w:color w:val="000000"/>
          <w:shd w:val="clear" w:color="auto" w:fill="FFFFFF"/>
          <w:lang w:val="en-IE"/>
        </w:rPr>
        <w:t xml:space="preserve"> Commission ‘Call for evidence on the rationalisation of reporting </w:t>
      </w:r>
      <w:r w:rsidRPr="282B7335">
        <w:rPr>
          <w:rStyle w:val="normaltextrun"/>
          <w:color w:val="000000"/>
          <w:shd w:val="clear" w:color="auto" w:fill="FFFFFF"/>
          <w:lang w:val="en-IE"/>
        </w:rPr>
        <w:t>requirements’</w:t>
      </w:r>
      <w:r w:rsidR="00A57ED0" w:rsidRPr="282B7335">
        <w:rPr>
          <w:rStyle w:val="normaltextrun"/>
          <w:color w:val="000000"/>
          <w:shd w:val="clear" w:color="auto" w:fill="FFFFFF"/>
          <w:lang w:val="en-IE"/>
        </w:rPr>
        <w:t>, from October to December 2023</w:t>
      </w:r>
      <w:r w:rsidRPr="282B7335">
        <w:rPr>
          <w:rStyle w:val="normaltextrun"/>
          <w:color w:val="000000"/>
          <w:shd w:val="clear" w:color="auto" w:fill="FFFFFF"/>
          <w:lang w:val="en-IE"/>
        </w:rPr>
        <w:t>.</w:t>
      </w:r>
      <w:r w:rsidR="007927A9" w:rsidRPr="282B7335">
        <w:rPr>
          <w:rStyle w:val="FootnoteReference"/>
          <w:color w:val="000000"/>
          <w:lang w:val="en-IE"/>
        </w:rPr>
        <w:footnoteReference w:id="20"/>
      </w:r>
      <w:r w:rsidRPr="282B7335">
        <w:rPr>
          <w:rStyle w:val="normaltextrun"/>
          <w:color w:val="000000"/>
          <w:shd w:val="clear" w:color="auto" w:fill="FFFFFF"/>
          <w:lang w:val="en-IE"/>
        </w:rPr>
        <w:t xml:space="preserve"> </w:t>
      </w:r>
    </w:p>
    <w:p w14:paraId="18E603A0" w14:textId="77777777" w:rsidR="001E4ED5" w:rsidRPr="00433D45" w:rsidRDefault="001E36A5" w:rsidP="00757AE9">
      <w:pPr>
        <w:pStyle w:val="Tiret0"/>
        <w:rPr>
          <w:rStyle w:val="normaltextrun"/>
          <w:rFonts w:ascii="Segoe UI" w:hAnsi="Segoe UI" w:cs="Segoe UI"/>
          <w:sz w:val="18"/>
          <w:szCs w:val="18"/>
        </w:rPr>
      </w:pPr>
      <w:r w:rsidRPr="00433D45">
        <w:rPr>
          <w:rStyle w:val="normaltextrun"/>
        </w:rPr>
        <w:t xml:space="preserve">European </w:t>
      </w:r>
      <w:r w:rsidR="008D6236" w:rsidRPr="00433D45">
        <w:rPr>
          <w:rStyle w:val="normaltextrun"/>
        </w:rPr>
        <w:t xml:space="preserve">Commission </w:t>
      </w:r>
      <w:r w:rsidR="005C1844" w:rsidRPr="00433D45">
        <w:rPr>
          <w:rStyle w:val="normaltextrun"/>
        </w:rPr>
        <w:t xml:space="preserve">meetings with </w:t>
      </w:r>
      <w:r w:rsidR="00B94EE8" w:rsidRPr="00433D45">
        <w:rPr>
          <w:rStyle w:val="normaltextrun"/>
        </w:rPr>
        <w:t>companies</w:t>
      </w:r>
      <w:r w:rsidR="008D6236" w:rsidRPr="00433D45">
        <w:rPr>
          <w:rStyle w:val="normaltextrun"/>
        </w:rPr>
        <w:t xml:space="preserve"> and </w:t>
      </w:r>
      <w:r w:rsidR="00B94EE8" w:rsidRPr="00433D45">
        <w:rPr>
          <w:rStyle w:val="normaltextrun"/>
        </w:rPr>
        <w:t>other stakeholders</w:t>
      </w:r>
      <w:r w:rsidR="008D6236" w:rsidRPr="00433D45">
        <w:rPr>
          <w:rStyle w:val="normaltextrun"/>
        </w:rPr>
        <w:t xml:space="preserve"> in early February 2025</w:t>
      </w:r>
      <w:r w:rsidR="006C00CA" w:rsidRPr="00433D45">
        <w:rPr>
          <w:rStyle w:val="normaltextrun"/>
        </w:rPr>
        <w:t>.</w:t>
      </w:r>
    </w:p>
    <w:p w14:paraId="4B25CD38" w14:textId="77777777" w:rsidR="009A750F" w:rsidRPr="00433D45" w:rsidRDefault="007927A9" w:rsidP="00757AE9">
      <w:pPr>
        <w:pStyle w:val="Tiret0"/>
        <w:rPr>
          <w:rFonts w:ascii="Segoe UI" w:hAnsi="Segoe UI" w:cs="Segoe UI"/>
          <w:sz w:val="18"/>
          <w:szCs w:val="18"/>
        </w:rPr>
      </w:pPr>
      <w:r w:rsidRPr="00433D45">
        <w:rPr>
          <w:rStyle w:val="normaltextrun"/>
        </w:rPr>
        <w:t xml:space="preserve">The </w:t>
      </w:r>
      <w:r w:rsidR="001E4ED5" w:rsidRPr="00433D45">
        <w:t xml:space="preserve">European Commission has also held separate stakeholder activities including two large hybrid stakeholder forums </w:t>
      </w:r>
      <w:r w:rsidR="00953FF0" w:rsidRPr="00433D45">
        <w:t xml:space="preserve">on the CSRD </w:t>
      </w:r>
      <w:r w:rsidR="001E4ED5" w:rsidRPr="00433D45">
        <w:t xml:space="preserve">in May and November 2024 with the participation of </w:t>
      </w:r>
      <w:r w:rsidR="00E9431D" w:rsidRPr="00433D45">
        <w:t>approximately</w:t>
      </w:r>
      <w:r w:rsidR="001E4ED5" w:rsidRPr="00433D45">
        <w:t xml:space="preserve"> 400 people in person and more than 3000 people virtually.</w:t>
      </w:r>
    </w:p>
    <w:p w14:paraId="043EAAC0" w14:textId="77777777" w:rsidR="00AC24C7" w:rsidRPr="00AC24C7" w:rsidRDefault="00AC24C7" w:rsidP="00757AE9">
      <w:pPr>
        <w:pStyle w:val="Tiret0"/>
      </w:pPr>
      <w:r w:rsidRPr="282B7335">
        <w:rPr>
          <w:lang w:val="en-IE"/>
        </w:rPr>
        <w:t xml:space="preserve">The European Commission received a very significant number of letters and detailed analyses from all types of stakeholders (from </w:t>
      </w:r>
      <w:r w:rsidR="007B3E63" w:rsidRPr="282B7335">
        <w:rPr>
          <w:lang w:val="en-IE"/>
        </w:rPr>
        <w:t xml:space="preserve">companies to </w:t>
      </w:r>
      <w:r w:rsidRPr="282B7335">
        <w:rPr>
          <w:lang w:val="en-IE"/>
        </w:rPr>
        <w:t>investors, banks, civil society, Non-Governmental Organisations, chambers of commerce and Member States’ national administrations).</w:t>
      </w:r>
    </w:p>
    <w:p w14:paraId="73292D36" w14:textId="77777777" w:rsidR="00953FF0" w:rsidRPr="00433D45" w:rsidRDefault="00953FF0" w:rsidP="00DE466D">
      <w:pPr>
        <w:keepNext/>
        <w:pBdr>
          <w:top w:val="nil"/>
          <w:left w:val="nil"/>
          <w:bottom w:val="nil"/>
          <w:right w:val="nil"/>
          <w:between w:val="nil"/>
          <w:bar w:val="nil"/>
        </w:pBdr>
        <w:spacing w:before="0" w:after="240"/>
        <w:rPr>
          <w:rStyle w:val="normaltextrun"/>
          <w:rFonts w:eastAsia="Arial Unicode MS"/>
          <w:u w:val="single"/>
          <w:lang w:val="en-IE"/>
        </w:rPr>
      </w:pPr>
      <w:r w:rsidRPr="00433D45">
        <w:rPr>
          <w:rFonts w:eastAsia="Arial Unicode MS"/>
          <w:u w:val="single"/>
          <w:lang w:val="en-IE"/>
        </w:rPr>
        <w:t>Corporate Sustainability Reporting Directive</w:t>
      </w:r>
    </w:p>
    <w:p w14:paraId="0DB869EE" w14:textId="77777777" w:rsidR="006C00CA" w:rsidRPr="00433D45" w:rsidRDefault="005A259A" w:rsidP="00DE466D">
      <w:pPr>
        <w:pBdr>
          <w:top w:val="nil"/>
          <w:left w:val="nil"/>
          <w:bottom w:val="nil"/>
          <w:right w:val="nil"/>
          <w:between w:val="nil"/>
          <w:bar w:val="nil"/>
        </w:pBdr>
        <w:spacing w:before="0" w:after="240"/>
        <w:rPr>
          <w:rStyle w:val="eop"/>
          <w:rFonts w:eastAsiaTheme="majorEastAsia"/>
          <w:color w:val="000000"/>
          <w:shd w:val="clear" w:color="auto" w:fill="FFFFFF"/>
        </w:rPr>
      </w:pPr>
      <w:r w:rsidRPr="00757AE9">
        <w:t>The</w:t>
      </w:r>
      <w:r w:rsidRPr="00433D45">
        <w:rPr>
          <w:rStyle w:val="normaltextrun"/>
          <w:color w:val="000000"/>
          <w:shd w:val="clear" w:color="auto" w:fill="FFFFFF"/>
        </w:rPr>
        <w:t xml:space="preserve"> European Commission’s Call for Evidence on the Rationalisation of Reporting Requirements</w:t>
      </w:r>
      <w:r w:rsidR="00BD4AC4" w:rsidRPr="00433D45">
        <w:rPr>
          <w:color w:val="000000"/>
          <w:shd w:val="clear" w:color="auto" w:fill="FFFFFF"/>
        </w:rPr>
        <w:t xml:space="preserve"> sought evidence and views </w:t>
      </w:r>
      <w:r w:rsidR="00BB26F7" w:rsidRPr="00433D45">
        <w:rPr>
          <w:color w:val="000000"/>
          <w:shd w:val="clear" w:color="auto" w:fill="FFFFFF"/>
        </w:rPr>
        <w:t>regarding</w:t>
      </w:r>
      <w:r w:rsidR="00BD4AC4" w:rsidRPr="00433D45">
        <w:rPr>
          <w:color w:val="000000"/>
          <w:shd w:val="clear" w:color="auto" w:fill="FFFFFF"/>
        </w:rPr>
        <w:t xml:space="preserve"> regulations</w:t>
      </w:r>
      <w:r w:rsidR="00EC5A1C" w:rsidRPr="00433D45">
        <w:rPr>
          <w:color w:val="000000"/>
          <w:shd w:val="clear" w:color="auto" w:fill="FFFFFF"/>
        </w:rPr>
        <w:t xml:space="preserve"> which are perceived to produce administrative burden</w:t>
      </w:r>
      <w:r w:rsidR="00BD4AC4" w:rsidRPr="00433D45">
        <w:rPr>
          <w:color w:val="000000"/>
          <w:shd w:val="clear" w:color="auto" w:fill="FFFFFF"/>
        </w:rPr>
        <w:t xml:space="preserve">. </w:t>
      </w:r>
      <w:r w:rsidR="00A514E0" w:rsidRPr="00433D45">
        <w:rPr>
          <w:color w:val="000000"/>
          <w:shd w:val="clear" w:color="auto" w:fill="FFFFFF"/>
        </w:rPr>
        <w:t>Almost</w:t>
      </w:r>
      <w:r w:rsidRPr="00433D45">
        <w:rPr>
          <w:rStyle w:val="normaltextrun"/>
          <w:color w:val="000000"/>
          <w:shd w:val="clear" w:color="auto" w:fill="FFFFFF"/>
        </w:rPr>
        <w:t xml:space="preserve"> 200 stakeholders</w:t>
      </w:r>
      <w:r w:rsidR="00F73DCC" w:rsidRPr="00433D45">
        <w:rPr>
          <w:rStyle w:val="normaltextrun"/>
          <w:color w:val="000000"/>
          <w:shd w:val="clear" w:color="auto" w:fill="FFFFFF"/>
        </w:rPr>
        <w:t xml:space="preserve"> </w:t>
      </w:r>
      <w:r w:rsidR="00EC5A1C" w:rsidRPr="00433D45">
        <w:rPr>
          <w:rStyle w:val="normaltextrun"/>
          <w:color w:val="000000"/>
          <w:shd w:val="clear" w:color="auto" w:fill="FFFFFF"/>
        </w:rPr>
        <w:t>responded,</w:t>
      </w:r>
      <w:r w:rsidR="00EE465D" w:rsidRPr="00433D45">
        <w:rPr>
          <w:rStyle w:val="normaltextrun"/>
          <w:color w:val="000000"/>
          <w:shd w:val="clear" w:color="auto" w:fill="FFFFFF"/>
        </w:rPr>
        <w:t xml:space="preserve"> </w:t>
      </w:r>
      <w:r w:rsidR="00A514E0" w:rsidRPr="00433D45">
        <w:rPr>
          <w:rStyle w:val="normaltextrun"/>
          <w:color w:val="000000"/>
          <w:shd w:val="clear" w:color="auto" w:fill="FFFFFF"/>
        </w:rPr>
        <w:t>and</w:t>
      </w:r>
      <w:r w:rsidRPr="00433D45">
        <w:rPr>
          <w:rStyle w:val="normaltextrun"/>
          <w:color w:val="000000"/>
          <w:shd w:val="clear" w:color="auto" w:fill="FFFFFF"/>
        </w:rPr>
        <w:t xml:space="preserve"> </w:t>
      </w:r>
      <w:r w:rsidR="00EC5A1C" w:rsidRPr="00433D45">
        <w:rPr>
          <w:rStyle w:val="normaltextrun"/>
          <w:color w:val="000000"/>
          <w:shd w:val="clear" w:color="auto" w:fill="FFFFFF"/>
        </w:rPr>
        <w:t>primarily</w:t>
      </w:r>
      <w:r w:rsidRPr="00433D45">
        <w:rPr>
          <w:rStyle w:val="normaltextrun"/>
          <w:color w:val="000000"/>
          <w:shd w:val="clear" w:color="auto" w:fill="FFFFFF"/>
        </w:rPr>
        <w:t xml:space="preserve"> called for a simplification of sustainability reporting, due diligence and the EU Taxonomy</w:t>
      </w:r>
      <w:r w:rsidR="00D6795F" w:rsidRPr="00433D45">
        <w:rPr>
          <w:rStyle w:val="normaltextrun"/>
          <w:color w:val="000000"/>
          <w:shd w:val="clear" w:color="auto" w:fill="FFFFFF"/>
        </w:rPr>
        <w:t xml:space="preserve">. </w:t>
      </w:r>
    </w:p>
    <w:p w14:paraId="76C485EE" w14:textId="77777777" w:rsidR="00C42B46" w:rsidRPr="00433D45" w:rsidRDefault="005C4D2C" w:rsidP="008D6236">
      <w:pPr>
        <w:pBdr>
          <w:top w:val="nil"/>
          <w:left w:val="nil"/>
          <w:bottom w:val="nil"/>
          <w:right w:val="nil"/>
          <w:between w:val="nil"/>
          <w:bar w:val="nil"/>
        </w:pBdr>
        <w:spacing w:before="0" w:after="240"/>
        <w:rPr>
          <w:lang w:val="en-IE"/>
        </w:rPr>
      </w:pPr>
      <w:r w:rsidRPr="00757AE9">
        <w:t>In</w:t>
      </w:r>
      <w:r w:rsidRPr="00433D45">
        <w:rPr>
          <w:lang w:val="en-IE"/>
        </w:rPr>
        <w:t xml:space="preserve"> t</w:t>
      </w:r>
      <w:r w:rsidR="006C00CA" w:rsidRPr="00433D45">
        <w:rPr>
          <w:lang w:val="en-IE"/>
        </w:rPr>
        <w:t xml:space="preserve">he European Commission’s </w:t>
      </w:r>
      <w:r w:rsidRPr="00433D45">
        <w:rPr>
          <w:rStyle w:val="normaltextrun"/>
          <w:lang w:val="en-IE"/>
        </w:rPr>
        <w:t>meetings with</w:t>
      </w:r>
      <w:r w:rsidR="006C00CA" w:rsidRPr="00433D45">
        <w:rPr>
          <w:lang w:val="en-IE"/>
        </w:rPr>
        <w:t xml:space="preserve"> European industry</w:t>
      </w:r>
      <w:r w:rsidRPr="00433D45">
        <w:rPr>
          <w:lang w:val="en-IE"/>
        </w:rPr>
        <w:t>, social partners</w:t>
      </w:r>
      <w:r w:rsidR="006C00CA" w:rsidRPr="00433D45">
        <w:rPr>
          <w:lang w:val="en-IE"/>
        </w:rPr>
        <w:t xml:space="preserve"> and civil society</w:t>
      </w:r>
      <w:r w:rsidR="00FC1F77" w:rsidRPr="00433D45">
        <w:rPr>
          <w:lang w:val="en-IE"/>
        </w:rPr>
        <w:t xml:space="preserve"> </w:t>
      </w:r>
      <w:r w:rsidRPr="00433D45">
        <w:rPr>
          <w:lang w:val="en-IE"/>
        </w:rPr>
        <w:t>in early</w:t>
      </w:r>
      <w:r w:rsidR="00FC1F77" w:rsidRPr="00433D45">
        <w:rPr>
          <w:lang w:val="en-IE"/>
        </w:rPr>
        <w:t xml:space="preserve"> February 2025</w:t>
      </w:r>
      <w:r w:rsidR="00734154" w:rsidRPr="00433D45">
        <w:rPr>
          <w:lang w:val="en-IE"/>
        </w:rPr>
        <w:t xml:space="preserve"> – including, in particular, a two days-stakeholder event (‘reality check’) that allowed the Commission to hear from practitioners</w:t>
      </w:r>
      <w:r w:rsidR="006C00CA" w:rsidRPr="00433D45">
        <w:rPr>
          <w:lang w:val="en-IE"/>
        </w:rPr>
        <w:t xml:space="preserve"> </w:t>
      </w:r>
      <w:r w:rsidR="0068338A" w:rsidRPr="00433D45">
        <w:rPr>
          <w:lang w:val="en-IE"/>
        </w:rPr>
        <w:t>–</w:t>
      </w:r>
      <w:r w:rsidR="007D0E3F" w:rsidRPr="00433D45">
        <w:rPr>
          <w:lang w:val="en-IE"/>
        </w:rPr>
        <w:t xml:space="preserve"> </w:t>
      </w:r>
      <w:r w:rsidR="006C00CA" w:rsidRPr="00433D45">
        <w:rPr>
          <w:lang w:val="en-IE"/>
        </w:rPr>
        <w:t>stakeholders expressed support for the overarching objectives of the CSRD</w:t>
      </w:r>
      <w:r w:rsidR="00DD00D3" w:rsidRPr="00433D45">
        <w:rPr>
          <w:lang w:val="en-IE"/>
        </w:rPr>
        <w:t xml:space="preserve"> and</w:t>
      </w:r>
      <w:r w:rsidR="006C00CA" w:rsidRPr="00433D45">
        <w:rPr>
          <w:lang w:val="en-IE"/>
        </w:rPr>
        <w:t xml:space="preserve"> CSDDD but highlighted a need for simplification and harmonisation in </w:t>
      </w:r>
      <w:r w:rsidR="00DD00D3" w:rsidRPr="00433D45">
        <w:rPr>
          <w:lang w:val="en-IE"/>
        </w:rPr>
        <w:t>their</w:t>
      </w:r>
      <w:r w:rsidR="006C00CA" w:rsidRPr="00433D45">
        <w:rPr>
          <w:lang w:val="en-IE"/>
        </w:rPr>
        <w:t xml:space="preserve"> implementation. Many business </w:t>
      </w:r>
      <w:r w:rsidR="000D2472" w:rsidRPr="00433D45">
        <w:rPr>
          <w:lang w:val="en-IE"/>
        </w:rPr>
        <w:lastRenderedPageBreak/>
        <w:t>representatives</w:t>
      </w:r>
      <w:r w:rsidR="006C00CA" w:rsidRPr="00433D45">
        <w:rPr>
          <w:lang w:val="en-IE"/>
        </w:rPr>
        <w:t xml:space="preserve"> stated that some of the sustainability disclosure requirements in the ESRS are overly complex</w:t>
      </w:r>
      <w:r w:rsidR="00591E7E" w:rsidRPr="00433D45">
        <w:rPr>
          <w:lang w:val="en-IE"/>
        </w:rPr>
        <w:t xml:space="preserve"> and</w:t>
      </w:r>
      <w:r w:rsidR="006C00CA" w:rsidRPr="00433D45">
        <w:rPr>
          <w:lang w:val="en-IE"/>
        </w:rPr>
        <w:t xml:space="preserve"> numerous</w:t>
      </w:r>
      <w:r w:rsidR="00C441F2" w:rsidRPr="00433D45">
        <w:rPr>
          <w:lang w:val="en-IE"/>
        </w:rPr>
        <w:t xml:space="preserve">, and called for a revision of the ESRS to reduce the number and complexity of the disclosure requirements. </w:t>
      </w:r>
      <w:r w:rsidR="001C7ACB" w:rsidRPr="00433D45">
        <w:rPr>
          <w:lang w:val="en-IE"/>
        </w:rPr>
        <w:t xml:space="preserve">They recommended to further consider interoperability of European standards with international ones, as well as to limit value chain </w:t>
      </w:r>
      <w:r w:rsidR="00FB7470" w:rsidRPr="00433D45">
        <w:rPr>
          <w:lang w:val="en-IE"/>
        </w:rPr>
        <w:t xml:space="preserve">reporting </w:t>
      </w:r>
      <w:r w:rsidR="001C7ACB" w:rsidRPr="00433D45">
        <w:rPr>
          <w:lang w:val="en-IE"/>
        </w:rPr>
        <w:t xml:space="preserve">requirements. </w:t>
      </w:r>
    </w:p>
    <w:p w14:paraId="6C52FDAF" w14:textId="77777777" w:rsidR="009A750F" w:rsidRPr="00433D45" w:rsidRDefault="00BB26F7" w:rsidP="008D6236">
      <w:pPr>
        <w:pBdr>
          <w:top w:val="nil"/>
          <w:left w:val="nil"/>
          <w:bottom w:val="nil"/>
          <w:right w:val="nil"/>
          <w:between w:val="nil"/>
          <w:bar w:val="nil"/>
        </w:pBdr>
        <w:spacing w:before="0" w:after="240"/>
        <w:rPr>
          <w:lang w:val="en-IE"/>
        </w:rPr>
      </w:pPr>
      <w:r w:rsidRPr="00757AE9">
        <w:t>Some</w:t>
      </w:r>
      <w:r w:rsidRPr="00433D45">
        <w:rPr>
          <w:lang w:val="en-IE"/>
        </w:rPr>
        <w:t xml:space="preserve"> stakeholders have argued for a reduction in scope of the CSRD to relieve listed SMEs and smaller large companies from sustainability reporting requirements. Some advocated for achieving simplification by means of </w:t>
      </w:r>
      <w:r w:rsidR="009833E8" w:rsidRPr="00433D45">
        <w:rPr>
          <w:lang w:val="en-IE"/>
        </w:rPr>
        <w:t>keeping</w:t>
      </w:r>
      <w:r w:rsidRPr="00433D45">
        <w:rPr>
          <w:lang w:val="en-IE"/>
        </w:rPr>
        <w:t xml:space="preserve"> smaller large companies </w:t>
      </w:r>
      <w:r w:rsidR="00FC1F77" w:rsidRPr="00433D45">
        <w:rPr>
          <w:lang w:val="en-IE"/>
        </w:rPr>
        <w:t>within the scope</w:t>
      </w:r>
      <w:r w:rsidR="009833E8" w:rsidRPr="00433D45">
        <w:rPr>
          <w:lang w:val="en-IE"/>
        </w:rPr>
        <w:t xml:space="preserve"> of the CSRD</w:t>
      </w:r>
      <w:r w:rsidR="00FC1F77" w:rsidRPr="00433D45">
        <w:rPr>
          <w:lang w:val="en-IE"/>
        </w:rPr>
        <w:t xml:space="preserve"> but </w:t>
      </w:r>
      <w:r w:rsidR="008B27B9" w:rsidRPr="00433D45">
        <w:rPr>
          <w:lang w:val="en-IE"/>
        </w:rPr>
        <w:t xml:space="preserve">allowing them </w:t>
      </w:r>
      <w:r w:rsidR="00FC1F77" w:rsidRPr="00433D45">
        <w:rPr>
          <w:lang w:val="en-IE"/>
        </w:rPr>
        <w:t>to</w:t>
      </w:r>
      <w:r w:rsidRPr="00433D45">
        <w:rPr>
          <w:lang w:val="en-IE"/>
        </w:rPr>
        <w:t xml:space="preserve"> apply proportionate reporting standards instead of applying the first set of ESRS.</w:t>
      </w:r>
      <w:r w:rsidR="00C42B46" w:rsidRPr="00433D45">
        <w:rPr>
          <w:lang w:val="en-IE"/>
        </w:rPr>
        <w:t xml:space="preserve"> SME stakeholders </w:t>
      </w:r>
      <w:r w:rsidR="00B67BEA" w:rsidRPr="00433D45">
        <w:rPr>
          <w:lang w:val="en-IE"/>
        </w:rPr>
        <w:t xml:space="preserve">highlighted the need to address the trickle-down effect on SMEs in the value chain from sustainability reporting requirements and </w:t>
      </w:r>
      <w:r w:rsidR="00C42B46" w:rsidRPr="00433D45">
        <w:rPr>
          <w:lang w:val="en-IE"/>
        </w:rPr>
        <w:t xml:space="preserve">pointed out that the lighter reporting regime for them should not be undermined by more extensive </w:t>
      </w:r>
      <w:r w:rsidR="00B67BEA" w:rsidRPr="00433D45">
        <w:rPr>
          <w:lang w:val="en-IE"/>
        </w:rPr>
        <w:t xml:space="preserve">information </w:t>
      </w:r>
      <w:r w:rsidR="00C42B46" w:rsidRPr="00433D45">
        <w:rPr>
          <w:lang w:val="en-IE"/>
        </w:rPr>
        <w:t>requests along the supply chain or by financial institutions</w:t>
      </w:r>
      <w:r w:rsidR="00B67BEA" w:rsidRPr="00433D45">
        <w:rPr>
          <w:lang w:val="en-IE"/>
        </w:rPr>
        <w:t xml:space="preserve">. </w:t>
      </w:r>
    </w:p>
    <w:p w14:paraId="46DB1716" w14:textId="77777777" w:rsidR="009833E8" w:rsidRPr="00433D45" w:rsidRDefault="006C00CA" w:rsidP="008D6236">
      <w:pPr>
        <w:pBdr>
          <w:top w:val="nil"/>
          <w:left w:val="nil"/>
          <w:bottom w:val="nil"/>
          <w:right w:val="nil"/>
          <w:between w:val="nil"/>
          <w:bar w:val="nil"/>
        </w:pBdr>
        <w:spacing w:before="0" w:after="240"/>
        <w:rPr>
          <w:lang w:val="en-IE"/>
        </w:rPr>
      </w:pPr>
      <w:r w:rsidRPr="00757AE9">
        <w:t>While</w:t>
      </w:r>
      <w:r w:rsidRPr="00433D45">
        <w:rPr>
          <w:lang w:val="en-IE"/>
        </w:rPr>
        <w:t xml:space="preserve"> some stakeholders suggested pausing the application of existing legislation to focus on simplification, others saw strong merits in maintaining the rules and a</w:t>
      </w:r>
      <w:r w:rsidR="00A92583" w:rsidRPr="00433D45">
        <w:rPr>
          <w:lang w:val="en-IE"/>
        </w:rPr>
        <w:t>rgued for the importance of</w:t>
      </w:r>
      <w:r w:rsidR="00113F54" w:rsidRPr="00433D45">
        <w:rPr>
          <w:lang w:val="en-IE"/>
        </w:rPr>
        <w:t xml:space="preserve"> </w:t>
      </w:r>
      <w:r w:rsidR="00A92583" w:rsidRPr="00433D45">
        <w:rPr>
          <w:lang w:val="en-IE"/>
        </w:rPr>
        <w:t>legal certainty and regulatory stability for companies</w:t>
      </w:r>
      <w:r w:rsidR="009833E8" w:rsidRPr="00433D45">
        <w:rPr>
          <w:lang w:val="en-IE"/>
        </w:rPr>
        <w:t>, as well as for maintaining the objectives of the European Green Deal and the Sustainable Finance Action Plan</w:t>
      </w:r>
      <w:r w:rsidR="00A92583" w:rsidRPr="00433D45">
        <w:rPr>
          <w:lang w:val="en-IE"/>
        </w:rPr>
        <w:t xml:space="preserve">. </w:t>
      </w:r>
      <w:r w:rsidR="00A74A87" w:rsidRPr="00433D45">
        <w:rPr>
          <w:lang w:val="en-IE"/>
        </w:rPr>
        <w:t xml:space="preserve">They also </w:t>
      </w:r>
      <w:r w:rsidR="00ED59CC" w:rsidRPr="00433D45">
        <w:rPr>
          <w:lang w:val="en-IE"/>
        </w:rPr>
        <w:t>argued</w:t>
      </w:r>
      <w:r w:rsidR="00A74A87" w:rsidRPr="00433D45">
        <w:rPr>
          <w:lang w:val="en-IE"/>
        </w:rPr>
        <w:t xml:space="preserve"> that </w:t>
      </w:r>
      <w:r w:rsidRPr="00433D45">
        <w:rPr>
          <w:lang w:val="en-IE"/>
        </w:rPr>
        <w:t>implementation guidelines</w:t>
      </w:r>
      <w:r w:rsidR="00A74A87" w:rsidRPr="00433D45">
        <w:rPr>
          <w:lang w:val="en-IE"/>
        </w:rPr>
        <w:t xml:space="preserve"> should be used to clarify and simplify certain parts of the sustainability reporting framework</w:t>
      </w:r>
      <w:r w:rsidR="00BB26F7" w:rsidRPr="00433D45">
        <w:rPr>
          <w:lang w:val="en-IE"/>
        </w:rPr>
        <w:t xml:space="preserve">, instead of </w:t>
      </w:r>
      <w:r w:rsidR="00AB3B34" w:rsidRPr="00433D45">
        <w:rPr>
          <w:lang w:val="en-IE"/>
        </w:rPr>
        <w:t>an extensive change to the existing rules.</w:t>
      </w:r>
      <w:r w:rsidR="009833E8" w:rsidRPr="00433D45">
        <w:rPr>
          <w:lang w:val="en-IE"/>
        </w:rPr>
        <w:t xml:space="preserve"> </w:t>
      </w:r>
      <w:r w:rsidRPr="00433D45">
        <w:rPr>
          <w:lang w:val="en-IE"/>
        </w:rPr>
        <w:t xml:space="preserve">Representatives of civil society </w:t>
      </w:r>
      <w:r w:rsidR="00532363" w:rsidRPr="00433D45">
        <w:rPr>
          <w:lang w:val="en-IE"/>
        </w:rPr>
        <w:t xml:space="preserve">argued </w:t>
      </w:r>
      <w:r w:rsidRPr="00433D45">
        <w:rPr>
          <w:lang w:val="en-IE"/>
        </w:rPr>
        <w:t xml:space="preserve">that progressive companies should not be </w:t>
      </w:r>
      <w:r w:rsidR="004562C2" w:rsidRPr="00433D45">
        <w:rPr>
          <w:lang w:val="en-IE"/>
        </w:rPr>
        <w:t>treated less favourably than others</w:t>
      </w:r>
      <w:r w:rsidRPr="00433D45">
        <w:rPr>
          <w:lang w:val="en-IE"/>
        </w:rPr>
        <w:t xml:space="preserve">. They highlighted the demand for </w:t>
      </w:r>
      <w:r w:rsidR="00545286" w:rsidRPr="00433D45">
        <w:rPr>
          <w:lang w:val="en-IE"/>
        </w:rPr>
        <w:t>sustainability information</w:t>
      </w:r>
      <w:r w:rsidRPr="00433D45">
        <w:rPr>
          <w:lang w:val="en-IE"/>
        </w:rPr>
        <w:t xml:space="preserve"> from </w:t>
      </w:r>
      <w:r w:rsidR="00545286" w:rsidRPr="00433D45">
        <w:rPr>
          <w:lang w:val="en-IE"/>
        </w:rPr>
        <w:t xml:space="preserve">financial markets and </w:t>
      </w:r>
      <w:r w:rsidRPr="00433D45">
        <w:rPr>
          <w:lang w:val="en-IE"/>
        </w:rPr>
        <w:t xml:space="preserve">end-investors. </w:t>
      </w:r>
    </w:p>
    <w:p w14:paraId="5E119237" w14:textId="77777777" w:rsidR="00F25BF4" w:rsidRPr="00433D45" w:rsidRDefault="00EF548A" w:rsidP="008D6236">
      <w:pPr>
        <w:pBdr>
          <w:top w:val="nil"/>
          <w:left w:val="nil"/>
          <w:bottom w:val="nil"/>
          <w:right w:val="nil"/>
          <w:between w:val="nil"/>
          <w:bar w:val="nil"/>
        </w:pBdr>
        <w:spacing w:before="0" w:after="240"/>
        <w:rPr>
          <w:lang w:val="en-IE"/>
        </w:rPr>
      </w:pPr>
      <w:r w:rsidRPr="00433D45">
        <w:rPr>
          <w:lang w:val="en-IE"/>
        </w:rPr>
        <w:t xml:space="preserve">Many stakeholders noted that the assurance </w:t>
      </w:r>
      <w:r w:rsidR="00545286" w:rsidRPr="00433D45">
        <w:rPr>
          <w:lang w:val="en-IE"/>
        </w:rPr>
        <w:t>requirements are</w:t>
      </w:r>
      <w:r w:rsidR="004B3879" w:rsidRPr="00433D45">
        <w:rPr>
          <w:lang w:val="en-IE"/>
        </w:rPr>
        <w:t xml:space="preserve"> creating a situation of over-compliance</w:t>
      </w:r>
      <w:r w:rsidR="00AB6C0E" w:rsidRPr="00433D45">
        <w:rPr>
          <w:lang w:val="en-IE"/>
        </w:rPr>
        <w:t>.</w:t>
      </w:r>
      <w:r w:rsidR="004B3879" w:rsidRPr="00433D45">
        <w:rPr>
          <w:lang w:val="en-IE"/>
        </w:rPr>
        <w:t xml:space="preserve"> In this context, certain stakeholders called for a postponement of the </w:t>
      </w:r>
      <w:r w:rsidR="00585FB0" w:rsidRPr="00433D45">
        <w:rPr>
          <w:lang w:val="en-IE"/>
        </w:rPr>
        <w:t xml:space="preserve">limited assurance requirement or urged the Commission to quickly adopt guidelines for limited assurance in order to clarify the requirements. </w:t>
      </w:r>
    </w:p>
    <w:p w14:paraId="63231F0C" w14:textId="77777777" w:rsidR="00254820" w:rsidRPr="00433D45" w:rsidRDefault="00B67BEA" w:rsidP="008D6236">
      <w:pPr>
        <w:pBdr>
          <w:top w:val="nil"/>
          <w:left w:val="nil"/>
          <w:bottom w:val="nil"/>
          <w:right w:val="nil"/>
          <w:between w:val="nil"/>
          <w:bar w:val="nil"/>
        </w:pBdr>
        <w:spacing w:before="0" w:after="240"/>
        <w:rPr>
          <w:lang w:val="en-IE"/>
        </w:rPr>
      </w:pPr>
      <w:r w:rsidRPr="00433D45">
        <w:rPr>
          <w:lang w:val="en-IE"/>
        </w:rPr>
        <w:t xml:space="preserve">Many </w:t>
      </w:r>
      <w:r w:rsidR="004270C3" w:rsidRPr="00433D45">
        <w:rPr>
          <w:lang w:val="en-IE"/>
        </w:rPr>
        <w:t>business and industry stakeholders called for either a further postponement of the sector-specific sustainability reporting standards or requested that the requirement for sector-specific standards be removed completely</w:t>
      </w:r>
      <w:r w:rsidR="000C7C69" w:rsidRPr="00433D45">
        <w:rPr>
          <w:lang w:val="en-IE"/>
        </w:rPr>
        <w:t xml:space="preserve"> from the CSRD. Companies highlighted the need to correctly </w:t>
      </w:r>
      <w:r w:rsidR="005D3162" w:rsidRPr="00433D45">
        <w:rPr>
          <w:lang w:val="en-IE"/>
        </w:rPr>
        <w:t xml:space="preserve">implement and become accustomed to reporting under the first set of ESRS and </w:t>
      </w:r>
      <w:r w:rsidR="00AB6C0E" w:rsidRPr="00433D45">
        <w:rPr>
          <w:lang w:val="en-IE"/>
        </w:rPr>
        <w:t>argued</w:t>
      </w:r>
      <w:r w:rsidR="006D1035" w:rsidRPr="00433D45">
        <w:rPr>
          <w:lang w:val="en-IE"/>
        </w:rPr>
        <w:t xml:space="preserve"> </w:t>
      </w:r>
      <w:r w:rsidR="005D3162" w:rsidRPr="00433D45">
        <w:rPr>
          <w:lang w:val="en-IE"/>
        </w:rPr>
        <w:t>that introducing sector-specific disclosure standards on top of th</w:t>
      </w:r>
      <w:r w:rsidR="006D1035" w:rsidRPr="00433D45">
        <w:rPr>
          <w:lang w:val="en-IE"/>
        </w:rPr>
        <w:t>e first set of ESRS</w:t>
      </w:r>
      <w:r w:rsidR="005D3162" w:rsidRPr="00433D45">
        <w:rPr>
          <w:lang w:val="en-IE"/>
        </w:rPr>
        <w:t xml:space="preserve"> would </w:t>
      </w:r>
      <w:r w:rsidR="00552509" w:rsidRPr="00433D45">
        <w:rPr>
          <w:lang w:val="en-IE"/>
        </w:rPr>
        <w:t xml:space="preserve">further </w:t>
      </w:r>
      <w:r w:rsidR="006D1035" w:rsidRPr="00433D45">
        <w:rPr>
          <w:lang w:val="en-IE"/>
        </w:rPr>
        <w:t xml:space="preserve">complicate the sustainability reporting process. </w:t>
      </w:r>
    </w:p>
    <w:p w14:paraId="556AEBBF" w14:textId="77777777" w:rsidR="006C00CA" w:rsidRPr="00433D45" w:rsidRDefault="006C00CA" w:rsidP="008D6236">
      <w:pPr>
        <w:pBdr>
          <w:top w:val="nil"/>
          <w:left w:val="nil"/>
          <w:bottom w:val="nil"/>
          <w:right w:val="nil"/>
          <w:between w:val="nil"/>
          <w:bar w:val="nil"/>
        </w:pBdr>
        <w:spacing w:before="0" w:after="240"/>
        <w:rPr>
          <w:lang w:val="en-IE"/>
        </w:rPr>
      </w:pPr>
      <w:r w:rsidRPr="00433D45">
        <w:rPr>
          <w:lang w:val="en-IE"/>
        </w:rPr>
        <w:t xml:space="preserve">Stakeholders also called for clear guidance </w:t>
      </w:r>
      <w:r w:rsidR="008D1E80" w:rsidRPr="00433D45">
        <w:rPr>
          <w:lang w:val="en-IE"/>
        </w:rPr>
        <w:t xml:space="preserve">as regards the double materiality assessment under ESRS. Many called for increased consistency of requirements and harmonised definitions across different pieces of legislation, such as CSRD, CSDDD, Taxonomy, SFDR, </w:t>
      </w:r>
      <w:r w:rsidR="00EF5EAF" w:rsidRPr="00433D45">
        <w:rPr>
          <w:lang w:val="en-IE"/>
        </w:rPr>
        <w:t xml:space="preserve">etc. </w:t>
      </w:r>
    </w:p>
    <w:p w14:paraId="01E2D6CE" w14:textId="77777777" w:rsidR="0091300F" w:rsidRPr="00433D45" w:rsidRDefault="0091300F" w:rsidP="00DE466D">
      <w:pPr>
        <w:pBdr>
          <w:top w:val="nil"/>
          <w:left w:val="nil"/>
          <w:bottom w:val="nil"/>
          <w:right w:val="nil"/>
          <w:between w:val="nil"/>
          <w:bar w:val="nil"/>
        </w:pBdr>
        <w:spacing w:before="0" w:after="240"/>
        <w:rPr>
          <w:rStyle w:val="eop"/>
          <w:color w:val="000000"/>
          <w:shd w:val="clear" w:color="auto" w:fill="FFFFFF"/>
        </w:rPr>
      </w:pPr>
      <w:r w:rsidRPr="00433D45">
        <w:rPr>
          <w:rStyle w:val="normaltextrun"/>
          <w:color w:val="000000"/>
          <w:shd w:val="clear" w:color="auto" w:fill="FFFFFF"/>
        </w:rPr>
        <w:t>The need for simplification has also been echoed by many other reports, recommendations, and stakeholder views from both financial and non-financial sector undertakings, many of which underscore the importance of reducing complexity and administrative burdens and which have informed the burden reduction measures described in this proposal. </w:t>
      </w:r>
      <w:r w:rsidRPr="00433D45">
        <w:rPr>
          <w:rStyle w:val="eop"/>
          <w:color w:val="000000"/>
          <w:shd w:val="clear" w:color="auto" w:fill="FFFFFF"/>
        </w:rPr>
        <w:t> </w:t>
      </w:r>
    </w:p>
    <w:p w14:paraId="76575D32" w14:textId="77777777" w:rsidR="00953FF0" w:rsidRPr="00433D45" w:rsidRDefault="00953FF0" w:rsidP="00DE466D">
      <w:pPr>
        <w:keepNext/>
        <w:pBdr>
          <w:top w:val="nil"/>
          <w:left w:val="nil"/>
          <w:bottom w:val="nil"/>
          <w:right w:val="nil"/>
          <w:between w:val="nil"/>
          <w:bar w:val="nil"/>
        </w:pBdr>
        <w:spacing w:before="0" w:after="240"/>
        <w:rPr>
          <w:rFonts w:eastAsia="Arial Unicode MS"/>
          <w:u w:val="single"/>
          <w:lang w:val="en-IE"/>
        </w:rPr>
      </w:pPr>
      <w:r w:rsidRPr="00DE095D">
        <w:rPr>
          <w:u w:val="single"/>
        </w:rPr>
        <w:t>Corporate</w:t>
      </w:r>
      <w:r w:rsidRPr="00DE095D">
        <w:rPr>
          <w:rFonts w:eastAsia="Arial Unicode MS"/>
          <w:u w:val="single"/>
          <w:lang w:val="en-IE"/>
        </w:rPr>
        <w:t xml:space="preserve"> Sustainability</w:t>
      </w:r>
      <w:r w:rsidRPr="00433D45">
        <w:rPr>
          <w:rFonts w:eastAsia="Arial Unicode MS"/>
          <w:u w:val="single"/>
          <w:lang w:val="en-IE"/>
        </w:rPr>
        <w:t xml:space="preserve"> Due Diligence Directive</w:t>
      </w:r>
    </w:p>
    <w:p w14:paraId="109F487F" w14:textId="77777777" w:rsidR="006C00CA" w:rsidRPr="00433D45" w:rsidRDefault="00D301F6" w:rsidP="00DE466D">
      <w:pPr>
        <w:pBdr>
          <w:top w:val="nil"/>
          <w:left w:val="nil"/>
          <w:bottom w:val="nil"/>
          <w:right w:val="nil"/>
          <w:between w:val="nil"/>
          <w:bar w:val="nil"/>
        </w:pBdr>
        <w:spacing w:before="0" w:after="240"/>
        <w:rPr>
          <w:lang w:val="en-IE"/>
        </w:rPr>
      </w:pPr>
      <w:r w:rsidRPr="00433D45">
        <w:rPr>
          <w:lang w:val="en-IE"/>
        </w:rPr>
        <w:t xml:space="preserve">Consultations with various stakeholders, including businesses, trade associations, and civil society organizations, as well as other contacts with and inputs received from stakeholders have informed the proposal. This includes, in particular, a two days-stakeholder event (‘reality check’) that allowed the Commission to hear from practitioners about which challenges they </w:t>
      </w:r>
      <w:r w:rsidRPr="00433D45">
        <w:rPr>
          <w:lang w:val="en-IE"/>
        </w:rPr>
        <w:lastRenderedPageBreak/>
        <w:t>see with the current legislative framework and what could be possible solutions to address them. While some stakeholders called for far-reaching changes and postponements, others emphasized the need for regulatory certainty and opposed reopening the Directive, instead focusing on implementation. Th</w:t>
      </w:r>
      <w:r w:rsidR="00A6325E" w:rsidRPr="00433D45">
        <w:rPr>
          <w:lang w:val="en-IE"/>
        </w:rPr>
        <w:t>is proposal</w:t>
      </w:r>
      <w:r w:rsidRPr="00433D45">
        <w:rPr>
          <w:lang w:val="en-IE"/>
        </w:rPr>
        <w:t xml:space="preserve"> aims to balance these perspectives by maintaining the integrity of the CSDDD while introducing changes to simplify and streamline the Directive</w:t>
      </w:r>
      <w:r w:rsidR="00D05EDD">
        <w:rPr>
          <w:lang w:val="en-IE"/>
        </w:rPr>
        <w:t>.</w:t>
      </w:r>
    </w:p>
    <w:p w14:paraId="49ACE7F5" w14:textId="77777777" w:rsidR="009D1FEE" w:rsidRPr="00433D45" w:rsidRDefault="009D1FEE">
      <w:pPr>
        <w:pStyle w:val="ManualHeading2"/>
        <w:rPr>
          <w:rFonts w:eastAsia="Arial Unicode MS"/>
          <w:u w:color="000000"/>
          <w:bdr w:val="nil"/>
          <w:lang w:val="en-IE" w:eastAsia="en-GB"/>
        </w:rPr>
      </w:pPr>
      <w:bookmarkStart w:id="12" w:name="_Toc191189478"/>
      <w:r w:rsidRPr="00433D45">
        <w:rPr>
          <w:rFonts w:eastAsia="Arial Unicode MS"/>
          <w:u w:color="000000"/>
          <w:bdr w:val="nil"/>
          <w:lang w:val="en-IE" w:eastAsia="en-GB"/>
        </w:rPr>
        <w:t>•</w:t>
      </w:r>
      <w:r w:rsidRPr="00433D45">
        <w:rPr>
          <w:rFonts w:eastAsia="Arial Unicode MS"/>
          <w:u w:color="000000"/>
          <w:bdr w:val="nil"/>
          <w:lang w:val="en-IE" w:eastAsia="en-GB"/>
        </w:rPr>
        <w:tab/>
        <w:t>Collection and use of expertise</w:t>
      </w:r>
      <w:bookmarkEnd w:id="12"/>
    </w:p>
    <w:p w14:paraId="094B8836" w14:textId="77777777" w:rsidR="009D1FEE" w:rsidRPr="00433D45" w:rsidRDefault="00BD7CE3">
      <w:pPr>
        <w:pBdr>
          <w:top w:val="nil"/>
          <w:left w:val="nil"/>
          <w:bottom w:val="nil"/>
          <w:right w:val="nil"/>
          <w:between w:val="nil"/>
          <w:bar w:val="nil"/>
        </w:pBdr>
        <w:spacing w:before="0" w:after="240"/>
        <w:rPr>
          <w:lang w:val="en-IE"/>
        </w:rPr>
      </w:pPr>
      <w:r w:rsidRPr="00433D45">
        <w:rPr>
          <w:lang w:val="en-IE"/>
        </w:rPr>
        <w:t>T</w:t>
      </w:r>
      <w:r w:rsidR="004D41BF" w:rsidRPr="00433D45">
        <w:rPr>
          <w:lang w:val="en-IE"/>
        </w:rPr>
        <w:t>o prepare this proposal t</w:t>
      </w:r>
      <w:r w:rsidRPr="00433D45">
        <w:rPr>
          <w:lang w:val="en-IE"/>
        </w:rPr>
        <w:t xml:space="preserve">he Commission </w:t>
      </w:r>
      <w:r w:rsidR="009A3556" w:rsidRPr="00433D45">
        <w:rPr>
          <w:lang w:val="en-IE"/>
        </w:rPr>
        <w:t xml:space="preserve">has taken account of </w:t>
      </w:r>
      <w:r w:rsidR="003A51D9" w:rsidRPr="00433D45">
        <w:rPr>
          <w:lang w:val="en-IE"/>
        </w:rPr>
        <w:t>analyses produced by stakeholders and experts</w:t>
      </w:r>
      <w:r w:rsidRPr="00433D45">
        <w:rPr>
          <w:lang w:val="en-IE"/>
        </w:rPr>
        <w:t xml:space="preserve"> on </w:t>
      </w:r>
      <w:r w:rsidR="00827E68" w:rsidRPr="00433D45">
        <w:rPr>
          <w:lang w:val="en-IE"/>
        </w:rPr>
        <w:t xml:space="preserve">the </w:t>
      </w:r>
      <w:r w:rsidR="006E3C95" w:rsidRPr="00433D45">
        <w:rPr>
          <w:lang w:val="en-IE"/>
        </w:rPr>
        <w:t>actual and future implementation of</w:t>
      </w:r>
      <w:r w:rsidR="00CC42D6" w:rsidRPr="00433D45">
        <w:rPr>
          <w:lang w:val="en-IE"/>
        </w:rPr>
        <w:t xml:space="preserve"> the </w:t>
      </w:r>
      <w:r w:rsidR="00387BA6" w:rsidRPr="00433D45">
        <w:rPr>
          <w:lang w:val="en-IE"/>
        </w:rPr>
        <w:t>Corporate Sustainability Reporting Directive and the Corporate Sustainability Due Diligence Directive</w:t>
      </w:r>
      <w:r w:rsidRPr="00433D45">
        <w:rPr>
          <w:lang w:val="en-IE"/>
        </w:rPr>
        <w:t xml:space="preserve">. </w:t>
      </w:r>
      <w:r w:rsidR="003A67ED" w:rsidRPr="00433D45">
        <w:rPr>
          <w:lang w:val="en-IE"/>
        </w:rPr>
        <w:t>In addition, t</w:t>
      </w:r>
      <w:r w:rsidR="00F92A60" w:rsidRPr="00433D45">
        <w:rPr>
          <w:lang w:val="en-IE"/>
        </w:rPr>
        <w:t xml:space="preserve">he proposal </w:t>
      </w:r>
      <w:r w:rsidR="003A67ED" w:rsidRPr="00433D45">
        <w:rPr>
          <w:lang w:val="en-IE"/>
        </w:rPr>
        <w:t xml:space="preserve">has been </w:t>
      </w:r>
      <w:r w:rsidR="00F92A60" w:rsidRPr="00433D45">
        <w:rPr>
          <w:lang w:val="en-IE"/>
        </w:rPr>
        <w:t xml:space="preserve">informed by input from relevant stakeholders, </w:t>
      </w:r>
      <w:r w:rsidR="008D7B28" w:rsidRPr="00433D45">
        <w:rPr>
          <w:lang w:val="en-IE"/>
        </w:rPr>
        <w:t xml:space="preserve">including </w:t>
      </w:r>
      <w:r w:rsidR="00F92A60" w:rsidRPr="00433D45">
        <w:rPr>
          <w:lang w:val="en-IE"/>
        </w:rPr>
        <w:t xml:space="preserve">companies’ sustainability officers.  </w:t>
      </w:r>
    </w:p>
    <w:p w14:paraId="31B529CE" w14:textId="77777777" w:rsidR="009D1FEE" w:rsidRPr="00433D45" w:rsidRDefault="009D1FEE">
      <w:pPr>
        <w:pStyle w:val="ManualHeading2"/>
        <w:rPr>
          <w:rFonts w:eastAsia="Arial Unicode MS"/>
          <w:u w:color="000000"/>
          <w:bdr w:val="nil"/>
          <w:lang w:val="en-IE" w:eastAsia="en-GB"/>
        </w:rPr>
      </w:pPr>
      <w:bookmarkStart w:id="13" w:name="_Toc191189479"/>
      <w:r w:rsidRPr="00433D45">
        <w:rPr>
          <w:rFonts w:eastAsia="Arial Unicode MS"/>
          <w:u w:color="000000"/>
          <w:bdr w:val="nil"/>
          <w:lang w:val="en-IE" w:eastAsia="en-GB"/>
        </w:rPr>
        <w:t>•</w:t>
      </w:r>
      <w:r w:rsidRPr="00433D45">
        <w:rPr>
          <w:rFonts w:eastAsia="Arial Unicode MS"/>
          <w:u w:color="000000"/>
          <w:bdr w:val="nil"/>
          <w:lang w:val="en-IE" w:eastAsia="en-GB"/>
        </w:rPr>
        <w:tab/>
        <w:t>Impact assessment</w:t>
      </w:r>
      <w:bookmarkEnd w:id="13"/>
    </w:p>
    <w:p w14:paraId="0E11816E" w14:textId="77777777" w:rsidR="00E77D78" w:rsidRPr="00433D45" w:rsidRDefault="004A0508" w:rsidP="00DE466D">
      <w:pPr>
        <w:pBdr>
          <w:top w:val="nil"/>
          <w:left w:val="nil"/>
          <w:bottom w:val="nil"/>
          <w:right w:val="nil"/>
          <w:between w:val="nil"/>
          <w:bar w:val="nil"/>
        </w:pBdr>
        <w:spacing w:before="0" w:after="240"/>
        <w:rPr>
          <w:lang w:val="en-IE"/>
        </w:rPr>
      </w:pPr>
      <w:r w:rsidRPr="00433D45">
        <w:rPr>
          <w:lang w:val="en-IE"/>
        </w:rPr>
        <w:t>The issue of competitiveness is of critical urgency as it directly influences the European Union's ability to achieve sustainable economic growth and maintain its position in the global market. Competitiveness, tied closely to innovation, efficiency, and sustainability, is essential for fostering economic resilience and ensuring that EU businesses can thrive in a rapidly evolving global landscape. The current economic environment, characterized by rapid technological advancements, shifting consumer demands, and increased global competition, necessitates swift action to safeguard the EU's competitive edge.</w:t>
      </w:r>
      <w:r w:rsidR="00824725" w:rsidRPr="00433D45">
        <w:rPr>
          <w:lang w:val="en-IE"/>
        </w:rPr>
        <w:t xml:space="preserve"> Given this urgency, the proposal does not allow for an impact assessment. </w:t>
      </w:r>
    </w:p>
    <w:p w14:paraId="509F1846" w14:textId="77777777" w:rsidR="009D1FEE" w:rsidRPr="00433D45" w:rsidRDefault="00E77D78" w:rsidP="00DE466D">
      <w:pPr>
        <w:pBdr>
          <w:top w:val="nil"/>
          <w:left w:val="nil"/>
          <w:bottom w:val="nil"/>
          <w:right w:val="nil"/>
          <w:between w:val="nil"/>
          <w:bar w:val="nil"/>
        </w:pBdr>
        <w:spacing w:before="0" w:after="240"/>
        <w:rPr>
          <w:lang w:val="en-IE"/>
        </w:rPr>
      </w:pPr>
      <w:r w:rsidRPr="00433D45">
        <w:rPr>
          <w:lang w:val="en-IE"/>
        </w:rPr>
        <w:t>However, it is important to note that this initiative involves amendments to existing legal act</w:t>
      </w:r>
      <w:r w:rsidR="007812A2" w:rsidRPr="00433D45">
        <w:rPr>
          <w:lang w:val="en-IE"/>
        </w:rPr>
        <w:t>s</w:t>
      </w:r>
      <w:r w:rsidRPr="00433D45">
        <w:rPr>
          <w:lang w:val="en-IE"/>
        </w:rPr>
        <w:t>, which ha</w:t>
      </w:r>
      <w:r w:rsidR="004A0247" w:rsidRPr="00433D45">
        <w:rPr>
          <w:lang w:val="en-IE"/>
        </w:rPr>
        <w:t>ve</w:t>
      </w:r>
      <w:r w:rsidRPr="00433D45">
        <w:rPr>
          <w:lang w:val="en-IE"/>
        </w:rPr>
        <w:t xml:space="preserve"> already undergone comprehensive impact assessment</w:t>
      </w:r>
      <w:r w:rsidR="004A0247" w:rsidRPr="00433D45">
        <w:rPr>
          <w:lang w:val="en-IE"/>
        </w:rPr>
        <w:t>s</w:t>
      </w:r>
      <w:r w:rsidRPr="00433D45">
        <w:rPr>
          <w:lang w:val="en-IE"/>
        </w:rPr>
        <w:t>. The insights and evidence gathered from th</w:t>
      </w:r>
      <w:r w:rsidR="004A0247" w:rsidRPr="00433D45">
        <w:rPr>
          <w:lang w:val="en-IE"/>
        </w:rPr>
        <w:t>ose</w:t>
      </w:r>
      <w:r w:rsidRPr="00433D45">
        <w:rPr>
          <w:lang w:val="en-IE"/>
        </w:rPr>
        <w:t xml:space="preserve"> previous assessment</w:t>
      </w:r>
      <w:r w:rsidR="00B62087" w:rsidRPr="00433D45">
        <w:rPr>
          <w:lang w:val="en-IE"/>
        </w:rPr>
        <w:t>s</w:t>
      </w:r>
      <w:r w:rsidRPr="00433D45">
        <w:rPr>
          <w:lang w:val="en-IE"/>
        </w:rPr>
        <w:t>, together with input from stakeholders and discussions with practitioners, have helped to shape the current proposal.</w:t>
      </w:r>
      <w:r w:rsidRPr="00433D45">
        <w:rPr>
          <w:color w:val="333333"/>
          <w:sz w:val="27"/>
          <w:szCs w:val="27"/>
          <w:shd w:val="clear" w:color="auto" w:fill="FFFFFF"/>
          <w:lang w:val="en-IE"/>
        </w:rPr>
        <w:t xml:space="preserve"> </w:t>
      </w:r>
      <w:r w:rsidRPr="00433D45">
        <w:rPr>
          <w:lang w:val="en-IE"/>
        </w:rPr>
        <w:t>For that reason</w:t>
      </w:r>
      <w:r w:rsidR="00B16426" w:rsidRPr="00433D45">
        <w:rPr>
          <w:lang w:val="en-IE"/>
        </w:rPr>
        <w:t>,</w:t>
      </w:r>
      <w:r w:rsidRPr="00433D45">
        <w:rPr>
          <w:lang w:val="en-IE"/>
        </w:rPr>
        <w:t xml:space="preserve"> and given the importance and urgency of th</w:t>
      </w:r>
      <w:r w:rsidR="00B16426" w:rsidRPr="00433D45">
        <w:rPr>
          <w:lang w:val="en-IE"/>
        </w:rPr>
        <w:t>is</w:t>
      </w:r>
      <w:r w:rsidRPr="00433D45">
        <w:rPr>
          <w:lang w:val="en-IE"/>
        </w:rPr>
        <w:t xml:space="preserve"> initiative, a derogation was granted under the Commission’s Better Regulation Guidelines. Accordingly, no full-fledged impact assessment has been prepared but the </w:t>
      </w:r>
      <w:r w:rsidR="00086A49" w:rsidRPr="00433D45">
        <w:rPr>
          <w:lang w:val="en-IE"/>
        </w:rPr>
        <w:t>proposal is accompanied by a Commission Staff Working Document</w:t>
      </w:r>
      <w:r w:rsidR="002D3232" w:rsidRPr="00433D45">
        <w:rPr>
          <w:lang w:val="en-IE"/>
        </w:rPr>
        <w:t xml:space="preserve"> that includes</w:t>
      </w:r>
      <w:r w:rsidR="002E549E" w:rsidRPr="00433D45">
        <w:rPr>
          <w:lang w:val="en-IE"/>
        </w:rPr>
        <w:t xml:space="preserve"> an analysis of the </w:t>
      </w:r>
      <w:r w:rsidR="009A326B" w:rsidRPr="00433D45">
        <w:rPr>
          <w:lang w:val="en-IE"/>
        </w:rPr>
        <w:t xml:space="preserve">impacts of the proposed measures, including </w:t>
      </w:r>
      <w:r w:rsidR="004035ED" w:rsidRPr="00433D45">
        <w:rPr>
          <w:lang w:val="en-IE"/>
        </w:rPr>
        <w:t xml:space="preserve">a qualitative analysis and, where possible, </w:t>
      </w:r>
      <w:r w:rsidR="009A326B" w:rsidRPr="00433D45">
        <w:rPr>
          <w:lang w:val="en-IE"/>
        </w:rPr>
        <w:t>estimations of costs savings</w:t>
      </w:r>
      <w:r w:rsidR="002D3232" w:rsidRPr="00433D45" w:rsidDel="00E77D78">
        <w:rPr>
          <w:lang w:val="en-IE"/>
        </w:rPr>
        <w:t xml:space="preserve"> </w:t>
      </w:r>
      <w:r w:rsidR="004035ED" w:rsidRPr="00433D45">
        <w:rPr>
          <w:lang w:val="en-IE"/>
        </w:rPr>
        <w:t xml:space="preserve">as well as </w:t>
      </w:r>
      <w:r w:rsidR="004A0508" w:rsidRPr="00433D45">
        <w:rPr>
          <w:lang w:val="en-IE"/>
        </w:rPr>
        <w:t>supporting evidence.</w:t>
      </w:r>
    </w:p>
    <w:p w14:paraId="027321EE" w14:textId="77777777" w:rsidR="009D1FEE" w:rsidRPr="00433D45" w:rsidRDefault="009D1FEE">
      <w:pPr>
        <w:pStyle w:val="ManualHeading2"/>
        <w:rPr>
          <w:rFonts w:eastAsia="Arial Unicode MS"/>
          <w:u w:color="000000"/>
          <w:bdr w:val="nil"/>
          <w:lang w:val="en-IE" w:eastAsia="en-GB"/>
        </w:rPr>
      </w:pPr>
      <w:bookmarkStart w:id="14" w:name="_Toc191189480"/>
      <w:r w:rsidRPr="00433D45">
        <w:rPr>
          <w:rFonts w:eastAsia="Arial Unicode MS"/>
          <w:u w:color="000000"/>
          <w:bdr w:val="nil"/>
          <w:lang w:val="en-IE" w:eastAsia="en-GB"/>
        </w:rPr>
        <w:t>•</w:t>
      </w:r>
      <w:r w:rsidRPr="00433D45">
        <w:rPr>
          <w:rFonts w:eastAsia="Arial Unicode MS"/>
          <w:u w:color="000000"/>
          <w:bdr w:val="nil"/>
          <w:lang w:val="en-IE" w:eastAsia="en-GB"/>
        </w:rPr>
        <w:tab/>
        <w:t>Regulatory fitness and simplification</w:t>
      </w:r>
      <w:bookmarkEnd w:id="14"/>
    </w:p>
    <w:p w14:paraId="15E95B8A" w14:textId="77777777" w:rsidR="0019726F" w:rsidRPr="00DE095D" w:rsidRDefault="0019726F" w:rsidP="00DE466D">
      <w:pPr>
        <w:keepNext/>
        <w:pBdr>
          <w:top w:val="nil"/>
          <w:left w:val="nil"/>
          <w:bottom w:val="nil"/>
          <w:right w:val="nil"/>
          <w:between w:val="nil"/>
          <w:bar w:val="nil"/>
        </w:pBdr>
        <w:spacing w:before="0" w:after="240"/>
        <w:rPr>
          <w:u w:val="single"/>
        </w:rPr>
      </w:pPr>
      <w:r w:rsidRPr="00DE095D">
        <w:rPr>
          <w:u w:val="single"/>
        </w:rPr>
        <w:t>Corporate Sustainability Reporting Directive</w:t>
      </w:r>
    </w:p>
    <w:p w14:paraId="346979D4" w14:textId="77777777" w:rsidR="0019726F" w:rsidRPr="00757AE9" w:rsidRDefault="00A33EBC" w:rsidP="0019726F">
      <w:pPr>
        <w:pBdr>
          <w:top w:val="nil"/>
          <w:left w:val="nil"/>
          <w:bottom w:val="nil"/>
          <w:right w:val="nil"/>
          <w:between w:val="nil"/>
          <w:bar w:val="nil"/>
        </w:pBdr>
        <w:spacing w:before="0" w:after="240"/>
      </w:pPr>
      <w:r w:rsidRPr="00757AE9">
        <w:t xml:space="preserve">This proposal is expressly designed to </w:t>
      </w:r>
      <w:r w:rsidR="00B94A3C" w:rsidRPr="00757AE9">
        <w:t xml:space="preserve">achieve a </w:t>
      </w:r>
      <w:r w:rsidR="00A85DB9" w:rsidRPr="00757AE9">
        <w:t xml:space="preserve">major </w:t>
      </w:r>
      <w:r w:rsidR="00B94A3C" w:rsidRPr="00757AE9">
        <w:t xml:space="preserve">simplification of the </w:t>
      </w:r>
      <w:r w:rsidR="00F93274" w:rsidRPr="00757AE9">
        <w:t xml:space="preserve">sustainability reporting regime. </w:t>
      </w:r>
    </w:p>
    <w:p w14:paraId="4D738970" w14:textId="77777777" w:rsidR="0019726F" w:rsidRPr="00DE095D" w:rsidRDefault="0019726F" w:rsidP="00DE466D">
      <w:pPr>
        <w:keepNext/>
        <w:pBdr>
          <w:top w:val="nil"/>
          <w:left w:val="nil"/>
          <w:bottom w:val="nil"/>
          <w:right w:val="nil"/>
          <w:between w:val="nil"/>
          <w:bar w:val="nil"/>
        </w:pBdr>
        <w:spacing w:before="0" w:after="240"/>
        <w:rPr>
          <w:u w:val="single"/>
        </w:rPr>
      </w:pPr>
      <w:r w:rsidRPr="00DE095D">
        <w:rPr>
          <w:u w:val="single"/>
        </w:rPr>
        <w:t>Corporate Sustainability Due Diligence Directive</w:t>
      </w:r>
    </w:p>
    <w:p w14:paraId="646C7C34" w14:textId="77777777" w:rsidR="0019726F" w:rsidRPr="00433D45" w:rsidRDefault="00340FBF" w:rsidP="00DE466D">
      <w:pPr>
        <w:pBdr>
          <w:top w:val="nil"/>
          <w:left w:val="nil"/>
          <w:bottom w:val="nil"/>
          <w:right w:val="nil"/>
          <w:between w:val="nil"/>
          <w:bar w:val="nil"/>
        </w:pBdr>
        <w:spacing w:before="0" w:after="240"/>
        <w:rPr>
          <w:rFonts w:eastAsia="Arial Unicode MS"/>
          <w:lang w:val="en-IE"/>
        </w:rPr>
      </w:pPr>
      <w:r w:rsidRPr="00433D45">
        <w:rPr>
          <w:lang w:val="en-IE"/>
        </w:rPr>
        <w:t xml:space="preserve">The proposal contributes to regulatory fitness by reducing burdens and ensuring a more coherent and simpler regulatory environment, </w:t>
      </w:r>
      <w:r w:rsidR="00F22389" w:rsidRPr="00433D45">
        <w:rPr>
          <w:lang w:val="en-IE"/>
        </w:rPr>
        <w:t xml:space="preserve">while </w:t>
      </w:r>
      <w:r w:rsidRPr="00433D45">
        <w:rPr>
          <w:lang w:val="en-IE"/>
        </w:rPr>
        <w:t>respecting the EU's sustainability objectives.</w:t>
      </w:r>
    </w:p>
    <w:p w14:paraId="30E5D406" w14:textId="77777777" w:rsidR="009D1FEE" w:rsidRPr="00433D45" w:rsidRDefault="009D1FEE">
      <w:pPr>
        <w:pStyle w:val="ManualHeading2"/>
        <w:rPr>
          <w:rFonts w:eastAsia="Arial Unicode MS"/>
          <w:u w:color="000000"/>
          <w:bdr w:val="nil"/>
          <w:lang w:val="en-IE" w:eastAsia="en-GB"/>
        </w:rPr>
      </w:pPr>
      <w:bookmarkStart w:id="15" w:name="_Toc191189481"/>
      <w:r w:rsidRPr="00433D45">
        <w:rPr>
          <w:rFonts w:eastAsia="Arial Unicode MS"/>
          <w:u w:color="000000"/>
          <w:bdr w:val="nil"/>
          <w:lang w:val="en-IE" w:eastAsia="en-GB"/>
        </w:rPr>
        <w:lastRenderedPageBreak/>
        <w:t>•</w:t>
      </w:r>
      <w:r w:rsidRPr="00433D45">
        <w:rPr>
          <w:rFonts w:eastAsia="Arial Unicode MS"/>
          <w:u w:color="000000"/>
          <w:bdr w:val="nil"/>
          <w:lang w:val="en-IE" w:eastAsia="en-GB"/>
        </w:rPr>
        <w:tab/>
        <w:t>Fundamental rights</w:t>
      </w:r>
      <w:bookmarkEnd w:id="15"/>
    </w:p>
    <w:p w14:paraId="7C03AAB1" w14:textId="77777777" w:rsidR="009D1FEE" w:rsidRPr="00DE095D" w:rsidRDefault="006C3F43" w:rsidP="00DE466D">
      <w:pPr>
        <w:keepNext/>
        <w:pBdr>
          <w:top w:val="nil"/>
          <w:left w:val="nil"/>
          <w:bottom w:val="nil"/>
          <w:right w:val="nil"/>
          <w:between w:val="nil"/>
          <w:bar w:val="nil"/>
        </w:pBdr>
        <w:spacing w:before="0" w:after="240"/>
        <w:rPr>
          <w:u w:val="single"/>
        </w:rPr>
      </w:pPr>
      <w:r w:rsidRPr="00DE095D">
        <w:rPr>
          <w:u w:val="single"/>
        </w:rPr>
        <w:t>Corporate Sustainability Reporting Directive</w:t>
      </w:r>
    </w:p>
    <w:p w14:paraId="33B83134" w14:textId="77777777" w:rsidR="006C3F43" w:rsidRPr="00433D45" w:rsidRDefault="00FA1237">
      <w:pPr>
        <w:pBdr>
          <w:top w:val="nil"/>
          <w:left w:val="nil"/>
          <w:bottom w:val="nil"/>
          <w:right w:val="nil"/>
          <w:between w:val="nil"/>
          <w:bar w:val="nil"/>
        </w:pBdr>
        <w:spacing w:before="0" w:after="240"/>
        <w:rPr>
          <w:rStyle w:val="Marker1"/>
          <w:rFonts w:eastAsia="Arial Unicode MS"/>
          <w:lang w:val="en-IE"/>
        </w:rPr>
      </w:pPr>
      <w:r w:rsidRPr="00433D45">
        <w:rPr>
          <w:lang w:val="en-IE"/>
        </w:rPr>
        <w:t xml:space="preserve">The proposal respects the fundamental rights enshrined, and adheres to the principles stated, in the Charter of Fundamental Rights of the European Union. </w:t>
      </w:r>
      <w:r w:rsidR="00605E4B" w:rsidRPr="00433D45">
        <w:rPr>
          <w:lang w:val="en-IE"/>
        </w:rPr>
        <w:t>The Corporate Sustainability Reporting Directive has</w:t>
      </w:r>
      <w:r w:rsidRPr="00433D45">
        <w:rPr>
          <w:lang w:val="en-IE"/>
        </w:rPr>
        <w:t xml:space="preserve"> an indirect positive impact on fundamental rights, given that </w:t>
      </w:r>
      <w:r w:rsidR="007D4DA1" w:rsidRPr="00433D45">
        <w:rPr>
          <w:lang w:val="en-IE"/>
        </w:rPr>
        <w:t>sustainability</w:t>
      </w:r>
      <w:r w:rsidRPr="00433D45">
        <w:rPr>
          <w:lang w:val="en-IE"/>
        </w:rPr>
        <w:t xml:space="preserve"> reporting requirements can influence corporate behaviour for the better. It serve</w:t>
      </w:r>
      <w:r w:rsidR="0052497B" w:rsidRPr="00433D45">
        <w:rPr>
          <w:lang w:val="en-IE"/>
        </w:rPr>
        <w:t>s</w:t>
      </w:r>
      <w:r w:rsidRPr="00433D45">
        <w:rPr>
          <w:lang w:val="en-IE"/>
        </w:rPr>
        <w:t xml:space="preserve"> to make companies more aware of fundamental rights and positively influence how they identify and manage actual and potential adverse impacts on fundamental rights. </w:t>
      </w:r>
      <w:r w:rsidR="0045379F" w:rsidRPr="00433D45">
        <w:rPr>
          <w:lang w:val="en-IE"/>
        </w:rPr>
        <w:t xml:space="preserve">The proposed </w:t>
      </w:r>
      <w:r w:rsidR="006A3BA3" w:rsidRPr="00433D45">
        <w:rPr>
          <w:lang w:val="en-IE"/>
        </w:rPr>
        <w:t xml:space="preserve">modifications </w:t>
      </w:r>
      <w:r w:rsidR="00B86013" w:rsidRPr="00433D45">
        <w:rPr>
          <w:lang w:val="en-IE"/>
        </w:rPr>
        <w:t>may partially</w:t>
      </w:r>
      <w:r w:rsidR="001E3879" w:rsidRPr="00433D45">
        <w:rPr>
          <w:lang w:val="en-IE"/>
        </w:rPr>
        <w:t xml:space="preserve"> diminish these positive impacts</w:t>
      </w:r>
      <w:r w:rsidR="00B86013" w:rsidRPr="00433D45">
        <w:rPr>
          <w:lang w:val="en-IE"/>
        </w:rPr>
        <w:t xml:space="preserve"> with regard to companies that would no longer be subject to mandatory reporting requirements</w:t>
      </w:r>
      <w:r w:rsidR="0054638C" w:rsidRPr="00433D45">
        <w:rPr>
          <w:lang w:val="en-IE"/>
        </w:rPr>
        <w:t>, but th</w:t>
      </w:r>
      <w:r w:rsidR="00383346" w:rsidRPr="00433D45">
        <w:rPr>
          <w:lang w:val="en-IE"/>
        </w:rPr>
        <w:t>e</w:t>
      </w:r>
      <w:r w:rsidR="0054638C" w:rsidRPr="00433D45">
        <w:rPr>
          <w:lang w:val="en-IE"/>
        </w:rPr>
        <w:t xml:space="preserve"> reduction of administrative burden on such companies</w:t>
      </w:r>
      <w:r w:rsidR="00383346" w:rsidRPr="00433D45">
        <w:rPr>
          <w:lang w:val="en-IE"/>
        </w:rPr>
        <w:t xml:space="preserve"> should lead to other societal gains in terms of wealth creation, employment and </w:t>
      </w:r>
      <w:r w:rsidR="00D81D29" w:rsidRPr="00433D45">
        <w:rPr>
          <w:lang w:val="en-IE"/>
        </w:rPr>
        <w:t>in</w:t>
      </w:r>
      <w:r w:rsidR="007D1DD6" w:rsidRPr="00433D45">
        <w:rPr>
          <w:lang w:val="en-IE"/>
        </w:rPr>
        <w:t>novation, including innovation for sustainability</w:t>
      </w:r>
      <w:r w:rsidR="001E3879" w:rsidRPr="00433D45">
        <w:rPr>
          <w:lang w:val="en-IE"/>
        </w:rPr>
        <w:t xml:space="preserve">. </w:t>
      </w:r>
    </w:p>
    <w:p w14:paraId="3C4456C2" w14:textId="77777777" w:rsidR="006D63AF" w:rsidRPr="00DE095D" w:rsidRDefault="006D63AF" w:rsidP="00DE466D">
      <w:pPr>
        <w:keepNext/>
        <w:pBdr>
          <w:top w:val="nil"/>
          <w:left w:val="nil"/>
          <w:bottom w:val="nil"/>
          <w:right w:val="nil"/>
          <w:between w:val="nil"/>
          <w:bar w:val="nil"/>
        </w:pBdr>
        <w:spacing w:before="0" w:after="240"/>
        <w:rPr>
          <w:u w:val="single"/>
        </w:rPr>
      </w:pPr>
      <w:r w:rsidRPr="00DE095D">
        <w:rPr>
          <w:u w:val="single"/>
        </w:rPr>
        <w:t>Corporate Sustainability Due Diligence Directive</w:t>
      </w:r>
    </w:p>
    <w:p w14:paraId="24C1132A" w14:textId="77777777" w:rsidR="7A114388" w:rsidRPr="00433D45" w:rsidRDefault="7A114388" w:rsidP="00DE466D">
      <w:pPr>
        <w:pBdr>
          <w:top w:val="nil"/>
          <w:left w:val="nil"/>
          <w:bottom w:val="nil"/>
          <w:right w:val="nil"/>
          <w:between w:val="nil"/>
          <w:bar w:val="nil"/>
        </w:pBdr>
        <w:spacing w:before="0" w:after="240"/>
        <w:rPr>
          <w:lang w:val="en-IE"/>
        </w:rPr>
      </w:pPr>
      <w:r w:rsidRPr="00433D45">
        <w:rPr>
          <w:lang w:val="en-IE"/>
        </w:rPr>
        <w:t>The proposal respects the fundamental rights enshrined, and adheres to the principles stated, in the Charter of Fundamental Rights of the European Union. One of the CSDDD’s main objective was to improve human rights protection th</w:t>
      </w:r>
      <w:r w:rsidR="30E64082" w:rsidRPr="00433D45">
        <w:rPr>
          <w:lang w:val="en-IE"/>
        </w:rPr>
        <w:t>r</w:t>
      </w:r>
      <w:r w:rsidRPr="00433D45">
        <w:rPr>
          <w:lang w:val="en-IE"/>
        </w:rPr>
        <w:t>ough companies ad</w:t>
      </w:r>
      <w:r w:rsidR="1CD6B528" w:rsidRPr="00433D45">
        <w:rPr>
          <w:lang w:val="en-IE"/>
        </w:rPr>
        <w:t>d</w:t>
      </w:r>
      <w:r w:rsidRPr="00433D45">
        <w:rPr>
          <w:lang w:val="en-IE"/>
        </w:rPr>
        <w:t>ressing their</w:t>
      </w:r>
      <w:r w:rsidR="43F67C1C" w:rsidRPr="00433D45">
        <w:rPr>
          <w:lang w:val="en-IE"/>
        </w:rPr>
        <w:t xml:space="preserve"> human rights impacts in their </w:t>
      </w:r>
      <w:r w:rsidR="5014890D" w:rsidRPr="00433D45">
        <w:rPr>
          <w:lang w:val="en-IE"/>
        </w:rPr>
        <w:t>chains of activities</w:t>
      </w:r>
      <w:r w:rsidR="43F67C1C" w:rsidRPr="00433D45">
        <w:rPr>
          <w:lang w:val="en-IE"/>
        </w:rPr>
        <w:t xml:space="preserve">. </w:t>
      </w:r>
      <w:r w:rsidR="0BEF6B81" w:rsidRPr="00433D45">
        <w:rPr>
          <w:lang w:val="en-IE"/>
        </w:rPr>
        <w:t>T</w:t>
      </w:r>
      <w:r w:rsidR="45F00C90" w:rsidRPr="00433D45">
        <w:rPr>
          <w:lang w:val="en-IE"/>
        </w:rPr>
        <w:t xml:space="preserve">he </w:t>
      </w:r>
      <w:r w:rsidR="2C1E4D01" w:rsidRPr="00433D45">
        <w:rPr>
          <w:lang w:val="en-IE"/>
        </w:rPr>
        <w:t>targeting</w:t>
      </w:r>
      <w:r w:rsidR="45F00C90" w:rsidRPr="00433D45">
        <w:rPr>
          <w:lang w:val="en-IE"/>
        </w:rPr>
        <w:t xml:space="preserve"> of </w:t>
      </w:r>
      <w:r w:rsidR="22F8188A" w:rsidRPr="00433D45">
        <w:rPr>
          <w:lang w:val="en-IE"/>
        </w:rPr>
        <w:t xml:space="preserve">obligations regarding </w:t>
      </w:r>
      <w:r w:rsidR="45F00C90" w:rsidRPr="00433D45">
        <w:rPr>
          <w:lang w:val="en-IE"/>
        </w:rPr>
        <w:t>the chain of activities</w:t>
      </w:r>
      <w:r w:rsidR="0B05EF56" w:rsidRPr="00433D45">
        <w:rPr>
          <w:lang w:val="en-IE"/>
        </w:rPr>
        <w:t>, which requires action</w:t>
      </w:r>
      <w:r w:rsidR="45F00C90" w:rsidRPr="00433D45">
        <w:rPr>
          <w:lang w:val="en-IE"/>
        </w:rPr>
        <w:t xml:space="preserve"> </w:t>
      </w:r>
      <w:r w:rsidR="5CE2EAC4" w:rsidRPr="00433D45">
        <w:rPr>
          <w:lang w:val="en-IE"/>
        </w:rPr>
        <w:t>beyond</w:t>
      </w:r>
      <w:r w:rsidR="6A44996F" w:rsidRPr="00433D45">
        <w:rPr>
          <w:lang w:val="en-IE"/>
        </w:rPr>
        <w:t xml:space="preserve"> </w:t>
      </w:r>
      <w:r w:rsidR="45F00C90" w:rsidRPr="00433D45">
        <w:rPr>
          <w:lang w:val="en-IE"/>
        </w:rPr>
        <w:t>direct</w:t>
      </w:r>
      <w:r w:rsidR="641B04C9" w:rsidRPr="00433D45">
        <w:rPr>
          <w:lang w:val="en-IE"/>
        </w:rPr>
        <w:t xml:space="preserve"> business partners</w:t>
      </w:r>
      <w:r w:rsidR="3C6393EA" w:rsidRPr="00433D45">
        <w:rPr>
          <w:lang w:val="en-IE"/>
        </w:rPr>
        <w:t xml:space="preserve"> whenever the company in scope of the Directive has </w:t>
      </w:r>
      <w:r w:rsidR="00132563">
        <w:rPr>
          <w:lang w:eastAsia="en-GB"/>
        </w:rPr>
        <w:t xml:space="preserve">plausible </w:t>
      </w:r>
      <w:r w:rsidR="3C6393EA" w:rsidRPr="00433D45">
        <w:rPr>
          <w:lang w:val="en-IE"/>
        </w:rPr>
        <w:t>information pointing to such adverse impacts</w:t>
      </w:r>
      <w:r w:rsidR="501BD3D9" w:rsidRPr="00433D45">
        <w:rPr>
          <w:lang w:val="en-IE"/>
        </w:rPr>
        <w:t>,</w:t>
      </w:r>
      <w:r w:rsidR="093F048A" w:rsidRPr="00433D45">
        <w:rPr>
          <w:lang w:val="en-IE"/>
        </w:rPr>
        <w:t xml:space="preserve"> </w:t>
      </w:r>
      <w:r w:rsidR="15FE4B17" w:rsidRPr="00433D45">
        <w:rPr>
          <w:lang w:val="en-IE"/>
        </w:rPr>
        <w:t>is a recognition of the fact</w:t>
      </w:r>
      <w:r w:rsidR="7E584676" w:rsidRPr="00433D45">
        <w:rPr>
          <w:lang w:val="en-IE"/>
        </w:rPr>
        <w:t xml:space="preserve"> that</w:t>
      </w:r>
      <w:r w:rsidR="14B7589B" w:rsidRPr="00433D45">
        <w:rPr>
          <w:lang w:val="en-IE"/>
        </w:rPr>
        <w:t xml:space="preserve"> adverse human rights impacts </w:t>
      </w:r>
      <w:r w:rsidR="091FA2B0" w:rsidRPr="00433D45">
        <w:rPr>
          <w:lang w:val="en-IE"/>
        </w:rPr>
        <w:t xml:space="preserve">often </w:t>
      </w:r>
      <w:r w:rsidR="5DE45DFE" w:rsidRPr="00433D45">
        <w:rPr>
          <w:lang w:val="en-IE"/>
        </w:rPr>
        <w:t xml:space="preserve">arise </w:t>
      </w:r>
      <w:r w:rsidR="14B7589B" w:rsidRPr="00433D45">
        <w:rPr>
          <w:lang w:val="en-IE"/>
        </w:rPr>
        <w:t>in indirect business relationships</w:t>
      </w:r>
      <w:r w:rsidR="1FB00AE0" w:rsidRPr="00433D45">
        <w:rPr>
          <w:lang w:val="en-IE"/>
        </w:rPr>
        <w:t xml:space="preserve">. </w:t>
      </w:r>
      <w:r w:rsidR="2DD7B904" w:rsidRPr="00433D45">
        <w:rPr>
          <w:lang w:val="en-IE"/>
        </w:rPr>
        <w:t xml:space="preserve">While </w:t>
      </w:r>
      <w:r w:rsidR="67253485" w:rsidRPr="00433D45">
        <w:rPr>
          <w:lang w:val="en-IE"/>
        </w:rPr>
        <w:t>their obligations to pro-actively identify such impacts will be reduce</w:t>
      </w:r>
      <w:r w:rsidR="0CFDCBB4" w:rsidRPr="00433D45">
        <w:rPr>
          <w:lang w:val="en-IE"/>
        </w:rPr>
        <w:t xml:space="preserve">d to </w:t>
      </w:r>
      <w:r w:rsidR="67253485" w:rsidRPr="00433D45">
        <w:rPr>
          <w:lang w:val="en-IE"/>
        </w:rPr>
        <w:t>avoid</w:t>
      </w:r>
      <w:r w:rsidR="2DD7B904" w:rsidRPr="00433D45">
        <w:rPr>
          <w:lang w:val="en-IE"/>
        </w:rPr>
        <w:t xml:space="preserve"> </w:t>
      </w:r>
      <w:r w:rsidR="3CB94B05" w:rsidRPr="00433D45">
        <w:rPr>
          <w:lang w:val="en-IE"/>
        </w:rPr>
        <w:t>burdens</w:t>
      </w:r>
      <w:r w:rsidR="12ED111A" w:rsidRPr="00433D45">
        <w:rPr>
          <w:lang w:val="en-IE"/>
        </w:rPr>
        <w:t xml:space="preserve"> from</w:t>
      </w:r>
      <w:r w:rsidR="3CB94B05" w:rsidRPr="00433D45">
        <w:rPr>
          <w:lang w:val="en-IE"/>
        </w:rPr>
        <w:t xml:space="preserve"> systematically addressing all parts of often complex value chain</w:t>
      </w:r>
      <w:r w:rsidR="16383DC5" w:rsidRPr="00433D45">
        <w:rPr>
          <w:lang w:val="en-IE"/>
        </w:rPr>
        <w:t>s,</w:t>
      </w:r>
      <w:r w:rsidR="3CB94B05" w:rsidRPr="00433D45">
        <w:rPr>
          <w:lang w:val="en-IE"/>
        </w:rPr>
        <w:t xml:space="preserve"> </w:t>
      </w:r>
      <w:r w:rsidR="14B7589B" w:rsidRPr="00433D45">
        <w:rPr>
          <w:lang w:val="en-IE"/>
        </w:rPr>
        <w:t xml:space="preserve">companies will </w:t>
      </w:r>
      <w:r w:rsidR="0DD9B985" w:rsidRPr="00433D45">
        <w:rPr>
          <w:lang w:val="en-IE"/>
        </w:rPr>
        <w:t>continue to</w:t>
      </w:r>
      <w:r w:rsidR="14B7589B" w:rsidRPr="00433D45">
        <w:rPr>
          <w:lang w:val="en-IE"/>
        </w:rPr>
        <w:t xml:space="preserve"> have a responsibility to </w:t>
      </w:r>
      <w:r w:rsidR="259D1BA1" w:rsidRPr="00433D45">
        <w:rPr>
          <w:lang w:val="en-IE"/>
        </w:rPr>
        <w:t xml:space="preserve">respect human rights along their value chains </w:t>
      </w:r>
      <w:r w:rsidR="154BCCCA" w:rsidRPr="00433D45">
        <w:rPr>
          <w:lang w:val="en-IE"/>
        </w:rPr>
        <w:t xml:space="preserve">in the future </w:t>
      </w:r>
      <w:r w:rsidR="40A72CDD" w:rsidRPr="00433D45">
        <w:rPr>
          <w:lang w:val="en-IE"/>
        </w:rPr>
        <w:t>when they have such information.</w:t>
      </w:r>
      <w:r w:rsidR="154BCCCA" w:rsidRPr="00433D45">
        <w:rPr>
          <w:lang w:val="en-IE"/>
        </w:rPr>
        <w:t xml:space="preserve">  </w:t>
      </w:r>
      <w:r w:rsidR="259D1BA1" w:rsidRPr="00433D45">
        <w:rPr>
          <w:lang w:val="en-IE"/>
        </w:rPr>
        <w:t xml:space="preserve"> </w:t>
      </w:r>
      <w:r w:rsidR="14B7589B" w:rsidRPr="00433D45">
        <w:rPr>
          <w:lang w:val="en-IE"/>
        </w:rPr>
        <w:t xml:space="preserve"> </w:t>
      </w:r>
      <w:r w:rsidR="0C40124B" w:rsidRPr="00433D45">
        <w:rPr>
          <w:lang w:val="en-IE"/>
        </w:rPr>
        <w:t xml:space="preserve"> </w:t>
      </w:r>
    </w:p>
    <w:p w14:paraId="1E08FF10" w14:textId="77777777" w:rsidR="009D1FEE" w:rsidRPr="00433D45" w:rsidRDefault="009D1FEE">
      <w:pPr>
        <w:pStyle w:val="ManualHeading1"/>
        <w:rPr>
          <w:lang w:val="en-IE"/>
        </w:rPr>
      </w:pPr>
      <w:bookmarkStart w:id="16" w:name="_Toc191189482"/>
      <w:r w:rsidRPr="00433D45">
        <w:rPr>
          <w:lang w:val="en-IE"/>
        </w:rPr>
        <w:t>4.</w:t>
      </w:r>
      <w:r w:rsidRPr="00433D45">
        <w:rPr>
          <w:lang w:val="en-IE"/>
        </w:rPr>
        <w:tab/>
        <w:t>BUDGETARY IMPLICATIONS</w:t>
      </w:r>
      <w:bookmarkEnd w:id="16"/>
    </w:p>
    <w:p w14:paraId="5A2DC341" w14:textId="77777777" w:rsidR="009D1FEE" w:rsidRPr="00433D45" w:rsidRDefault="00400482">
      <w:pPr>
        <w:pBdr>
          <w:top w:val="nil"/>
          <w:left w:val="nil"/>
          <w:bottom w:val="nil"/>
          <w:right w:val="nil"/>
          <w:between w:val="nil"/>
          <w:bar w:val="nil"/>
        </w:pBdr>
        <w:spacing w:before="0" w:after="240"/>
        <w:rPr>
          <w:rFonts w:eastAsia="Arial Unicode MS"/>
          <w:lang w:val="en-IE"/>
        </w:rPr>
      </w:pPr>
      <w:r w:rsidRPr="00433D45">
        <w:rPr>
          <w:lang w:val="en-IE"/>
        </w:rPr>
        <w:t xml:space="preserve">The proposal does not have any </w:t>
      </w:r>
      <w:r w:rsidR="0086080B">
        <w:rPr>
          <w:lang w:val="en-IE"/>
        </w:rPr>
        <w:t>new</w:t>
      </w:r>
      <w:r w:rsidR="0086080B" w:rsidRPr="00433D45">
        <w:rPr>
          <w:lang w:val="en-IE"/>
        </w:rPr>
        <w:t xml:space="preserve"> </w:t>
      </w:r>
      <w:r w:rsidRPr="00433D45">
        <w:rPr>
          <w:lang w:val="en-IE"/>
        </w:rPr>
        <w:t>implications</w:t>
      </w:r>
      <w:r w:rsidR="00470B42" w:rsidRPr="00433D45">
        <w:rPr>
          <w:lang w:val="en-IE"/>
        </w:rPr>
        <w:t xml:space="preserve"> on the Union budget</w:t>
      </w:r>
      <w:r w:rsidRPr="00433D45">
        <w:rPr>
          <w:lang w:val="en-IE"/>
        </w:rPr>
        <w:t xml:space="preserve">. </w:t>
      </w:r>
    </w:p>
    <w:p w14:paraId="28A88887" w14:textId="77777777" w:rsidR="009D1FEE" w:rsidRPr="00433D45" w:rsidRDefault="009D1FEE">
      <w:pPr>
        <w:pStyle w:val="ManualHeading1"/>
        <w:rPr>
          <w:lang w:val="en-IE"/>
        </w:rPr>
      </w:pPr>
      <w:bookmarkStart w:id="17" w:name="_Toc191189483"/>
      <w:r w:rsidRPr="00433D45">
        <w:rPr>
          <w:lang w:val="en-IE"/>
        </w:rPr>
        <w:t>5.</w:t>
      </w:r>
      <w:r w:rsidRPr="00433D45">
        <w:rPr>
          <w:lang w:val="en-IE"/>
        </w:rPr>
        <w:tab/>
        <w:t>OTHER ELEMENTS</w:t>
      </w:r>
      <w:bookmarkEnd w:id="17"/>
    </w:p>
    <w:p w14:paraId="648A7CCE" w14:textId="77777777" w:rsidR="009D1FEE" w:rsidRPr="00433D45" w:rsidRDefault="009D1FEE">
      <w:pPr>
        <w:pStyle w:val="ManualHeading2"/>
        <w:rPr>
          <w:rFonts w:eastAsia="Arial Unicode MS"/>
          <w:u w:color="000000"/>
          <w:bdr w:val="nil"/>
          <w:lang w:val="en-IE" w:eastAsia="en-GB"/>
        </w:rPr>
      </w:pPr>
      <w:bookmarkStart w:id="18" w:name="_Toc191189484"/>
      <w:r w:rsidRPr="00433D45">
        <w:rPr>
          <w:rFonts w:eastAsia="Arial Unicode MS"/>
          <w:u w:color="000000"/>
          <w:bdr w:val="nil"/>
          <w:lang w:val="en-IE" w:eastAsia="en-GB"/>
        </w:rPr>
        <w:t>•</w:t>
      </w:r>
      <w:r w:rsidRPr="00433D45">
        <w:rPr>
          <w:rFonts w:eastAsia="Arial Unicode MS"/>
          <w:u w:color="000000"/>
          <w:bdr w:val="nil"/>
          <w:lang w:val="en-IE" w:eastAsia="en-GB"/>
        </w:rPr>
        <w:tab/>
        <w:t>Implementation plans and monitoring, evaluation and reporting arrangements</w:t>
      </w:r>
      <w:bookmarkEnd w:id="18"/>
    </w:p>
    <w:p w14:paraId="2FE2DBE7" w14:textId="77777777" w:rsidR="009D1FEE" w:rsidRPr="00433D45" w:rsidRDefault="0084407C">
      <w:pPr>
        <w:pBdr>
          <w:top w:val="nil"/>
          <w:left w:val="nil"/>
          <w:bottom w:val="nil"/>
          <w:right w:val="nil"/>
          <w:between w:val="nil"/>
          <w:bar w:val="nil"/>
        </w:pBdr>
        <w:spacing w:before="0" w:after="240"/>
        <w:rPr>
          <w:lang w:val="en-IE"/>
        </w:rPr>
      </w:pPr>
      <w:r w:rsidRPr="00433D45">
        <w:rPr>
          <w:lang w:val="en-IE"/>
        </w:rPr>
        <w:t xml:space="preserve">To monitor progress towards achieving the proposal’s specific objectives, the Commission will explore the possibility of organising </w:t>
      </w:r>
      <w:r w:rsidR="005A0C2A" w:rsidRPr="00433D45">
        <w:rPr>
          <w:lang w:val="en-IE"/>
        </w:rPr>
        <w:t xml:space="preserve">exchanges with stakeholders in different formats </w:t>
      </w:r>
      <w:r w:rsidR="003B0780" w:rsidRPr="00433D45">
        <w:rPr>
          <w:lang w:val="en-IE"/>
        </w:rPr>
        <w:t xml:space="preserve">as well as </w:t>
      </w:r>
      <w:r w:rsidRPr="00433D45">
        <w:rPr>
          <w:lang w:val="en-IE"/>
        </w:rPr>
        <w:t xml:space="preserve">periodic surveys of users </w:t>
      </w:r>
      <w:r w:rsidR="00194A9E" w:rsidRPr="00433D45">
        <w:rPr>
          <w:lang w:val="en-IE"/>
        </w:rPr>
        <w:t xml:space="preserve">of </w:t>
      </w:r>
      <w:r w:rsidR="00C926C5" w:rsidRPr="00433D45">
        <w:rPr>
          <w:lang w:val="en-IE"/>
        </w:rPr>
        <w:t>sustainability</w:t>
      </w:r>
      <w:r w:rsidRPr="00433D45">
        <w:rPr>
          <w:lang w:val="en-IE"/>
        </w:rPr>
        <w:t xml:space="preserve"> </w:t>
      </w:r>
      <w:r w:rsidR="00C926C5" w:rsidRPr="00433D45">
        <w:rPr>
          <w:lang w:val="en-IE"/>
        </w:rPr>
        <w:t>information</w:t>
      </w:r>
      <w:r w:rsidRPr="00433D45">
        <w:rPr>
          <w:lang w:val="en-IE"/>
        </w:rPr>
        <w:t xml:space="preserve"> and </w:t>
      </w:r>
      <w:r w:rsidR="00C926C5" w:rsidRPr="00433D45">
        <w:rPr>
          <w:lang w:val="en-IE"/>
        </w:rPr>
        <w:t>of undertakings that report such information</w:t>
      </w:r>
      <w:r w:rsidRPr="00433D45">
        <w:rPr>
          <w:lang w:val="en-IE"/>
        </w:rPr>
        <w:t xml:space="preserve">, depending on the availability of financial resources. </w:t>
      </w:r>
      <w:r w:rsidR="00F86444" w:rsidRPr="00433D45">
        <w:rPr>
          <w:lang w:val="en-IE"/>
        </w:rPr>
        <w:t xml:space="preserve">Article 6 of the CSRD </w:t>
      </w:r>
      <w:r w:rsidR="00231B97" w:rsidRPr="00433D45">
        <w:rPr>
          <w:lang w:val="en-IE"/>
        </w:rPr>
        <w:t xml:space="preserve">requires the Commission to </w:t>
      </w:r>
      <w:r w:rsidR="00771137" w:rsidRPr="00433D45">
        <w:rPr>
          <w:lang w:val="en-IE"/>
        </w:rPr>
        <w:t>present a repor</w:t>
      </w:r>
      <w:r w:rsidR="00953921" w:rsidRPr="00433D45">
        <w:rPr>
          <w:lang w:val="en-IE"/>
        </w:rPr>
        <w:t>t on the</w:t>
      </w:r>
      <w:r w:rsidR="00DE5FDD" w:rsidRPr="00433D45">
        <w:rPr>
          <w:lang w:val="en-IE"/>
        </w:rPr>
        <w:t xml:space="preserve"> implementation </w:t>
      </w:r>
      <w:r w:rsidR="0034564B" w:rsidRPr="00433D45">
        <w:rPr>
          <w:lang w:val="en-IE"/>
        </w:rPr>
        <w:t>of</w:t>
      </w:r>
      <w:r w:rsidR="00953921" w:rsidRPr="00433D45">
        <w:rPr>
          <w:lang w:val="en-IE"/>
        </w:rPr>
        <w:t xml:space="preserve"> the Directive </w:t>
      </w:r>
      <w:r w:rsidR="00E80B49" w:rsidRPr="00433D45">
        <w:rPr>
          <w:lang w:val="en-IE"/>
        </w:rPr>
        <w:t xml:space="preserve">by April 2029. </w:t>
      </w:r>
      <w:r w:rsidR="00DE5FDD" w:rsidRPr="00433D45">
        <w:rPr>
          <w:lang w:val="en-IE"/>
        </w:rPr>
        <w:t>The implementation of the CSDD</w:t>
      </w:r>
      <w:r w:rsidR="00D02A60" w:rsidRPr="00433D45">
        <w:rPr>
          <w:lang w:val="en-IE"/>
        </w:rPr>
        <w:t>D</w:t>
      </w:r>
      <w:r w:rsidR="00DE5FDD" w:rsidRPr="00433D45">
        <w:rPr>
          <w:lang w:val="en-IE"/>
        </w:rPr>
        <w:t xml:space="preserve"> as amended, and its effectiveness in reaching its objectives, in particular in addressing adverse impacts, will also be subject to regular evaluation according to Article 36 of that Directive. </w:t>
      </w:r>
      <w:r w:rsidRPr="00433D45">
        <w:rPr>
          <w:lang w:val="en-IE"/>
        </w:rPr>
        <w:t>This proposal does not require an implementation plan.</w:t>
      </w:r>
    </w:p>
    <w:p w14:paraId="2D1B0A6E" w14:textId="77777777" w:rsidR="009D1FEE" w:rsidRPr="00433D45" w:rsidRDefault="009D1FEE">
      <w:pPr>
        <w:pStyle w:val="ManualHeading2"/>
        <w:rPr>
          <w:rFonts w:eastAsia="Arial Unicode MS"/>
          <w:u w:color="000000"/>
          <w:bdr w:val="nil"/>
          <w:lang w:val="en-IE" w:eastAsia="en-GB"/>
        </w:rPr>
      </w:pPr>
      <w:bookmarkStart w:id="19" w:name="_Toc191189485"/>
      <w:r w:rsidRPr="00433D45">
        <w:rPr>
          <w:rFonts w:eastAsia="Arial Unicode MS"/>
          <w:u w:color="000000"/>
          <w:bdr w:val="nil"/>
          <w:lang w:val="en-IE" w:eastAsia="en-GB"/>
        </w:rPr>
        <w:t>•</w:t>
      </w:r>
      <w:r w:rsidRPr="00433D45">
        <w:rPr>
          <w:rFonts w:eastAsia="Arial Unicode MS"/>
          <w:u w:color="000000"/>
          <w:bdr w:val="nil"/>
          <w:lang w:val="en-IE" w:eastAsia="en-GB"/>
        </w:rPr>
        <w:tab/>
        <w:t>Explanatory documents (for directives)</w:t>
      </w:r>
      <w:bookmarkEnd w:id="19"/>
    </w:p>
    <w:p w14:paraId="016BEBD1" w14:textId="77777777" w:rsidR="009D1FEE" w:rsidRPr="00433D45" w:rsidRDefault="00633204">
      <w:pPr>
        <w:pBdr>
          <w:top w:val="nil"/>
          <w:left w:val="nil"/>
          <w:bottom w:val="nil"/>
          <w:right w:val="nil"/>
          <w:between w:val="nil"/>
          <w:bar w:val="nil"/>
        </w:pBdr>
        <w:spacing w:before="0" w:after="240"/>
        <w:rPr>
          <w:rFonts w:eastAsia="Arial Unicode MS"/>
          <w:lang w:val="en-IE"/>
        </w:rPr>
      </w:pPr>
      <w:r w:rsidRPr="00433D45">
        <w:rPr>
          <w:lang w:val="en-IE"/>
        </w:rPr>
        <w:t>As the proposal introduces specific amendments to 4 existing directives, Member States should either provide the Commission with the text of the specific amendments to national provisions or, in the absence of such amendments, explain which specific national law provision already implements the amendments provided in the proposal.</w:t>
      </w:r>
    </w:p>
    <w:p w14:paraId="244259D7" w14:textId="77777777" w:rsidR="009D1FEE" w:rsidRPr="00433D45" w:rsidRDefault="009D1FEE">
      <w:pPr>
        <w:pStyle w:val="ManualHeading2"/>
        <w:rPr>
          <w:rFonts w:eastAsia="Arial Unicode MS"/>
          <w:u w:color="000000"/>
          <w:bdr w:val="nil"/>
          <w:lang w:val="en-IE" w:eastAsia="en-GB"/>
        </w:rPr>
      </w:pPr>
      <w:bookmarkStart w:id="20" w:name="_Toc191189486"/>
      <w:r w:rsidRPr="00433D45">
        <w:rPr>
          <w:rFonts w:eastAsia="Arial Unicode MS"/>
          <w:u w:color="000000"/>
          <w:bdr w:val="nil"/>
          <w:lang w:val="en-IE" w:eastAsia="en-GB"/>
        </w:rPr>
        <w:lastRenderedPageBreak/>
        <w:t>•</w:t>
      </w:r>
      <w:r w:rsidRPr="00433D45">
        <w:rPr>
          <w:rFonts w:eastAsia="Arial Unicode MS"/>
          <w:u w:color="000000"/>
          <w:bdr w:val="nil"/>
          <w:lang w:val="en-IE" w:eastAsia="en-GB"/>
        </w:rPr>
        <w:tab/>
        <w:t>Detailed explanation of the specific provisions of the proposal</w:t>
      </w:r>
      <w:bookmarkEnd w:id="20"/>
    </w:p>
    <w:p w14:paraId="207D4754" w14:textId="77777777" w:rsidR="00BF42C2" w:rsidRPr="00433D45" w:rsidRDefault="00BF42C2" w:rsidP="00DE466D">
      <w:pPr>
        <w:keepNext/>
        <w:pBdr>
          <w:top w:val="nil"/>
          <w:left w:val="nil"/>
          <w:bottom w:val="nil"/>
          <w:right w:val="nil"/>
          <w:between w:val="nil"/>
          <w:bar w:val="nil"/>
        </w:pBdr>
        <w:spacing w:before="0" w:after="240"/>
        <w:rPr>
          <w:u w:val="single"/>
          <w:lang w:val="en-IE"/>
        </w:rPr>
      </w:pPr>
      <w:r w:rsidRPr="00433D45">
        <w:rPr>
          <w:u w:val="single"/>
          <w:lang w:val="en-IE"/>
        </w:rPr>
        <w:t>Corporate Sustainability Reporting Directive</w:t>
      </w:r>
    </w:p>
    <w:p w14:paraId="012625AB" w14:textId="77777777" w:rsidR="007C602F" w:rsidRPr="00433D45" w:rsidRDefault="001824FF" w:rsidP="00DE466D">
      <w:pPr>
        <w:pBdr>
          <w:top w:val="nil"/>
          <w:left w:val="nil"/>
          <w:bottom w:val="nil"/>
          <w:right w:val="nil"/>
          <w:between w:val="nil"/>
          <w:bar w:val="nil"/>
        </w:pBdr>
        <w:spacing w:before="0" w:after="240"/>
        <w:rPr>
          <w:lang w:val="en-IE"/>
        </w:rPr>
      </w:pPr>
      <w:r w:rsidRPr="00433D45">
        <w:rPr>
          <w:lang w:val="en-IE"/>
        </w:rPr>
        <w:t>Article 1</w:t>
      </w:r>
      <w:r w:rsidR="002103C0" w:rsidRPr="00433D45">
        <w:rPr>
          <w:lang w:val="en-IE"/>
        </w:rPr>
        <w:t xml:space="preserve"> amends </w:t>
      </w:r>
      <w:r w:rsidRPr="00433D45">
        <w:rPr>
          <w:lang w:val="en-IE"/>
        </w:rPr>
        <w:t>Directive 2006/43/EC</w:t>
      </w:r>
      <w:r w:rsidR="002103C0" w:rsidRPr="00433D45">
        <w:rPr>
          <w:lang w:val="en-IE"/>
        </w:rPr>
        <w:t xml:space="preserve"> (Audit Directive)</w:t>
      </w:r>
      <w:r w:rsidR="007C602F" w:rsidRPr="00433D45">
        <w:rPr>
          <w:lang w:val="en-IE"/>
        </w:rPr>
        <w:t xml:space="preserve"> as follows:</w:t>
      </w:r>
      <w:r w:rsidR="004001C1" w:rsidRPr="00433D45">
        <w:rPr>
          <w:lang w:val="en-IE"/>
        </w:rPr>
        <w:t xml:space="preserve"> </w:t>
      </w:r>
    </w:p>
    <w:p w14:paraId="2F7FB92C" w14:textId="77777777" w:rsidR="00347070" w:rsidRPr="00433D45" w:rsidRDefault="002F07A4" w:rsidP="008E732B">
      <w:pPr>
        <w:pStyle w:val="Tiret0"/>
        <w:numPr>
          <w:ilvl w:val="0"/>
          <w:numId w:val="22"/>
        </w:numPr>
        <w:ind w:hanging="566"/>
        <w:rPr>
          <w:lang w:val="en-IE"/>
        </w:rPr>
      </w:pPr>
      <w:r w:rsidRPr="00433D45">
        <w:rPr>
          <w:lang w:val="en-IE"/>
        </w:rPr>
        <w:t>p</w:t>
      </w:r>
      <w:r w:rsidR="00591B98" w:rsidRPr="00433D45">
        <w:rPr>
          <w:lang w:val="en-IE"/>
        </w:rPr>
        <w:t xml:space="preserve">aragraph (1) </w:t>
      </w:r>
      <w:r w:rsidR="00CE38E9" w:rsidRPr="00433D45">
        <w:rPr>
          <w:lang w:val="en-IE"/>
        </w:rPr>
        <w:t xml:space="preserve">replaces </w:t>
      </w:r>
      <w:r w:rsidR="003B62DF" w:rsidRPr="00433D45">
        <w:rPr>
          <w:lang w:val="en-IE"/>
        </w:rPr>
        <w:t>Article 26a(</w:t>
      </w:r>
      <w:r w:rsidR="00347070" w:rsidRPr="00433D45">
        <w:rPr>
          <w:lang w:val="en-IE"/>
        </w:rPr>
        <w:t xml:space="preserve">3) of the Audit Directive </w:t>
      </w:r>
      <w:r w:rsidR="00512887" w:rsidRPr="00433D45">
        <w:rPr>
          <w:lang w:val="en-IE"/>
        </w:rPr>
        <w:t xml:space="preserve">to delete </w:t>
      </w:r>
      <w:r w:rsidR="00FD6659" w:rsidRPr="00433D45">
        <w:rPr>
          <w:lang w:val="en-IE"/>
        </w:rPr>
        <w:t xml:space="preserve">the time limits for the </w:t>
      </w:r>
      <w:r w:rsidR="003B62DF" w:rsidRPr="00433D45">
        <w:rPr>
          <w:lang w:val="en-IE"/>
        </w:rPr>
        <w:t>Commission to adopt standards for limited assurance</w:t>
      </w:r>
      <w:r w:rsidR="005D4A4C" w:rsidRPr="00433D45">
        <w:rPr>
          <w:lang w:val="en-IE"/>
        </w:rPr>
        <w:t xml:space="preserve"> and</w:t>
      </w:r>
      <w:r w:rsidR="00512887" w:rsidRPr="00433D45">
        <w:rPr>
          <w:lang w:val="en-IE"/>
        </w:rPr>
        <w:t xml:space="preserve"> to delete</w:t>
      </w:r>
      <w:r w:rsidR="007C602F" w:rsidRPr="00433D45">
        <w:rPr>
          <w:lang w:val="en-IE"/>
        </w:rPr>
        <w:t xml:space="preserve"> </w:t>
      </w:r>
      <w:r w:rsidR="000721AE" w:rsidRPr="00433D45">
        <w:rPr>
          <w:lang w:val="en-IE"/>
        </w:rPr>
        <w:t>the empowerment for the Commission to adopt standards for reasonable assurance</w:t>
      </w:r>
      <w:r w:rsidR="005D4A4C" w:rsidRPr="00433D45">
        <w:rPr>
          <w:lang w:val="en-IE"/>
        </w:rPr>
        <w:t xml:space="preserve"> together with the related cross-references</w:t>
      </w:r>
      <w:r w:rsidR="00347070" w:rsidRPr="00433D45">
        <w:rPr>
          <w:lang w:val="en-IE"/>
        </w:rPr>
        <w:t>;</w:t>
      </w:r>
    </w:p>
    <w:p w14:paraId="51EF96FA" w14:textId="77777777" w:rsidR="000721AE" w:rsidRPr="00433D45" w:rsidRDefault="002F07A4" w:rsidP="00CF1B38">
      <w:pPr>
        <w:pStyle w:val="Tiret0"/>
        <w:ind w:hanging="566"/>
        <w:rPr>
          <w:lang w:val="en-IE"/>
        </w:rPr>
      </w:pPr>
      <w:r w:rsidRPr="00433D45">
        <w:rPr>
          <w:lang w:val="en-IE"/>
        </w:rPr>
        <w:t>p</w:t>
      </w:r>
      <w:r w:rsidR="000721AE" w:rsidRPr="00433D45">
        <w:rPr>
          <w:lang w:val="en-IE"/>
        </w:rPr>
        <w:t xml:space="preserve">aragraph (2) </w:t>
      </w:r>
      <w:r w:rsidR="00A46ECF" w:rsidRPr="00433D45">
        <w:rPr>
          <w:lang w:val="en-IE"/>
        </w:rPr>
        <w:t xml:space="preserve">replaces </w:t>
      </w:r>
      <w:r w:rsidR="007C602F" w:rsidRPr="00433D45">
        <w:rPr>
          <w:lang w:val="en-IE"/>
        </w:rPr>
        <w:t>Article 48a</w:t>
      </w:r>
      <w:r w:rsidR="00A46ECF" w:rsidRPr="00433D45">
        <w:rPr>
          <w:lang w:val="en-IE"/>
        </w:rPr>
        <w:t>, second subparagraph,</w:t>
      </w:r>
      <w:r w:rsidR="007C602F" w:rsidRPr="00433D45">
        <w:rPr>
          <w:lang w:val="en-IE"/>
        </w:rPr>
        <w:t xml:space="preserve"> of the Audit Directive </w:t>
      </w:r>
      <w:r w:rsidR="00A46ECF" w:rsidRPr="00433D45">
        <w:rPr>
          <w:lang w:val="en-IE"/>
        </w:rPr>
        <w:t xml:space="preserve">to correct </w:t>
      </w:r>
      <w:r w:rsidR="0013362A" w:rsidRPr="00433D45">
        <w:rPr>
          <w:lang w:val="en-IE"/>
        </w:rPr>
        <w:t>a</w:t>
      </w:r>
      <w:r w:rsidR="00917F62" w:rsidRPr="00433D45">
        <w:rPr>
          <w:lang w:val="en-IE"/>
        </w:rPr>
        <w:t>n error</w:t>
      </w:r>
      <w:r w:rsidR="00E26F96" w:rsidRPr="00433D45">
        <w:rPr>
          <w:lang w:val="en-IE"/>
        </w:rPr>
        <w:t xml:space="preserve"> in the cross-reference </w:t>
      </w:r>
      <w:r w:rsidR="00F63E6F" w:rsidRPr="00433D45">
        <w:rPr>
          <w:lang w:val="en-IE"/>
        </w:rPr>
        <w:t>to</w:t>
      </w:r>
      <w:r w:rsidR="0013362A" w:rsidRPr="00433D45">
        <w:rPr>
          <w:lang w:val="en-IE"/>
        </w:rPr>
        <w:t xml:space="preserve"> </w:t>
      </w:r>
      <w:r w:rsidR="003C1AEC" w:rsidRPr="00433D45">
        <w:rPr>
          <w:lang w:val="en-IE"/>
        </w:rPr>
        <w:t>the</w:t>
      </w:r>
      <w:r w:rsidR="00F63E6F" w:rsidRPr="00433D45">
        <w:rPr>
          <w:lang w:val="en-IE"/>
        </w:rPr>
        <w:t xml:space="preserve"> limited assurance standards. </w:t>
      </w:r>
    </w:p>
    <w:p w14:paraId="6F7FD52D" w14:textId="77777777" w:rsidR="00C94F16" w:rsidRPr="00433D45" w:rsidRDefault="001824FF" w:rsidP="00DE466D">
      <w:pPr>
        <w:pBdr>
          <w:top w:val="nil"/>
          <w:left w:val="nil"/>
          <w:bottom w:val="nil"/>
          <w:right w:val="nil"/>
          <w:between w:val="nil"/>
          <w:bar w:val="nil"/>
        </w:pBdr>
        <w:spacing w:before="0" w:after="240"/>
        <w:rPr>
          <w:lang w:val="en-IE"/>
        </w:rPr>
      </w:pPr>
      <w:r w:rsidRPr="00433D45">
        <w:rPr>
          <w:lang w:val="en-IE"/>
        </w:rPr>
        <w:t>Article 2</w:t>
      </w:r>
      <w:r w:rsidR="00E26F96" w:rsidRPr="00433D45">
        <w:rPr>
          <w:lang w:val="en-IE"/>
        </w:rPr>
        <w:t xml:space="preserve"> amends </w:t>
      </w:r>
      <w:r w:rsidRPr="00433D45">
        <w:rPr>
          <w:lang w:val="en-IE"/>
        </w:rPr>
        <w:t>Directive 2013/34/EU</w:t>
      </w:r>
      <w:r w:rsidR="00E26F96" w:rsidRPr="00433D45">
        <w:rPr>
          <w:lang w:val="en-IE"/>
        </w:rPr>
        <w:t xml:space="preserve"> (Accounting Directive)</w:t>
      </w:r>
      <w:r w:rsidR="00C94F16" w:rsidRPr="00433D45">
        <w:rPr>
          <w:lang w:val="en-IE"/>
        </w:rPr>
        <w:t xml:space="preserve"> as follows:</w:t>
      </w:r>
      <w:r w:rsidR="00E26F96" w:rsidRPr="00433D45">
        <w:rPr>
          <w:lang w:val="en-IE"/>
        </w:rPr>
        <w:t xml:space="preserve"> </w:t>
      </w:r>
    </w:p>
    <w:p w14:paraId="16220FD1" w14:textId="77777777" w:rsidR="00F25BE7" w:rsidRPr="00433D45" w:rsidRDefault="002F07A4" w:rsidP="00CF1B38">
      <w:pPr>
        <w:pStyle w:val="Tiret0"/>
        <w:ind w:hanging="566"/>
        <w:rPr>
          <w:lang w:val="en-IE"/>
        </w:rPr>
      </w:pPr>
      <w:r w:rsidRPr="00433D45">
        <w:rPr>
          <w:lang w:val="en-IE"/>
        </w:rPr>
        <w:t>p</w:t>
      </w:r>
      <w:r w:rsidR="00504974" w:rsidRPr="00433D45">
        <w:rPr>
          <w:lang w:val="en-IE"/>
        </w:rPr>
        <w:t xml:space="preserve">aragraph (1) </w:t>
      </w:r>
      <w:r w:rsidR="00D36F40" w:rsidRPr="00433D45">
        <w:rPr>
          <w:lang w:val="en-IE"/>
        </w:rPr>
        <w:t>modifies</w:t>
      </w:r>
      <w:r w:rsidR="00C00374" w:rsidRPr="00433D45">
        <w:rPr>
          <w:lang w:val="en-IE"/>
        </w:rPr>
        <w:t xml:space="preserve"> </w:t>
      </w:r>
      <w:r w:rsidR="00B71C65" w:rsidRPr="00433D45">
        <w:rPr>
          <w:lang w:val="en-IE"/>
        </w:rPr>
        <w:t xml:space="preserve">in Article 1(3) of the Accounting Directive </w:t>
      </w:r>
      <w:r w:rsidR="00C00374" w:rsidRPr="00433D45">
        <w:rPr>
          <w:lang w:val="en-IE"/>
        </w:rPr>
        <w:t xml:space="preserve">the </w:t>
      </w:r>
      <w:r w:rsidR="000D5E7E" w:rsidRPr="00433D45">
        <w:rPr>
          <w:lang w:val="en-IE"/>
        </w:rPr>
        <w:t xml:space="preserve">size </w:t>
      </w:r>
      <w:r w:rsidR="00D80F39" w:rsidRPr="00433D45">
        <w:rPr>
          <w:lang w:val="en-IE"/>
        </w:rPr>
        <w:t xml:space="preserve">for an </w:t>
      </w:r>
      <w:r w:rsidR="000D5E7E" w:rsidRPr="00433D45">
        <w:rPr>
          <w:lang w:val="en-IE"/>
        </w:rPr>
        <w:t>undertaking</w:t>
      </w:r>
      <w:r w:rsidR="00D80F39" w:rsidRPr="00433D45">
        <w:rPr>
          <w:lang w:val="en-IE"/>
        </w:rPr>
        <w:t xml:space="preserve"> to be</w:t>
      </w:r>
      <w:r w:rsidR="000D5E7E" w:rsidRPr="00433D45">
        <w:rPr>
          <w:lang w:val="en-IE"/>
        </w:rPr>
        <w:t xml:space="preserve"> </w:t>
      </w:r>
      <w:r w:rsidR="003B56D6" w:rsidRPr="00433D45">
        <w:rPr>
          <w:lang w:val="en-IE"/>
        </w:rPr>
        <w:t>in scope of sustainability reporting when th</w:t>
      </w:r>
      <w:r w:rsidR="00D80F39" w:rsidRPr="00433D45">
        <w:rPr>
          <w:lang w:val="en-IE"/>
        </w:rPr>
        <w:t>at</w:t>
      </w:r>
      <w:r w:rsidR="003B56D6" w:rsidRPr="00433D45">
        <w:rPr>
          <w:lang w:val="en-IE"/>
        </w:rPr>
        <w:t xml:space="preserve"> </w:t>
      </w:r>
      <w:r w:rsidR="000D5E7E" w:rsidRPr="00433D45">
        <w:rPr>
          <w:lang w:val="en-IE"/>
        </w:rPr>
        <w:t>undertaking is a</w:t>
      </w:r>
      <w:r w:rsidR="008A4905" w:rsidRPr="00433D45">
        <w:rPr>
          <w:lang w:val="en-IE"/>
        </w:rPr>
        <w:t xml:space="preserve"> credit institution or an insurance undertaking, to reflect the change</w:t>
      </w:r>
      <w:r w:rsidR="008E1FB4" w:rsidRPr="00433D45">
        <w:rPr>
          <w:lang w:val="en-IE"/>
        </w:rPr>
        <w:t>s</w:t>
      </w:r>
      <w:r w:rsidR="00EA7DB1" w:rsidRPr="00433D45">
        <w:rPr>
          <w:lang w:val="en-IE"/>
        </w:rPr>
        <w:t xml:space="preserve"> </w:t>
      </w:r>
      <w:r w:rsidR="003B56D6" w:rsidRPr="00433D45">
        <w:rPr>
          <w:lang w:val="en-IE"/>
        </w:rPr>
        <w:t xml:space="preserve">made </w:t>
      </w:r>
      <w:r w:rsidR="00EA7DB1" w:rsidRPr="00433D45">
        <w:rPr>
          <w:lang w:val="en-IE"/>
        </w:rPr>
        <w:t>to the</w:t>
      </w:r>
      <w:r w:rsidR="00250836" w:rsidRPr="00433D45">
        <w:rPr>
          <w:lang w:val="en-IE"/>
        </w:rPr>
        <w:t xml:space="preserve"> size of undertakings in the</w:t>
      </w:r>
      <w:r w:rsidR="008E1FB4" w:rsidRPr="00433D45">
        <w:rPr>
          <w:lang w:val="en-IE"/>
        </w:rPr>
        <w:t xml:space="preserve"> scope </w:t>
      </w:r>
      <w:r w:rsidR="006B7F74">
        <w:rPr>
          <w:lang w:val="en-IE"/>
        </w:rPr>
        <w:t>of</w:t>
      </w:r>
      <w:r w:rsidR="006B7F74" w:rsidRPr="00433D45">
        <w:rPr>
          <w:lang w:val="en-IE"/>
        </w:rPr>
        <w:t xml:space="preserve"> </w:t>
      </w:r>
      <w:r w:rsidR="00EA7DB1" w:rsidRPr="00433D45">
        <w:rPr>
          <w:lang w:val="en-IE"/>
        </w:rPr>
        <w:t>Article 19a</w:t>
      </w:r>
      <w:r w:rsidR="003F149A" w:rsidRPr="00433D45">
        <w:rPr>
          <w:lang w:val="en-IE"/>
        </w:rPr>
        <w:t xml:space="preserve"> (i.e. </w:t>
      </w:r>
      <w:r w:rsidR="00990679">
        <w:rPr>
          <w:lang w:val="en-IE"/>
        </w:rPr>
        <w:t xml:space="preserve">large </w:t>
      </w:r>
      <w:r w:rsidR="003F149A" w:rsidRPr="00433D45">
        <w:rPr>
          <w:lang w:val="en-IE"/>
        </w:rPr>
        <w:t xml:space="preserve">undertakings with more than </w:t>
      </w:r>
      <w:r w:rsidR="00594A90" w:rsidRPr="00433D45">
        <w:rPr>
          <w:lang w:val="en-IE"/>
        </w:rPr>
        <w:t xml:space="preserve">1000 </w:t>
      </w:r>
      <w:r w:rsidR="003F149A" w:rsidRPr="00433D45">
        <w:rPr>
          <w:lang w:val="en-IE"/>
        </w:rPr>
        <w:t xml:space="preserve">employees </w:t>
      </w:r>
      <w:r w:rsidR="00D56F35">
        <w:rPr>
          <w:lang w:val="en-IE"/>
        </w:rPr>
        <w:t xml:space="preserve">on average </w:t>
      </w:r>
      <w:r w:rsidR="003F149A" w:rsidRPr="00433D45">
        <w:rPr>
          <w:lang w:val="en-IE"/>
        </w:rPr>
        <w:t xml:space="preserve">during the financial </w:t>
      </w:r>
      <w:r w:rsidR="006B39C3" w:rsidRPr="00433D45">
        <w:rPr>
          <w:lang w:val="en-IE"/>
        </w:rPr>
        <w:t>year</w:t>
      </w:r>
      <w:r w:rsidR="003F149A" w:rsidRPr="00433D45">
        <w:rPr>
          <w:lang w:val="en-IE"/>
        </w:rPr>
        <w:t>)</w:t>
      </w:r>
      <w:r w:rsidR="00E53CA6" w:rsidRPr="00433D45">
        <w:rPr>
          <w:lang w:val="en-IE"/>
        </w:rPr>
        <w:t>;</w:t>
      </w:r>
    </w:p>
    <w:p w14:paraId="33C59121" w14:textId="77777777" w:rsidR="00881411" w:rsidRPr="00433D45" w:rsidRDefault="002F07A4" w:rsidP="00CF1B38">
      <w:pPr>
        <w:pStyle w:val="Tiret0"/>
        <w:ind w:hanging="566"/>
        <w:rPr>
          <w:rFonts w:eastAsia="Calibri"/>
          <w:lang w:val="en-IE"/>
        </w:rPr>
      </w:pPr>
      <w:r w:rsidRPr="00433D45">
        <w:rPr>
          <w:rFonts w:eastAsia="Calibri"/>
          <w:lang w:val="en-IE"/>
        </w:rPr>
        <w:t>p</w:t>
      </w:r>
      <w:r w:rsidR="00881411" w:rsidRPr="00433D45">
        <w:rPr>
          <w:rFonts w:eastAsia="Calibri"/>
          <w:lang w:val="en-IE"/>
        </w:rPr>
        <w:t xml:space="preserve">aragraph (1) also </w:t>
      </w:r>
      <w:r w:rsidR="00F25BE7" w:rsidRPr="00433D45">
        <w:rPr>
          <w:rFonts w:eastAsia="Calibri"/>
          <w:lang w:val="en-IE"/>
        </w:rPr>
        <w:t>specifies in Article 1(4) of the Accounting Directive that</w:t>
      </w:r>
      <w:r w:rsidR="00881411" w:rsidRPr="00433D45">
        <w:rPr>
          <w:rFonts w:eastAsia="Calibri"/>
          <w:lang w:val="en-IE"/>
        </w:rPr>
        <w:t xml:space="preserve"> the European Financial Stability Facility (EFSF) established by the EFSF Framework Agreement</w:t>
      </w:r>
      <w:r w:rsidR="00F25BE7" w:rsidRPr="00433D45">
        <w:rPr>
          <w:rFonts w:eastAsia="Calibri"/>
          <w:lang w:val="en-IE"/>
        </w:rPr>
        <w:t xml:space="preserve"> is not subject to sustainability reporting</w:t>
      </w:r>
      <w:r w:rsidR="00E53CA6" w:rsidRPr="00433D45">
        <w:rPr>
          <w:rFonts w:eastAsia="Calibri"/>
          <w:lang w:val="en-IE"/>
        </w:rPr>
        <w:t>;</w:t>
      </w:r>
    </w:p>
    <w:p w14:paraId="3D5D6E6A" w14:textId="77777777" w:rsidR="00881411" w:rsidRPr="00433D45" w:rsidRDefault="00003A00" w:rsidP="00CF1B38">
      <w:pPr>
        <w:pStyle w:val="Tiret0"/>
        <w:ind w:hanging="566"/>
        <w:rPr>
          <w:rFonts w:eastAsia="Calibri"/>
          <w:lang w:val="en-IE"/>
        </w:rPr>
      </w:pPr>
      <w:r w:rsidRPr="00433D45">
        <w:rPr>
          <w:rFonts w:eastAsia="Calibri"/>
          <w:lang w:val="en-IE"/>
        </w:rPr>
        <w:t>p</w:t>
      </w:r>
      <w:r w:rsidR="00881411" w:rsidRPr="00433D45">
        <w:rPr>
          <w:rFonts w:eastAsia="Calibri"/>
          <w:lang w:val="en-IE"/>
        </w:rPr>
        <w:t xml:space="preserve">aragraph (2) amends Article 19a </w:t>
      </w:r>
      <w:r w:rsidR="00B410CE" w:rsidRPr="00433D45">
        <w:rPr>
          <w:rFonts w:eastAsia="Calibri"/>
          <w:lang w:val="en-IE"/>
        </w:rPr>
        <w:t>of the Accounting Directive</w:t>
      </w:r>
      <w:r w:rsidR="00881411" w:rsidRPr="00433D45">
        <w:rPr>
          <w:rFonts w:eastAsia="Calibri"/>
          <w:lang w:val="en-IE"/>
        </w:rPr>
        <w:t xml:space="preserve"> </w:t>
      </w:r>
      <w:r w:rsidR="000B4003" w:rsidRPr="00433D45">
        <w:rPr>
          <w:rFonts w:eastAsia="Calibri"/>
          <w:lang w:val="en-IE"/>
        </w:rPr>
        <w:t>by</w:t>
      </w:r>
      <w:r w:rsidR="00881411" w:rsidRPr="00433D45">
        <w:rPr>
          <w:rFonts w:eastAsia="Calibri"/>
          <w:lang w:val="en-IE"/>
        </w:rPr>
        <w:t>:</w:t>
      </w:r>
    </w:p>
    <w:p w14:paraId="4461A0AA" w14:textId="77777777" w:rsidR="00881411" w:rsidRPr="00433D45" w:rsidRDefault="00003A00" w:rsidP="008E732B">
      <w:pPr>
        <w:pStyle w:val="Bullet1"/>
        <w:numPr>
          <w:ilvl w:val="0"/>
          <w:numId w:val="23"/>
        </w:numPr>
        <w:ind w:hanging="424"/>
        <w:rPr>
          <w:rFonts w:eastAsia="Calibri"/>
          <w:lang w:val="en-IE"/>
        </w:rPr>
      </w:pPr>
      <w:r w:rsidRPr="00433D45">
        <w:rPr>
          <w:rFonts w:eastAsia="Calibri"/>
          <w:lang w:val="en-IE"/>
        </w:rPr>
        <w:t>l</w:t>
      </w:r>
      <w:r w:rsidR="004C13C8" w:rsidRPr="00433D45">
        <w:rPr>
          <w:rFonts w:eastAsia="Calibri"/>
          <w:lang w:val="en-IE"/>
        </w:rPr>
        <w:t>imiting the</w:t>
      </w:r>
      <w:r w:rsidR="00881411" w:rsidRPr="00433D45">
        <w:rPr>
          <w:rFonts w:eastAsia="Calibri"/>
          <w:lang w:val="en-IE"/>
        </w:rPr>
        <w:t xml:space="preserve"> undertakings required to prepare and publish individual sustainability reporting to </w:t>
      </w:r>
      <w:r w:rsidR="00E35EDC" w:rsidRPr="00433D45">
        <w:rPr>
          <w:rFonts w:eastAsia="Calibri"/>
          <w:lang w:val="en-IE"/>
        </w:rPr>
        <w:t xml:space="preserve">only </w:t>
      </w:r>
      <w:r w:rsidR="00990679">
        <w:rPr>
          <w:rFonts w:eastAsia="Calibri"/>
          <w:lang w:val="en-IE"/>
        </w:rPr>
        <w:t xml:space="preserve">large </w:t>
      </w:r>
      <w:r w:rsidR="00881411" w:rsidRPr="00433D45">
        <w:rPr>
          <w:rFonts w:eastAsia="Calibri"/>
          <w:lang w:val="en-IE"/>
        </w:rPr>
        <w:t xml:space="preserve">undertakings with more than </w:t>
      </w:r>
      <w:r w:rsidR="00594A90" w:rsidRPr="00433D45">
        <w:rPr>
          <w:rFonts w:eastAsia="Calibri"/>
          <w:lang w:val="en-IE"/>
        </w:rPr>
        <w:t xml:space="preserve">1000 </w:t>
      </w:r>
      <w:r w:rsidR="00881411" w:rsidRPr="00433D45">
        <w:rPr>
          <w:rFonts w:eastAsia="Calibri"/>
          <w:lang w:val="en-IE"/>
        </w:rPr>
        <w:t>employees</w:t>
      </w:r>
      <w:r w:rsidR="00F305D8">
        <w:rPr>
          <w:rFonts w:eastAsia="Calibri"/>
          <w:lang w:val="en-IE"/>
        </w:rPr>
        <w:t xml:space="preserve"> on average</w:t>
      </w:r>
      <w:r w:rsidR="00881411" w:rsidRPr="00433D45">
        <w:rPr>
          <w:rFonts w:eastAsia="Calibri"/>
          <w:lang w:val="en-IE"/>
        </w:rPr>
        <w:t xml:space="preserve"> during the </w:t>
      </w:r>
      <w:r w:rsidR="0083189E" w:rsidRPr="00433D45">
        <w:rPr>
          <w:rFonts w:eastAsia="Calibri"/>
          <w:lang w:val="en-IE"/>
        </w:rPr>
        <w:t>financial year</w:t>
      </w:r>
      <w:r w:rsidR="00881411" w:rsidRPr="00433D45">
        <w:rPr>
          <w:rFonts w:eastAsia="Calibri"/>
          <w:lang w:val="en-IE"/>
        </w:rPr>
        <w:t>;</w:t>
      </w:r>
    </w:p>
    <w:p w14:paraId="705D7086" w14:textId="77777777" w:rsidR="000C0DC7" w:rsidRPr="00433D45" w:rsidRDefault="00003A00" w:rsidP="00CF1B38">
      <w:pPr>
        <w:pStyle w:val="Bullet1"/>
        <w:ind w:hanging="424"/>
        <w:rPr>
          <w:rFonts w:eastAsia="Calibri"/>
          <w:lang w:val="en-IE"/>
        </w:rPr>
      </w:pPr>
      <w:r w:rsidRPr="00433D45">
        <w:rPr>
          <w:rFonts w:eastAsia="Calibri"/>
          <w:lang w:val="en-IE"/>
        </w:rPr>
        <w:t>i</w:t>
      </w:r>
      <w:r w:rsidR="00B410CE" w:rsidRPr="00433D45">
        <w:rPr>
          <w:rFonts w:eastAsia="Calibri"/>
          <w:lang w:val="en-IE"/>
        </w:rPr>
        <w:t xml:space="preserve">ntroducing </w:t>
      </w:r>
      <w:r w:rsidR="00881411" w:rsidRPr="00433D45">
        <w:rPr>
          <w:rFonts w:eastAsia="Calibri"/>
          <w:lang w:val="en-IE"/>
        </w:rPr>
        <w:t>a requirement for Member States to ensure that, for the purposes of reporting sustainability information as required by the Accounting Directive</w:t>
      </w:r>
      <w:r w:rsidR="00D932BC" w:rsidRPr="00433D45">
        <w:rPr>
          <w:rFonts w:eastAsia="Calibri"/>
          <w:lang w:val="en-IE"/>
        </w:rPr>
        <w:t xml:space="preserve"> -and with no prejudice to Union requirements to conduct a due diligence process - </w:t>
      </w:r>
      <w:r w:rsidR="00881411" w:rsidRPr="00433D45">
        <w:rPr>
          <w:rFonts w:eastAsia="Calibri"/>
          <w:lang w:val="en-IE"/>
        </w:rPr>
        <w:t xml:space="preserve">undertakings do not seek to obtain from undertakings in their value chain </w:t>
      </w:r>
      <w:r w:rsidR="009E021E">
        <w:rPr>
          <w:rFonts w:eastAsia="Calibri"/>
          <w:lang w:val="en-IE"/>
        </w:rPr>
        <w:t xml:space="preserve">with not more than 1000 employees </w:t>
      </w:r>
      <w:r w:rsidR="00B3481A">
        <w:rPr>
          <w:rFonts w:eastAsia="Calibri"/>
          <w:lang w:val="en-IE"/>
        </w:rPr>
        <w:t xml:space="preserve">on average </w:t>
      </w:r>
      <w:r w:rsidR="009E021E">
        <w:rPr>
          <w:rFonts w:eastAsia="Calibri"/>
          <w:lang w:val="en-IE"/>
        </w:rPr>
        <w:t xml:space="preserve">during the financial year any </w:t>
      </w:r>
      <w:r w:rsidR="009E5E0A">
        <w:rPr>
          <w:rFonts w:eastAsia="Calibri"/>
          <w:lang w:val="en-IE"/>
        </w:rPr>
        <w:t xml:space="preserve">information </w:t>
      </w:r>
      <w:r w:rsidR="009E021E">
        <w:rPr>
          <w:rFonts w:eastAsia="Calibri"/>
          <w:lang w:val="en-IE"/>
        </w:rPr>
        <w:t>that goes</w:t>
      </w:r>
      <w:r w:rsidR="009E5E0A">
        <w:rPr>
          <w:rFonts w:eastAsia="Calibri"/>
          <w:lang w:val="en-IE"/>
        </w:rPr>
        <w:t xml:space="preserve"> </w:t>
      </w:r>
      <w:r w:rsidR="00D932BC" w:rsidRPr="00433D45">
        <w:rPr>
          <w:rFonts w:eastAsia="Calibri"/>
          <w:lang w:val="en-IE"/>
        </w:rPr>
        <w:t>beyond</w:t>
      </w:r>
      <w:r w:rsidR="00881411" w:rsidRPr="00433D45">
        <w:rPr>
          <w:rFonts w:eastAsia="Calibri"/>
          <w:lang w:val="en-IE"/>
        </w:rPr>
        <w:t xml:space="preserve"> the information specified in the standards for voluntary use</w:t>
      </w:r>
      <w:r w:rsidR="003306E7" w:rsidRPr="00433D45">
        <w:rPr>
          <w:rFonts w:eastAsia="Calibri"/>
          <w:lang w:val="en-IE"/>
        </w:rPr>
        <w:t xml:space="preserve"> </w:t>
      </w:r>
      <w:r w:rsidR="00B70B8A" w:rsidRPr="00433D45">
        <w:rPr>
          <w:rFonts w:eastAsia="Calibri"/>
          <w:lang w:val="en-IE"/>
        </w:rPr>
        <w:t>to be adopted under Article 29ca</w:t>
      </w:r>
      <w:r w:rsidR="00881411" w:rsidRPr="00433D45">
        <w:rPr>
          <w:rFonts w:eastAsia="Calibri"/>
          <w:lang w:val="en-IE"/>
        </w:rPr>
        <w:t>, except for additional sustainability information that is commonly shared between undertakings in the sector concerned.</w:t>
      </w:r>
      <w:r w:rsidR="00DD6ECA" w:rsidRPr="00433D45">
        <w:rPr>
          <w:rFonts w:eastAsia="Calibri"/>
          <w:lang w:val="en-IE"/>
        </w:rPr>
        <w:t xml:space="preserve"> </w:t>
      </w:r>
      <w:r w:rsidR="00881411" w:rsidRPr="00433D45">
        <w:rPr>
          <w:rFonts w:eastAsia="Calibri"/>
          <w:lang w:val="en-IE"/>
        </w:rPr>
        <w:t xml:space="preserve">Undertakings reporting on </w:t>
      </w:r>
      <w:r w:rsidR="00DD6ECA" w:rsidRPr="00433D45">
        <w:rPr>
          <w:rFonts w:eastAsia="Calibri"/>
          <w:lang w:val="en-IE"/>
        </w:rPr>
        <w:t xml:space="preserve">their value chain </w:t>
      </w:r>
      <w:r w:rsidR="00881411" w:rsidRPr="00433D45">
        <w:rPr>
          <w:rFonts w:eastAsia="Calibri"/>
          <w:lang w:val="en-IE"/>
        </w:rPr>
        <w:t xml:space="preserve">in accordance with this </w:t>
      </w:r>
      <w:r w:rsidR="00DD6ECA" w:rsidRPr="00433D45">
        <w:rPr>
          <w:rFonts w:eastAsia="Calibri"/>
          <w:lang w:val="en-IE"/>
        </w:rPr>
        <w:t>requirement</w:t>
      </w:r>
      <w:r w:rsidR="00881411" w:rsidRPr="00433D45">
        <w:rPr>
          <w:rFonts w:eastAsia="Calibri"/>
          <w:lang w:val="en-IE"/>
        </w:rPr>
        <w:t xml:space="preserve"> must be deemed to comply with </w:t>
      </w:r>
      <w:r w:rsidR="00DD6ECA" w:rsidRPr="00433D45">
        <w:rPr>
          <w:rFonts w:eastAsia="Calibri"/>
          <w:lang w:val="en-IE"/>
        </w:rPr>
        <w:t>s</w:t>
      </w:r>
      <w:r w:rsidR="00881411" w:rsidRPr="00433D45">
        <w:rPr>
          <w:rFonts w:eastAsia="Calibri"/>
          <w:lang w:val="en-IE"/>
        </w:rPr>
        <w:t>ustainability reporting</w:t>
      </w:r>
      <w:r w:rsidR="00805607" w:rsidRPr="00433D45">
        <w:rPr>
          <w:rFonts w:eastAsia="Calibri"/>
          <w:lang w:val="en-IE"/>
        </w:rPr>
        <w:t>;</w:t>
      </w:r>
    </w:p>
    <w:p w14:paraId="4BB2AB8E" w14:textId="77777777" w:rsidR="008A73CF" w:rsidRPr="00433D45" w:rsidRDefault="00003A00" w:rsidP="00CF1B38">
      <w:pPr>
        <w:pStyle w:val="Bullet1"/>
        <w:ind w:hanging="424"/>
        <w:rPr>
          <w:lang w:val="en-IE"/>
        </w:rPr>
      </w:pPr>
      <w:r w:rsidRPr="00433D45">
        <w:rPr>
          <w:lang w:val="en-IE"/>
        </w:rPr>
        <w:t>d</w:t>
      </w:r>
      <w:r w:rsidR="002F44B5" w:rsidRPr="00433D45">
        <w:rPr>
          <w:lang w:val="en-IE"/>
        </w:rPr>
        <w:t xml:space="preserve">eleting </w:t>
      </w:r>
      <w:r w:rsidR="00722471">
        <w:rPr>
          <w:lang w:val="en-IE"/>
        </w:rPr>
        <w:t xml:space="preserve">the </w:t>
      </w:r>
      <w:r w:rsidR="00FC768B">
        <w:rPr>
          <w:lang w:val="en-IE"/>
        </w:rPr>
        <w:t xml:space="preserve">option for listed SMEs to report based on a more proportionate set of standards and deleting </w:t>
      </w:r>
      <w:r w:rsidR="00D748BA" w:rsidRPr="00433D45">
        <w:rPr>
          <w:lang w:val="en-IE"/>
        </w:rPr>
        <w:t xml:space="preserve">the </w:t>
      </w:r>
      <w:r w:rsidR="008A73CF" w:rsidRPr="00433D45">
        <w:rPr>
          <w:lang w:val="en-IE"/>
        </w:rPr>
        <w:t>2-year opt out from sustainability reporting for listed SMEs, to reflect the exclusion of these companies f</w:t>
      </w:r>
      <w:r w:rsidR="00E22C81" w:rsidRPr="00433D45">
        <w:rPr>
          <w:lang w:val="en-IE"/>
        </w:rPr>
        <w:t>ro</w:t>
      </w:r>
      <w:r w:rsidR="008A73CF" w:rsidRPr="00433D45">
        <w:rPr>
          <w:lang w:val="en-IE"/>
        </w:rPr>
        <w:t>m the scope of sustainability reporting;</w:t>
      </w:r>
    </w:p>
    <w:p w14:paraId="206C4F90" w14:textId="77777777" w:rsidR="005962A2" w:rsidRPr="00DE095D" w:rsidRDefault="00003A00" w:rsidP="00DE095D">
      <w:pPr>
        <w:pStyle w:val="Tiret0"/>
        <w:ind w:hanging="566"/>
        <w:rPr>
          <w:lang w:val="en-IE"/>
        </w:rPr>
      </w:pPr>
      <w:r w:rsidRPr="00FC768B">
        <w:rPr>
          <w:lang w:val="en-IE"/>
        </w:rPr>
        <w:t>p</w:t>
      </w:r>
      <w:r w:rsidR="00FE6B22" w:rsidRPr="00FC768B">
        <w:rPr>
          <w:lang w:val="en-IE"/>
        </w:rPr>
        <w:t xml:space="preserve">aragraph (3) </w:t>
      </w:r>
      <w:r w:rsidR="00FC768B" w:rsidRPr="00FC768B">
        <w:rPr>
          <w:lang w:val="en-IE"/>
        </w:rPr>
        <w:t xml:space="preserve">inserts Article 19b </w:t>
      </w:r>
      <w:r w:rsidR="00E05762">
        <w:rPr>
          <w:lang w:val="en-IE"/>
        </w:rPr>
        <w:t xml:space="preserve">to allow large undertakings </w:t>
      </w:r>
      <w:r w:rsidR="00FC768B" w:rsidRPr="00E05762">
        <w:rPr>
          <w:lang w:val="en-IE"/>
        </w:rPr>
        <w:t xml:space="preserve">with an average of more than 1000 employees and a net turnover </w:t>
      </w:r>
      <w:r w:rsidR="009A3141">
        <w:rPr>
          <w:lang w:val="en-IE"/>
        </w:rPr>
        <w:t xml:space="preserve">not </w:t>
      </w:r>
      <w:r w:rsidR="00FC768B" w:rsidRPr="00E05762">
        <w:rPr>
          <w:lang w:val="en-IE"/>
        </w:rPr>
        <w:t xml:space="preserve">exceeding EUR 450 000 000 during the financial year to disclose information referred </w:t>
      </w:r>
      <w:r w:rsidR="009A3141">
        <w:rPr>
          <w:lang w:val="en-IE"/>
        </w:rPr>
        <w:t>t</w:t>
      </w:r>
      <w:r w:rsidR="00FC768B" w:rsidRPr="00E05762">
        <w:rPr>
          <w:lang w:val="en-IE"/>
        </w:rPr>
        <w:t>o in Article 8 of Regulation (EU) 2020/852 in a more flexible way</w:t>
      </w:r>
      <w:r w:rsidR="009A3141">
        <w:rPr>
          <w:lang w:val="en-IE"/>
        </w:rPr>
        <w:t>;</w:t>
      </w:r>
      <w:r w:rsidR="00FC768B" w:rsidRPr="00E05762">
        <w:rPr>
          <w:lang w:val="en-IE"/>
        </w:rPr>
        <w:t xml:space="preserve">  </w:t>
      </w:r>
    </w:p>
    <w:p w14:paraId="76350D25" w14:textId="77777777" w:rsidR="00FE6B22" w:rsidRPr="00433D45" w:rsidRDefault="00FC768B" w:rsidP="00DE095D">
      <w:pPr>
        <w:pStyle w:val="Tiret0"/>
        <w:ind w:hanging="566"/>
        <w:rPr>
          <w:lang w:val="en-IE"/>
        </w:rPr>
      </w:pPr>
      <w:r>
        <w:rPr>
          <w:lang w:val="en-IE"/>
        </w:rPr>
        <w:t xml:space="preserve">paragraph (4) </w:t>
      </w:r>
      <w:r w:rsidR="00FE6B22" w:rsidRPr="00433D45">
        <w:rPr>
          <w:lang w:val="en-IE"/>
        </w:rPr>
        <w:t>amends Article 29a of the Accounting Directive by:</w:t>
      </w:r>
    </w:p>
    <w:p w14:paraId="6C46295E" w14:textId="77777777" w:rsidR="00F03713" w:rsidRPr="00433D45" w:rsidRDefault="00003A00" w:rsidP="008E732B">
      <w:pPr>
        <w:pStyle w:val="Bullet0"/>
        <w:numPr>
          <w:ilvl w:val="0"/>
          <w:numId w:val="24"/>
        </w:numPr>
        <w:tabs>
          <w:tab w:val="clear" w:pos="850"/>
          <w:tab w:val="num" w:pos="1418"/>
        </w:tabs>
        <w:ind w:left="1418" w:hanging="425"/>
        <w:rPr>
          <w:lang w:val="en-IE"/>
        </w:rPr>
      </w:pPr>
      <w:r w:rsidRPr="00433D45">
        <w:rPr>
          <w:lang w:val="en-IE"/>
        </w:rPr>
        <w:t>l</w:t>
      </w:r>
      <w:r w:rsidR="00F03713" w:rsidRPr="00433D45">
        <w:rPr>
          <w:lang w:val="en-IE"/>
        </w:rPr>
        <w:t xml:space="preserve">imiting the undertakings required to prepare and publish consolidated sustainability reporting to only parent </w:t>
      </w:r>
      <w:r w:rsidR="000C0DC7" w:rsidRPr="00433D45">
        <w:rPr>
          <w:lang w:val="en-IE"/>
        </w:rPr>
        <w:t xml:space="preserve">undertakings of a </w:t>
      </w:r>
      <w:r w:rsidR="00990679">
        <w:rPr>
          <w:lang w:val="en-IE"/>
        </w:rPr>
        <w:t xml:space="preserve">large </w:t>
      </w:r>
      <w:r w:rsidR="000C0DC7" w:rsidRPr="00433D45">
        <w:rPr>
          <w:lang w:val="en-IE"/>
        </w:rPr>
        <w:t xml:space="preserve">group </w:t>
      </w:r>
      <w:r w:rsidR="00F03713" w:rsidRPr="00433D45">
        <w:rPr>
          <w:lang w:val="en-IE"/>
        </w:rPr>
        <w:t xml:space="preserve">with more </w:t>
      </w:r>
      <w:r w:rsidR="00F03713" w:rsidRPr="00433D45">
        <w:rPr>
          <w:lang w:val="en-IE"/>
        </w:rPr>
        <w:lastRenderedPageBreak/>
        <w:t xml:space="preserve">than </w:t>
      </w:r>
      <w:r w:rsidR="00893C7E" w:rsidRPr="00433D45">
        <w:rPr>
          <w:lang w:val="en-IE"/>
        </w:rPr>
        <w:t xml:space="preserve">1000 </w:t>
      </w:r>
      <w:r w:rsidR="000C0DC7" w:rsidRPr="00433D45">
        <w:rPr>
          <w:lang w:val="en-IE"/>
        </w:rPr>
        <w:t xml:space="preserve">employees </w:t>
      </w:r>
      <w:r w:rsidR="001A2E42">
        <w:rPr>
          <w:lang w:val="en-IE"/>
        </w:rPr>
        <w:t xml:space="preserve">on average </w:t>
      </w:r>
      <w:r w:rsidR="00024B65" w:rsidRPr="00433D45">
        <w:rPr>
          <w:lang w:val="en-IE"/>
        </w:rPr>
        <w:t>during</w:t>
      </w:r>
      <w:r w:rsidR="000C0DC7" w:rsidRPr="00433D45">
        <w:rPr>
          <w:lang w:val="en-IE"/>
        </w:rPr>
        <w:t xml:space="preserve"> the financial </w:t>
      </w:r>
      <w:r w:rsidR="00024B65" w:rsidRPr="00433D45">
        <w:rPr>
          <w:lang w:val="en-IE"/>
        </w:rPr>
        <w:t>year</w:t>
      </w:r>
      <w:r w:rsidR="00F03713" w:rsidRPr="00433D45">
        <w:rPr>
          <w:lang w:val="en-IE"/>
        </w:rPr>
        <w:t xml:space="preserve"> on a consolidated basis; </w:t>
      </w:r>
    </w:p>
    <w:p w14:paraId="5AADEEC3" w14:textId="77777777" w:rsidR="00F03713" w:rsidRPr="00433D45" w:rsidRDefault="00003A00" w:rsidP="00CF1B38">
      <w:pPr>
        <w:pStyle w:val="Bullet0"/>
        <w:tabs>
          <w:tab w:val="clear" w:pos="850"/>
          <w:tab w:val="num" w:pos="1418"/>
        </w:tabs>
        <w:ind w:left="1418" w:hanging="425"/>
        <w:rPr>
          <w:lang w:val="en-IE"/>
        </w:rPr>
      </w:pPr>
      <w:r w:rsidRPr="00433D45">
        <w:rPr>
          <w:lang w:val="en-IE"/>
        </w:rPr>
        <w:t>i</w:t>
      </w:r>
      <w:r w:rsidR="00F03713" w:rsidRPr="00433D45">
        <w:rPr>
          <w:lang w:val="en-IE"/>
        </w:rPr>
        <w:t xml:space="preserve">ntroducing a requirement for Member States to ensure that, for the purposes of reporting sustainability information as required by the Accounting Directive -and with no prejudice to Union requirements to conduct a due diligence process - undertakings do not seek to obtain from undertakings in their value chain </w:t>
      </w:r>
      <w:r w:rsidR="004E10A5" w:rsidRPr="004E10A5">
        <w:rPr>
          <w:lang w:val="en-IE"/>
        </w:rPr>
        <w:t xml:space="preserve">with not more than 1000 employees </w:t>
      </w:r>
      <w:r w:rsidR="00D6240A">
        <w:rPr>
          <w:lang w:val="en-IE"/>
        </w:rPr>
        <w:t xml:space="preserve">on average </w:t>
      </w:r>
      <w:r w:rsidR="004E10A5" w:rsidRPr="004E10A5">
        <w:rPr>
          <w:lang w:val="en-IE"/>
        </w:rPr>
        <w:t xml:space="preserve">during the financial year any </w:t>
      </w:r>
      <w:r w:rsidR="00DC3BB2">
        <w:rPr>
          <w:lang w:val="en-IE"/>
        </w:rPr>
        <w:t xml:space="preserve">information </w:t>
      </w:r>
      <w:r w:rsidR="004E10A5">
        <w:rPr>
          <w:lang w:val="en-IE"/>
        </w:rPr>
        <w:t>that goes</w:t>
      </w:r>
      <w:r w:rsidR="00DC3BB2">
        <w:rPr>
          <w:lang w:val="en-IE"/>
        </w:rPr>
        <w:t xml:space="preserve"> </w:t>
      </w:r>
      <w:r w:rsidR="00F03713" w:rsidRPr="00433D45">
        <w:rPr>
          <w:lang w:val="en-IE"/>
        </w:rPr>
        <w:t>beyond the information specified in the standards for voluntary use</w:t>
      </w:r>
      <w:r w:rsidR="00B70B8A" w:rsidRPr="00433D45">
        <w:rPr>
          <w:lang w:val="en-IE"/>
        </w:rPr>
        <w:t xml:space="preserve"> to be adopted under Article 29ca</w:t>
      </w:r>
      <w:r w:rsidR="00F03713" w:rsidRPr="00433D45">
        <w:rPr>
          <w:lang w:val="en-IE"/>
        </w:rPr>
        <w:t>, except for additional sustainability information that is commonly shared between undertakings in the sector concerned. Undertakings reporting on their value chain in accordance with this requirement must be deemed to comply with sustainability reporting;</w:t>
      </w:r>
    </w:p>
    <w:p w14:paraId="5DAD932B" w14:textId="77777777" w:rsidR="00495995" w:rsidRDefault="00003A00" w:rsidP="00CF1B38">
      <w:pPr>
        <w:pStyle w:val="Tiret0"/>
        <w:ind w:hanging="566"/>
        <w:rPr>
          <w:lang w:val="en-IE"/>
        </w:rPr>
      </w:pPr>
      <w:r w:rsidRPr="00433D45">
        <w:rPr>
          <w:lang w:val="en-IE"/>
        </w:rPr>
        <w:t>p</w:t>
      </w:r>
      <w:r w:rsidR="005F501D" w:rsidRPr="00433D45">
        <w:rPr>
          <w:lang w:val="en-IE"/>
        </w:rPr>
        <w:t>aragraph (</w:t>
      </w:r>
      <w:r w:rsidR="00495995">
        <w:rPr>
          <w:lang w:val="en-IE"/>
        </w:rPr>
        <w:t>5</w:t>
      </w:r>
      <w:r w:rsidR="005F501D" w:rsidRPr="00433D45">
        <w:rPr>
          <w:lang w:val="en-IE"/>
        </w:rPr>
        <w:t>)</w:t>
      </w:r>
      <w:r w:rsidR="00495995">
        <w:rPr>
          <w:lang w:val="en-IE"/>
        </w:rPr>
        <w:t xml:space="preserve"> </w:t>
      </w:r>
      <w:r w:rsidR="00495995" w:rsidRPr="00495995">
        <w:rPr>
          <w:lang w:val="en-IE"/>
        </w:rPr>
        <w:t xml:space="preserve">inserts Article </w:t>
      </w:r>
      <w:r w:rsidR="00495995">
        <w:rPr>
          <w:lang w:val="en-IE"/>
        </w:rPr>
        <w:t>29aa</w:t>
      </w:r>
      <w:r w:rsidR="00495995" w:rsidRPr="00495995">
        <w:rPr>
          <w:lang w:val="en-IE"/>
        </w:rPr>
        <w:t xml:space="preserve"> to allow large undertakings with an average of more than 1000 employees and a net turnover not exceeding EUR 450 000 000</w:t>
      </w:r>
      <w:r w:rsidR="00495995">
        <w:rPr>
          <w:lang w:val="en-IE"/>
        </w:rPr>
        <w:t>, on a consolidated basis,</w:t>
      </w:r>
      <w:r w:rsidR="00495995" w:rsidRPr="00495995">
        <w:rPr>
          <w:lang w:val="en-IE"/>
        </w:rPr>
        <w:t xml:space="preserve"> during the financial year to disclose information referred to in Article 8 of Regulation (EU) 2020/852 in a more flexible way;  </w:t>
      </w:r>
      <w:r w:rsidR="005F501D" w:rsidRPr="00433D45">
        <w:rPr>
          <w:lang w:val="en-IE"/>
        </w:rPr>
        <w:t xml:space="preserve"> </w:t>
      </w:r>
    </w:p>
    <w:p w14:paraId="66F3BAC6" w14:textId="77777777" w:rsidR="000C0DC7" w:rsidRPr="00433D45" w:rsidRDefault="00495995" w:rsidP="00CF1B38">
      <w:pPr>
        <w:pStyle w:val="Tiret0"/>
        <w:ind w:hanging="566"/>
        <w:rPr>
          <w:lang w:val="en-IE"/>
        </w:rPr>
      </w:pPr>
      <w:r>
        <w:rPr>
          <w:lang w:val="en-IE"/>
        </w:rPr>
        <w:t xml:space="preserve">paragraph (6) </w:t>
      </w:r>
      <w:r w:rsidR="005F501D" w:rsidRPr="00433D45">
        <w:rPr>
          <w:lang w:val="en-IE"/>
        </w:rPr>
        <w:t>amends Article 29b of the Accounting Directive by</w:t>
      </w:r>
      <w:r w:rsidR="000C0DC7" w:rsidRPr="00433D45">
        <w:rPr>
          <w:lang w:val="en-IE"/>
        </w:rPr>
        <w:t>:</w:t>
      </w:r>
    </w:p>
    <w:p w14:paraId="2F513C2F" w14:textId="77777777" w:rsidR="000C0DC7" w:rsidRPr="00433D45" w:rsidRDefault="00B70B8A" w:rsidP="00D95B66">
      <w:pPr>
        <w:pStyle w:val="Bullet0"/>
        <w:tabs>
          <w:tab w:val="clear" w:pos="850"/>
        </w:tabs>
        <w:ind w:left="1418" w:hanging="425"/>
        <w:rPr>
          <w:lang w:val="en-IE"/>
        </w:rPr>
      </w:pPr>
      <w:r w:rsidRPr="00433D45">
        <w:rPr>
          <w:lang w:val="en-IE"/>
        </w:rPr>
        <w:t>d</w:t>
      </w:r>
      <w:r w:rsidR="004C2600" w:rsidRPr="00433D45">
        <w:rPr>
          <w:lang w:val="en-IE"/>
        </w:rPr>
        <w:t>eleting the empowerment for the Commission to adopt sector-specific standards by way of delegated acts;</w:t>
      </w:r>
    </w:p>
    <w:p w14:paraId="5A7EB362" w14:textId="77777777" w:rsidR="000C0DC7" w:rsidRPr="00433D45" w:rsidRDefault="00E31AAE" w:rsidP="00D95B66">
      <w:pPr>
        <w:pStyle w:val="Bullet0"/>
        <w:tabs>
          <w:tab w:val="clear" w:pos="850"/>
        </w:tabs>
        <w:ind w:left="1418" w:hanging="425"/>
        <w:rPr>
          <w:lang w:val="en-IE"/>
        </w:rPr>
      </w:pPr>
      <w:r w:rsidRPr="00433D45">
        <w:rPr>
          <w:lang w:val="en-IE"/>
        </w:rPr>
        <w:t>specify</w:t>
      </w:r>
      <w:r w:rsidR="00003A00" w:rsidRPr="00433D45">
        <w:rPr>
          <w:lang w:val="en-IE"/>
        </w:rPr>
        <w:t>ing</w:t>
      </w:r>
      <w:r w:rsidRPr="00433D45">
        <w:rPr>
          <w:lang w:val="en-IE"/>
        </w:rPr>
        <w:t xml:space="preserve"> that the sustainability reporting standards </w:t>
      </w:r>
      <w:r w:rsidR="008445E1" w:rsidRPr="00433D45">
        <w:rPr>
          <w:lang w:val="en-IE"/>
        </w:rPr>
        <w:t xml:space="preserve">must not </w:t>
      </w:r>
      <w:r w:rsidR="000C0DC7" w:rsidRPr="00433D45">
        <w:rPr>
          <w:lang w:val="en-IE"/>
        </w:rPr>
        <w:t xml:space="preserve">specify </w:t>
      </w:r>
      <w:r w:rsidR="001F7BED" w:rsidRPr="00433D45">
        <w:rPr>
          <w:lang w:val="en-IE"/>
        </w:rPr>
        <w:t>disclosure</w:t>
      </w:r>
      <w:r w:rsidR="00E33135" w:rsidRPr="00433D45">
        <w:rPr>
          <w:lang w:val="en-IE"/>
        </w:rPr>
        <w:t>s</w:t>
      </w:r>
      <w:r w:rsidR="001F7BED" w:rsidRPr="00433D45">
        <w:rPr>
          <w:lang w:val="en-IE"/>
        </w:rPr>
        <w:t xml:space="preserve"> requiring</w:t>
      </w:r>
      <w:r w:rsidR="000C0DC7" w:rsidRPr="00433D45">
        <w:rPr>
          <w:lang w:val="en-IE"/>
        </w:rPr>
        <w:t xml:space="preserve"> undertakings to obtain from undertakings in their value chain </w:t>
      </w:r>
      <w:r w:rsidR="004E10A5" w:rsidRPr="004E10A5">
        <w:rPr>
          <w:lang w:val="en-IE"/>
        </w:rPr>
        <w:t xml:space="preserve">with not more than 1000 employees </w:t>
      </w:r>
      <w:r w:rsidR="002B3547">
        <w:rPr>
          <w:lang w:val="en-IE"/>
        </w:rPr>
        <w:t xml:space="preserve">on average </w:t>
      </w:r>
      <w:r w:rsidR="004E10A5" w:rsidRPr="004E10A5">
        <w:rPr>
          <w:lang w:val="en-IE"/>
        </w:rPr>
        <w:t xml:space="preserve">during the financial year any </w:t>
      </w:r>
      <w:r w:rsidR="00DC3BB2">
        <w:rPr>
          <w:lang w:val="en-IE"/>
        </w:rPr>
        <w:t xml:space="preserve">information </w:t>
      </w:r>
      <w:r w:rsidR="004E10A5">
        <w:rPr>
          <w:lang w:val="en-IE"/>
        </w:rPr>
        <w:t>that goes</w:t>
      </w:r>
      <w:r w:rsidR="00DC3BB2">
        <w:rPr>
          <w:lang w:val="en-IE"/>
        </w:rPr>
        <w:t xml:space="preserve"> </w:t>
      </w:r>
      <w:r w:rsidR="001F7BED" w:rsidRPr="00433D45">
        <w:rPr>
          <w:lang w:val="en-IE"/>
        </w:rPr>
        <w:t>beyond</w:t>
      </w:r>
      <w:r w:rsidR="000C0DC7" w:rsidRPr="00433D45">
        <w:rPr>
          <w:lang w:val="en-IE"/>
        </w:rPr>
        <w:t xml:space="preserve"> the information to be disclosed pursuant to the sustainability reporting standards for voluntary use </w:t>
      </w:r>
      <w:r w:rsidR="001F7BED" w:rsidRPr="00433D45">
        <w:rPr>
          <w:lang w:val="en-IE"/>
        </w:rPr>
        <w:t>to be adopted under</w:t>
      </w:r>
      <w:r w:rsidR="000C0DC7" w:rsidRPr="00433D45">
        <w:rPr>
          <w:lang w:val="en-IE"/>
        </w:rPr>
        <w:t xml:space="preserve"> Article </w:t>
      </w:r>
      <w:r w:rsidR="001F7BED" w:rsidRPr="00433D45">
        <w:rPr>
          <w:lang w:val="en-IE"/>
        </w:rPr>
        <w:t>29ca</w:t>
      </w:r>
      <w:r w:rsidR="000C0DC7" w:rsidRPr="00433D45">
        <w:rPr>
          <w:lang w:val="en-IE"/>
        </w:rPr>
        <w:t>;</w:t>
      </w:r>
    </w:p>
    <w:p w14:paraId="49B4AE69" w14:textId="77777777" w:rsidR="00A55AD4" w:rsidRPr="00433D45" w:rsidRDefault="00003A00" w:rsidP="00FF381F">
      <w:pPr>
        <w:pStyle w:val="Tiret0"/>
        <w:ind w:hanging="566"/>
        <w:rPr>
          <w:lang w:val="en-IE"/>
        </w:rPr>
      </w:pPr>
      <w:r w:rsidRPr="00433D45">
        <w:rPr>
          <w:lang w:val="en-IE"/>
        </w:rPr>
        <w:t>p</w:t>
      </w:r>
      <w:r w:rsidR="00FA613F" w:rsidRPr="00433D45">
        <w:rPr>
          <w:lang w:val="en-IE"/>
        </w:rPr>
        <w:t>aragraph (</w:t>
      </w:r>
      <w:r w:rsidR="00495995">
        <w:rPr>
          <w:lang w:val="en-IE"/>
        </w:rPr>
        <w:t>7</w:t>
      </w:r>
      <w:r w:rsidR="00FA613F" w:rsidRPr="00433D45">
        <w:rPr>
          <w:lang w:val="en-IE"/>
        </w:rPr>
        <w:t xml:space="preserve">) </w:t>
      </w:r>
      <w:r w:rsidR="0084566E" w:rsidRPr="00433D45">
        <w:rPr>
          <w:lang w:val="en-IE"/>
        </w:rPr>
        <w:t xml:space="preserve">deletes </w:t>
      </w:r>
      <w:r w:rsidR="000C0DC7" w:rsidRPr="00433D45">
        <w:rPr>
          <w:lang w:val="en-IE"/>
        </w:rPr>
        <w:t>Article 29c</w:t>
      </w:r>
      <w:r w:rsidR="00FA613F" w:rsidRPr="00433D45">
        <w:rPr>
          <w:lang w:val="en-IE"/>
        </w:rPr>
        <w:t xml:space="preserve"> of the Accounting Directive</w:t>
      </w:r>
      <w:r w:rsidR="00624B6A">
        <w:rPr>
          <w:lang w:val="en-IE"/>
        </w:rPr>
        <w:t xml:space="preserve"> </w:t>
      </w:r>
      <w:r w:rsidR="00B32A83">
        <w:rPr>
          <w:lang w:val="en-IE"/>
        </w:rPr>
        <w:t xml:space="preserve">on the Commission’s empowerment to adopt </w:t>
      </w:r>
      <w:r w:rsidR="00495995" w:rsidRPr="00495995">
        <w:rPr>
          <w:lang w:val="en-IE"/>
        </w:rPr>
        <w:t xml:space="preserve">a more proportionate set of standards </w:t>
      </w:r>
      <w:r w:rsidR="00B32A83">
        <w:rPr>
          <w:lang w:val="en-IE"/>
        </w:rPr>
        <w:t xml:space="preserve">for listed SMEs </w:t>
      </w:r>
      <w:r w:rsidR="00495995" w:rsidRPr="00495995">
        <w:rPr>
          <w:lang w:val="en-IE"/>
        </w:rPr>
        <w:t>to reflect the exclusion of these companies from the scope of sustainability reporting</w:t>
      </w:r>
      <w:r w:rsidR="00024B65" w:rsidRPr="00433D45">
        <w:rPr>
          <w:lang w:val="en-IE"/>
        </w:rPr>
        <w:t>;</w:t>
      </w:r>
    </w:p>
    <w:p w14:paraId="3393DCFE" w14:textId="77777777" w:rsidR="00F753B9" w:rsidRPr="00433D45" w:rsidRDefault="00003A00" w:rsidP="00CF1B38">
      <w:pPr>
        <w:pStyle w:val="Tiret0"/>
        <w:ind w:hanging="566"/>
        <w:rPr>
          <w:lang w:val="en-IE"/>
        </w:rPr>
      </w:pPr>
      <w:r w:rsidRPr="00433D45">
        <w:rPr>
          <w:lang w:val="en-IE"/>
        </w:rPr>
        <w:t>p</w:t>
      </w:r>
      <w:r w:rsidR="003004C4" w:rsidRPr="00433D45">
        <w:rPr>
          <w:lang w:val="en-IE"/>
        </w:rPr>
        <w:t xml:space="preserve">aragraph </w:t>
      </w:r>
      <w:r w:rsidR="000C0DC7" w:rsidRPr="00433D45">
        <w:rPr>
          <w:lang w:val="en-IE"/>
        </w:rPr>
        <w:t>(</w:t>
      </w:r>
      <w:r w:rsidR="00B32A83">
        <w:rPr>
          <w:lang w:val="en-IE"/>
        </w:rPr>
        <w:t>8</w:t>
      </w:r>
      <w:r w:rsidR="000C0DC7" w:rsidRPr="00433D45">
        <w:rPr>
          <w:lang w:val="en-IE"/>
        </w:rPr>
        <w:t>)</w:t>
      </w:r>
      <w:r w:rsidR="003004C4" w:rsidRPr="00433D45">
        <w:rPr>
          <w:lang w:val="en-IE"/>
        </w:rPr>
        <w:t xml:space="preserve"> inserts </w:t>
      </w:r>
      <w:r w:rsidR="00A61365" w:rsidRPr="00433D45">
        <w:rPr>
          <w:lang w:val="en-IE"/>
        </w:rPr>
        <w:t>the new</w:t>
      </w:r>
      <w:r w:rsidR="003004C4" w:rsidRPr="00433D45">
        <w:rPr>
          <w:lang w:val="en-IE"/>
        </w:rPr>
        <w:t xml:space="preserve"> </w:t>
      </w:r>
      <w:r w:rsidR="000C0DC7" w:rsidRPr="00433D45">
        <w:rPr>
          <w:lang w:val="en-IE"/>
        </w:rPr>
        <w:t>Article 29ca</w:t>
      </w:r>
      <w:r w:rsidR="003004C4" w:rsidRPr="00433D45">
        <w:rPr>
          <w:lang w:val="en-IE"/>
        </w:rPr>
        <w:t xml:space="preserve"> in the Accounting Directive</w:t>
      </w:r>
      <w:r w:rsidR="003C19BB" w:rsidRPr="00433D45">
        <w:rPr>
          <w:lang w:val="en-IE"/>
        </w:rPr>
        <w:t xml:space="preserve">, which empowers the Commission </w:t>
      </w:r>
      <w:r w:rsidR="00C558D1" w:rsidRPr="00433D45">
        <w:rPr>
          <w:lang w:val="en-IE"/>
        </w:rPr>
        <w:t>to adopt delegated act</w:t>
      </w:r>
      <w:r w:rsidR="001417DF" w:rsidRPr="00433D45">
        <w:rPr>
          <w:lang w:val="en-IE"/>
        </w:rPr>
        <w:t>s</w:t>
      </w:r>
      <w:r w:rsidR="00C558D1" w:rsidRPr="00433D45">
        <w:rPr>
          <w:lang w:val="en-IE"/>
        </w:rPr>
        <w:t xml:space="preserve"> to provide for sustainability reporting standards for voluntary use by </w:t>
      </w:r>
      <w:r w:rsidR="00D059B1" w:rsidRPr="00433D45">
        <w:rPr>
          <w:lang w:val="en-IE"/>
        </w:rPr>
        <w:t xml:space="preserve">out-of-scope </w:t>
      </w:r>
      <w:r w:rsidR="000C0DC7" w:rsidRPr="00433D45">
        <w:rPr>
          <w:lang w:val="en-IE"/>
        </w:rPr>
        <w:t>undertakings</w:t>
      </w:r>
      <w:r w:rsidR="00F753B9" w:rsidRPr="00433D45">
        <w:rPr>
          <w:lang w:val="en-IE"/>
        </w:rPr>
        <w:t xml:space="preserve">. These standards must be </w:t>
      </w:r>
      <w:r w:rsidR="000C0DC7" w:rsidRPr="00433D45">
        <w:rPr>
          <w:lang w:val="en-IE"/>
        </w:rPr>
        <w:t>proportionate and relevant to the capacities and the characteristics of the</w:t>
      </w:r>
      <w:r w:rsidR="00F753B9" w:rsidRPr="00433D45">
        <w:rPr>
          <w:lang w:val="en-IE"/>
        </w:rPr>
        <w:t>se</w:t>
      </w:r>
      <w:r w:rsidR="000C0DC7" w:rsidRPr="00433D45">
        <w:rPr>
          <w:lang w:val="en-IE"/>
        </w:rPr>
        <w:t xml:space="preserve"> undertakings and to the scale and complexity of their activities. They </w:t>
      </w:r>
      <w:r w:rsidR="00F753B9" w:rsidRPr="00433D45">
        <w:rPr>
          <w:lang w:val="en-IE"/>
        </w:rPr>
        <w:t xml:space="preserve">must also specify, where possible, </w:t>
      </w:r>
      <w:r w:rsidR="000C0DC7" w:rsidRPr="00433D45">
        <w:rPr>
          <w:lang w:val="en-IE"/>
        </w:rPr>
        <w:t>the structure to be used to present that information</w:t>
      </w:r>
      <w:r w:rsidR="00F753B9" w:rsidRPr="00433D45">
        <w:rPr>
          <w:lang w:val="en-IE"/>
        </w:rPr>
        <w:t>;</w:t>
      </w:r>
    </w:p>
    <w:p w14:paraId="4A91D6DD" w14:textId="77777777" w:rsidR="004C13F9" w:rsidRDefault="00003A00" w:rsidP="00DE095D">
      <w:pPr>
        <w:pStyle w:val="Tiret0"/>
        <w:ind w:hanging="566"/>
        <w:rPr>
          <w:lang w:val="en-IE"/>
        </w:rPr>
      </w:pPr>
      <w:r w:rsidRPr="00433D45">
        <w:rPr>
          <w:lang w:val="en-IE"/>
        </w:rPr>
        <w:t>p</w:t>
      </w:r>
      <w:r w:rsidR="00F753B9" w:rsidRPr="00433D45">
        <w:rPr>
          <w:lang w:val="en-IE"/>
        </w:rPr>
        <w:t xml:space="preserve">aragraph </w:t>
      </w:r>
      <w:r w:rsidR="000C0DC7" w:rsidRPr="00433D45">
        <w:rPr>
          <w:lang w:val="en-IE"/>
        </w:rPr>
        <w:t>(</w:t>
      </w:r>
      <w:r w:rsidR="00B32A83">
        <w:rPr>
          <w:lang w:val="en-IE"/>
        </w:rPr>
        <w:t>9</w:t>
      </w:r>
      <w:r w:rsidR="000C0DC7" w:rsidRPr="00433D45">
        <w:rPr>
          <w:lang w:val="en-IE"/>
        </w:rPr>
        <w:t>)</w:t>
      </w:r>
      <w:r w:rsidR="00F753B9" w:rsidRPr="00433D45">
        <w:rPr>
          <w:lang w:val="en-IE"/>
        </w:rPr>
        <w:t xml:space="preserve"> </w:t>
      </w:r>
      <w:r w:rsidR="00C67191">
        <w:rPr>
          <w:lang w:val="en-IE"/>
        </w:rPr>
        <w:t xml:space="preserve">replaces </w:t>
      </w:r>
      <w:r w:rsidR="004C13F9" w:rsidRPr="004C13F9">
        <w:rPr>
          <w:lang w:val="en-IE"/>
        </w:rPr>
        <w:t xml:space="preserve">Article 29d of </w:t>
      </w:r>
      <w:r w:rsidR="00C67191">
        <w:rPr>
          <w:lang w:val="en-IE"/>
        </w:rPr>
        <w:t xml:space="preserve">the Accounting </w:t>
      </w:r>
      <w:r w:rsidR="004C13F9" w:rsidRPr="004C13F9">
        <w:rPr>
          <w:lang w:val="en-IE"/>
        </w:rPr>
        <w:t xml:space="preserve">Directive </w:t>
      </w:r>
      <w:r w:rsidR="00C67191">
        <w:rPr>
          <w:lang w:val="en-IE"/>
        </w:rPr>
        <w:t>to specify that</w:t>
      </w:r>
      <w:r w:rsidR="00D926BE">
        <w:rPr>
          <w:lang w:val="en-IE"/>
        </w:rPr>
        <w:t xml:space="preserve"> </w:t>
      </w:r>
      <w:r w:rsidR="004C13F9" w:rsidRPr="004C13F9">
        <w:rPr>
          <w:lang w:val="en-IE"/>
        </w:rPr>
        <w:t xml:space="preserve">until a Delegated Regulation for the marking up of </w:t>
      </w:r>
      <w:r w:rsidR="000C0754" w:rsidRPr="004C13F9">
        <w:rPr>
          <w:lang w:val="en-IE"/>
        </w:rPr>
        <w:t>sustainability</w:t>
      </w:r>
      <w:r w:rsidR="004C13F9" w:rsidRPr="004C13F9">
        <w:rPr>
          <w:lang w:val="en-IE"/>
        </w:rPr>
        <w:t xml:space="preserve"> reporting is adopted, undertakings are not required to markup their sustainability reporting</w:t>
      </w:r>
      <w:r w:rsidR="007F37F8">
        <w:rPr>
          <w:lang w:val="en-IE"/>
        </w:rPr>
        <w:t>;</w:t>
      </w:r>
    </w:p>
    <w:p w14:paraId="57ECA6EA" w14:textId="77777777" w:rsidR="00D926BE" w:rsidRPr="004C13F9" w:rsidRDefault="00D926BE" w:rsidP="00DE095D">
      <w:pPr>
        <w:pStyle w:val="Tiret0"/>
        <w:ind w:hanging="566"/>
        <w:rPr>
          <w:lang w:val="en-IE"/>
        </w:rPr>
      </w:pPr>
      <w:r>
        <w:rPr>
          <w:lang w:val="en-IE"/>
        </w:rPr>
        <w:t>paragraph (</w:t>
      </w:r>
      <w:r w:rsidR="00566AE3">
        <w:rPr>
          <w:lang w:val="en-IE"/>
        </w:rPr>
        <w:t>10</w:t>
      </w:r>
      <w:r>
        <w:rPr>
          <w:lang w:val="en-IE"/>
        </w:rPr>
        <w:t xml:space="preserve">) replaces Article 33(1) of the Accounting Directive to </w:t>
      </w:r>
      <w:r w:rsidR="007715F5">
        <w:rPr>
          <w:lang w:val="en-IE"/>
        </w:rPr>
        <w:t>specify that</w:t>
      </w:r>
      <w:r w:rsidR="00076828">
        <w:rPr>
          <w:lang w:val="en-IE"/>
        </w:rPr>
        <w:t xml:space="preserve"> the collective responsibility of</w:t>
      </w:r>
      <w:r>
        <w:rPr>
          <w:lang w:val="en-IE"/>
        </w:rPr>
        <w:t xml:space="preserve"> </w:t>
      </w:r>
      <w:r w:rsidRPr="00D926BE">
        <w:rPr>
          <w:lang w:val="en-IE"/>
        </w:rPr>
        <w:t xml:space="preserve">members of </w:t>
      </w:r>
      <w:r w:rsidR="00C279A3">
        <w:rPr>
          <w:lang w:val="en-IE"/>
        </w:rPr>
        <w:t xml:space="preserve">an undertaking’s </w:t>
      </w:r>
      <w:r w:rsidRPr="00D926BE">
        <w:rPr>
          <w:lang w:val="en-IE"/>
        </w:rPr>
        <w:t xml:space="preserve">administrative, management and supervisory bodies </w:t>
      </w:r>
      <w:r w:rsidR="00C279A3">
        <w:rPr>
          <w:lang w:val="en-IE"/>
        </w:rPr>
        <w:t xml:space="preserve">as regards the </w:t>
      </w:r>
      <w:r w:rsidR="007715F5">
        <w:rPr>
          <w:lang w:val="en-IE"/>
        </w:rPr>
        <w:t>digital</w:t>
      </w:r>
      <w:r w:rsidR="00B72A71">
        <w:rPr>
          <w:lang w:val="en-IE"/>
        </w:rPr>
        <w:t>isation of</w:t>
      </w:r>
      <w:r w:rsidR="007715F5">
        <w:rPr>
          <w:lang w:val="en-IE"/>
        </w:rPr>
        <w:t xml:space="preserve"> the management report is limited to </w:t>
      </w:r>
      <w:r w:rsidR="00693F35">
        <w:rPr>
          <w:lang w:val="en-IE"/>
        </w:rPr>
        <w:t>its</w:t>
      </w:r>
      <w:r w:rsidR="007715F5">
        <w:rPr>
          <w:lang w:val="en-IE"/>
        </w:rPr>
        <w:t xml:space="preserve"> publication </w:t>
      </w:r>
      <w:r w:rsidR="00B72A71">
        <w:rPr>
          <w:lang w:val="en-IE"/>
        </w:rPr>
        <w:t xml:space="preserve">in the </w:t>
      </w:r>
      <w:r w:rsidR="00693F35">
        <w:rPr>
          <w:lang w:val="en-IE"/>
        </w:rPr>
        <w:t>single electronic format, including the digital marking up;</w:t>
      </w:r>
      <w:r w:rsidR="0033531F">
        <w:rPr>
          <w:lang w:val="en-IE"/>
        </w:rPr>
        <w:t xml:space="preserve"> </w:t>
      </w:r>
    </w:p>
    <w:p w14:paraId="2CCC358D" w14:textId="77777777" w:rsidR="00C3018A" w:rsidRDefault="004C13F9" w:rsidP="00CF1B38">
      <w:pPr>
        <w:pStyle w:val="Tiret0"/>
        <w:ind w:hanging="566"/>
        <w:rPr>
          <w:lang w:val="en-IE"/>
        </w:rPr>
      </w:pPr>
      <w:r>
        <w:rPr>
          <w:lang w:val="en-IE"/>
        </w:rPr>
        <w:t>paragraph (</w:t>
      </w:r>
      <w:r w:rsidR="00566AE3">
        <w:rPr>
          <w:lang w:val="en-IE"/>
        </w:rPr>
        <w:t>11</w:t>
      </w:r>
      <w:r w:rsidR="000C0DC7" w:rsidRPr="00433D45">
        <w:rPr>
          <w:lang w:val="en-IE"/>
        </w:rPr>
        <w:t>)</w:t>
      </w:r>
      <w:r w:rsidR="00F753B9" w:rsidRPr="00433D45">
        <w:rPr>
          <w:lang w:val="en-IE"/>
        </w:rPr>
        <w:t xml:space="preserve"> </w:t>
      </w:r>
      <w:r w:rsidR="00C3018A">
        <w:rPr>
          <w:lang w:val="en-IE"/>
        </w:rPr>
        <w:t xml:space="preserve">amends Article 34 </w:t>
      </w:r>
      <w:r w:rsidR="00F753B9" w:rsidRPr="00433D45">
        <w:rPr>
          <w:lang w:val="en-IE"/>
        </w:rPr>
        <w:t>of the Accounting Directive</w:t>
      </w:r>
      <w:r w:rsidR="00C3018A">
        <w:rPr>
          <w:lang w:val="en-IE"/>
        </w:rPr>
        <w:t xml:space="preserve"> by:</w:t>
      </w:r>
    </w:p>
    <w:p w14:paraId="312F3432" w14:textId="77777777" w:rsidR="00C87B7A" w:rsidRDefault="00C3018A" w:rsidP="00DE095D">
      <w:pPr>
        <w:pStyle w:val="Bullet0"/>
        <w:tabs>
          <w:tab w:val="clear" w:pos="850"/>
          <w:tab w:val="num" w:pos="1418"/>
        </w:tabs>
        <w:ind w:left="1418" w:hanging="425"/>
        <w:rPr>
          <w:lang w:val="en-IE"/>
        </w:rPr>
      </w:pPr>
      <w:r>
        <w:rPr>
          <w:lang w:val="en-IE"/>
        </w:rPr>
        <w:t>deleting the reference to Article 29c</w:t>
      </w:r>
      <w:r w:rsidR="006830F8">
        <w:rPr>
          <w:lang w:val="en-IE"/>
        </w:rPr>
        <w:t xml:space="preserve"> in Article 34(1)</w:t>
      </w:r>
      <w:r w:rsidR="007D722D">
        <w:rPr>
          <w:lang w:val="en-IE"/>
        </w:rPr>
        <w:t xml:space="preserve"> to reflect the removal of the sustainability reporting standards for listed SMEs; </w:t>
      </w:r>
    </w:p>
    <w:p w14:paraId="7AF2310F" w14:textId="77777777" w:rsidR="000C0DC7" w:rsidRPr="00433D45" w:rsidRDefault="00C87B7A" w:rsidP="00DE095D">
      <w:pPr>
        <w:pStyle w:val="Bullet0"/>
        <w:tabs>
          <w:tab w:val="clear" w:pos="850"/>
          <w:tab w:val="num" w:pos="1418"/>
        </w:tabs>
        <w:ind w:left="1418" w:hanging="425"/>
        <w:rPr>
          <w:lang w:val="en-IE"/>
        </w:rPr>
      </w:pPr>
      <w:r>
        <w:rPr>
          <w:lang w:val="en-IE"/>
        </w:rPr>
        <w:lastRenderedPageBreak/>
        <w:t xml:space="preserve">adding paragraph 2a, </w:t>
      </w:r>
      <w:r w:rsidR="00D05865" w:rsidRPr="00433D45">
        <w:rPr>
          <w:lang w:val="en-IE"/>
        </w:rPr>
        <w:t xml:space="preserve">which specifies that </w:t>
      </w:r>
      <w:r w:rsidR="00195358" w:rsidRPr="00433D45">
        <w:rPr>
          <w:lang w:val="en-IE"/>
        </w:rPr>
        <w:t xml:space="preserve">assurance providers </w:t>
      </w:r>
      <w:r w:rsidR="002B0229" w:rsidRPr="00433D45">
        <w:rPr>
          <w:lang w:val="en-IE"/>
        </w:rPr>
        <w:t xml:space="preserve">prepare their </w:t>
      </w:r>
      <w:r w:rsidR="002B0229" w:rsidRPr="00DE095D">
        <w:rPr>
          <w:lang w:val="en-IE"/>
        </w:rPr>
        <w:t>assurance</w:t>
      </w:r>
      <w:r w:rsidR="000C0DC7" w:rsidRPr="00DE095D">
        <w:rPr>
          <w:lang w:val="en-IE"/>
        </w:rPr>
        <w:t xml:space="preserve"> opinion respecting</w:t>
      </w:r>
      <w:r w:rsidR="000C0DC7" w:rsidRPr="00433D45">
        <w:rPr>
          <w:lang w:val="en-IE"/>
        </w:rPr>
        <w:t xml:space="preserve"> the obligation on undertakings not to seek to obtain from undertakings in their value chain </w:t>
      </w:r>
      <w:r w:rsidR="00774E9B" w:rsidRPr="00774E9B">
        <w:rPr>
          <w:lang w:val="en-IE"/>
        </w:rPr>
        <w:t xml:space="preserve">with not more than 1000 employees </w:t>
      </w:r>
      <w:r w:rsidR="00336271">
        <w:rPr>
          <w:lang w:val="en-IE"/>
        </w:rPr>
        <w:t xml:space="preserve">on average </w:t>
      </w:r>
      <w:r w:rsidR="00774E9B" w:rsidRPr="00774E9B">
        <w:rPr>
          <w:lang w:val="en-IE"/>
        </w:rPr>
        <w:t xml:space="preserve">during the financial year any </w:t>
      </w:r>
      <w:r w:rsidR="00503657">
        <w:rPr>
          <w:lang w:val="en-IE"/>
        </w:rPr>
        <w:t xml:space="preserve">information </w:t>
      </w:r>
      <w:r w:rsidR="00774E9B">
        <w:rPr>
          <w:lang w:val="en-IE"/>
        </w:rPr>
        <w:t>that goes</w:t>
      </w:r>
      <w:r w:rsidR="00503657">
        <w:rPr>
          <w:lang w:val="en-IE"/>
        </w:rPr>
        <w:t xml:space="preserve"> </w:t>
      </w:r>
      <w:r w:rsidR="00667D36" w:rsidRPr="00433D45">
        <w:rPr>
          <w:lang w:val="en-IE"/>
        </w:rPr>
        <w:t>beyon</w:t>
      </w:r>
      <w:r w:rsidR="0032151B" w:rsidRPr="00433D45">
        <w:rPr>
          <w:lang w:val="en-IE"/>
        </w:rPr>
        <w:t>d</w:t>
      </w:r>
      <w:r w:rsidR="000C0DC7" w:rsidRPr="00433D45">
        <w:rPr>
          <w:lang w:val="en-IE"/>
        </w:rPr>
        <w:t xml:space="preserve"> the information specified in the standards for voluntary use;</w:t>
      </w:r>
    </w:p>
    <w:p w14:paraId="385116EB" w14:textId="77777777" w:rsidR="00C76BFA" w:rsidRPr="00433D45" w:rsidRDefault="00003A00" w:rsidP="00CF1B38">
      <w:pPr>
        <w:pStyle w:val="Tiret0"/>
        <w:ind w:hanging="566"/>
        <w:rPr>
          <w:lang w:val="en-IE"/>
        </w:rPr>
      </w:pPr>
      <w:r w:rsidRPr="00433D45">
        <w:rPr>
          <w:lang w:val="en-IE"/>
        </w:rPr>
        <w:t>p</w:t>
      </w:r>
      <w:r w:rsidR="00667D36" w:rsidRPr="00433D45">
        <w:rPr>
          <w:lang w:val="en-IE"/>
        </w:rPr>
        <w:t>aragraph (</w:t>
      </w:r>
      <w:r w:rsidR="00415F67">
        <w:rPr>
          <w:lang w:val="en-IE"/>
        </w:rPr>
        <w:t>1</w:t>
      </w:r>
      <w:r w:rsidR="00892A7B">
        <w:rPr>
          <w:lang w:val="en-IE"/>
        </w:rPr>
        <w:t>2</w:t>
      </w:r>
      <w:r w:rsidR="00667D36" w:rsidRPr="00433D45">
        <w:rPr>
          <w:lang w:val="en-IE"/>
        </w:rPr>
        <w:t xml:space="preserve">) </w:t>
      </w:r>
      <w:r w:rsidR="00C76BFA" w:rsidRPr="00433D45">
        <w:rPr>
          <w:lang w:val="en-IE"/>
        </w:rPr>
        <w:t xml:space="preserve">amends </w:t>
      </w:r>
      <w:r w:rsidR="000C0DC7" w:rsidRPr="00433D45">
        <w:rPr>
          <w:lang w:val="en-IE"/>
        </w:rPr>
        <w:t>Article 40a(1)</w:t>
      </w:r>
      <w:r w:rsidR="00C76BFA" w:rsidRPr="00433D45">
        <w:rPr>
          <w:lang w:val="en-IE"/>
        </w:rPr>
        <w:t xml:space="preserve"> of the Accounting Directive by</w:t>
      </w:r>
      <w:r w:rsidR="000C0DC7" w:rsidRPr="00433D45">
        <w:rPr>
          <w:lang w:val="en-IE"/>
        </w:rPr>
        <w:t>:</w:t>
      </w:r>
    </w:p>
    <w:p w14:paraId="19E902A0" w14:textId="77777777" w:rsidR="00C76BFA" w:rsidRPr="00433D45" w:rsidRDefault="00C87B7A" w:rsidP="00A61365">
      <w:pPr>
        <w:pStyle w:val="Bullet0"/>
        <w:tabs>
          <w:tab w:val="clear" w:pos="850"/>
        </w:tabs>
        <w:ind w:left="1418" w:hanging="425"/>
        <w:rPr>
          <w:lang w:val="en-IE"/>
        </w:rPr>
      </w:pPr>
      <w:r>
        <w:rPr>
          <w:lang w:val="en-IE"/>
        </w:rPr>
        <w:t>limiting</w:t>
      </w:r>
      <w:r w:rsidRPr="00433D45">
        <w:rPr>
          <w:lang w:val="en-IE"/>
        </w:rPr>
        <w:t xml:space="preserve"> </w:t>
      </w:r>
      <w:r w:rsidR="00C76BFA" w:rsidRPr="00433D45">
        <w:rPr>
          <w:lang w:val="en-IE"/>
        </w:rPr>
        <w:t>the size for a</w:t>
      </w:r>
      <w:r w:rsidR="0010275D" w:rsidRPr="00433D45">
        <w:rPr>
          <w:lang w:val="en-IE"/>
        </w:rPr>
        <w:t xml:space="preserve"> subsidiary</w:t>
      </w:r>
      <w:r w:rsidR="00C76BFA" w:rsidRPr="00433D45">
        <w:rPr>
          <w:lang w:val="en-IE"/>
        </w:rPr>
        <w:t xml:space="preserve"> undertaking to be in scope of </w:t>
      </w:r>
      <w:r w:rsidR="0010275D" w:rsidRPr="00433D45">
        <w:rPr>
          <w:lang w:val="en-IE"/>
        </w:rPr>
        <w:t>Article 40a</w:t>
      </w:r>
      <w:r w:rsidR="00C76BFA" w:rsidRPr="00433D45">
        <w:rPr>
          <w:lang w:val="en-IE"/>
        </w:rPr>
        <w:t xml:space="preserve"> to </w:t>
      </w:r>
      <w:r w:rsidR="00E0331B">
        <w:rPr>
          <w:lang w:val="en-IE"/>
        </w:rPr>
        <w:t xml:space="preserve">the criteria for </w:t>
      </w:r>
      <w:r>
        <w:rPr>
          <w:lang w:val="en-IE"/>
        </w:rPr>
        <w:t>large undertaking</w:t>
      </w:r>
      <w:r w:rsidR="005231E7">
        <w:rPr>
          <w:lang w:val="en-IE"/>
        </w:rPr>
        <w:t>s</w:t>
      </w:r>
      <w:r w:rsidR="00E0331B">
        <w:rPr>
          <w:lang w:val="en-IE"/>
        </w:rPr>
        <w:t xml:space="preserve"> as defined in Article 3(4) of the Accounting Directive</w:t>
      </w:r>
      <w:r w:rsidR="00C76BFA" w:rsidRPr="00433D45">
        <w:rPr>
          <w:lang w:val="en-IE"/>
        </w:rPr>
        <w:t>;</w:t>
      </w:r>
    </w:p>
    <w:p w14:paraId="1B167205" w14:textId="77777777" w:rsidR="00FE5C97" w:rsidRPr="00433D45" w:rsidRDefault="00FA705D" w:rsidP="00162556">
      <w:pPr>
        <w:pStyle w:val="Bullet0"/>
        <w:tabs>
          <w:tab w:val="clear" w:pos="850"/>
        </w:tabs>
        <w:ind w:left="1418" w:hanging="425"/>
        <w:rPr>
          <w:lang w:val="en-IE"/>
        </w:rPr>
      </w:pPr>
      <w:r w:rsidRPr="00433D45">
        <w:rPr>
          <w:lang w:val="en-IE"/>
        </w:rPr>
        <w:t xml:space="preserve">increasing the net turnover threshold </w:t>
      </w:r>
      <w:r w:rsidR="0005254D" w:rsidRPr="00433D45">
        <w:rPr>
          <w:lang w:val="en-IE"/>
        </w:rPr>
        <w:t xml:space="preserve">for a branch to be in scope of Article 40a </w:t>
      </w:r>
      <w:r w:rsidR="00782337" w:rsidRPr="00433D45">
        <w:rPr>
          <w:lang w:val="en-IE"/>
        </w:rPr>
        <w:t xml:space="preserve">from EUR 40 million to EUR 50 </w:t>
      </w:r>
      <w:r w:rsidR="00C35897" w:rsidRPr="00433D45">
        <w:rPr>
          <w:lang w:val="en-IE"/>
        </w:rPr>
        <w:t>million</w:t>
      </w:r>
      <w:r w:rsidR="005231E7">
        <w:rPr>
          <w:lang w:val="en-IE"/>
        </w:rPr>
        <w:t>, to align with the turnover threshold for large undertakings</w:t>
      </w:r>
      <w:r w:rsidR="00FE5C97" w:rsidRPr="00433D45">
        <w:rPr>
          <w:lang w:val="en-IE"/>
        </w:rPr>
        <w:t>;</w:t>
      </w:r>
    </w:p>
    <w:p w14:paraId="4720DEA4" w14:textId="77777777" w:rsidR="00543714" w:rsidRDefault="00FE5C97" w:rsidP="000D3429">
      <w:pPr>
        <w:pStyle w:val="Bullet0"/>
        <w:tabs>
          <w:tab w:val="clear" w:pos="850"/>
        </w:tabs>
        <w:ind w:left="1418" w:hanging="425"/>
        <w:rPr>
          <w:lang w:val="en-IE"/>
        </w:rPr>
      </w:pPr>
      <w:r w:rsidRPr="00433D45">
        <w:rPr>
          <w:lang w:val="en-IE"/>
        </w:rPr>
        <w:t xml:space="preserve">increasing the </w:t>
      </w:r>
      <w:r w:rsidR="00F30141" w:rsidRPr="00433D45">
        <w:rPr>
          <w:lang w:val="en-IE"/>
        </w:rPr>
        <w:t xml:space="preserve">net turnover </w:t>
      </w:r>
      <w:r w:rsidRPr="00433D45">
        <w:rPr>
          <w:lang w:val="en-IE"/>
        </w:rPr>
        <w:t xml:space="preserve">threshold for the third-country undertaking </w:t>
      </w:r>
      <w:r w:rsidR="00F30141" w:rsidRPr="00433D45">
        <w:rPr>
          <w:lang w:val="en-IE"/>
        </w:rPr>
        <w:t>to be in scope</w:t>
      </w:r>
      <w:r w:rsidR="007D54DA" w:rsidRPr="00433D45">
        <w:rPr>
          <w:lang w:val="en-IE"/>
        </w:rPr>
        <w:t xml:space="preserve"> of Article </w:t>
      </w:r>
      <w:r w:rsidR="00354AA2" w:rsidRPr="00433D45">
        <w:rPr>
          <w:lang w:val="en-IE"/>
        </w:rPr>
        <w:t>40a</w:t>
      </w:r>
      <w:r w:rsidR="00295ECB" w:rsidRPr="00433D45">
        <w:rPr>
          <w:lang w:val="en-IE"/>
        </w:rPr>
        <w:t xml:space="preserve"> </w:t>
      </w:r>
      <w:r w:rsidRPr="00433D45">
        <w:rPr>
          <w:lang w:val="en-IE"/>
        </w:rPr>
        <w:t xml:space="preserve">from EUR 150 </w:t>
      </w:r>
      <w:r w:rsidR="00C751F8" w:rsidRPr="00433D45">
        <w:rPr>
          <w:lang w:val="en-IE"/>
        </w:rPr>
        <w:t>million</w:t>
      </w:r>
      <w:r w:rsidRPr="00433D45">
        <w:rPr>
          <w:lang w:val="en-IE"/>
        </w:rPr>
        <w:t xml:space="preserve"> generated in the Union to EUR 450 </w:t>
      </w:r>
      <w:r w:rsidR="00C751F8" w:rsidRPr="00433D45">
        <w:rPr>
          <w:lang w:val="en-IE"/>
        </w:rPr>
        <w:t>million</w:t>
      </w:r>
      <w:r w:rsidR="00543714">
        <w:rPr>
          <w:lang w:val="en-IE"/>
        </w:rPr>
        <w:t>;</w:t>
      </w:r>
    </w:p>
    <w:p w14:paraId="530A1597" w14:textId="77777777" w:rsidR="002A7C43" w:rsidRPr="000D3429" w:rsidRDefault="00CA0BFD" w:rsidP="00DE095D">
      <w:pPr>
        <w:pStyle w:val="Tiret0"/>
        <w:ind w:hanging="566"/>
        <w:rPr>
          <w:lang w:val="en-IE"/>
        </w:rPr>
      </w:pPr>
      <w:r w:rsidRPr="008601EC">
        <w:rPr>
          <w:lang w:val="en-IE"/>
        </w:rPr>
        <w:t xml:space="preserve">paragraph (13) </w:t>
      </w:r>
      <w:r w:rsidR="00E90931" w:rsidRPr="008601EC">
        <w:rPr>
          <w:lang w:val="en-IE"/>
        </w:rPr>
        <w:t xml:space="preserve">amends Article 49 of the Accounting Directive </w:t>
      </w:r>
      <w:r w:rsidR="003626D2" w:rsidRPr="008601EC">
        <w:rPr>
          <w:lang w:val="en-IE"/>
        </w:rPr>
        <w:t xml:space="preserve">to empower the Commission </w:t>
      </w:r>
      <w:r w:rsidR="008601EC" w:rsidRPr="008601EC">
        <w:rPr>
          <w:lang w:val="en-IE"/>
        </w:rPr>
        <w:t>to set out rules supplementing the reporting regime for activities that are only partially taxonomy aligned.</w:t>
      </w:r>
    </w:p>
    <w:p w14:paraId="44EB1DCB" w14:textId="77777777" w:rsidR="00EB700D" w:rsidRPr="00433D45" w:rsidRDefault="001824FF" w:rsidP="00DE466D">
      <w:pPr>
        <w:pBdr>
          <w:top w:val="nil"/>
          <w:left w:val="nil"/>
          <w:bottom w:val="nil"/>
          <w:right w:val="nil"/>
          <w:between w:val="nil"/>
          <w:bar w:val="nil"/>
        </w:pBdr>
        <w:spacing w:before="0" w:after="240"/>
        <w:rPr>
          <w:lang w:val="en-IE"/>
        </w:rPr>
      </w:pPr>
      <w:r w:rsidRPr="00433D45">
        <w:rPr>
          <w:lang w:val="en-IE"/>
        </w:rPr>
        <w:t>Article 3</w:t>
      </w:r>
      <w:r w:rsidR="00EC1B59" w:rsidRPr="00433D45">
        <w:rPr>
          <w:lang w:val="en-IE"/>
        </w:rPr>
        <w:t xml:space="preserve"> amends </w:t>
      </w:r>
      <w:r w:rsidR="00D65738" w:rsidRPr="00433D45">
        <w:rPr>
          <w:lang w:val="en-IE"/>
        </w:rPr>
        <w:t xml:space="preserve">Article 5(2) of </w:t>
      </w:r>
      <w:r w:rsidRPr="00433D45">
        <w:rPr>
          <w:lang w:val="en-IE"/>
        </w:rPr>
        <w:t xml:space="preserve">Directive (EU) 2022/2464 </w:t>
      </w:r>
      <w:r w:rsidR="00EC1B59" w:rsidRPr="00433D45">
        <w:rPr>
          <w:lang w:val="en-IE"/>
        </w:rPr>
        <w:t>(Corporate Sustainability Reporting Directive “CSRD”</w:t>
      </w:r>
      <w:r w:rsidR="00B71C65" w:rsidRPr="00433D45">
        <w:rPr>
          <w:lang w:val="en-IE"/>
        </w:rPr>
        <w:t xml:space="preserve">) </w:t>
      </w:r>
      <w:r w:rsidR="00362356" w:rsidRPr="00433D45">
        <w:rPr>
          <w:lang w:val="en-IE"/>
        </w:rPr>
        <w:t xml:space="preserve">to </w:t>
      </w:r>
      <w:r w:rsidR="0009798E" w:rsidRPr="00433D45">
        <w:rPr>
          <w:lang w:val="en-IE"/>
        </w:rPr>
        <w:t xml:space="preserve">reflect the </w:t>
      </w:r>
      <w:r w:rsidR="00F9188D" w:rsidRPr="00433D45">
        <w:rPr>
          <w:lang w:val="en-IE"/>
        </w:rPr>
        <w:t>reduction</w:t>
      </w:r>
      <w:r w:rsidR="0009798E" w:rsidRPr="00433D45">
        <w:rPr>
          <w:lang w:val="en-IE"/>
        </w:rPr>
        <w:t xml:space="preserve"> </w:t>
      </w:r>
      <w:r w:rsidR="00D43ECD" w:rsidRPr="00433D45">
        <w:rPr>
          <w:lang w:val="en-IE"/>
        </w:rPr>
        <w:t xml:space="preserve">of the undertakings </w:t>
      </w:r>
      <w:r w:rsidR="0009798E" w:rsidRPr="00433D45">
        <w:rPr>
          <w:lang w:val="en-IE"/>
        </w:rPr>
        <w:t xml:space="preserve">in scope </w:t>
      </w:r>
      <w:r w:rsidR="00D43ECD" w:rsidRPr="00433D45">
        <w:rPr>
          <w:lang w:val="en-IE"/>
        </w:rPr>
        <w:t>of sustainability reporting</w:t>
      </w:r>
      <w:r w:rsidR="0008573B" w:rsidRPr="00433D45">
        <w:rPr>
          <w:lang w:val="en-IE"/>
        </w:rPr>
        <w:t xml:space="preserve"> </w:t>
      </w:r>
      <w:r w:rsidR="00EB700D" w:rsidRPr="00433D45">
        <w:rPr>
          <w:lang w:val="en-IE"/>
        </w:rPr>
        <w:t>under Articles 19a and 29a of the Accounting Directive. In particular</w:t>
      </w:r>
      <w:r w:rsidR="001B6E8F" w:rsidRPr="00433D45">
        <w:rPr>
          <w:lang w:val="en-IE"/>
        </w:rPr>
        <w:t>:</w:t>
      </w:r>
    </w:p>
    <w:p w14:paraId="0AE2C9B8" w14:textId="77777777" w:rsidR="00295ECB" w:rsidRPr="00433D45" w:rsidRDefault="008E0375" w:rsidP="00707617">
      <w:pPr>
        <w:pStyle w:val="Tiret0"/>
        <w:ind w:hanging="708"/>
        <w:rPr>
          <w:lang w:val="en-IE"/>
        </w:rPr>
      </w:pPr>
      <w:r w:rsidRPr="00433D45">
        <w:rPr>
          <w:lang w:val="en-IE"/>
        </w:rPr>
        <w:t xml:space="preserve">paragraph (1) </w:t>
      </w:r>
      <w:r w:rsidR="00E92DC2" w:rsidRPr="00433D45">
        <w:rPr>
          <w:lang w:val="en-IE"/>
        </w:rPr>
        <w:t xml:space="preserve">point (a) </w:t>
      </w:r>
      <w:r w:rsidR="00295ECB" w:rsidRPr="00433D45">
        <w:rPr>
          <w:lang w:val="en-IE"/>
        </w:rPr>
        <w:t xml:space="preserve">deletes </w:t>
      </w:r>
      <w:r w:rsidR="00906046" w:rsidRPr="00433D45">
        <w:rPr>
          <w:lang w:val="en-IE"/>
        </w:rPr>
        <w:t>Article 5(2) subparagraph 1, point (a) of the CSRD</w:t>
      </w:r>
      <w:r w:rsidR="00F8480C" w:rsidRPr="00433D45">
        <w:rPr>
          <w:lang w:val="en-IE"/>
        </w:rPr>
        <w:t xml:space="preserve"> to reflect the exclusion from scope of some of the undertakings in wave 1</w:t>
      </w:r>
      <w:r w:rsidR="00605542" w:rsidRPr="00433D45">
        <w:rPr>
          <w:lang w:val="en-IE"/>
        </w:rPr>
        <w:t xml:space="preserve">; </w:t>
      </w:r>
    </w:p>
    <w:p w14:paraId="39614A92" w14:textId="77777777" w:rsidR="00672BE0" w:rsidRPr="00433D45" w:rsidRDefault="002F5C1B" w:rsidP="0050464C">
      <w:pPr>
        <w:pStyle w:val="Tiret0"/>
        <w:ind w:hanging="708"/>
        <w:rPr>
          <w:lang w:val="en-IE"/>
        </w:rPr>
      </w:pPr>
      <w:r w:rsidRPr="00433D45">
        <w:rPr>
          <w:lang w:val="en-IE"/>
        </w:rPr>
        <w:t xml:space="preserve">paragraph (1) </w:t>
      </w:r>
      <w:r w:rsidR="00605542" w:rsidRPr="00433D45">
        <w:rPr>
          <w:lang w:val="en-IE"/>
        </w:rPr>
        <w:t>point (b)</w:t>
      </w:r>
      <w:r w:rsidRPr="00433D45">
        <w:rPr>
          <w:lang w:val="en-IE"/>
        </w:rPr>
        <w:t>(i)</w:t>
      </w:r>
      <w:r w:rsidR="00605542" w:rsidRPr="00433D45">
        <w:rPr>
          <w:lang w:val="en-IE"/>
        </w:rPr>
        <w:t xml:space="preserve"> </w:t>
      </w:r>
      <w:r w:rsidR="00E92DC2" w:rsidRPr="00433D45">
        <w:rPr>
          <w:lang w:val="en-IE"/>
        </w:rPr>
        <w:t xml:space="preserve">replaces </w:t>
      </w:r>
      <w:r w:rsidR="00951129" w:rsidRPr="00433D45">
        <w:rPr>
          <w:lang w:val="en-IE"/>
        </w:rPr>
        <w:t xml:space="preserve">Article 5(2) </w:t>
      </w:r>
      <w:r w:rsidR="00D65738" w:rsidRPr="00433D45">
        <w:rPr>
          <w:lang w:val="en-IE"/>
        </w:rPr>
        <w:t>subparagraph 1, point (b)(i)</w:t>
      </w:r>
      <w:r w:rsidR="00951129" w:rsidRPr="00433D45">
        <w:rPr>
          <w:lang w:val="en-IE"/>
        </w:rPr>
        <w:t xml:space="preserve"> of the </w:t>
      </w:r>
      <w:r w:rsidR="00C84FEB" w:rsidRPr="00433D45">
        <w:rPr>
          <w:lang w:val="en-IE"/>
        </w:rPr>
        <w:t>CSRD</w:t>
      </w:r>
      <w:r w:rsidR="007B4871" w:rsidRPr="00433D45">
        <w:rPr>
          <w:lang w:val="en-IE"/>
        </w:rPr>
        <w:t xml:space="preserve"> </w:t>
      </w:r>
      <w:r w:rsidR="00817534" w:rsidRPr="00433D45">
        <w:rPr>
          <w:lang w:val="en-IE"/>
        </w:rPr>
        <w:t>specifying which</w:t>
      </w:r>
      <w:r w:rsidR="008C6CFF" w:rsidRPr="00433D45">
        <w:rPr>
          <w:lang w:val="en-IE"/>
        </w:rPr>
        <w:t xml:space="preserve"> undertakings </w:t>
      </w:r>
      <w:r w:rsidR="00420017" w:rsidRPr="00433D45">
        <w:rPr>
          <w:lang w:val="en-IE"/>
        </w:rPr>
        <w:t xml:space="preserve">will be subject to </w:t>
      </w:r>
      <w:r w:rsidR="00672BE0" w:rsidRPr="00433D45">
        <w:rPr>
          <w:lang w:val="en-IE"/>
        </w:rPr>
        <w:t xml:space="preserve">individual sustainability </w:t>
      </w:r>
      <w:r w:rsidR="00420017" w:rsidRPr="00433D45">
        <w:rPr>
          <w:lang w:val="en-IE"/>
        </w:rPr>
        <w:t xml:space="preserve">reporting </w:t>
      </w:r>
      <w:r w:rsidR="004D6792" w:rsidRPr="00433D45">
        <w:rPr>
          <w:lang w:val="en-IE"/>
        </w:rPr>
        <w:t xml:space="preserve">in wave 2, i.e. </w:t>
      </w:r>
      <w:r w:rsidR="008D4859">
        <w:rPr>
          <w:lang w:val="en-IE"/>
        </w:rPr>
        <w:t xml:space="preserve">large </w:t>
      </w:r>
      <w:r w:rsidR="00D65738" w:rsidRPr="00433D45">
        <w:rPr>
          <w:lang w:val="en-IE"/>
        </w:rPr>
        <w:t xml:space="preserve">undertakings </w:t>
      </w:r>
      <w:r w:rsidR="00400378" w:rsidRPr="00433D45">
        <w:rPr>
          <w:lang w:val="en-IE"/>
        </w:rPr>
        <w:t xml:space="preserve">with </w:t>
      </w:r>
      <w:r w:rsidR="00C90700" w:rsidRPr="00433D45">
        <w:rPr>
          <w:lang w:val="en-IE"/>
        </w:rPr>
        <w:t>more than</w:t>
      </w:r>
      <w:r w:rsidR="00D65738" w:rsidRPr="00433D45">
        <w:rPr>
          <w:lang w:val="en-IE"/>
        </w:rPr>
        <w:t xml:space="preserve"> </w:t>
      </w:r>
      <w:r w:rsidR="00211C08" w:rsidRPr="00433D45">
        <w:rPr>
          <w:lang w:val="en-IE"/>
        </w:rPr>
        <w:t xml:space="preserve">1000 </w:t>
      </w:r>
      <w:r w:rsidR="00D65738" w:rsidRPr="00433D45">
        <w:rPr>
          <w:lang w:val="en-IE"/>
        </w:rPr>
        <w:t>employees</w:t>
      </w:r>
      <w:r w:rsidR="00605542" w:rsidRPr="00433D45">
        <w:rPr>
          <w:lang w:val="en-IE"/>
        </w:rPr>
        <w:t xml:space="preserve"> </w:t>
      </w:r>
      <w:r w:rsidR="00400378" w:rsidRPr="00433D45">
        <w:rPr>
          <w:lang w:val="en-IE"/>
        </w:rPr>
        <w:t>on average</w:t>
      </w:r>
      <w:r w:rsidR="007C2CF5" w:rsidRPr="00433D45">
        <w:rPr>
          <w:lang w:val="en-IE"/>
        </w:rPr>
        <w:t xml:space="preserve"> </w:t>
      </w:r>
      <w:r w:rsidR="00D65738" w:rsidRPr="00433D45">
        <w:rPr>
          <w:lang w:val="en-IE"/>
        </w:rPr>
        <w:t xml:space="preserve">during the financial </w:t>
      </w:r>
      <w:r w:rsidR="00024B65" w:rsidRPr="00433D45">
        <w:rPr>
          <w:lang w:val="en-IE"/>
        </w:rPr>
        <w:t>year</w:t>
      </w:r>
      <w:r w:rsidR="0001391F" w:rsidRPr="00433D45">
        <w:rPr>
          <w:lang w:val="en-IE"/>
        </w:rPr>
        <w:t xml:space="preserve">; </w:t>
      </w:r>
    </w:p>
    <w:p w14:paraId="64769BC1" w14:textId="77777777" w:rsidR="00672BE0" w:rsidRPr="00433D45" w:rsidRDefault="004748BA" w:rsidP="00707617">
      <w:pPr>
        <w:pStyle w:val="Tiret0"/>
        <w:ind w:hanging="708"/>
        <w:rPr>
          <w:lang w:val="en-IE"/>
        </w:rPr>
      </w:pPr>
      <w:r w:rsidRPr="00433D45">
        <w:rPr>
          <w:lang w:val="en-IE"/>
        </w:rPr>
        <w:t xml:space="preserve">paragraph (1) </w:t>
      </w:r>
      <w:r w:rsidR="00672BE0" w:rsidRPr="00433D45">
        <w:rPr>
          <w:lang w:val="en-IE"/>
        </w:rPr>
        <w:t>point (</w:t>
      </w:r>
      <w:r w:rsidR="00F541BB" w:rsidRPr="00433D45">
        <w:rPr>
          <w:lang w:val="en-IE"/>
        </w:rPr>
        <w:t>b)(ii)</w:t>
      </w:r>
      <w:r w:rsidR="00672BE0" w:rsidRPr="00433D45">
        <w:rPr>
          <w:lang w:val="en-IE"/>
        </w:rPr>
        <w:t xml:space="preserve">) replaces Article 5(2) subparagraph 1, point (b)(ii) of the CSRD </w:t>
      </w:r>
      <w:r w:rsidR="00817534" w:rsidRPr="00433D45">
        <w:rPr>
          <w:lang w:val="en-IE"/>
        </w:rPr>
        <w:t>specifying which</w:t>
      </w:r>
      <w:r w:rsidR="00672BE0" w:rsidRPr="00433D45">
        <w:rPr>
          <w:lang w:val="en-IE"/>
        </w:rPr>
        <w:t xml:space="preserve"> undertakings will be subject to consolidated sustainability reporting in wave 2, i.e. parent undertakings </w:t>
      </w:r>
      <w:r w:rsidR="007C2654" w:rsidRPr="00433D45">
        <w:rPr>
          <w:lang w:val="en-IE"/>
        </w:rPr>
        <w:t xml:space="preserve">of </w:t>
      </w:r>
      <w:r w:rsidR="008D4859">
        <w:rPr>
          <w:lang w:val="en-IE"/>
        </w:rPr>
        <w:t xml:space="preserve">large </w:t>
      </w:r>
      <w:r w:rsidR="007C2654" w:rsidRPr="00433D45">
        <w:rPr>
          <w:lang w:val="en-IE"/>
        </w:rPr>
        <w:t xml:space="preserve">groups </w:t>
      </w:r>
      <w:r w:rsidR="00C90700" w:rsidRPr="00433D45">
        <w:rPr>
          <w:lang w:val="en-IE"/>
        </w:rPr>
        <w:t xml:space="preserve">with </w:t>
      </w:r>
      <w:r w:rsidR="00F52CB9" w:rsidRPr="00433D45">
        <w:rPr>
          <w:lang w:val="en-IE"/>
        </w:rPr>
        <w:t>more than</w:t>
      </w:r>
      <w:r w:rsidR="00633793" w:rsidRPr="00433D45">
        <w:rPr>
          <w:lang w:val="en-IE"/>
        </w:rPr>
        <w:t xml:space="preserve"> </w:t>
      </w:r>
      <w:r w:rsidR="00383BB8" w:rsidRPr="00433D45">
        <w:rPr>
          <w:lang w:val="en-IE"/>
        </w:rPr>
        <w:t xml:space="preserve">1000 </w:t>
      </w:r>
      <w:r w:rsidR="00672BE0" w:rsidRPr="00433D45">
        <w:rPr>
          <w:lang w:val="en-IE"/>
        </w:rPr>
        <w:t>employees</w:t>
      </w:r>
      <w:r w:rsidR="00633793" w:rsidRPr="00433D45">
        <w:rPr>
          <w:lang w:val="en-IE"/>
        </w:rPr>
        <w:t xml:space="preserve"> on average</w:t>
      </w:r>
      <w:r w:rsidR="00035E94">
        <w:rPr>
          <w:lang w:val="en-IE"/>
        </w:rPr>
        <w:t>,</w:t>
      </w:r>
      <w:r w:rsidR="00633793" w:rsidRPr="00433D45">
        <w:rPr>
          <w:lang w:val="en-IE"/>
        </w:rPr>
        <w:t xml:space="preserve"> </w:t>
      </w:r>
      <w:r w:rsidR="00672BE0" w:rsidRPr="00433D45">
        <w:rPr>
          <w:lang w:val="en-IE"/>
        </w:rPr>
        <w:t xml:space="preserve">on a consolidated basis, during the </w:t>
      </w:r>
      <w:r w:rsidR="00024B65" w:rsidRPr="00433D45">
        <w:rPr>
          <w:lang w:val="en-IE"/>
        </w:rPr>
        <w:t>financial year</w:t>
      </w:r>
      <w:r w:rsidR="00672BE0" w:rsidRPr="00433D45">
        <w:rPr>
          <w:lang w:val="en-IE"/>
        </w:rPr>
        <w:t xml:space="preserve">; </w:t>
      </w:r>
    </w:p>
    <w:p w14:paraId="3542175A" w14:textId="77777777" w:rsidR="00707617" w:rsidRPr="00433D45" w:rsidRDefault="00F541BB" w:rsidP="00707617">
      <w:pPr>
        <w:pStyle w:val="Tiret0"/>
        <w:ind w:hanging="708"/>
        <w:rPr>
          <w:lang w:val="en-IE"/>
        </w:rPr>
      </w:pPr>
      <w:r w:rsidRPr="00433D45">
        <w:rPr>
          <w:lang w:val="en-IE"/>
        </w:rPr>
        <w:t xml:space="preserve">paragraph (1) </w:t>
      </w:r>
      <w:r w:rsidR="00672BE0" w:rsidRPr="00433D45">
        <w:rPr>
          <w:lang w:val="en-IE"/>
        </w:rPr>
        <w:t>point (</w:t>
      </w:r>
      <w:r w:rsidRPr="00433D45">
        <w:rPr>
          <w:lang w:val="en-IE"/>
        </w:rPr>
        <w:t>c</w:t>
      </w:r>
      <w:r w:rsidR="00672BE0" w:rsidRPr="00433D45">
        <w:rPr>
          <w:lang w:val="en-IE"/>
        </w:rPr>
        <w:t>) rep</w:t>
      </w:r>
      <w:r w:rsidR="00707617" w:rsidRPr="00433D45">
        <w:rPr>
          <w:lang w:val="en-IE"/>
        </w:rPr>
        <w:t xml:space="preserve">eals </w:t>
      </w:r>
      <w:r w:rsidR="00672BE0" w:rsidRPr="00433D45">
        <w:rPr>
          <w:lang w:val="en-IE"/>
        </w:rPr>
        <w:t>Article 5(2) subparagraph 1, point (c)</w:t>
      </w:r>
      <w:r w:rsidR="00783BD0" w:rsidRPr="00433D45">
        <w:rPr>
          <w:lang w:val="en-IE"/>
        </w:rPr>
        <w:t xml:space="preserve"> </w:t>
      </w:r>
      <w:r w:rsidR="00707617" w:rsidRPr="00433D45">
        <w:rPr>
          <w:lang w:val="en-IE"/>
        </w:rPr>
        <w:t xml:space="preserve">of the CSRD </w:t>
      </w:r>
      <w:r w:rsidR="00CA45AF" w:rsidRPr="00433D45">
        <w:rPr>
          <w:lang w:val="en-IE"/>
        </w:rPr>
        <w:t>to ref</w:t>
      </w:r>
      <w:r w:rsidR="00707617" w:rsidRPr="00433D45">
        <w:rPr>
          <w:lang w:val="en-IE"/>
        </w:rPr>
        <w:t xml:space="preserve">lect the exclusion from the scope of listed SMEs; </w:t>
      </w:r>
    </w:p>
    <w:p w14:paraId="4386A22D" w14:textId="77777777" w:rsidR="00D160F1" w:rsidRPr="00433D45" w:rsidRDefault="00C76D8D" w:rsidP="00707617">
      <w:pPr>
        <w:pStyle w:val="Tiret0"/>
        <w:ind w:hanging="708"/>
        <w:rPr>
          <w:lang w:val="en-IE"/>
        </w:rPr>
      </w:pPr>
      <w:r w:rsidRPr="00433D45">
        <w:rPr>
          <w:lang w:val="en-IE"/>
        </w:rPr>
        <w:t xml:space="preserve">paragraph (2) </w:t>
      </w:r>
      <w:r w:rsidR="00D160F1" w:rsidRPr="00433D45">
        <w:rPr>
          <w:lang w:val="en-IE"/>
        </w:rPr>
        <w:t>point (</w:t>
      </w:r>
      <w:r w:rsidRPr="00433D45">
        <w:rPr>
          <w:lang w:val="en-IE"/>
        </w:rPr>
        <w:t>a</w:t>
      </w:r>
      <w:r w:rsidR="00D160F1" w:rsidRPr="00433D45">
        <w:rPr>
          <w:lang w:val="en-IE"/>
        </w:rPr>
        <w:t>) deletes Article 5(2) subparagraph 3, point (a) of the CSRD</w:t>
      </w:r>
      <w:r w:rsidR="00F8480C" w:rsidRPr="00433D45">
        <w:rPr>
          <w:lang w:val="en-IE"/>
        </w:rPr>
        <w:t xml:space="preserve"> to reflect the exclusion from scope of some of the </w:t>
      </w:r>
      <w:r w:rsidR="00487929">
        <w:rPr>
          <w:lang w:val="en-IE"/>
        </w:rPr>
        <w:t>issuers</w:t>
      </w:r>
      <w:r w:rsidR="00487929" w:rsidRPr="00433D45">
        <w:rPr>
          <w:lang w:val="en-IE"/>
        </w:rPr>
        <w:t xml:space="preserve"> </w:t>
      </w:r>
      <w:r w:rsidR="00F8480C" w:rsidRPr="00433D45">
        <w:rPr>
          <w:lang w:val="en-IE"/>
        </w:rPr>
        <w:t xml:space="preserve">in wave 1; </w:t>
      </w:r>
    </w:p>
    <w:p w14:paraId="1F0860F5" w14:textId="77777777" w:rsidR="00707617" w:rsidRPr="00433D45" w:rsidRDefault="000623D2" w:rsidP="00707617">
      <w:pPr>
        <w:pStyle w:val="Tiret0"/>
        <w:ind w:hanging="708"/>
        <w:rPr>
          <w:lang w:val="en-IE"/>
        </w:rPr>
      </w:pPr>
      <w:r w:rsidRPr="00433D45">
        <w:rPr>
          <w:lang w:val="en-IE"/>
        </w:rPr>
        <w:t>paragraph (</w:t>
      </w:r>
      <w:r w:rsidR="00973CE9" w:rsidRPr="00433D45">
        <w:rPr>
          <w:lang w:val="en-IE"/>
        </w:rPr>
        <w:t>2</w:t>
      </w:r>
      <w:r w:rsidRPr="00433D45">
        <w:rPr>
          <w:lang w:val="en-IE"/>
        </w:rPr>
        <w:t xml:space="preserve">) </w:t>
      </w:r>
      <w:r w:rsidR="00707617" w:rsidRPr="00433D45">
        <w:rPr>
          <w:lang w:val="en-IE"/>
        </w:rPr>
        <w:t>point (</w:t>
      </w:r>
      <w:r w:rsidRPr="00433D45">
        <w:rPr>
          <w:lang w:val="en-IE"/>
        </w:rPr>
        <w:t>b</w:t>
      </w:r>
      <w:r w:rsidR="00707617" w:rsidRPr="00433D45">
        <w:rPr>
          <w:lang w:val="en-IE"/>
        </w:rPr>
        <w:t>)</w:t>
      </w:r>
      <w:r w:rsidR="009D5D65" w:rsidRPr="00433D45">
        <w:rPr>
          <w:lang w:val="en-IE"/>
        </w:rPr>
        <w:t>(i)</w:t>
      </w:r>
      <w:r w:rsidR="00707617" w:rsidRPr="00433D45">
        <w:rPr>
          <w:lang w:val="en-IE"/>
        </w:rPr>
        <w:t xml:space="preserve"> replaces Article 5(2) subparagraph 3, point (b)(i) of the CSRD </w:t>
      </w:r>
      <w:r w:rsidR="00817534" w:rsidRPr="00433D45">
        <w:rPr>
          <w:lang w:val="en-IE"/>
        </w:rPr>
        <w:t>specifying which</w:t>
      </w:r>
      <w:r w:rsidR="00707617" w:rsidRPr="00433D45">
        <w:rPr>
          <w:lang w:val="en-IE"/>
        </w:rPr>
        <w:t xml:space="preserve"> issuers will be subject to individual sustainability reporting in wave 2, i.e. issuers that are </w:t>
      </w:r>
      <w:r w:rsidR="00DB40BB">
        <w:rPr>
          <w:lang w:val="en-IE"/>
        </w:rPr>
        <w:t>larg</w:t>
      </w:r>
      <w:r w:rsidR="006B21F9">
        <w:rPr>
          <w:lang w:val="en-IE"/>
        </w:rPr>
        <w:t>e</w:t>
      </w:r>
      <w:r w:rsidR="00DB40BB">
        <w:rPr>
          <w:lang w:val="en-IE"/>
        </w:rPr>
        <w:t xml:space="preserve"> </w:t>
      </w:r>
      <w:r w:rsidR="00707617" w:rsidRPr="00433D45">
        <w:rPr>
          <w:lang w:val="en-IE"/>
        </w:rPr>
        <w:t xml:space="preserve">undertakings </w:t>
      </w:r>
      <w:r w:rsidR="00620745" w:rsidRPr="00433D45">
        <w:rPr>
          <w:lang w:val="en-IE"/>
        </w:rPr>
        <w:t xml:space="preserve">with </w:t>
      </w:r>
      <w:r w:rsidR="004D4556" w:rsidRPr="00433D45">
        <w:rPr>
          <w:lang w:val="en-IE"/>
        </w:rPr>
        <w:t xml:space="preserve">more than </w:t>
      </w:r>
      <w:r w:rsidR="00383BB8" w:rsidRPr="00433D45">
        <w:rPr>
          <w:lang w:val="en-IE"/>
        </w:rPr>
        <w:t xml:space="preserve">1000 </w:t>
      </w:r>
      <w:r w:rsidR="00707617" w:rsidRPr="00433D45">
        <w:rPr>
          <w:lang w:val="en-IE"/>
        </w:rPr>
        <w:t xml:space="preserve">employees </w:t>
      </w:r>
      <w:r w:rsidR="004D4556" w:rsidRPr="00433D45">
        <w:rPr>
          <w:lang w:val="en-IE"/>
        </w:rPr>
        <w:t xml:space="preserve">on average </w:t>
      </w:r>
      <w:r w:rsidR="00707617" w:rsidRPr="00433D45">
        <w:rPr>
          <w:lang w:val="en-IE"/>
        </w:rPr>
        <w:t xml:space="preserve">during the </w:t>
      </w:r>
      <w:r w:rsidR="00024B65" w:rsidRPr="00433D45">
        <w:rPr>
          <w:lang w:val="en-IE"/>
        </w:rPr>
        <w:t>financial year</w:t>
      </w:r>
      <w:r w:rsidR="00707617" w:rsidRPr="00433D45">
        <w:rPr>
          <w:lang w:val="en-IE"/>
        </w:rPr>
        <w:t xml:space="preserve">; </w:t>
      </w:r>
    </w:p>
    <w:p w14:paraId="1F7C4ADB" w14:textId="77777777" w:rsidR="00707617" w:rsidRPr="00433D45" w:rsidRDefault="00973CE9" w:rsidP="00707617">
      <w:pPr>
        <w:pStyle w:val="Tiret0"/>
        <w:ind w:hanging="708"/>
        <w:rPr>
          <w:lang w:val="en-IE"/>
        </w:rPr>
      </w:pPr>
      <w:r w:rsidRPr="00433D45">
        <w:rPr>
          <w:lang w:val="en-IE"/>
        </w:rPr>
        <w:t xml:space="preserve">paragraph (2) </w:t>
      </w:r>
      <w:r w:rsidR="00707617" w:rsidRPr="00433D45">
        <w:rPr>
          <w:lang w:val="en-IE"/>
        </w:rPr>
        <w:t>point (</w:t>
      </w:r>
      <w:r w:rsidRPr="00433D45">
        <w:rPr>
          <w:lang w:val="en-IE"/>
        </w:rPr>
        <w:t>b</w:t>
      </w:r>
      <w:r w:rsidR="00707617" w:rsidRPr="00433D45">
        <w:rPr>
          <w:lang w:val="en-IE"/>
        </w:rPr>
        <w:t>)</w:t>
      </w:r>
      <w:r w:rsidRPr="00433D45">
        <w:rPr>
          <w:lang w:val="en-IE"/>
        </w:rPr>
        <w:t>(ii)</w:t>
      </w:r>
      <w:r w:rsidR="00707617" w:rsidRPr="00433D45">
        <w:rPr>
          <w:lang w:val="en-IE"/>
        </w:rPr>
        <w:t xml:space="preserve"> replaces Article 5(2) subparagraph </w:t>
      </w:r>
      <w:r w:rsidR="00FE7719" w:rsidRPr="00433D45">
        <w:rPr>
          <w:lang w:val="en-IE"/>
        </w:rPr>
        <w:t>3</w:t>
      </w:r>
      <w:r w:rsidR="00707617" w:rsidRPr="00433D45">
        <w:rPr>
          <w:lang w:val="en-IE"/>
        </w:rPr>
        <w:t xml:space="preserve">, point (b)(ii) of the CSRD </w:t>
      </w:r>
      <w:r w:rsidR="00FE7719" w:rsidRPr="00433D45">
        <w:rPr>
          <w:lang w:val="en-IE"/>
        </w:rPr>
        <w:t>specifying which issuers</w:t>
      </w:r>
      <w:r w:rsidR="00707617" w:rsidRPr="00433D45">
        <w:rPr>
          <w:lang w:val="en-IE"/>
        </w:rPr>
        <w:t xml:space="preserve"> will be subject to consolidated sustainability reporting in wave 2, i.e. </w:t>
      </w:r>
      <w:r w:rsidR="00FE7719" w:rsidRPr="00433D45">
        <w:rPr>
          <w:lang w:val="en-IE"/>
        </w:rPr>
        <w:t xml:space="preserve">issuers that are </w:t>
      </w:r>
      <w:r w:rsidR="00707617" w:rsidRPr="00433D45">
        <w:rPr>
          <w:lang w:val="en-IE"/>
        </w:rPr>
        <w:t xml:space="preserve">parent undertakings </w:t>
      </w:r>
      <w:r w:rsidR="00602B9D" w:rsidRPr="00433D45">
        <w:rPr>
          <w:lang w:val="en-IE"/>
        </w:rPr>
        <w:t xml:space="preserve">of </w:t>
      </w:r>
      <w:r w:rsidR="00487929">
        <w:rPr>
          <w:lang w:val="en-IE"/>
        </w:rPr>
        <w:t xml:space="preserve">large </w:t>
      </w:r>
      <w:r w:rsidR="00602B9D" w:rsidRPr="00433D45">
        <w:rPr>
          <w:lang w:val="en-IE"/>
        </w:rPr>
        <w:t xml:space="preserve">groups with more than </w:t>
      </w:r>
      <w:r w:rsidR="00006547" w:rsidRPr="00433D45">
        <w:rPr>
          <w:lang w:val="en-IE"/>
        </w:rPr>
        <w:t xml:space="preserve">1000 </w:t>
      </w:r>
      <w:r w:rsidR="00707617" w:rsidRPr="00433D45">
        <w:rPr>
          <w:lang w:val="en-IE"/>
        </w:rPr>
        <w:t>employees</w:t>
      </w:r>
      <w:r w:rsidR="00F8480C" w:rsidRPr="00433D45">
        <w:rPr>
          <w:lang w:val="en-IE"/>
        </w:rPr>
        <w:t xml:space="preserve"> </w:t>
      </w:r>
      <w:r w:rsidR="00602B9D" w:rsidRPr="00433D45">
        <w:rPr>
          <w:lang w:val="en-IE"/>
        </w:rPr>
        <w:t>on average</w:t>
      </w:r>
      <w:r w:rsidR="00707617" w:rsidRPr="00433D45">
        <w:rPr>
          <w:lang w:val="en-IE"/>
        </w:rPr>
        <w:t xml:space="preserve">, on a consolidated basis, during the </w:t>
      </w:r>
      <w:r w:rsidR="00024B65" w:rsidRPr="00433D45">
        <w:rPr>
          <w:lang w:val="en-IE"/>
        </w:rPr>
        <w:t>financial year</w:t>
      </w:r>
      <w:r w:rsidR="00707617" w:rsidRPr="00433D45">
        <w:rPr>
          <w:lang w:val="en-IE"/>
        </w:rPr>
        <w:t xml:space="preserve">; </w:t>
      </w:r>
    </w:p>
    <w:p w14:paraId="7E5081B5" w14:textId="77777777" w:rsidR="00707617" w:rsidRPr="00433D45" w:rsidRDefault="00973CE9" w:rsidP="00F8480C">
      <w:pPr>
        <w:pStyle w:val="Tiret0"/>
        <w:ind w:hanging="708"/>
        <w:rPr>
          <w:lang w:val="en-IE"/>
        </w:rPr>
      </w:pPr>
      <w:r w:rsidRPr="00433D45">
        <w:rPr>
          <w:lang w:val="en-IE"/>
        </w:rPr>
        <w:lastRenderedPageBreak/>
        <w:t xml:space="preserve">paragraph (2) </w:t>
      </w:r>
      <w:r w:rsidR="00707617" w:rsidRPr="00433D45">
        <w:rPr>
          <w:lang w:val="en-IE"/>
        </w:rPr>
        <w:t>point (</w:t>
      </w:r>
      <w:r w:rsidRPr="00433D45">
        <w:rPr>
          <w:lang w:val="en-IE"/>
        </w:rPr>
        <w:t>c</w:t>
      </w:r>
      <w:r w:rsidR="00707617" w:rsidRPr="00433D45">
        <w:rPr>
          <w:lang w:val="en-IE"/>
        </w:rPr>
        <w:t xml:space="preserve">) repeals Article 5(2) subparagraph </w:t>
      </w:r>
      <w:r w:rsidR="0020471E" w:rsidRPr="00433D45">
        <w:rPr>
          <w:lang w:val="en-IE"/>
        </w:rPr>
        <w:t>3</w:t>
      </w:r>
      <w:r w:rsidR="00707617" w:rsidRPr="00433D45">
        <w:rPr>
          <w:lang w:val="en-IE"/>
        </w:rPr>
        <w:t xml:space="preserve">, point (c) </w:t>
      </w:r>
      <w:r w:rsidR="0020471E" w:rsidRPr="00433D45">
        <w:rPr>
          <w:lang w:val="en-IE"/>
        </w:rPr>
        <w:t>of the CSRD</w:t>
      </w:r>
      <w:r w:rsidR="00707617" w:rsidRPr="00433D45">
        <w:rPr>
          <w:lang w:val="en-IE"/>
        </w:rPr>
        <w:t xml:space="preserve"> to reflect the exclusion from the scope of </w:t>
      </w:r>
      <w:r w:rsidR="0020471E" w:rsidRPr="00433D45">
        <w:rPr>
          <w:lang w:val="en-IE"/>
        </w:rPr>
        <w:t>issuers that are</w:t>
      </w:r>
      <w:r w:rsidR="00707617" w:rsidRPr="00433D45">
        <w:rPr>
          <w:lang w:val="en-IE"/>
        </w:rPr>
        <w:t xml:space="preserve"> SMEs</w:t>
      </w:r>
      <w:r w:rsidR="0020471E" w:rsidRPr="00433D45">
        <w:rPr>
          <w:lang w:val="en-IE"/>
        </w:rPr>
        <w:t>.</w:t>
      </w:r>
      <w:r w:rsidR="00707617" w:rsidRPr="00433D45">
        <w:rPr>
          <w:lang w:val="en-IE"/>
        </w:rPr>
        <w:t xml:space="preserve"> </w:t>
      </w:r>
    </w:p>
    <w:p w14:paraId="718CE7E6" w14:textId="77777777" w:rsidR="00475537" w:rsidRPr="004A0BD7" w:rsidRDefault="006C6830" w:rsidP="00DE466D">
      <w:pPr>
        <w:spacing w:before="0" w:after="0"/>
        <w:rPr>
          <w:lang w:val="en-IE"/>
        </w:rPr>
      </w:pPr>
      <w:r w:rsidRPr="00DE466D">
        <w:rPr>
          <w:lang w:val="en-IE"/>
        </w:rPr>
        <w:t>Article 4 amends Directive (EU</w:t>
      </w:r>
      <w:r w:rsidR="00963DBF" w:rsidRPr="00DE466D">
        <w:rPr>
          <w:lang w:val="en-IE"/>
        </w:rPr>
        <w:t>) 2024/1760 (</w:t>
      </w:r>
      <w:r w:rsidR="00BF42C2" w:rsidRPr="00757AE9">
        <w:t>Corporate Sustainability Due Diligence Directive</w:t>
      </w:r>
      <w:r w:rsidR="00963DBF" w:rsidRPr="00757AE9">
        <w:t xml:space="preserve"> ‘CSDDD’)</w:t>
      </w:r>
      <w:r w:rsidR="00B71C65" w:rsidRPr="00757AE9">
        <w:t xml:space="preserve"> </w:t>
      </w:r>
      <w:r w:rsidR="22D32F61" w:rsidRPr="4D53CC4C">
        <w:rPr>
          <w:lang w:val="en-IE"/>
        </w:rPr>
        <w:t xml:space="preserve">on </w:t>
      </w:r>
      <w:r w:rsidR="00961311" w:rsidRPr="4D53CC4C">
        <w:rPr>
          <w:lang w:val="en-IE"/>
        </w:rPr>
        <w:t xml:space="preserve">the following </w:t>
      </w:r>
      <w:r w:rsidR="22D32F61" w:rsidRPr="4D53CC4C">
        <w:rPr>
          <w:lang w:val="en-IE"/>
        </w:rPr>
        <w:t xml:space="preserve">main points: extending the scope of maximum harmonisation, </w:t>
      </w:r>
      <w:r w:rsidR="5982E97C" w:rsidRPr="4D53CC4C">
        <w:rPr>
          <w:lang w:val="en-IE"/>
        </w:rPr>
        <w:t>targeting</w:t>
      </w:r>
      <w:r w:rsidR="2B070C65" w:rsidRPr="4D53CC4C">
        <w:rPr>
          <w:lang w:val="en-IE"/>
        </w:rPr>
        <w:t xml:space="preserve"> due diligence, as a general rule, to direct business partners, </w:t>
      </w:r>
      <w:r w:rsidR="22D32F61" w:rsidRPr="4D53CC4C">
        <w:rPr>
          <w:lang w:val="en-IE"/>
        </w:rPr>
        <w:t xml:space="preserve">removing the duty to terminate the business relationship as a measure of last resort, limiting the notion of ‘stakeholder’ and further restricting the stages of the due diligence process that require stakeholder engagement, extending the intervals in which companies need to regularly monitor the adequacy and effectiveness of due diligence measures, clarifying the principles regarding pecuniary penalties and removing the ‘minimum cap’ for fines, removing </w:t>
      </w:r>
      <w:r w:rsidR="38FAF3FC" w:rsidRPr="4D53CC4C">
        <w:rPr>
          <w:lang w:val="en-IE"/>
        </w:rPr>
        <w:t xml:space="preserve">aspects of </w:t>
      </w:r>
      <w:r w:rsidR="22D32F61" w:rsidRPr="4D53CC4C">
        <w:rPr>
          <w:lang w:val="en-IE"/>
        </w:rPr>
        <w:t xml:space="preserve">the civil liability clause and the rules regarding representative actions, </w:t>
      </w:r>
      <w:r w:rsidR="005F080B">
        <w:rPr>
          <w:lang w:val="en-IE"/>
        </w:rPr>
        <w:t>cha</w:t>
      </w:r>
      <w:r w:rsidR="00B3691D">
        <w:rPr>
          <w:lang w:val="en-IE"/>
        </w:rPr>
        <w:t>nging</w:t>
      </w:r>
      <w:r w:rsidR="005F080B">
        <w:rPr>
          <w:lang w:val="en-IE"/>
        </w:rPr>
        <w:t xml:space="preserve"> the provisions</w:t>
      </w:r>
      <w:r w:rsidR="47F0C582" w:rsidRPr="4D53CC4C">
        <w:rPr>
          <w:lang w:val="en-IE"/>
        </w:rPr>
        <w:t xml:space="preserve"> </w:t>
      </w:r>
      <w:r w:rsidR="00B3691D">
        <w:rPr>
          <w:lang w:val="en-IE"/>
        </w:rPr>
        <w:t>on</w:t>
      </w:r>
      <w:r w:rsidR="47F0C582" w:rsidRPr="006506C8">
        <w:rPr>
          <w:lang w:val="en-IE"/>
        </w:rPr>
        <w:t xml:space="preserve"> </w:t>
      </w:r>
      <w:r w:rsidR="00B3691D">
        <w:rPr>
          <w:lang w:val="en-IE"/>
        </w:rPr>
        <w:t xml:space="preserve">the </w:t>
      </w:r>
      <w:r w:rsidR="47F0C582" w:rsidRPr="006506C8">
        <w:rPr>
          <w:lang w:val="en-IE"/>
        </w:rPr>
        <w:t>implementation</w:t>
      </w:r>
      <w:r w:rsidR="374D428B" w:rsidRPr="4D53CC4C">
        <w:rPr>
          <w:lang w:val="en-IE"/>
        </w:rPr>
        <w:t xml:space="preserve"> </w:t>
      </w:r>
      <w:r w:rsidR="00B3691D">
        <w:rPr>
          <w:lang w:val="en-IE"/>
        </w:rPr>
        <w:t xml:space="preserve">of </w:t>
      </w:r>
      <w:r w:rsidR="374D428B" w:rsidRPr="4D53CC4C">
        <w:rPr>
          <w:lang w:val="en-IE"/>
        </w:rPr>
        <w:t xml:space="preserve">the </w:t>
      </w:r>
      <w:r w:rsidR="47F0C582" w:rsidRPr="4D53CC4C">
        <w:rPr>
          <w:lang w:val="en-IE"/>
        </w:rPr>
        <w:t xml:space="preserve">climate transition plans, </w:t>
      </w:r>
      <w:r w:rsidR="22D32F61" w:rsidRPr="4D53CC4C">
        <w:rPr>
          <w:lang w:val="en-IE"/>
        </w:rPr>
        <w:t>deleting the review clause regarding financial services</w:t>
      </w:r>
      <w:r w:rsidR="00F56420" w:rsidRPr="4D53CC4C">
        <w:rPr>
          <w:lang w:val="en-IE"/>
        </w:rPr>
        <w:t xml:space="preserve">, </w:t>
      </w:r>
      <w:r w:rsidR="67B43B42" w:rsidRPr="4D53CC4C">
        <w:rPr>
          <w:lang w:val="en-IE"/>
        </w:rPr>
        <w:t xml:space="preserve">and </w:t>
      </w:r>
      <w:r w:rsidR="00B727AF" w:rsidRPr="4D53CC4C">
        <w:rPr>
          <w:lang w:val="en-IE"/>
        </w:rPr>
        <w:t>bringing forward the</w:t>
      </w:r>
      <w:r w:rsidR="002B2DA0" w:rsidRPr="4D53CC4C">
        <w:rPr>
          <w:lang w:val="en-IE"/>
        </w:rPr>
        <w:t xml:space="preserve"> adoption of </w:t>
      </w:r>
      <w:r w:rsidR="00D44513" w:rsidRPr="4D53CC4C">
        <w:rPr>
          <w:lang w:val="en-IE"/>
        </w:rPr>
        <w:t xml:space="preserve">the </w:t>
      </w:r>
      <w:r w:rsidR="00F70B89" w:rsidRPr="4D53CC4C">
        <w:rPr>
          <w:lang w:val="en-IE"/>
        </w:rPr>
        <w:t xml:space="preserve">first set of </w:t>
      </w:r>
      <w:r w:rsidR="00A20CF0" w:rsidRPr="4D53CC4C">
        <w:rPr>
          <w:lang w:val="en-IE"/>
        </w:rPr>
        <w:t>(</w:t>
      </w:r>
      <w:r w:rsidR="00B7015C" w:rsidRPr="4D53CC4C">
        <w:rPr>
          <w:lang w:val="en-IE"/>
        </w:rPr>
        <w:t>general</w:t>
      </w:r>
      <w:r w:rsidR="00A20CF0" w:rsidRPr="4D53CC4C">
        <w:rPr>
          <w:lang w:val="en-IE"/>
        </w:rPr>
        <w:t>)</w:t>
      </w:r>
      <w:r w:rsidR="00B7015C" w:rsidRPr="4D53CC4C">
        <w:rPr>
          <w:lang w:val="en-IE"/>
        </w:rPr>
        <w:t xml:space="preserve"> </w:t>
      </w:r>
      <w:r w:rsidR="002B2DA0" w:rsidRPr="4D53CC4C">
        <w:rPr>
          <w:lang w:val="en-IE"/>
        </w:rPr>
        <w:t xml:space="preserve">implementing </w:t>
      </w:r>
      <w:r w:rsidR="00B7015C" w:rsidRPr="4D53CC4C">
        <w:rPr>
          <w:lang w:val="en-IE"/>
        </w:rPr>
        <w:t xml:space="preserve">guidelines </w:t>
      </w:r>
      <w:r w:rsidR="002B2DA0" w:rsidRPr="4D53CC4C">
        <w:rPr>
          <w:lang w:val="en-IE"/>
        </w:rPr>
        <w:t>by the Commission</w:t>
      </w:r>
      <w:r w:rsidR="22D32F61" w:rsidRPr="4D53CC4C">
        <w:rPr>
          <w:lang w:val="en-IE"/>
        </w:rPr>
        <w:t>.</w:t>
      </w:r>
      <w:r w:rsidR="007903E7" w:rsidRPr="4D53CC4C">
        <w:rPr>
          <w:lang w:val="en-IE"/>
        </w:rPr>
        <w:t xml:space="preserve"> In particular: </w:t>
      </w:r>
    </w:p>
    <w:p w14:paraId="45A9592B" w14:textId="77777777" w:rsidR="003E5CAB" w:rsidRPr="000A0207" w:rsidRDefault="003E5CAB" w:rsidP="4B28569E">
      <w:pPr>
        <w:pStyle w:val="Tiret0"/>
        <w:ind w:hanging="566"/>
        <w:rPr>
          <w:lang w:val="en-IE"/>
        </w:rPr>
      </w:pPr>
      <w:r w:rsidRPr="006506C8">
        <w:rPr>
          <w:lang w:val="en-IE"/>
        </w:rPr>
        <w:t xml:space="preserve">paragraph (1) </w:t>
      </w:r>
      <w:r w:rsidR="00C13C62">
        <w:rPr>
          <w:lang w:val="en-IE"/>
        </w:rPr>
        <w:t>replaces</w:t>
      </w:r>
      <w:r w:rsidR="006506C8" w:rsidRPr="006506C8">
        <w:rPr>
          <w:lang w:val="en-IE"/>
        </w:rPr>
        <w:t xml:space="preserve"> Article 1(1), point (c)</w:t>
      </w:r>
      <w:r w:rsidR="008964B1">
        <w:rPr>
          <w:lang w:val="en-IE"/>
        </w:rPr>
        <w:t xml:space="preserve"> of the CSDDD </w:t>
      </w:r>
      <w:r w:rsidR="00EB1E52">
        <w:rPr>
          <w:lang w:val="en-IE"/>
        </w:rPr>
        <w:t>to alig</w:t>
      </w:r>
      <w:r w:rsidR="00D71AC6">
        <w:rPr>
          <w:lang w:val="en-IE"/>
        </w:rPr>
        <w:t>n</w:t>
      </w:r>
      <w:r w:rsidR="00EB1E52">
        <w:rPr>
          <w:lang w:val="en-IE"/>
        </w:rPr>
        <w:t xml:space="preserve"> the </w:t>
      </w:r>
      <w:r w:rsidR="00D71AC6">
        <w:rPr>
          <w:lang w:val="en-IE"/>
        </w:rPr>
        <w:t xml:space="preserve">description of the </w:t>
      </w:r>
      <w:r w:rsidR="00EB1E52">
        <w:rPr>
          <w:lang w:val="en-IE"/>
        </w:rPr>
        <w:t xml:space="preserve">subject matter of the Directive </w:t>
      </w:r>
      <w:r w:rsidR="00AE4D6D">
        <w:rPr>
          <w:lang w:val="en-IE"/>
        </w:rPr>
        <w:t xml:space="preserve">with the </w:t>
      </w:r>
      <w:r w:rsidR="002D49C0">
        <w:rPr>
          <w:lang w:val="en-IE"/>
        </w:rPr>
        <w:t>changes proposed to Article 2</w:t>
      </w:r>
      <w:r w:rsidR="008C4A45">
        <w:rPr>
          <w:lang w:val="en-IE"/>
        </w:rPr>
        <w:t>2(</w:t>
      </w:r>
      <w:r w:rsidR="00EE5B17">
        <w:rPr>
          <w:lang w:val="en-IE"/>
        </w:rPr>
        <w:t xml:space="preserve">1) </w:t>
      </w:r>
      <w:r w:rsidR="00B46F59">
        <w:rPr>
          <w:lang w:val="en-IE"/>
        </w:rPr>
        <w:t xml:space="preserve">regarding the implementation </w:t>
      </w:r>
      <w:r w:rsidR="007B3A98">
        <w:rPr>
          <w:lang w:val="en-IE"/>
        </w:rPr>
        <w:t>of the transition plans for climate change mitigation;</w:t>
      </w:r>
    </w:p>
    <w:p w14:paraId="0CCE8EC8" w14:textId="77777777" w:rsidR="00F54153" w:rsidRDefault="008F166E" w:rsidP="4B28569E">
      <w:pPr>
        <w:pStyle w:val="Tiret0"/>
        <w:ind w:hanging="566"/>
        <w:rPr>
          <w:lang w:val="en-IE"/>
        </w:rPr>
      </w:pPr>
      <w:r>
        <w:rPr>
          <w:lang w:val="en-IE"/>
        </w:rPr>
        <w:t>paragraph (</w:t>
      </w:r>
      <w:r w:rsidR="0053199C">
        <w:rPr>
          <w:lang w:val="en-IE"/>
        </w:rPr>
        <w:t>2</w:t>
      </w:r>
      <w:r>
        <w:rPr>
          <w:lang w:val="en-IE"/>
        </w:rPr>
        <w:t>)</w:t>
      </w:r>
      <w:r w:rsidR="00EC2B05">
        <w:rPr>
          <w:lang w:val="en-IE"/>
        </w:rPr>
        <w:t xml:space="preserve"> </w:t>
      </w:r>
      <w:r w:rsidR="009667A1">
        <w:rPr>
          <w:lang w:val="en-IE"/>
        </w:rPr>
        <w:t xml:space="preserve">replaces </w:t>
      </w:r>
      <w:r w:rsidR="00C13ABE">
        <w:rPr>
          <w:lang w:val="en-IE"/>
        </w:rPr>
        <w:t>Article 3(1), point (n) of the CSDDD on the definition of ‘stakeholder</w:t>
      </w:r>
      <w:r w:rsidR="00707ECC">
        <w:rPr>
          <w:lang w:val="en-IE"/>
        </w:rPr>
        <w:t>s’</w:t>
      </w:r>
      <w:r w:rsidR="00170B42">
        <w:rPr>
          <w:lang w:val="en-IE"/>
        </w:rPr>
        <w:t xml:space="preserve"> to </w:t>
      </w:r>
      <w:r w:rsidR="00707ECC" w:rsidRPr="00433D45">
        <w:rPr>
          <w:lang w:val="en-IE"/>
        </w:rPr>
        <w:t>reduce the scope of the ‘stakeholder’ notion by simplifying the definition and limiting it to workers and their representatives, and to individuals and communities whose rights or interests are (in case of actual adverse impacts) or could be (in case of potential adverse impacts) “directly” affected by the products, services and operations of the company, its subsidiaries and its business partners. This includes, for instance, individuals or communities in the neighbourhood of plants operated by business partners when they are directly affected by pollution (e.g., an oil spill or harmful emissions), or indigenous people whose right to lands or resources are directly affected by how a business partner acquires, develops or otherwise uses land, forests or waters</w:t>
      </w:r>
      <w:r w:rsidR="00F54153">
        <w:rPr>
          <w:lang w:val="en-IE"/>
        </w:rPr>
        <w:t>;</w:t>
      </w:r>
      <w:r w:rsidR="00707ECC" w:rsidRPr="00433D45">
        <w:rPr>
          <w:lang w:val="en-IE"/>
        </w:rPr>
        <w:t xml:space="preserve"> </w:t>
      </w:r>
    </w:p>
    <w:p w14:paraId="6B483F0F" w14:textId="77777777" w:rsidR="00475537" w:rsidRPr="00433D45" w:rsidRDefault="00F54153" w:rsidP="4B28569E">
      <w:pPr>
        <w:pStyle w:val="Tiret0"/>
        <w:ind w:hanging="566"/>
        <w:rPr>
          <w:lang w:val="en-IE"/>
        </w:rPr>
      </w:pPr>
      <w:r>
        <w:rPr>
          <w:lang w:val="en-IE"/>
        </w:rPr>
        <w:t>paragraph (</w:t>
      </w:r>
      <w:r w:rsidR="0053199C">
        <w:rPr>
          <w:lang w:val="en-IE"/>
        </w:rPr>
        <w:t>3</w:t>
      </w:r>
      <w:r>
        <w:rPr>
          <w:lang w:val="en-IE"/>
        </w:rPr>
        <w:t xml:space="preserve">) </w:t>
      </w:r>
      <w:r w:rsidR="2D0F31D9" w:rsidRPr="1765D56E">
        <w:rPr>
          <w:lang w:val="en-IE"/>
        </w:rPr>
        <w:t>replaces</w:t>
      </w:r>
      <w:r w:rsidR="009667A1">
        <w:rPr>
          <w:lang w:val="en-IE"/>
        </w:rPr>
        <w:t xml:space="preserve"> </w:t>
      </w:r>
      <w:r w:rsidR="00182EF8">
        <w:rPr>
          <w:lang w:val="en-IE"/>
        </w:rPr>
        <w:t>Article 4</w:t>
      </w:r>
      <w:r w:rsidR="00D713C7">
        <w:rPr>
          <w:lang w:val="en-IE"/>
        </w:rPr>
        <w:t xml:space="preserve"> </w:t>
      </w:r>
      <w:r w:rsidR="00184EDD">
        <w:rPr>
          <w:lang w:val="en-IE"/>
        </w:rPr>
        <w:t xml:space="preserve">of the CSDDD </w:t>
      </w:r>
      <w:r w:rsidR="00D713C7">
        <w:rPr>
          <w:lang w:val="en-IE"/>
        </w:rPr>
        <w:t>on the l</w:t>
      </w:r>
      <w:r w:rsidR="00D713C7" w:rsidRPr="00D713C7">
        <w:rPr>
          <w:lang w:val="en-IE"/>
        </w:rPr>
        <w:t>evel of harmonisation</w:t>
      </w:r>
      <w:r w:rsidR="00D713C7">
        <w:rPr>
          <w:lang w:val="en-IE"/>
        </w:rPr>
        <w:t xml:space="preserve"> to </w:t>
      </w:r>
      <w:r w:rsidR="00475537" w:rsidRPr="00433D45">
        <w:rPr>
          <w:lang w:val="en-IE"/>
        </w:rPr>
        <w:t xml:space="preserve">extend </w:t>
      </w:r>
      <w:r w:rsidR="00D41288">
        <w:rPr>
          <w:lang w:val="en-IE"/>
        </w:rPr>
        <w:t>the</w:t>
      </w:r>
      <w:r w:rsidR="00D41288" w:rsidRPr="00433D45">
        <w:rPr>
          <w:lang w:val="en-IE"/>
        </w:rPr>
        <w:t xml:space="preserve"> </w:t>
      </w:r>
      <w:r w:rsidR="00475537" w:rsidRPr="00433D45">
        <w:rPr>
          <w:lang w:val="en-IE"/>
        </w:rPr>
        <w:t xml:space="preserve">scope </w:t>
      </w:r>
      <w:r w:rsidR="00D41288">
        <w:rPr>
          <w:lang w:val="en-IE"/>
        </w:rPr>
        <w:t xml:space="preserve">of maximum harmonisation </w:t>
      </w:r>
      <w:r w:rsidR="00475537" w:rsidRPr="00433D45">
        <w:rPr>
          <w:lang w:val="en-IE"/>
        </w:rPr>
        <w:t xml:space="preserve">to several additional provisions of the Directive that regulate the core aspects of the due diligence process. This includes in particular the identification duty, the duties to address adverse impacts that have been or should have been identified, and the </w:t>
      </w:r>
      <w:r w:rsidR="6BE24B54" w:rsidRPr="00433D45">
        <w:rPr>
          <w:lang w:val="en-IE"/>
        </w:rPr>
        <w:t>d</w:t>
      </w:r>
      <w:r w:rsidR="66D4B595" w:rsidRPr="00433D45">
        <w:rPr>
          <w:lang w:val="en-IE"/>
        </w:rPr>
        <w:t>uty</w:t>
      </w:r>
      <w:r w:rsidR="00475537" w:rsidRPr="00433D45">
        <w:rPr>
          <w:lang w:val="en-IE"/>
        </w:rPr>
        <w:t xml:space="preserve"> to provide for a complaints and notification mechanism. However, the proposal also recognises that there are legal limits of what can be harmonised fully in a cross-sectoral framework directive dealing with social and environmental protection and which essentially sets out a general process to implement companies’ duty of care with regard to adverse impacts linked to business activities. Extending maximum harmonisation beyond this scope would risk undermining human – including labour – rights and environmental standards, both existing or still to be developed, for instance to address emerging risks linked to new products or services, while the practical benefits would be very limited. Where such risks are addressed by Member States, in particular in areas where the Union has limited competences like for instance labour law, they should not be prevented from doing so where they consider this necessary to regulate how the duty of care applies in specific circumstances</w:t>
      </w:r>
      <w:r w:rsidR="00110D64">
        <w:rPr>
          <w:lang w:val="en-IE"/>
        </w:rPr>
        <w:t>;</w:t>
      </w:r>
    </w:p>
    <w:p w14:paraId="4DA80953" w14:textId="77777777" w:rsidR="004A5E50" w:rsidRDefault="00184EDD" w:rsidP="25A703FF">
      <w:pPr>
        <w:pStyle w:val="Tiret0"/>
        <w:ind w:hanging="566"/>
        <w:rPr>
          <w:lang w:val="en-IE"/>
        </w:rPr>
      </w:pPr>
      <w:r>
        <w:rPr>
          <w:lang w:val="en-IE"/>
        </w:rPr>
        <w:t>paragraph (</w:t>
      </w:r>
      <w:r w:rsidR="0053199C">
        <w:rPr>
          <w:lang w:val="en-IE"/>
        </w:rPr>
        <w:t>4</w:t>
      </w:r>
      <w:r>
        <w:rPr>
          <w:lang w:val="en-IE"/>
        </w:rPr>
        <w:t>) amends Article 8 of the CSDDD o</w:t>
      </w:r>
      <w:r w:rsidR="00F4701D">
        <w:rPr>
          <w:lang w:val="en-IE"/>
        </w:rPr>
        <w:t xml:space="preserve">n </w:t>
      </w:r>
      <w:r w:rsidR="003537E0">
        <w:rPr>
          <w:lang w:val="en-IE"/>
        </w:rPr>
        <w:t>i</w:t>
      </w:r>
      <w:r w:rsidR="00B153D9" w:rsidRPr="00B153D9">
        <w:rPr>
          <w:lang w:val="en-IE"/>
        </w:rPr>
        <w:t>dentifying and assessing actual and potential adverse impacts</w:t>
      </w:r>
      <w:r w:rsidR="004757D5">
        <w:rPr>
          <w:lang w:val="en-IE"/>
        </w:rPr>
        <w:t xml:space="preserve"> by </w:t>
      </w:r>
      <w:r w:rsidR="00992E1B">
        <w:rPr>
          <w:lang w:val="en-IE"/>
        </w:rPr>
        <w:t>replacing</w:t>
      </w:r>
      <w:r w:rsidR="004757D5">
        <w:rPr>
          <w:lang w:val="en-IE"/>
        </w:rPr>
        <w:t xml:space="preserve"> </w:t>
      </w:r>
      <w:r w:rsidR="0063585E">
        <w:rPr>
          <w:lang w:val="en-IE"/>
        </w:rPr>
        <w:t>paragraph (2)</w:t>
      </w:r>
      <w:r w:rsidR="00332914">
        <w:rPr>
          <w:lang w:val="en-IE"/>
        </w:rPr>
        <w:t>, point (b) and paragraph (4)</w:t>
      </w:r>
      <w:r w:rsidR="00D034E6">
        <w:rPr>
          <w:lang w:val="en-IE"/>
        </w:rPr>
        <w:t xml:space="preserve">, </w:t>
      </w:r>
      <w:r w:rsidR="00643554">
        <w:rPr>
          <w:lang w:val="en-IE"/>
        </w:rPr>
        <w:t xml:space="preserve">and by adding </w:t>
      </w:r>
      <w:r w:rsidR="00D034E6">
        <w:rPr>
          <w:lang w:val="en-IE"/>
        </w:rPr>
        <w:t>new paragraph</w:t>
      </w:r>
      <w:r w:rsidR="00643554">
        <w:rPr>
          <w:lang w:val="en-IE"/>
        </w:rPr>
        <w:t>s</w:t>
      </w:r>
      <w:r w:rsidR="00D034E6">
        <w:rPr>
          <w:lang w:val="en-IE"/>
        </w:rPr>
        <w:t xml:space="preserve"> (2a) and </w:t>
      </w:r>
      <w:r w:rsidR="00865168">
        <w:rPr>
          <w:lang w:val="en-IE"/>
        </w:rPr>
        <w:t>(</w:t>
      </w:r>
      <w:r w:rsidR="00743CBC">
        <w:rPr>
          <w:lang w:val="en-IE"/>
        </w:rPr>
        <w:t>5</w:t>
      </w:r>
      <w:r w:rsidR="0063585E">
        <w:rPr>
          <w:lang w:val="en-IE"/>
        </w:rPr>
        <w:t>)</w:t>
      </w:r>
      <w:r w:rsidR="0081083C">
        <w:rPr>
          <w:lang w:val="en-IE"/>
        </w:rPr>
        <w:t xml:space="preserve"> concerning</w:t>
      </w:r>
      <w:r w:rsidR="00CE477B" w:rsidRPr="00433D45">
        <w:rPr>
          <w:lang w:val="en-IE"/>
        </w:rPr>
        <w:t xml:space="preserve"> the chain of activities</w:t>
      </w:r>
      <w:r w:rsidR="0081083C">
        <w:rPr>
          <w:lang w:val="en-IE"/>
        </w:rPr>
        <w:t>:</w:t>
      </w:r>
    </w:p>
    <w:p w14:paraId="427A9E21" w14:textId="77777777" w:rsidR="006B5A4C" w:rsidRDefault="00CE477B" w:rsidP="0025470E">
      <w:pPr>
        <w:pStyle w:val="Bullet0"/>
        <w:tabs>
          <w:tab w:val="clear" w:pos="850"/>
        </w:tabs>
        <w:ind w:left="1418" w:hanging="425"/>
        <w:rPr>
          <w:lang w:val="en-IE"/>
        </w:rPr>
      </w:pPr>
      <w:r w:rsidRPr="00433D45">
        <w:rPr>
          <w:lang w:val="en-IE"/>
        </w:rPr>
        <w:lastRenderedPageBreak/>
        <w:t>to limit due diligence measures, as a general rule, to the companies’ own operations, those of their subsidiaries and</w:t>
      </w:r>
      <w:r w:rsidR="00953EB7" w:rsidRPr="5C7C626C">
        <w:rPr>
          <w:lang w:val="en-IE"/>
        </w:rPr>
        <w:t>, where related to their chains of activities,</w:t>
      </w:r>
      <w:r w:rsidRPr="00433D45">
        <w:rPr>
          <w:lang w:val="en-IE"/>
        </w:rPr>
        <w:t xml:space="preserve"> those of their direct business partners. Consequently, when it comes to business relationships, following a mapping of their value chains, companies would be required to </w:t>
      </w:r>
      <w:r w:rsidR="1FBB155C" w:rsidRPr="00433D45">
        <w:rPr>
          <w:lang w:val="en-IE"/>
        </w:rPr>
        <w:t>carry out an in</w:t>
      </w:r>
      <w:r w:rsidR="275920F9" w:rsidRPr="00433D45">
        <w:rPr>
          <w:lang w:val="en-IE"/>
        </w:rPr>
        <w:t>-</w:t>
      </w:r>
      <w:r w:rsidR="1FBB155C" w:rsidRPr="00433D45">
        <w:rPr>
          <w:lang w:val="en-IE"/>
        </w:rPr>
        <w:t>depth</w:t>
      </w:r>
      <w:r w:rsidRPr="00433D45">
        <w:rPr>
          <w:lang w:val="en-IE"/>
        </w:rPr>
        <w:t xml:space="preserve"> </w:t>
      </w:r>
      <w:r w:rsidR="4631D7DA" w:rsidRPr="00433D45">
        <w:rPr>
          <w:lang w:val="en-IE"/>
        </w:rPr>
        <w:t>assessment</w:t>
      </w:r>
      <w:r w:rsidRPr="00433D45">
        <w:rPr>
          <w:lang w:val="en-IE"/>
        </w:rPr>
        <w:t xml:space="preserve"> only at the level of direct business partners. At the same time, the proposal recognises that there can be situations where companies have to look beyond their direct business partner, namely where they have </w:t>
      </w:r>
      <w:r w:rsidR="00AF069E">
        <w:rPr>
          <w:lang w:val="en-IE"/>
        </w:rPr>
        <w:t xml:space="preserve">plausible </w:t>
      </w:r>
      <w:r w:rsidRPr="00433D45">
        <w:rPr>
          <w:lang w:val="en-IE"/>
        </w:rPr>
        <w:t xml:space="preserve">information that suggests an adverse impact at the level of an indirect business partner. This may, for instance, be the case where the structure of the business relationship lacks economic rationale and suggests that it was chosen to remove an otherwise direct supplier with harmful activities from the purview of the company, where the company has received a complaint or </w:t>
      </w:r>
      <w:r w:rsidR="7B333A0D" w:rsidRPr="00433D45">
        <w:rPr>
          <w:lang w:val="en-IE"/>
        </w:rPr>
        <w:t xml:space="preserve">is aware of </w:t>
      </w:r>
      <w:r w:rsidR="50EF680E" w:rsidRPr="00433D45">
        <w:rPr>
          <w:lang w:val="en-IE"/>
        </w:rPr>
        <w:t>credible</w:t>
      </w:r>
      <w:r w:rsidRPr="00433D45">
        <w:rPr>
          <w:lang w:val="en-IE"/>
        </w:rPr>
        <w:t xml:space="preserve"> </w:t>
      </w:r>
      <w:r w:rsidR="626FB830" w:rsidRPr="00433D45">
        <w:rPr>
          <w:lang w:val="en-IE"/>
        </w:rPr>
        <w:t>NGO</w:t>
      </w:r>
      <w:r w:rsidRPr="00433D45">
        <w:rPr>
          <w:lang w:val="en-IE"/>
        </w:rPr>
        <w:t xml:space="preserve"> </w:t>
      </w:r>
      <w:r w:rsidR="183EBBEA" w:rsidRPr="00433D45">
        <w:rPr>
          <w:lang w:val="en-IE"/>
        </w:rPr>
        <w:t>or media</w:t>
      </w:r>
      <w:r w:rsidRPr="00433D45">
        <w:rPr>
          <w:lang w:val="en-IE"/>
        </w:rPr>
        <w:t xml:space="preserve"> report</w:t>
      </w:r>
      <w:r w:rsidR="3E7C0869" w:rsidRPr="00433D45">
        <w:rPr>
          <w:lang w:val="en-IE"/>
        </w:rPr>
        <w:t>s</w:t>
      </w:r>
      <w:r w:rsidRPr="00433D45">
        <w:rPr>
          <w:lang w:val="en-IE"/>
        </w:rPr>
        <w:t xml:space="preserve"> about harmful activities at the level of an indirect supplier or is aware of past incidents involving the supplier, or where the company through its business contacts knows about problems at a certain location (e.g., conflict area). </w:t>
      </w:r>
      <w:r w:rsidR="7FF3FEB8" w:rsidRPr="00433D45">
        <w:rPr>
          <w:lang w:val="en-IE"/>
        </w:rPr>
        <w:t>In these cases</w:t>
      </w:r>
      <w:r w:rsidRPr="00433D45">
        <w:rPr>
          <w:lang w:val="en-IE"/>
        </w:rPr>
        <w:t>, companies should be required to further assess the situation. Where the assessment confirms the likelihood or existence of the adverse impact, it should be deemed to have been identified. In addition, a company should seek to ensure that its code of conduct – which is part of its due diligence policy and sets out the expectations as to how to protect human, including labour, rights and the environment in business operations – is followed throughout the chain of activities (contractual cascading). This aligns with the approach taken under the German Supply Chain Act (Lieferkettensorgfaltspflicht-Gesetz) which contains similar rules both as regards the focus on direct suppliers and the ways in which due diligence should go beyond</w:t>
      </w:r>
      <w:r w:rsidR="013D916C" w:rsidRPr="00433D45">
        <w:rPr>
          <w:lang w:val="en-IE"/>
        </w:rPr>
        <w:t xml:space="preserve"> in light of the available information</w:t>
      </w:r>
      <w:r w:rsidRPr="00433D45">
        <w:rPr>
          <w:lang w:val="en-IE"/>
        </w:rPr>
        <w:t>.</w:t>
      </w:r>
      <w:r w:rsidR="68A2B1A8" w:rsidRPr="00433D45">
        <w:rPr>
          <w:lang w:val="en-IE"/>
        </w:rPr>
        <w:t xml:space="preserve"> The company should also </w:t>
      </w:r>
      <w:r w:rsidR="68A2B1A8" w:rsidRPr="6305E7A3">
        <w:rPr>
          <w:lang w:val="en-IE"/>
        </w:rPr>
        <w:t xml:space="preserve">take into account </w:t>
      </w:r>
      <w:r w:rsidR="68A2B1A8" w:rsidRPr="00433D45">
        <w:rPr>
          <w:lang w:val="en-IE"/>
        </w:rPr>
        <w:t>SME support measures</w:t>
      </w:r>
      <w:r w:rsidR="00821ECF">
        <w:rPr>
          <w:lang w:val="en-IE"/>
        </w:rPr>
        <w:t>; and</w:t>
      </w:r>
      <w:r w:rsidR="68A2B1A8" w:rsidRPr="00433D45">
        <w:rPr>
          <w:lang w:val="en-IE"/>
        </w:rPr>
        <w:t xml:space="preserve"> </w:t>
      </w:r>
    </w:p>
    <w:p w14:paraId="75111DD2" w14:textId="77777777" w:rsidR="00CE477B" w:rsidRPr="00433D45" w:rsidRDefault="00A36A8F" w:rsidP="00B626C2">
      <w:pPr>
        <w:pStyle w:val="Bullet0"/>
        <w:tabs>
          <w:tab w:val="clear" w:pos="850"/>
        </w:tabs>
        <w:ind w:left="1418" w:hanging="425"/>
        <w:rPr>
          <w:lang w:val="en-IE"/>
        </w:rPr>
      </w:pPr>
      <w:r w:rsidRPr="00433D45">
        <w:rPr>
          <w:lang w:val="en-IE"/>
        </w:rPr>
        <w:t>to further limit the trickle</w:t>
      </w:r>
      <w:r w:rsidR="00F425D1" w:rsidRPr="00433D45">
        <w:rPr>
          <w:lang w:val="en-IE"/>
        </w:rPr>
        <w:t>-</w:t>
      </w:r>
      <w:r w:rsidRPr="00433D45">
        <w:rPr>
          <w:lang w:val="en-IE"/>
        </w:rPr>
        <w:t xml:space="preserve">down effect </w:t>
      </w:r>
      <w:r w:rsidR="00AA0F11" w:rsidRPr="00433D45">
        <w:rPr>
          <w:lang w:val="en-IE"/>
        </w:rPr>
        <w:t xml:space="preserve">on </w:t>
      </w:r>
      <w:r w:rsidR="00EC2CB1">
        <w:rPr>
          <w:lang w:val="en-IE"/>
        </w:rPr>
        <w:t xml:space="preserve">companies with </w:t>
      </w:r>
      <w:r w:rsidR="00EC2CB1" w:rsidRPr="0050464C">
        <w:rPr>
          <w:rFonts w:eastAsiaTheme="minorEastAsia"/>
          <w:lang w:val="en-IE"/>
        </w:rPr>
        <w:t>fewer than 500 employees</w:t>
      </w:r>
      <w:r w:rsidR="00EC2CB1" w:rsidRPr="00433D45">
        <w:rPr>
          <w:lang w:val="en-IE"/>
        </w:rPr>
        <w:t xml:space="preserve"> </w:t>
      </w:r>
      <w:r w:rsidR="00EC2CB1">
        <w:rPr>
          <w:lang w:val="en-IE"/>
        </w:rPr>
        <w:t xml:space="preserve">(i.e. </w:t>
      </w:r>
      <w:r w:rsidR="00AA0F11" w:rsidRPr="00433D45">
        <w:rPr>
          <w:lang w:val="en-IE"/>
        </w:rPr>
        <w:t>SMEs and</w:t>
      </w:r>
      <w:r w:rsidR="00B41265" w:rsidRPr="00433D45">
        <w:rPr>
          <w:lang w:val="en-IE"/>
        </w:rPr>
        <w:t xml:space="preserve"> small midcap</w:t>
      </w:r>
      <w:r w:rsidR="00F81386" w:rsidRPr="00433D45">
        <w:rPr>
          <w:lang w:val="en-IE"/>
        </w:rPr>
        <w:t xml:space="preserve"> companies</w:t>
      </w:r>
      <w:r w:rsidR="00EC2CB1">
        <w:rPr>
          <w:lang w:val="en-IE"/>
        </w:rPr>
        <w:t>)</w:t>
      </w:r>
      <w:r w:rsidR="00B41265" w:rsidRPr="00433D45">
        <w:rPr>
          <w:lang w:val="en-IE"/>
        </w:rPr>
        <w:t xml:space="preserve">, by </w:t>
      </w:r>
      <w:r w:rsidR="00F96400" w:rsidRPr="00433D45">
        <w:rPr>
          <w:lang w:val="en-IE"/>
        </w:rPr>
        <w:t xml:space="preserve">limiting the </w:t>
      </w:r>
      <w:r w:rsidR="00491AA0" w:rsidRPr="00433D45">
        <w:rPr>
          <w:lang w:val="en-IE"/>
        </w:rPr>
        <w:t>amount o</w:t>
      </w:r>
      <w:r w:rsidR="00A65113" w:rsidRPr="00433D45">
        <w:rPr>
          <w:lang w:val="en-IE"/>
        </w:rPr>
        <w:t xml:space="preserve">f </w:t>
      </w:r>
      <w:r w:rsidR="00EC195A" w:rsidRPr="00433D45">
        <w:rPr>
          <w:lang w:val="en-IE"/>
        </w:rPr>
        <w:t>the</w:t>
      </w:r>
      <w:r w:rsidR="00A65113" w:rsidRPr="00433D45">
        <w:rPr>
          <w:lang w:val="en-IE"/>
        </w:rPr>
        <w:t xml:space="preserve"> information </w:t>
      </w:r>
      <w:r w:rsidR="00D16080">
        <w:rPr>
          <w:lang w:val="en-IE"/>
        </w:rPr>
        <w:t xml:space="preserve">that may be </w:t>
      </w:r>
      <w:r w:rsidR="00A65113" w:rsidRPr="00433D45">
        <w:rPr>
          <w:lang w:val="en-IE"/>
        </w:rPr>
        <w:t>request</w:t>
      </w:r>
      <w:r w:rsidR="00903FBC" w:rsidRPr="00433D45">
        <w:rPr>
          <w:lang w:val="en-IE"/>
        </w:rPr>
        <w:t>ed</w:t>
      </w:r>
      <w:r w:rsidR="00A65113" w:rsidRPr="00433D45">
        <w:rPr>
          <w:lang w:val="en-IE"/>
        </w:rPr>
        <w:t xml:space="preserve"> </w:t>
      </w:r>
      <w:r w:rsidR="00920BC6" w:rsidRPr="00433D45">
        <w:rPr>
          <w:lang w:val="en-IE"/>
        </w:rPr>
        <w:t>as part of the value chain mapping</w:t>
      </w:r>
      <w:r w:rsidR="00AC323B" w:rsidRPr="00433D45">
        <w:rPr>
          <w:lang w:val="en-IE"/>
        </w:rPr>
        <w:t xml:space="preserve"> by large companies</w:t>
      </w:r>
      <w:r w:rsidR="0062135C">
        <w:rPr>
          <w:lang w:val="en-IE"/>
        </w:rPr>
        <w:t xml:space="preserve"> t</w:t>
      </w:r>
      <w:r w:rsidR="00D16080">
        <w:rPr>
          <w:lang w:val="en-IE"/>
        </w:rPr>
        <w:t xml:space="preserve">o </w:t>
      </w:r>
      <w:r w:rsidR="00D16080" w:rsidRPr="0050464C">
        <w:rPr>
          <w:rFonts w:eastAsiaTheme="minorEastAsia"/>
          <w:lang w:val="en-IE"/>
        </w:rPr>
        <w:t>the information specified in the</w:t>
      </w:r>
      <w:r w:rsidR="00D16080">
        <w:rPr>
          <w:lang w:val="en-IE"/>
        </w:rPr>
        <w:t xml:space="preserve"> </w:t>
      </w:r>
      <w:r w:rsidR="005C726B">
        <w:rPr>
          <w:lang w:val="en-IE"/>
        </w:rPr>
        <w:t>V</w:t>
      </w:r>
      <w:r w:rsidR="00D16080">
        <w:rPr>
          <w:lang w:val="en-IE"/>
        </w:rPr>
        <w:t>SME</w:t>
      </w:r>
      <w:r w:rsidR="005C726B">
        <w:rPr>
          <w:lang w:val="en-IE"/>
        </w:rPr>
        <w:t xml:space="preserve"> </w:t>
      </w:r>
      <w:r w:rsidR="00A62644">
        <w:rPr>
          <w:lang w:val="en-IE"/>
        </w:rPr>
        <w:t>sustainability reporting standard</w:t>
      </w:r>
      <w:r w:rsidR="0031112E" w:rsidRPr="00433D45">
        <w:rPr>
          <w:lang w:val="en-IE"/>
        </w:rPr>
        <w:t>, un</w:t>
      </w:r>
      <w:r w:rsidR="00AC323B" w:rsidRPr="00433D45">
        <w:rPr>
          <w:lang w:val="en-IE"/>
        </w:rPr>
        <w:t xml:space="preserve">less </w:t>
      </w:r>
      <w:r w:rsidR="00585B4C" w:rsidRPr="006506C8">
        <w:rPr>
          <w:rFonts w:eastAsiaTheme="minorEastAsia"/>
          <w:lang w:val="en-IE"/>
        </w:rPr>
        <w:t>additional information is necessary</w:t>
      </w:r>
      <w:r w:rsidR="000E641E" w:rsidRPr="006506C8">
        <w:rPr>
          <w:rFonts w:eastAsiaTheme="minorEastAsia"/>
          <w:lang w:val="en-IE"/>
        </w:rPr>
        <w:t>,</w:t>
      </w:r>
      <w:r w:rsidR="00585B4C" w:rsidRPr="006506C8">
        <w:rPr>
          <w:rFonts w:eastAsiaTheme="minorEastAsia"/>
          <w:lang w:val="en-IE"/>
        </w:rPr>
        <w:t xml:space="preserve"> </w:t>
      </w:r>
      <w:r w:rsidR="00585B4C" w:rsidRPr="00CB5104">
        <w:rPr>
          <w:lang w:val="en-IE"/>
        </w:rPr>
        <w:t xml:space="preserve">for </w:t>
      </w:r>
      <w:r w:rsidR="000E641E">
        <w:rPr>
          <w:lang w:val="en-IE"/>
        </w:rPr>
        <w:t xml:space="preserve">instance </w:t>
      </w:r>
      <w:r w:rsidR="00302111">
        <w:rPr>
          <w:lang w:val="en-IE"/>
        </w:rPr>
        <w:t xml:space="preserve">because the standards do not cover a relevant impact, and </w:t>
      </w:r>
      <w:r w:rsidR="008B72EE">
        <w:rPr>
          <w:lang w:val="en-IE"/>
        </w:rPr>
        <w:t xml:space="preserve">where </w:t>
      </w:r>
      <w:r w:rsidR="00AC323B" w:rsidRPr="00433D45">
        <w:rPr>
          <w:lang w:val="en-IE"/>
        </w:rPr>
        <w:t xml:space="preserve">such information cannot </w:t>
      </w:r>
      <w:r w:rsidR="002A4803" w:rsidRPr="00433D45">
        <w:rPr>
          <w:lang w:val="en-IE"/>
        </w:rPr>
        <w:t>reasonabl</w:t>
      </w:r>
      <w:r w:rsidR="00A76D3B" w:rsidRPr="00433D45">
        <w:rPr>
          <w:lang w:val="en-IE"/>
        </w:rPr>
        <w:t>y</w:t>
      </w:r>
      <w:r w:rsidR="002A4803" w:rsidRPr="00433D45">
        <w:rPr>
          <w:lang w:val="en-IE"/>
        </w:rPr>
        <w:t xml:space="preserve"> </w:t>
      </w:r>
      <w:r w:rsidR="00AC323B" w:rsidRPr="00433D45">
        <w:rPr>
          <w:lang w:val="en-IE"/>
        </w:rPr>
        <w:t xml:space="preserve">be obtained </w:t>
      </w:r>
      <w:r w:rsidR="00FC411E" w:rsidRPr="00433D45">
        <w:rPr>
          <w:lang w:val="en-IE"/>
        </w:rPr>
        <w:t xml:space="preserve">in any other way. </w:t>
      </w:r>
    </w:p>
    <w:p w14:paraId="2CB1E638" w14:textId="77777777" w:rsidR="00877C2B" w:rsidRPr="00433D45" w:rsidRDefault="001579F6" w:rsidP="0050464C">
      <w:pPr>
        <w:pStyle w:val="Tiret0"/>
        <w:ind w:hanging="566"/>
        <w:rPr>
          <w:rFonts w:eastAsia="Times New Roman"/>
          <w:lang w:val="en-IE"/>
        </w:rPr>
      </w:pPr>
      <w:r>
        <w:rPr>
          <w:rFonts w:eastAsia="Times New Roman"/>
          <w:lang w:val="en-IE"/>
        </w:rPr>
        <w:t>p</w:t>
      </w:r>
      <w:r w:rsidR="005F4858">
        <w:rPr>
          <w:rFonts w:eastAsia="Times New Roman"/>
          <w:lang w:val="en-IE"/>
        </w:rPr>
        <w:t>aragraph</w:t>
      </w:r>
      <w:r w:rsidR="00B137B4">
        <w:rPr>
          <w:rFonts w:eastAsia="Times New Roman"/>
          <w:lang w:val="en-IE"/>
        </w:rPr>
        <w:t>s</w:t>
      </w:r>
      <w:r w:rsidR="005F4858">
        <w:rPr>
          <w:rFonts w:eastAsia="Times New Roman"/>
          <w:lang w:val="en-IE"/>
        </w:rPr>
        <w:t xml:space="preserve"> (</w:t>
      </w:r>
      <w:r w:rsidR="0053199C">
        <w:rPr>
          <w:rFonts w:eastAsia="Times New Roman"/>
          <w:lang w:val="en-IE"/>
        </w:rPr>
        <w:t>5</w:t>
      </w:r>
      <w:r w:rsidR="005F4858">
        <w:rPr>
          <w:rFonts w:eastAsia="Times New Roman"/>
          <w:lang w:val="en-IE"/>
        </w:rPr>
        <w:t xml:space="preserve">) </w:t>
      </w:r>
      <w:r w:rsidR="00B137B4">
        <w:rPr>
          <w:rFonts w:eastAsia="Times New Roman"/>
          <w:lang w:val="en-IE"/>
        </w:rPr>
        <w:t>and (</w:t>
      </w:r>
      <w:r w:rsidR="0053199C">
        <w:rPr>
          <w:rFonts w:eastAsia="Times New Roman"/>
          <w:lang w:val="en-IE"/>
        </w:rPr>
        <w:t>6</w:t>
      </w:r>
      <w:r w:rsidR="00B137B4">
        <w:rPr>
          <w:rFonts w:eastAsia="Times New Roman"/>
          <w:lang w:val="en-IE"/>
        </w:rPr>
        <w:t xml:space="preserve">) </w:t>
      </w:r>
      <w:r w:rsidR="005F4858">
        <w:rPr>
          <w:rFonts w:eastAsia="Times New Roman"/>
          <w:lang w:val="en-IE"/>
        </w:rPr>
        <w:t xml:space="preserve">replace Article 10(6) </w:t>
      </w:r>
      <w:r w:rsidR="00B137B4">
        <w:rPr>
          <w:rFonts w:eastAsia="Times New Roman"/>
          <w:lang w:val="en-IE"/>
        </w:rPr>
        <w:t xml:space="preserve">and Article </w:t>
      </w:r>
      <w:r w:rsidR="00CB7EB2">
        <w:rPr>
          <w:rFonts w:eastAsia="Times New Roman"/>
          <w:lang w:val="en-IE"/>
        </w:rPr>
        <w:t xml:space="preserve">11(7) </w:t>
      </w:r>
      <w:r w:rsidR="005F4858">
        <w:rPr>
          <w:rFonts w:eastAsia="Times New Roman"/>
          <w:lang w:val="en-IE"/>
        </w:rPr>
        <w:t>of the CSDDD</w:t>
      </w:r>
      <w:r w:rsidR="00CB7EB2">
        <w:rPr>
          <w:rFonts w:eastAsia="Times New Roman"/>
          <w:lang w:val="en-IE"/>
        </w:rPr>
        <w:t>, respectively,</w:t>
      </w:r>
      <w:r w:rsidR="005F4858">
        <w:rPr>
          <w:rFonts w:eastAsia="Times New Roman"/>
          <w:lang w:val="en-IE"/>
        </w:rPr>
        <w:t xml:space="preserve"> </w:t>
      </w:r>
      <w:r w:rsidR="005E113C">
        <w:rPr>
          <w:rFonts w:eastAsia="Times New Roman"/>
          <w:lang w:val="en-IE"/>
        </w:rPr>
        <w:t>a</w:t>
      </w:r>
      <w:r w:rsidR="0F9CBE47" w:rsidRPr="00433D45">
        <w:rPr>
          <w:rFonts w:eastAsia="Times New Roman"/>
          <w:lang w:val="en-IE"/>
        </w:rPr>
        <w:t>s regards disengagement</w:t>
      </w:r>
      <w:r w:rsidR="00E9235B">
        <w:rPr>
          <w:rFonts w:eastAsia="Times New Roman"/>
          <w:lang w:val="en-IE"/>
        </w:rPr>
        <w:t xml:space="preserve"> in order</w:t>
      </w:r>
      <w:r w:rsidR="00670DE8">
        <w:rPr>
          <w:rFonts w:eastAsia="Times New Roman"/>
          <w:lang w:val="en-IE"/>
        </w:rPr>
        <w:t xml:space="preserve"> to </w:t>
      </w:r>
      <w:r w:rsidR="0F9CBE47" w:rsidRPr="00433D45">
        <w:rPr>
          <w:rFonts w:eastAsia="Times New Roman"/>
          <w:lang w:val="en-IE"/>
        </w:rPr>
        <w:t>remove the duty to terminate the business relationshi</w:t>
      </w:r>
      <w:r w:rsidR="1C89350E" w:rsidRPr="00433D45">
        <w:rPr>
          <w:rFonts w:eastAsia="Times New Roman"/>
          <w:lang w:val="en-IE"/>
        </w:rPr>
        <w:t>ps</w:t>
      </w:r>
      <w:r w:rsidR="0044268E">
        <w:rPr>
          <w:rFonts w:eastAsia="Times New Roman"/>
          <w:lang w:val="en-IE"/>
        </w:rPr>
        <w:t xml:space="preserve"> in the case of both </w:t>
      </w:r>
      <w:r w:rsidR="00A11842">
        <w:rPr>
          <w:rFonts w:eastAsia="Times New Roman"/>
          <w:lang w:val="en-IE"/>
        </w:rPr>
        <w:t>actual and potential adverse impacts</w:t>
      </w:r>
      <w:r w:rsidR="0F9CBE47" w:rsidRPr="00433D45">
        <w:rPr>
          <w:rFonts w:eastAsia="Times New Roman"/>
          <w:lang w:val="en-IE"/>
        </w:rPr>
        <w:t xml:space="preserve">. </w:t>
      </w:r>
      <w:r w:rsidR="15ADB7B8" w:rsidRPr="00433D45">
        <w:rPr>
          <w:rFonts w:eastAsia="Times New Roman"/>
          <w:lang w:val="en-IE"/>
        </w:rPr>
        <w:t xml:space="preserve">Companies may find themselves in situations where their production heavily relies on inputs from one or several specific suppliers. At the same time, where the business operations of such a supplier are linked to severe adverse impacts, for instance child labour or significant environmental harm, and the company has unsuccessfully exhausted all due diligence measures to address these impacts, the company, as a last resort should suspend the business relationship while continuing to work with the supplier towards a solution, where possible using any increased leverage resulting from the suspension. </w:t>
      </w:r>
    </w:p>
    <w:p w14:paraId="3FD9BF98" w14:textId="77777777" w:rsidR="00877C2B" w:rsidRPr="00433D45" w:rsidRDefault="001579F6" w:rsidP="00E854E9">
      <w:pPr>
        <w:pStyle w:val="Tiret0"/>
        <w:ind w:hanging="566"/>
        <w:rPr>
          <w:lang w:val="en-IE"/>
        </w:rPr>
      </w:pPr>
      <w:r w:rsidRPr="620D65A1">
        <w:rPr>
          <w:lang w:val="en-IE"/>
        </w:rPr>
        <w:t xml:space="preserve">paragraph </w:t>
      </w:r>
      <w:r w:rsidR="00247E5D" w:rsidRPr="620D65A1">
        <w:rPr>
          <w:lang w:val="en-IE"/>
        </w:rPr>
        <w:t>(</w:t>
      </w:r>
      <w:r w:rsidR="0053199C">
        <w:rPr>
          <w:lang w:val="en-IE"/>
        </w:rPr>
        <w:t>7</w:t>
      </w:r>
      <w:r w:rsidR="00247E5D" w:rsidRPr="620D65A1">
        <w:rPr>
          <w:lang w:val="en-IE"/>
        </w:rPr>
        <w:t xml:space="preserve">) amends Article 13 on </w:t>
      </w:r>
      <w:r w:rsidR="00A201F5" w:rsidRPr="620D65A1">
        <w:rPr>
          <w:lang w:val="en-IE"/>
        </w:rPr>
        <w:t xml:space="preserve">meaningful engagement with </w:t>
      </w:r>
      <w:r w:rsidR="0F9CBE47" w:rsidRPr="620D65A1">
        <w:rPr>
          <w:lang w:val="en-IE"/>
        </w:rPr>
        <w:t>stakeholder</w:t>
      </w:r>
      <w:r w:rsidR="00A201F5" w:rsidRPr="620D65A1">
        <w:rPr>
          <w:lang w:val="en-IE"/>
        </w:rPr>
        <w:t>s</w:t>
      </w:r>
      <w:r w:rsidR="0F9CBE47" w:rsidRPr="620D65A1">
        <w:rPr>
          <w:lang w:val="en-IE"/>
        </w:rPr>
        <w:t xml:space="preserve">, </w:t>
      </w:r>
      <w:r w:rsidR="006B4AFF" w:rsidRPr="620D65A1">
        <w:rPr>
          <w:lang w:val="en-IE"/>
        </w:rPr>
        <w:t>by amending paragraph (</w:t>
      </w:r>
      <w:r w:rsidR="002472A4" w:rsidRPr="620D65A1">
        <w:rPr>
          <w:lang w:val="en-IE"/>
        </w:rPr>
        <w:t>3), point (a), and deleting points (c) and (e)</w:t>
      </w:r>
      <w:r w:rsidR="00004B80" w:rsidRPr="620D65A1">
        <w:rPr>
          <w:lang w:val="en-IE"/>
        </w:rPr>
        <w:t>,</w:t>
      </w:r>
      <w:r w:rsidR="002472A4" w:rsidRPr="620D65A1">
        <w:rPr>
          <w:lang w:val="en-IE"/>
        </w:rPr>
        <w:t xml:space="preserve"> to </w:t>
      </w:r>
      <w:r w:rsidR="0F9CBE47" w:rsidRPr="620D65A1">
        <w:rPr>
          <w:lang w:val="en-IE"/>
        </w:rPr>
        <w:t>clarif</w:t>
      </w:r>
      <w:r w:rsidRPr="620D65A1">
        <w:rPr>
          <w:lang w:val="en-IE"/>
        </w:rPr>
        <w:t>y</w:t>
      </w:r>
      <w:r w:rsidR="0F9CBE47" w:rsidRPr="620D65A1">
        <w:rPr>
          <w:lang w:val="en-IE"/>
        </w:rPr>
        <w:t xml:space="preserve"> that companies are only required to engage with “relevant” stakeholders, thereby underlining that companies do not have to consult every possible stakeholder group </w:t>
      </w:r>
      <w:r w:rsidR="0F9CBE47" w:rsidRPr="620D65A1">
        <w:rPr>
          <w:lang w:val="en-IE"/>
        </w:rPr>
        <w:lastRenderedPageBreak/>
        <w:t>but may limit themselves to those stakeholders that have a link to the specific stage of the due diligence process being carried out (e.g., affected individuals when designing a remediation measure). In addition, the proposed amendments further limit the stages of the due diligence process at which companies are required to engage with stakeholders</w:t>
      </w:r>
      <w:r w:rsidR="00D70FBB" w:rsidRPr="620D65A1">
        <w:rPr>
          <w:lang w:val="en-IE"/>
        </w:rPr>
        <w:t>;</w:t>
      </w:r>
    </w:p>
    <w:p w14:paraId="1F980E7A" w14:textId="77777777" w:rsidR="00877C2B" w:rsidRPr="00433D45" w:rsidRDefault="00D70FBB" w:rsidP="00E854E9">
      <w:pPr>
        <w:pStyle w:val="Tiret0"/>
        <w:ind w:hanging="566"/>
        <w:rPr>
          <w:lang w:val="en-IE"/>
        </w:rPr>
      </w:pPr>
      <w:r>
        <w:rPr>
          <w:lang w:val="en-IE"/>
        </w:rPr>
        <w:t xml:space="preserve">paragraph </w:t>
      </w:r>
      <w:r w:rsidR="00E02224">
        <w:rPr>
          <w:lang w:val="en-IE"/>
        </w:rPr>
        <w:t>(</w:t>
      </w:r>
      <w:r w:rsidR="0053199C">
        <w:rPr>
          <w:lang w:val="en-IE"/>
        </w:rPr>
        <w:t>8</w:t>
      </w:r>
      <w:r w:rsidR="00E02224">
        <w:rPr>
          <w:lang w:val="en-IE"/>
        </w:rPr>
        <w:t xml:space="preserve">) amends </w:t>
      </w:r>
      <w:r w:rsidR="00DF372A">
        <w:rPr>
          <w:lang w:val="en-IE"/>
        </w:rPr>
        <w:t xml:space="preserve">Article </w:t>
      </w:r>
      <w:r w:rsidR="003E0513">
        <w:rPr>
          <w:lang w:val="en-IE"/>
        </w:rPr>
        <w:t xml:space="preserve">15 of the CSDDD on </w:t>
      </w:r>
      <w:r w:rsidR="0F9CBE47" w:rsidRPr="00433D45">
        <w:rPr>
          <w:lang w:val="en-IE"/>
        </w:rPr>
        <w:t>monitoring</w:t>
      </w:r>
      <w:r w:rsidR="0608EC3B" w:rsidRPr="6305E7A3">
        <w:rPr>
          <w:lang w:val="en-IE"/>
        </w:rPr>
        <w:t xml:space="preserve"> </w:t>
      </w:r>
      <w:r w:rsidR="00DC13F1">
        <w:rPr>
          <w:lang w:val="en-IE"/>
        </w:rPr>
        <w:t>to</w:t>
      </w:r>
      <w:r w:rsidR="0F9CBE47" w:rsidRPr="00433D45">
        <w:rPr>
          <w:lang w:val="en-IE"/>
        </w:rPr>
        <w:t xml:space="preserve"> extend the intervals in which companies need to regularly assess the adequacy and effectiveness of due diligence measures, from 1 year to five years. This will significantly reduce burdens not just for in-scope companies but also for their business partners, often SMEs, which risk being at the receiving end of (detailed) information requests as part of these monitoring exercises. At the same time, the proposal recognises that business relationships, and the risks and impacts arising from the activities covered by such business relationships, may evolve over time, sometimes even within short time</w:t>
      </w:r>
      <w:r w:rsidR="00D05EDD">
        <w:rPr>
          <w:lang w:val="en-IE"/>
        </w:rPr>
        <w:t xml:space="preserve"> </w:t>
      </w:r>
      <w:r w:rsidR="0F9CBE47" w:rsidRPr="00433D45">
        <w:rPr>
          <w:lang w:val="en-IE"/>
        </w:rPr>
        <w:t>frames. Also, measures taken to address potential or actual impacts might turn out to be inadequate or ineffective, based on experience gained with implementing them, and indications for this may arise before the date for the next regular assessment. Therefore, the company should carry out ad hoc assessments in these situations</w:t>
      </w:r>
      <w:r w:rsidR="00B85664">
        <w:rPr>
          <w:lang w:val="en-IE"/>
        </w:rPr>
        <w:t>;</w:t>
      </w:r>
    </w:p>
    <w:p w14:paraId="27701326" w14:textId="77777777" w:rsidR="00AE3401" w:rsidRDefault="00C62E07" w:rsidP="00E854E9">
      <w:pPr>
        <w:pStyle w:val="Tiret0"/>
        <w:ind w:hanging="566"/>
        <w:rPr>
          <w:lang w:val="en-IE"/>
        </w:rPr>
      </w:pPr>
      <w:r>
        <w:rPr>
          <w:lang w:val="en-IE"/>
        </w:rPr>
        <w:t>paragraph (</w:t>
      </w:r>
      <w:r w:rsidR="0053199C">
        <w:rPr>
          <w:lang w:val="en-IE"/>
        </w:rPr>
        <w:t>9</w:t>
      </w:r>
      <w:r>
        <w:rPr>
          <w:lang w:val="en-IE"/>
        </w:rPr>
        <w:t xml:space="preserve">) </w:t>
      </w:r>
      <w:r w:rsidR="00386693">
        <w:rPr>
          <w:lang w:val="en-IE"/>
        </w:rPr>
        <w:t>amends</w:t>
      </w:r>
      <w:r w:rsidR="00AE3401">
        <w:rPr>
          <w:lang w:val="en-IE"/>
        </w:rPr>
        <w:t xml:space="preserve"> Article 19(3) of the CSDDD </w:t>
      </w:r>
      <w:r w:rsidR="0082386D">
        <w:rPr>
          <w:lang w:val="en-IE"/>
        </w:rPr>
        <w:t xml:space="preserve">to </w:t>
      </w:r>
      <w:r w:rsidR="00A73B0E">
        <w:rPr>
          <w:lang w:val="en-IE"/>
        </w:rPr>
        <w:t xml:space="preserve">require the Commission to make available </w:t>
      </w:r>
      <w:r w:rsidR="00C4307C">
        <w:rPr>
          <w:lang w:val="en-IE"/>
        </w:rPr>
        <w:t>its</w:t>
      </w:r>
      <w:r w:rsidR="00A73B0E">
        <w:rPr>
          <w:lang w:val="en-IE"/>
        </w:rPr>
        <w:t xml:space="preserve"> general guidelines </w:t>
      </w:r>
      <w:r w:rsidR="00585A7C">
        <w:rPr>
          <w:lang w:val="en-IE"/>
        </w:rPr>
        <w:t xml:space="preserve">with </w:t>
      </w:r>
      <w:r w:rsidR="00DC2FE5">
        <w:rPr>
          <w:lang w:val="en-IE"/>
        </w:rPr>
        <w:t xml:space="preserve">practical guidance and </w:t>
      </w:r>
      <w:r w:rsidR="00585A7C" w:rsidRPr="00585A7C">
        <w:rPr>
          <w:lang w:val="en-IE"/>
        </w:rPr>
        <w:t>best practices on how to conduct due diligence</w:t>
      </w:r>
      <w:r w:rsidR="00805AF5">
        <w:rPr>
          <w:lang w:val="en-IE"/>
        </w:rPr>
        <w:t xml:space="preserve"> in accordance with the Directive by half a year</w:t>
      </w:r>
      <w:r w:rsidR="00C4307C">
        <w:rPr>
          <w:lang w:val="en-IE"/>
        </w:rPr>
        <w:t>;</w:t>
      </w:r>
    </w:p>
    <w:p w14:paraId="119B4E75" w14:textId="77777777" w:rsidR="00800828" w:rsidRPr="006F6774" w:rsidRDefault="006F6774" w:rsidP="006F6774">
      <w:pPr>
        <w:pStyle w:val="Tiret0"/>
        <w:ind w:hanging="566"/>
        <w:rPr>
          <w:lang w:val="en-IE"/>
        </w:rPr>
      </w:pPr>
      <w:r w:rsidRPr="006F6774">
        <w:rPr>
          <w:lang w:val="en-IE"/>
        </w:rPr>
        <w:t>paragraph (</w:t>
      </w:r>
      <w:r w:rsidR="0053199C">
        <w:rPr>
          <w:lang w:val="en-IE"/>
        </w:rPr>
        <w:t>10</w:t>
      </w:r>
      <w:r w:rsidRPr="006F6774">
        <w:rPr>
          <w:lang w:val="en-IE"/>
        </w:rPr>
        <w:t>) amends Article 22(1) concerning companies’ transition plans for climate change mitigation</w:t>
      </w:r>
      <w:r w:rsidRPr="006F6774" w:rsidDel="006F6774">
        <w:rPr>
          <w:lang w:val="en-IE"/>
        </w:rPr>
        <w:t xml:space="preserve"> </w:t>
      </w:r>
      <w:r>
        <w:rPr>
          <w:lang w:val="en-IE"/>
        </w:rPr>
        <w:t>w</w:t>
      </w:r>
      <w:r w:rsidR="00800828" w:rsidRPr="006F6774">
        <w:rPr>
          <w:lang w:val="en-IE"/>
        </w:rPr>
        <w:t>ith a view to ensuring more legal clarity and alignment of the CSDDD with the sustainability reporting regime</w:t>
      </w:r>
      <w:r w:rsidR="00252FA0">
        <w:rPr>
          <w:lang w:val="en-IE"/>
        </w:rPr>
        <w:t xml:space="preserve"> of the CSRD</w:t>
      </w:r>
      <w:r w:rsidR="00211341">
        <w:rPr>
          <w:lang w:val="en-IE"/>
        </w:rPr>
        <w:t>.</w:t>
      </w:r>
      <w:r w:rsidR="00800828" w:rsidRPr="006F6774">
        <w:rPr>
          <w:lang w:val="en-IE"/>
        </w:rPr>
        <w:t xml:space="preserve"> </w:t>
      </w:r>
      <w:r w:rsidR="00211341">
        <w:rPr>
          <w:lang w:val="en-IE"/>
        </w:rPr>
        <w:t>More particularly, t</w:t>
      </w:r>
      <w:r w:rsidR="00800828" w:rsidRPr="006F6774">
        <w:rPr>
          <w:lang w:val="en-IE"/>
        </w:rPr>
        <w:t xml:space="preserve">he proposal </w:t>
      </w:r>
      <w:r w:rsidR="00800828" w:rsidRPr="006F6774" w:rsidDel="00113BF1">
        <w:rPr>
          <w:lang w:val="en-IE"/>
        </w:rPr>
        <w:t>introduces a modification regarding the</w:t>
      </w:r>
      <w:r w:rsidR="00800828" w:rsidRPr="006F6774">
        <w:rPr>
          <w:lang w:val="en-IE"/>
        </w:rPr>
        <w:t xml:space="preserve"> requirement to put into effect the transition plan</w:t>
      </w:r>
      <w:r w:rsidR="00800828" w:rsidRPr="006F6774" w:rsidDel="00113BF1">
        <w:rPr>
          <w:lang w:val="en-IE"/>
        </w:rPr>
        <w:t xml:space="preserve"> for climate change mitigation</w:t>
      </w:r>
      <w:r w:rsidR="17C3578E" w:rsidRPr="1DC1B3C9">
        <w:rPr>
          <w:lang w:val="en-IE"/>
        </w:rPr>
        <w:t>.</w:t>
      </w:r>
      <w:r w:rsidR="00800828" w:rsidRPr="006F6774" w:rsidDel="00D55E1F">
        <w:rPr>
          <w:lang w:val="en-IE"/>
        </w:rPr>
        <w:t xml:space="preserve"> The proposal makes clear that</w:t>
      </w:r>
      <w:r w:rsidR="00800828" w:rsidRPr="006F6774">
        <w:rPr>
          <w:lang w:val="en-IE"/>
        </w:rPr>
        <w:t xml:space="preserve"> the plan should include implementation actions planned and taken. The adoption of the plan and its initial and updated design remains subject to administrative supervision</w:t>
      </w:r>
      <w:r w:rsidR="00400DFB">
        <w:rPr>
          <w:lang w:val="en-IE"/>
        </w:rPr>
        <w:t>;</w:t>
      </w:r>
    </w:p>
    <w:p w14:paraId="0E1D9415" w14:textId="77777777" w:rsidR="00877C2B" w:rsidRPr="00433D45" w:rsidRDefault="00400DFB" w:rsidP="00E854E9">
      <w:pPr>
        <w:pStyle w:val="Tiret0"/>
        <w:ind w:hanging="566"/>
        <w:rPr>
          <w:lang w:val="en-IE"/>
        </w:rPr>
      </w:pPr>
      <w:r>
        <w:rPr>
          <w:lang w:val="en-IE"/>
        </w:rPr>
        <w:t>paragraph (</w:t>
      </w:r>
      <w:r w:rsidR="0053199C">
        <w:rPr>
          <w:lang w:val="en-IE"/>
        </w:rPr>
        <w:t>11</w:t>
      </w:r>
      <w:r>
        <w:rPr>
          <w:lang w:val="en-IE"/>
        </w:rPr>
        <w:t xml:space="preserve">) replaces Article 27(4) </w:t>
      </w:r>
      <w:r w:rsidR="006770E5">
        <w:rPr>
          <w:lang w:val="en-IE"/>
        </w:rPr>
        <w:t>a</w:t>
      </w:r>
      <w:r w:rsidR="0F9CBE47" w:rsidRPr="00433D45">
        <w:rPr>
          <w:lang w:val="en-IE"/>
        </w:rPr>
        <w:t>s regards the imposition of pecuniary penalties as part of public enforcement</w:t>
      </w:r>
      <w:r w:rsidR="00AE35F1">
        <w:rPr>
          <w:lang w:val="en-IE"/>
        </w:rPr>
        <w:t>.</w:t>
      </w:r>
      <w:r w:rsidR="0F9CBE47" w:rsidRPr="00433D45">
        <w:rPr>
          <w:lang w:val="en-IE"/>
        </w:rPr>
        <w:t xml:space="preserve"> </w:t>
      </w:r>
      <w:r w:rsidR="00AE35F1">
        <w:rPr>
          <w:lang w:val="en-IE"/>
        </w:rPr>
        <w:t>T</w:t>
      </w:r>
      <w:r w:rsidR="0F9CBE47" w:rsidRPr="00433D45">
        <w:rPr>
          <w:lang w:val="en-IE"/>
        </w:rPr>
        <w:t xml:space="preserve">he current text of Article 27 already clarifies that “[i]n deciding whether to impose penalties and, if such penalties are imposed, in determining their nature and appropriate level”, due account shall be taken of a series of factors that determine the gravity of the infringement (in particular the nature, gravity and duration of the infringement, and the severity of the impacts resulting from that infringement) and whether there are attenuating (e.g., investments made and any targeted support provided) or aggravating circumstances (e.g., recidivism). In addition, the provision stipulates that any penalties imposed shall be “effective, proportionate and dissuasive”. This aligns with similar provisions in other pieces of EU legislation, for instance the General Data Protection Regulation. While the Directive does not require Member States to set a maximum amount of any fines (i.e., a ‘cap’ or ‘ceiling’), it stipulates that, in case Member States nevertheless decide to do so, such a cap “shall be not less than 5 % of the net worldwide turnover of the company”. The purpose for introducing this provision was to ensure a level playing field in the Union, by avoiding that Member States set a cap at a level that would undermine the effectiveness and dissuasiveness of any fines imposed on companies under their jurisdiction. However, this provision has led to confusion. In particular, while such a cap says nothing about the actual fines imposed in a specific case, it has sometimes been misunderstood as a minimum fines amount. To clarify the situation, the proposed amendments address the issue of the level playing field </w:t>
      </w:r>
      <w:r w:rsidR="0F9CBE47" w:rsidRPr="00433D45">
        <w:rPr>
          <w:lang w:val="en-IE"/>
        </w:rPr>
        <w:lastRenderedPageBreak/>
        <w:t xml:space="preserve">differently, namely by tasking the Commission with developing fining guidelines (an instrument that also exists in other areas, e.g., competition law and data protection) </w:t>
      </w:r>
      <w:r w:rsidR="00D50481" w:rsidRPr="00433D45">
        <w:rPr>
          <w:lang w:val="en-IE"/>
        </w:rPr>
        <w:t xml:space="preserve">in collaboration with the Member States </w:t>
      </w:r>
      <w:r w:rsidR="0F9CBE47" w:rsidRPr="00433D45">
        <w:rPr>
          <w:lang w:val="en-IE"/>
        </w:rPr>
        <w:t xml:space="preserve">and by prohibiting Member States from setting a fines cap that would prevent supervisory authorities from imposing penalties in accordance with the factors and principles set out in Article 27(1) and (2). </w:t>
      </w:r>
      <w:r w:rsidR="4D48AD68" w:rsidRPr="00433D45">
        <w:rPr>
          <w:lang w:val="en-IE"/>
        </w:rPr>
        <w:t xml:space="preserve">Furthermore, the proposal deletes the requirement for the fine to be commensurate to the company’s </w:t>
      </w:r>
      <w:r w:rsidR="009808C1">
        <w:rPr>
          <w:lang w:val="en-IE"/>
        </w:rPr>
        <w:t xml:space="preserve">net </w:t>
      </w:r>
      <w:r w:rsidR="008A1818">
        <w:rPr>
          <w:lang w:val="en-IE"/>
        </w:rPr>
        <w:t xml:space="preserve">worldwide </w:t>
      </w:r>
      <w:r w:rsidR="4D48AD68" w:rsidRPr="00433D45">
        <w:rPr>
          <w:lang w:val="en-IE"/>
        </w:rPr>
        <w:t>turnover</w:t>
      </w:r>
      <w:r w:rsidR="009808C1">
        <w:rPr>
          <w:lang w:val="en-IE"/>
        </w:rPr>
        <w:t>;</w:t>
      </w:r>
      <w:r w:rsidR="4D48AD68" w:rsidRPr="00433D45">
        <w:rPr>
          <w:lang w:val="en-IE"/>
        </w:rPr>
        <w:t xml:space="preserve"> </w:t>
      </w:r>
    </w:p>
    <w:p w14:paraId="1FC6983D" w14:textId="77777777" w:rsidR="00F366ED" w:rsidRDefault="008D4A63" w:rsidP="003A5C01">
      <w:pPr>
        <w:pStyle w:val="Tiret0"/>
        <w:ind w:hanging="566"/>
        <w:rPr>
          <w:lang w:val="en-IE"/>
        </w:rPr>
      </w:pPr>
      <w:r>
        <w:rPr>
          <w:lang w:val="en-IE"/>
        </w:rPr>
        <w:t>paragraph (</w:t>
      </w:r>
      <w:r w:rsidR="0053199C">
        <w:rPr>
          <w:lang w:val="en-IE"/>
        </w:rPr>
        <w:t>12</w:t>
      </w:r>
      <w:r>
        <w:rPr>
          <w:lang w:val="en-IE"/>
        </w:rPr>
        <w:t>) amends Article 29 of the CSDDD</w:t>
      </w:r>
      <w:r w:rsidR="002B385F">
        <w:rPr>
          <w:lang w:val="en-IE"/>
        </w:rPr>
        <w:t xml:space="preserve"> </w:t>
      </w:r>
      <w:r w:rsidR="000F4E1A">
        <w:rPr>
          <w:lang w:val="en-IE"/>
        </w:rPr>
        <w:t>a</w:t>
      </w:r>
      <w:r w:rsidR="0F9CBE47" w:rsidRPr="00433D45">
        <w:rPr>
          <w:lang w:val="en-IE"/>
        </w:rPr>
        <w:t>s regards civil liability</w:t>
      </w:r>
      <w:r w:rsidR="002B385F">
        <w:rPr>
          <w:lang w:val="en-IE"/>
        </w:rPr>
        <w:t xml:space="preserve"> by deleting paragraph (1)</w:t>
      </w:r>
      <w:r w:rsidR="00723CCB">
        <w:rPr>
          <w:lang w:val="en-IE"/>
        </w:rPr>
        <w:t>,</w:t>
      </w:r>
      <w:r w:rsidR="003F0F21">
        <w:rPr>
          <w:lang w:val="en-IE"/>
        </w:rPr>
        <w:t xml:space="preserve"> paragraph (3), point (d)</w:t>
      </w:r>
      <w:r w:rsidR="00C214FC">
        <w:rPr>
          <w:lang w:val="en-IE"/>
        </w:rPr>
        <w:t xml:space="preserve"> </w:t>
      </w:r>
      <w:r w:rsidR="002B385F">
        <w:rPr>
          <w:lang w:val="en-IE"/>
        </w:rPr>
        <w:t xml:space="preserve">and </w:t>
      </w:r>
      <w:r w:rsidR="00C214FC">
        <w:rPr>
          <w:lang w:val="en-IE"/>
        </w:rPr>
        <w:t xml:space="preserve">paragraph </w:t>
      </w:r>
      <w:r w:rsidR="002B385F">
        <w:rPr>
          <w:lang w:val="en-IE"/>
        </w:rPr>
        <w:t>(7), and changing paragraphs (2)</w:t>
      </w:r>
      <w:r w:rsidR="00C214FC">
        <w:rPr>
          <w:lang w:val="en-IE"/>
        </w:rPr>
        <w:t>, (4)</w:t>
      </w:r>
      <w:r w:rsidR="002B385F">
        <w:rPr>
          <w:lang w:val="en-IE"/>
        </w:rPr>
        <w:t xml:space="preserve"> </w:t>
      </w:r>
      <w:r w:rsidR="00C214FC">
        <w:rPr>
          <w:lang w:val="en-IE"/>
        </w:rPr>
        <w:t xml:space="preserve">and </w:t>
      </w:r>
      <w:r w:rsidR="002B385F">
        <w:rPr>
          <w:lang w:val="en-IE"/>
        </w:rPr>
        <w:t>(5)</w:t>
      </w:r>
      <w:r w:rsidR="00F366ED">
        <w:rPr>
          <w:lang w:val="en-IE"/>
        </w:rPr>
        <w:t>:</w:t>
      </w:r>
      <w:r w:rsidR="0F9CBE47" w:rsidRPr="00433D45">
        <w:rPr>
          <w:lang w:val="en-IE"/>
        </w:rPr>
        <w:t xml:space="preserve"> </w:t>
      </w:r>
    </w:p>
    <w:p w14:paraId="20CB0EE4" w14:textId="77777777" w:rsidR="00F366ED" w:rsidRDefault="0F9CBE47" w:rsidP="00DE466D">
      <w:pPr>
        <w:pStyle w:val="Bullet0"/>
        <w:tabs>
          <w:tab w:val="clear" w:pos="850"/>
        </w:tabs>
        <w:ind w:left="1418" w:hanging="425"/>
        <w:rPr>
          <w:lang w:val="en-IE"/>
        </w:rPr>
      </w:pPr>
      <w:r w:rsidRPr="00433D45">
        <w:rPr>
          <w:lang w:val="en-IE"/>
        </w:rPr>
        <w:t>to remove the specific, EU-wide liability regime in the Directive. At the same time, in line with the core objective of the Directive to ensure the protection of victims against human rights violations and environmental harm resulting from business operations, the proposed amendments maintain the requirements for effective access to justice, including the right to full compensation in case a company is held liable for a failure to comply with the due diligence requirements under this Directive in accordance with national law</w:t>
      </w:r>
      <w:r w:rsidR="4CFCE573" w:rsidRPr="00433D45">
        <w:rPr>
          <w:lang w:val="en-IE"/>
        </w:rPr>
        <w:t xml:space="preserve"> </w:t>
      </w:r>
      <w:r w:rsidR="00681DA8">
        <w:rPr>
          <w:lang w:val="en-IE"/>
        </w:rPr>
        <w:t>and where such failure caused damage</w:t>
      </w:r>
      <w:r w:rsidR="005E0068">
        <w:rPr>
          <w:lang w:val="en-IE"/>
        </w:rPr>
        <w:t xml:space="preserve">, </w:t>
      </w:r>
      <w:r w:rsidR="4CFCE573" w:rsidRPr="00433D45">
        <w:rPr>
          <w:lang w:val="en-IE"/>
        </w:rPr>
        <w:t>while also protecting companies from over-compensation</w:t>
      </w:r>
      <w:r w:rsidR="00F366ED">
        <w:rPr>
          <w:lang w:val="en-IE"/>
        </w:rPr>
        <w:t>;</w:t>
      </w:r>
      <w:r w:rsidRPr="00433D45">
        <w:rPr>
          <w:lang w:val="en-IE"/>
        </w:rPr>
        <w:t xml:space="preserve"> </w:t>
      </w:r>
    </w:p>
    <w:p w14:paraId="2906F32F" w14:textId="77777777" w:rsidR="00D04617" w:rsidRPr="005E31B5" w:rsidRDefault="00F366ED" w:rsidP="00DE466D">
      <w:pPr>
        <w:pStyle w:val="Bullet0"/>
        <w:tabs>
          <w:tab w:val="clear" w:pos="850"/>
        </w:tabs>
        <w:ind w:left="1418" w:hanging="425"/>
        <w:rPr>
          <w:lang w:val="en-IE"/>
        </w:rPr>
      </w:pPr>
      <w:r>
        <w:rPr>
          <w:lang w:val="en-IE"/>
        </w:rPr>
        <w:t>i</w:t>
      </w:r>
      <w:r w:rsidR="0F9CBE47" w:rsidRPr="00433D45">
        <w:rPr>
          <w:lang w:val="en-IE"/>
        </w:rPr>
        <w:t xml:space="preserve">n view of the different rules and traditions that exist at national level when it comes to allowing representative action, </w:t>
      </w:r>
      <w:r>
        <w:rPr>
          <w:lang w:val="en-IE"/>
        </w:rPr>
        <w:t xml:space="preserve">to delete </w:t>
      </w:r>
      <w:r w:rsidR="0F9CBE47" w:rsidRPr="00433D45">
        <w:rPr>
          <w:lang w:val="en-IE"/>
        </w:rPr>
        <w:t xml:space="preserve">the specific requirement </w:t>
      </w:r>
      <w:r w:rsidR="000B329A">
        <w:rPr>
          <w:lang w:val="en-IE"/>
        </w:rPr>
        <w:t xml:space="preserve">set out in the </w:t>
      </w:r>
      <w:r w:rsidR="000B329A" w:rsidRPr="005E31B5">
        <w:rPr>
          <w:lang w:val="en-IE"/>
        </w:rPr>
        <w:t xml:space="preserve">CSDDD </w:t>
      </w:r>
      <w:r w:rsidR="0F9CBE47" w:rsidRPr="005E31B5">
        <w:rPr>
          <w:lang w:val="en-IE"/>
        </w:rPr>
        <w:t>in this regard</w:t>
      </w:r>
      <w:r w:rsidR="00783426" w:rsidRPr="005E31B5">
        <w:rPr>
          <w:lang w:val="en-IE"/>
        </w:rPr>
        <w:t>;</w:t>
      </w:r>
      <w:r w:rsidR="001E0297" w:rsidRPr="005E31B5">
        <w:rPr>
          <w:lang w:val="en-IE"/>
        </w:rPr>
        <w:t xml:space="preserve"> </w:t>
      </w:r>
      <w:r w:rsidR="00D04617" w:rsidRPr="005E31B5">
        <w:rPr>
          <w:lang w:val="en-IE"/>
        </w:rPr>
        <w:t>and</w:t>
      </w:r>
    </w:p>
    <w:p w14:paraId="0AAC07F4" w14:textId="77777777" w:rsidR="00877C2B" w:rsidRPr="005E31B5" w:rsidRDefault="007067B6" w:rsidP="00DE466D">
      <w:pPr>
        <w:pStyle w:val="Bullet0"/>
        <w:tabs>
          <w:tab w:val="clear" w:pos="850"/>
        </w:tabs>
        <w:ind w:left="1418" w:hanging="425"/>
        <w:rPr>
          <w:lang w:val="en-IE"/>
        </w:rPr>
      </w:pPr>
      <w:r w:rsidRPr="005E31B5">
        <w:rPr>
          <w:lang w:val="en-IE"/>
        </w:rPr>
        <w:t xml:space="preserve"> </w:t>
      </w:r>
      <w:r w:rsidR="000F4E1A">
        <w:rPr>
          <w:lang w:val="en-IE"/>
        </w:rPr>
        <w:t>for the same reason</w:t>
      </w:r>
      <w:r w:rsidR="00F670F3">
        <w:rPr>
          <w:lang w:val="en-IE"/>
        </w:rPr>
        <w:t>,</w:t>
      </w:r>
      <w:r w:rsidRPr="005E31B5">
        <w:rPr>
          <w:lang w:val="en-IE"/>
        </w:rPr>
        <w:t xml:space="preserve"> </w:t>
      </w:r>
      <w:r w:rsidR="00C1179B" w:rsidRPr="005E31B5">
        <w:rPr>
          <w:lang w:val="en-IE"/>
        </w:rPr>
        <w:t xml:space="preserve">by deleting </w:t>
      </w:r>
      <w:r w:rsidRPr="005E31B5">
        <w:rPr>
          <w:lang w:val="en-IE"/>
        </w:rPr>
        <w:t>the requirement for Member States to ensure that the liability rules are of overriding mandatory application in cases where the law applicable to claims to that effect is not the national law of the Member State</w:t>
      </w:r>
      <w:r w:rsidR="00077E3D" w:rsidRPr="005E31B5">
        <w:rPr>
          <w:lang w:val="en-IE"/>
        </w:rPr>
        <w:t>;</w:t>
      </w:r>
      <w:r w:rsidRPr="005E31B5">
        <w:rPr>
          <w:lang w:val="en-IE"/>
        </w:rPr>
        <w:t xml:space="preserve"> </w:t>
      </w:r>
      <w:r w:rsidR="00077E3D" w:rsidRPr="005E31B5">
        <w:rPr>
          <w:lang w:val="en-IE"/>
        </w:rPr>
        <w:t>and</w:t>
      </w:r>
    </w:p>
    <w:p w14:paraId="04B9BFC3" w14:textId="77777777" w:rsidR="00475537" w:rsidRPr="00757AE9" w:rsidRDefault="00EE5132" w:rsidP="00B10EAE">
      <w:pPr>
        <w:pStyle w:val="Tiret0"/>
        <w:ind w:hanging="566"/>
      </w:pPr>
      <w:r>
        <w:rPr>
          <w:lang w:val="en-IE"/>
        </w:rPr>
        <w:t>paragraph (</w:t>
      </w:r>
      <w:r w:rsidR="0053199C">
        <w:rPr>
          <w:lang w:val="en-IE"/>
        </w:rPr>
        <w:t>13</w:t>
      </w:r>
      <w:r>
        <w:rPr>
          <w:lang w:val="en-IE"/>
        </w:rPr>
        <w:t xml:space="preserve">) </w:t>
      </w:r>
      <w:r w:rsidR="00404C19">
        <w:rPr>
          <w:lang w:val="en-IE"/>
        </w:rPr>
        <w:t>removes</w:t>
      </w:r>
      <w:r>
        <w:rPr>
          <w:lang w:val="en-IE"/>
        </w:rPr>
        <w:t xml:space="preserve"> Article 36(1) of the CSDDD</w:t>
      </w:r>
      <w:r w:rsidR="00FE4DF1">
        <w:rPr>
          <w:lang w:val="en-IE"/>
        </w:rPr>
        <w:t>,</w:t>
      </w:r>
      <w:r>
        <w:rPr>
          <w:lang w:val="en-IE"/>
        </w:rPr>
        <w:t xml:space="preserve"> </w:t>
      </w:r>
      <w:r w:rsidR="001D33FF">
        <w:rPr>
          <w:lang w:val="en-IE"/>
        </w:rPr>
        <w:t>delet</w:t>
      </w:r>
      <w:r w:rsidR="00FE4DF1">
        <w:rPr>
          <w:lang w:val="en-IE"/>
        </w:rPr>
        <w:t>ing</w:t>
      </w:r>
      <w:r w:rsidR="001D33FF">
        <w:rPr>
          <w:lang w:val="en-IE"/>
        </w:rPr>
        <w:t xml:space="preserve"> the</w:t>
      </w:r>
      <w:r w:rsidR="0F9CBE47" w:rsidRPr="00433D45">
        <w:rPr>
          <w:lang w:val="en-IE"/>
        </w:rPr>
        <w:t xml:space="preserve"> </w:t>
      </w:r>
      <w:r w:rsidR="00FC502A">
        <w:rPr>
          <w:lang w:val="en-IE"/>
        </w:rPr>
        <w:t xml:space="preserve">first </w:t>
      </w:r>
      <w:r w:rsidR="008F3125" w:rsidRPr="008F3125">
        <w:rPr>
          <w:lang w:val="en-IE"/>
        </w:rPr>
        <w:t xml:space="preserve">review </w:t>
      </w:r>
      <w:r w:rsidR="00FE4DF1">
        <w:rPr>
          <w:lang w:val="en-IE"/>
        </w:rPr>
        <w:t xml:space="preserve">clause </w:t>
      </w:r>
      <w:r w:rsidR="008F3125" w:rsidRPr="008F3125">
        <w:rPr>
          <w:lang w:val="en-IE"/>
        </w:rPr>
        <w:t>of the Directive</w:t>
      </w:r>
      <w:r w:rsidR="00DC3020">
        <w:rPr>
          <w:lang w:val="en-IE"/>
        </w:rPr>
        <w:t xml:space="preserve"> that would </w:t>
      </w:r>
      <w:r w:rsidR="0F9CBE47" w:rsidRPr="00433D45">
        <w:rPr>
          <w:lang w:val="en-IE"/>
        </w:rPr>
        <w:t>require the Commission to submit “no later than 26 July 2026” a report to the European Parliament and to the Council on the necessity of laying down additional sustainability due diligence requirements tailored to regulated financial undertakings with respect to the provision of financial services and investment activities, and the options for such due diligence requirements as well as their impacts. It is proposed to delete this review clause as it does not leave any time to take into account the experience with the newly established, general due diligence framework.</w:t>
      </w:r>
    </w:p>
    <w:p w14:paraId="64FE3E15" w14:textId="77777777" w:rsidR="00D022A9" w:rsidRPr="00433D45" w:rsidRDefault="00D022A9" w:rsidP="00DE466D">
      <w:pPr>
        <w:pBdr>
          <w:top w:val="nil"/>
          <w:left w:val="nil"/>
          <w:bottom w:val="nil"/>
          <w:right w:val="nil"/>
          <w:between w:val="nil"/>
          <w:bar w:val="nil"/>
        </w:pBdr>
        <w:spacing w:before="0" w:after="240"/>
        <w:rPr>
          <w:lang w:val="en-IE"/>
        </w:rPr>
      </w:pPr>
      <w:r w:rsidRPr="00433D45">
        <w:rPr>
          <w:lang w:val="en-IE"/>
        </w:rPr>
        <w:t xml:space="preserve">Article 5 requires Member States to transpose this Directive by </w:t>
      </w:r>
      <w:r w:rsidR="00B10EAE" w:rsidRPr="00433D45">
        <w:rPr>
          <w:lang w:val="en-IE"/>
        </w:rPr>
        <w:t>[</w:t>
      </w:r>
      <w:r w:rsidR="00B10EAE" w:rsidRPr="00433D45">
        <w:rPr>
          <w:i/>
          <w:iCs/>
          <w:lang w:val="en-IE"/>
        </w:rPr>
        <w:t>12 months after into force</w:t>
      </w:r>
      <w:r w:rsidR="00B10EAE" w:rsidRPr="00433D45">
        <w:rPr>
          <w:lang w:val="en-IE"/>
        </w:rPr>
        <w:t xml:space="preserve">] </w:t>
      </w:r>
      <w:r w:rsidRPr="00433D45">
        <w:rPr>
          <w:lang w:val="en-IE"/>
        </w:rPr>
        <w:t xml:space="preserve">at the latest, and to communicate to the Commission the text of their transposing measures. </w:t>
      </w:r>
    </w:p>
    <w:p w14:paraId="08A085D9" w14:textId="77777777" w:rsidR="000B413E" w:rsidRDefault="00D022A9" w:rsidP="0025470E">
      <w:pPr>
        <w:spacing w:before="0" w:after="0"/>
        <w:rPr>
          <w:lang w:val="en-IE"/>
        </w:rPr>
      </w:pPr>
      <w:r w:rsidRPr="00433D45">
        <w:rPr>
          <w:lang w:val="en-IE"/>
        </w:rPr>
        <w:t>Article 6 specifies that this Directive enters into force 20 days after its publication in the Official Journal of the European Union.</w:t>
      </w:r>
    </w:p>
    <w:p w14:paraId="113B7D9F" w14:textId="77777777" w:rsidR="009D1FEE" w:rsidRPr="00433D45" w:rsidRDefault="009D1FEE" w:rsidP="00DE466D">
      <w:pPr>
        <w:spacing w:before="0" w:after="0"/>
        <w:rPr>
          <w:lang w:val="en-IE"/>
        </w:rPr>
        <w:sectPr w:rsidR="009D1FEE" w:rsidRPr="00433D45" w:rsidSect="00D6173F">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08"/>
          <w:docGrid w:linePitch="360"/>
        </w:sectPr>
      </w:pPr>
    </w:p>
    <w:p w14:paraId="739A4CBB" w14:textId="2132ADBA" w:rsidR="00D9058D" w:rsidRDefault="00D6173F" w:rsidP="00D6173F">
      <w:pPr>
        <w:pStyle w:val="Rfrenceinterinstitutionnelle"/>
      </w:pPr>
      <w:r w:rsidRPr="00D6173F">
        <w:lastRenderedPageBreak/>
        <w:t>2025/0045 (COD)</w:t>
      </w:r>
    </w:p>
    <w:p w14:paraId="324F018C" w14:textId="0F963234" w:rsidR="009D1FEE" w:rsidRPr="00AC7E92" w:rsidRDefault="00D6173F" w:rsidP="00D6173F">
      <w:pPr>
        <w:pStyle w:val="Statut"/>
      </w:pPr>
      <w:r w:rsidRPr="00D6173F">
        <w:t>Proposal for a</w:t>
      </w:r>
    </w:p>
    <w:p w14:paraId="1BFB27F6" w14:textId="69883649" w:rsidR="009D1FEE" w:rsidRPr="00AC7E92" w:rsidRDefault="00D6173F" w:rsidP="00D6173F">
      <w:pPr>
        <w:pStyle w:val="Typedudocument"/>
      </w:pPr>
      <w:r w:rsidRPr="00D6173F">
        <w:t>DIRECTIVE OF THE EUROPEAN PARLIAMENT AND OF THE COUNCIL</w:t>
      </w:r>
    </w:p>
    <w:p w14:paraId="0D38C284" w14:textId="329C4B4D" w:rsidR="009D1FEE" w:rsidRPr="00AC7E92" w:rsidRDefault="00D6173F" w:rsidP="00D6173F">
      <w:pPr>
        <w:pStyle w:val="Titreobjet"/>
      </w:pPr>
      <w:r w:rsidRPr="00D6173F">
        <w:t>amending Directives 2006/43/EC, 2013/34/EU, (EU) 2022/2464 and (EU) 2024/1760 as regards certain corporate sustainability reporting and due diligence requirements</w:t>
      </w:r>
    </w:p>
    <w:p w14:paraId="558AF3A1" w14:textId="2257CAB5" w:rsidR="00365816" w:rsidRDefault="00D6173F" w:rsidP="00D6173F">
      <w:pPr>
        <w:pStyle w:val="IntrtEEE"/>
      </w:pPr>
      <w:r w:rsidRPr="00D6173F">
        <w:t>(Text with EEA relevance)</w:t>
      </w:r>
    </w:p>
    <w:p w14:paraId="4EB151BC" w14:textId="77777777" w:rsidR="009D1FEE" w:rsidRPr="00AC7E92" w:rsidRDefault="009D1FEE">
      <w:pPr>
        <w:pStyle w:val="Institutionquiagit"/>
      </w:pPr>
      <w:r w:rsidRPr="00AC7E92">
        <w:t xml:space="preserve">THE EUROPEAN PARLIAMENT AND THE COUNCIL OF THE EUROPEAN </w:t>
      </w:r>
      <w:smartTag w:uri="urn:schemas-microsoft-com:office:smarttags" w:element="place">
        <w:r w:rsidRPr="00AC7E92">
          <w:t>UNION</w:t>
        </w:r>
      </w:smartTag>
      <w:r w:rsidRPr="00AC7E92">
        <w:t>,</w:t>
      </w:r>
    </w:p>
    <w:p w14:paraId="039988DE" w14:textId="77777777" w:rsidR="009D1FEE" w:rsidRPr="00AC7E92" w:rsidRDefault="009D1FEE">
      <w:r w:rsidRPr="00AC7E92">
        <w:t>Having regard to the Treaty on the Functioning of the European Union, and in particular Article</w:t>
      </w:r>
      <w:r w:rsidR="009705DC">
        <w:t>s 50 and 114</w:t>
      </w:r>
      <w:r w:rsidRPr="00AC7E92">
        <w:t xml:space="preserve"> thereof,</w:t>
      </w:r>
    </w:p>
    <w:p w14:paraId="342471E2" w14:textId="77777777" w:rsidR="009D1FEE" w:rsidRPr="00A30DFF" w:rsidRDefault="009D1FEE">
      <w:r w:rsidRPr="00AC7E92">
        <w:t xml:space="preserve">Having regard </w:t>
      </w:r>
      <w:r w:rsidRPr="00A30DFF">
        <w:t>to the proposal from the European Commission,</w:t>
      </w:r>
    </w:p>
    <w:p w14:paraId="7531BEA5" w14:textId="77777777" w:rsidR="009D1FEE" w:rsidRPr="00A30DFF" w:rsidRDefault="009D1FEE">
      <w:r w:rsidRPr="00A30DFF">
        <w:t>After transmission of the draft legislative act to the national parliaments,</w:t>
      </w:r>
    </w:p>
    <w:p w14:paraId="106BAE17" w14:textId="77777777" w:rsidR="009D1FEE" w:rsidRPr="00AC7E92" w:rsidRDefault="009D1FEE">
      <w:r w:rsidRPr="00A30DFF">
        <w:t>Having regard to the opinion of the European Economic and Social Committee</w:t>
      </w:r>
      <w:r w:rsidRPr="00AC7E92">
        <w:rPr>
          <w:rStyle w:val="FootnoteReference"/>
        </w:rPr>
        <w:footnoteReference w:id="21"/>
      </w:r>
      <w:r w:rsidRPr="00AC7E92">
        <w:t xml:space="preserve">, </w:t>
      </w:r>
    </w:p>
    <w:p w14:paraId="0E025C6F" w14:textId="77777777" w:rsidR="009D1FEE" w:rsidRPr="00AC7E92" w:rsidRDefault="009D1FEE">
      <w:r w:rsidRPr="00AC7E92">
        <w:t>Acting in accordance with the ordinary legislative procedure,</w:t>
      </w:r>
    </w:p>
    <w:p w14:paraId="0BA0CB05" w14:textId="77777777" w:rsidR="009D1FEE" w:rsidRPr="00AC7E92" w:rsidRDefault="009D1FEE">
      <w:r w:rsidRPr="00AC7E92">
        <w:t>Whereas:</w:t>
      </w:r>
    </w:p>
    <w:p w14:paraId="3299373D" w14:textId="77777777" w:rsidR="001430D0" w:rsidRDefault="00665F57" w:rsidP="008E732B">
      <w:pPr>
        <w:pStyle w:val="Considrant"/>
        <w:numPr>
          <w:ilvl w:val="0"/>
          <w:numId w:val="25"/>
        </w:numPr>
      </w:pPr>
      <w:r>
        <w:t>In its</w:t>
      </w:r>
      <w:r w:rsidRPr="004902CF">
        <w:t xml:space="preserve"> </w:t>
      </w:r>
      <w:r>
        <w:t>C</w:t>
      </w:r>
      <w:r w:rsidRPr="004902CF">
        <w:t>ommunication</w:t>
      </w:r>
      <w:r>
        <w:t xml:space="preserve"> of </w:t>
      </w:r>
      <w:r w:rsidR="007D691E" w:rsidRPr="0050464C">
        <w:t>11 February 2025</w:t>
      </w:r>
      <w:r>
        <w:t xml:space="preserve"> entitled ‘A simpler and faster Europe: Communication on implementation and simplification’,</w:t>
      </w:r>
      <w:r w:rsidR="00595E79">
        <w:rPr>
          <w:rStyle w:val="FootnoteReference"/>
        </w:rPr>
        <w:footnoteReference w:id="22"/>
      </w:r>
      <w:r w:rsidRPr="004902CF">
        <w:t xml:space="preserve"> </w:t>
      </w:r>
      <w:r>
        <w:t xml:space="preserve">the European Commission </w:t>
      </w:r>
      <w:r w:rsidRPr="004902CF">
        <w:t>set out a vision for an implementation and simplification agenda that delivers fast and visible improvements for people and business on the ground. This requires more than an incremental approach and the U</w:t>
      </w:r>
      <w:r w:rsidR="005E7B75">
        <w:t>nion</w:t>
      </w:r>
      <w:r w:rsidRPr="004902CF">
        <w:t xml:space="preserve"> must take bold action to achieve this goal. The Commission, the European Parliament, the Council, Member States’ authorities at all levels and stakeholders need to work together to streamline and simplify EU, national and regional rules and implement policies more effectively.</w:t>
      </w:r>
    </w:p>
    <w:p w14:paraId="3AE8F062" w14:textId="77777777" w:rsidR="009D1FEE" w:rsidRDefault="00162201" w:rsidP="00BF3603">
      <w:pPr>
        <w:pStyle w:val="Considrant"/>
      </w:pPr>
      <w:r>
        <w:t xml:space="preserve">In the context of the Commission’s commitment to reduce </w:t>
      </w:r>
      <w:r w:rsidDel="009A304A">
        <w:t xml:space="preserve">reporting </w:t>
      </w:r>
      <w:r>
        <w:t xml:space="preserve">burdens and enhance competitiveness, </w:t>
      </w:r>
      <w:r w:rsidR="00A74EB8">
        <w:t>it is necessary to amend</w:t>
      </w:r>
      <w:r>
        <w:t xml:space="preserve"> Directive</w:t>
      </w:r>
      <w:r w:rsidR="0036214D">
        <w:t>s</w:t>
      </w:r>
      <w:r w:rsidR="001D7FB2">
        <w:t xml:space="preserve"> </w:t>
      </w:r>
      <w:r w:rsidR="001D7FB2" w:rsidRPr="001D7FB2">
        <w:t>2006/43/EC</w:t>
      </w:r>
      <w:r w:rsidR="00E02079">
        <w:rPr>
          <w:rStyle w:val="FootnoteReference"/>
        </w:rPr>
        <w:footnoteReference w:id="23"/>
      </w:r>
      <w:r w:rsidR="001D7FB2" w:rsidRPr="001D7FB2">
        <w:t>,  2013/34/EU</w:t>
      </w:r>
      <w:r w:rsidR="002E0260">
        <w:rPr>
          <w:rStyle w:val="FootnoteReference"/>
        </w:rPr>
        <w:footnoteReference w:id="24"/>
      </w:r>
      <w:r w:rsidR="001D7FB2" w:rsidRPr="001D7FB2">
        <w:t>, (EU) 2022/2464</w:t>
      </w:r>
      <w:r w:rsidR="00444739">
        <w:rPr>
          <w:rStyle w:val="FootnoteReference"/>
        </w:rPr>
        <w:footnoteReference w:id="25"/>
      </w:r>
      <w:r w:rsidR="001D7FB2" w:rsidRPr="001D7FB2">
        <w:t xml:space="preserve"> and (EU) 2024/1760</w:t>
      </w:r>
      <w:r w:rsidR="008516A9">
        <w:t xml:space="preserve"> </w:t>
      </w:r>
      <w:r w:rsidR="0036214D">
        <w:t xml:space="preserve">of the European Parliament and </w:t>
      </w:r>
      <w:r w:rsidR="0036214D">
        <w:lastRenderedPageBreak/>
        <w:t>of the Council</w:t>
      </w:r>
      <w:r w:rsidR="002618F4">
        <w:rPr>
          <w:rStyle w:val="FootnoteReference"/>
        </w:rPr>
        <w:footnoteReference w:id="26"/>
      </w:r>
      <w:r w:rsidR="0036214D">
        <w:t xml:space="preserve">, </w:t>
      </w:r>
      <w:r>
        <w:t>whilst maintaining the policy objectives of the European Green Deal</w:t>
      </w:r>
      <w:r w:rsidR="00BF50CF">
        <w:rPr>
          <w:rStyle w:val="FootnoteReference"/>
        </w:rPr>
        <w:footnoteReference w:id="27"/>
      </w:r>
      <w:r w:rsidR="00E609A0">
        <w:t xml:space="preserve">, </w:t>
      </w:r>
      <w:r>
        <w:t xml:space="preserve">and the </w:t>
      </w:r>
      <w:r w:rsidR="00981591">
        <w:t>Sustainable Finance Action Plan</w:t>
      </w:r>
      <w:r w:rsidR="00BF50CF">
        <w:rPr>
          <w:rStyle w:val="FootnoteReference"/>
        </w:rPr>
        <w:footnoteReference w:id="28"/>
      </w:r>
      <w:r w:rsidR="00CC2394">
        <w:t xml:space="preserve">. </w:t>
      </w:r>
    </w:p>
    <w:p w14:paraId="155AB58C" w14:textId="77777777" w:rsidR="004B7D49" w:rsidRPr="00AC7E92" w:rsidRDefault="00F6505E" w:rsidP="004B7D49">
      <w:pPr>
        <w:pStyle w:val="Considrant"/>
      </w:pPr>
      <w:r>
        <w:t xml:space="preserve">Article 26a(1) of </w:t>
      </w:r>
      <w:r w:rsidR="00F466CA">
        <w:t>Directive 2006/43/E</w:t>
      </w:r>
      <w:r>
        <w:t>C</w:t>
      </w:r>
      <w:r w:rsidR="00F466CA">
        <w:t xml:space="preserve"> </w:t>
      </w:r>
      <w:r w:rsidR="001617F1">
        <w:t>requires</w:t>
      </w:r>
      <w:r w:rsidR="00BC3041">
        <w:t xml:space="preserve"> Member States to ensure that </w:t>
      </w:r>
      <w:r w:rsidR="001617F1">
        <w:t xml:space="preserve">statutory auditors and audit firms carry out the assurance of sustainability reporting in compliance with </w:t>
      </w:r>
      <w:r w:rsidR="00C439FD">
        <w:t>limited</w:t>
      </w:r>
      <w:r w:rsidR="001617F1">
        <w:t xml:space="preserve"> assurance standards </w:t>
      </w:r>
      <w:r w:rsidR="00927A88">
        <w:t xml:space="preserve">to </w:t>
      </w:r>
      <w:r w:rsidR="00925DE8">
        <w:t xml:space="preserve">be </w:t>
      </w:r>
      <w:r w:rsidR="001617F1">
        <w:t>adopted by the Commission.</w:t>
      </w:r>
      <w:r w:rsidR="00F466CA">
        <w:t xml:space="preserve"> </w:t>
      </w:r>
      <w:r w:rsidR="00BB43D7">
        <w:t xml:space="preserve">Article 26a(3) of that Directive requires the Commission to adopt those standards by 1 October 2026. </w:t>
      </w:r>
      <w:r w:rsidR="00871536">
        <w:t>Undertakings have raised c</w:t>
      </w:r>
      <w:r w:rsidR="00483B1C">
        <w:t xml:space="preserve">oncerns </w:t>
      </w:r>
      <w:r w:rsidR="004B7D49">
        <w:t xml:space="preserve">on the work </w:t>
      </w:r>
      <w:r w:rsidR="00E65457">
        <w:t>carried out</w:t>
      </w:r>
      <w:r w:rsidR="004B7D49">
        <w:t xml:space="preserve"> by the assurance providers and </w:t>
      </w:r>
      <w:r w:rsidR="00871536">
        <w:t xml:space="preserve">have expressed </w:t>
      </w:r>
      <w:r w:rsidR="00E65457">
        <w:t xml:space="preserve">the need for </w:t>
      </w:r>
      <w:r w:rsidR="004B7D49">
        <w:t>flexibility in addressing specific risks and critical issues identified in th</w:t>
      </w:r>
      <w:r w:rsidR="00E65457">
        <w:t>e areas of sustainability assurance</w:t>
      </w:r>
      <w:r w:rsidR="00A86768">
        <w:t xml:space="preserve">. </w:t>
      </w:r>
      <w:r w:rsidR="00F1179C">
        <w:t xml:space="preserve">To </w:t>
      </w:r>
      <w:r w:rsidR="00BA1C59">
        <w:t xml:space="preserve">enable </w:t>
      </w:r>
      <w:r w:rsidR="00F1179C">
        <w:t xml:space="preserve">the Commission to </w:t>
      </w:r>
      <w:r w:rsidR="00216863">
        <w:t xml:space="preserve">take account of those concerns, it should be given more flexibility in adopting those standards. In any case, the Commission will </w:t>
      </w:r>
      <w:r w:rsidR="00391BE5">
        <w:t>issue targeted assurance guidelines</w:t>
      </w:r>
      <w:r w:rsidR="00922C3F">
        <w:t xml:space="preserve"> by 2026</w:t>
      </w:r>
      <w:r w:rsidR="00391BE5">
        <w:t xml:space="preserve"> that clarify</w:t>
      </w:r>
      <w:r w:rsidR="004B7D49">
        <w:t xml:space="preserve"> the necessary procedures that assurance providers </w:t>
      </w:r>
      <w:r w:rsidR="00391BE5">
        <w:t>are</w:t>
      </w:r>
      <w:r w:rsidR="004B7D49">
        <w:t xml:space="preserve"> to perform as part of their limited assurance engagement</w:t>
      </w:r>
      <w:r w:rsidR="00483030">
        <w:t xml:space="preserve"> before adopting the standards by delegated act</w:t>
      </w:r>
      <w:r w:rsidR="004B7D49">
        <w:t>.</w:t>
      </w:r>
    </w:p>
    <w:p w14:paraId="53F37C72" w14:textId="77777777" w:rsidR="00F10C4C" w:rsidRDefault="0056311E" w:rsidP="00EF22E8">
      <w:pPr>
        <w:pStyle w:val="Considrant"/>
      </w:pPr>
      <w:r>
        <w:t xml:space="preserve">Article 26a(3), second subparagraph, of </w:t>
      </w:r>
      <w:r w:rsidR="00DE203C">
        <w:t>Directive 2006/43/E</w:t>
      </w:r>
      <w:r>
        <w:t>C</w:t>
      </w:r>
      <w:r w:rsidR="00DE203C">
        <w:t xml:space="preserve"> </w:t>
      </w:r>
      <w:r w:rsidR="00DE00B8">
        <w:t xml:space="preserve">empowers the Commission to adopt </w:t>
      </w:r>
      <w:r w:rsidR="00A57A24">
        <w:t>standards for reasonable assurance by 1 October 2028</w:t>
      </w:r>
      <w:r w:rsidR="00892B9C">
        <w:t>,</w:t>
      </w:r>
      <w:r w:rsidR="00A57A24">
        <w:t xml:space="preserve"> following a</w:t>
      </w:r>
      <w:r w:rsidR="00414EB5">
        <w:t>n assessment of feasibility</w:t>
      </w:r>
      <w:r w:rsidR="00DE00B8">
        <w:t xml:space="preserve">. </w:t>
      </w:r>
      <w:r w:rsidR="00FE4416">
        <w:t>T</w:t>
      </w:r>
      <w:r w:rsidR="001D7FB2">
        <w:t xml:space="preserve">o </w:t>
      </w:r>
      <w:r w:rsidR="00FE4416">
        <w:t xml:space="preserve">avoid </w:t>
      </w:r>
      <w:r w:rsidR="00680A43">
        <w:t xml:space="preserve">an increase in costs of assurance for undertakings, </w:t>
      </w:r>
      <w:r w:rsidR="00121786">
        <w:t>t</w:t>
      </w:r>
      <w:r w:rsidR="00F10C4C">
        <w:t xml:space="preserve">he </w:t>
      </w:r>
      <w:r w:rsidR="00541A4C">
        <w:t>requirement to adopt such standards for reasonable assurance</w:t>
      </w:r>
      <w:r w:rsidR="00F10C4C">
        <w:t xml:space="preserve"> </w:t>
      </w:r>
      <w:r w:rsidR="000908C0">
        <w:t>should be</w:t>
      </w:r>
      <w:r w:rsidR="00F10C4C">
        <w:t xml:space="preserve"> </w:t>
      </w:r>
      <w:r w:rsidR="009B4CC6">
        <w:t>removed</w:t>
      </w:r>
      <w:r w:rsidR="007B13F7">
        <w:t xml:space="preserve">. </w:t>
      </w:r>
    </w:p>
    <w:p w14:paraId="3EFA1148" w14:textId="77777777" w:rsidR="004457F2" w:rsidRPr="00A93661" w:rsidRDefault="005823DE">
      <w:pPr>
        <w:pStyle w:val="Considrant"/>
      </w:pPr>
      <w:r>
        <w:t>Article 19a</w:t>
      </w:r>
      <w:r w:rsidR="008A3E5E">
        <w:t xml:space="preserve">(1) of </w:t>
      </w:r>
      <w:r w:rsidR="004457F2">
        <w:t xml:space="preserve">Directive </w:t>
      </w:r>
      <w:r w:rsidR="00DE203C">
        <w:t xml:space="preserve">2013/34/EU </w:t>
      </w:r>
      <w:r w:rsidR="00286CCF">
        <w:t xml:space="preserve">requires large undertakings and </w:t>
      </w:r>
      <w:r w:rsidR="00F673E7">
        <w:t xml:space="preserve">small and </w:t>
      </w:r>
      <w:r w:rsidR="00493F52">
        <w:t>medium-sized undertakings with securities admitted to trading on an EU regulated market</w:t>
      </w:r>
      <w:r w:rsidR="00FC6A36">
        <w:t xml:space="preserve">, excluding micro-undertakings, to </w:t>
      </w:r>
      <w:r w:rsidR="00D61C04">
        <w:t>prepare and publish a</w:t>
      </w:r>
      <w:r w:rsidR="00FC6A36">
        <w:t xml:space="preserve"> sustainability </w:t>
      </w:r>
      <w:r w:rsidR="00D61C04">
        <w:t xml:space="preserve">statement </w:t>
      </w:r>
      <w:r w:rsidR="00FC6A36">
        <w:t xml:space="preserve">at individual level. </w:t>
      </w:r>
      <w:r w:rsidR="008A3E5E">
        <w:t>T</w:t>
      </w:r>
      <w:r w:rsidR="00FC6A36">
        <w:t xml:space="preserve">o reduce the reporting burden </w:t>
      </w:r>
      <w:r w:rsidR="00EA6C4D">
        <w:t xml:space="preserve">on undertakings, </w:t>
      </w:r>
      <w:r w:rsidR="00F3204E">
        <w:t xml:space="preserve">the obligation to prepare and publish a sustainability statement at individual level </w:t>
      </w:r>
      <w:r w:rsidR="00EA6C4D">
        <w:t xml:space="preserve">should be </w:t>
      </w:r>
      <w:r w:rsidR="00524787">
        <w:t>reduced</w:t>
      </w:r>
      <w:r w:rsidR="00EA6C4D">
        <w:t xml:space="preserve"> to </w:t>
      </w:r>
      <w:r w:rsidR="000217C0">
        <w:t xml:space="preserve">large </w:t>
      </w:r>
      <w:r w:rsidR="00EA6C4D">
        <w:t xml:space="preserve">undertakings </w:t>
      </w:r>
      <w:r w:rsidR="00D812A4">
        <w:t xml:space="preserve">with an average of more than </w:t>
      </w:r>
      <w:r w:rsidR="00C92A1A">
        <w:t xml:space="preserve">1000 </w:t>
      </w:r>
      <w:r w:rsidR="00D812A4">
        <w:t xml:space="preserve">employees during the </w:t>
      </w:r>
      <w:r w:rsidR="006B39C3">
        <w:t>financial year</w:t>
      </w:r>
      <w:r w:rsidR="00C860AC">
        <w:t>.</w:t>
      </w:r>
      <w:r w:rsidR="00D31C27">
        <w:t xml:space="preserve"> </w:t>
      </w:r>
      <w:r w:rsidR="00D31C27" w:rsidRPr="00D31C27">
        <w:t xml:space="preserve">Considering that for an undertaking to be large it has to exceed two out of the three criteria in Article 3(4) of Directive 2013/34/EU, this means that to be subject </w:t>
      </w:r>
      <w:r w:rsidR="00AD2BC4">
        <w:t>to</w:t>
      </w:r>
      <w:r w:rsidR="009C1FCA">
        <w:t>to</w:t>
      </w:r>
      <w:r w:rsidR="00D31C27" w:rsidRPr="00D31C27">
        <w:t xml:space="preserve"> the reporting requirements an undertakings must have an average of more than 1000 employees during the financial year and either a net turnover above EUR 50 million or a balance sheet total above EUR 25 million.</w:t>
      </w:r>
      <w:r w:rsidR="00C860AC">
        <w:t xml:space="preserve"> </w:t>
      </w:r>
    </w:p>
    <w:p w14:paraId="1A75D844" w14:textId="77777777" w:rsidR="00A93661" w:rsidRPr="00A93661" w:rsidRDefault="00A93661">
      <w:pPr>
        <w:pStyle w:val="Considrant"/>
      </w:pPr>
      <w:r w:rsidRPr="00DE466D">
        <w:t>A balance ne</w:t>
      </w:r>
      <w:r w:rsidR="00206186">
        <w:t>e</w:t>
      </w:r>
      <w:r w:rsidRPr="00DE466D">
        <w:t>ds to be found between the objectives of data generation and reduction of administrative burden. Sustainability reporting, including the information referred to in Article 8 of Regulation (EU) 2020/852</w:t>
      </w:r>
      <w:r w:rsidR="002A6D88">
        <w:t xml:space="preserve"> of the European Parliament and of the Council</w:t>
      </w:r>
      <w:r w:rsidRPr="00757AE9">
        <w:rPr>
          <w:rStyle w:val="FootnoteReference"/>
        </w:rPr>
        <w:footnoteReference w:id="29"/>
      </w:r>
      <w:r w:rsidRPr="00DE466D">
        <w:t xml:space="preserve">, of </w:t>
      </w:r>
      <w:r w:rsidR="001D5350">
        <w:t>large undertakings</w:t>
      </w:r>
      <w:r w:rsidRPr="00DE466D">
        <w:t xml:space="preserve"> with an average of more than 1000 employees</w:t>
      </w:r>
      <w:r w:rsidR="00056018">
        <w:t xml:space="preserve"> during the financial year</w:t>
      </w:r>
      <w:r w:rsidRPr="00DE466D">
        <w:t xml:space="preserve"> is indispensable to understand the transition to a climate-neutral </w:t>
      </w:r>
      <w:r w:rsidRPr="00DE466D">
        <w:lastRenderedPageBreak/>
        <w:t xml:space="preserve">economy. In the light of the balance to be found between the objectives of data generation and reduction of administrative burden, </w:t>
      </w:r>
      <w:r w:rsidR="001D5350">
        <w:t xml:space="preserve">large </w:t>
      </w:r>
      <w:r w:rsidRPr="00DE466D">
        <w:t xml:space="preserve">undertakings within the new scope for sustainability reporting that </w:t>
      </w:r>
      <w:r w:rsidR="006B1183">
        <w:t xml:space="preserve">have </w:t>
      </w:r>
      <w:r w:rsidRPr="00DE466D">
        <w:t xml:space="preserve">a net turnover </w:t>
      </w:r>
      <w:r w:rsidR="006B1183">
        <w:t xml:space="preserve">not </w:t>
      </w:r>
      <w:r w:rsidRPr="00DE466D">
        <w:t xml:space="preserve">exceeding EUR 450 000 000 during the financial year should be able to disclose information referred </w:t>
      </w:r>
      <w:r w:rsidR="00712B8C">
        <w:t>t</w:t>
      </w:r>
      <w:r w:rsidRPr="00DE466D">
        <w:t>o in Article 8 of Regulation (EU) 2020/852 in a more flexible way</w:t>
      </w:r>
      <w:r w:rsidR="001D5350">
        <w:t>.</w:t>
      </w:r>
      <w:r w:rsidR="00C05371">
        <w:t xml:space="preserve"> </w:t>
      </w:r>
      <w:r w:rsidR="00CB6D25">
        <w:t xml:space="preserve">The Commission should be empowered </w:t>
      </w:r>
      <w:r w:rsidR="00C05371" w:rsidRPr="00C05371">
        <w:t xml:space="preserve">to set out rules </w:t>
      </w:r>
      <w:r w:rsidR="00DE3AFC">
        <w:t xml:space="preserve">supplementing the </w:t>
      </w:r>
      <w:r w:rsidR="00C05371" w:rsidRPr="00C05371">
        <w:t xml:space="preserve">reporting regime for </w:t>
      </w:r>
      <w:r w:rsidR="00080A42" w:rsidRPr="00080A42">
        <w:t xml:space="preserve">those undertakings. It should in particular be clarified that the Commission is empowered to specify the reporting regime for </w:t>
      </w:r>
      <w:r w:rsidR="00C05371" w:rsidRPr="00C05371">
        <w:t>activities that are only partially taxonomy aligned.</w:t>
      </w:r>
    </w:p>
    <w:p w14:paraId="35F66BC4" w14:textId="77777777" w:rsidR="008662BB" w:rsidRDefault="00D34675" w:rsidP="008662BB">
      <w:pPr>
        <w:pStyle w:val="Considrant"/>
      </w:pPr>
      <w:r>
        <w:t xml:space="preserve">Article 1(3) of </w:t>
      </w:r>
      <w:r w:rsidR="008662BB">
        <w:t>Directive</w:t>
      </w:r>
      <w:r w:rsidR="00595A14">
        <w:t xml:space="preserve"> </w:t>
      </w:r>
      <w:r w:rsidR="00DE203C">
        <w:t xml:space="preserve">2013/34/EU </w:t>
      </w:r>
      <w:r w:rsidR="00D03B97">
        <w:t>specifies that</w:t>
      </w:r>
      <w:r w:rsidR="007B3258">
        <w:t xml:space="preserve"> credit </w:t>
      </w:r>
      <w:r w:rsidR="00D03B97">
        <w:t>institutions</w:t>
      </w:r>
      <w:r w:rsidR="007B3258">
        <w:t xml:space="preserve"> and insurance </w:t>
      </w:r>
      <w:r w:rsidR="00D03B97">
        <w:t xml:space="preserve">undertakings </w:t>
      </w:r>
      <w:r w:rsidR="000230FF">
        <w:t xml:space="preserve">that are large undertakings </w:t>
      </w:r>
      <w:r w:rsidR="00C5556B">
        <w:t xml:space="preserve">or small and medium-size undertakings – excluding micro-undertakings – with securities admitted to trading on an EU regulated market </w:t>
      </w:r>
      <w:r w:rsidR="004A7195">
        <w:t xml:space="preserve">are subject to the sustainability reporting requirements set out in </w:t>
      </w:r>
      <w:r w:rsidR="00F22C2A">
        <w:t xml:space="preserve">that </w:t>
      </w:r>
      <w:r w:rsidR="004A7195">
        <w:t>Directive</w:t>
      </w:r>
      <w:r w:rsidR="00D94D0E">
        <w:t xml:space="preserve">, </w:t>
      </w:r>
      <w:r w:rsidR="004A7195">
        <w:t xml:space="preserve">regardless of their legal form. </w:t>
      </w:r>
      <w:r w:rsidR="00524787">
        <w:t xml:space="preserve">Considering that the </w:t>
      </w:r>
      <w:r w:rsidR="00C67725">
        <w:t xml:space="preserve">scope of </w:t>
      </w:r>
      <w:r w:rsidR="00F4057E">
        <w:t xml:space="preserve">individual </w:t>
      </w:r>
      <w:r w:rsidR="00C67725">
        <w:t xml:space="preserve">sustainability reporting </w:t>
      </w:r>
      <w:r>
        <w:t xml:space="preserve">should be </w:t>
      </w:r>
      <w:r w:rsidR="00F4057E">
        <w:t xml:space="preserve">reduced to </w:t>
      </w:r>
      <w:r w:rsidR="000217C0">
        <w:t xml:space="preserve">large </w:t>
      </w:r>
      <w:r w:rsidR="00524787">
        <w:t xml:space="preserve">undertakings with an average of more than </w:t>
      </w:r>
      <w:r w:rsidR="00C92A1A">
        <w:t xml:space="preserve">1000 </w:t>
      </w:r>
      <w:r w:rsidR="00524787">
        <w:t>employees during the financial year</w:t>
      </w:r>
      <w:r w:rsidR="00F4057E">
        <w:t xml:space="preserve">, </w:t>
      </w:r>
      <w:r w:rsidR="009E3945">
        <w:t>th</w:t>
      </w:r>
      <w:r>
        <w:t>at</w:t>
      </w:r>
      <w:r w:rsidR="001E6545">
        <w:t xml:space="preserve"> reduction </w:t>
      </w:r>
      <w:r w:rsidR="00AC5028">
        <w:t xml:space="preserve">in scope </w:t>
      </w:r>
      <w:r w:rsidR="001E6545">
        <w:t xml:space="preserve">should also apply to credit institutions and insurance undertakings. </w:t>
      </w:r>
    </w:p>
    <w:p w14:paraId="4991077C" w14:textId="77777777" w:rsidR="008662BB" w:rsidRDefault="00EB71B2" w:rsidP="008662BB">
      <w:pPr>
        <w:pStyle w:val="Considrant"/>
      </w:pPr>
      <w:r>
        <w:t xml:space="preserve">The </w:t>
      </w:r>
      <w:r w:rsidR="00293CC7">
        <w:t xml:space="preserve">European Financial Stability Facility (EFSF) established by the EFSF Framework Agreement </w:t>
      </w:r>
      <w:r w:rsidR="006B0584">
        <w:t xml:space="preserve">is subject to </w:t>
      </w:r>
      <w:r w:rsidR="00912BA2">
        <w:t xml:space="preserve">the </w:t>
      </w:r>
      <w:r w:rsidR="006B0584">
        <w:t xml:space="preserve">sustainability reporting </w:t>
      </w:r>
      <w:r w:rsidR="0096531D">
        <w:t xml:space="preserve">requirements set out </w:t>
      </w:r>
      <w:r w:rsidR="00AD04B4">
        <w:t>in Directive 2013/34/EU</w:t>
      </w:r>
      <w:r w:rsidR="004632D9">
        <w:t xml:space="preserve">, </w:t>
      </w:r>
      <w:r w:rsidR="005A660B">
        <w:t>although it is</w:t>
      </w:r>
      <w:r w:rsidR="00AF23DA">
        <w:t xml:space="preserve"> </w:t>
      </w:r>
      <w:r w:rsidR="00293CC7">
        <w:t xml:space="preserve">exempted from </w:t>
      </w:r>
      <w:r w:rsidR="00912BA2">
        <w:t xml:space="preserve">the </w:t>
      </w:r>
      <w:r w:rsidR="00293CC7">
        <w:t xml:space="preserve">sustainability reporting </w:t>
      </w:r>
      <w:r w:rsidR="00912BA2">
        <w:t>regime set out</w:t>
      </w:r>
      <w:r w:rsidR="00CB2358">
        <w:t xml:space="preserve"> in Directive 2004/109/EC</w:t>
      </w:r>
      <w:r w:rsidR="003654D7">
        <w:t xml:space="preserve"> of the European Parliament and of the Council</w:t>
      </w:r>
      <w:r w:rsidR="003654D7">
        <w:rPr>
          <w:rStyle w:val="FootnoteReference"/>
        </w:rPr>
        <w:footnoteReference w:id="30"/>
      </w:r>
      <w:r w:rsidR="00CB2358">
        <w:t xml:space="preserve"> </w:t>
      </w:r>
      <w:r w:rsidR="00EC6B54">
        <w:t>pursuant to</w:t>
      </w:r>
      <w:r w:rsidR="00CB2358">
        <w:t xml:space="preserve"> </w:t>
      </w:r>
      <w:r w:rsidR="00293CC7">
        <w:t>Art</w:t>
      </w:r>
      <w:r w:rsidR="00912BA2">
        <w:t xml:space="preserve">icle </w:t>
      </w:r>
      <w:r w:rsidR="00293CC7">
        <w:t>8</w:t>
      </w:r>
      <w:r w:rsidR="00912BA2">
        <w:t xml:space="preserve"> of </w:t>
      </w:r>
      <w:r w:rsidR="00C04AA4">
        <w:t xml:space="preserve">that </w:t>
      </w:r>
      <w:r w:rsidR="00AF23DA">
        <w:t>Directive</w:t>
      </w:r>
      <w:r w:rsidR="00786E25">
        <w:t xml:space="preserve">. </w:t>
      </w:r>
      <w:r w:rsidR="009E4279">
        <w:t>Despite it being a large undertaking incorporated in a legal form listed in Annex I to Directive 2013/34/EU, the EFSF</w:t>
      </w:r>
      <w:r w:rsidR="000945DC">
        <w:t xml:space="preserve"> </w:t>
      </w:r>
      <w:r w:rsidR="00161CCB">
        <w:t xml:space="preserve">has a mandate </w:t>
      </w:r>
      <w:r w:rsidR="00F40C93">
        <w:t xml:space="preserve">- i.e. to safeguard financial stability in the Union by providing temporary financial assistance to Member States whose currency is the euro – that is </w:t>
      </w:r>
      <w:r w:rsidR="00BD083A">
        <w:t>largely s</w:t>
      </w:r>
      <w:r w:rsidR="008A2EC8">
        <w:t xml:space="preserve">imilar to the </w:t>
      </w:r>
      <w:r w:rsidR="00F40C93">
        <w:t xml:space="preserve">one of the </w:t>
      </w:r>
      <w:r w:rsidR="0075742B">
        <w:t>European Stability Mechanism (ESM</w:t>
      </w:r>
      <w:r w:rsidR="008A2EC8">
        <w:t>)</w:t>
      </w:r>
      <w:r w:rsidR="00DE203C">
        <w:t xml:space="preserve">, which is not subject to sustainability reporting requirements. </w:t>
      </w:r>
      <w:r w:rsidR="00C04AA4">
        <w:t>F</w:t>
      </w:r>
      <w:r w:rsidR="004E79CC">
        <w:t xml:space="preserve">or the </w:t>
      </w:r>
      <w:r w:rsidR="00293CC7">
        <w:t xml:space="preserve">EFSF </w:t>
      </w:r>
      <w:r w:rsidR="004E79CC">
        <w:t xml:space="preserve">to </w:t>
      </w:r>
      <w:r w:rsidR="00293CC7">
        <w:t xml:space="preserve">benefit from the same treatment as the ESM as regards sustainability reporting, </w:t>
      </w:r>
      <w:r w:rsidR="004E79CC">
        <w:t xml:space="preserve">and </w:t>
      </w:r>
      <w:r w:rsidR="00DE203C">
        <w:t xml:space="preserve">for consistency with the exemption regime </w:t>
      </w:r>
      <w:r w:rsidR="00CC30CB">
        <w:t xml:space="preserve">provided by </w:t>
      </w:r>
      <w:r w:rsidR="00DE203C">
        <w:t xml:space="preserve">Directive 2004/109/EC, </w:t>
      </w:r>
      <w:r w:rsidR="00B05C91">
        <w:t xml:space="preserve">the EFSF should be </w:t>
      </w:r>
      <w:r w:rsidR="00DE203C">
        <w:t>exempted</w:t>
      </w:r>
      <w:r w:rsidR="00B05C91">
        <w:t xml:space="preserve"> from </w:t>
      </w:r>
      <w:r w:rsidR="001D557D">
        <w:t>the regim</w:t>
      </w:r>
      <w:r w:rsidR="00DE203C">
        <w:t>e</w:t>
      </w:r>
      <w:r w:rsidR="001D557D">
        <w:t xml:space="preserve"> on sustainability reporting</w:t>
      </w:r>
      <w:r w:rsidR="00DE203C">
        <w:t xml:space="preserve"> provided by Directive 2013/34/EU</w:t>
      </w:r>
      <w:r w:rsidR="00293CC7">
        <w:t xml:space="preserve">. </w:t>
      </w:r>
    </w:p>
    <w:p w14:paraId="5BD8EC3F" w14:textId="77777777" w:rsidR="00593C09" w:rsidRDefault="007A5E7A" w:rsidP="00EF22E8">
      <w:pPr>
        <w:pStyle w:val="Considrant"/>
      </w:pPr>
      <w:r>
        <w:t xml:space="preserve">Article 19a(3) of </w:t>
      </w:r>
      <w:r w:rsidR="006364BE">
        <w:t xml:space="preserve">Directive 2013/34/EU </w:t>
      </w:r>
      <w:r w:rsidR="00C06961">
        <w:t xml:space="preserve">requires undertakings </w:t>
      </w:r>
      <w:r w:rsidR="00633CF3">
        <w:t>to report information about the undertaking’s own operations and about its value chain</w:t>
      </w:r>
      <w:r w:rsidR="00042E77">
        <w:t xml:space="preserve">. </w:t>
      </w:r>
      <w:r w:rsidR="0005575A">
        <w:t>It is necessary t</w:t>
      </w:r>
      <w:r w:rsidR="007E7CC7">
        <w:t xml:space="preserve">o </w:t>
      </w:r>
      <w:r w:rsidR="00B56809">
        <w:t xml:space="preserve">reduce the </w:t>
      </w:r>
      <w:r>
        <w:t xml:space="preserve">reporting </w:t>
      </w:r>
      <w:r w:rsidR="00B56809">
        <w:t xml:space="preserve">burden for undertakings </w:t>
      </w:r>
      <w:r w:rsidR="006217CA">
        <w:t>in</w:t>
      </w:r>
      <w:r w:rsidR="00B56809">
        <w:t xml:space="preserve"> the value chain </w:t>
      </w:r>
      <w:r w:rsidR="00737144">
        <w:t>that are not required to report on their sustainability</w:t>
      </w:r>
      <w:r w:rsidR="00221516">
        <w:t>. T</w:t>
      </w:r>
      <w:r w:rsidR="005A2789">
        <w:t>he reporting undertaking</w:t>
      </w:r>
      <w:r w:rsidR="00C6037A">
        <w:t xml:space="preserve">, </w:t>
      </w:r>
      <w:r w:rsidR="00BC6CC8">
        <w:t>f</w:t>
      </w:r>
      <w:r w:rsidR="0031495F">
        <w:t>or</w:t>
      </w:r>
      <w:r w:rsidR="008662BB">
        <w:t xml:space="preserve"> the purposes of reporting sustainability information</w:t>
      </w:r>
      <w:r w:rsidR="00726FCD">
        <w:t xml:space="preserve"> at individual or at consolidated level, </w:t>
      </w:r>
      <w:r w:rsidR="008662BB">
        <w:t xml:space="preserve">as required by </w:t>
      </w:r>
      <w:r w:rsidR="00BC53F2">
        <w:t>D</w:t>
      </w:r>
      <w:r w:rsidR="008662BB">
        <w:t>irective</w:t>
      </w:r>
      <w:r w:rsidR="00BC53F2">
        <w:t xml:space="preserve"> 2013/34/EU</w:t>
      </w:r>
      <w:r w:rsidR="000B641A">
        <w:t xml:space="preserve">, </w:t>
      </w:r>
      <w:r w:rsidR="008662BB">
        <w:t>and with</w:t>
      </w:r>
      <w:r w:rsidR="004F6CC2">
        <w:t>out</w:t>
      </w:r>
      <w:r w:rsidR="008662BB">
        <w:t xml:space="preserve"> prejudice to Union requirements to conduct a due diligence process</w:t>
      </w:r>
      <w:r w:rsidR="00C6037A">
        <w:t xml:space="preserve">, </w:t>
      </w:r>
      <w:r w:rsidR="0031495F">
        <w:t xml:space="preserve">should </w:t>
      </w:r>
      <w:r w:rsidR="00DB70A2">
        <w:t xml:space="preserve">therefore </w:t>
      </w:r>
      <w:r w:rsidR="0031495F">
        <w:t xml:space="preserve">not </w:t>
      </w:r>
      <w:r w:rsidR="008662BB">
        <w:t>seek to obtain from undertakings</w:t>
      </w:r>
      <w:r w:rsidR="00CD4446">
        <w:t xml:space="preserve"> established in or </w:t>
      </w:r>
      <w:r w:rsidR="007F7EA2">
        <w:t>outside</w:t>
      </w:r>
      <w:r w:rsidR="00CD4446">
        <w:t xml:space="preserve"> of the Union</w:t>
      </w:r>
      <w:r w:rsidR="008662BB">
        <w:t xml:space="preserve"> in </w:t>
      </w:r>
      <w:r w:rsidR="000B641A">
        <w:t xml:space="preserve">its </w:t>
      </w:r>
      <w:r w:rsidR="008662BB">
        <w:t xml:space="preserve">value chain </w:t>
      </w:r>
      <w:r w:rsidR="00737144">
        <w:t xml:space="preserve">that </w:t>
      </w:r>
      <w:r w:rsidR="00A166F8">
        <w:t xml:space="preserve">have </w:t>
      </w:r>
      <w:r w:rsidR="009D228A">
        <w:t xml:space="preserve">up to 1000 employees </w:t>
      </w:r>
      <w:r w:rsidR="00CD4446">
        <w:t>on average</w:t>
      </w:r>
      <w:r w:rsidR="00002E48">
        <w:t xml:space="preserve"> during the financial year</w:t>
      </w:r>
      <w:r w:rsidR="00CD4446">
        <w:t xml:space="preserve"> </w:t>
      </w:r>
      <w:r w:rsidR="00866832">
        <w:t xml:space="preserve">any </w:t>
      </w:r>
      <w:r w:rsidR="005435D2">
        <w:t xml:space="preserve">information </w:t>
      </w:r>
      <w:r w:rsidR="00866832">
        <w:t xml:space="preserve">that goes </w:t>
      </w:r>
      <w:r w:rsidR="008662BB">
        <w:t>beyond the information specified in the standards for voluntary use</w:t>
      </w:r>
      <w:r w:rsidR="0041722F">
        <w:t xml:space="preserve"> by undertakings </w:t>
      </w:r>
      <w:r w:rsidR="00C8507B">
        <w:t>that are not required to report on their sustainability</w:t>
      </w:r>
      <w:r w:rsidR="001D3197">
        <w:t xml:space="preserve">. </w:t>
      </w:r>
      <w:r w:rsidR="00541635">
        <w:t>The</w:t>
      </w:r>
      <w:r w:rsidR="00664A32">
        <w:t xml:space="preserve"> reporting undertaking should</w:t>
      </w:r>
      <w:r w:rsidR="00580C5A">
        <w:t>, however,</w:t>
      </w:r>
      <w:r w:rsidR="00664A32">
        <w:t xml:space="preserve"> be allowed to </w:t>
      </w:r>
      <w:r w:rsidR="00541635">
        <w:t xml:space="preserve">collect from </w:t>
      </w:r>
      <w:r w:rsidR="00F4433C">
        <w:t>such</w:t>
      </w:r>
      <w:r w:rsidR="00541635">
        <w:t xml:space="preserve"> undertakings in its value chain</w:t>
      </w:r>
      <w:r w:rsidR="009F283B">
        <w:t xml:space="preserve"> </w:t>
      </w:r>
      <w:r w:rsidR="00605CE8">
        <w:t xml:space="preserve">any </w:t>
      </w:r>
      <w:r w:rsidR="00664A32">
        <w:t>a</w:t>
      </w:r>
      <w:r w:rsidR="008662BB">
        <w:t xml:space="preserve">dditional sustainability information that is commonly shared between undertakings in the sector concerned. Undertakings reporting on their value chain in accordance with </w:t>
      </w:r>
      <w:r w:rsidR="00FA43DF">
        <w:t xml:space="preserve">those </w:t>
      </w:r>
      <w:r w:rsidR="00C52917">
        <w:t>limitations</w:t>
      </w:r>
      <w:r w:rsidR="008662BB">
        <w:t xml:space="preserve"> </w:t>
      </w:r>
      <w:r w:rsidR="0031495F">
        <w:t xml:space="preserve">should </w:t>
      </w:r>
      <w:r w:rsidR="008662BB">
        <w:t xml:space="preserve">be deemed to comply with </w:t>
      </w:r>
      <w:r w:rsidR="009021B1">
        <w:t xml:space="preserve">the obligation to report on their </w:t>
      </w:r>
      <w:r w:rsidR="008662BB">
        <w:t>sustainability</w:t>
      </w:r>
      <w:r w:rsidR="00D83362">
        <w:t xml:space="preserve">. </w:t>
      </w:r>
      <w:r w:rsidR="00726FCD">
        <w:t xml:space="preserve">Assurance providers </w:t>
      </w:r>
      <w:r w:rsidR="00726FCD">
        <w:lastRenderedPageBreak/>
        <w:t xml:space="preserve">should prepare their assurance opinion respecting the obligation on undertakings not to seek to obtain from undertakings in their value chain </w:t>
      </w:r>
      <w:r w:rsidR="009E0ABF">
        <w:t xml:space="preserve">that </w:t>
      </w:r>
      <w:r w:rsidR="00CE4AF4">
        <w:t xml:space="preserve">have up to 1000 employees </w:t>
      </w:r>
      <w:r w:rsidR="00383B2D">
        <w:t xml:space="preserve">on average </w:t>
      </w:r>
      <w:r w:rsidR="00643E4B">
        <w:t>during the financial year</w:t>
      </w:r>
      <w:r w:rsidR="009E0ABF" w:rsidDel="00EF0FD7">
        <w:t xml:space="preserve"> </w:t>
      </w:r>
      <w:r w:rsidR="00222280">
        <w:t xml:space="preserve">any </w:t>
      </w:r>
      <w:r w:rsidR="009E0ABF">
        <w:t xml:space="preserve">information </w:t>
      </w:r>
      <w:r w:rsidR="00222280">
        <w:t xml:space="preserve">that goes </w:t>
      </w:r>
      <w:r w:rsidR="00726FCD">
        <w:t>beyond the information specified in the standards for voluntary use</w:t>
      </w:r>
      <w:r w:rsidR="0043504F">
        <w:t xml:space="preserve"> by undertakings </w:t>
      </w:r>
      <w:r w:rsidR="00C8507B">
        <w:t>that are not required to report on their sustainability</w:t>
      </w:r>
      <w:r w:rsidR="00726FCD">
        <w:t>.</w:t>
      </w:r>
      <w:r w:rsidR="00D17BDF">
        <w:t xml:space="preserve"> </w:t>
      </w:r>
      <w:r w:rsidR="006D6827">
        <w:t>For</w:t>
      </w:r>
      <w:r w:rsidR="00D17BDF">
        <w:t xml:space="preserve"> that purpose, the Commission should be empowered to adopt a delegated act to provide for sustainability reporting standards for voluntary use by undertakings </w:t>
      </w:r>
      <w:r w:rsidR="000A2268">
        <w:t xml:space="preserve">that are not required to </w:t>
      </w:r>
      <w:r w:rsidR="006722DD">
        <w:t>report on their sustainability</w:t>
      </w:r>
      <w:r w:rsidR="00D17BDF">
        <w:t>. Th</w:t>
      </w:r>
      <w:r w:rsidR="001A0F45">
        <w:t>o</w:t>
      </w:r>
      <w:r w:rsidR="00D17BDF">
        <w:t xml:space="preserve">se standards should be proportionate </w:t>
      </w:r>
      <w:r w:rsidR="001A0F45">
        <w:t xml:space="preserve">to, </w:t>
      </w:r>
      <w:r w:rsidR="00D17BDF">
        <w:t>and relevant</w:t>
      </w:r>
      <w:r w:rsidR="001A0F45">
        <w:t xml:space="preserve"> for, </w:t>
      </w:r>
      <w:r w:rsidR="00D17BDF">
        <w:t>the capacities and the characteristics of th</w:t>
      </w:r>
      <w:r w:rsidR="00CD6CB5">
        <w:t>o</w:t>
      </w:r>
      <w:r w:rsidR="00D17BDF">
        <w:t>se undertakings and to the scale and complexity of their activities. Th</w:t>
      </w:r>
      <w:r w:rsidR="002046CA">
        <w:t>ose standards</w:t>
      </w:r>
      <w:r w:rsidR="00D17BDF">
        <w:t xml:space="preserve"> should also specify, where possible, the structure to be used to present that information</w:t>
      </w:r>
      <w:r w:rsidR="00EF22E8">
        <w:t xml:space="preserve">. </w:t>
      </w:r>
    </w:p>
    <w:p w14:paraId="2BEC22AD" w14:textId="77777777" w:rsidR="00593C09" w:rsidRPr="009F2DAC" w:rsidRDefault="00964DF3" w:rsidP="00593C09">
      <w:pPr>
        <w:pStyle w:val="Considrant"/>
      </w:pPr>
      <w:r>
        <w:t xml:space="preserve">Article 29c(1) of </w:t>
      </w:r>
      <w:r w:rsidR="00CC48F0">
        <w:t xml:space="preserve">Directive 2013/34/EU </w:t>
      </w:r>
      <w:r w:rsidR="00EA708D">
        <w:t>allow</w:t>
      </w:r>
      <w:r w:rsidR="002A3D0D">
        <w:t>s</w:t>
      </w:r>
      <w:r w:rsidR="00EA708D">
        <w:t xml:space="preserve"> small and medium-sized undertakings with securities admitted to trading on an EU regulated market, small and non-complex institutions</w:t>
      </w:r>
      <w:r w:rsidR="00EE0701">
        <w:t xml:space="preserve"> and captive re(insurance) undertakings</w:t>
      </w:r>
      <w:r w:rsidR="00B9118D">
        <w:t>,</w:t>
      </w:r>
      <w:r w:rsidR="00EA708D">
        <w:t xml:space="preserve"> to</w:t>
      </w:r>
      <w:r w:rsidR="00B9118D">
        <w:t xml:space="preserve"> report sustainability information in accordance with </w:t>
      </w:r>
      <w:r w:rsidR="00D9142D">
        <w:t>the</w:t>
      </w:r>
      <w:r w:rsidR="00B9118D">
        <w:t xml:space="preserve"> limited set of standards to be adopted by the Commission.</w:t>
      </w:r>
      <w:r w:rsidR="00D9142D">
        <w:t xml:space="preserve"> Considering that small and medium-sized undertakings with securities admitted to trading on an EU regulated market </w:t>
      </w:r>
      <w:r w:rsidR="00860942">
        <w:t>should</w:t>
      </w:r>
      <w:r w:rsidR="002F2F14">
        <w:t xml:space="preserve"> be excluded from sustainability reporting, </w:t>
      </w:r>
      <w:r w:rsidR="00FA3D8E">
        <w:t xml:space="preserve">the empowerment for the Commission to adopt delegated acts to provide for sustainability reporting standards for those small and medium-sized undertakings </w:t>
      </w:r>
      <w:r w:rsidR="00A45530">
        <w:t xml:space="preserve">should be </w:t>
      </w:r>
      <w:r w:rsidR="004E31D9">
        <w:t>removed</w:t>
      </w:r>
      <w:r w:rsidR="00593C09">
        <w:t>.</w:t>
      </w:r>
      <w:r w:rsidR="0050722D">
        <w:t xml:space="preserve"> </w:t>
      </w:r>
    </w:p>
    <w:p w14:paraId="1CFB0F02" w14:textId="77777777" w:rsidR="00926684" w:rsidRDefault="000D6FF3">
      <w:pPr>
        <w:pStyle w:val="Considrant"/>
      </w:pPr>
      <w:r>
        <w:t xml:space="preserve">Article 19a(7) of </w:t>
      </w:r>
      <w:r w:rsidR="0090466D">
        <w:t xml:space="preserve">Directive 2013/34/EU allows </w:t>
      </w:r>
      <w:r w:rsidR="00E50538">
        <w:t>small and medium</w:t>
      </w:r>
      <w:r w:rsidR="00E50538" w:rsidRPr="7F56E993">
        <w:rPr>
          <w:lang w:val="en-US"/>
        </w:rPr>
        <w:t>-sized undertaking</w:t>
      </w:r>
      <w:r w:rsidR="0090466D" w:rsidRPr="7F56E993">
        <w:rPr>
          <w:lang w:val="en-US"/>
        </w:rPr>
        <w:t>s</w:t>
      </w:r>
      <w:r w:rsidR="007F7499" w:rsidRPr="7F56E993">
        <w:rPr>
          <w:lang w:val="en-US"/>
        </w:rPr>
        <w:t xml:space="preserve"> with securities admitted to trading on an EU regulated market</w:t>
      </w:r>
      <w:r w:rsidR="00E50538" w:rsidRPr="7F56E993">
        <w:rPr>
          <w:lang w:val="en-US"/>
        </w:rPr>
        <w:t xml:space="preserve"> </w:t>
      </w:r>
      <w:r w:rsidR="0090466D" w:rsidRPr="7F56E993">
        <w:rPr>
          <w:lang w:val="en-US"/>
        </w:rPr>
        <w:t>to opt out from sustainability reporting for the first two years of application</w:t>
      </w:r>
      <w:r w:rsidR="002F2F14" w:rsidRPr="7F56E993">
        <w:rPr>
          <w:lang w:val="en-US"/>
        </w:rPr>
        <w:t xml:space="preserve"> of th</w:t>
      </w:r>
      <w:r w:rsidRPr="7F56E993">
        <w:rPr>
          <w:lang w:val="en-US"/>
        </w:rPr>
        <w:t>o</w:t>
      </w:r>
      <w:r w:rsidR="002F2F14" w:rsidRPr="7F56E993">
        <w:rPr>
          <w:lang w:val="en-US"/>
        </w:rPr>
        <w:t>se requirements</w:t>
      </w:r>
      <w:r w:rsidR="00153DD7" w:rsidRPr="7F56E993">
        <w:rPr>
          <w:lang w:val="en-US"/>
        </w:rPr>
        <w:t xml:space="preserve">. </w:t>
      </w:r>
      <w:r w:rsidR="002F2F14" w:rsidRPr="7F56E993">
        <w:rPr>
          <w:lang w:val="en-US"/>
        </w:rPr>
        <w:t xml:space="preserve">Considering that small and medium-sized undertakings </w:t>
      </w:r>
      <w:r w:rsidRPr="7F56E993">
        <w:rPr>
          <w:lang w:val="en-US"/>
        </w:rPr>
        <w:t>should</w:t>
      </w:r>
      <w:r w:rsidR="002F2F14" w:rsidRPr="7F56E993">
        <w:rPr>
          <w:lang w:val="en-US"/>
        </w:rPr>
        <w:t xml:space="preserve"> be </w:t>
      </w:r>
      <w:r w:rsidR="007F7499" w:rsidRPr="7F56E993">
        <w:rPr>
          <w:lang w:val="en-US"/>
        </w:rPr>
        <w:t>excl</w:t>
      </w:r>
      <w:r w:rsidR="00C23FEE" w:rsidRPr="7F56E993">
        <w:rPr>
          <w:lang w:val="en-US"/>
        </w:rPr>
        <w:t xml:space="preserve">uded from the sustainability reporting, </w:t>
      </w:r>
      <w:r w:rsidR="00DB158D" w:rsidRPr="7F56E993">
        <w:rPr>
          <w:lang w:val="en-US"/>
        </w:rPr>
        <w:t xml:space="preserve">the </w:t>
      </w:r>
      <w:r w:rsidR="007F7499" w:rsidRPr="7F56E993">
        <w:rPr>
          <w:lang w:val="en-US"/>
        </w:rPr>
        <w:t xml:space="preserve">provision allowing for </w:t>
      </w:r>
      <w:r w:rsidR="004C2EF3" w:rsidRPr="7F56E993">
        <w:rPr>
          <w:lang w:val="en-US"/>
        </w:rPr>
        <w:t>the two-year opt out s</w:t>
      </w:r>
      <w:r w:rsidR="00C23FEE">
        <w:t xml:space="preserve">hould be </w:t>
      </w:r>
      <w:r w:rsidR="004E31D9">
        <w:t>removed</w:t>
      </w:r>
      <w:r w:rsidR="00761E77">
        <w:t>.</w:t>
      </w:r>
    </w:p>
    <w:p w14:paraId="667B7021" w14:textId="77777777" w:rsidR="00571342" w:rsidRPr="00722EAA" w:rsidRDefault="00441BE3" w:rsidP="00571342">
      <w:pPr>
        <w:pStyle w:val="Considrant"/>
      </w:pPr>
      <w:r>
        <w:t xml:space="preserve">Article 29a(1) of </w:t>
      </w:r>
      <w:r w:rsidR="00571342">
        <w:t>Directive</w:t>
      </w:r>
      <w:r w:rsidR="00446618">
        <w:t xml:space="preserve"> 2013/34/EU</w:t>
      </w:r>
      <w:r w:rsidR="00571342">
        <w:t xml:space="preserve"> requires parent undertakings of large groups to prepare and publish a sustainability statement at consolidated level. </w:t>
      </w:r>
      <w:r>
        <w:t>T</w:t>
      </w:r>
      <w:r w:rsidR="00571342">
        <w:t xml:space="preserve">o reduce the reporting burden on </w:t>
      </w:r>
      <w:r w:rsidR="00BB6206">
        <w:t xml:space="preserve">those parent </w:t>
      </w:r>
      <w:r w:rsidR="00571342">
        <w:t>undertakings</w:t>
      </w:r>
      <w:r w:rsidR="006C1859">
        <w:t xml:space="preserve">, </w:t>
      </w:r>
      <w:r w:rsidR="00571342">
        <w:t xml:space="preserve">the scope of </w:t>
      </w:r>
      <w:r w:rsidR="00F16815">
        <w:t>that obligation</w:t>
      </w:r>
      <w:r w:rsidR="00571342">
        <w:t xml:space="preserve"> should be reduced to parent undertakings of </w:t>
      </w:r>
      <w:r w:rsidR="005B131C">
        <w:t xml:space="preserve">large </w:t>
      </w:r>
      <w:r w:rsidR="00571342">
        <w:t xml:space="preserve">groups with an average of more than </w:t>
      </w:r>
      <w:r w:rsidR="00B82E3B">
        <w:t xml:space="preserve">1000 </w:t>
      </w:r>
      <w:r w:rsidR="00571342">
        <w:t xml:space="preserve">employees, on a consolidated basis, during the financial year. </w:t>
      </w:r>
    </w:p>
    <w:p w14:paraId="288988DE" w14:textId="77777777" w:rsidR="008662BB" w:rsidRPr="00722EAA" w:rsidRDefault="002336ED" w:rsidP="008662BB">
      <w:pPr>
        <w:pStyle w:val="Considrant"/>
      </w:pPr>
      <w:r>
        <w:t xml:space="preserve">Article 29b(1), </w:t>
      </w:r>
      <w:r w:rsidR="0082513E">
        <w:t>third</w:t>
      </w:r>
      <w:r>
        <w:t xml:space="preserve"> subparagraph, </w:t>
      </w:r>
      <w:r w:rsidR="00FF1EA8">
        <w:t xml:space="preserve">Directive 2013/34/EU </w:t>
      </w:r>
      <w:r w:rsidR="00640947">
        <w:t xml:space="preserve">empowers the Commission to adopt </w:t>
      </w:r>
      <w:r w:rsidR="008662BB">
        <w:t xml:space="preserve">sector-specific </w:t>
      </w:r>
      <w:r w:rsidR="00936464">
        <w:t xml:space="preserve">reporting </w:t>
      </w:r>
      <w:r w:rsidR="008662BB">
        <w:t>standards by way of delegated acts</w:t>
      </w:r>
      <w:r w:rsidR="00936464">
        <w:t xml:space="preserve">, with a first set of such standards to be adopted by 30 June 2026. To avoid an increase in the number of prescribed datapoints that undertakings should report, </w:t>
      </w:r>
      <w:r w:rsidR="00D50C5E">
        <w:t>th</w:t>
      </w:r>
      <w:r w:rsidR="0082513E">
        <w:t>at</w:t>
      </w:r>
      <w:r w:rsidR="00D50C5E">
        <w:t xml:space="preserve"> empowerment should be </w:t>
      </w:r>
      <w:r w:rsidR="00A45B3B">
        <w:t>removed</w:t>
      </w:r>
      <w:r w:rsidR="00936464">
        <w:t xml:space="preserve">.  </w:t>
      </w:r>
    </w:p>
    <w:p w14:paraId="3F546F2F" w14:textId="77777777" w:rsidR="00AE5C84" w:rsidRPr="0060292F" w:rsidRDefault="0082513E" w:rsidP="00AE5C84">
      <w:pPr>
        <w:pStyle w:val="Considrant"/>
      </w:pPr>
      <w:r>
        <w:t xml:space="preserve">Article 29b(4) of </w:t>
      </w:r>
      <w:r w:rsidR="008C28A8">
        <w:t xml:space="preserve">Directive 2013/34/EU requires </w:t>
      </w:r>
      <w:r w:rsidR="008662BB">
        <w:t xml:space="preserve">sustainability reporting standards </w:t>
      </w:r>
      <w:r w:rsidR="00257D40">
        <w:t>to</w:t>
      </w:r>
      <w:r w:rsidR="00EB4304">
        <w:t xml:space="preserve"> </w:t>
      </w:r>
      <w:r w:rsidR="008662BB">
        <w:t xml:space="preserve">not specify disclosures requiring undertakings to obtain from </w:t>
      </w:r>
      <w:r w:rsidR="00312A6A">
        <w:t xml:space="preserve">small and medium-sized </w:t>
      </w:r>
      <w:r w:rsidR="008662BB">
        <w:t xml:space="preserve">undertakings in their value chain </w:t>
      </w:r>
      <w:r w:rsidR="00EB12F1">
        <w:t xml:space="preserve">any </w:t>
      </w:r>
      <w:r w:rsidR="0099587F">
        <w:t>informatio</w:t>
      </w:r>
      <w:r w:rsidR="00EB12F1">
        <w:t>n</w:t>
      </w:r>
      <w:r w:rsidR="0099587F">
        <w:t xml:space="preserve"> </w:t>
      </w:r>
      <w:r w:rsidR="00EB12F1">
        <w:t xml:space="preserve">that goes </w:t>
      </w:r>
      <w:r w:rsidR="008662BB">
        <w:t xml:space="preserve">beyond the information to be disclosed pursuant to the sustainability reporting standards for </w:t>
      </w:r>
      <w:r w:rsidR="00312A6A">
        <w:t>small and medium-sized undertakings</w:t>
      </w:r>
      <w:r w:rsidR="00AE5C84">
        <w:t xml:space="preserve"> with securities admitted to trading on an EU regulated market. Considering that small and medium-sized undertakings with securities admitted to trading on an EU regulated market </w:t>
      </w:r>
      <w:r w:rsidR="0026788A">
        <w:t>should</w:t>
      </w:r>
      <w:r w:rsidR="00AE5C84">
        <w:t xml:space="preserve"> be excluded from sustainability reporting, and in order to reduce the reporting burden for undertakings </w:t>
      </w:r>
      <w:r w:rsidR="00725593">
        <w:t xml:space="preserve">in the value chain </w:t>
      </w:r>
      <w:r w:rsidR="006452B4">
        <w:t>that are not required to report on their sustainability</w:t>
      </w:r>
      <w:r w:rsidR="00AE5C84">
        <w:t>, the</w:t>
      </w:r>
      <w:r w:rsidR="00384C07">
        <w:t xml:space="preserve"> </w:t>
      </w:r>
      <w:r w:rsidR="0034788D">
        <w:t xml:space="preserve">sustainability reporting standards should not specify disclosures requiring undertakings to obtain from undertakings in their value chain </w:t>
      </w:r>
      <w:r w:rsidR="00932F80">
        <w:t xml:space="preserve">that </w:t>
      </w:r>
      <w:r w:rsidR="00383B2D">
        <w:t xml:space="preserve">have up to 1000 employees on average </w:t>
      </w:r>
      <w:r w:rsidR="000C2174">
        <w:t xml:space="preserve">during the financial year </w:t>
      </w:r>
      <w:r w:rsidR="00383B2D">
        <w:t xml:space="preserve">any </w:t>
      </w:r>
      <w:r w:rsidR="00932F80">
        <w:t>information</w:t>
      </w:r>
      <w:r w:rsidR="003C58B2">
        <w:t xml:space="preserve"> </w:t>
      </w:r>
      <w:r w:rsidR="00383B2D">
        <w:t xml:space="preserve">that goes </w:t>
      </w:r>
      <w:r w:rsidR="0034788D">
        <w:t xml:space="preserve">beyond the information to be disclosed </w:t>
      </w:r>
      <w:r w:rsidR="00404B3C">
        <w:t xml:space="preserve">pursuant to the </w:t>
      </w:r>
      <w:r w:rsidR="00186BFC">
        <w:lastRenderedPageBreak/>
        <w:t xml:space="preserve">sustainability reporting standards for voluntary use by undertakings </w:t>
      </w:r>
      <w:r w:rsidR="004B18C6">
        <w:t>that are not required to report on their sustainability</w:t>
      </w:r>
      <w:r w:rsidR="00AE5C84">
        <w:t xml:space="preserve">. </w:t>
      </w:r>
    </w:p>
    <w:p w14:paraId="253A434E" w14:textId="77777777" w:rsidR="00D17709" w:rsidRDefault="00FB5E2F" w:rsidP="00FB5E2F">
      <w:pPr>
        <w:pStyle w:val="Considrant"/>
      </w:pPr>
      <w:r>
        <w:t xml:space="preserve">Article 29d of Directive 2013/34/EU requires undertakings subject to the requirements </w:t>
      </w:r>
      <w:r w:rsidR="00763167">
        <w:t>in</w:t>
      </w:r>
      <w:r>
        <w:t xml:space="preserve"> Articles 19a and 29a of that Directive to prepare their management report</w:t>
      </w:r>
      <w:r w:rsidR="00E82152">
        <w:t>, or consolidated management report, where applicable,</w:t>
      </w:r>
      <w:r>
        <w:t xml:space="preserve"> in the electronic reporting format specified in Article 3 of Commission Delegated Regulation (EU) 2019/815</w:t>
      </w:r>
      <w:r w:rsidR="00763167">
        <w:rPr>
          <w:rStyle w:val="FootnoteReference"/>
        </w:rPr>
        <w:footnoteReference w:id="31"/>
      </w:r>
      <w:r>
        <w:t xml:space="preserve"> and </w:t>
      </w:r>
      <w:r w:rsidR="00E82152">
        <w:t>to</w:t>
      </w:r>
      <w:r>
        <w:t xml:space="preserve"> mark up their sustainability reporting, including the disclosures provided for in Article 8 of Regulation (EU) 2020/852</w:t>
      </w:r>
      <w:r w:rsidR="00324790">
        <w:t xml:space="preserve"> of the European Parliament and of the Council</w:t>
      </w:r>
      <w:r w:rsidR="00324790">
        <w:rPr>
          <w:rStyle w:val="FootnoteReference"/>
        </w:rPr>
        <w:footnoteReference w:id="32"/>
      </w:r>
      <w:r>
        <w:t xml:space="preserve">, in accordance with the electronic reporting format </w:t>
      </w:r>
      <w:r w:rsidR="00F6000C">
        <w:t xml:space="preserve">to be </w:t>
      </w:r>
      <w:r>
        <w:t xml:space="preserve">specified in that Delegated Regulation. </w:t>
      </w:r>
      <w:r w:rsidR="001527F3">
        <w:t>To provide clarity to undertakings, it should be specified that u</w:t>
      </w:r>
      <w:r>
        <w:t xml:space="preserve">ntil </w:t>
      </w:r>
      <w:r w:rsidR="00F6000C" w:rsidRPr="00F6000C">
        <w:t xml:space="preserve">such rules on the marking up are adopted by way of that </w:t>
      </w:r>
      <w:r w:rsidDel="00F6000C">
        <w:t xml:space="preserve">a </w:t>
      </w:r>
      <w:r>
        <w:t>Delegated Regulation</w:t>
      </w:r>
      <w:r w:rsidR="000A7CEB">
        <w:t xml:space="preserve">, </w:t>
      </w:r>
      <w:r w:rsidR="001527F3" w:rsidDel="000A7CEB">
        <w:t xml:space="preserve">for the marking up of </w:t>
      </w:r>
      <w:r w:rsidR="00FE3626" w:rsidDel="000A7CEB">
        <w:t>sustainability</w:t>
      </w:r>
      <w:r w:rsidR="001527F3" w:rsidDel="000A7CEB">
        <w:t xml:space="preserve"> reporting </w:t>
      </w:r>
      <w:r w:rsidDel="000A7CEB">
        <w:t>is adopted</w:t>
      </w:r>
      <w:r w:rsidDel="00CA4D75">
        <w:t>,</w:t>
      </w:r>
      <w:r>
        <w:t xml:space="preserve"> undertakings </w:t>
      </w:r>
      <w:r w:rsidDel="00CA4D75">
        <w:t xml:space="preserve">are </w:t>
      </w:r>
      <w:r w:rsidR="00CA4D75">
        <w:t xml:space="preserve">should </w:t>
      </w:r>
      <w:r>
        <w:t xml:space="preserve">not </w:t>
      </w:r>
      <w:r w:rsidR="00CA4D75">
        <w:t xml:space="preserve">be </w:t>
      </w:r>
      <w:r>
        <w:t>required to mark</w:t>
      </w:r>
      <w:r w:rsidDel="00F6000C">
        <w:t>-</w:t>
      </w:r>
      <w:r>
        <w:t xml:space="preserve">up their sustainability </w:t>
      </w:r>
      <w:r w:rsidR="001527F3">
        <w:t>reporting</w:t>
      </w:r>
      <w:r>
        <w:t>.</w:t>
      </w:r>
    </w:p>
    <w:p w14:paraId="4734CA06" w14:textId="77777777" w:rsidR="009557C0" w:rsidRDefault="00D17709" w:rsidP="00495F9A">
      <w:pPr>
        <w:pStyle w:val="Considrant"/>
      </w:pPr>
      <w:r>
        <w:t>Article 33</w:t>
      </w:r>
      <w:r w:rsidR="009557C0">
        <w:t>(1)</w:t>
      </w:r>
      <w:r>
        <w:t xml:space="preserve"> of Directive 2013/34/EU </w:t>
      </w:r>
      <w:r w:rsidR="00C0678E">
        <w:t xml:space="preserve">specifies that </w:t>
      </w:r>
      <w:r w:rsidR="009557C0">
        <w:t>the members of the administrative, management and supervisory bodies of an undertaking have collective responsibility for ensuring that the following documents are drawn up and published in accordance with the requirements of th</w:t>
      </w:r>
      <w:r w:rsidR="00C0678E">
        <w:t>at</w:t>
      </w:r>
      <w:r w:rsidR="009557C0">
        <w:t xml:space="preserve"> Directive</w:t>
      </w:r>
      <w:r w:rsidR="00C0678E">
        <w:t>.</w:t>
      </w:r>
      <w:r w:rsidR="00F87858">
        <w:t xml:space="preserve"> </w:t>
      </w:r>
      <w:r w:rsidR="00B45052">
        <w:t xml:space="preserve">To provide flexibility </w:t>
      </w:r>
      <w:r w:rsidR="007104B8" w:rsidDel="00436E65">
        <w:t xml:space="preserve">do </w:t>
      </w:r>
      <w:r w:rsidR="00436E65">
        <w:t xml:space="preserve">for </w:t>
      </w:r>
      <w:r w:rsidR="007104B8">
        <w:t xml:space="preserve">undertakings and reduce </w:t>
      </w:r>
      <w:r w:rsidR="00514E16">
        <w:t xml:space="preserve">their </w:t>
      </w:r>
      <w:r w:rsidR="007104B8">
        <w:t xml:space="preserve">reporting burden, </w:t>
      </w:r>
      <w:r w:rsidR="00E03B46">
        <w:t xml:space="preserve">it should be specified that </w:t>
      </w:r>
      <w:r w:rsidR="003963E8">
        <w:t>the collective responsibility of the members of the administrative, management and supervisory bodies of an undertaking for compliance</w:t>
      </w:r>
      <w:r w:rsidR="00B14EA0">
        <w:t xml:space="preserve"> with </w:t>
      </w:r>
      <w:r w:rsidR="00E8704E">
        <w:t xml:space="preserve">the requirements of Article 29d of </w:t>
      </w:r>
      <w:r w:rsidR="00495F9A">
        <w:t xml:space="preserve">that Directive as regards the </w:t>
      </w:r>
      <w:r w:rsidR="002A34AF">
        <w:t>digitalisation</w:t>
      </w:r>
      <w:r w:rsidR="00495F9A">
        <w:t xml:space="preserve"> of the management report </w:t>
      </w:r>
      <w:r w:rsidR="002A34AF">
        <w:t xml:space="preserve">is limited to its publication in the </w:t>
      </w:r>
      <w:r w:rsidR="0078324A">
        <w:t>single electronic format, including t</w:t>
      </w:r>
      <w:r w:rsidR="00495F9A">
        <w:t xml:space="preserve">he marking up of the sustainability reporting therein. </w:t>
      </w:r>
    </w:p>
    <w:p w14:paraId="4F3714FB" w14:textId="77777777" w:rsidR="008662BB" w:rsidRPr="00866BBA" w:rsidRDefault="00F53F0E" w:rsidP="00286F28">
      <w:pPr>
        <w:pStyle w:val="Considrant"/>
      </w:pPr>
      <w:r>
        <w:t xml:space="preserve">Pursuant to Article 40a(1), fourth and fifth subparagraph of Directive 2013/34/EU, a subsidiary in the Union of a third-county undertaking that generates a net turnover of more than EUR 150 million in the Union, or, in the absence of such subsidiary, a branch in the Union that generates a net turnover of more than EUR 40 million, is to publish and make accessible sustainability information at the group level of the third-country parent undertaking. </w:t>
      </w:r>
      <w:r w:rsidR="00854B5B">
        <w:t>To</w:t>
      </w:r>
      <w:r w:rsidR="00967458">
        <w:t xml:space="preserve"> reach closer alignment with the criteria used to define which undertakings are in the scope of Directive (EU) 2024/1760, the net turnover threshold for the third-country undertaking should be raised from EUR 150 000 000 to EUR 450 000 000. </w:t>
      </w:r>
      <w:r w:rsidR="00854B5B">
        <w:t>For reasons of consistency</w:t>
      </w:r>
      <w:r w:rsidR="00921AEE">
        <w:t xml:space="preserve"> and burden reduction</w:t>
      </w:r>
      <w:r w:rsidR="00854B5B">
        <w:t xml:space="preserve">, </w:t>
      </w:r>
      <w:r w:rsidR="008662BB">
        <w:t xml:space="preserve">the size for a subsidiary undertaking </w:t>
      </w:r>
      <w:r w:rsidR="00921AEE">
        <w:t xml:space="preserve">and a branch </w:t>
      </w:r>
      <w:r w:rsidR="008662BB">
        <w:t>to be in scope of Article 40a</w:t>
      </w:r>
      <w:r w:rsidR="008B3996">
        <w:t xml:space="preserve"> should </w:t>
      </w:r>
      <w:r w:rsidR="00CA1533">
        <w:t xml:space="preserve">be </w:t>
      </w:r>
      <w:r w:rsidR="00A65891">
        <w:t xml:space="preserve">adjusted. </w:t>
      </w:r>
      <w:r w:rsidR="00BC489C">
        <w:t xml:space="preserve">The size of the subsidiary undertaking </w:t>
      </w:r>
      <w:r w:rsidR="00A65891">
        <w:t xml:space="preserve">should be that of a large undertaking, whilst the </w:t>
      </w:r>
      <w:r w:rsidR="00FC7626">
        <w:t xml:space="preserve">net turnover </w:t>
      </w:r>
      <w:r w:rsidR="008662BB">
        <w:t xml:space="preserve">criteria </w:t>
      </w:r>
      <w:r w:rsidR="008B3996">
        <w:t xml:space="preserve">for </w:t>
      </w:r>
      <w:r w:rsidR="00B733C6">
        <w:t>the b</w:t>
      </w:r>
      <w:r w:rsidR="008B3996">
        <w:t xml:space="preserve">ranch </w:t>
      </w:r>
      <w:r w:rsidR="004C5D22">
        <w:t xml:space="preserve">should be </w:t>
      </w:r>
      <w:r w:rsidR="00A9797E">
        <w:t>raised from EUR 40</w:t>
      </w:r>
      <w:r w:rsidR="00114AC5">
        <w:t> </w:t>
      </w:r>
      <w:r w:rsidR="00A9797E">
        <w:t>000</w:t>
      </w:r>
      <w:r w:rsidR="00114AC5">
        <w:t> </w:t>
      </w:r>
      <w:r w:rsidR="00A9797E">
        <w:t>000 to EUR 50</w:t>
      </w:r>
      <w:r w:rsidR="00114AC5">
        <w:t> </w:t>
      </w:r>
      <w:r w:rsidR="00A9797E">
        <w:t>000</w:t>
      </w:r>
      <w:r w:rsidR="00114AC5">
        <w:t> </w:t>
      </w:r>
      <w:r w:rsidR="00A9797E">
        <w:t>000</w:t>
      </w:r>
      <w:r w:rsidR="006F6CA9">
        <w:t>, to align with the net turnover threshold for large undertakings</w:t>
      </w:r>
      <w:r w:rsidR="00A9797E">
        <w:t>.</w:t>
      </w:r>
      <w:r w:rsidR="0035073F">
        <w:t xml:space="preserve"> </w:t>
      </w:r>
    </w:p>
    <w:p w14:paraId="0F2CC1FF" w14:textId="77777777" w:rsidR="00C9540E" w:rsidRPr="00DF496E" w:rsidRDefault="00F12EAE" w:rsidP="0056309C">
      <w:pPr>
        <w:pStyle w:val="Considrant"/>
      </w:pPr>
      <w:r>
        <w:t>Article 5(2)</w:t>
      </w:r>
      <w:r w:rsidR="00BF2F4E">
        <w:t xml:space="preserve">, </w:t>
      </w:r>
      <w:r>
        <w:t>first subparagraph</w:t>
      </w:r>
      <w:r w:rsidR="00BF2F4E">
        <w:t>,</w:t>
      </w:r>
      <w:r>
        <w:t xml:space="preserve"> of Directive (EU) 2022/2464 specifies the dates </w:t>
      </w:r>
      <w:r w:rsidR="000B0B14">
        <w:t>by which the Member States are to apply</w:t>
      </w:r>
      <w:r>
        <w:t xml:space="preserve"> the sustainability reporting requirements set out in Directive</w:t>
      </w:r>
      <w:r w:rsidR="00BE2D57">
        <w:t xml:space="preserve"> 2013/34/EU</w:t>
      </w:r>
      <w:r>
        <w:t xml:space="preserve">, </w:t>
      </w:r>
      <w:r w:rsidR="00BE2D57">
        <w:t xml:space="preserve">with different dates </w:t>
      </w:r>
      <w:r>
        <w:t>depe</w:t>
      </w:r>
      <w:r w:rsidR="004D015D">
        <w:t>n</w:t>
      </w:r>
      <w:r>
        <w:t>ding on the size of the undertaking</w:t>
      </w:r>
      <w:r w:rsidR="00BE2D57">
        <w:t xml:space="preserve"> concerned</w:t>
      </w:r>
      <w:r>
        <w:t xml:space="preserve">. </w:t>
      </w:r>
      <w:r w:rsidR="00C9540E">
        <w:t>Considering th</w:t>
      </w:r>
      <w:r w:rsidR="008E3F0A">
        <w:t>at the scope of</w:t>
      </w:r>
      <w:r w:rsidR="00CE327A">
        <w:t xml:space="preserve"> </w:t>
      </w:r>
      <w:r w:rsidR="004D225C">
        <w:t>th</w:t>
      </w:r>
      <w:r w:rsidR="00EA1301">
        <w:t xml:space="preserve">e </w:t>
      </w:r>
      <w:r w:rsidR="006D6BD7">
        <w:t xml:space="preserve">individual </w:t>
      </w:r>
      <w:r w:rsidR="008E3F0A">
        <w:t xml:space="preserve">sustainability reporting requirements </w:t>
      </w:r>
      <w:r w:rsidR="00BE2D57">
        <w:t xml:space="preserve">should be </w:t>
      </w:r>
      <w:r w:rsidR="00CE327A">
        <w:t xml:space="preserve">reduced to </w:t>
      </w:r>
      <w:r w:rsidR="00EF5A20">
        <w:t xml:space="preserve">include only </w:t>
      </w:r>
      <w:r w:rsidR="00CD0B68">
        <w:t xml:space="preserve">large </w:t>
      </w:r>
      <w:r w:rsidR="00CE327A">
        <w:t xml:space="preserve">undertakings </w:t>
      </w:r>
      <w:r w:rsidR="008F54A2">
        <w:t xml:space="preserve">with more than </w:t>
      </w:r>
      <w:r w:rsidR="008F54A2">
        <w:lastRenderedPageBreak/>
        <w:t xml:space="preserve">1000 </w:t>
      </w:r>
      <w:r w:rsidR="009722B5">
        <w:t xml:space="preserve">employees </w:t>
      </w:r>
      <w:r w:rsidR="00DE45A9">
        <w:t xml:space="preserve">on average </w:t>
      </w:r>
      <w:r w:rsidR="00CE327A">
        <w:t>during the financial year</w:t>
      </w:r>
      <w:r w:rsidR="00F20E7E">
        <w:t xml:space="preserve">, and that the scope of </w:t>
      </w:r>
      <w:r w:rsidR="007947F2">
        <w:t xml:space="preserve">the consolidated sustainability reporting requirements </w:t>
      </w:r>
      <w:r w:rsidR="003848AC">
        <w:t xml:space="preserve">should be </w:t>
      </w:r>
      <w:r w:rsidR="007947F2">
        <w:t xml:space="preserve">reduced </w:t>
      </w:r>
      <w:r w:rsidR="003848AC">
        <w:t>accordingly</w:t>
      </w:r>
      <w:r w:rsidR="00C129D8">
        <w:t xml:space="preserve">, </w:t>
      </w:r>
      <w:r w:rsidR="00FE684F">
        <w:t xml:space="preserve">the </w:t>
      </w:r>
      <w:r w:rsidR="003848AC">
        <w:t xml:space="preserve">criteria for determining </w:t>
      </w:r>
      <w:r w:rsidR="002A2C4B">
        <w:t>the dates of application</w:t>
      </w:r>
      <w:r w:rsidR="00607B4A">
        <w:t xml:space="preserve"> </w:t>
      </w:r>
      <w:r w:rsidR="00E6390C">
        <w:t>should be adjusted</w:t>
      </w:r>
      <w:r w:rsidR="002136E5">
        <w:t xml:space="preserve">, and the reference to </w:t>
      </w:r>
      <w:r w:rsidR="001C6A9D">
        <w:t>s</w:t>
      </w:r>
      <w:r>
        <w:t>mall and medium-sized undertakings</w:t>
      </w:r>
      <w:r w:rsidR="0056309C">
        <w:t xml:space="preserve"> with securities admitted to trading on an EU regulated market</w:t>
      </w:r>
      <w:r>
        <w:t xml:space="preserve"> </w:t>
      </w:r>
      <w:r w:rsidR="0056309C">
        <w:t xml:space="preserve">should be </w:t>
      </w:r>
      <w:r w:rsidR="008B0303">
        <w:t>removed</w:t>
      </w:r>
      <w:r>
        <w:t xml:space="preserve">. </w:t>
      </w:r>
    </w:p>
    <w:p w14:paraId="431AFAD3" w14:textId="77777777" w:rsidR="00F12EAE" w:rsidRDefault="003D40C9" w:rsidP="09C8E9B3">
      <w:pPr>
        <w:pStyle w:val="Considrant"/>
      </w:pPr>
      <w:r>
        <w:t>Article 5(2)</w:t>
      </w:r>
      <w:r w:rsidR="00BF2F4E">
        <w:t>,</w:t>
      </w:r>
      <w:r>
        <w:t xml:space="preserve"> third subparagraph</w:t>
      </w:r>
      <w:r w:rsidR="00BF2F4E">
        <w:t>,</w:t>
      </w:r>
      <w:r>
        <w:t xml:space="preserve"> of Directive (EU) 2022/2464 </w:t>
      </w:r>
      <w:r w:rsidR="0056309C">
        <w:t xml:space="preserve">specifies the dates </w:t>
      </w:r>
      <w:r w:rsidR="00BF2F4E">
        <w:t xml:space="preserve">by which the Member States are to apply </w:t>
      </w:r>
      <w:r w:rsidR="0056309C">
        <w:t>the sustainability reporting requirements set out in Directive</w:t>
      </w:r>
      <w:r w:rsidR="00B134E2">
        <w:t xml:space="preserve"> 2004/109/EC</w:t>
      </w:r>
      <w:r w:rsidR="0056309C">
        <w:t xml:space="preserve">, </w:t>
      </w:r>
      <w:r w:rsidR="00B134E2">
        <w:t xml:space="preserve">with different dates </w:t>
      </w:r>
      <w:r w:rsidR="0056309C">
        <w:t>depending on the size of the issuer</w:t>
      </w:r>
      <w:r w:rsidR="00B134E2">
        <w:t xml:space="preserve"> concerned</w:t>
      </w:r>
      <w:r w:rsidR="0056309C">
        <w:t xml:space="preserve">. Considering that the scope of the individual sustainability reporting requirements </w:t>
      </w:r>
      <w:r w:rsidR="00B134E2">
        <w:t xml:space="preserve">should be </w:t>
      </w:r>
      <w:r w:rsidR="0056309C">
        <w:t xml:space="preserve">reduced to include only </w:t>
      </w:r>
      <w:r w:rsidR="009C0DD2">
        <w:t xml:space="preserve">large </w:t>
      </w:r>
      <w:r w:rsidR="0056309C">
        <w:t xml:space="preserve">undertakings </w:t>
      </w:r>
      <w:r w:rsidR="002C7C8D">
        <w:t xml:space="preserve">with more than 1000 employees on average </w:t>
      </w:r>
      <w:r w:rsidR="0056309C">
        <w:t xml:space="preserve">during the financial year, and that the scope of the consolidated sustainability reporting requirements </w:t>
      </w:r>
      <w:r w:rsidR="00384C28">
        <w:t xml:space="preserve">should be </w:t>
      </w:r>
      <w:r w:rsidR="0056309C">
        <w:t xml:space="preserve">reduced </w:t>
      </w:r>
      <w:r w:rsidR="00384C28">
        <w:t>accordingly</w:t>
      </w:r>
      <w:r w:rsidR="0056309C">
        <w:t xml:space="preserve">, the </w:t>
      </w:r>
      <w:r w:rsidR="00384C28">
        <w:t>criteria for determining the dates of application</w:t>
      </w:r>
      <w:r w:rsidR="0056309C">
        <w:t xml:space="preserve"> should be adjusted, and the reference to small and medium-sized undertakings should be </w:t>
      </w:r>
      <w:r w:rsidR="00956313">
        <w:t>removed</w:t>
      </w:r>
      <w:r w:rsidR="0056309C">
        <w:t xml:space="preserve">. </w:t>
      </w:r>
    </w:p>
    <w:p w14:paraId="7D154A6A" w14:textId="77777777" w:rsidR="00624A27" w:rsidRPr="006A120F" w:rsidRDefault="1658328B" w:rsidP="0DDF8393">
      <w:pPr>
        <w:pStyle w:val="Considrant"/>
      </w:pPr>
      <w:r>
        <w:t xml:space="preserve">Article 4(1) of </w:t>
      </w:r>
      <w:r w:rsidR="00B32102">
        <w:t xml:space="preserve">Directive (EU) 2024/1760 </w:t>
      </w:r>
      <w:r w:rsidR="2DE5EFCE">
        <w:t>prohibits</w:t>
      </w:r>
      <w:r w:rsidR="5CD34BB7">
        <w:t xml:space="preserve"> Member States </w:t>
      </w:r>
      <w:r w:rsidR="0686F0A2">
        <w:t>from</w:t>
      </w:r>
      <w:r w:rsidR="5CD34BB7">
        <w:t xml:space="preserve"> introduc</w:t>
      </w:r>
      <w:r w:rsidR="006CDBC6">
        <w:t>ing</w:t>
      </w:r>
      <w:r w:rsidR="5CD34BB7">
        <w:t xml:space="preserve">, in their national law, provisions within the field covered by the Directive laying down human rights and environmental due diligence obligations diverging from those laid down in Article 8(1) and (2), </w:t>
      </w:r>
      <w:r w:rsidR="003D6651">
        <w:t xml:space="preserve">and </w:t>
      </w:r>
      <w:r w:rsidR="5CD34BB7">
        <w:t>Article 10(1)</w:t>
      </w:r>
      <w:r w:rsidR="003D6651">
        <w:t xml:space="preserve"> of that Directive</w:t>
      </w:r>
      <w:r w:rsidR="00D13041">
        <w:t xml:space="preserve">. </w:t>
      </w:r>
      <w:r w:rsidR="006711BE">
        <w:t>T</w:t>
      </w:r>
      <w:r w:rsidR="5CD34BB7">
        <w:t>o ensure that Member States do not go beyond th</w:t>
      </w:r>
      <w:r w:rsidR="00686EDC">
        <w:t>at</w:t>
      </w:r>
      <w:r w:rsidR="5CD34BB7">
        <w:t xml:space="preserve"> Directive and </w:t>
      </w:r>
      <w:r w:rsidR="00B708F6">
        <w:t xml:space="preserve">to avoid </w:t>
      </w:r>
      <w:r w:rsidR="006F2FF0">
        <w:t xml:space="preserve">the </w:t>
      </w:r>
      <w:r w:rsidR="5CD34BB7">
        <w:t>creat</w:t>
      </w:r>
      <w:r w:rsidR="00A1397C">
        <w:t>ion</w:t>
      </w:r>
      <w:r w:rsidR="5CD34BB7">
        <w:t xml:space="preserve"> </w:t>
      </w:r>
      <w:r w:rsidR="00A1397C">
        <w:t xml:space="preserve">of </w:t>
      </w:r>
      <w:r w:rsidR="5CD34BB7">
        <w:t xml:space="preserve">a fragmented regulatory landscape resulting in legal uncertainty and unnecessary burden, the </w:t>
      </w:r>
      <w:r w:rsidR="2E6220C6">
        <w:t>full</w:t>
      </w:r>
      <w:r w:rsidR="5CD34BB7">
        <w:t xml:space="preserve"> harmonisation provisions of </w:t>
      </w:r>
      <w:r w:rsidR="00DE4FBF">
        <w:t>Directive (EU) 2024/1760</w:t>
      </w:r>
      <w:r w:rsidR="000E5299">
        <w:t xml:space="preserve"> </w:t>
      </w:r>
      <w:r w:rsidR="5CD34BB7">
        <w:t xml:space="preserve">should be expanded to </w:t>
      </w:r>
      <w:r w:rsidR="4DFE8FF0">
        <w:t>additional</w:t>
      </w:r>
      <w:r w:rsidR="5CD34BB7">
        <w:t xml:space="preserve"> provisions regulating the core aspects of the due diligence process. Th</w:t>
      </w:r>
      <w:r w:rsidR="00C52AA5">
        <w:t>at</w:t>
      </w:r>
      <w:r w:rsidR="5CD34BB7">
        <w:t xml:space="preserve"> includes, in particular, the identification duty, the duties to address adverse impacts that have been or should have been identified, the duties to engage with stakeholders in certain cases</w:t>
      </w:r>
      <w:r w:rsidR="00576222">
        <w:t>,</w:t>
      </w:r>
      <w:r w:rsidR="5CD34BB7">
        <w:t xml:space="preserve"> and </w:t>
      </w:r>
      <w:r w:rsidR="00576222">
        <w:t xml:space="preserve">the duty </w:t>
      </w:r>
      <w:r w:rsidR="5CD34BB7">
        <w:t xml:space="preserve">to provide for a complaints and notification mechanism. At the same time, Member States should be allowed to </w:t>
      </w:r>
      <w:r w:rsidR="0BED7E12">
        <w:t>introduce more stringent or more specific p</w:t>
      </w:r>
      <w:r w:rsidR="00D13041">
        <w:t>r</w:t>
      </w:r>
      <w:r w:rsidR="0BED7E12">
        <w:t xml:space="preserve">ovisions on other aspects, including </w:t>
      </w:r>
      <w:r w:rsidR="5CD34BB7" w:rsidDel="001B77E2">
        <w:t xml:space="preserve"> </w:t>
      </w:r>
      <w:r w:rsidR="5CD34BB7">
        <w:t xml:space="preserve">to address emerging risks linked to new products or services. </w:t>
      </w:r>
    </w:p>
    <w:p w14:paraId="34D4B593" w14:textId="77777777" w:rsidR="00A60B6F" w:rsidRPr="006A120F" w:rsidRDefault="5143B409" w:rsidP="00CD33E3">
      <w:pPr>
        <w:pStyle w:val="Considrant"/>
      </w:pPr>
      <w:r>
        <w:t xml:space="preserve">Article 5 of </w:t>
      </w:r>
      <w:r w:rsidR="32A2E2BE">
        <w:t>Directive</w:t>
      </w:r>
      <w:r>
        <w:t xml:space="preserve"> </w:t>
      </w:r>
      <w:r w:rsidR="00D9312E">
        <w:t>(</w:t>
      </w:r>
      <w:r>
        <w:t>EU</w:t>
      </w:r>
      <w:r w:rsidR="00D9312E">
        <w:t>)</w:t>
      </w:r>
      <w:r>
        <w:t xml:space="preserve"> 2024/1760</w:t>
      </w:r>
      <w:r w:rsidR="32A2E2BE">
        <w:t xml:space="preserve"> </w:t>
      </w:r>
      <w:r w:rsidR="21CD40E6">
        <w:t xml:space="preserve">obliges </w:t>
      </w:r>
      <w:r w:rsidR="00EB061B">
        <w:t>M</w:t>
      </w:r>
      <w:r w:rsidR="21CD40E6">
        <w:t xml:space="preserve">ember </w:t>
      </w:r>
      <w:r w:rsidR="00EB061B">
        <w:t>S</w:t>
      </w:r>
      <w:r w:rsidR="21CD40E6">
        <w:t>tates to ensure that</w:t>
      </w:r>
      <w:r w:rsidR="32A2E2BE">
        <w:t xml:space="preserve"> </w:t>
      </w:r>
      <w:r w:rsidR="00833ABC">
        <w:t xml:space="preserve">large </w:t>
      </w:r>
      <w:r w:rsidR="32A2E2BE">
        <w:t xml:space="preserve">companies </w:t>
      </w:r>
      <w:r w:rsidR="00C61B01">
        <w:t xml:space="preserve">above a certain size </w:t>
      </w:r>
      <w:r w:rsidR="32A2E2BE">
        <w:t xml:space="preserve">conduct risk-based human rights and environmental due diligence. </w:t>
      </w:r>
      <w:r w:rsidR="296D64CB">
        <w:t>T</w:t>
      </w:r>
      <w:r w:rsidR="32A2E2BE">
        <w:t xml:space="preserve">o reduce burdens on companies </w:t>
      </w:r>
      <w:r w:rsidR="00273719">
        <w:t>that have to comply with that obligation</w:t>
      </w:r>
      <w:r w:rsidR="32A2E2BE">
        <w:t xml:space="preserve">, the </w:t>
      </w:r>
      <w:r w:rsidR="0099293C">
        <w:t xml:space="preserve">required </w:t>
      </w:r>
      <w:r w:rsidR="32A2E2BE">
        <w:t xml:space="preserve">due diligence should, as a general rule, be limited to the company’s own operations, those of its subsidiaries and those of </w:t>
      </w:r>
      <w:r w:rsidR="59581171">
        <w:t xml:space="preserve">its </w:t>
      </w:r>
      <w:r w:rsidR="32A2E2BE">
        <w:t>direct business partners (‘tier 1’). Consequently, when it comes to business relationships, companies should</w:t>
      </w:r>
      <w:r w:rsidR="0089069B">
        <w:t>, after having mapped their chains of activities,</w:t>
      </w:r>
      <w:r w:rsidR="32A2E2BE">
        <w:t xml:space="preserve"> be required to carry out in-de</w:t>
      </w:r>
      <w:r w:rsidR="03BA7A7F">
        <w:t>p</w:t>
      </w:r>
      <w:r w:rsidR="32A2E2BE">
        <w:t>t</w:t>
      </w:r>
      <w:r w:rsidR="3C002066">
        <w:t>h</w:t>
      </w:r>
      <w:r w:rsidR="32A2E2BE">
        <w:t xml:space="preserve"> assessments as regards direct business partners only. </w:t>
      </w:r>
      <w:r w:rsidR="5F7B3F98">
        <w:t>C</w:t>
      </w:r>
      <w:r w:rsidR="32A2E2BE">
        <w:t>ompanies should</w:t>
      </w:r>
      <w:r w:rsidR="5AC9CC2C">
        <w:t>, however,</w:t>
      </w:r>
      <w:r w:rsidR="32A2E2BE">
        <w:t xml:space="preserve"> look beyond their direct business relationships where they have </w:t>
      </w:r>
      <w:r w:rsidR="0FAB712A">
        <w:t xml:space="preserve">plausible </w:t>
      </w:r>
      <w:r w:rsidR="32A2E2BE">
        <w:t xml:space="preserve">information that suggests an adverse impact at the level of an indirect business partner. </w:t>
      </w:r>
      <w:r w:rsidR="002C0668" w:rsidRPr="002C0668">
        <w:t xml:space="preserve">Plausible information means information </w:t>
      </w:r>
      <w:r w:rsidR="002C0668" w:rsidRPr="002C0668">
        <w:rPr>
          <w:u w:val="single"/>
        </w:rPr>
        <w:t>of an objective character</w:t>
      </w:r>
      <w:r w:rsidR="00A04EB7">
        <w:rPr>
          <w:u w:val="single"/>
        </w:rPr>
        <w:t xml:space="preserve"> </w:t>
      </w:r>
      <w:r w:rsidR="002C0668" w:rsidRPr="002C0668">
        <w:t>that allows the company to conclude that there is a reasonable likelihood that the information is true.</w:t>
      </w:r>
      <w:r w:rsidR="00B61811">
        <w:t xml:space="preserve"> </w:t>
      </w:r>
      <w:r w:rsidR="32A2E2BE">
        <w:t>This may</w:t>
      </w:r>
      <w:r w:rsidR="1094113C">
        <w:t xml:space="preserve"> be the case where</w:t>
      </w:r>
      <w:r w:rsidR="32A2E2BE">
        <w:t xml:space="preserve"> the company </w:t>
      </w:r>
      <w:r w:rsidR="003B37D1">
        <w:t xml:space="preserve">concerned </w:t>
      </w:r>
      <w:r w:rsidR="32A2E2BE">
        <w:t xml:space="preserve">has received a complaint or is in the possession of information, for example through </w:t>
      </w:r>
      <w:r w:rsidR="00CA51D6">
        <w:t xml:space="preserve">credible </w:t>
      </w:r>
      <w:r w:rsidR="32A2E2BE">
        <w:t xml:space="preserve">media or NGO reports, </w:t>
      </w:r>
      <w:r w:rsidR="00DE704F">
        <w:t xml:space="preserve">reports of recent </w:t>
      </w:r>
      <w:r w:rsidR="32A2E2BE">
        <w:t xml:space="preserve"> incidents</w:t>
      </w:r>
      <w:r w:rsidR="32031918">
        <w:t>, or through recurring problems at cert</w:t>
      </w:r>
      <w:r w:rsidR="7AE79F53">
        <w:t>a</w:t>
      </w:r>
      <w:r w:rsidR="32031918">
        <w:t xml:space="preserve">in locations  </w:t>
      </w:r>
      <w:r w:rsidR="3712DA59">
        <w:t>about</w:t>
      </w:r>
      <w:r w:rsidR="32A2E2BE">
        <w:t xml:space="preserve"> likely or actual harmful activities at the level of an indirect </w:t>
      </w:r>
      <w:r w:rsidR="553335B3">
        <w:t xml:space="preserve"> business partner</w:t>
      </w:r>
      <w:r w:rsidR="32A2E2BE">
        <w:t xml:space="preserve">. </w:t>
      </w:r>
      <w:r w:rsidR="003431DE" w:rsidRPr="7F56E993" w:rsidDel="001B77E2">
        <w:rPr>
          <w:lang w:val="en-IE"/>
        </w:rPr>
        <w:t xml:space="preserve"> </w:t>
      </w:r>
      <w:r w:rsidR="3712DA59">
        <w:t>Where</w:t>
      </w:r>
      <w:r w:rsidR="32A2E2BE">
        <w:t xml:space="preserve"> the company has such information, it should carry out an in-depth assessment. </w:t>
      </w:r>
      <w:r w:rsidR="003E1E63">
        <w:t xml:space="preserve">Companies </w:t>
      </w:r>
      <w:r w:rsidR="00812A0D">
        <w:t xml:space="preserve">should also </w:t>
      </w:r>
      <w:r w:rsidR="001E3577">
        <w:t>carry out in-depth ass</w:t>
      </w:r>
      <w:r w:rsidR="003B2447">
        <w:t xml:space="preserve">essments </w:t>
      </w:r>
      <w:r w:rsidR="5F8B74F7">
        <w:t>with</w:t>
      </w:r>
      <w:r w:rsidR="00BD3E61">
        <w:t xml:space="preserve"> respect to </w:t>
      </w:r>
      <w:r w:rsidR="00C91111">
        <w:t>adverse impacts</w:t>
      </w:r>
      <w:r w:rsidR="00BD3E61">
        <w:t xml:space="preserve"> arising beyond their </w:t>
      </w:r>
      <w:r w:rsidR="00686D18">
        <w:t>direct</w:t>
      </w:r>
      <w:r w:rsidR="00BD3E61">
        <w:t xml:space="preserve"> business partner </w:t>
      </w:r>
      <w:r w:rsidR="0061072B" w:rsidRPr="7F56E993">
        <w:rPr>
          <w:lang w:val="en-IE"/>
        </w:rPr>
        <w:t xml:space="preserve">where the structure of </w:t>
      </w:r>
      <w:r w:rsidR="003431DE" w:rsidRPr="7F56E993">
        <w:rPr>
          <w:lang w:val="en-IE"/>
        </w:rPr>
        <w:t xml:space="preserve">this </w:t>
      </w:r>
      <w:r w:rsidR="0061072B" w:rsidRPr="7F56E993">
        <w:rPr>
          <w:lang w:val="en-IE"/>
        </w:rPr>
        <w:t>business relationship lacks economic rationale and suggests that it was chosen to remove an otherwise direct supplier with harmful activities from the purview of the company</w:t>
      </w:r>
      <w:r w:rsidR="003431DE" w:rsidRPr="7F56E993">
        <w:rPr>
          <w:lang w:val="en-IE"/>
        </w:rPr>
        <w:t>.</w:t>
      </w:r>
      <w:r w:rsidR="003431DE">
        <w:t xml:space="preserve"> </w:t>
      </w:r>
      <w:r w:rsidR="32A2E2BE">
        <w:t xml:space="preserve">Where the </w:t>
      </w:r>
      <w:r w:rsidR="68ACECC0">
        <w:t>in-depth</w:t>
      </w:r>
      <w:r w:rsidR="32A2E2BE">
        <w:t xml:space="preserve"> assessment </w:t>
      </w:r>
      <w:r w:rsidR="32A2E2BE">
        <w:lastRenderedPageBreak/>
        <w:t>confirms the likelihood or existence of the adverse impact, it should then be deemed to be identified. In addition, companies should seek to ensure that their code of conduct – which is part of their due diligence policy and sets out the expectations as to how to protect human, including labour, rights and the environment in business operations – is followed throughout the chain of activities in accordance with contractual cascading and SME support.</w:t>
      </w:r>
      <w:r w:rsidR="7412686B">
        <w:t xml:space="preserve"> </w:t>
      </w:r>
    </w:p>
    <w:p w14:paraId="5F46A5FC" w14:textId="77777777" w:rsidR="7412686B" w:rsidRDefault="009239CD" w:rsidP="00DE466D">
      <w:pPr>
        <w:pStyle w:val="Considrant"/>
      </w:pPr>
      <w:r>
        <w:t>T</w:t>
      </w:r>
      <w:r w:rsidR="7412686B">
        <w:t xml:space="preserve">o limit </w:t>
      </w:r>
      <w:r w:rsidR="004F2A39">
        <w:t xml:space="preserve">the </w:t>
      </w:r>
      <w:r w:rsidR="7412686B">
        <w:t xml:space="preserve">trickle-down effect on </w:t>
      </w:r>
      <w:r w:rsidR="008A13EE">
        <w:t xml:space="preserve">small </w:t>
      </w:r>
      <w:r w:rsidR="009A7DF0">
        <w:t xml:space="preserve">and medium-sized </w:t>
      </w:r>
      <w:r w:rsidR="004F2A39">
        <w:t xml:space="preserve">undertakings </w:t>
      </w:r>
      <w:r w:rsidR="50810270">
        <w:t xml:space="preserve">and </w:t>
      </w:r>
      <w:r w:rsidR="004F2A39">
        <w:t xml:space="preserve">small midcap companies </w:t>
      </w:r>
      <w:r w:rsidR="7412686B">
        <w:t xml:space="preserve">when it comes to </w:t>
      </w:r>
      <w:r w:rsidR="58D2889B">
        <w:t>mapping the value chain</w:t>
      </w:r>
      <w:r w:rsidR="58D2889B" w:rsidDel="00816AB4">
        <w:t xml:space="preserve"> </w:t>
      </w:r>
      <w:r w:rsidR="287FBB82">
        <w:t xml:space="preserve"> to </w:t>
      </w:r>
      <w:r w:rsidR="58D2889B">
        <w:t xml:space="preserve">identify adverse impacts, large </w:t>
      </w:r>
      <w:r w:rsidR="6381B335">
        <w:t xml:space="preserve">companies should limit information requests to the </w:t>
      </w:r>
      <w:r w:rsidR="004363B2">
        <w:t xml:space="preserve">information specified in </w:t>
      </w:r>
      <w:r w:rsidR="6381B335">
        <w:t xml:space="preserve">the </w:t>
      </w:r>
      <w:r w:rsidR="2F2F806E">
        <w:t xml:space="preserve">standards for voluntary use referred to in Article 29a of Directive </w:t>
      </w:r>
      <w:r w:rsidR="009E456C">
        <w:t xml:space="preserve">(EU) </w:t>
      </w:r>
      <w:r w:rsidR="2F2F806E">
        <w:t>2013/34/EU</w:t>
      </w:r>
      <w:r w:rsidR="3EC3ACC6">
        <w:t xml:space="preserve">, unless they </w:t>
      </w:r>
      <w:r w:rsidR="00B214C0">
        <w:t xml:space="preserve">need additional information to carry out the mapping </w:t>
      </w:r>
      <w:r w:rsidR="002C5CD7">
        <w:t>and</w:t>
      </w:r>
      <w:r w:rsidR="006260FF">
        <w:t xml:space="preserve"> </w:t>
      </w:r>
      <w:r w:rsidR="00CB5DD9">
        <w:t>they</w:t>
      </w:r>
      <w:r w:rsidR="00B214C0">
        <w:t xml:space="preserve"> </w:t>
      </w:r>
      <w:r w:rsidR="3EC3ACC6">
        <w:t>cannot obtain</w:t>
      </w:r>
      <w:r w:rsidR="6381B335">
        <w:t xml:space="preserve"> </w:t>
      </w:r>
      <w:r w:rsidR="002C5CD7">
        <w:t xml:space="preserve">that information </w:t>
      </w:r>
      <w:r w:rsidR="7543E1EE">
        <w:t xml:space="preserve">in any other reasonable way. </w:t>
      </w:r>
    </w:p>
    <w:p w14:paraId="345AAFBB" w14:textId="77777777" w:rsidR="1500714C" w:rsidRPr="006A120F" w:rsidRDefault="5477F9F6" w:rsidP="006A120F">
      <w:pPr>
        <w:pStyle w:val="Considrant"/>
      </w:pPr>
      <w:r>
        <w:t>Companies may find themselves in situations where their production heavily relies on inputs from one or several specific suppliers. At the same time, where the business operations of such a supplier are linked to severe adverse impacts,</w:t>
      </w:r>
      <w:r w:rsidDel="00816AB4">
        <w:t xml:space="preserve"> </w:t>
      </w:r>
      <w:r>
        <w:t xml:space="preserve"> </w:t>
      </w:r>
      <w:r w:rsidR="3819281B">
        <w:t>including</w:t>
      </w:r>
      <w:r>
        <w:t xml:space="preserve"> child labour or significant environmental harm, and the company has unsuccessfully  exhausted all due diligence measures to address th</w:t>
      </w:r>
      <w:r w:rsidR="0044723B">
        <w:t>o</w:t>
      </w:r>
      <w:r>
        <w:t xml:space="preserve">se impacts, the company, as a last resort should suspend the business relationship while continuing to work with the supplier towards a solution, where possible using any increased leverage resulting from the suspension.  </w:t>
      </w:r>
    </w:p>
    <w:p w14:paraId="16146417" w14:textId="77777777" w:rsidR="00A60B6F" w:rsidRPr="006A120F" w:rsidRDefault="00BC6298" w:rsidP="00A60B6F">
      <w:pPr>
        <w:pStyle w:val="Considrant"/>
      </w:pPr>
      <w:r>
        <w:t>T</w:t>
      </w:r>
      <w:r w:rsidR="06FDFBCE">
        <w:t>o reduce burden</w:t>
      </w:r>
      <w:r w:rsidR="00881BAF">
        <w:t>s on companies</w:t>
      </w:r>
      <w:r w:rsidR="06FDFBCE">
        <w:t xml:space="preserve"> and make stakeholder engagement more proportionate, companies should only have to engage with workers, their representatives</w:t>
      </w:r>
      <w:r w:rsidR="7420C081">
        <w:t xml:space="preserve"> </w:t>
      </w:r>
      <w:r w:rsidR="09F5C14E">
        <w:t>including</w:t>
      </w:r>
      <w:r w:rsidR="7420C081">
        <w:t xml:space="preserve"> trade unions</w:t>
      </w:r>
      <w:r w:rsidR="6DA5B9CE">
        <w:t>,</w:t>
      </w:r>
      <w:r w:rsidR="06FDFBCE">
        <w:t xml:space="preserve"> and individuals and communities whose rights or interests are or could be directly affected by the products, services and operations of the company, its subsidiaries and its business partners, and that have a link to the specific stage of the due diligence process being carried out. </w:t>
      </w:r>
      <w:r w:rsidR="6DA5B9CE">
        <w:t>Th</w:t>
      </w:r>
      <w:r w:rsidR="642D94A0">
        <w:t>at</w:t>
      </w:r>
      <w:r w:rsidR="6DA5B9CE">
        <w:t xml:space="preserve"> includes</w:t>
      </w:r>
      <w:r w:rsidR="35E2F75D">
        <w:t xml:space="preserve"> </w:t>
      </w:r>
      <w:r w:rsidR="06FDFBCE">
        <w:t>individuals or communities in the neighbourhood of plants operated by business partners whe</w:t>
      </w:r>
      <w:r w:rsidR="00EF25DC">
        <w:t>re</w:t>
      </w:r>
      <w:r w:rsidR="06FDFBCE">
        <w:t xml:space="preserve"> </w:t>
      </w:r>
      <w:r w:rsidR="49C18353">
        <w:t>those individuals or communities</w:t>
      </w:r>
      <w:r w:rsidR="06FDFBCE">
        <w:t xml:space="preserve"> are directly affected by pollution, or indigenous people whose right to lands or resources are directly affected by how a business partner acquires, develops or otherwise uses land, forests or waters. Moreover, stakeholder engagement should only be required for certain parts of the due diligence process, namely at the identification stage, for the development of (enhanced) action plans and when designing remediation measures.</w:t>
      </w:r>
    </w:p>
    <w:p w14:paraId="275080F4" w14:textId="77777777" w:rsidR="341A8F26" w:rsidRDefault="18077A92">
      <w:pPr>
        <w:pStyle w:val="Considrant"/>
      </w:pPr>
      <w:r>
        <w:t>T</w:t>
      </w:r>
      <w:r w:rsidR="7310C9F8">
        <w:t>o reduce administrative burden</w:t>
      </w:r>
      <w:r w:rsidR="00831EAA">
        <w:t>s</w:t>
      </w:r>
      <w:r w:rsidR="7310C9F8">
        <w:t xml:space="preserve"> on companies,</w:t>
      </w:r>
      <w:r w:rsidR="146B049D">
        <w:t xml:space="preserve"> </w:t>
      </w:r>
      <w:r w:rsidR="21BF7870">
        <w:t xml:space="preserve">the </w:t>
      </w:r>
      <w:r w:rsidR="2DCDC5D7">
        <w:t xml:space="preserve">Commission’s </w:t>
      </w:r>
      <w:r w:rsidR="4D882A27">
        <w:t>deadline fo</w:t>
      </w:r>
      <w:r w:rsidR="67467D36">
        <w:t xml:space="preserve">r </w:t>
      </w:r>
      <w:r w:rsidR="61386B50">
        <w:t xml:space="preserve">the adoption of </w:t>
      </w:r>
      <w:r w:rsidR="67467D36">
        <w:t xml:space="preserve">general due diligence guidelines </w:t>
      </w:r>
      <w:r w:rsidR="5CEA3757">
        <w:t>should be advanced</w:t>
      </w:r>
      <w:r w:rsidR="67467D36">
        <w:t xml:space="preserve"> to 26 July 2026. </w:t>
      </w:r>
      <w:r w:rsidR="7B8E1EB7">
        <w:t xml:space="preserve">In parallel, the application deadline for </w:t>
      </w:r>
      <w:r w:rsidR="00ED60C6" w:rsidRPr="00ED60C6">
        <w:t xml:space="preserve">Directive (EU) 2024/1760 </w:t>
      </w:r>
      <w:r w:rsidR="7B8E1EB7">
        <w:t>for the fir</w:t>
      </w:r>
      <w:r w:rsidR="2427B70A">
        <w:t>s</w:t>
      </w:r>
      <w:r w:rsidR="7B8E1EB7">
        <w:t>t</w:t>
      </w:r>
      <w:r w:rsidR="2427B70A">
        <w:t xml:space="preserve"> group of companies </w:t>
      </w:r>
      <w:r w:rsidR="00ED60C6">
        <w:t>should</w:t>
      </w:r>
      <w:r w:rsidR="2427B70A">
        <w:t xml:space="preserve"> </w:t>
      </w:r>
      <w:r w:rsidR="3102C8C2">
        <w:t xml:space="preserve">be deferred </w:t>
      </w:r>
      <w:r w:rsidR="2427B70A">
        <w:t>to 26 July 2028</w:t>
      </w:r>
      <w:r w:rsidR="5DEB68B4">
        <w:t xml:space="preserve"> </w:t>
      </w:r>
      <w:r w:rsidR="42AA379F">
        <w:t>in accor</w:t>
      </w:r>
      <w:r w:rsidR="40516DDD">
        <w:t>d</w:t>
      </w:r>
      <w:r w:rsidR="42AA379F">
        <w:t xml:space="preserve">ance with Directive </w:t>
      </w:r>
      <w:r w:rsidR="00F052C3">
        <w:t>(</w:t>
      </w:r>
      <w:r w:rsidR="42AA379F">
        <w:t>EU</w:t>
      </w:r>
      <w:r w:rsidR="00F052C3">
        <w:t>)</w:t>
      </w:r>
      <w:r w:rsidR="42AA379F">
        <w:t xml:space="preserve"> XXX/XXX</w:t>
      </w:r>
      <w:r w:rsidR="00996943" w:rsidRPr="00757AE9">
        <w:rPr>
          <w:rStyle w:val="FootnoteReference"/>
        </w:rPr>
        <w:footnoteReference w:id="33"/>
      </w:r>
      <w:r w:rsidR="2427B70A">
        <w:t>. Th</w:t>
      </w:r>
      <w:r w:rsidR="00E74AD1">
        <w:t>at</w:t>
      </w:r>
      <w:r w:rsidR="2427B70A">
        <w:t xml:space="preserve"> </w:t>
      </w:r>
      <w:r w:rsidR="798D6041">
        <w:t>two</w:t>
      </w:r>
      <w:r w:rsidR="00B97984">
        <w:t>-</w:t>
      </w:r>
      <w:r w:rsidR="798D6041">
        <w:t xml:space="preserve">year interval </w:t>
      </w:r>
      <w:r w:rsidR="798D6041" w:rsidDel="00E74AD1">
        <w:t xml:space="preserve">will </w:t>
      </w:r>
      <w:r w:rsidR="00E74AD1">
        <w:t xml:space="preserve">should </w:t>
      </w:r>
      <w:r w:rsidR="798D6041">
        <w:t>provide companies with sufficient time to take into account the</w:t>
      </w:r>
      <w:r w:rsidR="0007112F">
        <w:t xml:space="preserve"> </w:t>
      </w:r>
      <w:r w:rsidR="009E7FE8">
        <w:t xml:space="preserve">practical </w:t>
      </w:r>
      <w:r w:rsidR="00380A92">
        <w:t>guidance</w:t>
      </w:r>
      <w:r w:rsidR="00AE30F2">
        <w:t xml:space="preserve"> and </w:t>
      </w:r>
      <w:r w:rsidR="798D6041">
        <w:t>best practice</w:t>
      </w:r>
      <w:r w:rsidR="00F57DBC">
        <w:t>s</w:t>
      </w:r>
      <w:r w:rsidR="00033A3A">
        <w:t xml:space="preserve"> included in the Commission’s guidelines</w:t>
      </w:r>
      <w:r w:rsidR="798D6041">
        <w:t xml:space="preserve"> when implem</w:t>
      </w:r>
      <w:r w:rsidR="0EEBA792">
        <w:t>e</w:t>
      </w:r>
      <w:r w:rsidR="798D6041">
        <w:t xml:space="preserve">nting due diligence </w:t>
      </w:r>
      <w:r w:rsidR="68B8C696">
        <w:t>measures</w:t>
      </w:r>
      <w:r w:rsidR="6464F91A">
        <w:t xml:space="preserve">. </w:t>
      </w:r>
    </w:p>
    <w:p w14:paraId="566FC5C4" w14:textId="77777777" w:rsidR="0004465C" w:rsidRDefault="00C14D0E">
      <w:pPr>
        <w:pStyle w:val="Considrant"/>
      </w:pPr>
      <w:r>
        <w:t>T</w:t>
      </w:r>
      <w:r w:rsidR="00E727FA">
        <w:t>o ensure better alignment of Directive (EU) 2024/1760 with the sustainability reporting regime</w:t>
      </w:r>
      <w:r w:rsidR="009D1746">
        <w:t xml:space="preserve"> laid down in Directive (EU) 2022/2464</w:t>
      </w:r>
      <w:r w:rsidR="00E727FA">
        <w:t xml:space="preserve">, the requirement to </w:t>
      </w:r>
      <w:r w:rsidR="00CA51D6">
        <w:t xml:space="preserve">put into effect </w:t>
      </w:r>
      <w:r w:rsidR="00E727FA">
        <w:t xml:space="preserve">the transition plan for climate change mitigation should be </w:t>
      </w:r>
      <w:r w:rsidR="0097696C">
        <w:t>replaced by a</w:t>
      </w:r>
      <w:r w:rsidR="00E727FA">
        <w:t xml:space="preserve"> clarif</w:t>
      </w:r>
      <w:r w:rsidR="0097696C">
        <w:t>ication</w:t>
      </w:r>
      <w:r w:rsidR="00E727FA">
        <w:t xml:space="preserve"> that the obligation of companies to adopt a transition plan includes </w:t>
      </w:r>
      <w:r w:rsidR="0097696C">
        <w:t xml:space="preserve">outlining </w:t>
      </w:r>
      <w:r w:rsidR="00E727FA">
        <w:t>implementing actions</w:t>
      </w:r>
      <w:r w:rsidR="0030709D">
        <w:t xml:space="preserve">, </w:t>
      </w:r>
      <w:r w:rsidR="62F9BF4F">
        <w:t>planned and taken</w:t>
      </w:r>
      <w:r w:rsidR="00A86128">
        <w:t>.</w:t>
      </w:r>
      <w:r w:rsidR="0041629E">
        <w:t xml:space="preserve"> </w:t>
      </w:r>
      <w:r w:rsidR="0061544E">
        <w:t>Th</w:t>
      </w:r>
      <w:r w:rsidR="15AFB7D0">
        <w:t>e</w:t>
      </w:r>
      <w:r w:rsidR="0041629E">
        <w:t xml:space="preserve"> </w:t>
      </w:r>
      <w:r w:rsidR="001C1FE9">
        <w:t>obligation</w:t>
      </w:r>
      <w:r w:rsidR="56CA707B">
        <w:t xml:space="preserve"> to adopt the plan and its initial and updated design</w:t>
      </w:r>
      <w:r w:rsidR="0061544E">
        <w:t xml:space="preserve"> remains subject to admin</w:t>
      </w:r>
      <w:r w:rsidR="00563DAB">
        <w:t>i</w:t>
      </w:r>
      <w:r w:rsidR="0061544E">
        <w:t>str</w:t>
      </w:r>
      <w:r w:rsidR="00563DAB">
        <w:t>a</w:t>
      </w:r>
      <w:r w:rsidR="0061544E">
        <w:t>tive supervision</w:t>
      </w:r>
      <w:r w:rsidR="00563DAB">
        <w:t xml:space="preserve">. </w:t>
      </w:r>
    </w:p>
    <w:p w14:paraId="1902C1BA" w14:textId="77777777" w:rsidR="00624A27" w:rsidRPr="00AC7E92" w:rsidRDefault="2687238A" w:rsidP="00294B2B">
      <w:pPr>
        <w:pStyle w:val="Considrant"/>
      </w:pPr>
      <w:r>
        <w:lastRenderedPageBreak/>
        <w:t xml:space="preserve">Article 27(1) </w:t>
      </w:r>
      <w:r w:rsidR="7F19CE34">
        <w:t>of</w:t>
      </w:r>
      <w:r w:rsidR="3A8CDF39">
        <w:t xml:space="preserve"> Directive</w:t>
      </w:r>
      <w:r w:rsidR="6939C565">
        <w:t xml:space="preserve"> EU 2024/1760</w:t>
      </w:r>
      <w:r w:rsidR="3A8CDF39">
        <w:t xml:space="preserve"> </w:t>
      </w:r>
      <w:r w:rsidR="7B355B2C">
        <w:t>require</w:t>
      </w:r>
      <w:r w:rsidR="3A8CDF39">
        <w:t xml:space="preserve">s </w:t>
      </w:r>
      <w:r w:rsidR="515FFF38">
        <w:t>Member States to lay down penalties</w:t>
      </w:r>
      <w:r w:rsidR="3A8CDF39">
        <w:t xml:space="preserve"> that </w:t>
      </w:r>
      <w:r w:rsidR="007C3078">
        <w:t xml:space="preserve">are to </w:t>
      </w:r>
      <w:r w:rsidR="3A8CDF39">
        <w:t>be “effective, proportionate and dissuasive</w:t>
      </w:r>
      <w:r w:rsidR="48C93E9A">
        <w:t>”</w:t>
      </w:r>
      <w:r w:rsidR="6F24FF94">
        <w:t>.</w:t>
      </w:r>
      <w:r w:rsidR="3A8CDF39">
        <w:t xml:space="preserve"> </w:t>
      </w:r>
      <w:r w:rsidR="234DDC4B">
        <w:t xml:space="preserve">Article 27(2) of that </w:t>
      </w:r>
      <w:r w:rsidR="00AF7A83">
        <w:t>D</w:t>
      </w:r>
      <w:r w:rsidR="234DDC4B">
        <w:t>irective requires Member States, when</w:t>
      </w:r>
      <w:r w:rsidR="3A8CDF39">
        <w:t xml:space="preserve"> deciding whether to impose penalties and, if </w:t>
      </w:r>
      <w:r w:rsidR="48C93E9A">
        <w:t>s</w:t>
      </w:r>
      <w:r w:rsidR="0DA64560">
        <w:t>o</w:t>
      </w:r>
      <w:r w:rsidR="3A8CDF39">
        <w:t xml:space="preserve">, </w:t>
      </w:r>
      <w:r w:rsidR="4079B675">
        <w:t>wh</w:t>
      </w:r>
      <w:r w:rsidR="00F425D1">
        <w:t>e</w:t>
      </w:r>
      <w:r w:rsidR="4079B675">
        <w:t>n</w:t>
      </w:r>
      <w:r w:rsidR="3A8CDF39">
        <w:t xml:space="preserve"> determining their nature and appropriate level</w:t>
      </w:r>
      <w:r w:rsidR="1D2DB053">
        <w:t>, to take</w:t>
      </w:r>
      <w:r w:rsidR="00C7178D">
        <w:t xml:space="preserve"> </w:t>
      </w:r>
      <w:r w:rsidR="3A8CDF39">
        <w:t xml:space="preserve">due account of a series of factors that determine the gravity of the infringement and attenuating or aggravating circumstances. </w:t>
      </w:r>
      <w:r w:rsidR="4054FB1E">
        <w:t xml:space="preserve">Article 27(4) of that Directive requires Member States to base any imposed pecuniary penalties on the net worldwide </w:t>
      </w:r>
      <w:r w:rsidR="2672A3CB">
        <w:t>turnover of the company concerned. However,</w:t>
      </w:r>
      <w:r w:rsidR="4054FB1E">
        <w:t xml:space="preserve"> </w:t>
      </w:r>
      <w:r w:rsidR="3A3E0968">
        <w:t>g</w:t>
      </w:r>
      <w:r w:rsidR="118B87D4">
        <w:t>iven</w:t>
      </w:r>
      <w:r w:rsidR="61AC2796">
        <w:t xml:space="preserve"> the fact that Member States already have to take into account the series of factors laid down in Article 27(2) of that directive, the need to bas</w:t>
      </w:r>
      <w:r w:rsidR="7D5B596B">
        <w:t>e pecuniary penalties on the net worldwide tur</w:t>
      </w:r>
      <w:r w:rsidR="00141951">
        <w:t>n</w:t>
      </w:r>
      <w:r w:rsidR="7D5B596B">
        <w:t xml:space="preserve">over of the company concerned is superfluous. </w:t>
      </w:r>
      <w:r w:rsidR="118B87D4">
        <w:t xml:space="preserve"> </w:t>
      </w:r>
      <w:r w:rsidR="2F2951C1">
        <w:t>How</w:t>
      </w:r>
      <w:r w:rsidR="48C93E9A">
        <w:t>e</w:t>
      </w:r>
      <w:r w:rsidR="2F2951C1">
        <w:t>ver</w:t>
      </w:r>
      <w:r w:rsidR="3A8CDF39">
        <w:t xml:space="preserve">, to ensure a level playing field across the Union, Member States should be prohibited from introducing in their national law a ceiling or cap for any </w:t>
      </w:r>
      <w:r w:rsidR="672DBEF6">
        <w:t xml:space="preserve">pecuniary penalties </w:t>
      </w:r>
      <w:r w:rsidR="3A8CDF39">
        <w:t xml:space="preserve">imposed on companies under their jurisdiction that would prevent supervisory authorities from imposing penalties in accordance with the factors </w:t>
      </w:r>
      <w:r w:rsidR="4BF0B600">
        <w:t>laid down in Article 27(2)</w:t>
      </w:r>
      <w:r w:rsidR="3A8CDF39">
        <w:t>. Moreover, to harmonise enforcement practices across the Union, the Commission, in collaboration with the Member States, should develop guidelines</w:t>
      </w:r>
      <w:r w:rsidR="10296B22">
        <w:t xml:space="preserve"> to assist supervisory authorities in determining the level of penalties</w:t>
      </w:r>
      <w:r w:rsidR="3A8CDF39">
        <w:t xml:space="preserve">. </w:t>
      </w:r>
    </w:p>
    <w:p w14:paraId="19CEC807" w14:textId="77777777" w:rsidR="00624A27" w:rsidRPr="00C84C96" w:rsidRDefault="72385590" w:rsidP="00793C37">
      <w:pPr>
        <w:pStyle w:val="Considrant"/>
        <w:rPr>
          <w:szCs w:val="24"/>
        </w:rPr>
      </w:pPr>
      <w:r>
        <w:t>T</w:t>
      </w:r>
      <w:r w:rsidR="68E95F05">
        <w:t>o</w:t>
      </w:r>
      <w:r w:rsidR="71AF23AA">
        <w:t xml:space="preserve"> limit possible </w:t>
      </w:r>
      <w:r w:rsidR="723DBC2A">
        <w:t>litigation risks</w:t>
      </w:r>
      <w:r w:rsidR="71AF23AA">
        <w:t xml:space="preserve"> linked to the harmonised civil liability regime of </w:t>
      </w:r>
      <w:r w:rsidR="566822BE">
        <w:t>Directive (EU) 2024/1760</w:t>
      </w:r>
      <w:r w:rsidR="71AF23AA">
        <w:t xml:space="preserve">, the specific, </w:t>
      </w:r>
      <w:r w:rsidR="68E95F05">
        <w:t>U</w:t>
      </w:r>
      <w:r w:rsidR="0F95BE4E">
        <w:t>nion</w:t>
      </w:r>
      <w:r w:rsidR="71AF23AA">
        <w:t xml:space="preserve">-wide liability regime currently provided </w:t>
      </w:r>
      <w:r w:rsidR="59EE7A2B">
        <w:t>for</w:t>
      </w:r>
      <w:r w:rsidR="68E95F05">
        <w:t xml:space="preserve"> </w:t>
      </w:r>
      <w:r w:rsidR="71AF23AA">
        <w:t xml:space="preserve">in Article 29(1) </w:t>
      </w:r>
      <w:r w:rsidR="0A37104B">
        <w:t xml:space="preserve">of that Directive </w:t>
      </w:r>
      <w:r w:rsidR="71AF23AA">
        <w:t xml:space="preserve">should be removed. At the same time, as a matter of both international and Union law, Member States </w:t>
      </w:r>
      <w:r w:rsidR="39B37EF1">
        <w:t>should be</w:t>
      </w:r>
      <w:r w:rsidR="71AF23AA">
        <w:t xml:space="preserve"> required to </w:t>
      </w:r>
      <w:r w:rsidR="7E8E5CA0">
        <w:t>ensure</w:t>
      </w:r>
      <w:r w:rsidR="71AF23AA">
        <w:t xml:space="preserve"> that victims of adverse impacts have effective access to justice and </w:t>
      </w:r>
      <w:r w:rsidR="7D33A7DD">
        <w:t xml:space="preserve">to guarantee </w:t>
      </w:r>
      <w:r w:rsidR="0F3B2ED4">
        <w:t>their</w:t>
      </w:r>
      <w:r w:rsidR="3F861AB6">
        <w:t xml:space="preserve"> </w:t>
      </w:r>
      <w:r w:rsidR="71AF23AA">
        <w:t xml:space="preserve">right to an effective remedy, as enshrined in Article 2(3) of the International Covenant on Civil and Political Rights, Article 8 of the Universal Declaration of Human Rights, Article 9(3) of the Convention on Access to Information, Public Participation in Decision-making and Access to Justice in Environmental Matters (Aarhus Convention) and Article 47 of the EU Charter of Fundamental Rights. </w:t>
      </w:r>
      <w:r w:rsidR="77FD0C7A">
        <w:t>Member States</w:t>
      </w:r>
      <w:r w:rsidR="71AF23AA">
        <w:t xml:space="preserve"> should therefore ensure that, in case a company is held liable for a failure to comply with the due diligence requirements </w:t>
      </w:r>
      <w:r w:rsidR="166FCE85">
        <w:t>laid down in</w:t>
      </w:r>
      <w:r w:rsidR="71AF23AA">
        <w:t xml:space="preserve"> Directive </w:t>
      </w:r>
      <w:r w:rsidR="036A64FB">
        <w:t>(EU) 2024/1760</w:t>
      </w:r>
      <w:r w:rsidR="71AF23AA">
        <w:t xml:space="preserve">, </w:t>
      </w:r>
      <w:r w:rsidR="6BF62E69">
        <w:t xml:space="preserve">and that </w:t>
      </w:r>
      <w:r w:rsidR="469FA352">
        <w:t xml:space="preserve">where </w:t>
      </w:r>
      <w:r w:rsidR="6BF62E69">
        <w:t xml:space="preserve">such failure caused damage, </w:t>
      </w:r>
      <w:r w:rsidR="71AF23AA">
        <w:t xml:space="preserve">victims </w:t>
      </w:r>
      <w:r w:rsidR="46EBA9F7">
        <w:t xml:space="preserve">are able to </w:t>
      </w:r>
      <w:r w:rsidR="71AF23AA">
        <w:t>receive full compensation</w:t>
      </w:r>
      <w:r w:rsidR="5C9B099F">
        <w:t xml:space="preserve">, </w:t>
      </w:r>
      <w:r w:rsidR="0F123C50">
        <w:t xml:space="preserve">which should be </w:t>
      </w:r>
      <w:r w:rsidR="4C1E8B94">
        <w:t>granted in accordance with the principles of effectiveness and equivalence</w:t>
      </w:r>
      <w:r w:rsidR="5C9B099F">
        <w:t xml:space="preserve">, </w:t>
      </w:r>
      <w:r w:rsidR="5F6C3B8E">
        <w:t>while</w:t>
      </w:r>
      <w:r w:rsidR="5C9B099F">
        <w:t xml:space="preserve"> balancing </w:t>
      </w:r>
      <w:r w:rsidR="16964C12">
        <w:t xml:space="preserve">this </w:t>
      </w:r>
      <w:r w:rsidR="5C9B099F">
        <w:t xml:space="preserve">through safeguards </w:t>
      </w:r>
      <w:r w:rsidR="3ECC0576">
        <w:t xml:space="preserve">should prevent </w:t>
      </w:r>
      <w:r w:rsidR="5C9B099F">
        <w:t>against overcompensation</w:t>
      </w:r>
      <w:r w:rsidR="71AF23AA">
        <w:t>. In view of the different rules and traditions that exist at national level when it comes to allowing representative actions, the specific requirement in th</w:t>
      </w:r>
      <w:r w:rsidR="613CD055">
        <w:t>at</w:t>
      </w:r>
      <w:r w:rsidR="71AF23AA">
        <w:t xml:space="preserve"> regard in Directive </w:t>
      </w:r>
      <w:r w:rsidR="1735E200">
        <w:t xml:space="preserve">(EU) 2024/1760 </w:t>
      </w:r>
      <w:r w:rsidR="71AF23AA">
        <w:t>should be deleted.</w:t>
      </w:r>
      <w:r w:rsidR="52FF2620">
        <w:t xml:space="preserve"> </w:t>
      </w:r>
      <w:r w:rsidR="00EB6021">
        <w:t>S</w:t>
      </w:r>
      <w:r w:rsidR="006C24C4" w:rsidRPr="007310BF">
        <w:t xml:space="preserve">uch </w:t>
      </w:r>
      <w:r w:rsidR="56865C97" w:rsidRPr="00B8040D">
        <w:t xml:space="preserve">deletion is without prejudice to </w:t>
      </w:r>
      <w:r w:rsidR="00EB6021">
        <w:t xml:space="preserve">any provision of </w:t>
      </w:r>
      <w:r w:rsidR="56865C97" w:rsidRPr="00B8040D">
        <w:t>the applicable national law allowing a trade union, non-governmental human rights or envir</w:t>
      </w:r>
      <w:r w:rsidR="4DB4DBE8" w:rsidRPr="00B8040D">
        <w:t>onmental organisation</w:t>
      </w:r>
      <w:r w:rsidR="1B0523E2" w:rsidRPr="00B8040D">
        <w:t>,</w:t>
      </w:r>
      <w:r w:rsidR="4DB4DBE8" w:rsidRPr="00B8040D">
        <w:t xml:space="preserve"> other non-governmental</w:t>
      </w:r>
      <w:r w:rsidR="05F7114D" w:rsidRPr="00B8040D">
        <w:t xml:space="preserve"> </w:t>
      </w:r>
      <w:r w:rsidR="4DAB825E" w:rsidRPr="00B8040D">
        <w:t>organisation or</w:t>
      </w:r>
      <w:r w:rsidR="05F7114D" w:rsidRPr="00B8040D">
        <w:t xml:space="preserve"> </w:t>
      </w:r>
      <w:r w:rsidR="448A1B0F" w:rsidRPr="00B8040D">
        <w:t>a national human rights institution</w:t>
      </w:r>
      <w:r w:rsidR="3F2F97A4" w:rsidRPr="00B8040D">
        <w:t xml:space="preserve"> </w:t>
      </w:r>
      <w:r w:rsidR="448A1B0F" w:rsidRPr="00B8040D">
        <w:t>to bring actions to enforce the rights of the alleged injured party</w:t>
      </w:r>
      <w:r w:rsidR="00FB5D4A">
        <w:t xml:space="preserve">, </w:t>
      </w:r>
      <w:r w:rsidR="00FB5D4A" w:rsidRPr="007310BF">
        <w:t>or to support such actions brought directly by such party</w:t>
      </w:r>
      <w:r w:rsidR="006C24C4" w:rsidRPr="007310BF">
        <w:t>.</w:t>
      </w:r>
      <w:r w:rsidR="448A1B0F">
        <w:t xml:space="preserve"> </w:t>
      </w:r>
      <w:r w:rsidR="01C372CC">
        <w:t>Furthermore</w:t>
      </w:r>
      <w:r w:rsidR="70063D29">
        <w:t xml:space="preserve">, </w:t>
      </w:r>
      <w:r w:rsidR="0072C5E3" w:rsidRPr="00B8040D">
        <w:t>for the same reason</w:t>
      </w:r>
      <w:r w:rsidR="3334B687">
        <w:t>,</w:t>
      </w:r>
      <w:r w:rsidR="4A947667">
        <w:t xml:space="preserve"> </w:t>
      </w:r>
      <w:r w:rsidR="7DA2FDD3">
        <w:t xml:space="preserve">the </w:t>
      </w:r>
      <w:r w:rsidR="05CCDB6E">
        <w:t xml:space="preserve">requirement </w:t>
      </w:r>
      <w:r w:rsidR="5997DF46">
        <w:t xml:space="preserve">for Member </w:t>
      </w:r>
      <w:r w:rsidR="5997DF46" w:rsidRPr="007310BF">
        <w:t xml:space="preserve">States to ensure </w:t>
      </w:r>
      <w:r w:rsidR="20079A2C" w:rsidRPr="007310BF">
        <w:t xml:space="preserve">that the </w:t>
      </w:r>
      <w:r w:rsidR="20079A2C">
        <w:t xml:space="preserve">liability rules </w:t>
      </w:r>
      <w:r w:rsidR="433AE2BB">
        <w:t xml:space="preserve">are of overriding mandatory application </w:t>
      </w:r>
      <w:r w:rsidR="2FCA24C7">
        <w:t xml:space="preserve">in cases where the law </w:t>
      </w:r>
      <w:r w:rsidR="771F64A9">
        <w:t xml:space="preserve">applicable </w:t>
      </w:r>
      <w:r w:rsidR="08C9FADE">
        <w:t xml:space="preserve">to claims </w:t>
      </w:r>
      <w:r w:rsidR="5E3D086B">
        <w:t xml:space="preserve">to that </w:t>
      </w:r>
      <w:r w:rsidR="76FFB61C">
        <w:t xml:space="preserve">effect is not </w:t>
      </w:r>
      <w:r w:rsidR="2AE4C102">
        <w:t xml:space="preserve">the national </w:t>
      </w:r>
      <w:r w:rsidR="44A446AF">
        <w:t xml:space="preserve">law </w:t>
      </w:r>
      <w:r w:rsidR="6C6FFADD">
        <w:t xml:space="preserve">of the Member State </w:t>
      </w:r>
      <w:r w:rsidR="55CCF087">
        <w:t xml:space="preserve">should be </w:t>
      </w:r>
      <w:r w:rsidR="6C6FFADD">
        <w:t xml:space="preserve">deleted. </w:t>
      </w:r>
      <w:r w:rsidR="3ED955CC">
        <w:t>T</w:t>
      </w:r>
      <w:r w:rsidR="3ED955CC" w:rsidRPr="00B8040D">
        <w:t xml:space="preserve">hat deletion </w:t>
      </w:r>
      <w:r w:rsidR="008211CD">
        <w:t>does</w:t>
      </w:r>
      <w:r w:rsidR="3ED955CC" w:rsidRPr="00B8040D">
        <w:t xml:space="preserve"> not restrict the possibility for Member States to provide that the provisions of national law transposing Art</w:t>
      </w:r>
      <w:r w:rsidR="3ED955CC" w:rsidRPr="007310BF">
        <w:t>icle</w:t>
      </w:r>
      <w:r w:rsidR="3ED955CC" w:rsidRPr="00B8040D">
        <w:t xml:space="preserve"> 29 of Directive</w:t>
      </w:r>
      <w:r w:rsidR="3ED955CC" w:rsidRPr="007310BF">
        <w:t xml:space="preserve"> EU 2024/1760</w:t>
      </w:r>
      <w:r w:rsidR="3ED955CC" w:rsidRPr="00B8040D">
        <w:t xml:space="preserve"> are of overriding mandatory application in accordance with Art</w:t>
      </w:r>
      <w:r w:rsidR="3ED955CC" w:rsidRPr="007310BF">
        <w:t>icle</w:t>
      </w:r>
      <w:r w:rsidR="3ED955CC" w:rsidRPr="00B8040D">
        <w:t xml:space="preserve"> 16 </w:t>
      </w:r>
      <w:r w:rsidR="3ED955CC" w:rsidRPr="007310BF">
        <w:t>of</w:t>
      </w:r>
      <w:r w:rsidR="3ED955CC" w:rsidRPr="00B8040D">
        <w:t xml:space="preserve"> Regulation (EC) No 864/2007, in cases where the law applicable to claims to that effect is not the national law of a Member State.</w:t>
      </w:r>
    </w:p>
    <w:p w14:paraId="2CDC64A6" w14:textId="77777777" w:rsidR="00624A27" w:rsidRPr="00AC7E92" w:rsidRDefault="07327741" w:rsidP="00624A27">
      <w:pPr>
        <w:pStyle w:val="Considrant"/>
      </w:pPr>
      <w:r>
        <w:t>Article 36(1) of</w:t>
      </w:r>
      <w:r w:rsidR="3A8CDF39">
        <w:t xml:space="preserve"> Directive </w:t>
      </w:r>
      <w:r w:rsidR="6C2D414C">
        <w:t xml:space="preserve">(EU) 2024/1760 </w:t>
      </w:r>
      <w:r w:rsidR="3A8CDF39">
        <w:t xml:space="preserve">requires the Commission to submit </w:t>
      </w:r>
      <w:r w:rsidR="7B8A65C0">
        <w:t xml:space="preserve">by </w:t>
      </w:r>
      <w:r w:rsidR="3A8CDF39">
        <w:t xml:space="preserve">no later than 26 July 2026 a report to the European Parliament and to the Council on the necessity of laying down additional sustainability due diligence requirements tailored </w:t>
      </w:r>
      <w:r w:rsidR="3A8CDF39">
        <w:lastRenderedPageBreak/>
        <w:t>to regulated financial undertakings with respect to the provision of financial services and investment activities, and the options for such due diligence requirements a</w:t>
      </w:r>
      <w:r w:rsidR="2A583F06">
        <w:t>nd</w:t>
      </w:r>
      <w:r w:rsidR="3A8CDF39">
        <w:t xml:space="preserve"> their impacts. As th</w:t>
      </w:r>
      <w:r w:rsidR="1E43109D">
        <w:t>at</w:t>
      </w:r>
      <w:r w:rsidR="3A8CDF39">
        <w:t xml:space="preserve"> review clause does not leave any time to take into account the experience with the newly established, general due diligence framework, it should be </w:t>
      </w:r>
      <w:r w:rsidR="006D2D9E">
        <w:t>removed</w:t>
      </w:r>
      <w:r w:rsidR="3A8CDF39">
        <w:t>.</w:t>
      </w:r>
    </w:p>
    <w:p w14:paraId="1E0DFF4F" w14:textId="77777777" w:rsidR="00BF50CF" w:rsidRPr="00AC7E92" w:rsidRDefault="001B0421" w:rsidP="00624A27">
      <w:pPr>
        <w:pStyle w:val="Considrant"/>
      </w:pPr>
      <w:r>
        <w:t>Since the objectives of this Directive cannot be sufficiently achieved by the Member States but can rather, by reason of the scale or effects of the action,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w:t>
      </w:r>
    </w:p>
    <w:p w14:paraId="1A084CB9" w14:textId="77777777" w:rsidR="00624A27" w:rsidRPr="00AC7E92" w:rsidRDefault="00EF4CF7" w:rsidP="0050464C">
      <w:pPr>
        <w:pStyle w:val="Considrant"/>
      </w:pPr>
      <w:r>
        <w:t>Directive 2006/43/EC,</w:t>
      </w:r>
      <w:r w:rsidR="00665124">
        <w:t xml:space="preserve"> Directive </w:t>
      </w:r>
      <w:r>
        <w:t>2013/34/EU,</w:t>
      </w:r>
      <w:r w:rsidR="00665124">
        <w:t xml:space="preserve"> </w:t>
      </w:r>
      <w:r>
        <w:t>Directive (EU) 2022/2464 and Directive (EU) 2024/1760</w:t>
      </w:r>
      <w:r w:rsidR="00665124">
        <w:t xml:space="preserve"> should therefore be amended accordingly,</w:t>
      </w:r>
    </w:p>
    <w:p w14:paraId="4B741293" w14:textId="77777777" w:rsidR="009D1FEE" w:rsidRPr="00AC7E92" w:rsidRDefault="009D1FEE">
      <w:pPr>
        <w:pStyle w:val="Formuledadoption"/>
      </w:pPr>
      <w:r w:rsidRPr="00AC7E92">
        <w:t>HAVE ADOPTED THIS DIRECTIVE:</w:t>
      </w:r>
    </w:p>
    <w:p w14:paraId="3EF9622D" w14:textId="77777777" w:rsidR="009D1FEE" w:rsidRPr="00AC7E92" w:rsidRDefault="009D1FEE">
      <w:pPr>
        <w:pStyle w:val="Titrearticle"/>
      </w:pPr>
      <w:r w:rsidRPr="00AC7E92">
        <w:t>Article 1</w:t>
      </w:r>
    </w:p>
    <w:p w14:paraId="00382AD9" w14:textId="77777777" w:rsidR="005F38A5" w:rsidRPr="00F92513" w:rsidRDefault="005F38A5" w:rsidP="002333D4">
      <w:pPr>
        <w:pStyle w:val="Titrearticle"/>
        <w:rPr>
          <w:lang w:val="en-IE"/>
        </w:rPr>
      </w:pPr>
      <w:r w:rsidRPr="00F92513">
        <w:rPr>
          <w:lang w:val="en-IE"/>
        </w:rPr>
        <w:t>Amendments to Directive 2006/43/EC</w:t>
      </w:r>
    </w:p>
    <w:p w14:paraId="05D079CA" w14:textId="77777777" w:rsidR="005804F6" w:rsidRDefault="003F578A" w:rsidP="003F578A">
      <w:pPr>
        <w:rPr>
          <w:lang w:val="en-IE"/>
        </w:rPr>
      </w:pPr>
      <w:r>
        <w:rPr>
          <w:lang w:val="en-IE"/>
        </w:rPr>
        <w:t>Directive 2006/43/EC is amended as follows:</w:t>
      </w:r>
    </w:p>
    <w:p w14:paraId="29DCDB48" w14:textId="77777777" w:rsidR="00543456" w:rsidRPr="00E86174" w:rsidRDefault="00717262" w:rsidP="008E732B">
      <w:pPr>
        <w:pStyle w:val="Point0number"/>
        <w:numPr>
          <w:ilvl w:val="0"/>
          <w:numId w:val="26"/>
        </w:numPr>
      </w:pPr>
      <w:r w:rsidRPr="00E86174">
        <w:t>i</w:t>
      </w:r>
      <w:r w:rsidR="002F7852" w:rsidRPr="00E86174">
        <w:t xml:space="preserve">n </w:t>
      </w:r>
      <w:r w:rsidR="00386C26" w:rsidRPr="00E86174">
        <w:t xml:space="preserve">Article </w:t>
      </w:r>
      <w:r w:rsidR="00081968" w:rsidRPr="00E86174">
        <w:t>26a</w:t>
      </w:r>
      <w:r w:rsidR="002F7852" w:rsidRPr="00E86174">
        <w:t>, paragraph 3 is replaced by the following</w:t>
      </w:r>
      <w:r w:rsidR="00543456" w:rsidRPr="00E86174">
        <w:t>:</w:t>
      </w:r>
    </w:p>
    <w:p w14:paraId="18D5110B" w14:textId="77777777" w:rsidR="00066144" w:rsidRDefault="00066144" w:rsidP="00DE466D">
      <w:pPr>
        <w:pStyle w:val="Text1"/>
      </w:pPr>
      <w:r>
        <w:t>‘</w:t>
      </w:r>
      <w:r w:rsidR="00D63532">
        <w:t>3.</w:t>
      </w:r>
      <w:r w:rsidR="00D63532">
        <w:tab/>
      </w:r>
      <w:r w:rsidR="00833589" w:rsidRPr="00833589">
        <w:t>The</w:t>
      </w:r>
      <w:r w:rsidRPr="00066144">
        <w:t xml:space="preserve"> Commission shall be empowered to adopt delegated acts in accordance with Article 48a in order to supplement this Directive </w:t>
      </w:r>
      <w:r w:rsidR="00833589" w:rsidRPr="00833589">
        <w:t>in order to provide for</w:t>
      </w:r>
      <w:r w:rsidRPr="00066144">
        <w:t xml:space="preserve"> limited assurance standards setting out the procedures that the auditor(s) and the audit firm(s) shall perform in order to draw his, her or its conclusions on the assurance of sustainability reporting, including engagement planning, risk consideration and response to risks and type of conclusions to be included in the assurance report on sustainability reporting, or, where relevant, in the audit report.</w:t>
      </w:r>
    </w:p>
    <w:p w14:paraId="40FB82EA" w14:textId="77777777" w:rsidR="00EF1F03" w:rsidRPr="00EF1F03" w:rsidRDefault="00EF1F03" w:rsidP="00DE466D">
      <w:pPr>
        <w:pStyle w:val="Text1"/>
        <w:rPr>
          <w:lang w:val="en-IE"/>
        </w:rPr>
      </w:pPr>
      <w:r w:rsidRPr="00DE466D">
        <w:t>The</w:t>
      </w:r>
      <w:r w:rsidRPr="00EF1F03">
        <w:rPr>
          <w:lang w:val="en-IE"/>
        </w:rPr>
        <w:t xml:space="preserve"> Commission may adopt the assurance standards referred to in the first subparagraph only </w:t>
      </w:r>
      <w:r w:rsidR="006348EF">
        <w:rPr>
          <w:lang w:val="en-IE"/>
        </w:rPr>
        <w:t>where those standards:</w:t>
      </w:r>
    </w:p>
    <w:p w14:paraId="0BDA17C6" w14:textId="77777777" w:rsidR="00EF1F03" w:rsidRPr="00EF1F03" w:rsidRDefault="0071753E" w:rsidP="0071753E">
      <w:pPr>
        <w:pStyle w:val="Point1"/>
      </w:pPr>
      <w:r>
        <w:rPr>
          <w:lang w:val="en-IE"/>
        </w:rPr>
        <w:t>(a)</w:t>
      </w:r>
      <w:r>
        <w:rPr>
          <w:lang w:val="en-IE"/>
        </w:rPr>
        <w:tab/>
      </w:r>
      <w:r w:rsidR="00EF1F03" w:rsidRPr="00EF1F03">
        <w:t xml:space="preserve">have been developed with proper due process, public </w:t>
      </w:r>
      <w:r w:rsidR="00EF1F03" w:rsidRPr="00A21ED9">
        <w:t>oversight</w:t>
      </w:r>
      <w:r w:rsidR="00EF1F03" w:rsidRPr="00EF1F03">
        <w:t xml:space="preserve"> and transparency;</w:t>
      </w:r>
    </w:p>
    <w:p w14:paraId="48CED11C" w14:textId="77777777" w:rsidR="00EF1F03" w:rsidRPr="00EF1F03" w:rsidRDefault="0071753E" w:rsidP="0071753E">
      <w:pPr>
        <w:pStyle w:val="Point1"/>
      </w:pPr>
      <w:r>
        <w:t>(b)</w:t>
      </w:r>
      <w:r>
        <w:tab/>
      </w:r>
      <w:r w:rsidR="00EF1F03" w:rsidRPr="00EF1F03">
        <w:t xml:space="preserve">contribute a high level of credibility and quality to </w:t>
      </w:r>
      <w:r w:rsidR="00EF1F03" w:rsidRPr="00A21ED9">
        <w:t>the</w:t>
      </w:r>
      <w:r w:rsidR="00EF1F03" w:rsidRPr="00EF1F03">
        <w:t xml:space="preserve"> annual or consolidated sustainability reporting; and</w:t>
      </w:r>
    </w:p>
    <w:p w14:paraId="4138F245" w14:textId="77777777" w:rsidR="005A45C8" w:rsidRPr="005A45C8" w:rsidRDefault="0071753E" w:rsidP="0071753E">
      <w:pPr>
        <w:pStyle w:val="Point1"/>
      </w:pPr>
      <w:r>
        <w:t>(c)</w:t>
      </w:r>
      <w:r>
        <w:tab/>
      </w:r>
      <w:r w:rsidR="00EF1F03" w:rsidRPr="4ABD6644">
        <w:t xml:space="preserve">are conducive to the </w:t>
      </w:r>
      <w:r w:rsidR="00EF1F03" w:rsidRPr="00A21ED9">
        <w:t>Union</w:t>
      </w:r>
      <w:r w:rsidR="00EF1F03" w:rsidRPr="4ABD6644">
        <w:t xml:space="preserve"> public good.</w:t>
      </w:r>
      <w:r w:rsidR="005A45C8" w:rsidRPr="4ABD6644">
        <w:t>’;</w:t>
      </w:r>
    </w:p>
    <w:p w14:paraId="40B30567" w14:textId="77777777" w:rsidR="00BF6B44" w:rsidRPr="00E86174" w:rsidRDefault="009071DD" w:rsidP="000E7E43">
      <w:pPr>
        <w:pStyle w:val="Point0number"/>
      </w:pPr>
      <w:r w:rsidRPr="00E86174">
        <w:t>i</w:t>
      </w:r>
      <w:r w:rsidR="00D04213" w:rsidRPr="00E86174">
        <w:t xml:space="preserve">n Article </w:t>
      </w:r>
      <w:r w:rsidR="003E5D7F" w:rsidRPr="00E86174">
        <w:t>48a</w:t>
      </w:r>
      <w:r w:rsidR="004B34B3" w:rsidRPr="00E86174">
        <w:t>(2)</w:t>
      </w:r>
      <w:r w:rsidR="00977CF9" w:rsidRPr="00E86174">
        <w:t>,</w:t>
      </w:r>
      <w:r w:rsidR="0057611B" w:rsidRPr="00E86174">
        <w:t xml:space="preserve"> </w:t>
      </w:r>
      <w:r w:rsidR="003524D0" w:rsidRPr="00E86174">
        <w:t xml:space="preserve">the </w:t>
      </w:r>
      <w:r w:rsidR="0057611B" w:rsidRPr="00E86174">
        <w:t>second subparagraph</w:t>
      </w:r>
      <w:r w:rsidR="003524D0" w:rsidRPr="00E86174">
        <w:t xml:space="preserve"> is </w:t>
      </w:r>
      <w:r w:rsidR="00BF6B44" w:rsidRPr="00E86174">
        <w:t xml:space="preserve">replaced </w:t>
      </w:r>
      <w:r w:rsidR="00B06ACF" w:rsidRPr="00E86174">
        <w:t>by</w:t>
      </w:r>
      <w:r w:rsidR="00BF6B44" w:rsidRPr="00E86174">
        <w:t xml:space="preserve"> the following:</w:t>
      </w:r>
    </w:p>
    <w:p w14:paraId="2EE30D12" w14:textId="77777777" w:rsidR="003F578A" w:rsidRPr="005804F6" w:rsidRDefault="00BF6B44" w:rsidP="00DE466D">
      <w:pPr>
        <w:pStyle w:val="Text1"/>
      </w:pPr>
      <w:r w:rsidRPr="6A5E8D64">
        <w:t>‘</w:t>
      </w:r>
      <w:r w:rsidR="00C35CAB" w:rsidRPr="00C35CAB">
        <w:t>The power to adopt delegated acts referred to in Article 26a(</w:t>
      </w:r>
      <w:r w:rsidR="00C35CAB">
        <w:t>3</w:t>
      </w:r>
      <w:r w:rsidR="00C35CAB" w:rsidRPr="00C35CAB">
        <w:t>) shall be conferred on the Commission for an indeterminate period of time.</w:t>
      </w:r>
      <w:r w:rsidR="00C35CAB">
        <w:t>’.</w:t>
      </w:r>
    </w:p>
    <w:p w14:paraId="57793E69" w14:textId="77777777" w:rsidR="005F38A5" w:rsidRPr="008D11EC" w:rsidRDefault="00D27988" w:rsidP="00D27988">
      <w:pPr>
        <w:pStyle w:val="Titrearticle"/>
        <w:rPr>
          <w:lang w:val="en-IE"/>
        </w:rPr>
      </w:pPr>
      <w:r w:rsidRPr="008D11EC">
        <w:rPr>
          <w:lang w:val="en-IE"/>
        </w:rPr>
        <w:t>Article 2</w:t>
      </w:r>
    </w:p>
    <w:p w14:paraId="615C17F0" w14:textId="77777777" w:rsidR="00D27988" w:rsidRPr="008D11EC" w:rsidRDefault="00D27988" w:rsidP="002333D4">
      <w:pPr>
        <w:pStyle w:val="Titrearticle"/>
        <w:rPr>
          <w:lang w:val="en-IE"/>
        </w:rPr>
      </w:pPr>
      <w:r w:rsidRPr="008D11EC">
        <w:rPr>
          <w:lang w:val="en-IE"/>
        </w:rPr>
        <w:t>Amendments to Directive 2013/34/EU</w:t>
      </w:r>
    </w:p>
    <w:p w14:paraId="250F2B34" w14:textId="77777777" w:rsidR="00B54344" w:rsidRDefault="00B54344" w:rsidP="00B54344">
      <w:pPr>
        <w:rPr>
          <w:lang w:val="en-IE"/>
        </w:rPr>
      </w:pPr>
      <w:r>
        <w:rPr>
          <w:lang w:val="en-IE"/>
        </w:rPr>
        <w:t>Directive 2013/34/EU is amended as follows:</w:t>
      </w:r>
    </w:p>
    <w:p w14:paraId="51F93BA3" w14:textId="77777777" w:rsidR="00B54344" w:rsidRPr="00E86174" w:rsidRDefault="00A120A8" w:rsidP="008E732B">
      <w:pPr>
        <w:pStyle w:val="Point0number"/>
        <w:numPr>
          <w:ilvl w:val="0"/>
          <w:numId w:val="18"/>
        </w:numPr>
      </w:pPr>
      <w:r w:rsidRPr="00E86174">
        <w:t>Article 1</w:t>
      </w:r>
      <w:r w:rsidR="004704F6" w:rsidRPr="00E86174">
        <w:t xml:space="preserve"> is amended as follows:</w:t>
      </w:r>
    </w:p>
    <w:p w14:paraId="6171BC92" w14:textId="77777777" w:rsidR="004704F6" w:rsidRDefault="004020D2" w:rsidP="004746EE">
      <w:pPr>
        <w:pStyle w:val="Point1letter"/>
      </w:pPr>
      <w:r>
        <w:lastRenderedPageBreak/>
        <w:t>i</w:t>
      </w:r>
      <w:r w:rsidR="00DE1379">
        <w:t>n paragraph 3, the introductory wording is replaced by the following:</w:t>
      </w:r>
    </w:p>
    <w:p w14:paraId="635C1D81" w14:textId="77777777" w:rsidR="00947846" w:rsidRPr="00A51785" w:rsidRDefault="004A4CAD" w:rsidP="00DE466D">
      <w:pPr>
        <w:pStyle w:val="Text2"/>
      </w:pPr>
      <w:r>
        <w:t>‘</w:t>
      </w:r>
      <w:r w:rsidR="000F1F69" w:rsidRPr="000F1F69">
        <w:t xml:space="preserve">The coordination measures prescribed by Articles 19a, </w:t>
      </w:r>
      <w:r w:rsidR="00F9306E">
        <w:t xml:space="preserve">19b, </w:t>
      </w:r>
      <w:r w:rsidR="000F1F69" w:rsidRPr="000F1F69">
        <w:t xml:space="preserve">29a, </w:t>
      </w:r>
      <w:r w:rsidR="00F9306E">
        <w:t xml:space="preserve">29aa, </w:t>
      </w:r>
      <w:r w:rsidR="000F1F69" w:rsidRPr="000F1F69">
        <w:t>29d, 30 and 33, Article 34(1)</w:t>
      </w:r>
      <w:r w:rsidR="0078042A">
        <w:t xml:space="preserve">, </w:t>
      </w:r>
      <w:r w:rsidR="0078042A" w:rsidRPr="0078042A">
        <w:t>second subparagraph, point (aa)</w:t>
      </w:r>
      <w:r w:rsidR="000F1F69" w:rsidRPr="000F1F69">
        <w:t>, Article 34(2) and (3)</w:t>
      </w:r>
      <w:r w:rsidR="00AA06DD">
        <w:t>,</w:t>
      </w:r>
      <w:r w:rsidR="000F1F69" w:rsidRPr="000F1F69">
        <w:t xml:space="preserve"> and Article 51 of this Directive </w:t>
      </w:r>
      <w:r w:rsidR="000F1F69" w:rsidRPr="004746EE">
        <w:t>shall</w:t>
      </w:r>
      <w:r w:rsidR="000F1F69" w:rsidRPr="000F1F69">
        <w:t xml:space="preserve"> also apply to the laws, regulations and administrative </w:t>
      </w:r>
      <w:r w:rsidR="000F1F69" w:rsidRPr="00FA7F73">
        <w:t xml:space="preserve">provisions of the Member States relating to the following undertakings regardless of their legal form, provided that those undertakings are </w:t>
      </w:r>
      <w:r w:rsidR="00192D2A">
        <w:t xml:space="preserve">large </w:t>
      </w:r>
      <w:r w:rsidR="000F1F69" w:rsidRPr="00FA7F73">
        <w:t xml:space="preserve">undertakings </w:t>
      </w:r>
      <w:r w:rsidR="00A11F6A">
        <w:t>which, on their balance sheet dat</w:t>
      </w:r>
      <w:r w:rsidR="007F6097">
        <w:t xml:space="preserve">es, </w:t>
      </w:r>
      <w:r w:rsidR="003237C0">
        <w:t xml:space="preserve">exceed </w:t>
      </w:r>
      <w:r w:rsidR="009348AE">
        <w:t>the</w:t>
      </w:r>
      <w:r w:rsidR="00FD4545">
        <w:t xml:space="preserve"> </w:t>
      </w:r>
      <w:r w:rsidR="003237C0" w:rsidRPr="003237C0">
        <w:t xml:space="preserve">average number </w:t>
      </w:r>
      <w:r w:rsidR="00FD4545">
        <w:t>of</w:t>
      </w:r>
      <w:r w:rsidR="00F41F12">
        <w:t xml:space="preserve"> </w:t>
      </w:r>
      <w:r w:rsidR="00675AAC">
        <w:t>1000 employees</w:t>
      </w:r>
      <w:r w:rsidR="00675AAC" w:rsidDel="00D34DE9">
        <w:t xml:space="preserve"> </w:t>
      </w:r>
      <w:r w:rsidR="009C1FCA">
        <w:t xml:space="preserve"> </w:t>
      </w:r>
      <w:r w:rsidR="00024B65" w:rsidRPr="00FA7F73">
        <w:t>during</w:t>
      </w:r>
      <w:r w:rsidR="000F1F69" w:rsidRPr="00A51785">
        <w:t xml:space="preserve"> the financial </w:t>
      </w:r>
      <w:r w:rsidR="00024B65" w:rsidRPr="00A51785">
        <w:t>year</w:t>
      </w:r>
      <w:r w:rsidR="009C0F5F" w:rsidRPr="00A51785">
        <w:t>:’</w:t>
      </w:r>
      <w:r w:rsidR="00A2149E" w:rsidRPr="00A51785">
        <w:t>;</w:t>
      </w:r>
    </w:p>
    <w:p w14:paraId="5FE4D05A" w14:textId="77777777" w:rsidR="00573BED" w:rsidRPr="00A51785" w:rsidRDefault="004020D2" w:rsidP="000B3AAC">
      <w:pPr>
        <w:pStyle w:val="Point1letter"/>
      </w:pPr>
      <w:r w:rsidRPr="000B3AAC">
        <w:t>p</w:t>
      </w:r>
      <w:r w:rsidR="00582FCC" w:rsidRPr="000B3AAC">
        <w:t>aragraph</w:t>
      </w:r>
      <w:r w:rsidR="00582FCC" w:rsidRPr="00A51785">
        <w:t xml:space="preserve"> </w:t>
      </w:r>
      <w:r w:rsidR="00B52122" w:rsidRPr="00A51785">
        <w:t>4 is replaced by the following:</w:t>
      </w:r>
    </w:p>
    <w:p w14:paraId="6819FB83" w14:textId="77777777" w:rsidR="00B52122" w:rsidRDefault="00B52122" w:rsidP="00DE466D">
      <w:pPr>
        <w:pStyle w:val="Text2"/>
      </w:pPr>
      <w:r w:rsidRPr="282B7335">
        <w:rPr>
          <w:lang w:val="en-IE"/>
        </w:rPr>
        <w:t>‘</w:t>
      </w:r>
      <w:r w:rsidR="0075737A" w:rsidRPr="282B7335">
        <w:rPr>
          <w:lang w:val="en-IE"/>
        </w:rPr>
        <w:t>4.</w:t>
      </w:r>
      <w:r w:rsidR="003F2D79">
        <w:rPr>
          <w:lang w:val="en-IE"/>
        </w:rPr>
        <w:tab/>
      </w:r>
      <w:r w:rsidR="008534DA" w:rsidRPr="282B7335">
        <w:rPr>
          <w:lang w:val="en-IE"/>
        </w:rPr>
        <w:t xml:space="preserve">The coordination measures prescribed by Articles 19a, 29a and 29d shall not apply to the European Financial Stability Facility (EFSF) established by the EFSF Framework Agreement </w:t>
      </w:r>
      <w:r w:rsidR="0075737A" w:rsidRPr="282B7335">
        <w:rPr>
          <w:lang w:val="en-IE"/>
        </w:rPr>
        <w:t xml:space="preserve">nor </w:t>
      </w:r>
      <w:r w:rsidR="008534DA" w:rsidRPr="282B7335">
        <w:rPr>
          <w:lang w:val="en-IE"/>
        </w:rPr>
        <w:t xml:space="preserve">to financial products listed </w:t>
      </w:r>
      <w:r w:rsidR="003227F7" w:rsidRPr="282B7335">
        <w:rPr>
          <w:lang w:val="en-IE"/>
        </w:rPr>
        <w:t xml:space="preserve">in </w:t>
      </w:r>
      <w:r w:rsidR="008534DA" w:rsidRPr="282B7335">
        <w:rPr>
          <w:lang w:val="en-IE"/>
        </w:rPr>
        <w:t>Article 2</w:t>
      </w:r>
      <w:r w:rsidR="00AD0949" w:rsidRPr="282B7335">
        <w:rPr>
          <w:lang w:val="en-IE"/>
        </w:rPr>
        <w:t>, point (12)</w:t>
      </w:r>
      <w:r w:rsidR="00BB1F97" w:rsidRPr="282B7335">
        <w:rPr>
          <w:lang w:val="en-IE"/>
        </w:rPr>
        <w:t xml:space="preserve">, </w:t>
      </w:r>
      <w:r w:rsidR="00AD0949" w:rsidRPr="282B7335">
        <w:rPr>
          <w:lang w:val="en-IE"/>
        </w:rPr>
        <w:t xml:space="preserve">(b) and (f) </w:t>
      </w:r>
      <w:r w:rsidR="008534DA" w:rsidRPr="282B7335">
        <w:rPr>
          <w:lang w:val="en-IE"/>
        </w:rPr>
        <w:t>of Regulation (EU) 2019/2088 of the European Parliament and of the Council</w:t>
      </w:r>
      <w:r w:rsidR="00CB2DB3" w:rsidRPr="282B7335">
        <w:rPr>
          <w:lang w:val="en-IE"/>
        </w:rPr>
        <w:t>*</w:t>
      </w:r>
      <w:r w:rsidR="003208A8">
        <w:rPr>
          <w:lang w:val="en-IE"/>
        </w:rPr>
        <w:t>.</w:t>
      </w:r>
    </w:p>
    <w:p w14:paraId="47D2C33B" w14:textId="77777777" w:rsidR="00CB2DB3" w:rsidRDefault="0065561F" w:rsidP="00757AE9">
      <w:r>
        <w:t>_</w:t>
      </w:r>
      <w:r w:rsidR="00CB2DB3">
        <w:t>____________________________________________</w:t>
      </w:r>
    </w:p>
    <w:p w14:paraId="7B9884D3" w14:textId="77777777" w:rsidR="00FE6793" w:rsidRPr="0050464C" w:rsidRDefault="00FE6793" w:rsidP="00DE466D">
      <w:pPr>
        <w:pStyle w:val="Text2"/>
      </w:pPr>
      <w:r>
        <w:t xml:space="preserve">* </w:t>
      </w:r>
      <w:r w:rsidR="00122997" w:rsidRPr="0050464C">
        <w:t>Regulation (EU) 2019/2088 of the European Parliament and of the Council of 27 November 2019 on sustainability-related disclosures in the financial services sector (OJ L 317, 9.12.2019, p. 1, ELI: http://data.europa.eu/eli/reg/2019/2088/oj).</w:t>
      </w:r>
      <w:r w:rsidR="003044EA">
        <w:t>’;</w:t>
      </w:r>
    </w:p>
    <w:p w14:paraId="252C7D0D" w14:textId="77777777" w:rsidR="00D27988" w:rsidRPr="00E86174" w:rsidRDefault="008B1A22" w:rsidP="000E7E43">
      <w:pPr>
        <w:pStyle w:val="Point0number"/>
      </w:pPr>
      <w:r w:rsidRPr="00E86174">
        <w:t>Article 19a is amended as follows:</w:t>
      </w:r>
    </w:p>
    <w:p w14:paraId="36C632DD" w14:textId="77777777" w:rsidR="008B1A22" w:rsidRPr="00E1674D" w:rsidRDefault="004020D2" w:rsidP="00416FCE">
      <w:pPr>
        <w:pStyle w:val="Point1letter"/>
      </w:pPr>
      <w:r w:rsidRPr="00E1674D">
        <w:t>i</w:t>
      </w:r>
      <w:r w:rsidR="003459A1" w:rsidRPr="00E1674D">
        <w:t xml:space="preserve">n paragraph 1, the first subparagraph is </w:t>
      </w:r>
      <w:r w:rsidR="006B232A" w:rsidRPr="00E1674D">
        <w:t>replaced</w:t>
      </w:r>
      <w:r w:rsidR="003459A1" w:rsidRPr="00E1674D">
        <w:t xml:space="preserve"> </w:t>
      </w:r>
      <w:r w:rsidR="00925A82" w:rsidRPr="00E1674D">
        <w:t>by the following</w:t>
      </w:r>
      <w:r w:rsidR="003459A1" w:rsidRPr="00E1674D">
        <w:t>:</w:t>
      </w:r>
    </w:p>
    <w:p w14:paraId="6C9A2BA3" w14:textId="77777777" w:rsidR="003459A1" w:rsidRPr="00390D52" w:rsidRDefault="003459A1" w:rsidP="00DE466D">
      <w:pPr>
        <w:pStyle w:val="Text2"/>
      </w:pPr>
      <w:r w:rsidRPr="00A51785">
        <w:t>‘</w:t>
      </w:r>
      <w:r w:rsidR="009B1F32">
        <w:t xml:space="preserve">Large </w:t>
      </w:r>
      <w:r w:rsidR="00194475">
        <w:t>u</w:t>
      </w:r>
      <w:r w:rsidRPr="00AC32F5">
        <w:t xml:space="preserve">ndertakings </w:t>
      </w:r>
      <w:r w:rsidR="00A34214" w:rsidRPr="00A34214">
        <w:t xml:space="preserve">which, on their balance sheet dates, exceed the average number </w:t>
      </w:r>
      <w:r w:rsidR="00A34214">
        <w:t xml:space="preserve">of </w:t>
      </w:r>
      <w:r w:rsidR="00E8013F">
        <w:t xml:space="preserve">1000 employees </w:t>
      </w:r>
      <w:r w:rsidRPr="00AC32F5">
        <w:t>during</w:t>
      </w:r>
      <w:r w:rsidRPr="00A51785">
        <w:t xml:space="preserve"> the financial </w:t>
      </w:r>
      <w:r w:rsidR="00024B65" w:rsidRPr="00A51785">
        <w:t>year</w:t>
      </w:r>
      <w:r w:rsidRPr="00A51785">
        <w:t xml:space="preserve"> </w:t>
      </w:r>
      <w:r w:rsidRPr="00D44C20">
        <w:t>shall</w:t>
      </w:r>
      <w:r w:rsidRPr="00A51785">
        <w:t xml:space="preserve"> include in the</w:t>
      </w:r>
      <w:r w:rsidR="004B7255">
        <w:t>ir</w:t>
      </w:r>
      <w:r w:rsidRPr="00A51785">
        <w:t xml:space="preserve"> management report information necessary to understand the undertaking’s impacts on sustainability matters, and information necessary to understand how sustainability matters</w:t>
      </w:r>
      <w:r w:rsidRPr="003459A1">
        <w:t xml:space="preserve"> affect the undertaking’s development, performance and position.</w:t>
      </w:r>
      <w:r>
        <w:t>’</w:t>
      </w:r>
      <w:r w:rsidR="00A2149E">
        <w:t>;</w:t>
      </w:r>
    </w:p>
    <w:p w14:paraId="718906DF" w14:textId="77777777" w:rsidR="00654539" w:rsidRDefault="003E4ED5" w:rsidP="00DE466D">
      <w:pPr>
        <w:pStyle w:val="Point1letter"/>
      </w:pPr>
      <w:r>
        <w:t>paragraph 3</w:t>
      </w:r>
      <w:r w:rsidR="000030B1">
        <w:t xml:space="preserve"> </w:t>
      </w:r>
      <w:r w:rsidR="00161BFE">
        <w:t>is amended as follows</w:t>
      </w:r>
      <w:r w:rsidR="00CD2324">
        <w:t>:</w:t>
      </w:r>
    </w:p>
    <w:p w14:paraId="30D98030" w14:textId="77777777" w:rsidR="000030B1" w:rsidRPr="00A5718D" w:rsidRDefault="00A31002" w:rsidP="00DE466D">
      <w:pPr>
        <w:pStyle w:val="Point2"/>
        <w:rPr>
          <w:lang w:val="en-IE"/>
        </w:rPr>
      </w:pPr>
      <w:r>
        <w:rPr>
          <w:lang w:val="en-IE"/>
        </w:rPr>
        <w:t>(i)</w:t>
      </w:r>
      <w:r w:rsidR="00ED33D0">
        <w:rPr>
          <w:lang w:val="en-IE"/>
        </w:rPr>
        <w:tab/>
      </w:r>
      <w:r w:rsidR="00600B7A">
        <w:rPr>
          <w:lang w:val="en-IE"/>
        </w:rPr>
        <w:t>the first subparagraph is replaced by the following</w:t>
      </w:r>
      <w:r w:rsidR="002002DE">
        <w:rPr>
          <w:lang w:val="en-IE"/>
        </w:rPr>
        <w:t>:</w:t>
      </w:r>
    </w:p>
    <w:p w14:paraId="23178FED" w14:textId="77777777" w:rsidR="00571C1B" w:rsidRDefault="00CD2324" w:rsidP="00DE466D">
      <w:pPr>
        <w:pStyle w:val="Text3"/>
      </w:pPr>
      <w:r>
        <w:t>‘</w:t>
      </w:r>
      <w:r w:rsidR="00041135" w:rsidRPr="00041135">
        <w:t>Where applicable, the information referred to in paragraphs 1 and 2 shall contain information about the undertaking’s own operations and about its value chain, including its products and services, its business relationships and its supply chain.</w:t>
      </w:r>
      <w:r w:rsidR="00041135">
        <w:t xml:space="preserve"> </w:t>
      </w:r>
      <w:r w:rsidR="00367487" w:rsidRPr="00367487">
        <w:t xml:space="preserve">Member States shall ensure that, for the reporting </w:t>
      </w:r>
      <w:r w:rsidR="00E40645">
        <w:t xml:space="preserve">of </w:t>
      </w:r>
      <w:r w:rsidR="00367487" w:rsidRPr="00367487">
        <w:t xml:space="preserve">sustainability information as required by this Directive, undertakings do not seek to obtain from undertakings in their value chain </w:t>
      </w:r>
      <w:r w:rsidR="00C53101" w:rsidRPr="00C53101">
        <w:t xml:space="preserve">which, on their balance sheet dates, </w:t>
      </w:r>
      <w:r w:rsidR="00C53101">
        <w:t xml:space="preserve">do not </w:t>
      </w:r>
      <w:r w:rsidR="00C53101" w:rsidRPr="00C53101">
        <w:t xml:space="preserve">exceed the average number of </w:t>
      </w:r>
      <w:r w:rsidR="004A2104">
        <w:t>1000 employees during the financial year  any</w:t>
      </w:r>
      <w:r w:rsidR="006369CC">
        <w:t xml:space="preserve"> </w:t>
      </w:r>
      <w:r w:rsidR="005B678D">
        <w:t xml:space="preserve">information </w:t>
      </w:r>
      <w:r w:rsidR="00367487" w:rsidRPr="00367487">
        <w:t xml:space="preserve">that exceeds the information specified in the standards for voluntary use referred to in </w:t>
      </w:r>
      <w:r w:rsidR="00367487" w:rsidRPr="00AC32F5">
        <w:t>Article 29ca, except</w:t>
      </w:r>
      <w:r w:rsidR="00367487" w:rsidRPr="00367487">
        <w:t xml:space="preserve"> for additional sustainability information that is commonly shared between undertakings in the sector concerned. Undertakings that report the necessary value chain information without reporting from undertakings in their value chain </w:t>
      </w:r>
      <w:r w:rsidR="00B052F4" w:rsidRPr="00B052F4">
        <w:t>which, on their balance sheet dates, do not exceed the average number of</w:t>
      </w:r>
      <w:r w:rsidR="004A2104" w:rsidRPr="004A2104">
        <w:t xml:space="preserve"> 1000 employees during the financial year </w:t>
      </w:r>
      <w:r w:rsidR="004A2104">
        <w:t xml:space="preserve"> any </w:t>
      </w:r>
      <w:r w:rsidR="00435F23" w:rsidRPr="00367487">
        <w:t>information</w:t>
      </w:r>
      <w:r w:rsidR="00435F23">
        <w:t xml:space="preserve"> </w:t>
      </w:r>
      <w:r w:rsidR="00367487" w:rsidRPr="00367487">
        <w:t xml:space="preserve">that </w:t>
      </w:r>
      <w:r w:rsidR="00367487" w:rsidRPr="00AC32F5">
        <w:t>exceeds the information specified in the standards for voluntary use referred to in Article 29ca, except for additional sustainability information that is commonly shared between</w:t>
      </w:r>
      <w:r w:rsidR="00367487" w:rsidRPr="00367487">
        <w:t xml:space="preserve"> </w:t>
      </w:r>
      <w:r w:rsidR="00367487" w:rsidRPr="00367487">
        <w:lastRenderedPageBreak/>
        <w:t>undertakings in the sector concerned, shall be deemed to have complied with the obligation to report value chain information set out in this paragraph.</w:t>
      </w:r>
      <w:r w:rsidR="00367487">
        <w:t>’</w:t>
      </w:r>
      <w:r w:rsidR="00A2149E">
        <w:t>;</w:t>
      </w:r>
      <w:r w:rsidR="004A2104">
        <w:t xml:space="preserve"> </w:t>
      </w:r>
    </w:p>
    <w:p w14:paraId="59F92C72" w14:textId="77777777" w:rsidR="00367487" w:rsidRPr="00571C1B" w:rsidRDefault="007F6FF3" w:rsidP="00DE466D">
      <w:pPr>
        <w:pStyle w:val="Point2"/>
      </w:pPr>
      <w:r>
        <w:t>(ii)</w:t>
      </w:r>
      <w:r w:rsidR="00ED33D0">
        <w:tab/>
      </w:r>
      <w:r w:rsidR="006163C4" w:rsidRPr="00571C1B">
        <w:t xml:space="preserve">the following subparagraph is </w:t>
      </w:r>
      <w:r w:rsidR="001815B4">
        <w:t>added</w:t>
      </w:r>
      <w:r w:rsidR="006163C4" w:rsidRPr="00571C1B">
        <w:t>:</w:t>
      </w:r>
    </w:p>
    <w:p w14:paraId="472AF7D7" w14:textId="77777777" w:rsidR="006163C4" w:rsidRPr="00AC32F5" w:rsidRDefault="006163C4" w:rsidP="00DE466D">
      <w:pPr>
        <w:pStyle w:val="Text3"/>
      </w:pPr>
      <w:r w:rsidRPr="6DA40B94">
        <w:t xml:space="preserve">‘The </w:t>
      </w:r>
      <w:r w:rsidRPr="00AC32F5">
        <w:t>first subparagraph is without prejudice to Union requirements on undertakings to conduct a due diligence process.’</w:t>
      </w:r>
      <w:r w:rsidR="00A2149E" w:rsidRPr="00AC32F5">
        <w:t>;</w:t>
      </w:r>
    </w:p>
    <w:p w14:paraId="5672D88F" w14:textId="77777777" w:rsidR="006259F3" w:rsidRPr="00AC32F5" w:rsidRDefault="00C16322" w:rsidP="001526E1">
      <w:pPr>
        <w:pStyle w:val="Point1letter"/>
      </w:pPr>
      <w:r w:rsidRPr="00AC32F5">
        <w:t>paragraph</w:t>
      </w:r>
      <w:r w:rsidR="00F85D2F">
        <w:t>s</w:t>
      </w:r>
      <w:r w:rsidRPr="00AC32F5">
        <w:t xml:space="preserve"> 6</w:t>
      </w:r>
      <w:r w:rsidR="00F85D2F">
        <w:t xml:space="preserve"> and 7 are</w:t>
      </w:r>
      <w:r w:rsidR="004E1C5D" w:rsidRPr="00AC32F5">
        <w:t xml:space="preserve"> </w:t>
      </w:r>
      <w:r w:rsidR="001D59D0" w:rsidRPr="0003180B">
        <w:t>deleted</w:t>
      </w:r>
      <w:r w:rsidR="00A2149E" w:rsidRPr="00AC32F5">
        <w:t>;</w:t>
      </w:r>
    </w:p>
    <w:p w14:paraId="0EEABD8B" w14:textId="77777777" w:rsidR="00C24BC0" w:rsidRDefault="00C24BC0" w:rsidP="00C24BC0">
      <w:pPr>
        <w:pStyle w:val="Point0number"/>
      </w:pPr>
      <w:r>
        <w:t>the following Article 19b is inserted:</w:t>
      </w:r>
    </w:p>
    <w:p w14:paraId="5E763DEF" w14:textId="77777777" w:rsidR="00A85CB2" w:rsidRPr="00DF30F5" w:rsidRDefault="00A85CB2" w:rsidP="00DE466D">
      <w:pPr>
        <w:keepNext/>
        <w:spacing w:before="360"/>
        <w:ind w:left="567"/>
        <w:jc w:val="center"/>
        <w:rPr>
          <w:rFonts w:eastAsia="Calibri"/>
          <w:i/>
        </w:rPr>
      </w:pPr>
      <w:r w:rsidRPr="00DF30F5">
        <w:rPr>
          <w:rFonts w:eastAsia="Calibri"/>
          <w:i/>
        </w:rPr>
        <w:t>‘Article 19b</w:t>
      </w:r>
    </w:p>
    <w:p w14:paraId="7932DBC1" w14:textId="77777777" w:rsidR="00A85CB2" w:rsidRPr="00DF30F5" w:rsidRDefault="00A85CB2" w:rsidP="007310BF">
      <w:pPr>
        <w:keepNext/>
        <w:spacing w:after="240"/>
        <w:ind w:left="567"/>
        <w:jc w:val="center"/>
        <w:rPr>
          <w:rFonts w:eastAsia="Calibri"/>
          <w:b/>
          <w:bCs/>
          <w:iCs/>
        </w:rPr>
      </w:pPr>
      <w:r w:rsidRPr="00DF30F5">
        <w:rPr>
          <w:rFonts w:eastAsia="Calibri"/>
          <w:b/>
          <w:bCs/>
          <w:iCs/>
        </w:rPr>
        <w:t xml:space="preserve">Optional taxonomy </w:t>
      </w:r>
      <w:r w:rsidRPr="00F11482">
        <w:rPr>
          <w:rFonts w:eastAsia="Calibri"/>
          <w:b/>
          <w:bCs/>
          <w:iCs/>
        </w:rPr>
        <w:t>reporting</w:t>
      </w:r>
      <w:r w:rsidRPr="00DF30F5">
        <w:rPr>
          <w:rFonts w:eastAsia="Calibri"/>
          <w:b/>
          <w:bCs/>
          <w:iCs/>
        </w:rPr>
        <w:t xml:space="preserve"> for certain undertakings</w:t>
      </w:r>
    </w:p>
    <w:p w14:paraId="2F256477" w14:textId="77777777" w:rsidR="00A85CB2" w:rsidRPr="00DF30F5" w:rsidRDefault="00890A06" w:rsidP="00814D4E">
      <w:pPr>
        <w:pStyle w:val="Text1"/>
      </w:pPr>
      <w:r>
        <w:t>1.</w:t>
      </w:r>
      <w:r>
        <w:tab/>
      </w:r>
      <w:r w:rsidR="00A85CB2" w:rsidRPr="00F11482">
        <w:t>Member States shall ensure that, b</w:t>
      </w:r>
      <w:r w:rsidR="00A85CB2" w:rsidRPr="00DF30F5">
        <w:t xml:space="preserve">y way of derogation from Article </w:t>
      </w:r>
      <w:r w:rsidR="00A85CB2" w:rsidRPr="00F11482">
        <w:t>8 of Regulation (EU) 2020/852</w:t>
      </w:r>
      <w:r w:rsidR="00A85CB2" w:rsidRPr="00DF30F5">
        <w:t xml:space="preserve">, undertakings </w:t>
      </w:r>
      <w:r w:rsidR="00977767">
        <w:t xml:space="preserve">as </w:t>
      </w:r>
      <w:r w:rsidR="00A85CB2" w:rsidRPr="00DF30F5">
        <w:t xml:space="preserve">referred to in Article 19a(1) </w:t>
      </w:r>
      <w:r w:rsidR="000D3A92">
        <w:t xml:space="preserve">of this Directive </w:t>
      </w:r>
      <w:r w:rsidR="00A85CB2" w:rsidRPr="00DF30F5">
        <w:t>which</w:t>
      </w:r>
      <w:r w:rsidR="004C1CB3" w:rsidRPr="004C1CB3">
        <w:t xml:space="preserve">, on their balance sheet dates, do not exceed </w:t>
      </w:r>
      <w:r w:rsidR="00A85CB2" w:rsidRPr="00DF30F5">
        <w:t xml:space="preserve">a net turnover </w:t>
      </w:r>
      <w:r w:rsidR="004C1CB3">
        <w:t>of</w:t>
      </w:r>
      <w:r w:rsidR="00A85CB2" w:rsidRPr="00DF30F5">
        <w:t xml:space="preserve"> EUR 450 000 000 during the financial year shall apply the </w:t>
      </w:r>
      <w:r w:rsidR="00A85CB2" w:rsidRPr="00F11482">
        <w:t>paragraphs</w:t>
      </w:r>
      <w:r w:rsidR="000D3A92">
        <w:t xml:space="preserve"> </w:t>
      </w:r>
      <w:r w:rsidR="000D3A92" w:rsidRPr="000D3A92">
        <w:t>2, 3 and 4 of this Directive</w:t>
      </w:r>
      <w:r w:rsidR="00A85CB2" w:rsidRPr="00DF30F5">
        <w:t>.</w:t>
      </w:r>
    </w:p>
    <w:p w14:paraId="488BEBB1" w14:textId="77777777" w:rsidR="00A85CB2" w:rsidRPr="00530B3E" w:rsidRDefault="00890A06" w:rsidP="00814D4E">
      <w:pPr>
        <w:pStyle w:val="Text1"/>
        <w:rPr>
          <w:rFonts w:eastAsia="Calibri"/>
        </w:rPr>
      </w:pPr>
      <w:r>
        <w:rPr>
          <w:rFonts w:eastAsia="Calibri"/>
        </w:rPr>
        <w:t>2.</w:t>
      </w:r>
      <w:r>
        <w:rPr>
          <w:rFonts w:eastAsia="Calibri"/>
        </w:rPr>
        <w:tab/>
      </w:r>
      <w:r w:rsidR="00A85CB2" w:rsidRPr="00DF30F5">
        <w:rPr>
          <w:rFonts w:eastAsia="Calibri"/>
        </w:rPr>
        <w:t>An undertaking as referred to in paragraph 1 that claims that its activities are associated with economic activities that qualify as environmentally sustainable under Article</w:t>
      </w:r>
      <w:r w:rsidR="002E4D17">
        <w:rPr>
          <w:rFonts w:eastAsia="Calibri"/>
        </w:rPr>
        <w:t>s</w:t>
      </w:r>
      <w:r w:rsidR="00A85CB2" w:rsidRPr="00DF30F5">
        <w:rPr>
          <w:rFonts w:eastAsia="Calibri"/>
        </w:rPr>
        <w:t xml:space="preserve"> 3</w:t>
      </w:r>
      <w:r w:rsidR="002E4D17">
        <w:rPr>
          <w:rFonts w:eastAsia="Calibri"/>
        </w:rPr>
        <w:t xml:space="preserve"> and 9</w:t>
      </w:r>
      <w:r w:rsidR="00A85CB2" w:rsidRPr="00DF30F5">
        <w:rPr>
          <w:rFonts w:eastAsia="Calibri"/>
        </w:rPr>
        <w:t xml:space="preserve"> of Regulation (EU) 2020/852 or</w:t>
      </w:r>
      <w:bookmarkStart w:id="21" w:name="_Hlk189477159"/>
      <w:r w:rsidR="00A85CB2" w:rsidRPr="00DF30F5">
        <w:rPr>
          <w:rFonts w:eastAsia="Calibri"/>
        </w:rPr>
        <w:t xml:space="preserve"> with economic activities that</w:t>
      </w:r>
      <w:r w:rsidR="00A85CB2" w:rsidRPr="00530B3E">
        <w:rPr>
          <w:rFonts w:eastAsia="Calibri"/>
        </w:rPr>
        <w:t xml:space="preserve"> fulfil only certain requirements of </w:t>
      </w:r>
      <w:bookmarkEnd w:id="21"/>
      <w:r w:rsidR="00A85CB2" w:rsidRPr="00530B3E">
        <w:rPr>
          <w:rFonts w:eastAsia="Calibri"/>
        </w:rPr>
        <w:t xml:space="preserve">that provision shall include in its management report information on how and to what extent </w:t>
      </w:r>
      <w:r w:rsidR="00E7238E">
        <w:rPr>
          <w:rFonts w:eastAsia="Calibri"/>
        </w:rPr>
        <w:t>its</w:t>
      </w:r>
      <w:r w:rsidR="00A85CB2" w:rsidRPr="00530B3E">
        <w:rPr>
          <w:rFonts w:eastAsia="Calibri"/>
        </w:rPr>
        <w:t xml:space="preserve"> activities are associated with those economic activities. </w:t>
      </w:r>
    </w:p>
    <w:p w14:paraId="3ADDC390" w14:textId="77777777" w:rsidR="00A85CB2" w:rsidRPr="00530B3E" w:rsidRDefault="00890A06" w:rsidP="00814D4E">
      <w:pPr>
        <w:pStyle w:val="Text1"/>
        <w:rPr>
          <w:rFonts w:eastAsia="Calibri"/>
        </w:rPr>
      </w:pPr>
      <w:r>
        <w:rPr>
          <w:rFonts w:eastAsia="Calibri"/>
        </w:rPr>
        <w:t>3.</w:t>
      </w:r>
      <w:r>
        <w:rPr>
          <w:rFonts w:eastAsia="Calibri"/>
        </w:rPr>
        <w:tab/>
      </w:r>
      <w:r w:rsidR="00A85CB2" w:rsidRPr="00530B3E">
        <w:rPr>
          <w:rFonts w:eastAsia="Calibri"/>
        </w:rPr>
        <w:t>In particular, a non-financial undertaking that claims that its activities are associated with economic activities that qualify as environmentally sustainable under Article</w:t>
      </w:r>
      <w:r w:rsidR="002E4D17">
        <w:rPr>
          <w:rFonts w:eastAsia="Calibri"/>
        </w:rPr>
        <w:t>s</w:t>
      </w:r>
      <w:r w:rsidR="00A85CB2" w:rsidRPr="00530B3E">
        <w:rPr>
          <w:rFonts w:eastAsia="Calibri"/>
        </w:rPr>
        <w:t xml:space="preserve"> 3</w:t>
      </w:r>
      <w:r w:rsidR="002E4D17">
        <w:rPr>
          <w:rFonts w:eastAsia="Calibri"/>
        </w:rPr>
        <w:t xml:space="preserve"> and 9</w:t>
      </w:r>
      <w:r w:rsidR="00A85CB2" w:rsidRPr="00530B3E">
        <w:rPr>
          <w:rFonts w:eastAsia="Calibri"/>
        </w:rPr>
        <w:t xml:space="preserve"> of Regulation (EU) 2020/852 shall disclose the following indicators: </w:t>
      </w:r>
    </w:p>
    <w:p w14:paraId="68A4321E" w14:textId="77777777" w:rsidR="00A85CB2" w:rsidRPr="00530B3E" w:rsidRDefault="00A85CB2" w:rsidP="002E035F">
      <w:pPr>
        <w:pStyle w:val="Point1"/>
      </w:pPr>
      <w:r>
        <w:t>(a)</w:t>
      </w:r>
      <w:r w:rsidR="002E035F">
        <w:tab/>
      </w:r>
      <w:r w:rsidRPr="00530B3E">
        <w:t>the proportion of its turnover derived from products or services associated with economic activities that qualify as environmentally sustainable under Article</w:t>
      </w:r>
      <w:r w:rsidR="002E4D17">
        <w:t>s</w:t>
      </w:r>
      <w:r w:rsidRPr="00530B3E">
        <w:t xml:space="preserve"> 3</w:t>
      </w:r>
      <w:bookmarkStart w:id="22" w:name="_Hlk189477194"/>
      <w:r w:rsidR="002E4D17">
        <w:t xml:space="preserve"> and 9</w:t>
      </w:r>
      <w:r w:rsidRPr="00530B3E">
        <w:t xml:space="preserve"> of that Regulation; </w:t>
      </w:r>
    </w:p>
    <w:bookmarkEnd w:id="22"/>
    <w:p w14:paraId="7E239BAF" w14:textId="77777777" w:rsidR="00A85CB2" w:rsidRPr="00530B3E" w:rsidRDefault="00A85CB2" w:rsidP="002E035F">
      <w:pPr>
        <w:pStyle w:val="Point1"/>
      </w:pPr>
      <w:r>
        <w:t>(b)</w:t>
      </w:r>
      <w:r w:rsidR="002E035F">
        <w:tab/>
      </w:r>
      <w:r w:rsidRPr="00530B3E">
        <w:t>the proportion of its capital expenditure related to assets or processes associated with economic activities that qualify as environmentally sustainable under Article</w:t>
      </w:r>
      <w:r w:rsidR="002E4D17">
        <w:t>s</w:t>
      </w:r>
      <w:r w:rsidRPr="00530B3E">
        <w:t xml:space="preserve"> 3</w:t>
      </w:r>
      <w:r w:rsidR="002E4D17">
        <w:t xml:space="preserve"> and 9</w:t>
      </w:r>
      <w:r w:rsidRPr="00530B3E">
        <w:t xml:space="preserve"> of that Regulation.</w:t>
      </w:r>
    </w:p>
    <w:p w14:paraId="37189344" w14:textId="77777777" w:rsidR="00A85CB2" w:rsidRPr="00530B3E" w:rsidRDefault="00A85CB2" w:rsidP="007310BF">
      <w:pPr>
        <w:pStyle w:val="Text1"/>
      </w:pPr>
      <w:r w:rsidRPr="00530B3E">
        <w:t>A non-financial undertaking that discloses the indicators referred to in the first subparagraph may disclose the proportion of its operating expenditure related to assets or processes associated with economic activities that qualify as environmentally sustainable under Article</w:t>
      </w:r>
      <w:r w:rsidR="002E4D17">
        <w:t>s</w:t>
      </w:r>
      <w:r w:rsidRPr="00530B3E">
        <w:t xml:space="preserve"> 3</w:t>
      </w:r>
      <w:r w:rsidR="002E4D17">
        <w:t xml:space="preserve"> and 9</w:t>
      </w:r>
      <w:r w:rsidRPr="00530B3E">
        <w:t xml:space="preserve"> of Regulation</w:t>
      </w:r>
      <w:r w:rsidR="008301D2" w:rsidRPr="008301D2">
        <w:t xml:space="preserve"> (EU) 2020/852</w:t>
      </w:r>
      <w:r w:rsidRPr="00530B3E">
        <w:t>.</w:t>
      </w:r>
    </w:p>
    <w:p w14:paraId="44D679EF" w14:textId="77777777" w:rsidR="00A85CB2" w:rsidRPr="00530B3E" w:rsidRDefault="00890A06" w:rsidP="00814D4E">
      <w:pPr>
        <w:pStyle w:val="Text1"/>
        <w:rPr>
          <w:rFonts w:eastAsia="Calibri"/>
        </w:rPr>
      </w:pPr>
      <w:r>
        <w:rPr>
          <w:rFonts w:eastAsia="Calibri"/>
        </w:rPr>
        <w:t>4.</w:t>
      </w:r>
      <w:r>
        <w:rPr>
          <w:rFonts w:eastAsia="Calibri"/>
        </w:rPr>
        <w:tab/>
      </w:r>
      <w:r w:rsidR="00A85CB2" w:rsidRPr="00530B3E">
        <w:rPr>
          <w:rFonts w:eastAsia="Calibri"/>
        </w:rPr>
        <w:t>In particular, a non-financial undertaking that claims that its activities are associated with economic activities that fulfil only certain requirements of Article</w:t>
      </w:r>
      <w:r w:rsidR="00B86420">
        <w:rPr>
          <w:rFonts w:eastAsia="Calibri"/>
        </w:rPr>
        <w:t xml:space="preserve"> </w:t>
      </w:r>
      <w:r w:rsidR="00A85CB2" w:rsidRPr="00530B3E">
        <w:rPr>
          <w:rFonts w:eastAsia="Calibri"/>
        </w:rPr>
        <w:t>3 of Regulation (EU) 2020/852 shall disclose the following indicators:</w:t>
      </w:r>
    </w:p>
    <w:p w14:paraId="7310A4AE" w14:textId="77777777" w:rsidR="00A85CB2" w:rsidRPr="00530B3E" w:rsidRDefault="00A85CB2" w:rsidP="007310BF">
      <w:pPr>
        <w:pStyle w:val="Point1"/>
      </w:pPr>
      <w:r w:rsidRPr="00530B3E">
        <w:t>(a)</w:t>
      </w:r>
      <w:r w:rsidR="006F6BD2">
        <w:tab/>
      </w:r>
      <w:r w:rsidRPr="00530B3E">
        <w:t>the proportion of its turnover derived from products or services associated with economic activities fulfilling only certain requirements of Article 3 of that Regulation;</w:t>
      </w:r>
    </w:p>
    <w:p w14:paraId="608AA5C3" w14:textId="77777777" w:rsidR="00A85CB2" w:rsidRPr="00530B3E" w:rsidDel="00372DD9" w:rsidRDefault="00A85CB2" w:rsidP="007310BF">
      <w:pPr>
        <w:pStyle w:val="Point1"/>
      </w:pPr>
      <w:r w:rsidRPr="00530B3E">
        <w:t>(b)</w:t>
      </w:r>
      <w:r w:rsidR="006F6BD2">
        <w:tab/>
      </w:r>
      <w:r w:rsidRPr="00530B3E">
        <w:t>the proportion of its capital expenditure related to assets or processes associated with economic activities that fulfil only certain requirements of Article 3 of that Regulation;</w:t>
      </w:r>
    </w:p>
    <w:p w14:paraId="4206221A" w14:textId="77777777" w:rsidR="00A85CB2" w:rsidRPr="00530B3E" w:rsidRDefault="00A85CB2" w:rsidP="007310BF">
      <w:pPr>
        <w:pStyle w:val="Text1"/>
      </w:pPr>
      <w:r w:rsidRPr="00530B3E">
        <w:lastRenderedPageBreak/>
        <w:t>A non-financial undertaking that discloses the indicators referred to in the first subparagraph may disclose the proportion of its operating expenditure related to assets or processes associated with economic activities that fulfil only certain requirements of Article 3 of Regulation</w:t>
      </w:r>
      <w:r w:rsidR="00616CC5">
        <w:t xml:space="preserve"> </w:t>
      </w:r>
      <w:r w:rsidR="00616CC5" w:rsidRPr="00616CC5">
        <w:t>(EU) 2020/852</w:t>
      </w:r>
      <w:r w:rsidRPr="00530B3E">
        <w:t>.</w:t>
      </w:r>
    </w:p>
    <w:p w14:paraId="00570761" w14:textId="77777777" w:rsidR="00C24BC0" w:rsidRPr="00DE466D" w:rsidRDefault="00890A06" w:rsidP="00814D4E">
      <w:pPr>
        <w:pStyle w:val="Text1"/>
        <w:rPr>
          <w:rFonts w:eastAsia="Calibri"/>
        </w:rPr>
      </w:pPr>
      <w:r>
        <w:rPr>
          <w:rFonts w:eastAsia="Calibri"/>
        </w:rPr>
        <w:t>5.</w:t>
      </w:r>
      <w:r>
        <w:rPr>
          <w:rFonts w:eastAsia="Calibri"/>
        </w:rPr>
        <w:tab/>
      </w:r>
      <w:r w:rsidR="00A85CB2" w:rsidRPr="00530B3E">
        <w:rPr>
          <w:rFonts w:eastAsia="Calibri"/>
        </w:rPr>
        <w:t xml:space="preserve">The Commission shall adopt a delegated act in accordance with Article 49 of this </w:t>
      </w:r>
      <w:r w:rsidR="00291F34">
        <w:rPr>
          <w:rFonts w:eastAsia="Calibri"/>
        </w:rPr>
        <w:t>Directive</w:t>
      </w:r>
      <w:r w:rsidR="00A85CB2" w:rsidRPr="00530B3E">
        <w:rPr>
          <w:rFonts w:eastAsia="Calibri"/>
        </w:rPr>
        <w:t xml:space="preserve"> to supplement </w:t>
      </w:r>
      <w:r w:rsidR="00A85CB2" w:rsidRPr="00BE5A6E">
        <w:rPr>
          <w:rFonts w:eastAsia="Calibri"/>
        </w:rPr>
        <w:t>paragraphs 1, 2, 3 and 4 of this</w:t>
      </w:r>
      <w:r w:rsidR="00A85CB2" w:rsidRPr="00530B3E">
        <w:rPr>
          <w:rFonts w:eastAsia="Calibri"/>
        </w:rPr>
        <w:t xml:space="preserve"> Article to specify the content and presentation of the information to be disclosed pursuant to those paragraphs, including the content of the information concerning economic activities that fulfil only certain of the criteria set out in Article 3 of Regulation (EU) 2020/852, and the methodology to be used in order to comply with them, taking into account the specificities of both financial and non-financial undertakings and the technical screening criteria established pursuant to th</w:t>
      </w:r>
      <w:r w:rsidR="00D8340E">
        <w:rPr>
          <w:rFonts w:eastAsia="Calibri"/>
        </w:rPr>
        <w:t>at</w:t>
      </w:r>
      <w:r w:rsidR="00A85CB2" w:rsidRPr="00530B3E">
        <w:rPr>
          <w:rFonts w:eastAsia="Calibri"/>
        </w:rPr>
        <w:t xml:space="preserve"> Regulation.’;</w:t>
      </w:r>
    </w:p>
    <w:p w14:paraId="25C2D61A" w14:textId="77777777" w:rsidR="00F80C37" w:rsidRPr="00E86174" w:rsidRDefault="00F80C37" w:rsidP="000E7E43">
      <w:pPr>
        <w:pStyle w:val="Point0number"/>
      </w:pPr>
      <w:r w:rsidRPr="00E86174">
        <w:t xml:space="preserve">Article </w:t>
      </w:r>
      <w:r w:rsidR="00F26343" w:rsidRPr="00E86174">
        <w:t>2</w:t>
      </w:r>
      <w:r w:rsidRPr="00E86174">
        <w:t>9a is amended as follows:</w:t>
      </w:r>
    </w:p>
    <w:p w14:paraId="3E9C7053" w14:textId="77777777" w:rsidR="00D27988" w:rsidRPr="00390D52" w:rsidRDefault="004020D2" w:rsidP="001526E1">
      <w:pPr>
        <w:pStyle w:val="Point1letter"/>
      </w:pPr>
      <w:r>
        <w:t>i</w:t>
      </w:r>
      <w:r w:rsidR="00F80C37">
        <w:t xml:space="preserve">n paragraph 1, the first subparagraph is </w:t>
      </w:r>
      <w:r w:rsidR="0050243D">
        <w:t>replaced by the following:</w:t>
      </w:r>
    </w:p>
    <w:p w14:paraId="128DEFF4" w14:textId="77777777" w:rsidR="00A3437F" w:rsidRPr="0055329D" w:rsidRDefault="0050243D" w:rsidP="00DE466D">
      <w:pPr>
        <w:pStyle w:val="Text2"/>
      </w:pPr>
      <w:r>
        <w:t>‘</w:t>
      </w:r>
      <w:r w:rsidRPr="0050243D">
        <w:t xml:space="preserve">Parent undertakings of a </w:t>
      </w:r>
      <w:r w:rsidR="00F336B7">
        <w:t xml:space="preserve">large </w:t>
      </w:r>
      <w:r w:rsidRPr="0050243D">
        <w:t xml:space="preserve">group </w:t>
      </w:r>
      <w:r w:rsidR="009B2125" w:rsidRPr="009B2125">
        <w:t>which, on their balance sheet dates, exceed the average number of</w:t>
      </w:r>
      <w:r w:rsidR="00EE3F51">
        <w:t xml:space="preserve"> </w:t>
      </w:r>
      <w:r w:rsidR="005D1663">
        <w:t>1000 employees</w:t>
      </w:r>
      <w:r w:rsidRPr="00AC32F5">
        <w:t xml:space="preserve">, on a consolidated basis, </w:t>
      </w:r>
      <w:r w:rsidR="00024B65" w:rsidRPr="00AC32F5">
        <w:t>during</w:t>
      </w:r>
      <w:r w:rsidRPr="0055329D">
        <w:t xml:space="preserve"> the financial </w:t>
      </w:r>
      <w:r w:rsidR="00024B65" w:rsidRPr="0055329D">
        <w:t>year</w:t>
      </w:r>
      <w:r w:rsidR="00452126">
        <w:t>,</w:t>
      </w:r>
      <w:r w:rsidRPr="0055329D">
        <w:t xml:space="preserve"> shall include in the consolidated management report information necessary to understand the group’s impacts on sustainability matters, and information necessary to understand how sustainability matters affect the group’s development, performance and position.’</w:t>
      </w:r>
      <w:r w:rsidR="00621B79" w:rsidRPr="0055329D">
        <w:t>;</w:t>
      </w:r>
    </w:p>
    <w:p w14:paraId="6A3B2846" w14:textId="77777777" w:rsidR="00A3437F" w:rsidRDefault="00A3437F" w:rsidP="001526E1">
      <w:pPr>
        <w:pStyle w:val="Point1letter"/>
      </w:pPr>
      <w:r w:rsidRPr="0055329D">
        <w:t>paragraph 3</w:t>
      </w:r>
      <w:r w:rsidR="00D12E0F">
        <w:t xml:space="preserve"> is amended as follows</w:t>
      </w:r>
      <w:r w:rsidRPr="0055329D">
        <w:t>:</w:t>
      </w:r>
    </w:p>
    <w:p w14:paraId="7A84EDF4" w14:textId="77777777" w:rsidR="00621BAB" w:rsidRPr="0055329D" w:rsidRDefault="00BE1683" w:rsidP="00DE466D">
      <w:pPr>
        <w:pStyle w:val="Point2"/>
      </w:pPr>
      <w:r>
        <w:t>(i)</w:t>
      </w:r>
      <w:r w:rsidR="00ED33D0">
        <w:tab/>
      </w:r>
      <w:r w:rsidR="00A230F9">
        <w:t xml:space="preserve">the first subparagraph </w:t>
      </w:r>
      <w:r w:rsidR="0034530E">
        <w:t>is</w:t>
      </w:r>
      <w:r w:rsidR="00A230F9">
        <w:t xml:space="preserve"> replaced by the following</w:t>
      </w:r>
      <w:r w:rsidR="0034530E">
        <w:t>:</w:t>
      </w:r>
    </w:p>
    <w:p w14:paraId="58A99264" w14:textId="77777777" w:rsidR="000030B1" w:rsidRDefault="00A3437F" w:rsidP="00DE466D">
      <w:pPr>
        <w:pStyle w:val="Text3"/>
      </w:pPr>
      <w:r w:rsidRPr="0055329D">
        <w:t>‘</w:t>
      </w:r>
      <w:r w:rsidR="00EE5E58" w:rsidRPr="00EE5E58">
        <w:t xml:space="preserve">Where applicable, the information referred to in paragraphs 1 and 2 shall contain information about the group’s own operations and about its value chain, including its products and services, its business relationships and its supply chain. </w:t>
      </w:r>
      <w:r w:rsidRPr="0055329D">
        <w:t xml:space="preserve">Member States shall ensure that, for the reporting </w:t>
      </w:r>
      <w:r w:rsidR="00C74670">
        <w:t xml:space="preserve">of </w:t>
      </w:r>
      <w:r w:rsidRPr="0055329D">
        <w:t xml:space="preserve">sustainability information as required </w:t>
      </w:r>
      <w:r w:rsidRPr="00AC32F5">
        <w:t xml:space="preserve">by this Directive, undertakings do not seek to obtain from undertakings in their value chain </w:t>
      </w:r>
      <w:r w:rsidR="00B110FD" w:rsidRPr="00B110FD">
        <w:t>which, on their balance sheet dates, do not exceed the average number of</w:t>
      </w:r>
      <w:r w:rsidR="00B110FD">
        <w:t xml:space="preserve"> </w:t>
      </w:r>
      <w:r w:rsidR="00864C97" w:rsidRPr="00864C97">
        <w:t xml:space="preserve"> 1000 employees during the financial year </w:t>
      </w:r>
      <w:r w:rsidR="00546BDD">
        <w:t xml:space="preserve">any </w:t>
      </w:r>
      <w:r w:rsidR="00131F2E" w:rsidRPr="00AC32F5">
        <w:t>information</w:t>
      </w:r>
      <w:r w:rsidR="00131F2E">
        <w:t xml:space="preserve"> </w:t>
      </w:r>
      <w:r w:rsidRPr="00AC32F5">
        <w:t xml:space="preserve">that exceeds the information specified in the standards for voluntary use referred to in Article 29ca, except for additional sustainability information that is commonly shared between undertakings in the sector concerned. Undertakings that report the necessary value chain information without reporting from undertakings in their value chain </w:t>
      </w:r>
      <w:r w:rsidR="003350F2" w:rsidRPr="003350F2">
        <w:t>which, on their balance sheet dates, do not exceed the average number of</w:t>
      </w:r>
      <w:r w:rsidR="00546BDD" w:rsidRPr="00546BDD">
        <w:t xml:space="preserve"> 1000 employees during the financial year </w:t>
      </w:r>
      <w:r w:rsidR="00546BDD">
        <w:t xml:space="preserve">any </w:t>
      </w:r>
      <w:r w:rsidR="00131F2E" w:rsidRPr="00AC32F5">
        <w:t>information</w:t>
      </w:r>
      <w:r w:rsidR="00131F2E">
        <w:t xml:space="preserve"> </w:t>
      </w:r>
      <w:r w:rsidRPr="00AC32F5">
        <w:t>that exceeds the information specified in the standards for voluntary use referred to in Article 29ca, except for</w:t>
      </w:r>
      <w:r w:rsidRPr="0055329D">
        <w:t xml:space="preserve"> additional sustainability information that is commonly shared between undertakings in the sector concerned, shall be deemed to have complied with the obligation to report value chain information set out in this paragraph.’</w:t>
      </w:r>
      <w:r w:rsidR="00621B79" w:rsidRPr="0055329D">
        <w:t>;</w:t>
      </w:r>
    </w:p>
    <w:p w14:paraId="7C61DDC4" w14:textId="77777777" w:rsidR="00F26343" w:rsidRDefault="00BE1683" w:rsidP="00DE466D">
      <w:pPr>
        <w:pStyle w:val="Point2"/>
      </w:pPr>
      <w:r>
        <w:t>(ii)</w:t>
      </w:r>
      <w:r w:rsidR="00ED33D0">
        <w:tab/>
      </w:r>
      <w:r w:rsidR="00F26343">
        <w:t xml:space="preserve">the following subparagraph is </w:t>
      </w:r>
      <w:r>
        <w:t>added</w:t>
      </w:r>
      <w:r w:rsidR="00F26343">
        <w:t>:</w:t>
      </w:r>
    </w:p>
    <w:p w14:paraId="5185A76E" w14:textId="77777777" w:rsidR="00F26343" w:rsidRDefault="00F26343" w:rsidP="00DE466D">
      <w:pPr>
        <w:pStyle w:val="Text3"/>
      </w:pPr>
      <w:r w:rsidRPr="6A5E8D64">
        <w:t>‘The first subparagraph is without prejudice to Union requirements on undertakings to conduct a due diligence process.’</w:t>
      </w:r>
      <w:r w:rsidR="00D33010" w:rsidRPr="6A5E8D64">
        <w:t>;</w:t>
      </w:r>
    </w:p>
    <w:p w14:paraId="0F75114A" w14:textId="77777777" w:rsidR="00C654FE" w:rsidRPr="00C654FE" w:rsidRDefault="00C654FE" w:rsidP="007310BF">
      <w:pPr>
        <w:pStyle w:val="Point0number"/>
        <w:rPr>
          <w:lang w:val="en-IE"/>
        </w:rPr>
      </w:pPr>
      <w:r w:rsidRPr="00C654FE">
        <w:rPr>
          <w:lang w:val="en-IE"/>
        </w:rPr>
        <w:t>the following Article 29aa is inserted:</w:t>
      </w:r>
    </w:p>
    <w:p w14:paraId="1924EDB2" w14:textId="77777777" w:rsidR="00C654FE" w:rsidRPr="00C654FE" w:rsidRDefault="00C654FE" w:rsidP="007310BF">
      <w:pPr>
        <w:keepNext/>
        <w:spacing w:before="360"/>
        <w:ind w:left="567"/>
        <w:jc w:val="center"/>
        <w:rPr>
          <w:rFonts w:eastAsia="Calibri"/>
          <w:i/>
        </w:rPr>
      </w:pPr>
      <w:r w:rsidRPr="00C654FE">
        <w:rPr>
          <w:rFonts w:eastAsia="Calibri"/>
          <w:i/>
        </w:rPr>
        <w:lastRenderedPageBreak/>
        <w:t>‘Article 29aa</w:t>
      </w:r>
    </w:p>
    <w:p w14:paraId="38BF86C7" w14:textId="77777777" w:rsidR="00C654FE" w:rsidRPr="00C654FE" w:rsidRDefault="00C654FE" w:rsidP="007310BF">
      <w:pPr>
        <w:keepNext/>
        <w:spacing w:after="240"/>
        <w:ind w:left="567"/>
        <w:jc w:val="center"/>
        <w:rPr>
          <w:rFonts w:eastAsia="Calibri"/>
          <w:b/>
          <w:bCs/>
          <w:iCs/>
        </w:rPr>
      </w:pPr>
      <w:r w:rsidRPr="00C654FE">
        <w:rPr>
          <w:rFonts w:eastAsia="Calibri"/>
          <w:b/>
          <w:bCs/>
          <w:iCs/>
        </w:rPr>
        <w:t>Optional taxonomy reporting for certain parent undertakings</w:t>
      </w:r>
    </w:p>
    <w:p w14:paraId="26A25437" w14:textId="77777777" w:rsidR="00C654FE" w:rsidRDefault="009573D3" w:rsidP="009573D3">
      <w:pPr>
        <w:pStyle w:val="Text1"/>
      </w:pPr>
      <w:r>
        <w:t>1.</w:t>
      </w:r>
      <w:r>
        <w:tab/>
      </w:r>
      <w:r w:rsidR="00C654FE" w:rsidRPr="00C654FE">
        <w:t>Member States shall ensure that, by way of derogation from Article 8 of Regulation (EU) 2020/852,</w:t>
      </w:r>
      <w:r w:rsidR="00C654FE">
        <w:t xml:space="preserve"> </w:t>
      </w:r>
      <w:r w:rsidR="00C654FE" w:rsidRPr="00C654FE">
        <w:t xml:space="preserve">parent undertakings </w:t>
      </w:r>
      <w:r w:rsidR="00FD464B">
        <w:t xml:space="preserve">as </w:t>
      </w:r>
      <w:r w:rsidR="00C654FE" w:rsidRPr="00C654FE">
        <w:t>referred to in Article 29a(1)</w:t>
      </w:r>
      <w:r w:rsidR="00FD464B">
        <w:t xml:space="preserve"> of this Directive</w:t>
      </w:r>
      <w:r w:rsidR="00C654FE">
        <w:t xml:space="preserve"> </w:t>
      </w:r>
      <w:r w:rsidR="00C654FE" w:rsidRPr="00C654FE">
        <w:t>which</w:t>
      </w:r>
      <w:r w:rsidR="003350F2">
        <w:t>,</w:t>
      </w:r>
      <w:r w:rsidR="00C654FE" w:rsidRPr="00C654FE">
        <w:t xml:space="preserve"> </w:t>
      </w:r>
      <w:r w:rsidR="00F07B29">
        <w:t>on their balance sheet dates</w:t>
      </w:r>
      <w:r w:rsidR="003350F2">
        <w:t>,</w:t>
      </w:r>
      <w:r w:rsidR="00F07B29">
        <w:t xml:space="preserve"> </w:t>
      </w:r>
      <w:r w:rsidR="00BA4321">
        <w:t>do</w:t>
      </w:r>
      <w:r w:rsidR="00841DB7">
        <w:t xml:space="preserve"> not exceed </w:t>
      </w:r>
      <w:r w:rsidR="00C654FE" w:rsidRPr="00C654FE">
        <w:t xml:space="preserve">a net turnover </w:t>
      </w:r>
      <w:r w:rsidR="00841DB7">
        <w:t>of</w:t>
      </w:r>
      <w:r w:rsidR="00C654FE" w:rsidRPr="00C654FE">
        <w:t xml:space="preserve"> EUR 450 000 000</w:t>
      </w:r>
      <w:r w:rsidR="005B216A">
        <w:t>, on a consolidated basis,</w:t>
      </w:r>
      <w:r w:rsidR="00C654FE" w:rsidRPr="00C654FE">
        <w:t xml:space="preserve"> during the financial year shall apply the paragraphs</w:t>
      </w:r>
      <w:r w:rsidR="00FD464B">
        <w:t xml:space="preserve"> </w:t>
      </w:r>
      <w:r w:rsidR="00FD464B" w:rsidRPr="00FD464B">
        <w:t>2, 3 and 4 of this Directive</w:t>
      </w:r>
      <w:r w:rsidR="00C654FE" w:rsidRPr="00C654FE">
        <w:t>.</w:t>
      </w:r>
    </w:p>
    <w:p w14:paraId="3C85863E" w14:textId="77777777" w:rsidR="00C654FE" w:rsidRPr="00C654FE" w:rsidRDefault="009573D3" w:rsidP="009573D3">
      <w:pPr>
        <w:pStyle w:val="Text1"/>
      </w:pPr>
      <w:r>
        <w:t>2.</w:t>
      </w:r>
      <w:r>
        <w:tab/>
      </w:r>
      <w:r w:rsidR="00C654FE" w:rsidRPr="00C654FE">
        <w:t>A</w:t>
      </w:r>
      <w:r w:rsidR="002E7CCC">
        <w:t xml:space="preserve"> parent</w:t>
      </w:r>
      <w:r w:rsidR="00C654FE" w:rsidRPr="00C654FE">
        <w:t xml:space="preserve"> undertaking as referred to in paragraph 1 that claims that its activities are associated with economic activities that qualify as environmentally sustainable under Article</w:t>
      </w:r>
      <w:r w:rsidR="002E7CCC">
        <w:t>s</w:t>
      </w:r>
      <w:r w:rsidR="00C654FE" w:rsidRPr="00C654FE">
        <w:t xml:space="preserve"> 3</w:t>
      </w:r>
      <w:r w:rsidR="002E7CCC">
        <w:t xml:space="preserve"> and 9</w:t>
      </w:r>
      <w:r w:rsidR="00C654FE" w:rsidRPr="00C654FE">
        <w:t xml:space="preserve"> of Regulation (EU) 2020/852 or with economic activities that fulfil only certain requirements of that provision shall include in its management report information on how and to what extent </w:t>
      </w:r>
      <w:r w:rsidR="00E7238E">
        <w:t>its</w:t>
      </w:r>
      <w:r w:rsidR="00C654FE" w:rsidRPr="00C654FE">
        <w:t xml:space="preserve"> activities are associated with those economic activities. </w:t>
      </w:r>
    </w:p>
    <w:p w14:paraId="697BBE34" w14:textId="77777777" w:rsidR="00C654FE" w:rsidRPr="00C654FE" w:rsidRDefault="009573D3" w:rsidP="009573D3">
      <w:pPr>
        <w:pStyle w:val="Text1"/>
      </w:pPr>
      <w:r>
        <w:t>3.</w:t>
      </w:r>
      <w:r>
        <w:tab/>
      </w:r>
      <w:r w:rsidR="00C654FE" w:rsidRPr="00C654FE">
        <w:t xml:space="preserve">In particular, a non-financial </w:t>
      </w:r>
      <w:r w:rsidR="00A70BDC">
        <w:t xml:space="preserve">parent </w:t>
      </w:r>
      <w:r w:rsidR="00C654FE" w:rsidRPr="00C654FE">
        <w:t>undertaking that claims that its activities are associated with economic activities that qualify as environmentally sustainable under Article</w:t>
      </w:r>
      <w:r w:rsidR="002E7CCC">
        <w:t>s</w:t>
      </w:r>
      <w:r w:rsidR="00C654FE" w:rsidRPr="00C654FE">
        <w:t xml:space="preserve"> 3</w:t>
      </w:r>
      <w:r w:rsidR="002E7CCC">
        <w:t xml:space="preserve"> and 9</w:t>
      </w:r>
      <w:r w:rsidR="00C654FE" w:rsidRPr="00C654FE">
        <w:t xml:space="preserve"> of Regulation (EU) 2020/852 shall disclose the following indicators: </w:t>
      </w:r>
    </w:p>
    <w:p w14:paraId="4B3CCE3F" w14:textId="77777777" w:rsidR="00C654FE" w:rsidRPr="00C654FE" w:rsidRDefault="00C654FE" w:rsidP="008545D1">
      <w:pPr>
        <w:pStyle w:val="Point1"/>
        <w:rPr>
          <w:rFonts w:eastAsia="Calibri"/>
          <w:lang w:val="en-IE"/>
        </w:rPr>
      </w:pPr>
      <w:r w:rsidRPr="00C654FE">
        <w:rPr>
          <w:rFonts w:eastAsia="Calibri"/>
          <w:lang w:val="en-IE"/>
        </w:rPr>
        <w:t>(a)</w:t>
      </w:r>
      <w:r w:rsidR="008545D1">
        <w:rPr>
          <w:lang w:val="en-IE"/>
        </w:rPr>
        <w:tab/>
      </w:r>
      <w:r w:rsidRPr="00C654FE">
        <w:rPr>
          <w:rFonts w:eastAsia="Calibri"/>
          <w:lang w:val="en-IE"/>
        </w:rPr>
        <w:t>the proportion of its turnover derived from products or services associated with economic activities that qualify as environmentally sustainable under Article</w:t>
      </w:r>
      <w:r w:rsidR="002E7CCC">
        <w:rPr>
          <w:rFonts w:eastAsia="Calibri"/>
          <w:lang w:val="en-IE"/>
        </w:rPr>
        <w:t>s</w:t>
      </w:r>
      <w:r w:rsidRPr="00C654FE">
        <w:rPr>
          <w:rFonts w:eastAsia="Calibri"/>
          <w:lang w:val="en-IE"/>
        </w:rPr>
        <w:t xml:space="preserve"> 3</w:t>
      </w:r>
      <w:r w:rsidR="002E7CCC">
        <w:rPr>
          <w:rFonts w:eastAsia="Calibri"/>
          <w:lang w:val="en-IE"/>
        </w:rPr>
        <w:t xml:space="preserve"> and 9</w:t>
      </w:r>
      <w:r w:rsidRPr="00C654FE">
        <w:rPr>
          <w:rFonts w:eastAsia="Calibri"/>
          <w:lang w:val="en-IE"/>
        </w:rPr>
        <w:t xml:space="preserve"> of that Regulation; </w:t>
      </w:r>
    </w:p>
    <w:p w14:paraId="76C11C4D" w14:textId="77777777" w:rsidR="00C654FE" w:rsidRPr="00C654FE" w:rsidRDefault="00C654FE" w:rsidP="008545D1">
      <w:pPr>
        <w:pStyle w:val="Point1"/>
        <w:rPr>
          <w:rFonts w:eastAsia="Calibri"/>
          <w:lang w:val="en-IE"/>
        </w:rPr>
      </w:pPr>
      <w:r w:rsidRPr="00C654FE">
        <w:rPr>
          <w:rFonts w:eastAsia="Calibri"/>
          <w:lang w:val="en-IE"/>
        </w:rPr>
        <w:t>(b)</w:t>
      </w:r>
      <w:r w:rsidR="008545D1">
        <w:rPr>
          <w:lang w:val="en-IE"/>
        </w:rPr>
        <w:tab/>
      </w:r>
      <w:r w:rsidRPr="00C654FE">
        <w:rPr>
          <w:rFonts w:eastAsia="Calibri"/>
          <w:lang w:val="en-IE"/>
        </w:rPr>
        <w:t>the proportion of its capital expenditure related to assets or processes associated with economic activities that qualify as environmentally sustainable under Article</w:t>
      </w:r>
      <w:r w:rsidR="002E7CCC">
        <w:rPr>
          <w:rFonts w:eastAsia="Calibri"/>
          <w:lang w:val="en-IE"/>
        </w:rPr>
        <w:t>s</w:t>
      </w:r>
      <w:r w:rsidRPr="00C654FE">
        <w:rPr>
          <w:rFonts w:eastAsia="Calibri"/>
          <w:lang w:val="en-IE"/>
        </w:rPr>
        <w:t xml:space="preserve"> 3</w:t>
      </w:r>
      <w:r w:rsidR="002E7CCC">
        <w:rPr>
          <w:rFonts w:eastAsia="Calibri"/>
          <w:lang w:val="en-IE"/>
        </w:rPr>
        <w:t xml:space="preserve"> and 9</w:t>
      </w:r>
      <w:r w:rsidRPr="00C654FE">
        <w:rPr>
          <w:rFonts w:eastAsia="Calibri"/>
          <w:lang w:val="en-IE"/>
        </w:rPr>
        <w:t xml:space="preserve"> of that Regulation.</w:t>
      </w:r>
    </w:p>
    <w:p w14:paraId="6967B8DF" w14:textId="77777777" w:rsidR="00C654FE" w:rsidRPr="00C654FE" w:rsidRDefault="00C654FE" w:rsidP="007310BF">
      <w:pPr>
        <w:pStyle w:val="Text1"/>
      </w:pPr>
      <w:r w:rsidRPr="00C654FE">
        <w:t xml:space="preserve">A non-financial </w:t>
      </w:r>
      <w:r w:rsidR="00A70BDC">
        <w:t xml:space="preserve">parent </w:t>
      </w:r>
      <w:r w:rsidRPr="00C654FE">
        <w:t>undertaking that discloses the indicators referred to in the first subparagraph may disclose the proportion of its operating expenditure related to assets or processes associated with economic activities that qualify as environmentally sustainable under Article</w:t>
      </w:r>
      <w:r w:rsidR="00191141">
        <w:t>s</w:t>
      </w:r>
      <w:r w:rsidRPr="00C654FE">
        <w:t xml:space="preserve"> 3</w:t>
      </w:r>
      <w:r w:rsidR="00191141">
        <w:t xml:space="preserve"> and 9</w:t>
      </w:r>
      <w:r w:rsidRPr="00C654FE">
        <w:t xml:space="preserve"> of that Regulation.</w:t>
      </w:r>
    </w:p>
    <w:p w14:paraId="4B2C2970" w14:textId="77777777" w:rsidR="00C654FE" w:rsidRPr="00C654FE" w:rsidRDefault="009573D3" w:rsidP="009573D3">
      <w:pPr>
        <w:pStyle w:val="Text1"/>
      </w:pPr>
      <w:r>
        <w:t>4.</w:t>
      </w:r>
      <w:r>
        <w:tab/>
      </w:r>
      <w:r w:rsidR="00C654FE" w:rsidRPr="00C654FE">
        <w:t xml:space="preserve">In particular, a non-financial </w:t>
      </w:r>
      <w:r w:rsidR="00A70BDC" w:rsidRPr="009573D3">
        <w:t xml:space="preserve">parent </w:t>
      </w:r>
      <w:r w:rsidR="00C654FE" w:rsidRPr="00C654FE">
        <w:t>undertaking that claims that its activities are associated with economic activities that fulfil only certain requirements of Article 3 of Regulation (EU) 2020/852 shall disclose the following indicators:</w:t>
      </w:r>
    </w:p>
    <w:p w14:paraId="783E9323" w14:textId="77777777" w:rsidR="00C654FE" w:rsidRPr="00C654FE" w:rsidRDefault="00C654FE" w:rsidP="00323E85">
      <w:pPr>
        <w:pStyle w:val="Point1"/>
        <w:rPr>
          <w:lang w:val="en-IE"/>
        </w:rPr>
      </w:pPr>
      <w:r w:rsidRPr="00C654FE">
        <w:rPr>
          <w:lang w:val="en-IE"/>
        </w:rPr>
        <w:t>(a)</w:t>
      </w:r>
      <w:r w:rsidR="00323E85">
        <w:rPr>
          <w:lang w:val="en-IE"/>
        </w:rPr>
        <w:tab/>
      </w:r>
      <w:r w:rsidRPr="00C654FE">
        <w:rPr>
          <w:lang w:val="en-IE"/>
        </w:rPr>
        <w:t>the proportion of its turnover derived from products or services associated with economic activities fulfilling only certain requirements of Article 3 of that Regulation;</w:t>
      </w:r>
    </w:p>
    <w:p w14:paraId="139FA3AC" w14:textId="77777777" w:rsidR="00C654FE" w:rsidRPr="00C654FE" w:rsidDel="00372DD9" w:rsidRDefault="00C654FE" w:rsidP="00323E85">
      <w:pPr>
        <w:pStyle w:val="Point1"/>
        <w:rPr>
          <w:lang w:val="en-IE"/>
        </w:rPr>
      </w:pPr>
      <w:r w:rsidRPr="00C654FE">
        <w:rPr>
          <w:lang w:val="en-IE"/>
        </w:rPr>
        <w:t>(b)</w:t>
      </w:r>
      <w:r w:rsidR="00323E85">
        <w:rPr>
          <w:lang w:val="en-IE"/>
        </w:rPr>
        <w:tab/>
      </w:r>
      <w:r w:rsidRPr="00C654FE">
        <w:rPr>
          <w:lang w:val="en-IE"/>
        </w:rPr>
        <w:t>the proportion of its capital expenditure related to assets or processes associated with economic activities that fulfil only certain requirements of Article 3 of that Regulation;</w:t>
      </w:r>
    </w:p>
    <w:p w14:paraId="6E56BDFF" w14:textId="77777777" w:rsidR="00C654FE" w:rsidRPr="00C654FE" w:rsidRDefault="00C654FE" w:rsidP="007310BF">
      <w:pPr>
        <w:pStyle w:val="Text1"/>
      </w:pPr>
      <w:r w:rsidRPr="00C654FE">
        <w:t xml:space="preserve">A non-financial </w:t>
      </w:r>
      <w:r w:rsidR="00D973B3">
        <w:t xml:space="preserve">parent </w:t>
      </w:r>
      <w:r w:rsidRPr="00C654FE">
        <w:t>undertaking that discloses the indicators referred to in the first subparagraph may disclose the proportion of its operating expenditure related to assets or processes associated with economic activities that fulfil only certain requirements of Article 3 of that Regulation.</w:t>
      </w:r>
    </w:p>
    <w:p w14:paraId="10C3C88A" w14:textId="77777777" w:rsidR="00956A83" w:rsidRDefault="00291F34" w:rsidP="009573D3">
      <w:pPr>
        <w:pStyle w:val="Text1"/>
        <w:rPr>
          <w:rFonts w:eastAsia="Calibri"/>
          <w:lang w:val="en-IE"/>
        </w:rPr>
      </w:pPr>
      <w:r>
        <w:rPr>
          <w:rFonts w:eastAsia="Calibri"/>
        </w:rPr>
        <w:t>5.</w:t>
      </w:r>
      <w:r w:rsidR="009573D3">
        <w:rPr>
          <w:rFonts w:eastAsia="Calibri"/>
        </w:rPr>
        <w:tab/>
      </w:r>
      <w:r w:rsidR="00C654FE" w:rsidRPr="00C654FE">
        <w:rPr>
          <w:rFonts w:eastAsia="Calibri"/>
        </w:rPr>
        <w:t xml:space="preserve">The Commission shall adopt a delegated act in accordance with Article 49 of this </w:t>
      </w:r>
      <w:r>
        <w:rPr>
          <w:rFonts w:eastAsia="Calibri"/>
        </w:rPr>
        <w:t>Directive</w:t>
      </w:r>
      <w:r w:rsidR="00C654FE" w:rsidRPr="00C654FE">
        <w:rPr>
          <w:rFonts w:eastAsia="Calibri"/>
        </w:rPr>
        <w:t xml:space="preserve"> to supplement paragraphs 1, 2, 3 and 4 of this Article to specify the content and presentation of the information to be disclosed pursuant to those paragraphs, including the content of the information concerning economic activities that fulfil only certain of the criteria set out in Article 3 of Regulation (EU) </w:t>
      </w:r>
      <w:r w:rsidR="00C654FE" w:rsidRPr="00C654FE">
        <w:rPr>
          <w:rFonts w:eastAsia="Calibri"/>
        </w:rPr>
        <w:lastRenderedPageBreak/>
        <w:t>2020/852, and the methodology to be used in order to comply with them, taking into account the specificities of both financial and non-financial undertakings and the technical screening criteria established pursuant to this Regulation.</w:t>
      </w:r>
      <w:r w:rsidR="00C654FE" w:rsidRPr="00C654FE">
        <w:rPr>
          <w:rFonts w:eastAsia="Calibri"/>
          <w:lang w:val="en-IE"/>
        </w:rPr>
        <w:t>’;</w:t>
      </w:r>
    </w:p>
    <w:p w14:paraId="41F114FF" w14:textId="77777777" w:rsidR="00A3437F" w:rsidRPr="00E86174" w:rsidRDefault="00407396" w:rsidP="004E015E">
      <w:pPr>
        <w:pStyle w:val="Point0number"/>
      </w:pPr>
      <w:r w:rsidRPr="00E86174">
        <w:t>Article 29b is amended as follows:</w:t>
      </w:r>
    </w:p>
    <w:p w14:paraId="58BF63AF" w14:textId="77777777" w:rsidR="00407396" w:rsidRPr="00AC32F5" w:rsidRDefault="00B233F0" w:rsidP="000130BF">
      <w:pPr>
        <w:pStyle w:val="Point1letter"/>
      </w:pPr>
      <w:r>
        <w:t>i</w:t>
      </w:r>
      <w:r w:rsidR="0090743B">
        <w:t xml:space="preserve">n paragraph 1, </w:t>
      </w:r>
      <w:r>
        <w:t xml:space="preserve">the third and </w:t>
      </w:r>
      <w:r w:rsidR="00E92C76">
        <w:t>fourth</w:t>
      </w:r>
      <w:r>
        <w:t xml:space="preserve"> </w:t>
      </w:r>
      <w:r w:rsidR="0090743B" w:rsidRPr="00AC32F5">
        <w:t xml:space="preserve">subparagraphs are </w:t>
      </w:r>
      <w:r w:rsidR="001D59D0" w:rsidRPr="00AC32F5">
        <w:t>deleted</w:t>
      </w:r>
      <w:r w:rsidR="0090743B" w:rsidRPr="00AC32F5">
        <w:t>;</w:t>
      </w:r>
    </w:p>
    <w:p w14:paraId="416023BD" w14:textId="77777777" w:rsidR="0090743B" w:rsidRPr="00AC32F5" w:rsidRDefault="00B233F0" w:rsidP="000130BF">
      <w:pPr>
        <w:pStyle w:val="Point1letter"/>
      </w:pPr>
      <w:r w:rsidRPr="00AC32F5">
        <w:t>i</w:t>
      </w:r>
      <w:r w:rsidR="00164F70" w:rsidRPr="00AC32F5">
        <w:t xml:space="preserve">n paragraph 4, </w:t>
      </w:r>
      <w:r w:rsidR="001B4CB4">
        <w:t xml:space="preserve">first subparagraph, </w:t>
      </w:r>
      <w:r w:rsidR="004B6E17" w:rsidRPr="00AC32F5">
        <w:t>the last sentence is replaced by the following:</w:t>
      </w:r>
    </w:p>
    <w:p w14:paraId="2047EA78" w14:textId="77777777" w:rsidR="004B6E17" w:rsidRPr="00AC32F5" w:rsidRDefault="004B6E17" w:rsidP="00DE466D">
      <w:pPr>
        <w:pStyle w:val="Text2"/>
      </w:pPr>
      <w:r>
        <w:t>‘</w:t>
      </w:r>
      <w:r w:rsidR="00226B0E" w:rsidRPr="00226B0E">
        <w:t xml:space="preserve">Sustainability reporting standards shall not specify disclosures that would require undertakings to obtain from undertakings in their value chain </w:t>
      </w:r>
      <w:r w:rsidR="003350F2" w:rsidRPr="003350F2">
        <w:t>which, on their balance sheet dates, do not exceed the average number of</w:t>
      </w:r>
      <w:r w:rsidR="00546BDD" w:rsidRPr="00546BDD">
        <w:t xml:space="preserve">1000 employees during the financial year </w:t>
      </w:r>
      <w:r w:rsidR="00546BDD">
        <w:t xml:space="preserve">any </w:t>
      </w:r>
      <w:r w:rsidR="008313DF" w:rsidRPr="00226B0E">
        <w:t>information</w:t>
      </w:r>
      <w:r w:rsidR="00435F23">
        <w:t xml:space="preserve"> </w:t>
      </w:r>
      <w:r w:rsidR="00226B0E" w:rsidRPr="00AC32F5">
        <w:t>that exceeds the information to be disclosed pursuant to the sustainability reporting standards for voluntary use referred to in Article 29ca.’</w:t>
      </w:r>
      <w:r w:rsidR="00621B79" w:rsidRPr="00AC32F5">
        <w:t>;</w:t>
      </w:r>
    </w:p>
    <w:p w14:paraId="01FACB26" w14:textId="77777777" w:rsidR="006F7A7E" w:rsidRPr="00E86174" w:rsidRDefault="006F7A7E" w:rsidP="000E7E43">
      <w:pPr>
        <w:pStyle w:val="Point0number"/>
      </w:pPr>
      <w:r w:rsidRPr="00E86174">
        <w:t xml:space="preserve">Article 29c is </w:t>
      </w:r>
      <w:r w:rsidR="001D59D0" w:rsidRPr="00E86174">
        <w:t>deleted</w:t>
      </w:r>
      <w:r w:rsidR="00C01D7C" w:rsidRPr="00E86174">
        <w:t>;</w:t>
      </w:r>
    </w:p>
    <w:p w14:paraId="0D502435" w14:textId="77777777" w:rsidR="00861724" w:rsidRPr="00E86174" w:rsidRDefault="003A4ECF" w:rsidP="000E7E43">
      <w:pPr>
        <w:pStyle w:val="Point0number"/>
      </w:pPr>
      <w:r w:rsidRPr="00E86174">
        <w:t>t</w:t>
      </w:r>
      <w:r w:rsidR="0075395B" w:rsidRPr="00E86174">
        <w:t xml:space="preserve">he following </w:t>
      </w:r>
      <w:r w:rsidR="00861724" w:rsidRPr="00E86174">
        <w:t>Article 29ca is inserted:</w:t>
      </w:r>
    </w:p>
    <w:p w14:paraId="5689CFF5" w14:textId="77777777" w:rsidR="0062605F" w:rsidRPr="002333D4" w:rsidRDefault="00B036B3" w:rsidP="007310BF">
      <w:pPr>
        <w:keepNext/>
        <w:spacing w:before="360"/>
        <w:ind w:left="567"/>
        <w:jc w:val="center"/>
        <w:rPr>
          <w:rFonts w:eastAsia="Calibri"/>
          <w:i/>
        </w:rPr>
      </w:pPr>
      <w:r w:rsidRPr="002333D4">
        <w:rPr>
          <w:rFonts w:eastAsia="Calibri"/>
          <w:i/>
        </w:rPr>
        <w:t>‘</w:t>
      </w:r>
      <w:r w:rsidR="0062605F" w:rsidRPr="002333D4">
        <w:rPr>
          <w:rFonts w:eastAsia="Calibri"/>
          <w:i/>
        </w:rPr>
        <w:t>Article 29ca</w:t>
      </w:r>
    </w:p>
    <w:p w14:paraId="7FFBDE81" w14:textId="77777777" w:rsidR="0062605F" w:rsidRPr="002333D4" w:rsidRDefault="0062605F" w:rsidP="007310BF">
      <w:pPr>
        <w:keepNext/>
        <w:spacing w:after="240"/>
        <w:ind w:left="567"/>
        <w:jc w:val="center"/>
        <w:rPr>
          <w:b/>
          <w:bCs/>
        </w:rPr>
      </w:pPr>
      <w:r w:rsidRPr="002333D4">
        <w:rPr>
          <w:b/>
          <w:bCs/>
        </w:rPr>
        <w:t>Sustainability reporting standards for voluntary use</w:t>
      </w:r>
    </w:p>
    <w:p w14:paraId="7C93FD16" w14:textId="77777777" w:rsidR="00A14033" w:rsidRPr="00AC32F5" w:rsidRDefault="0053279D" w:rsidP="00DE466D">
      <w:pPr>
        <w:pStyle w:val="Text1"/>
      </w:pPr>
      <w:r>
        <w:t>1.</w:t>
      </w:r>
      <w:r>
        <w:tab/>
      </w:r>
      <w:r w:rsidR="0062605F">
        <w:t xml:space="preserve">To facilitate voluntary reporting of sustainability information by undertakings </w:t>
      </w:r>
      <w:r w:rsidR="002C0D7A">
        <w:t xml:space="preserve">other than those referred to in Articles </w:t>
      </w:r>
      <w:r w:rsidR="0052423E">
        <w:t xml:space="preserve">19a(1) and 29a(1), </w:t>
      </w:r>
      <w:r w:rsidR="0062605F">
        <w:t xml:space="preserve">the Commission shall adopt a delegated act </w:t>
      </w:r>
      <w:r w:rsidR="000D419F">
        <w:t>by [</w:t>
      </w:r>
      <w:r w:rsidR="00D46356" w:rsidRPr="0050464C">
        <w:rPr>
          <w:i/>
          <w:iCs/>
        </w:rPr>
        <w:t>4 months after entry into force of this Directive</w:t>
      </w:r>
      <w:r w:rsidR="00D46356">
        <w:t xml:space="preserve">] </w:t>
      </w:r>
      <w:r w:rsidR="0062605F">
        <w:t xml:space="preserve">in accordance </w:t>
      </w:r>
      <w:r w:rsidR="0062605F" w:rsidRPr="00AC32F5">
        <w:t xml:space="preserve">with </w:t>
      </w:r>
      <w:r w:rsidR="0004448B" w:rsidRPr="00AC32F5">
        <w:t>A</w:t>
      </w:r>
      <w:r w:rsidR="0062605F" w:rsidRPr="00AC32F5">
        <w:t>rticle 49 supplementing this Directive to provide for sustainability reporting standards for voluntary use by such undertaking</w:t>
      </w:r>
      <w:r w:rsidR="0004448B" w:rsidRPr="00AC32F5">
        <w:t>s</w:t>
      </w:r>
      <w:r w:rsidR="0062605F" w:rsidRPr="00AC32F5">
        <w:t>.</w:t>
      </w:r>
    </w:p>
    <w:p w14:paraId="54612981" w14:textId="77777777" w:rsidR="0062605F" w:rsidRPr="00E86174" w:rsidRDefault="0053279D" w:rsidP="00DE466D">
      <w:pPr>
        <w:pStyle w:val="Text1"/>
      </w:pPr>
      <w:r>
        <w:t>2.</w:t>
      </w:r>
      <w:r>
        <w:tab/>
      </w:r>
      <w:r w:rsidR="0062605F" w:rsidRPr="00E86174">
        <w:t>The sustainability reporting standards referred to in paragraph 1</w:t>
      </w:r>
      <w:r w:rsidR="00C01D7C" w:rsidRPr="00E86174">
        <w:t xml:space="preserve"> </w:t>
      </w:r>
      <w:r w:rsidR="0062605F" w:rsidRPr="00E86174">
        <w:t xml:space="preserve">shall be proportionate </w:t>
      </w:r>
      <w:r w:rsidR="00D12B4E" w:rsidRPr="00E86174">
        <w:t xml:space="preserve">to </w:t>
      </w:r>
      <w:r w:rsidR="0062605F" w:rsidRPr="00E86174">
        <w:t xml:space="preserve">and relevant </w:t>
      </w:r>
      <w:r w:rsidR="00D12B4E" w:rsidRPr="00E86174">
        <w:t xml:space="preserve">for </w:t>
      </w:r>
      <w:r w:rsidR="0062605F" w:rsidRPr="00E86174">
        <w:t xml:space="preserve">the capacities and the characteristics of the undertakings for </w:t>
      </w:r>
      <w:r w:rsidR="00F341A2" w:rsidRPr="00E86174">
        <w:t xml:space="preserve">which </w:t>
      </w:r>
      <w:r w:rsidR="0062605F" w:rsidRPr="00E86174">
        <w:t xml:space="preserve">they are designed and to the scale and complexity of their activities. They shall also, to the extent possible, specify the structure to be used to present </w:t>
      </w:r>
      <w:r w:rsidR="00F341A2" w:rsidRPr="00E86174">
        <w:t xml:space="preserve">such sustainability </w:t>
      </w:r>
      <w:r w:rsidR="0062605F" w:rsidRPr="00E86174">
        <w:t>information.</w:t>
      </w:r>
      <w:r w:rsidR="00E03438" w:rsidRPr="00E86174">
        <w:t>’</w:t>
      </w:r>
      <w:r w:rsidR="004B5628" w:rsidRPr="00E86174">
        <w:t>;</w:t>
      </w:r>
    </w:p>
    <w:p w14:paraId="2E822516" w14:textId="77777777" w:rsidR="002D70B1" w:rsidRPr="00E86174" w:rsidRDefault="002D70B1" w:rsidP="000E7E43">
      <w:pPr>
        <w:pStyle w:val="Point0number"/>
      </w:pPr>
      <w:r w:rsidRPr="00E86174">
        <w:t xml:space="preserve">Article 29d is replaced </w:t>
      </w:r>
      <w:r w:rsidR="008C2E92" w:rsidRPr="00E86174">
        <w:t>by the following</w:t>
      </w:r>
      <w:r w:rsidRPr="00E86174">
        <w:t xml:space="preserve">: </w:t>
      </w:r>
    </w:p>
    <w:p w14:paraId="51D5940F" w14:textId="77777777" w:rsidR="002D70B1" w:rsidRPr="00AB06E5" w:rsidRDefault="00CE1F30" w:rsidP="007310BF">
      <w:pPr>
        <w:keepNext/>
        <w:spacing w:before="360"/>
        <w:ind w:left="567"/>
        <w:jc w:val="center"/>
        <w:rPr>
          <w:i/>
          <w:iCs/>
          <w:lang w:val="en-IE"/>
        </w:rPr>
      </w:pPr>
      <w:r w:rsidRPr="00AB06E5">
        <w:rPr>
          <w:i/>
          <w:iCs/>
          <w:lang w:val="en-IE"/>
        </w:rPr>
        <w:t>‘</w:t>
      </w:r>
      <w:r w:rsidR="002D70B1" w:rsidRPr="00AB06E5">
        <w:rPr>
          <w:i/>
          <w:iCs/>
          <w:lang w:val="en-IE"/>
        </w:rPr>
        <w:t>Article 29d</w:t>
      </w:r>
    </w:p>
    <w:p w14:paraId="099DDFD7" w14:textId="77777777" w:rsidR="002D70B1" w:rsidRPr="00AB06E5" w:rsidRDefault="002D70B1" w:rsidP="007310BF">
      <w:pPr>
        <w:keepNext/>
        <w:spacing w:after="240"/>
        <w:ind w:left="567"/>
        <w:jc w:val="center"/>
        <w:rPr>
          <w:b/>
          <w:bCs/>
          <w:lang w:val="en-IE"/>
        </w:rPr>
      </w:pPr>
      <w:r w:rsidRPr="00AB06E5">
        <w:rPr>
          <w:b/>
          <w:bCs/>
          <w:lang w:val="en-IE"/>
        </w:rPr>
        <w:t>Single electronic reporting format</w:t>
      </w:r>
    </w:p>
    <w:p w14:paraId="08A0ED29" w14:textId="77777777" w:rsidR="002D70B1" w:rsidRPr="002D70B1" w:rsidRDefault="002D70B1" w:rsidP="00DE466D">
      <w:pPr>
        <w:pStyle w:val="Text1"/>
      </w:pPr>
      <w:r w:rsidRPr="002D70B1">
        <w:rPr>
          <w:lang w:val="en-IE"/>
        </w:rPr>
        <w:t>1.</w:t>
      </w:r>
      <w:r w:rsidR="004B7AED">
        <w:rPr>
          <w:lang w:val="en-IE"/>
        </w:rPr>
        <w:tab/>
      </w:r>
      <w:r w:rsidRPr="002D70B1">
        <w:rPr>
          <w:lang w:val="en-IE"/>
        </w:rPr>
        <w:t xml:space="preserve">Undertakings subject to the requirements of Article 19a of this Directive shall </w:t>
      </w:r>
      <w:r w:rsidR="00906199">
        <w:rPr>
          <w:lang w:val="en-IE"/>
        </w:rPr>
        <w:t>prepare</w:t>
      </w:r>
      <w:r w:rsidRPr="002D70B1">
        <w:rPr>
          <w:lang w:val="en-IE"/>
        </w:rPr>
        <w:t xml:space="preserve"> their management report in the electronic reporting format specified in Article 3 of Commission Delegated Regulation (EU) 2019/815</w:t>
      </w:r>
      <w:r w:rsidR="00DB1C62">
        <w:rPr>
          <w:lang w:val="en-IE"/>
        </w:rPr>
        <w:t>*</w:t>
      </w:r>
      <w:r w:rsidRPr="002D70B1">
        <w:rPr>
          <w:lang w:val="en-IE"/>
        </w:rPr>
        <w:t xml:space="preserve"> and shall mark up their sustainability reporting, including the disclosures provided for in Article 8 of Regulation (EU) 2020/852, in accordance with the electronic reporting format </w:t>
      </w:r>
      <w:r w:rsidR="00853D19">
        <w:rPr>
          <w:lang w:val="en-IE"/>
        </w:rPr>
        <w:t xml:space="preserve">to be </w:t>
      </w:r>
      <w:r w:rsidRPr="002D70B1">
        <w:rPr>
          <w:lang w:val="en-IE"/>
        </w:rPr>
        <w:t xml:space="preserve">specified in that Delegated Regulation. Until such </w:t>
      </w:r>
      <w:r w:rsidR="009E266D" w:rsidRPr="009E266D">
        <w:rPr>
          <w:lang w:val="en-IE"/>
        </w:rPr>
        <w:t xml:space="preserve">rules on the marking up are adopted by way of </w:t>
      </w:r>
      <w:r w:rsidR="00181AFD">
        <w:rPr>
          <w:lang w:val="en-IE"/>
        </w:rPr>
        <w:t xml:space="preserve">that </w:t>
      </w:r>
      <w:r w:rsidRPr="002D70B1">
        <w:rPr>
          <w:lang w:val="en-IE"/>
        </w:rPr>
        <w:t xml:space="preserve"> Delegated Regulation, undertakings </w:t>
      </w:r>
      <w:r w:rsidR="00436E46">
        <w:rPr>
          <w:lang w:val="en-IE"/>
        </w:rPr>
        <w:t>shall</w:t>
      </w:r>
      <w:r w:rsidR="00436E46" w:rsidRPr="002D70B1">
        <w:rPr>
          <w:lang w:val="en-IE"/>
        </w:rPr>
        <w:t xml:space="preserve"> </w:t>
      </w:r>
      <w:r w:rsidRPr="002D70B1">
        <w:rPr>
          <w:lang w:val="en-IE"/>
        </w:rPr>
        <w:t xml:space="preserve">not </w:t>
      </w:r>
      <w:r w:rsidR="00436E46">
        <w:rPr>
          <w:lang w:val="en-IE"/>
        </w:rPr>
        <w:t xml:space="preserve">be </w:t>
      </w:r>
      <w:r w:rsidRPr="002D70B1">
        <w:rPr>
          <w:lang w:val="en-IE"/>
        </w:rPr>
        <w:t xml:space="preserve">required to markup their sustainability </w:t>
      </w:r>
      <w:r w:rsidR="003D7016">
        <w:rPr>
          <w:lang w:val="en-IE"/>
        </w:rPr>
        <w:t>reporting</w:t>
      </w:r>
      <w:r w:rsidRPr="002D70B1">
        <w:rPr>
          <w:lang w:val="en-IE"/>
        </w:rPr>
        <w:t>.</w:t>
      </w:r>
    </w:p>
    <w:p w14:paraId="20B6FE43" w14:textId="77777777" w:rsidR="00886475" w:rsidRDefault="002D70B1" w:rsidP="00DE466D">
      <w:pPr>
        <w:pStyle w:val="Text1"/>
      </w:pPr>
      <w:r w:rsidRPr="4ABD6644">
        <w:t>2.</w:t>
      </w:r>
      <w:r w:rsidR="004B7AED">
        <w:tab/>
      </w:r>
      <w:r w:rsidRPr="4ABD6644">
        <w:t xml:space="preserve">Parent undertakings subject to the requirements of Article 29a shall </w:t>
      </w:r>
      <w:r w:rsidR="00906199">
        <w:t>prepare</w:t>
      </w:r>
      <w:r w:rsidRPr="4ABD6644">
        <w:t xml:space="preserve"> their consolidated management report in the electronic reporting format specified in Article 3 of Delegated Regulation (EU) 2019/815 and shall mark up their </w:t>
      </w:r>
      <w:r w:rsidRPr="4ABD6644">
        <w:lastRenderedPageBreak/>
        <w:t xml:space="preserve">sustainability reporting, including the disclosures provided for in Article 8 of Regulation (EU) 2020/852, in accordance with the electronic reporting format </w:t>
      </w:r>
      <w:r w:rsidR="00853D19">
        <w:t xml:space="preserve">to be </w:t>
      </w:r>
      <w:r w:rsidRPr="4ABD6644">
        <w:t xml:space="preserve">specified in that Delegated Regulation. Until such </w:t>
      </w:r>
      <w:r w:rsidR="00436E46" w:rsidRPr="009E266D">
        <w:rPr>
          <w:lang w:val="en-IE"/>
        </w:rPr>
        <w:t xml:space="preserve">rules on the marking up are adopted by way of </w:t>
      </w:r>
      <w:r w:rsidR="00436E46">
        <w:rPr>
          <w:lang w:val="en-IE"/>
        </w:rPr>
        <w:t>that</w:t>
      </w:r>
      <w:r w:rsidRPr="4ABD6644">
        <w:t xml:space="preserve"> Delegated Regulation, parent undertakings </w:t>
      </w:r>
      <w:r w:rsidR="00436E46">
        <w:t>shall</w:t>
      </w:r>
      <w:r w:rsidR="00436E46" w:rsidRPr="4ABD6644">
        <w:t xml:space="preserve"> </w:t>
      </w:r>
      <w:r w:rsidRPr="4ABD6644">
        <w:t xml:space="preserve">not </w:t>
      </w:r>
      <w:r w:rsidR="00436E46">
        <w:t xml:space="preserve">be </w:t>
      </w:r>
      <w:r w:rsidRPr="4ABD6644">
        <w:t xml:space="preserve">required to markup their sustainability </w:t>
      </w:r>
      <w:r w:rsidR="00A54D0E" w:rsidRPr="4ABD6644">
        <w:t>reporting</w:t>
      </w:r>
      <w:r w:rsidRPr="4ABD6644">
        <w:t>.</w:t>
      </w:r>
      <w:r w:rsidR="00B7710A" w:rsidRPr="4ABD6644">
        <w:t>;</w:t>
      </w:r>
    </w:p>
    <w:p w14:paraId="274504F1" w14:textId="77777777" w:rsidR="00886475" w:rsidRDefault="00886475" w:rsidP="00DE466D">
      <w:pPr>
        <w:pStyle w:val="Point1"/>
        <w:ind w:left="1276" w:firstLine="1"/>
      </w:pPr>
      <w:r>
        <w:t>_____________________________________________</w:t>
      </w:r>
    </w:p>
    <w:p w14:paraId="1DDB58A9" w14:textId="77777777" w:rsidR="004B7AED" w:rsidRPr="002D70B1" w:rsidRDefault="00F109C1" w:rsidP="00DE466D">
      <w:pPr>
        <w:pStyle w:val="Text1"/>
      </w:pPr>
      <w:r>
        <w:t xml:space="preserve">* </w:t>
      </w:r>
      <w:r w:rsidR="00743E90">
        <w:t xml:space="preserve">Commission Delegated Regulation (EU) 2018/815 of 17 December 2018 supplementing Directive 2004/109/EC of the European Parliament and of the Council with regard to regulatory technical standards on the specification of a single electronic reporting format (OJ L 143, 29.5.2019, p. 1, ELI: </w:t>
      </w:r>
      <w:hyperlink r:id="rId23" w:history="1">
        <w:r w:rsidR="00743E90" w:rsidRPr="00C569DF">
          <w:rPr>
            <w:rStyle w:val="Hyperlink"/>
          </w:rPr>
          <w:t>http://data.europa.eu/eli/reg_del/2019/815/oj</w:t>
        </w:r>
      </w:hyperlink>
      <w:r w:rsidR="00743E90">
        <w:t>).</w:t>
      </w:r>
      <w:r w:rsidR="00E9355E">
        <w:t>’;</w:t>
      </w:r>
      <w:r w:rsidR="00743E90">
        <w:t xml:space="preserve"> </w:t>
      </w:r>
    </w:p>
    <w:p w14:paraId="02E50D56" w14:textId="77777777" w:rsidR="00EF3BC6" w:rsidRDefault="00D433CA" w:rsidP="000E7E43">
      <w:pPr>
        <w:pStyle w:val="Point0number"/>
      </w:pPr>
      <w:r>
        <w:t xml:space="preserve">in </w:t>
      </w:r>
      <w:r w:rsidR="005E2D19">
        <w:t>Article 33</w:t>
      </w:r>
      <w:r w:rsidR="00C86B94">
        <w:t>, paragraph 1</w:t>
      </w:r>
      <w:r w:rsidR="005E2D19">
        <w:t xml:space="preserve"> is </w:t>
      </w:r>
      <w:r w:rsidR="00C86B94">
        <w:t>replaced by the following</w:t>
      </w:r>
      <w:r w:rsidR="005E2D19">
        <w:t>:</w:t>
      </w:r>
    </w:p>
    <w:p w14:paraId="283D49BA" w14:textId="77777777" w:rsidR="002809B6" w:rsidRDefault="002809B6" w:rsidP="00366A57">
      <w:pPr>
        <w:pStyle w:val="Text1"/>
      </w:pPr>
      <w:r>
        <w:t>‘</w:t>
      </w:r>
      <w:r w:rsidR="004B45B8">
        <w:t>1.</w:t>
      </w:r>
      <w:r w:rsidR="00366A57">
        <w:tab/>
      </w:r>
      <w:r>
        <w:t>Member States shall ensure that the members of the administrative, management and supervisory bodies of an undertaking, acting within the competences assigned to them by national law, have collective responsibility for ensuring that the following documents are drawn up and published in accordance with the requirements of this Directive and, where applicable, with the international accounting standards adopted pursuant to Regulation (EC) No 1606/2002, with Delegated Regulation (EU) 2019/815, with the sustainability reporting standards referred to in Article 29b of this Directive</w:t>
      </w:r>
      <w:r w:rsidR="00EA00E7">
        <w:t xml:space="preserve">, </w:t>
      </w:r>
      <w:r w:rsidR="00292073" w:rsidRPr="00292073">
        <w:t>and with the requirements of Article 29d of this Directive</w:t>
      </w:r>
      <w:r>
        <w:t>:</w:t>
      </w:r>
    </w:p>
    <w:p w14:paraId="524221DD" w14:textId="77777777" w:rsidR="002809B6" w:rsidRDefault="002E6DD5" w:rsidP="002E6DD5">
      <w:pPr>
        <w:pStyle w:val="Point1"/>
      </w:pPr>
      <w:r>
        <w:t>(a)</w:t>
      </w:r>
      <w:r>
        <w:tab/>
      </w:r>
      <w:r w:rsidR="002809B6">
        <w:t>the annual financial statements, the management report and the corporate governance statement when provided separately; and</w:t>
      </w:r>
    </w:p>
    <w:p w14:paraId="4E19FC18" w14:textId="77777777" w:rsidR="005E2D19" w:rsidRDefault="002E6DD5" w:rsidP="002E6DD5">
      <w:pPr>
        <w:pStyle w:val="Point1"/>
      </w:pPr>
      <w:r>
        <w:t>(b)</w:t>
      </w:r>
      <w:r>
        <w:tab/>
      </w:r>
      <w:r w:rsidR="002809B6">
        <w:t>the consolidated financial statements, the consolidated management reports and the consolidated corporate governance statement when provided separately.</w:t>
      </w:r>
    </w:p>
    <w:p w14:paraId="55E8F245" w14:textId="77777777" w:rsidR="002809B6" w:rsidRDefault="002809B6" w:rsidP="007310BF">
      <w:pPr>
        <w:pStyle w:val="Text1"/>
      </w:pPr>
      <w:r>
        <w:t xml:space="preserve">By way of derogation from subparagraph 1, </w:t>
      </w:r>
      <w:r w:rsidR="00EC7D8A" w:rsidRPr="00EC7D8A">
        <w:t xml:space="preserve">Member States shall ensure that the members of the administrative, management and supervisory bodies of an undertaking, acting within the competences assigned to them by national law, </w:t>
      </w:r>
      <w:r w:rsidR="002C1709">
        <w:t xml:space="preserve">do not </w:t>
      </w:r>
      <w:r w:rsidR="00EC7D8A" w:rsidRPr="00EC7D8A">
        <w:t xml:space="preserve">have collective responsibility for ensuring that the </w:t>
      </w:r>
      <w:r w:rsidR="002C1709">
        <w:t>management report</w:t>
      </w:r>
      <w:r w:rsidR="007A6041">
        <w:t>, or consolidated management report, where applicable,</w:t>
      </w:r>
      <w:r w:rsidR="002C1709">
        <w:t xml:space="preserve"> is</w:t>
      </w:r>
      <w:r w:rsidR="00EC7D8A" w:rsidRPr="00EC7D8A">
        <w:t xml:space="preserve"> </w:t>
      </w:r>
      <w:r w:rsidR="005F1D9A">
        <w:t>prepared</w:t>
      </w:r>
      <w:r w:rsidR="00906199">
        <w:t xml:space="preserve"> </w:t>
      </w:r>
      <w:r w:rsidR="00EC7D8A" w:rsidRPr="00EC7D8A">
        <w:t xml:space="preserve">in accordance with </w:t>
      </w:r>
      <w:r w:rsidR="00906199">
        <w:t xml:space="preserve">Article 29d.’; </w:t>
      </w:r>
    </w:p>
    <w:p w14:paraId="64A31AD4" w14:textId="77777777" w:rsidR="008400AC" w:rsidRDefault="007923A6" w:rsidP="000E7E43">
      <w:pPr>
        <w:pStyle w:val="Point0number"/>
      </w:pPr>
      <w:r w:rsidRPr="00E86174">
        <w:t>Article 34</w:t>
      </w:r>
      <w:r w:rsidR="008400AC">
        <w:t xml:space="preserve"> is amended as follows:</w:t>
      </w:r>
    </w:p>
    <w:p w14:paraId="60492815" w14:textId="77777777" w:rsidR="00C24111" w:rsidRDefault="007E57A1">
      <w:pPr>
        <w:pStyle w:val="Point1letter"/>
      </w:pPr>
      <w:r w:rsidRPr="007E57A1">
        <w:t xml:space="preserve">paragraph 1, second subparagraph, point (aa), </w:t>
      </w:r>
      <w:r>
        <w:t>is replaced by the following:</w:t>
      </w:r>
    </w:p>
    <w:p w14:paraId="71938B23" w14:textId="77777777" w:rsidR="007E57A1" w:rsidRDefault="00220392" w:rsidP="00CD31B7">
      <w:pPr>
        <w:pStyle w:val="Point2"/>
      </w:pPr>
      <w:r>
        <w:t>‘</w:t>
      </w:r>
      <w:r w:rsidR="00F44605">
        <w:t>(aa)</w:t>
      </w:r>
      <w:r w:rsidR="00CD31B7">
        <w:tab/>
      </w:r>
      <w:r w:rsidR="00F44605">
        <w:t>where applicable, express an opinion based on a limited assurance engagement as regards the compliance of the sustainability reporting with the requirements of this Directive, including the compliance of the sustainability reporting with the sustainability reporting standards adopted pursuant to Article 29b, the process carried out by the undertaking to identify the information reported pursuant to those sustainability reporting standards, and the compliance with the requirement to mark up sustainability reporting in accordance with Article 29d, and as regards the compliance with the reporting requirements provided for in Article 8 of Regulation (EU) 2020/852;’;</w:t>
      </w:r>
    </w:p>
    <w:p w14:paraId="444DB1EE" w14:textId="77777777" w:rsidR="002A25F3" w:rsidRPr="00E86174" w:rsidRDefault="00F44605" w:rsidP="00DE466D">
      <w:pPr>
        <w:pStyle w:val="Point1letter"/>
        <w:tabs>
          <w:tab w:val="clear" w:pos="1417"/>
          <w:tab w:val="num" w:pos="1560"/>
        </w:tabs>
        <w:ind w:hanging="566"/>
      </w:pPr>
      <w:r>
        <w:t xml:space="preserve"> </w:t>
      </w:r>
      <w:r w:rsidR="007923A6" w:rsidRPr="00E86174">
        <w:t xml:space="preserve">the following </w:t>
      </w:r>
      <w:r w:rsidR="00EF6738" w:rsidRPr="00E86174">
        <w:t>paragraph</w:t>
      </w:r>
      <w:r w:rsidR="00F341A2" w:rsidRPr="00E86174">
        <w:t xml:space="preserve"> 2a</w:t>
      </w:r>
      <w:r w:rsidR="00EF6738" w:rsidRPr="00E86174">
        <w:t xml:space="preserve"> is inserted</w:t>
      </w:r>
      <w:r w:rsidR="002A25F3" w:rsidRPr="00E86174">
        <w:t>:</w:t>
      </w:r>
    </w:p>
    <w:p w14:paraId="73AFC6CF" w14:textId="77777777" w:rsidR="00CE225E" w:rsidRDefault="00362DE2" w:rsidP="00DE466D">
      <w:pPr>
        <w:pStyle w:val="Text2"/>
      </w:pPr>
      <w:r>
        <w:rPr>
          <w:lang w:val="en-IE"/>
        </w:rPr>
        <w:lastRenderedPageBreak/>
        <w:t>‘2a</w:t>
      </w:r>
      <w:r w:rsidR="00B7710A">
        <w:rPr>
          <w:lang w:val="en-IE"/>
        </w:rPr>
        <w:t>.</w:t>
      </w:r>
      <w:r w:rsidR="00555A6F">
        <w:rPr>
          <w:lang w:val="en-IE"/>
        </w:rPr>
        <w:tab/>
      </w:r>
      <w:r w:rsidRPr="00362DE2">
        <w:rPr>
          <w:lang w:val="en-IE"/>
        </w:rPr>
        <w:t xml:space="preserve">Member States shall ensure that the opinion referred to in </w:t>
      </w:r>
      <w:r w:rsidR="007F7683" w:rsidRPr="00362DE2">
        <w:rPr>
          <w:lang w:val="en-IE"/>
        </w:rPr>
        <w:t xml:space="preserve">paragraph </w:t>
      </w:r>
      <w:r w:rsidR="007F7683" w:rsidRPr="00B712CE">
        <w:rPr>
          <w:lang w:val="en-IE"/>
        </w:rPr>
        <w:t>1</w:t>
      </w:r>
      <w:r w:rsidR="007F7683">
        <w:rPr>
          <w:lang w:val="en-IE"/>
        </w:rPr>
        <w:t xml:space="preserve">, </w:t>
      </w:r>
      <w:r w:rsidR="007F7683" w:rsidRPr="00362DE2">
        <w:rPr>
          <w:lang w:val="en-IE"/>
        </w:rPr>
        <w:t>second subparagraph</w:t>
      </w:r>
      <w:r w:rsidR="007F7683">
        <w:rPr>
          <w:lang w:val="en-IE"/>
        </w:rPr>
        <w:t xml:space="preserve">, </w:t>
      </w:r>
      <w:r w:rsidRPr="00362DE2">
        <w:rPr>
          <w:lang w:val="en-IE"/>
        </w:rPr>
        <w:t>point (aa)</w:t>
      </w:r>
      <w:r w:rsidR="00416218">
        <w:rPr>
          <w:lang w:val="en-IE"/>
        </w:rPr>
        <w:t>,</w:t>
      </w:r>
      <w:r w:rsidRPr="00362DE2">
        <w:rPr>
          <w:lang w:val="en-IE"/>
        </w:rPr>
        <w:t xml:space="preserve"> </w:t>
      </w:r>
      <w:r w:rsidRPr="00B712CE">
        <w:rPr>
          <w:lang w:val="en-IE"/>
        </w:rPr>
        <w:t xml:space="preserve">is prepared </w:t>
      </w:r>
      <w:r w:rsidR="00416218">
        <w:rPr>
          <w:lang w:val="en-IE"/>
        </w:rPr>
        <w:t>in full respect of</w:t>
      </w:r>
      <w:r w:rsidR="00416218" w:rsidRPr="00B712CE">
        <w:rPr>
          <w:lang w:val="en-IE"/>
        </w:rPr>
        <w:t xml:space="preserve"> </w:t>
      </w:r>
      <w:r w:rsidRPr="00B712CE">
        <w:rPr>
          <w:lang w:val="en-IE"/>
        </w:rPr>
        <w:t xml:space="preserve">the obligation on undertakings not to seek to obtain from undertakings in their value chain </w:t>
      </w:r>
      <w:r w:rsidR="00B01931" w:rsidRPr="00B01931">
        <w:rPr>
          <w:lang w:val="en-IE"/>
        </w:rPr>
        <w:t>which, on their balance sheet dates, do not exceed the average number of</w:t>
      </w:r>
      <w:r w:rsidR="00B01931">
        <w:rPr>
          <w:lang w:val="en-IE"/>
        </w:rPr>
        <w:t xml:space="preserve"> </w:t>
      </w:r>
      <w:r w:rsidR="00D3250D" w:rsidRPr="00D3250D">
        <w:rPr>
          <w:lang w:val="en-IE"/>
        </w:rPr>
        <w:t xml:space="preserve">1000 employees during the financial year </w:t>
      </w:r>
      <w:r w:rsidR="00D3250D">
        <w:rPr>
          <w:lang w:val="en-IE"/>
        </w:rPr>
        <w:t xml:space="preserve">any </w:t>
      </w:r>
      <w:r w:rsidR="002D74F6">
        <w:rPr>
          <w:lang w:val="en-IE"/>
        </w:rPr>
        <w:t xml:space="preserve">information </w:t>
      </w:r>
      <w:r w:rsidRPr="00B712CE">
        <w:rPr>
          <w:lang w:val="en-IE"/>
        </w:rPr>
        <w:t>that exceeds the information specified in the standards for voluntary use referred to in Article 29ca, except</w:t>
      </w:r>
      <w:r w:rsidRPr="00362DE2">
        <w:rPr>
          <w:lang w:val="en-IE"/>
        </w:rPr>
        <w:t xml:space="preserve"> for additional sustainability information that is commonly shared between undertakings in the sector concerned.</w:t>
      </w:r>
      <w:r w:rsidR="004B5628">
        <w:rPr>
          <w:lang w:val="en-IE"/>
        </w:rPr>
        <w:t>’;</w:t>
      </w:r>
      <w:r w:rsidR="00D3250D">
        <w:rPr>
          <w:lang w:val="en-IE"/>
        </w:rPr>
        <w:t xml:space="preserve"> </w:t>
      </w:r>
    </w:p>
    <w:p w14:paraId="396ADAC0" w14:textId="77777777" w:rsidR="002A25F3" w:rsidRPr="00E86174" w:rsidRDefault="00717262" w:rsidP="000E7E43">
      <w:pPr>
        <w:pStyle w:val="Point0number"/>
      </w:pPr>
      <w:r w:rsidRPr="00E86174">
        <w:t>i</w:t>
      </w:r>
      <w:r w:rsidR="00AA6A80" w:rsidRPr="00E86174">
        <w:t>n</w:t>
      </w:r>
      <w:r w:rsidR="009B2E54" w:rsidRPr="00E86174">
        <w:t xml:space="preserve"> </w:t>
      </w:r>
      <w:r w:rsidR="002A25F3" w:rsidRPr="00E86174">
        <w:t>Article 40a</w:t>
      </w:r>
      <w:r w:rsidR="00290203" w:rsidRPr="00E86174">
        <w:t xml:space="preserve">, paragraph 1 </w:t>
      </w:r>
      <w:r w:rsidR="002A25F3" w:rsidRPr="00E86174">
        <w:t>is amended as follows:</w:t>
      </w:r>
    </w:p>
    <w:p w14:paraId="5356D2C9" w14:textId="77777777" w:rsidR="001A7C23" w:rsidRDefault="00F14955" w:rsidP="00B7710A">
      <w:pPr>
        <w:pStyle w:val="Point1letter"/>
      </w:pPr>
      <w:r>
        <w:t>the second subparagraph is replaced by the following</w:t>
      </w:r>
      <w:r w:rsidR="00641809">
        <w:t>:</w:t>
      </w:r>
    </w:p>
    <w:p w14:paraId="44E15D75" w14:textId="77777777" w:rsidR="00641809" w:rsidRDefault="00641809" w:rsidP="00DE466D">
      <w:pPr>
        <w:pStyle w:val="Text2"/>
      </w:pPr>
      <w:r>
        <w:t>‘</w:t>
      </w:r>
      <w:r w:rsidRPr="00641809">
        <w:t xml:space="preserve">The first subparagraph shall </w:t>
      </w:r>
      <w:r w:rsidRPr="00B712CE">
        <w:t>only apply to</w:t>
      </w:r>
      <w:r w:rsidR="00F03062">
        <w:t xml:space="preserve"> large</w:t>
      </w:r>
      <w:r w:rsidRPr="00B712CE">
        <w:t xml:space="preserve"> subsidiary undertakings</w:t>
      </w:r>
      <w:r w:rsidR="00407ADB">
        <w:t xml:space="preserve"> </w:t>
      </w:r>
      <w:r w:rsidR="00487929" w:rsidRPr="00487929">
        <w:t xml:space="preserve">as defined in Article 3(4) of </w:t>
      </w:r>
      <w:r w:rsidR="00487929">
        <w:t>this</w:t>
      </w:r>
      <w:r w:rsidR="00487929" w:rsidRPr="00487929">
        <w:t xml:space="preserve"> Directive</w:t>
      </w:r>
      <w:r>
        <w:t>’;</w:t>
      </w:r>
    </w:p>
    <w:p w14:paraId="14CB35B0" w14:textId="77777777" w:rsidR="00202795" w:rsidRPr="00B712CE" w:rsidRDefault="004D5B6F" w:rsidP="00B7710A">
      <w:pPr>
        <w:pStyle w:val="Point1letter"/>
      </w:pPr>
      <w:r>
        <w:t xml:space="preserve">the fourth </w:t>
      </w:r>
      <w:r w:rsidR="00506B8C">
        <w:t xml:space="preserve">and fifth </w:t>
      </w:r>
      <w:r>
        <w:t>subparagraph</w:t>
      </w:r>
      <w:r w:rsidR="00506B8C">
        <w:t xml:space="preserve">s are </w:t>
      </w:r>
      <w:r w:rsidR="00A402D3" w:rsidRPr="00B712CE">
        <w:t>replaced by the following:</w:t>
      </w:r>
    </w:p>
    <w:p w14:paraId="52D74ECB" w14:textId="77777777" w:rsidR="00162E1E" w:rsidRPr="00162E1E" w:rsidRDefault="008E4B3E" w:rsidP="00DE466D">
      <w:pPr>
        <w:pStyle w:val="Text2"/>
      </w:pPr>
      <w:r w:rsidRPr="00B712CE">
        <w:t>‘</w:t>
      </w:r>
      <w:r w:rsidR="00162E1E" w:rsidRPr="00162E1E">
        <w:t xml:space="preserve">The rule referred to in the third subparagraph shall only apply to a branch where the third-country undertaking does not have a subsidiary undertaking as referred </w:t>
      </w:r>
      <w:r w:rsidR="00162E1E" w:rsidRPr="00555A6F">
        <w:t>to</w:t>
      </w:r>
      <w:r w:rsidR="00162E1E" w:rsidRPr="00162E1E">
        <w:t xml:space="preserve"> in the first subparagraph, and where the branch generated a net turnover </w:t>
      </w:r>
      <w:r w:rsidR="00162E1E" w:rsidRPr="00B712CE">
        <w:t xml:space="preserve">exceeding </w:t>
      </w:r>
      <w:r w:rsidR="00973F8B">
        <w:t>the threshold referred to in Article 3(4) point (b) of this Directive</w:t>
      </w:r>
      <w:r w:rsidR="00F2291F">
        <w:t xml:space="preserve"> in the preceding financial year</w:t>
      </w:r>
      <w:r w:rsidR="00055B43">
        <w:t>.</w:t>
      </w:r>
    </w:p>
    <w:p w14:paraId="28F6A1E1" w14:textId="77777777" w:rsidR="003545B8" w:rsidRDefault="008E4B3E" w:rsidP="00C13C62">
      <w:pPr>
        <w:pStyle w:val="Text2"/>
      </w:pPr>
      <w:r w:rsidRPr="00B712CE">
        <w:t>The first and third subparagraphs shall only apply to the subsidiary undertakings or branches referred to in those subparagraphs where the third-</w:t>
      </w:r>
      <w:r w:rsidRPr="00555A6F">
        <w:t>country</w:t>
      </w:r>
      <w:r w:rsidRPr="00B712CE">
        <w:t xml:space="preserve"> undertaking, at its group level, or, if not applicable, the individual level, generated a net turnover </w:t>
      </w:r>
      <w:r w:rsidR="00956598" w:rsidRPr="00B712CE">
        <w:t xml:space="preserve">in the Union </w:t>
      </w:r>
      <w:r w:rsidR="00FB17A7" w:rsidRPr="00FB17A7">
        <w:t xml:space="preserve">exceeding </w:t>
      </w:r>
      <w:r w:rsidRPr="00B712CE">
        <w:t>EUR 450</w:t>
      </w:r>
      <w:r w:rsidR="00B37BED">
        <w:t> </w:t>
      </w:r>
      <w:r w:rsidR="00D72261" w:rsidRPr="0003180B">
        <w:t>000</w:t>
      </w:r>
      <w:r w:rsidR="00B37BED">
        <w:t> </w:t>
      </w:r>
      <w:r w:rsidR="00D72261" w:rsidRPr="0003180B">
        <w:t>000</w:t>
      </w:r>
      <w:r w:rsidRPr="00B712CE">
        <w:t xml:space="preserve"> for each of the last two consecutive financial years.’</w:t>
      </w:r>
      <w:r w:rsidR="003545B8">
        <w:t>;</w:t>
      </w:r>
    </w:p>
    <w:p w14:paraId="18AD104E" w14:textId="77777777" w:rsidR="003545B8" w:rsidRPr="0057158A" w:rsidRDefault="003545B8" w:rsidP="007310BF">
      <w:pPr>
        <w:pStyle w:val="Point0number"/>
        <w:rPr>
          <w:rFonts w:eastAsia="Calibri"/>
          <w:lang w:val="en-IE"/>
        </w:rPr>
      </w:pPr>
      <w:r w:rsidRPr="0057158A">
        <w:t>Article 49 is amended as follows:</w:t>
      </w:r>
    </w:p>
    <w:p w14:paraId="42573277" w14:textId="77777777" w:rsidR="003545B8" w:rsidRPr="0057158A" w:rsidRDefault="003545B8" w:rsidP="007310BF">
      <w:pPr>
        <w:pStyle w:val="Point1letter"/>
        <w:rPr>
          <w:rFonts w:eastAsia="Calibri"/>
          <w:lang w:val="en-IE"/>
        </w:rPr>
      </w:pPr>
      <w:r w:rsidRPr="0057158A">
        <w:rPr>
          <w:rFonts w:eastAsia="Calibri"/>
          <w:lang w:val="en-IE"/>
        </w:rPr>
        <w:t>the following paragraphs 3c to 3e are inserted:</w:t>
      </w:r>
    </w:p>
    <w:p w14:paraId="2637C690" w14:textId="77777777" w:rsidR="003545B8" w:rsidRPr="0057158A" w:rsidRDefault="003545B8" w:rsidP="007310BF">
      <w:pPr>
        <w:pStyle w:val="Text2"/>
        <w:rPr>
          <w:rFonts w:eastAsia="Calibri"/>
          <w:lang w:val="en-IE"/>
        </w:rPr>
      </w:pPr>
      <w:r w:rsidRPr="0057158A">
        <w:rPr>
          <w:rFonts w:eastAsia="Calibri"/>
          <w:lang w:val="en-IE"/>
        </w:rPr>
        <w:t>‘3c.</w:t>
      </w:r>
      <w:r w:rsidRPr="0057158A">
        <w:rPr>
          <w:rFonts w:eastAsia="Calibri"/>
          <w:lang w:val="en-IE"/>
        </w:rPr>
        <w:tab/>
      </w:r>
      <w:r w:rsidRPr="0057158A">
        <w:rPr>
          <w:rFonts w:eastAsia="Calibri"/>
        </w:rPr>
        <w:t>The power to adopt delegated acts referred to in Articles 19b(5)</w:t>
      </w:r>
      <w:r w:rsidR="00042BAB">
        <w:rPr>
          <w:rFonts w:eastAsia="Calibri"/>
        </w:rPr>
        <w:t xml:space="preserve">, </w:t>
      </w:r>
      <w:r w:rsidRPr="0057158A">
        <w:rPr>
          <w:rFonts w:eastAsia="Calibri"/>
        </w:rPr>
        <w:t xml:space="preserve"> 29aa(5)</w:t>
      </w:r>
      <w:r w:rsidR="00042BAB">
        <w:rPr>
          <w:rFonts w:eastAsia="Calibri"/>
        </w:rPr>
        <w:t xml:space="preserve"> and 29ca</w:t>
      </w:r>
      <w:r w:rsidRPr="0057158A">
        <w:rPr>
          <w:rFonts w:eastAsia="Calibri"/>
        </w:rPr>
        <w:t xml:space="preserve"> shall be conferred on the Commission for an indeterminate period from </w:t>
      </w:r>
      <w:r w:rsidRPr="0057158A">
        <w:rPr>
          <w:rFonts w:eastAsia="Calibri"/>
          <w:i/>
          <w:iCs/>
        </w:rPr>
        <w:t>[date of entry into force of amending Directive]</w:t>
      </w:r>
      <w:r w:rsidRPr="0057158A">
        <w:rPr>
          <w:rFonts w:eastAsia="Calibri"/>
          <w:lang w:val="en-IE"/>
        </w:rPr>
        <w:t>.</w:t>
      </w:r>
    </w:p>
    <w:p w14:paraId="44C95928" w14:textId="77777777" w:rsidR="003545B8" w:rsidRPr="0057158A" w:rsidRDefault="003545B8" w:rsidP="007310BF">
      <w:pPr>
        <w:pStyle w:val="Text2"/>
        <w:rPr>
          <w:rFonts w:eastAsia="Calibri"/>
        </w:rPr>
      </w:pPr>
      <w:r w:rsidRPr="0057158A">
        <w:rPr>
          <w:rFonts w:eastAsia="Calibri"/>
          <w:lang w:val="en-IE"/>
        </w:rPr>
        <w:t>3d.</w:t>
      </w:r>
      <w:r w:rsidRPr="0057158A">
        <w:rPr>
          <w:rFonts w:eastAsia="Calibri"/>
          <w:lang w:val="en-IE"/>
        </w:rPr>
        <w:tab/>
      </w:r>
      <w:r w:rsidRPr="0057158A">
        <w:rPr>
          <w:rFonts w:eastAsia="Calibri"/>
        </w:rPr>
        <w:t>The delegations of powers referred to in Articles 19b(5)</w:t>
      </w:r>
      <w:r w:rsidR="00E927CA">
        <w:rPr>
          <w:rFonts w:eastAsia="Calibri"/>
        </w:rPr>
        <w:t xml:space="preserve">, </w:t>
      </w:r>
      <w:r w:rsidRPr="0057158A">
        <w:rPr>
          <w:rFonts w:eastAsia="Calibri"/>
        </w:rPr>
        <w:t>29aa(5)</w:t>
      </w:r>
      <w:r w:rsidR="00E927CA">
        <w:rPr>
          <w:rFonts w:eastAsia="Calibri"/>
        </w:rPr>
        <w:t xml:space="preserve"> and 29ca</w:t>
      </w:r>
      <w:r w:rsidRPr="0057158A">
        <w:rPr>
          <w:rFonts w:eastAsia="Calibri"/>
        </w:rPr>
        <w:t xml:space="preserve"> may be revoked at any time by the European Parliament or by the Council. A decision to revoke shall put an end to the delegation of the power specified in that decision. It shall take effect the day following the publication of the decision in the </w:t>
      </w:r>
      <w:r w:rsidRPr="0057158A">
        <w:rPr>
          <w:rFonts w:eastAsia="Calibri"/>
          <w:i/>
          <w:iCs/>
        </w:rPr>
        <w:t>Official Journal of the European Union</w:t>
      </w:r>
      <w:r w:rsidRPr="0057158A">
        <w:rPr>
          <w:rFonts w:eastAsia="Calibri"/>
        </w:rPr>
        <w:t> or at a later date specified therein. It shall not affect the validity of any delegated acts already in force.</w:t>
      </w:r>
    </w:p>
    <w:p w14:paraId="7B6E1B02" w14:textId="77777777" w:rsidR="003545B8" w:rsidRPr="0057158A" w:rsidRDefault="003545B8" w:rsidP="007310BF">
      <w:pPr>
        <w:pStyle w:val="Text2"/>
        <w:rPr>
          <w:rFonts w:eastAsia="Calibri"/>
          <w:lang w:val="en-IE"/>
        </w:rPr>
      </w:pPr>
      <w:r w:rsidRPr="0057158A">
        <w:rPr>
          <w:rFonts w:eastAsia="Calibri"/>
        </w:rPr>
        <w:t>3e</w:t>
      </w:r>
      <w:r w:rsidR="00782D41">
        <w:t>.</w:t>
      </w:r>
      <w:r w:rsidRPr="0057158A">
        <w:rPr>
          <w:rFonts w:eastAsia="Calibri"/>
        </w:rPr>
        <w:tab/>
        <w:t>The Commission shall gather all necessary expertise, prior to the adoption and during the development of delegated acts</w:t>
      </w:r>
      <w:r w:rsidR="001A5493">
        <w:rPr>
          <w:rFonts w:eastAsia="Calibri"/>
        </w:rPr>
        <w:t xml:space="preserve"> pursuant to Articles 19b(5) and 29aa(5)</w:t>
      </w:r>
      <w:r w:rsidRPr="0057158A">
        <w:rPr>
          <w:rFonts w:eastAsia="Calibri"/>
        </w:rPr>
        <w:t xml:space="preserve">, including through the consultation of the experts of the Member State Expert Group on Sustainable Finance referred to in Article 24 of Regulation (EU) </w:t>
      </w:r>
      <w:r w:rsidRPr="0057158A">
        <w:rPr>
          <w:rFonts w:eastAsia="Calibri"/>
          <w:lang w:val="en-IE"/>
        </w:rPr>
        <w:t>2020/852</w:t>
      </w:r>
      <w:r w:rsidRPr="0057158A">
        <w:rPr>
          <w:rFonts w:eastAsia="Calibri"/>
        </w:rPr>
        <w:t>.</w:t>
      </w:r>
      <w:r w:rsidRPr="0057158A">
        <w:rPr>
          <w:rFonts w:eastAsia="Calibri"/>
          <w:lang w:val="en-IE"/>
        </w:rPr>
        <w:t>’;</w:t>
      </w:r>
    </w:p>
    <w:p w14:paraId="4A0F26DE" w14:textId="77777777" w:rsidR="003545B8" w:rsidRPr="0057158A" w:rsidRDefault="003545B8" w:rsidP="007310BF">
      <w:pPr>
        <w:pStyle w:val="Point1letter"/>
        <w:rPr>
          <w:rFonts w:eastAsia="Calibri"/>
          <w:lang w:val="en-IE"/>
        </w:rPr>
      </w:pPr>
      <w:r w:rsidRPr="0057158A">
        <w:rPr>
          <w:rFonts w:eastAsia="Calibri"/>
          <w:lang w:val="en-IE"/>
        </w:rPr>
        <w:t xml:space="preserve">paragraph 5 is </w:t>
      </w:r>
      <w:r w:rsidR="00C21AE1" w:rsidRPr="0057158A">
        <w:rPr>
          <w:rFonts w:eastAsia="Calibri"/>
          <w:lang w:val="en-IE"/>
        </w:rPr>
        <w:t>replaced by the following</w:t>
      </w:r>
      <w:r w:rsidRPr="0057158A">
        <w:rPr>
          <w:rFonts w:eastAsia="Calibri"/>
          <w:lang w:val="en-IE"/>
        </w:rPr>
        <w:t>:</w:t>
      </w:r>
    </w:p>
    <w:p w14:paraId="4252F854" w14:textId="77777777" w:rsidR="00A402D3" w:rsidRPr="00641809" w:rsidRDefault="003545B8" w:rsidP="00B879E1">
      <w:pPr>
        <w:pStyle w:val="Text2"/>
      </w:pPr>
      <w:r w:rsidRPr="0057158A">
        <w:rPr>
          <w:lang w:val="en-IE"/>
        </w:rPr>
        <w:t>‘</w:t>
      </w:r>
      <w:r w:rsidR="0026479F" w:rsidRPr="007310BF">
        <w:rPr>
          <w:lang w:val="en-IE"/>
        </w:rPr>
        <w:t>5.</w:t>
      </w:r>
      <w:r w:rsidR="00B879E1">
        <w:rPr>
          <w:lang w:val="en-IE"/>
        </w:rPr>
        <w:tab/>
      </w:r>
      <w:r w:rsidRPr="0057158A">
        <w:t>A delegated act adopted pursuant to Article 1(2), Article 3(13), Article 19b, Article 29aa, Articles 29b, 29c</w:t>
      </w:r>
      <w:r w:rsidR="00CB2061" w:rsidRPr="00934EB6">
        <w:t>a</w:t>
      </w:r>
      <w:r w:rsidRPr="0057158A">
        <w:t xml:space="preserve"> or 40b, or Article 46(2) shall enter into force only if no objection has been expressed either by the European Parliament or the Council within a period of two months of notification of that </w:t>
      </w:r>
      <w:r w:rsidRPr="0057158A">
        <w:lastRenderedPageBreak/>
        <w:t>act to the European Parliament and the Council or if, before the expiry of that period, the European Parliament and the Council have both informed the Commission that they will not object. That period shall be extended by two months at the initiative of the European Parliament or the Council.</w:t>
      </w:r>
      <w:r w:rsidR="00C21AE1" w:rsidRPr="0057158A">
        <w:t>’.</w:t>
      </w:r>
    </w:p>
    <w:p w14:paraId="040D74A7" w14:textId="77777777" w:rsidR="00D27988" w:rsidRPr="00AB06E5" w:rsidRDefault="00D27988" w:rsidP="00AB06E5">
      <w:pPr>
        <w:pStyle w:val="Titrearticle"/>
        <w:rPr>
          <w:lang w:val="en-IE"/>
        </w:rPr>
      </w:pPr>
      <w:r w:rsidRPr="00AB06E5">
        <w:rPr>
          <w:lang w:val="en-IE"/>
        </w:rPr>
        <w:t>Article 3</w:t>
      </w:r>
    </w:p>
    <w:p w14:paraId="1340DEBF" w14:textId="77777777" w:rsidR="00D27988" w:rsidRPr="00AB06E5" w:rsidRDefault="00D27988" w:rsidP="00AB06E5">
      <w:pPr>
        <w:pStyle w:val="Titrearticle"/>
        <w:rPr>
          <w:lang w:val="en-IE"/>
        </w:rPr>
      </w:pPr>
      <w:r w:rsidRPr="00AB06E5">
        <w:rPr>
          <w:lang w:val="en-IE"/>
        </w:rPr>
        <w:t xml:space="preserve">Amendments to Directive (EU) 2022/2464 </w:t>
      </w:r>
    </w:p>
    <w:p w14:paraId="3AAE0214" w14:textId="77777777" w:rsidR="00ED1F28" w:rsidRPr="00FA7F73" w:rsidRDefault="000D3A86" w:rsidP="0050464C">
      <w:pPr>
        <w:rPr>
          <w:bCs/>
          <w:lang w:val="en-IE"/>
        </w:rPr>
      </w:pPr>
      <w:r>
        <w:rPr>
          <w:bCs/>
          <w:lang w:val="en-IE"/>
        </w:rPr>
        <w:t xml:space="preserve">In </w:t>
      </w:r>
      <w:r w:rsidR="00ED1F28" w:rsidRPr="00FA7F73">
        <w:rPr>
          <w:bCs/>
          <w:lang w:val="en-IE"/>
        </w:rPr>
        <w:t>Directive (EU) 2022/2464</w:t>
      </w:r>
      <w:r>
        <w:rPr>
          <w:bCs/>
          <w:lang w:val="en-IE"/>
        </w:rPr>
        <w:t>, Article 5(2)</w:t>
      </w:r>
      <w:r w:rsidR="00ED1F28" w:rsidRPr="00FA7F73">
        <w:rPr>
          <w:bCs/>
          <w:lang w:val="en-IE"/>
        </w:rPr>
        <w:t xml:space="preserve"> is amended as follows:</w:t>
      </w:r>
    </w:p>
    <w:p w14:paraId="4092980D" w14:textId="77777777" w:rsidR="00F94364" w:rsidRPr="00E86174" w:rsidRDefault="00C532B5" w:rsidP="008E732B">
      <w:pPr>
        <w:pStyle w:val="Point0number"/>
        <w:numPr>
          <w:ilvl w:val="0"/>
          <w:numId w:val="20"/>
        </w:numPr>
      </w:pPr>
      <w:r w:rsidRPr="00E86174">
        <w:t>t</w:t>
      </w:r>
      <w:r w:rsidR="00E93654" w:rsidRPr="00E86174">
        <w:t xml:space="preserve">he first subparagraph </w:t>
      </w:r>
      <w:r w:rsidR="00354781" w:rsidRPr="00E86174">
        <w:t>is</w:t>
      </w:r>
      <w:r w:rsidR="00E93654" w:rsidRPr="00E86174">
        <w:t xml:space="preserve"> amen</w:t>
      </w:r>
      <w:r w:rsidR="00AB06E9" w:rsidRPr="00E86174">
        <w:t>d</w:t>
      </w:r>
      <w:r w:rsidR="00E93654" w:rsidRPr="00E86174">
        <w:t>ed as follows</w:t>
      </w:r>
      <w:r w:rsidR="007110B9" w:rsidRPr="00E86174">
        <w:t>:</w:t>
      </w:r>
      <w:r w:rsidR="00404943" w:rsidRPr="00E86174">
        <w:t xml:space="preserve"> </w:t>
      </w:r>
    </w:p>
    <w:p w14:paraId="52DFFBF2" w14:textId="77777777" w:rsidR="007110B9" w:rsidRDefault="007110B9" w:rsidP="008E732B">
      <w:pPr>
        <w:pStyle w:val="Point1letter"/>
        <w:numPr>
          <w:ilvl w:val="3"/>
          <w:numId w:val="19"/>
        </w:numPr>
        <w:ind w:left="1418"/>
      </w:pPr>
      <w:r w:rsidRPr="00E93654">
        <w:t>point (a) is deleted</w:t>
      </w:r>
      <w:r>
        <w:t>;</w:t>
      </w:r>
    </w:p>
    <w:p w14:paraId="75D148DB" w14:textId="77777777" w:rsidR="006210BA" w:rsidRPr="00711BD4" w:rsidRDefault="00C8366E" w:rsidP="008E732B">
      <w:pPr>
        <w:pStyle w:val="Point1letter"/>
        <w:numPr>
          <w:ilvl w:val="3"/>
          <w:numId w:val="19"/>
        </w:numPr>
        <w:ind w:left="1418"/>
      </w:pPr>
      <w:r w:rsidRPr="00711BD4">
        <w:t>point (b)</w:t>
      </w:r>
      <w:r w:rsidR="006210BA" w:rsidRPr="00711BD4">
        <w:t xml:space="preserve"> is amended as follows:</w:t>
      </w:r>
    </w:p>
    <w:p w14:paraId="78E4E082" w14:textId="77777777" w:rsidR="00FD1172" w:rsidRPr="00FA7F73" w:rsidRDefault="004A7C2D" w:rsidP="00DE466D">
      <w:pPr>
        <w:pStyle w:val="Point2"/>
      </w:pPr>
      <w:r>
        <w:t>(</w:t>
      </w:r>
      <w:r w:rsidR="006210BA">
        <w:t>i</w:t>
      </w:r>
      <w:r w:rsidR="003E4199">
        <w:t>)</w:t>
      </w:r>
      <w:r w:rsidR="003E4199">
        <w:tab/>
      </w:r>
      <w:r w:rsidR="006210BA">
        <w:t xml:space="preserve">point </w:t>
      </w:r>
      <w:r w:rsidR="00B70265" w:rsidRPr="00FA7F73">
        <w:t>(i</w:t>
      </w:r>
      <w:r w:rsidR="00C8366E" w:rsidRPr="00FA7F73">
        <w:t>)</w:t>
      </w:r>
      <w:r w:rsidR="00392E62" w:rsidRPr="00FA7F73">
        <w:t xml:space="preserve"> is replaced by the following:</w:t>
      </w:r>
    </w:p>
    <w:p w14:paraId="7F85CB3E" w14:textId="77777777" w:rsidR="00354781" w:rsidRPr="00FA7F73" w:rsidRDefault="00392E62" w:rsidP="00DE466D">
      <w:pPr>
        <w:pStyle w:val="Point3"/>
        <w:rPr>
          <w:lang w:val="en-IE"/>
        </w:rPr>
      </w:pPr>
      <w:r w:rsidRPr="00FA7F73">
        <w:rPr>
          <w:lang w:val="en-IE"/>
        </w:rPr>
        <w:t>‘</w:t>
      </w:r>
      <w:r w:rsidR="00DC618A">
        <w:rPr>
          <w:lang w:val="en-IE"/>
        </w:rPr>
        <w:t>(i</w:t>
      </w:r>
      <w:r w:rsidR="003E4199">
        <w:rPr>
          <w:lang w:val="en-IE"/>
        </w:rPr>
        <w:t>)</w:t>
      </w:r>
      <w:r w:rsidR="003E4199">
        <w:rPr>
          <w:lang w:val="en-IE"/>
        </w:rPr>
        <w:tab/>
      </w:r>
      <w:r w:rsidR="00AE6CC9" w:rsidRPr="00FA7F73">
        <w:rPr>
          <w:lang w:val="en-IE"/>
        </w:rPr>
        <w:t xml:space="preserve">to </w:t>
      </w:r>
      <w:r w:rsidR="00411A1B">
        <w:rPr>
          <w:lang w:val="en-IE"/>
        </w:rPr>
        <w:t xml:space="preserve">large </w:t>
      </w:r>
      <w:r w:rsidR="00AE6CC9" w:rsidRPr="00FA7F73">
        <w:rPr>
          <w:lang w:val="en-IE"/>
        </w:rPr>
        <w:t>undertakings</w:t>
      </w:r>
      <w:r w:rsidR="001114B7" w:rsidRPr="00FA7F73">
        <w:rPr>
          <w:lang w:val="en-IE"/>
        </w:rPr>
        <w:t xml:space="preserve"> </w:t>
      </w:r>
      <w:r w:rsidR="008F720B" w:rsidRPr="008F720B">
        <w:rPr>
          <w:lang w:val="en-IE"/>
        </w:rPr>
        <w:t>which, on their balance sheet dates, exceed the average number of</w:t>
      </w:r>
      <w:r w:rsidR="00DB3DE0">
        <w:rPr>
          <w:lang w:val="en-IE"/>
        </w:rPr>
        <w:t xml:space="preserve"> </w:t>
      </w:r>
      <w:r w:rsidR="005E4882">
        <w:rPr>
          <w:lang w:val="en-IE"/>
        </w:rPr>
        <w:t>1000 employees</w:t>
      </w:r>
      <w:r w:rsidR="00AE6CC9" w:rsidRPr="00FA7F73">
        <w:rPr>
          <w:lang w:val="en-IE"/>
        </w:rPr>
        <w:t xml:space="preserve"> during the </w:t>
      </w:r>
      <w:r w:rsidR="00024B65" w:rsidRPr="00FA7F73">
        <w:rPr>
          <w:lang w:val="en-IE"/>
        </w:rPr>
        <w:t>financial year</w:t>
      </w:r>
      <w:r w:rsidR="008C3306" w:rsidRPr="00FA7F73">
        <w:rPr>
          <w:lang w:val="en-IE"/>
        </w:rPr>
        <w:t>;’;</w:t>
      </w:r>
    </w:p>
    <w:p w14:paraId="4AD2F8A4" w14:textId="77777777" w:rsidR="00B70265" w:rsidRPr="00FA7F73" w:rsidRDefault="004A7C2D" w:rsidP="00DE466D">
      <w:pPr>
        <w:pStyle w:val="Point2"/>
        <w:rPr>
          <w:lang w:val="en-IE"/>
        </w:rPr>
      </w:pPr>
      <w:r>
        <w:rPr>
          <w:lang w:val="en-IE"/>
        </w:rPr>
        <w:t>(ii)</w:t>
      </w:r>
      <w:r w:rsidR="003E4199">
        <w:rPr>
          <w:lang w:val="en-IE"/>
        </w:rPr>
        <w:tab/>
      </w:r>
      <w:r w:rsidR="00B70265" w:rsidRPr="00FA7F73">
        <w:rPr>
          <w:lang w:val="en-IE"/>
        </w:rPr>
        <w:t>point (ii) is replaced by the following:</w:t>
      </w:r>
    </w:p>
    <w:p w14:paraId="1A9993CE" w14:textId="77777777" w:rsidR="00215102" w:rsidRPr="00FA7F73" w:rsidRDefault="000227B4" w:rsidP="00DE466D">
      <w:pPr>
        <w:pStyle w:val="Point3"/>
        <w:rPr>
          <w:lang w:val="en-IE"/>
        </w:rPr>
      </w:pPr>
      <w:r w:rsidRPr="00FA7F73">
        <w:rPr>
          <w:lang w:val="en-IE"/>
        </w:rPr>
        <w:t>‘</w:t>
      </w:r>
      <w:r w:rsidR="00DC618A">
        <w:rPr>
          <w:lang w:val="en-IE"/>
        </w:rPr>
        <w:t>(ii</w:t>
      </w:r>
      <w:r w:rsidR="003E4199">
        <w:rPr>
          <w:lang w:val="en-IE"/>
        </w:rPr>
        <w:t>)</w:t>
      </w:r>
      <w:r w:rsidR="003E4199">
        <w:rPr>
          <w:lang w:val="en-IE"/>
        </w:rPr>
        <w:tab/>
      </w:r>
      <w:r w:rsidR="008D08B9" w:rsidRPr="00FA7F73">
        <w:rPr>
          <w:lang w:val="en-IE"/>
        </w:rPr>
        <w:t xml:space="preserve">to parent undertakings of a </w:t>
      </w:r>
      <w:r w:rsidR="00411A1B">
        <w:rPr>
          <w:lang w:val="en-IE"/>
        </w:rPr>
        <w:t xml:space="preserve">large </w:t>
      </w:r>
      <w:r w:rsidR="008D08B9" w:rsidRPr="00FA7F73">
        <w:rPr>
          <w:lang w:val="en-IE"/>
        </w:rPr>
        <w:t xml:space="preserve">group </w:t>
      </w:r>
      <w:r w:rsidR="008F720B" w:rsidRPr="008F720B">
        <w:rPr>
          <w:lang w:val="en-IE"/>
        </w:rPr>
        <w:t>which, on their balance sheet dates, exceed the average number of</w:t>
      </w:r>
      <w:r w:rsidR="005E4882">
        <w:rPr>
          <w:lang w:val="en-IE"/>
        </w:rPr>
        <w:t xml:space="preserve"> 1000 employees</w:t>
      </w:r>
      <w:r w:rsidR="00710F4A" w:rsidRPr="00FA7F73">
        <w:rPr>
          <w:lang w:val="en-IE"/>
        </w:rPr>
        <w:t>, on a consolidated basis</w:t>
      </w:r>
      <w:r w:rsidR="00411A1B">
        <w:rPr>
          <w:lang w:val="en-IE"/>
        </w:rPr>
        <w:t>,</w:t>
      </w:r>
      <w:r w:rsidR="008D08B9" w:rsidRPr="00FA7F73">
        <w:rPr>
          <w:lang w:val="en-IE"/>
        </w:rPr>
        <w:t xml:space="preserve"> during the </w:t>
      </w:r>
      <w:r w:rsidR="00024B65" w:rsidRPr="00FA7F73">
        <w:rPr>
          <w:lang w:val="en-IE"/>
        </w:rPr>
        <w:t>financial year</w:t>
      </w:r>
      <w:r w:rsidR="008D08B9" w:rsidRPr="00FA7F73">
        <w:rPr>
          <w:lang w:val="en-IE"/>
        </w:rPr>
        <w:t>;</w:t>
      </w:r>
      <w:r w:rsidR="00065987" w:rsidRPr="00FA7F73">
        <w:rPr>
          <w:lang w:val="en-IE"/>
        </w:rPr>
        <w:t>’</w:t>
      </w:r>
      <w:r w:rsidR="005E6B70" w:rsidRPr="00FA7F73">
        <w:rPr>
          <w:lang w:val="en-IE"/>
        </w:rPr>
        <w:t>;</w:t>
      </w:r>
    </w:p>
    <w:p w14:paraId="10C812B7" w14:textId="77777777" w:rsidR="008909DF" w:rsidRPr="00FA7F73" w:rsidRDefault="00B70265" w:rsidP="00763C23">
      <w:pPr>
        <w:pStyle w:val="Point1letter"/>
      </w:pPr>
      <w:r w:rsidRPr="00FA7F73">
        <w:t xml:space="preserve">point (c) is </w:t>
      </w:r>
      <w:r w:rsidR="001D59D0" w:rsidRPr="00FA7F73">
        <w:t>deleted</w:t>
      </w:r>
      <w:r w:rsidR="00215102" w:rsidRPr="00FA7F73">
        <w:t>;</w:t>
      </w:r>
    </w:p>
    <w:p w14:paraId="6682B7E4" w14:textId="77777777" w:rsidR="001D59D0" w:rsidRPr="00E86174" w:rsidRDefault="00674397" w:rsidP="000E7E43">
      <w:pPr>
        <w:pStyle w:val="Point0number"/>
      </w:pPr>
      <w:r w:rsidRPr="00E86174">
        <w:t>t</w:t>
      </w:r>
      <w:r w:rsidR="00334EE6" w:rsidRPr="00E86174">
        <w:t>he third</w:t>
      </w:r>
      <w:r w:rsidR="001D59D0" w:rsidRPr="00E86174">
        <w:t xml:space="preserve"> subparagraph </w:t>
      </w:r>
      <w:r w:rsidR="00334EE6" w:rsidRPr="00E86174">
        <w:t>is amended as follows:</w:t>
      </w:r>
    </w:p>
    <w:p w14:paraId="3FD5959F" w14:textId="77777777" w:rsidR="00737097" w:rsidRDefault="00737097" w:rsidP="008E732B">
      <w:pPr>
        <w:pStyle w:val="Point1letter"/>
        <w:numPr>
          <w:ilvl w:val="3"/>
          <w:numId w:val="19"/>
        </w:numPr>
        <w:ind w:left="1418"/>
      </w:pPr>
      <w:r>
        <w:t xml:space="preserve">point (a) is deleted; </w:t>
      </w:r>
    </w:p>
    <w:p w14:paraId="7FD9CEE6" w14:textId="77777777" w:rsidR="00334EE6" w:rsidRDefault="00215102" w:rsidP="008E732B">
      <w:pPr>
        <w:pStyle w:val="Point1letter"/>
        <w:numPr>
          <w:ilvl w:val="3"/>
          <w:numId w:val="19"/>
        </w:numPr>
        <w:ind w:left="1418"/>
      </w:pPr>
      <w:r w:rsidRPr="00FA7F73">
        <w:t>point (b)</w:t>
      </w:r>
      <w:r w:rsidR="00334EE6">
        <w:t xml:space="preserve"> is amended as follows:</w:t>
      </w:r>
    </w:p>
    <w:p w14:paraId="61E33B19" w14:textId="77777777" w:rsidR="00215102" w:rsidRPr="00FA7F73" w:rsidRDefault="00674397" w:rsidP="00DE466D">
      <w:pPr>
        <w:pStyle w:val="Point2"/>
      </w:pPr>
      <w:r w:rsidRPr="282B7335">
        <w:rPr>
          <w:lang w:val="en-IE"/>
        </w:rPr>
        <w:t>(</w:t>
      </w:r>
      <w:r w:rsidR="00334EE6" w:rsidRPr="282B7335">
        <w:rPr>
          <w:lang w:val="en-IE"/>
        </w:rPr>
        <w:t>i</w:t>
      </w:r>
      <w:r w:rsidR="003E4199" w:rsidRPr="282B7335">
        <w:rPr>
          <w:lang w:val="en-IE"/>
        </w:rPr>
        <w:t>)</w:t>
      </w:r>
      <w:r w:rsidR="003E4199">
        <w:tab/>
      </w:r>
      <w:r w:rsidR="00334EE6" w:rsidRPr="282B7335">
        <w:rPr>
          <w:lang w:val="en-IE"/>
        </w:rPr>
        <w:t xml:space="preserve">point </w:t>
      </w:r>
      <w:r w:rsidR="00215102" w:rsidRPr="282B7335">
        <w:rPr>
          <w:lang w:val="en-IE"/>
        </w:rPr>
        <w:t>(i) is replaced by the following:</w:t>
      </w:r>
    </w:p>
    <w:p w14:paraId="655F1D80" w14:textId="77777777" w:rsidR="00FD1172" w:rsidRPr="00FA7F73" w:rsidRDefault="000227B4" w:rsidP="00DE466D">
      <w:pPr>
        <w:pStyle w:val="Point3"/>
        <w:rPr>
          <w:lang w:val="en-IE"/>
        </w:rPr>
      </w:pPr>
      <w:r w:rsidRPr="00FA7F73">
        <w:rPr>
          <w:lang w:val="en-IE"/>
        </w:rPr>
        <w:t>‘</w:t>
      </w:r>
      <w:r w:rsidR="00DC618A">
        <w:rPr>
          <w:lang w:val="en-IE"/>
        </w:rPr>
        <w:t>(i</w:t>
      </w:r>
      <w:r w:rsidR="003E4199">
        <w:rPr>
          <w:lang w:val="en-IE"/>
        </w:rPr>
        <w:t>)</w:t>
      </w:r>
      <w:r w:rsidR="003E4199">
        <w:rPr>
          <w:lang w:val="en-IE"/>
        </w:rPr>
        <w:tab/>
      </w:r>
      <w:r w:rsidR="00CB1E8D" w:rsidRPr="00FA7F73">
        <w:rPr>
          <w:lang w:val="en-IE"/>
        </w:rPr>
        <w:t>to issuers as defined in Article 2(1)</w:t>
      </w:r>
      <w:r w:rsidR="00F8332E">
        <w:rPr>
          <w:lang w:val="en-IE"/>
        </w:rPr>
        <w:t>, point (d</w:t>
      </w:r>
      <w:r w:rsidR="00CB1E8D" w:rsidRPr="00FA7F73">
        <w:rPr>
          <w:lang w:val="en-IE"/>
        </w:rPr>
        <w:t xml:space="preserve">) of Directive 2004/109/EC which are large undertakings within the meaning of Article 3(4) of Directive 2013/34/EU </w:t>
      </w:r>
      <w:r w:rsidR="008F720B" w:rsidRPr="008F720B">
        <w:rPr>
          <w:lang w:val="en-IE"/>
        </w:rPr>
        <w:t>which, on their balance sheet dates, exceed the average number of</w:t>
      </w:r>
      <w:r w:rsidR="008F720B">
        <w:rPr>
          <w:lang w:val="en-IE"/>
        </w:rPr>
        <w:t xml:space="preserve"> </w:t>
      </w:r>
      <w:r w:rsidR="005E4882">
        <w:rPr>
          <w:lang w:val="en-IE"/>
        </w:rPr>
        <w:t xml:space="preserve">1000 employees </w:t>
      </w:r>
      <w:r w:rsidR="00CB1E8D" w:rsidRPr="00FA7F73">
        <w:rPr>
          <w:lang w:val="en-IE"/>
        </w:rPr>
        <w:t xml:space="preserve">during the </w:t>
      </w:r>
      <w:r w:rsidR="00024B65" w:rsidRPr="00FA7F73">
        <w:rPr>
          <w:lang w:val="en-IE"/>
        </w:rPr>
        <w:t>financial year</w:t>
      </w:r>
      <w:r w:rsidR="00CB1E8D" w:rsidRPr="00FA7F73">
        <w:rPr>
          <w:lang w:val="en-IE"/>
        </w:rPr>
        <w:t>;’</w:t>
      </w:r>
      <w:r w:rsidR="009A67A4" w:rsidRPr="00FA7F73">
        <w:rPr>
          <w:lang w:val="en-IE"/>
        </w:rPr>
        <w:t>;</w:t>
      </w:r>
    </w:p>
    <w:p w14:paraId="0CFB952A" w14:textId="77777777" w:rsidR="00215102" w:rsidRPr="00FA7F73" w:rsidRDefault="00674397" w:rsidP="00DE466D">
      <w:pPr>
        <w:pStyle w:val="Point2"/>
        <w:rPr>
          <w:lang w:val="en-IE"/>
        </w:rPr>
      </w:pPr>
      <w:r>
        <w:rPr>
          <w:lang w:val="en-IE"/>
        </w:rPr>
        <w:t>(ii)</w:t>
      </w:r>
      <w:r w:rsidR="003E4199">
        <w:rPr>
          <w:lang w:val="en-IE"/>
        </w:rPr>
        <w:tab/>
      </w:r>
      <w:r w:rsidR="00215102" w:rsidRPr="00FA7F73">
        <w:rPr>
          <w:lang w:val="en-IE"/>
        </w:rPr>
        <w:t>point (ii) is replaced by the following:</w:t>
      </w:r>
    </w:p>
    <w:p w14:paraId="2A9621AF" w14:textId="77777777" w:rsidR="000227B4" w:rsidRPr="00FA7F73" w:rsidRDefault="000227B4" w:rsidP="00DE466D">
      <w:pPr>
        <w:pStyle w:val="Point3"/>
        <w:rPr>
          <w:lang w:val="en-IE"/>
        </w:rPr>
      </w:pPr>
      <w:r w:rsidRPr="00FA7F73">
        <w:rPr>
          <w:lang w:val="en-IE"/>
        </w:rPr>
        <w:t>‘</w:t>
      </w:r>
      <w:r w:rsidR="00DC618A">
        <w:rPr>
          <w:lang w:val="en-IE"/>
        </w:rPr>
        <w:t>(ii</w:t>
      </w:r>
      <w:r w:rsidR="003E4199">
        <w:rPr>
          <w:lang w:val="en-IE"/>
        </w:rPr>
        <w:t>)</w:t>
      </w:r>
      <w:r w:rsidR="003E4199">
        <w:rPr>
          <w:lang w:val="en-IE"/>
        </w:rPr>
        <w:tab/>
      </w:r>
      <w:r w:rsidR="00CB1E8D" w:rsidRPr="00FA7F73">
        <w:rPr>
          <w:lang w:val="en-IE"/>
        </w:rPr>
        <w:t>to issuers as defined in Article 2(1)</w:t>
      </w:r>
      <w:r w:rsidR="00F8332E">
        <w:rPr>
          <w:lang w:val="en-IE"/>
        </w:rPr>
        <w:t>, point (d</w:t>
      </w:r>
      <w:r w:rsidR="00CB1E8D" w:rsidRPr="00FA7F73">
        <w:rPr>
          <w:lang w:val="en-IE"/>
        </w:rPr>
        <w:t xml:space="preserve">) of Directive 2004/109/EC which are parent undertakings of a </w:t>
      </w:r>
      <w:r w:rsidR="002E4356">
        <w:rPr>
          <w:lang w:val="en-IE"/>
        </w:rPr>
        <w:t xml:space="preserve">large </w:t>
      </w:r>
      <w:r w:rsidR="00CB1E8D" w:rsidRPr="00FA7F73">
        <w:rPr>
          <w:lang w:val="en-IE"/>
        </w:rPr>
        <w:t xml:space="preserve">group </w:t>
      </w:r>
      <w:r w:rsidR="008F720B" w:rsidRPr="008F720B">
        <w:rPr>
          <w:lang w:val="en-IE"/>
        </w:rPr>
        <w:t xml:space="preserve">which, on </w:t>
      </w:r>
      <w:r w:rsidR="00501919">
        <w:rPr>
          <w:lang w:val="en-IE"/>
        </w:rPr>
        <w:t>its</w:t>
      </w:r>
      <w:r w:rsidR="008F720B" w:rsidRPr="008F720B">
        <w:rPr>
          <w:lang w:val="en-IE"/>
        </w:rPr>
        <w:t xml:space="preserve"> balance sheet dates, exceed the average number of</w:t>
      </w:r>
      <w:r w:rsidR="005E4882">
        <w:rPr>
          <w:lang w:val="en-IE"/>
        </w:rPr>
        <w:t xml:space="preserve"> 1000 employees </w:t>
      </w:r>
      <w:r w:rsidR="00AC68F0">
        <w:rPr>
          <w:lang w:val="en-IE"/>
        </w:rPr>
        <w:t xml:space="preserve">, </w:t>
      </w:r>
      <w:r w:rsidR="00E03612" w:rsidRPr="00FA7F73">
        <w:rPr>
          <w:lang w:val="en-IE"/>
        </w:rPr>
        <w:t>on a consolidated basis</w:t>
      </w:r>
      <w:r w:rsidR="00AC68F0">
        <w:rPr>
          <w:lang w:val="en-IE"/>
        </w:rPr>
        <w:t>,</w:t>
      </w:r>
      <w:r w:rsidR="005C4494">
        <w:rPr>
          <w:lang w:val="en-IE"/>
        </w:rPr>
        <w:t xml:space="preserve"> </w:t>
      </w:r>
      <w:r w:rsidR="00E03612" w:rsidRPr="00FA7F73">
        <w:rPr>
          <w:lang w:val="en-IE"/>
        </w:rPr>
        <w:t xml:space="preserve">during the </w:t>
      </w:r>
      <w:r w:rsidR="00024B65" w:rsidRPr="00FA7F73">
        <w:rPr>
          <w:lang w:val="en-IE"/>
        </w:rPr>
        <w:t>financial year</w:t>
      </w:r>
      <w:r w:rsidR="00CB1E8D" w:rsidRPr="00FA7F73">
        <w:rPr>
          <w:lang w:val="en-IE"/>
        </w:rPr>
        <w:t>;</w:t>
      </w:r>
      <w:r w:rsidR="00E03612" w:rsidRPr="00FA7F73">
        <w:rPr>
          <w:lang w:val="en-IE"/>
        </w:rPr>
        <w:t>’;</w:t>
      </w:r>
    </w:p>
    <w:p w14:paraId="5C96FD9B" w14:textId="77777777" w:rsidR="00D27988" w:rsidRPr="00E742B2" w:rsidRDefault="00215102" w:rsidP="00763C23">
      <w:pPr>
        <w:pStyle w:val="Point1letter"/>
      </w:pPr>
      <w:r w:rsidRPr="00FA7F73">
        <w:t xml:space="preserve">point (c) is </w:t>
      </w:r>
      <w:r w:rsidR="001D59D0" w:rsidRPr="00FA7F73">
        <w:t>deleted</w:t>
      </w:r>
      <w:r w:rsidR="00FA7F73" w:rsidRPr="00FA7F73">
        <w:t>.</w:t>
      </w:r>
    </w:p>
    <w:p w14:paraId="278C04A4" w14:textId="77777777" w:rsidR="00D27988" w:rsidRPr="00E742B2" w:rsidRDefault="00D27988" w:rsidP="00922A9F">
      <w:pPr>
        <w:pStyle w:val="Titrearticle"/>
        <w:rPr>
          <w:lang w:val="en-IE"/>
        </w:rPr>
      </w:pPr>
      <w:r w:rsidRPr="00DE466D">
        <w:t>Article</w:t>
      </w:r>
      <w:r w:rsidRPr="00E742B2">
        <w:rPr>
          <w:lang w:val="en-IE"/>
        </w:rPr>
        <w:t xml:space="preserve"> 4</w:t>
      </w:r>
    </w:p>
    <w:p w14:paraId="419ADF8B" w14:textId="77777777" w:rsidR="00D27988" w:rsidRPr="00E742B2" w:rsidRDefault="00D27988" w:rsidP="00AB06E5">
      <w:pPr>
        <w:pStyle w:val="Titrearticle"/>
        <w:rPr>
          <w:lang w:val="en-IE"/>
        </w:rPr>
      </w:pPr>
      <w:r>
        <w:t>Amendments</w:t>
      </w:r>
      <w:r w:rsidRPr="00E742B2">
        <w:rPr>
          <w:lang w:val="en-IE"/>
        </w:rPr>
        <w:t xml:space="preserve"> to Directive (EU) 2024/1760</w:t>
      </w:r>
    </w:p>
    <w:p w14:paraId="6D7EBAC6" w14:textId="77777777" w:rsidR="00411C64" w:rsidRPr="00E742B2" w:rsidRDefault="00411C64" w:rsidP="00411C64">
      <w:r w:rsidRPr="54EFA64D">
        <w:t>Directive (EU) 2024/1760 is amended as follows:</w:t>
      </w:r>
    </w:p>
    <w:p w14:paraId="31D0319F" w14:textId="77777777" w:rsidR="007D6958" w:rsidRDefault="007D6958" w:rsidP="008E732B">
      <w:pPr>
        <w:pStyle w:val="Point0number"/>
        <w:numPr>
          <w:ilvl w:val="0"/>
          <w:numId w:val="21"/>
        </w:numPr>
      </w:pPr>
      <w:r>
        <w:lastRenderedPageBreak/>
        <w:t>in Article 1(</w:t>
      </w:r>
      <w:r w:rsidR="00360E4F">
        <w:t>1)</w:t>
      </w:r>
      <w:r w:rsidR="004156D4">
        <w:t xml:space="preserve">, point (c) is </w:t>
      </w:r>
      <w:r w:rsidR="00F04437">
        <w:t>replaced by the following:</w:t>
      </w:r>
    </w:p>
    <w:p w14:paraId="1B0C65A0" w14:textId="77777777" w:rsidR="00F04437" w:rsidRDefault="00F04437" w:rsidP="007310BF">
      <w:pPr>
        <w:pStyle w:val="Point1"/>
      </w:pPr>
      <w:r>
        <w:t>‘(c)</w:t>
      </w:r>
      <w:r>
        <w:tab/>
      </w:r>
      <w:r w:rsidR="00820D04">
        <w:t>the obligation for companies to adopt a transition plan for climate change mitigation</w:t>
      </w:r>
      <w:r w:rsidR="00A83D16">
        <w:t>,</w:t>
      </w:r>
      <w:r w:rsidR="00A83D16" w:rsidRPr="00A83D16">
        <w:rPr>
          <w:lang w:val="en-IE"/>
        </w:rPr>
        <w:t xml:space="preserve"> </w:t>
      </w:r>
      <w:r w:rsidR="00A83D16">
        <w:rPr>
          <w:lang w:val="en-IE"/>
        </w:rPr>
        <w:t>including implementing actions</w:t>
      </w:r>
      <w:r w:rsidR="00820D04">
        <w:t xml:space="preserve"> which aim to ensure, through best efforts, compatibility of the business model and of the strategy of the company with the transition to a sustainable economy and with the limiting of global warming to 1,5</w:t>
      </w:r>
      <w:r w:rsidR="00B624E1">
        <w:t> </w:t>
      </w:r>
      <w:r w:rsidR="00820D04" w:rsidRPr="00DE466D">
        <w:rPr>
          <w:vertAlign w:val="superscript"/>
        </w:rPr>
        <w:t>o</w:t>
      </w:r>
      <w:r w:rsidR="00820D04">
        <w:t>C in line with the Paris Agreement.</w:t>
      </w:r>
      <w:r>
        <w:t>’;</w:t>
      </w:r>
    </w:p>
    <w:p w14:paraId="45A35BD4" w14:textId="77777777" w:rsidR="00C118CB" w:rsidRPr="00FD1172" w:rsidRDefault="00411C64" w:rsidP="008E732B">
      <w:pPr>
        <w:pStyle w:val="Point0number"/>
        <w:numPr>
          <w:ilvl w:val="0"/>
          <w:numId w:val="21"/>
        </w:numPr>
      </w:pPr>
      <w:r>
        <w:t>i</w:t>
      </w:r>
      <w:r w:rsidR="00C118CB" w:rsidRPr="00FD1172">
        <w:t>n Article 3(1), point (n) is replaced by the following:</w:t>
      </w:r>
    </w:p>
    <w:p w14:paraId="2706B067" w14:textId="77777777" w:rsidR="1C22A4A7" w:rsidRDefault="1C22A4A7" w:rsidP="0050464C">
      <w:pPr>
        <w:pStyle w:val="Point1"/>
        <w:rPr>
          <w:lang w:val="en-IE"/>
        </w:rPr>
      </w:pPr>
      <w:r w:rsidRPr="685BF5DA">
        <w:rPr>
          <w:lang w:val="en-IE"/>
        </w:rPr>
        <w:t>‘</w:t>
      </w:r>
      <w:r w:rsidR="00F217AE">
        <w:rPr>
          <w:lang w:val="en-IE"/>
        </w:rPr>
        <w:t>(n)</w:t>
      </w:r>
      <w:r w:rsidR="000E57F4">
        <w:tab/>
      </w:r>
      <w:r w:rsidRPr="685BF5DA">
        <w:rPr>
          <w:lang w:val="en-IE"/>
        </w:rPr>
        <w:t>‘</w:t>
      </w:r>
      <w:r w:rsidR="15D37835" w:rsidRPr="685BF5DA">
        <w:rPr>
          <w:lang w:val="en-IE"/>
        </w:rPr>
        <w:t>stakeholders’ means the company’s employees, the employees of its subsidiaries and of its business partners, and their trade unions and workers’ representatives, and individuals or communities whose rights or interests are or could be directly affected by the products, services and operations of the company, its subsidiaries and its business partners and the legitimate representatives of those individuals or communities;</w:t>
      </w:r>
      <w:r w:rsidR="00E455E7">
        <w:rPr>
          <w:lang w:val="en-IE"/>
        </w:rPr>
        <w:t>’</w:t>
      </w:r>
      <w:r w:rsidR="00ED7FF3">
        <w:rPr>
          <w:lang w:val="en-IE"/>
        </w:rPr>
        <w:t>;</w:t>
      </w:r>
    </w:p>
    <w:p w14:paraId="46AA37D5" w14:textId="77777777" w:rsidR="00704A4E" w:rsidRDefault="00704A4E" w:rsidP="652ED0AA">
      <w:pPr>
        <w:pStyle w:val="Point0number"/>
        <w:rPr>
          <w:lang w:val="en-IE"/>
        </w:rPr>
      </w:pPr>
      <w:r w:rsidRPr="00394962">
        <w:rPr>
          <w:lang w:val="en-IE"/>
        </w:rPr>
        <w:t xml:space="preserve">Article 4 is </w:t>
      </w:r>
      <w:r w:rsidRPr="0050464C">
        <w:t>replaced by the following:</w:t>
      </w:r>
    </w:p>
    <w:p w14:paraId="0B2CCD1C" w14:textId="77777777" w:rsidR="00DB241C" w:rsidRPr="00AB06E5" w:rsidRDefault="680C1BD4" w:rsidP="007310BF">
      <w:pPr>
        <w:keepNext/>
        <w:spacing w:before="360"/>
        <w:ind w:left="567"/>
        <w:jc w:val="center"/>
        <w:rPr>
          <w:i/>
          <w:iCs/>
        </w:rPr>
      </w:pPr>
      <w:r w:rsidRPr="00AB06E5">
        <w:rPr>
          <w:i/>
          <w:iCs/>
        </w:rPr>
        <w:t>‘Article 4</w:t>
      </w:r>
    </w:p>
    <w:p w14:paraId="50C55FC5" w14:textId="77777777" w:rsidR="680C1BD4" w:rsidRPr="00AB06E5" w:rsidRDefault="680C1BD4" w:rsidP="007310BF">
      <w:pPr>
        <w:keepNext/>
        <w:spacing w:after="240"/>
        <w:ind w:left="567"/>
        <w:jc w:val="center"/>
        <w:rPr>
          <w:rFonts w:eastAsia="Times New Roman"/>
          <w:b/>
          <w:bCs/>
          <w:szCs w:val="24"/>
        </w:rPr>
      </w:pPr>
      <w:r w:rsidRPr="00AB06E5">
        <w:rPr>
          <w:b/>
          <w:bCs/>
        </w:rPr>
        <w:t>Level of harmonisation</w:t>
      </w:r>
    </w:p>
    <w:p w14:paraId="3EF7F609" w14:textId="77777777" w:rsidR="352833E6" w:rsidRDefault="6FFAB736" w:rsidP="00DE466D">
      <w:pPr>
        <w:pStyle w:val="Text1"/>
        <w:rPr>
          <w:lang w:val="en-IE"/>
        </w:rPr>
      </w:pPr>
      <w:r w:rsidRPr="5C7C626C">
        <w:rPr>
          <w:lang w:val="en-IE"/>
        </w:rPr>
        <w:t>1.</w:t>
      </w:r>
      <w:r w:rsidR="352833E6">
        <w:tab/>
      </w:r>
      <w:r w:rsidR="0B11E20C" w:rsidRPr="5C7C626C">
        <w:rPr>
          <w:lang w:val="en-IE"/>
        </w:rPr>
        <w:t>Without prejudice to Article 1(2) and (3), Member States shall not introduce, in their national law, provisions within the field covered by this Directive laying down human rights and environmental due diligence obligations diverging from those laid down in Article</w:t>
      </w:r>
      <w:r w:rsidR="00A47899">
        <w:rPr>
          <w:lang w:val="en-IE"/>
        </w:rPr>
        <w:t>s</w:t>
      </w:r>
      <w:r w:rsidR="0B11E20C" w:rsidRPr="5C7C626C">
        <w:rPr>
          <w:lang w:val="en-IE"/>
        </w:rPr>
        <w:t xml:space="preserve"> 6</w:t>
      </w:r>
      <w:r w:rsidR="00A47899">
        <w:rPr>
          <w:lang w:val="en-IE"/>
        </w:rPr>
        <w:t xml:space="preserve"> and</w:t>
      </w:r>
      <w:r w:rsidR="0B11E20C" w:rsidRPr="5C7C626C">
        <w:rPr>
          <w:lang w:val="en-IE"/>
        </w:rPr>
        <w:t xml:space="preserve"> 8, Article 10(1) to (5), Article 11(1) to (6</w:t>
      </w:r>
      <w:r w:rsidR="0A34A4E4" w:rsidRPr="5C7C626C">
        <w:rPr>
          <w:lang w:val="en-IE"/>
        </w:rPr>
        <w:t>)</w:t>
      </w:r>
      <w:r w:rsidR="0B11E20C" w:rsidRPr="5C7C626C">
        <w:rPr>
          <w:lang w:val="en-IE"/>
        </w:rPr>
        <w:t xml:space="preserve"> and Article 14.</w:t>
      </w:r>
    </w:p>
    <w:p w14:paraId="49A69F92" w14:textId="77777777" w:rsidR="3B0206E3" w:rsidRDefault="69109D9B" w:rsidP="00DE466D">
      <w:pPr>
        <w:pStyle w:val="Text1"/>
        <w:rPr>
          <w:lang w:val="en-IE"/>
        </w:rPr>
      </w:pPr>
      <w:r w:rsidRPr="5C7C626C">
        <w:rPr>
          <w:lang w:val="en-IE"/>
        </w:rPr>
        <w:t>2.</w:t>
      </w:r>
      <w:r w:rsidR="7C946892">
        <w:tab/>
      </w:r>
      <w:r w:rsidR="5389B2CD" w:rsidRPr="5C7C626C">
        <w:rPr>
          <w:lang w:val="en-IE"/>
        </w:rPr>
        <w:t>Notwithstanding paragraph 1, this Directive shall not preclude Member States from introducing, in their national law, more stringent provisions diverging from those laid down in provisions other than Article</w:t>
      </w:r>
      <w:r w:rsidR="00DE674B">
        <w:rPr>
          <w:lang w:val="en-IE"/>
        </w:rPr>
        <w:t>s</w:t>
      </w:r>
      <w:r w:rsidR="5389B2CD" w:rsidRPr="5C7C626C">
        <w:rPr>
          <w:lang w:val="en-IE"/>
        </w:rPr>
        <w:t xml:space="preserve"> </w:t>
      </w:r>
      <w:r w:rsidR="138BFF74" w:rsidRPr="5C7C626C">
        <w:rPr>
          <w:lang w:val="en-IE"/>
        </w:rPr>
        <w:t>6</w:t>
      </w:r>
      <w:r w:rsidR="00DE674B">
        <w:rPr>
          <w:lang w:val="en-IE"/>
        </w:rPr>
        <w:t xml:space="preserve"> and</w:t>
      </w:r>
      <w:r w:rsidR="138BFF74" w:rsidRPr="5C7C626C" w:rsidDel="00DE674B">
        <w:rPr>
          <w:lang w:val="en-IE"/>
        </w:rPr>
        <w:t>,</w:t>
      </w:r>
      <w:r w:rsidR="138BFF74" w:rsidRPr="5C7C626C">
        <w:rPr>
          <w:lang w:val="en-IE"/>
        </w:rPr>
        <w:t xml:space="preserve"> </w:t>
      </w:r>
      <w:r w:rsidR="5389B2CD" w:rsidRPr="5C7C626C">
        <w:rPr>
          <w:lang w:val="en-IE"/>
        </w:rPr>
        <w:t>8</w:t>
      </w:r>
      <w:r w:rsidR="198BD240" w:rsidRPr="5C7C626C">
        <w:rPr>
          <w:lang w:val="en-IE"/>
        </w:rPr>
        <w:t>, Article 10(1) to (5), Article 11(1) to (6</w:t>
      </w:r>
      <w:r w:rsidR="62CAC727" w:rsidRPr="5C7C626C">
        <w:rPr>
          <w:lang w:val="en-IE"/>
        </w:rPr>
        <w:t>)</w:t>
      </w:r>
      <w:r w:rsidR="5389B2CD" w:rsidRPr="5C7C626C">
        <w:rPr>
          <w:lang w:val="en-IE"/>
        </w:rPr>
        <w:t xml:space="preserve"> </w:t>
      </w:r>
      <w:r w:rsidR="7739CD92" w:rsidRPr="5C7C626C">
        <w:rPr>
          <w:lang w:val="en-IE"/>
        </w:rPr>
        <w:t>and Article 14</w:t>
      </w:r>
      <w:r w:rsidR="5389B2CD" w:rsidRPr="5C7C626C">
        <w:rPr>
          <w:lang w:val="en-IE"/>
        </w:rPr>
        <w:t>, or provisions that are more specific in terms of the objective or the field covered,</w:t>
      </w:r>
      <w:r w:rsidR="69263745" w:rsidRPr="5C7C626C">
        <w:rPr>
          <w:lang w:val="en-IE"/>
        </w:rPr>
        <w:t xml:space="preserve"> </w:t>
      </w:r>
      <w:r w:rsidR="69263745" w:rsidRPr="1D096E2F">
        <w:rPr>
          <w:rFonts w:eastAsia="Times New Roman"/>
        </w:rPr>
        <w:t>including by regulating specific products, services or situations</w:t>
      </w:r>
      <w:r w:rsidR="74BD442B" w:rsidRPr="1D096E2F">
        <w:rPr>
          <w:rFonts w:eastAsia="Times New Roman"/>
        </w:rPr>
        <w:t>,</w:t>
      </w:r>
      <w:r w:rsidR="5389B2CD" w:rsidRPr="5C7C626C">
        <w:rPr>
          <w:lang w:val="en-IE"/>
        </w:rPr>
        <w:t xml:space="preserve"> in order to achieve a different level of protection of human, employment and social rights, the environment or the climate.’</w:t>
      </w:r>
      <w:r w:rsidR="00B03789">
        <w:rPr>
          <w:lang w:val="en-IE"/>
        </w:rPr>
        <w:t>;</w:t>
      </w:r>
      <w:r w:rsidR="5389B2CD" w:rsidRPr="5C7C626C">
        <w:rPr>
          <w:lang w:val="en-IE"/>
        </w:rPr>
        <w:t xml:space="preserve"> </w:t>
      </w:r>
    </w:p>
    <w:p w14:paraId="184477E3" w14:textId="77777777" w:rsidR="272B21FA" w:rsidRPr="00E86174" w:rsidRDefault="272B21FA" w:rsidP="000E7E43">
      <w:pPr>
        <w:pStyle w:val="Point0number"/>
      </w:pPr>
      <w:r w:rsidRPr="00E86174">
        <w:t>Article 8 is amended as follows:</w:t>
      </w:r>
    </w:p>
    <w:p w14:paraId="15B7FCC2" w14:textId="77777777" w:rsidR="2DEF67DC" w:rsidRPr="007F1FB6" w:rsidRDefault="7A1165B1" w:rsidP="00491B39">
      <w:pPr>
        <w:pStyle w:val="Point1letter"/>
      </w:pPr>
      <w:r w:rsidRPr="007F1FB6">
        <w:t>i</w:t>
      </w:r>
      <w:r w:rsidR="55ABDE7C" w:rsidRPr="007F1FB6">
        <w:t xml:space="preserve">n </w:t>
      </w:r>
      <w:r w:rsidR="55ABDE7C" w:rsidRPr="00491B39">
        <w:t>paragraph</w:t>
      </w:r>
      <w:r w:rsidR="55ABDE7C" w:rsidRPr="007F1FB6">
        <w:t xml:space="preserve"> 2, </w:t>
      </w:r>
      <w:r w:rsidR="55ABDE7C" w:rsidRPr="00EC5FB3">
        <w:t>point</w:t>
      </w:r>
      <w:r w:rsidR="55ABDE7C" w:rsidRPr="007F1FB6">
        <w:t xml:space="preserve"> </w:t>
      </w:r>
      <w:r w:rsidR="4CAADD64" w:rsidRPr="007F1FB6">
        <w:t>(</w:t>
      </w:r>
      <w:r w:rsidR="55ABDE7C" w:rsidRPr="007F1FB6">
        <w:t>b) is replaced by the following</w:t>
      </w:r>
      <w:r w:rsidR="5FDBF7A3" w:rsidRPr="007F1FB6">
        <w:t>:</w:t>
      </w:r>
    </w:p>
    <w:p w14:paraId="4E686848" w14:textId="77777777" w:rsidR="7D88C2A0" w:rsidRDefault="5FDBF7A3" w:rsidP="00CA1AD5">
      <w:pPr>
        <w:pStyle w:val="Point2"/>
        <w:rPr>
          <w:lang w:val="en-IE"/>
        </w:rPr>
      </w:pPr>
      <w:r w:rsidRPr="5C7C626C">
        <w:rPr>
          <w:lang w:val="en-IE"/>
        </w:rPr>
        <w:t>‘</w:t>
      </w:r>
      <w:r w:rsidR="7BA9B401" w:rsidRPr="5C7C626C">
        <w:rPr>
          <w:lang w:val="en-IE"/>
        </w:rPr>
        <w:t>(b)</w:t>
      </w:r>
      <w:r w:rsidR="7D88C2A0">
        <w:tab/>
      </w:r>
      <w:r w:rsidR="6E14EDD4" w:rsidRPr="5C7C626C">
        <w:rPr>
          <w:lang w:val="en-IE"/>
        </w:rPr>
        <w:t>b</w:t>
      </w:r>
      <w:r w:rsidRPr="5C7C626C">
        <w:rPr>
          <w:lang w:val="en-IE"/>
        </w:rPr>
        <w:t>ased on the results of the mapping as referred to in point (a), carry out and in-depth assessment of their own opera</w:t>
      </w:r>
      <w:r w:rsidR="339B27F0" w:rsidRPr="5C7C626C">
        <w:rPr>
          <w:lang w:val="en-IE"/>
        </w:rPr>
        <w:t xml:space="preserve">tions, those of their subsidiaries and, where related to their chains of activities, those of their direct business partners, </w:t>
      </w:r>
      <w:r w:rsidR="349D0578" w:rsidRPr="5C7C626C">
        <w:rPr>
          <w:lang w:val="en-IE"/>
        </w:rPr>
        <w:t>in the areas where adverse impacts were identified to be most likely to occur and most severe</w:t>
      </w:r>
      <w:r w:rsidR="003F23AC">
        <w:rPr>
          <w:lang w:val="en-IE"/>
        </w:rPr>
        <w:t>.</w:t>
      </w:r>
      <w:r w:rsidR="349D0578" w:rsidRPr="5C7C626C">
        <w:rPr>
          <w:lang w:val="en-IE"/>
        </w:rPr>
        <w:t>’</w:t>
      </w:r>
      <w:r w:rsidR="0014732C">
        <w:rPr>
          <w:lang w:val="en-IE"/>
        </w:rPr>
        <w:t>;</w:t>
      </w:r>
      <w:r w:rsidR="349D0578" w:rsidRPr="5C7C626C">
        <w:rPr>
          <w:lang w:val="en-IE"/>
        </w:rPr>
        <w:t xml:space="preserve"> </w:t>
      </w:r>
    </w:p>
    <w:p w14:paraId="167568C7" w14:textId="77777777" w:rsidR="5035AF2E" w:rsidRDefault="4E8F75EF" w:rsidP="00491B39">
      <w:pPr>
        <w:pStyle w:val="Point1letter"/>
      </w:pPr>
      <w:r w:rsidRPr="5C7C626C">
        <w:t xml:space="preserve">the following </w:t>
      </w:r>
      <w:r w:rsidR="2CBB7588" w:rsidRPr="5C7C626C">
        <w:t>paragraph 2a is inserted:</w:t>
      </w:r>
    </w:p>
    <w:p w14:paraId="31414CDF" w14:textId="77777777" w:rsidR="5035AF2E" w:rsidRPr="0097753C" w:rsidRDefault="2CBB7588" w:rsidP="00DE466D">
      <w:pPr>
        <w:pStyle w:val="Text2"/>
        <w:rPr>
          <w:lang w:val="en-IE"/>
        </w:rPr>
      </w:pPr>
      <w:r w:rsidRPr="5C7C626C">
        <w:rPr>
          <w:lang w:val="en-IE"/>
        </w:rPr>
        <w:t>‘2a.</w:t>
      </w:r>
      <w:r w:rsidR="5035AF2E">
        <w:tab/>
      </w:r>
      <w:r w:rsidRPr="5C7C626C">
        <w:rPr>
          <w:lang w:val="en-IE"/>
        </w:rPr>
        <w:t xml:space="preserve">Where a company has </w:t>
      </w:r>
      <w:r w:rsidR="31A4BA56" w:rsidRPr="5C7C626C">
        <w:rPr>
          <w:lang w:val="en-IE"/>
        </w:rPr>
        <w:t xml:space="preserve">plausible </w:t>
      </w:r>
      <w:r w:rsidRPr="5C7C626C">
        <w:rPr>
          <w:lang w:val="en-IE"/>
        </w:rPr>
        <w:t xml:space="preserve">information that suggests </w:t>
      </w:r>
      <w:r w:rsidR="003046E6">
        <w:rPr>
          <w:lang w:val="en-IE"/>
        </w:rPr>
        <w:t xml:space="preserve">that </w:t>
      </w:r>
      <w:r w:rsidRPr="5C7C626C">
        <w:rPr>
          <w:lang w:val="en-IE"/>
        </w:rPr>
        <w:t>adverse impact</w:t>
      </w:r>
      <w:r w:rsidR="00B057DB">
        <w:rPr>
          <w:lang w:val="en-IE"/>
        </w:rPr>
        <w:t>s</w:t>
      </w:r>
      <w:r w:rsidRPr="5C7C626C">
        <w:rPr>
          <w:lang w:val="en-IE"/>
        </w:rPr>
        <w:t xml:space="preserve"> at the level of </w:t>
      </w:r>
      <w:r w:rsidR="112C1687" w:rsidRPr="5C7C626C">
        <w:rPr>
          <w:lang w:val="en-IE"/>
        </w:rPr>
        <w:t xml:space="preserve">the operations of </w:t>
      </w:r>
      <w:r w:rsidRPr="5C7C626C">
        <w:rPr>
          <w:lang w:val="en-IE"/>
        </w:rPr>
        <w:t>an indirect business partner</w:t>
      </w:r>
      <w:r w:rsidR="003046E6">
        <w:rPr>
          <w:lang w:val="en-IE"/>
        </w:rPr>
        <w:t xml:space="preserve"> ha</w:t>
      </w:r>
      <w:r w:rsidR="00B057DB">
        <w:rPr>
          <w:lang w:val="en-IE"/>
        </w:rPr>
        <w:t>ve</w:t>
      </w:r>
      <w:r w:rsidR="003046E6">
        <w:rPr>
          <w:lang w:val="en-IE"/>
        </w:rPr>
        <w:t xml:space="preserve"> arisen or may arise</w:t>
      </w:r>
      <w:r w:rsidRPr="5C7C626C">
        <w:rPr>
          <w:lang w:val="en-IE"/>
        </w:rPr>
        <w:t xml:space="preserve">, it shall carry out an in-depth assessment. The company shall always carry out such an assessment where </w:t>
      </w:r>
      <w:r w:rsidR="1975093B" w:rsidRPr="5C7C626C">
        <w:rPr>
          <w:lang w:val="en-IE"/>
        </w:rPr>
        <w:t>the</w:t>
      </w:r>
      <w:r w:rsidRPr="5C7C626C">
        <w:rPr>
          <w:lang w:val="en-IE"/>
        </w:rPr>
        <w:t xml:space="preserve"> </w:t>
      </w:r>
      <w:r w:rsidR="6F52AB64" w:rsidRPr="5C7C626C">
        <w:rPr>
          <w:lang w:val="en-IE"/>
        </w:rPr>
        <w:t>indirect, rather than</w:t>
      </w:r>
      <w:r w:rsidRPr="5C7C626C">
        <w:rPr>
          <w:lang w:val="en-IE"/>
        </w:rPr>
        <w:t xml:space="preserve"> direct</w:t>
      </w:r>
      <w:r w:rsidR="30DDB396" w:rsidRPr="5C7C626C">
        <w:rPr>
          <w:lang w:val="en-IE"/>
        </w:rPr>
        <w:t>,</w:t>
      </w:r>
      <w:r w:rsidRPr="5C7C626C">
        <w:rPr>
          <w:lang w:val="en-IE"/>
        </w:rPr>
        <w:t xml:space="preserve"> </w:t>
      </w:r>
      <w:r w:rsidR="6A6533AC" w:rsidRPr="5C7C626C">
        <w:rPr>
          <w:lang w:val="en-IE"/>
        </w:rPr>
        <w:t xml:space="preserve">nature of </w:t>
      </w:r>
      <w:r w:rsidR="53A03CDA" w:rsidRPr="5C7C626C">
        <w:rPr>
          <w:lang w:val="en-IE"/>
        </w:rPr>
        <w:t>the</w:t>
      </w:r>
      <w:r w:rsidRPr="5C7C626C">
        <w:rPr>
          <w:lang w:val="en-IE"/>
        </w:rPr>
        <w:t xml:space="preserve"> relationship </w:t>
      </w:r>
      <w:r w:rsidR="7879D5A8" w:rsidRPr="196F7F08">
        <w:rPr>
          <w:rFonts w:eastAsia="Times New Roman"/>
        </w:rPr>
        <w:t xml:space="preserve">with the business partner is the result of an </w:t>
      </w:r>
      <w:r w:rsidR="7879D5A8" w:rsidRPr="00DE466D">
        <w:t>artificial</w:t>
      </w:r>
      <w:r w:rsidR="7879D5A8" w:rsidRPr="196F7F08">
        <w:rPr>
          <w:rFonts w:eastAsia="Times New Roman"/>
        </w:rPr>
        <w:t xml:space="preserve"> arrangement that does not reflect economic reality but points to a circumvention of paragraph 2</w:t>
      </w:r>
      <w:r w:rsidR="3D67AEA7" w:rsidRPr="196F7F08">
        <w:rPr>
          <w:rFonts w:eastAsia="Times New Roman"/>
        </w:rPr>
        <w:t>, point (b)</w:t>
      </w:r>
      <w:r w:rsidRPr="5C7C626C">
        <w:rPr>
          <w:lang w:val="en-IE"/>
        </w:rPr>
        <w:t xml:space="preserve">. Where the assessment confirms the </w:t>
      </w:r>
      <w:r w:rsidRPr="5C7C626C">
        <w:rPr>
          <w:lang w:val="en-IE"/>
        </w:rPr>
        <w:lastRenderedPageBreak/>
        <w:t xml:space="preserve">likelihood or existence of the adverse impact, it is deemed to have been identified. </w:t>
      </w:r>
    </w:p>
    <w:p w14:paraId="312ED1CB" w14:textId="77777777" w:rsidR="5035AF2E" w:rsidRPr="0097753C" w:rsidRDefault="2CBB7588" w:rsidP="00DE466D">
      <w:pPr>
        <w:pStyle w:val="Text2"/>
        <w:rPr>
          <w:lang w:val="en-IE"/>
        </w:rPr>
      </w:pPr>
      <w:r w:rsidRPr="5C7C626C">
        <w:rPr>
          <w:lang w:val="en-IE"/>
        </w:rPr>
        <w:t>Th</w:t>
      </w:r>
      <w:r w:rsidR="04559734" w:rsidRPr="5C7C626C">
        <w:rPr>
          <w:lang w:val="en-IE"/>
        </w:rPr>
        <w:t>e first subparagraph</w:t>
      </w:r>
      <w:r w:rsidRPr="5C7C626C">
        <w:rPr>
          <w:lang w:val="en-IE"/>
        </w:rPr>
        <w:t xml:space="preserve"> is without prejudice to the company considering </w:t>
      </w:r>
      <w:r w:rsidRPr="00DE466D">
        <w:t>available</w:t>
      </w:r>
      <w:r w:rsidRPr="5C7C626C">
        <w:rPr>
          <w:lang w:val="en-IE"/>
        </w:rPr>
        <w:t xml:space="preserve"> information about indirect business partners and whether </w:t>
      </w:r>
      <w:r w:rsidR="005065C0">
        <w:rPr>
          <w:lang w:val="en-IE"/>
        </w:rPr>
        <w:t>those business partners</w:t>
      </w:r>
      <w:r w:rsidR="005065C0" w:rsidRPr="5C7C626C">
        <w:rPr>
          <w:lang w:val="en-IE"/>
        </w:rPr>
        <w:t xml:space="preserve"> </w:t>
      </w:r>
      <w:r w:rsidRPr="5C7C626C">
        <w:rPr>
          <w:lang w:val="en-IE"/>
        </w:rPr>
        <w:t xml:space="preserve">can follow the rules and principles set out in </w:t>
      </w:r>
      <w:r w:rsidR="003D1F2F">
        <w:rPr>
          <w:lang w:val="en-IE"/>
        </w:rPr>
        <w:t xml:space="preserve">the company’s </w:t>
      </w:r>
      <w:r w:rsidRPr="5C7C626C">
        <w:rPr>
          <w:lang w:val="en-IE"/>
        </w:rPr>
        <w:t xml:space="preserve">code of conduct when selecting a direct business partner. </w:t>
      </w:r>
    </w:p>
    <w:p w14:paraId="6C3316DC" w14:textId="77777777" w:rsidR="5035AF2E" w:rsidRPr="0097753C" w:rsidRDefault="0005856B" w:rsidP="00DE466D">
      <w:pPr>
        <w:pStyle w:val="Text2"/>
        <w:rPr>
          <w:lang w:val="en-IE"/>
        </w:rPr>
      </w:pPr>
      <w:r w:rsidRPr="5C7C626C">
        <w:rPr>
          <w:lang w:val="en-IE"/>
        </w:rPr>
        <w:t>Notwithstanding</w:t>
      </w:r>
      <w:r w:rsidR="2591FD50" w:rsidRPr="5C7C626C">
        <w:rPr>
          <w:lang w:val="en-IE"/>
        </w:rPr>
        <w:t xml:space="preserve"> the first subparagraph, </w:t>
      </w:r>
      <w:r w:rsidR="3372746D" w:rsidRPr="5C7C626C">
        <w:rPr>
          <w:lang w:val="en-IE"/>
        </w:rPr>
        <w:t xml:space="preserve">irrespective of </w:t>
      </w:r>
      <w:r w:rsidR="00EC356E">
        <w:rPr>
          <w:lang w:val="en-IE"/>
        </w:rPr>
        <w:t xml:space="preserve">whether </w:t>
      </w:r>
      <w:r w:rsidR="0040015C">
        <w:rPr>
          <w:lang w:val="en-IE"/>
        </w:rPr>
        <w:t xml:space="preserve">plausible information </w:t>
      </w:r>
      <w:r w:rsidR="002B2E1B">
        <w:rPr>
          <w:lang w:val="en-IE"/>
        </w:rPr>
        <w:t>is</w:t>
      </w:r>
      <w:r w:rsidR="3FE18DF2" w:rsidRPr="5C7C626C">
        <w:rPr>
          <w:lang w:val="en-IE"/>
        </w:rPr>
        <w:t xml:space="preserve"> available about indirect business partners, </w:t>
      </w:r>
      <w:r w:rsidR="0049396D">
        <w:rPr>
          <w:lang w:val="en-IE"/>
        </w:rPr>
        <w:t>a</w:t>
      </w:r>
      <w:r w:rsidR="0049396D" w:rsidRPr="5C7C626C">
        <w:rPr>
          <w:lang w:val="en-IE"/>
        </w:rPr>
        <w:t xml:space="preserve"> </w:t>
      </w:r>
      <w:r w:rsidR="5C79E25E" w:rsidRPr="5C7C626C">
        <w:rPr>
          <w:lang w:val="en-IE"/>
        </w:rPr>
        <w:t>company</w:t>
      </w:r>
      <w:r w:rsidR="1914B35D" w:rsidRPr="5C7C626C">
        <w:rPr>
          <w:lang w:val="en-IE"/>
        </w:rPr>
        <w:t xml:space="preserve"> </w:t>
      </w:r>
      <w:r w:rsidR="5096583C" w:rsidRPr="5C7C626C">
        <w:rPr>
          <w:rFonts w:eastAsia="Times New Roman"/>
          <w:szCs w:val="24"/>
        </w:rPr>
        <w:t>shall</w:t>
      </w:r>
      <w:r w:rsidR="2CBB7588" w:rsidRPr="5C7C626C">
        <w:rPr>
          <w:lang w:val="en-IE"/>
        </w:rPr>
        <w:t xml:space="preserve"> seek contractual assurances from a direct business partner that </w:t>
      </w:r>
      <w:r w:rsidR="00E776DD">
        <w:rPr>
          <w:lang w:val="en-IE"/>
        </w:rPr>
        <w:t>that business partner</w:t>
      </w:r>
      <w:r w:rsidR="00E776DD" w:rsidRPr="5C7C626C">
        <w:rPr>
          <w:lang w:val="en-IE"/>
        </w:rPr>
        <w:t xml:space="preserve"> </w:t>
      </w:r>
      <w:r w:rsidR="2CBB7588" w:rsidRPr="5C7C626C">
        <w:rPr>
          <w:lang w:val="en-IE"/>
        </w:rPr>
        <w:t>will ensure compliance with the company’s code of conduct by establishing corresponding contractual assurances from its business partners</w:t>
      </w:r>
      <w:r w:rsidR="4BDE13D4" w:rsidRPr="5C7C626C">
        <w:rPr>
          <w:lang w:val="en-IE"/>
        </w:rPr>
        <w:t xml:space="preserve">. </w:t>
      </w:r>
      <w:r w:rsidR="2CBB7588" w:rsidRPr="5C7C626C">
        <w:rPr>
          <w:lang w:val="en-IE"/>
        </w:rPr>
        <w:t>Article 10(2), point</w:t>
      </w:r>
      <w:r w:rsidR="00B91EA1">
        <w:rPr>
          <w:lang w:val="en-IE"/>
        </w:rPr>
        <w:t>s</w:t>
      </w:r>
      <w:r w:rsidR="2CBB7588" w:rsidRPr="5C7C626C">
        <w:rPr>
          <w:lang w:val="en-IE"/>
        </w:rPr>
        <w:t xml:space="preserve"> (b)</w:t>
      </w:r>
      <w:r w:rsidR="6859CEDF" w:rsidRPr="5C7C626C">
        <w:rPr>
          <w:lang w:val="en-IE"/>
        </w:rPr>
        <w:t xml:space="preserve"> and</w:t>
      </w:r>
      <w:r w:rsidR="2CBB7588" w:rsidRPr="5C7C626C">
        <w:rPr>
          <w:lang w:val="en-IE"/>
        </w:rPr>
        <w:t xml:space="preserve"> (e)</w:t>
      </w:r>
      <w:r w:rsidR="58818CCC" w:rsidRPr="5C7C626C">
        <w:rPr>
          <w:lang w:val="en-IE"/>
        </w:rPr>
        <w:t xml:space="preserve"> </w:t>
      </w:r>
      <w:r w:rsidR="32D04BF4" w:rsidRPr="5C7C626C">
        <w:rPr>
          <w:lang w:val="en-IE"/>
        </w:rPr>
        <w:t xml:space="preserve">shall </w:t>
      </w:r>
      <w:r w:rsidR="58818CCC" w:rsidRPr="5C7C626C">
        <w:rPr>
          <w:lang w:val="en-IE"/>
        </w:rPr>
        <w:t>apply accordingly</w:t>
      </w:r>
      <w:r w:rsidR="2CBB7588" w:rsidRPr="5C7C626C">
        <w:rPr>
          <w:lang w:val="en-IE"/>
        </w:rPr>
        <w:t>.’</w:t>
      </w:r>
      <w:r w:rsidR="00634A91">
        <w:rPr>
          <w:lang w:val="en-IE"/>
        </w:rPr>
        <w:t>;</w:t>
      </w:r>
    </w:p>
    <w:p w14:paraId="7F00E603" w14:textId="77777777" w:rsidR="76BEEA5E" w:rsidRPr="00D57D59" w:rsidRDefault="00526F00" w:rsidP="00491B39">
      <w:pPr>
        <w:pStyle w:val="Point1letter"/>
      </w:pPr>
      <w:r>
        <w:t>p</w:t>
      </w:r>
      <w:r w:rsidR="76BEEA5E" w:rsidRPr="00D57D59">
        <w:t xml:space="preserve">aragraph 4 is </w:t>
      </w:r>
      <w:r w:rsidR="76BEEA5E" w:rsidRPr="00A90388">
        <w:t>replaced</w:t>
      </w:r>
      <w:r w:rsidR="76BEEA5E" w:rsidRPr="00D57D59">
        <w:t xml:space="preserve"> by the following: </w:t>
      </w:r>
    </w:p>
    <w:p w14:paraId="6084F71A" w14:textId="77777777" w:rsidR="76BEEA5E" w:rsidRPr="0097753C" w:rsidRDefault="76BEEA5E" w:rsidP="00DE466D">
      <w:pPr>
        <w:pStyle w:val="Text2"/>
        <w:rPr>
          <w:rFonts w:asciiTheme="minorHAnsi" w:eastAsiaTheme="minorEastAsia" w:hAnsiTheme="minorHAnsi" w:cstheme="minorBidi"/>
          <w:lang w:val="en-IE"/>
        </w:rPr>
      </w:pPr>
      <w:r w:rsidRPr="4456DB2B">
        <w:rPr>
          <w:lang w:val="en-IE"/>
        </w:rPr>
        <w:t>‘</w:t>
      </w:r>
      <w:r w:rsidR="00C816FF" w:rsidRPr="4456DB2B">
        <w:rPr>
          <w:lang w:val="en-IE"/>
        </w:rPr>
        <w:t>4.</w:t>
      </w:r>
      <w:r>
        <w:tab/>
      </w:r>
      <w:r w:rsidRPr="4456DB2B">
        <w:rPr>
          <w:lang w:val="en-IE"/>
        </w:rPr>
        <w:t xml:space="preserve">Where information necessary for the in-depth assessment provided for in paragraph 2, point (b), and </w:t>
      </w:r>
      <w:r w:rsidR="00FA6FAC" w:rsidRPr="4456DB2B">
        <w:rPr>
          <w:lang w:val="en-IE"/>
        </w:rPr>
        <w:t xml:space="preserve">in paragraph </w:t>
      </w:r>
      <w:r w:rsidRPr="4456DB2B">
        <w:rPr>
          <w:lang w:val="en-IE"/>
        </w:rPr>
        <w:t xml:space="preserve">2a can be obtained from different business partners, the company shall prioritise requesting such information, where reasonable, directly from the business </w:t>
      </w:r>
      <w:r w:rsidR="65A0288D" w:rsidRPr="4456DB2B">
        <w:rPr>
          <w:lang w:val="en-IE"/>
        </w:rPr>
        <w:t xml:space="preserve">partner or </w:t>
      </w:r>
      <w:r w:rsidRPr="4456DB2B">
        <w:rPr>
          <w:lang w:val="en-IE"/>
        </w:rPr>
        <w:t>partners where the adverse impacts are most likely to occur.</w:t>
      </w:r>
      <w:r w:rsidR="2AAC840E" w:rsidRPr="4456DB2B">
        <w:rPr>
          <w:lang w:val="en-IE"/>
        </w:rPr>
        <w:t>’</w:t>
      </w:r>
      <w:r w:rsidR="00234766" w:rsidRPr="4456DB2B">
        <w:rPr>
          <w:lang w:val="en-IE"/>
        </w:rPr>
        <w:t>;</w:t>
      </w:r>
    </w:p>
    <w:p w14:paraId="68087D94" w14:textId="77777777" w:rsidR="67F9CE11" w:rsidRDefault="0006655D" w:rsidP="008E732B">
      <w:pPr>
        <w:pStyle w:val="Point1letter"/>
        <w:numPr>
          <w:ilvl w:val="3"/>
          <w:numId w:val="19"/>
        </w:numPr>
        <w:ind w:left="1418"/>
      </w:pPr>
      <w:r>
        <w:t>t</w:t>
      </w:r>
      <w:r w:rsidR="67F9CE11" w:rsidRPr="4456DB2B">
        <w:t xml:space="preserve">he following paragraph 5 is </w:t>
      </w:r>
      <w:r>
        <w:t>added</w:t>
      </w:r>
      <w:r w:rsidR="67F9CE11" w:rsidRPr="4456DB2B">
        <w:t xml:space="preserve">: </w:t>
      </w:r>
    </w:p>
    <w:p w14:paraId="28C68E81" w14:textId="77777777" w:rsidR="002855FB" w:rsidRDefault="67F9CE11" w:rsidP="00DE466D">
      <w:pPr>
        <w:pStyle w:val="Text2"/>
        <w:rPr>
          <w:lang w:val="en-IE"/>
        </w:rPr>
      </w:pPr>
      <w:r w:rsidRPr="0050464C">
        <w:rPr>
          <w:lang w:val="en-IE"/>
        </w:rPr>
        <w:t>‘</w:t>
      </w:r>
      <w:r w:rsidRPr="0050464C">
        <w:t>5.</w:t>
      </w:r>
      <w:r w:rsidR="005E1089">
        <w:t xml:space="preserve"> </w:t>
      </w:r>
      <w:r w:rsidR="002855FB">
        <w:tab/>
      </w:r>
      <w:r w:rsidRPr="0050464C">
        <w:rPr>
          <w:lang w:val="en-IE"/>
        </w:rPr>
        <w:t xml:space="preserve">Member States shall ensure that, for </w:t>
      </w:r>
      <w:r w:rsidRPr="0050464C">
        <w:t>the mapping provided for in paragraph 2, point (a)</w:t>
      </w:r>
      <w:r w:rsidRPr="0050464C">
        <w:rPr>
          <w:lang w:val="en-IE"/>
        </w:rPr>
        <w:t xml:space="preserve">, </w:t>
      </w:r>
      <w:r w:rsidRPr="0050464C">
        <w:t>companies</w:t>
      </w:r>
      <w:r w:rsidRPr="0050464C">
        <w:rPr>
          <w:lang w:val="en-IE"/>
        </w:rPr>
        <w:t xml:space="preserve"> do not seek to obtain information from </w:t>
      </w:r>
      <w:r w:rsidRPr="0050464C">
        <w:t>direct business partners</w:t>
      </w:r>
      <w:r w:rsidRPr="0050464C">
        <w:rPr>
          <w:lang w:val="en-IE"/>
        </w:rPr>
        <w:t xml:space="preserve"> with fewer than 500 employees that exceeds the information specified in the standards for voluntary use referred to in Article 29a</w:t>
      </w:r>
      <w:r w:rsidRPr="0050464C">
        <w:t xml:space="preserve"> of Directive 2013/34/EU</w:t>
      </w:r>
      <w:r w:rsidRPr="0050464C">
        <w:rPr>
          <w:lang w:val="en-IE"/>
        </w:rPr>
        <w:t>.</w:t>
      </w:r>
    </w:p>
    <w:p w14:paraId="6455A861" w14:textId="77777777" w:rsidR="00506907" w:rsidRDefault="67F9CE11" w:rsidP="00DE466D">
      <w:pPr>
        <w:pStyle w:val="Text2"/>
        <w:rPr>
          <w:rFonts w:eastAsiaTheme="minorEastAsia"/>
          <w:lang w:val="en-IE"/>
        </w:rPr>
      </w:pPr>
      <w:r w:rsidRPr="0050464C">
        <w:rPr>
          <w:rFonts w:eastAsiaTheme="minorEastAsia"/>
        </w:rPr>
        <w:t xml:space="preserve">By way of derogation to the </w:t>
      </w:r>
      <w:r w:rsidR="007C6A88">
        <w:rPr>
          <w:rFonts w:eastAsiaTheme="minorEastAsia"/>
        </w:rPr>
        <w:t xml:space="preserve">first </w:t>
      </w:r>
      <w:r w:rsidRPr="0050464C">
        <w:rPr>
          <w:rFonts w:eastAsiaTheme="minorEastAsia"/>
        </w:rPr>
        <w:t>sub-paragraph, w</w:t>
      </w:r>
      <w:r w:rsidRPr="0050464C">
        <w:rPr>
          <w:rFonts w:eastAsiaTheme="minorEastAsia"/>
          <w:lang w:val="en-IE"/>
        </w:rPr>
        <w:t xml:space="preserve">here </w:t>
      </w:r>
      <w:r w:rsidRPr="0050464C">
        <w:rPr>
          <w:rFonts w:eastAsiaTheme="minorEastAsia"/>
        </w:rPr>
        <w:t xml:space="preserve">additional information is necessary </w:t>
      </w:r>
      <w:r w:rsidR="00681933" w:rsidRPr="00CB5104">
        <w:rPr>
          <w:lang w:val="en-IE"/>
        </w:rPr>
        <w:t xml:space="preserve">for </w:t>
      </w:r>
      <w:r w:rsidR="00681933" w:rsidRPr="005A4E18">
        <w:t>the mapping provided for in paragraph 2, point (a), in light of indications of</w:t>
      </w:r>
      <w:r w:rsidR="00610E4D" w:rsidRPr="005A4E18">
        <w:t xml:space="preserve"> likely adverse impacts</w:t>
      </w:r>
      <w:r w:rsidR="0042107E" w:rsidRPr="005A4E18">
        <w:t xml:space="preserve"> or because the standards do not cover relevant</w:t>
      </w:r>
      <w:r w:rsidR="00681933" w:rsidRPr="005A4E18">
        <w:t xml:space="preserve"> impacts</w:t>
      </w:r>
      <w:r w:rsidR="000F4173" w:rsidRPr="005A4E18">
        <w:rPr>
          <w:rFonts w:eastAsiaTheme="minorEastAsia"/>
        </w:rPr>
        <w:t>,</w:t>
      </w:r>
      <w:r w:rsidRPr="005A4E18">
        <w:rPr>
          <w:rFonts w:eastAsiaTheme="minorEastAsia"/>
        </w:rPr>
        <w:t xml:space="preserve"> and</w:t>
      </w:r>
      <w:r w:rsidRPr="0050464C">
        <w:rPr>
          <w:rFonts w:eastAsiaTheme="minorEastAsia"/>
        </w:rPr>
        <w:t xml:space="preserve"> </w:t>
      </w:r>
      <w:r w:rsidR="006F79D7">
        <w:rPr>
          <w:rFonts w:eastAsiaTheme="minorEastAsia"/>
        </w:rPr>
        <w:t xml:space="preserve">where such additional information </w:t>
      </w:r>
      <w:r w:rsidRPr="0050464C">
        <w:rPr>
          <w:rFonts w:eastAsiaTheme="minorEastAsia"/>
        </w:rPr>
        <w:t>cannot reasonably be obtained by other means</w:t>
      </w:r>
      <w:r w:rsidR="000F4173">
        <w:rPr>
          <w:rFonts w:eastAsiaTheme="minorEastAsia"/>
        </w:rPr>
        <w:t>,</w:t>
      </w:r>
      <w:r w:rsidRPr="0050464C">
        <w:rPr>
          <w:rFonts w:eastAsiaTheme="minorEastAsia"/>
          <w:lang w:val="en-IE"/>
        </w:rPr>
        <w:t xml:space="preserve"> the company may </w:t>
      </w:r>
      <w:r w:rsidRPr="0050464C">
        <w:rPr>
          <w:rFonts w:eastAsiaTheme="minorEastAsia"/>
        </w:rPr>
        <w:t>seek such information from that business partner</w:t>
      </w:r>
      <w:r w:rsidRPr="0050464C">
        <w:rPr>
          <w:rFonts w:eastAsiaTheme="minorEastAsia"/>
          <w:lang w:val="en-IE"/>
        </w:rPr>
        <w:t>.’</w:t>
      </w:r>
      <w:r w:rsidR="00F71A85">
        <w:rPr>
          <w:rFonts w:eastAsiaTheme="minorEastAsia"/>
          <w:lang w:val="en-IE"/>
        </w:rPr>
        <w:t>;</w:t>
      </w:r>
    </w:p>
    <w:p w14:paraId="45296FF3" w14:textId="77777777" w:rsidR="005D5C7B" w:rsidRPr="00E86174" w:rsidRDefault="005D5C7B" w:rsidP="000E7E43">
      <w:pPr>
        <w:pStyle w:val="Point0number"/>
      </w:pPr>
      <w:r w:rsidRPr="00E86174">
        <w:t>in Article 10, paragraph 6 is replaced by the following:</w:t>
      </w:r>
    </w:p>
    <w:p w14:paraId="61B88788" w14:textId="77777777" w:rsidR="005D5C7B" w:rsidRDefault="005D5C7B" w:rsidP="00DE466D">
      <w:pPr>
        <w:pStyle w:val="Text1"/>
        <w:rPr>
          <w:lang w:val="en-IE"/>
        </w:rPr>
      </w:pPr>
      <w:r>
        <w:rPr>
          <w:lang w:val="en-IE"/>
        </w:rPr>
        <w:t>‘</w:t>
      </w:r>
      <w:r w:rsidRPr="5C7C626C">
        <w:rPr>
          <w:lang w:val="en-IE"/>
        </w:rPr>
        <w:t>6.</w:t>
      </w:r>
      <w:r>
        <w:rPr>
          <w:lang w:val="en-IE"/>
        </w:rPr>
        <w:t xml:space="preserve"> </w:t>
      </w:r>
      <w:r>
        <w:tab/>
      </w:r>
      <w:r w:rsidRPr="5C7C626C">
        <w:rPr>
          <w:lang w:val="en-IE"/>
        </w:rPr>
        <w:t>As regards potential adverse impacts as referred to in paragraph 1 that could not be prevented or adequately mitigated by the measures set out in paragraphs 2, 4 and 5, the company shall, as a last resort</w:t>
      </w:r>
      <w:r>
        <w:rPr>
          <w:lang w:val="en-IE"/>
        </w:rPr>
        <w:t>:</w:t>
      </w:r>
    </w:p>
    <w:p w14:paraId="7F344677" w14:textId="77777777" w:rsidR="005D5C7B" w:rsidRDefault="00A80ADE" w:rsidP="00A80ADE">
      <w:pPr>
        <w:pStyle w:val="Point1"/>
      </w:pPr>
      <w:r>
        <w:t>(a)</w:t>
      </w:r>
      <w:r>
        <w:tab/>
      </w:r>
      <w:r w:rsidR="005D5C7B" w:rsidRPr="5C7C626C">
        <w:t>refrain from entering into new</w:t>
      </w:r>
      <w:r w:rsidR="005D5C7B">
        <w:t>,</w:t>
      </w:r>
      <w:r w:rsidR="005D5C7B" w:rsidRPr="5C7C626C">
        <w:t xml:space="preserve"> or extending existing</w:t>
      </w:r>
      <w:r w:rsidR="005D5C7B">
        <w:t>,</w:t>
      </w:r>
      <w:r w:rsidR="005D5C7B" w:rsidRPr="5C7C626C">
        <w:t xml:space="preserve"> relations with a business partner in connection with which, or in the chain of activities of which, the impact has arisen</w:t>
      </w:r>
      <w:r w:rsidR="005D5C7B">
        <w:t>,</w:t>
      </w:r>
      <w:r w:rsidR="005D5C7B" w:rsidRPr="5C7C626C">
        <w:t xml:space="preserve"> </w:t>
      </w:r>
    </w:p>
    <w:p w14:paraId="1380502C" w14:textId="77777777" w:rsidR="005D5C7B" w:rsidRDefault="00A80ADE" w:rsidP="006C0393">
      <w:pPr>
        <w:pStyle w:val="Point1"/>
      </w:pPr>
      <w:r>
        <w:t>(b)</w:t>
      </w:r>
      <w:r>
        <w:tab/>
      </w:r>
      <w:r w:rsidR="005D5C7B" w:rsidRPr="5C7C626C">
        <w:t xml:space="preserve">where the law governing </w:t>
      </w:r>
      <w:r w:rsidR="005D5C7B">
        <w:t>its</w:t>
      </w:r>
      <w:r w:rsidR="005D5C7B" w:rsidRPr="5C7C626C">
        <w:t xml:space="preserve"> relation </w:t>
      </w:r>
      <w:r w:rsidR="005D5C7B">
        <w:t xml:space="preserve">with the business partner concerned </w:t>
      </w:r>
      <w:r w:rsidR="005D5C7B" w:rsidRPr="5C7C626C">
        <w:t xml:space="preserve">so entitles </w:t>
      </w:r>
      <w:r w:rsidR="005D5C7B">
        <w:t>it</w:t>
      </w:r>
      <w:r w:rsidR="005D5C7B" w:rsidRPr="5C7C626C">
        <w:t>, adopt and implement an enhanced prevention action plan for the specific adverse impact</w:t>
      </w:r>
      <w:r w:rsidR="005D5C7B" w:rsidRPr="00600B1D">
        <w:t xml:space="preserve"> </w:t>
      </w:r>
      <w:r w:rsidR="005D5C7B" w:rsidRPr="5C7C626C">
        <w:t xml:space="preserve">without undue delay, </w:t>
      </w:r>
      <w:r w:rsidR="005D5C7B" w:rsidRPr="5C7C626C">
        <w:rPr>
          <w:rFonts w:eastAsia="Times New Roman"/>
          <w:szCs w:val="24"/>
        </w:rPr>
        <w:t>provided that there is a reasonable expectation that those efforts will succeed,</w:t>
      </w:r>
      <w:r w:rsidR="005D5C7B" w:rsidRPr="5C7C626C">
        <w:t xml:space="preserve"> and </w:t>
      </w:r>
    </w:p>
    <w:p w14:paraId="3C907516" w14:textId="77777777" w:rsidR="005D5C7B" w:rsidRPr="004E2F19" w:rsidRDefault="00A80ADE" w:rsidP="006C0393">
      <w:pPr>
        <w:pStyle w:val="Point1"/>
      </w:pPr>
      <w:r>
        <w:t>(c)</w:t>
      </w:r>
      <w:r>
        <w:tab/>
      </w:r>
      <w:r w:rsidR="005D5C7B" w:rsidRPr="5C7C626C">
        <w:t xml:space="preserve">use or increase </w:t>
      </w:r>
      <w:r w:rsidR="005D5C7B">
        <w:t>its</w:t>
      </w:r>
      <w:r w:rsidR="005D5C7B" w:rsidRPr="5C7C626C">
        <w:t xml:space="preserve"> leverage through the suspension of the business relationship with respect to the activities concerned. </w:t>
      </w:r>
    </w:p>
    <w:p w14:paraId="0CE8A350" w14:textId="77777777" w:rsidR="5EAEF842" w:rsidRDefault="644387CA" w:rsidP="00DE466D">
      <w:pPr>
        <w:pStyle w:val="Text1"/>
      </w:pPr>
      <w:r w:rsidRPr="5C7C626C">
        <w:lastRenderedPageBreak/>
        <w:t>A</w:t>
      </w:r>
      <w:r w:rsidR="5CFD8560" w:rsidRPr="5C7C626C">
        <w:t>s long as there is a reasonable expectation that the enhanced prevention action plan will succeed, the mere fact of continuing to engage with the business partner shall not trigger the company’s liability.</w:t>
      </w:r>
    </w:p>
    <w:p w14:paraId="53CDF121" w14:textId="77777777" w:rsidR="6976CD6D" w:rsidRDefault="4DEDF61A" w:rsidP="00DE466D">
      <w:pPr>
        <w:pStyle w:val="Text1"/>
        <w:rPr>
          <w:lang w:val="en-IE"/>
        </w:rPr>
      </w:pPr>
      <w:r w:rsidRPr="5C7C626C">
        <w:rPr>
          <w:lang w:val="en-IE"/>
        </w:rPr>
        <w:t xml:space="preserve">Prior to suspending a business relationship, the company shall assess whether the </w:t>
      </w:r>
      <w:r w:rsidRPr="0050464C">
        <w:t>adverse</w:t>
      </w:r>
      <w:r w:rsidRPr="5C7C626C">
        <w:rPr>
          <w:lang w:val="en-IE"/>
        </w:rPr>
        <w:t xml:space="preserve"> impacts from doing so can be reasonably expected to be manifestly more severe than the adverse impact that could not be prevented or adequately mitigated. Should that be the case, the company shall not be required to suspend the business relationship and shall be in a position to report to the competent supervisory authority about the duly justified reasons for such decision.</w:t>
      </w:r>
    </w:p>
    <w:p w14:paraId="1EA85A41" w14:textId="77777777" w:rsidR="6976CD6D" w:rsidRDefault="5F52A5AD" w:rsidP="00DE466D">
      <w:pPr>
        <w:pStyle w:val="Text1"/>
        <w:rPr>
          <w:lang w:val="en-IE"/>
        </w:rPr>
      </w:pPr>
      <w:r w:rsidRPr="5C7C626C">
        <w:rPr>
          <w:lang w:val="en-IE"/>
        </w:rPr>
        <w:t>Member States shall provide for an option to suspend the business relationship in contracts governed by their laws in accordance with the first subparagraph, except for contracts where the parties are obliged by law to enter into them.</w:t>
      </w:r>
    </w:p>
    <w:p w14:paraId="3B9B2C3B" w14:textId="77777777" w:rsidR="00833F9A" w:rsidRDefault="5F52A5AD" w:rsidP="00DE466D">
      <w:pPr>
        <w:pStyle w:val="Text1"/>
        <w:rPr>
          <w:lang w:val="en-IE"/>
        </w:rPr>
      </w:pPr>
      <w:r w:rsidRPr="5C7C626C">
        <w:rPr>
          <w:lang w:val="en-IE"/>
        </w:rPr>
        <w:t>Where the company decides to suspend the business relationship, it shall take steps to prevent, mitigate or bring to an end the impacts of the suspension, shall provide reasonable notice to the business partner concerned and shall keep that decision under review.</w:t>
      </w:r>
    </w:p>
    <w:p w14:paraId="4AFCAB40" w14:textId="77777777" w:rsidR="4BE8F22B" w:rsidRDefault="5F52A5AD" w:rsidP="00DE466D">
      <w:pPr>
        <w:pStyle w:val="Text1"/>
      </w:pPr>
      <w:r w:rsidRPr="467AC14D">
        <w:t>Where the company decides not to suspend the business relationship pursuant to this Article, it shall monitor the potential adverse impact and periodically assess its decision and whether further appropriate measures are available.</w:t>
      </w:r>
      <w:r w:rsidR="37A65C00" w:rsidRPr="467AC14D" w:rsidDel="03D33ADD">
        <w:t>’</w:t>
      </w:r>
      <w:r w:rsidR="00A36DCA" w:rsidRPr="467AC14D">
        <w:t>;</w:t>
      </w:r>
    </w:p>
    <w:p w14:paraId="5A428B98" w14:textId="77777777" w:rsidR="00B01B15" w:rsidRPr="00E86174" w:rsidRDefault="00B01B15" w:rsidP="00DE466D">
      <w:pPr>
        <w:pStyle w:val="Point0number"/>
      </w:pPr>
      <w:r w:rsidRPr="00E86174">
        <w:t>in Article 11, paragraph 7 is replaced by the following:</w:t>
      </w:r>
    </w:p>
    <w:p w14:paraId="45F21BC9" w14:textId="77777777" w:rsidR="00B01B15" w:rsidRDefault="00B01B15" w:rsidP="00DE466D">
      <w:pPr>
        <w:pStyle w:val="Text1"/>
        <w:rPr>
          <w:lang w:val="en-IE"/>
        </w:rPr>
      </w:pPr>
      <w:r w:rsidRPr="5C7C626C">
        <w:rPr>
          <w:lang w:val="en-IE"/>
        </w:rPr>
        <w:t>‘7.</w:t>
      </w:r>
      <w:r>
        <w:tab/>
      </w:r>
      <w:r w:rsidRPr="5C7C626C">
        <w:rPr>
          <w:lang w:val="en-IE"/>
        </w:rPr>
        <w:t xml:space="preserve">As regards  </w:t>
      </w:r>
      <w:r w:rsidR="5F691D2F" w:rsidRPr="3E613D2C">
        <w:rPr>
          <w:lang w:val="en-IE"/>
        </w:rPr>
        <w:t>actual</w:t>
      </w:r>
      <w:r w:rsidRPr="76C19DBF">
        <w:rPr>
          <w:lang w:val="en-IE"/>
        </w:rPr>
        <w:t xml:space="preserve"> </w:t>
      </w:r>
      <w:r w:rsidRPr="5C7C626C">
        <w:rPr>
          <w:lang w:val="en-IE"/>
        </w:rPr>
        <w:t>adverse impacts as referred to in paragraph 1 that could not be prevented or adequately mitigated by the measures set out in paragraphs 3, 5 and 6, the company shall, as a last resort</w:t>
      </w:r>
      <w:r>
        <w:rPr>
          <w:lang w:val="en-IE"/>
        </w:rPr>
        <w:t>:</w:t>
      </w:r>
      <w:r w:rsidRPr="5C7C626C">
        <w:rPr>
          <w:lang w:val="en-IE"/>
        </w:rPr>
        <w:t xml:space="preserve"> </w:t>
      </w:r>
    </w:p>
    <w:p w14:paraId="7420D87D" w14:textId="77777777" w:rsidR="00B01B15" w:rsidRDefault="00646B99" w:rsidP="00646B99">
      <w:pPr>
        <w:pStyle w:val="Point1"/>
        <w:rPr>
          <w:lang w:val="en-IE"/>
        </w:rPr>
      </w:pPr>
      <w:r>
        <w:rPr>
          <w:lang w:val="en-IE"/>
        </w:rPr>
        <w:t>(a)</w:t>
      </w:r>
      <w:r>
        <w:rPr>
          <w:lang w:val="en-IE"/>
        </w:rPr>
        <w:tab/>
      </w:r>
      <w:r w:rsidR="00B01B15" w:rsidRPr="5C7C626C">
        <w:rPr>
          <w:lang w:val="en-IE"/>
        </w:rPr>
        <w:t>refrain from entering into new</w:t>
      </w:r>
      <w:r w:rsidR="00B01B15">
        <w:rPr>
          <w:lang w:val="en-IE"/>
        </w:rPr>
        <w:t>,</w:t>
      </w:r>
      <w:r w:rsidR="00B01B15" w:rsidRPr="5C7C626C">
        <w:rPr>
          <w:lang w:val="en-IE"/>
        </w:rPr>
        <w:t xml:space="preserve"> or extending existing</w:t>
      </w:r>
      <w:r w:rsidR="00B01B15">
        <w:rPr>
          <w:lang w:val="en-IE"/>
        </w:rPr>
        <w:t>,</w:t>
      </w:r>
      <w:r w:rsidR="00B01B15" w:rsidRPr="5C7C626C">
        <w:rPr>
          <w:lang w:val="en-IE"/>
        </w:rPr>
        <w:t xml:space="preserve"> relations with a business partner in connection with which, or in the chain of activities of which, the impact has arisen</w:t>
      </w:r>
      <w:r w:rsidR="00B01B15">
        <w:rPr>
          <w:lang w:val="en-IE"/>
        </w:rPr>
        <w:t>,</w:t>
      </w:r>
      <w:r w:rsidR="00B01B15" w:rsidRPr="5C7C626C">
        <w:rPr>
          <w:lang w:val="en-IE"/>
        </w:rPr>
        <w:t xml:space="preserve"> </w:t>
      </w:r>
    </w:p>
    <w:p w14:paraId="2B1E37E3" w14:textId="77777777" w:rsidR="00B01B15" w:rsidRDefault="00646B99" w:rsidP="00646B99">
      <w:pPr>
        <w:pStyle w:val="Point1"/>
        <w:rPr>
          <w:lang w:val="en-IE"/>
        </w:rPr>
      </w:pPr>
      <w:r>
        <w:rPr>
          <w:lang w:val="en-IE"/>
        </w:rPr>
        <w:t>(b)</w:t>
      </w:r>
      <w:r>
        <w:rPr>
          <w:lang w:val="en-IE"/>
        </w:rPr>
        <w:tab/>
      </w:r>
      <w:r w:rsidR="00B01B15" w:rsidRPr="5C7C626C">
        <w:rPr>
          <w:lang w:val="en-IE"/>
        </w:rPr>
        <w:t xml:space="preserve">where the law governing </w:t>
      </w:r>
      <w:r w:rsidR="00B01B15">
        <w:rPr>
          <w:lang w:val="en-IE"/>
        </w:rPr>
        <w:t>its</w:t>
      </w:r>
      <w:r w:rsidR="00B01B15" w:rsidRPr="5C7C626C">
        <w:rPr>
          <w:lang w:val="en-IE"/>
        </w:rPr>
        <w:t xml:space="preserve"> relation </w:t>
      </w:r>
      <w:r w:rsidR="00B01B15">
        <w:t xml:space="preserve">with the business partner concerned </w:t>
      </w:r>
      <w:r w:rsidR="00B01B15" w:rsidRPr="5C7C626C">
        <w:rPr>
          <w:lang w:val="en-IE"/>
        </w:rPr>
        <w:t xml:space="preserve">so entitles </w:t>
      </w:r>
      <w:r w:rsidR="00B01B15">
        <w:rPr>
          <w:lang w:val="en-IE"/>
        </w:rPr>
        <w:t>it</w:t>
      </w:r>
      <w:r w:rsidR="00B01B15" w:rsidRPr="5C7C626C">
        <w:rPr>
          <w:lang w:val="en-IE"/>
        </w:rPr>
        <w:t>, adopt and implement an enhanced prevention action plan for the specific adverse impact</w:t>
      </w:r>
      <w:r w:rsidR="00B01B15" w:rsidRPr="00A665BE">
        <w:rPr>
          <w:lang w:val="en-IE"/>
        </w:rPr>
        <w:t xml:space="preserve"> </w:t>
      </w:r>
      <w:r w:rsidR="00B01B15" w:rsidRPr="5C7C626C">
        <w:rPr>
          <w:lang w:val="en-IE"/>
        </w:rPr>
        <w:t xml:space="preserve">without undue delay, </w:t>
      </w:r>
      <w:r w:rsidR="00B01B15" w:rsidRPr="5C7C626C">
        <w:rPr>
          <w:rFonts w:eastAsia="Times New Roman"/>
          <w:szCs w:val="24"/>
        </w:rPr>
        <w:t>provided that there is a reasonable expectation that those efforts will succeed,</w:t>
      </w:r>
      <w:r w:rsidR="00B01B15" w:rsidRPr="5C7C626C">
        <w:rPr>
          <w:lang w:val="en-IE"/>
        </w:rPr>
        <w:t xml:space="preserve"> and </w:t>
      </w:r>
    </w:p>
    <w:p w14:paraId="4152B856" w14:textId="77777777" w:rsidR="00B01B15" w:rsidRDefault="00646B99" w:rsidP="00646B99">
      <w:pPr>
        <w:pStyle w:val="Point1"/>
        <w:rPr>
          <w:lang w:val="en-IE"/>
        </w:rPr>
      </w:pPr>
      <w:r>
        <w:rPr>
          <w:lang w:val="en-IE"/>
        </w:rPr>
        <w:t>(c)</w:t>
      </w:r>
      <w:r>
        <w:rPr>
          <w:lang w:val="en-IE"/>
        </w:rPr>
        <w:tab/>
      </w:r>
      <w:r w:rsidR="00B01B15" w:rsidRPr="5C7C626C">
        <w:rPr>
          <w:lang w:val="en-IE"/>
        </w:rPr>
        <w:t xml:space="preserve">use or increase </w:t>
      </w:r>
      <w:r w:rsidR="00B01B15">
        <w:rPr>
          <w:lang w:val="en-IE"/>
        </w:rPr>
        <w:t>its</w:t>
      </w:r>
      <w:r w:rsidR="00B01B15" w:rsidRPr="5C7C626C">
        <w:rPr>
          <w:lang w:val="en-IE"/>
        </w:rPr>
        <w:t xml:space="preserve"> leverage through the suspension of the business relationship with respect to the activities concerned. </w:t>
      </w:r>
    </w:p>
    <w:p w14:paraId="1D768FEA" w14:textId="77777777" w:rsidR="10E76909" w:rsidRDefault="6B9D81A4" w:rsidP="00DE466D">
      <w:pPr>
        <w:pStyle w:val="Text1"/>
        <w:rPr>
          <w:lang w:val="en-IE"/>
        </w:rPr>
      </w:pPr>
      <w:r w:rsidRPr="5C7C626C">
        <w:rPr>
          <w:lang w:val="en-IE"/>
        </w:rPr>
        <w:t>As long as there is a reasonable expectation that the enhanced prevention action plan will succeed, the mere fact of continuing to engage with the business partner shall not trigger the company’s liability.</w:t>
      </w:r>
    </w:p>
    <w:p w14:paraId="687BC139" w14:textId="77777777" w:rsidR="10E76909" w:rsidRDefault="6B9D81A4" w:rsidP="00DE466D">
      <w:pPr>
        <w:pStyle w:val="Text1"/>
        <w:rPr>
          <w:lang w:val="en-IE"/>
        </w:rPr>
      </w:pPr>
      <w:r w:rsidRPr="5C7C626C">
        <w:rPr>
          <w:lang w:val="en-IE"/>
        </w:rPr>
        <w:t>Prior to suspending a business relationship, the company shall assess whether the adverse impacts from doing so can be reasonably expected to be manifestly more severe than the adverse impact that could not be prevented or adequately mitigated. Should that be the case, the company shall not be required to suspend the business relationship and shall be in a position to report to the competent supervisory authority about the duly justified reasons for such decision.</w:t>
      </w:r>
    </w:p>
    <w:p w14:paraId="6EB090E7" w14:textId="77777777" w:rsidR="10E76909" w:rsidRDefault="6B9D81A4" w:rsidP="00DE466D">
      <w:pPr>
        <w:pStyle w:val="Text1"/>
        <w:rPr>
          <w:lang w:val="en-IE"/>
        </w:rPr>
      </w:pPr>
      <w:r w:rsidRPr="5C7C626C">
        <w:rPr>
          <w:lang w:val="en-IE"/>
        </w:rPr>
        <w:t>Member States shall provide for an option to suspend the business relationship in contracts governed by their laws in accordance with the first subparagraph, except for contracts where the parties are obliged by law to enter into them.</w:t>
      </w:r>
    </w:p>
    <w:p w14:paraId="06B3EF06" w14:textId="77777777" w:rsidR="10E76909" w:rsidRDefault="6B9D81A4" w:rsidP="00DE466D">
      <w:pPr>
        <w:pStyle w:val="Text1"/>
        <w:rPr>
          <w:lang w:val="en-IE"/>
        </w:rPr>
      </w:pPr>
      <w:r w:rsidRPr="5C7C626C">
        <w:rPr>
          <w:lang w:val="en-IE"/>
        </w:rPr>
        <w:lastRenderedPageBreak/>
        <w:t>Where the company decides to suspend the business relationship, it shall take steps to prevent, mitigate or bring to an end the impacts of the suspension, shall provide reasonable notice to the business partner concerned and shall keep that decision under review.</w:t>
      </w:r>
    </w:p>
    <w:p w14:paraId="3FE56B75" w14:textId="77777777" w:rsidR="10E76909" w:rsidRDefault="6B9D81A4" w:rsidP="00DE466D">
      <w:pPr>
        <w:pStyle w:val="Text1"/>
      </w:pPr>
      <w:r w:rsidRPr="467AC14D">
        <w:t>Where the company decides not to suspend the business relationship pursuant to this Article, it shall monitor the potential adverse impact and periodically assess its decision and whether further appropriate measures are available.</w:t>
      </w:r>
      <w:r w:rsidR="10E76909" w:rsidRPr="467AC14D" w:rsidDel="6B9D81A4">
        <w:t>’</w:t>
      </w:r>
      <w:r w:rsidR="00A83640" w:rsidRPr="467AC14D">
        <w:t>;</w:t>
      </w:r>
    </w:p>
    <w:p w14:paraId="5F583CC5" w14:textId="77777777" w:rsidR="33DD9B1E" w:rsidRPr="00DE466D" w:rsidRDefault="007F49CE" w:rsidP="000E7E43">
      <w:pPr>
        <w:pStyle w:val="Point0number"/>
      </w:pPr>
      <w:r w:rsidRPr="00E86174">
        <w:t>i</w:t>
      </w:r>
      <w:r w:rsidR="2D315F32" w:rsidRPr="00E86174">
        <w:t xml:space="preserve">n </w:t>
      </w:r>
      <w:r w:rsidR="4AC01FD5" w:rsidRPr="00E86174">
        <w:t>Article 13</w:t>
      </w:r>
      <w:r w:rsidR="1663721D" w:rsidRPr="00E86174">
        <w:t>,</w:t>
      </w:r>
      <w:r w:rsidR="2CB758E1" w:rsidRPr="00E86174">
        <w:t xml:space="preserve"> paragraph </w:t>
      </w:r>
      <w:r w:rsidR="7D5181E0" w:rsidRPr="00E86174">
        <w:t>3</w:t>
      </w:r>
      <w:r w:rsidR="356985A5" w:rsidRPr="00E86174">
        <w:t xml:space="preserve"> is amended as follows:</w:t>
      </w:r>
    </w:p>
    <w:p w14:paraId="57204687" w14:textId="77777777" w:rsidR="33DD9B1E" w:rsidRDefault="356985A5" w:rsidP="00491B39">
      <w:pPr>
        <w:pStyle w:val="Point1letter"/>
      </w:pPr>
      <w:r w:rsidRPr="5C7C626C">
        <w:t xml:space="preserve">the introductory wording is replaced by the following: </w:t>
      </w:r>
    </w:p>
    <w:p w14:paraId="0C3E97A4" w14:textId="77777777" w:rsidR="33DD9B1E" w:rsidRDefault="007862B6" w:rsidP="00E72863">
      <w:pPr>
        <w:pStyle w:val="Text2"/>
        <w:rPr>
          <w:lang w:val="en-IE"/>
        </w:rPr>
      </w:pPr>
      <w:r>
        <w:t>‘</w:t>
      </w:r>
      <w:r w:rsidR="356985A5" w:rsidRPr="5C7C626C">
        <w:t>Consultation of relevant stakeholders shall take place at the following stages of the</w:t>
      </w:r>
      <w:r w:rsidR="004E723E">
        <w:t xml:space="preserve"> </w:t>
      </w:r>
      <w:r w:rsidR="356985A5" w:rsidRPr="5C7C626C">
        <w:t>due diligence process:’</w:t>
      </w:r>
      <w:r w:rsidR="000149E3">
        <w:t>;</w:t>
      </w:r>
    </w:p>
    <w:p w14:paraId="584C25F3" w14:textId="77777777" w:rsidR="33DD9B1E" w:rsidRDefault="356985A5" w:rsidP="00491B39">
      <w:pPr>
        <w:pStyle w:val="Point1letter"/>
      </w:pPr>
      <w:r w:rsidRPr="5C7C626C">
        <w:t>points (c) and (e) are deleted</w:t>
      </w:r>
      <w:r w:rsidR="00DF25DE">
        <w:t>;</w:t>
      </w:r>
    </w:p>
    <w:p w14:paraId="7C58BE08" w14:textId="77777777" w:rsidR="33DD9B1E" w:rsidRPr="00E86174" w:rsidRDefault="001C497A" w:rsidP="000E7E43">
      <w:pPr>
        <w:pStyle w:val="Point0number"/>
      </w:pPr>
      <w:r w:rsidRPr="00E86174">
        <w:t>i</w:t>
      </w:r>
      <w:r w:rsidR="59D8182E" w:rsidRPr="00E86174">
        <w:t xml:space="preserve">n </w:t>
      </w:r>
      <w:r w:rsidR="67D4930D" w:rsidRPr="00E86174">
        <w:t>Article 15</w:t>
      </w:r>
      <w:r w:rsidR="59D8182E" w:rsidRPr="00E86174">
        <w:t xml:space="preserve">, the </w:t>
      </w:r>
      <w:r w:rsidR="5AD9E089" w:rsidRPr="00E86174">
        <w:t>second sentence is replaced by the following:</w:t>
      </w:r>
    </w:p>
    <w:p w14:paraId="737F222D" w14:textId="77777777" w:rsidR="25006A69" w:rsidRDefault="6851398D" w:rsidP="00DE466D">
      <w:pPr>
        <w:pStyle w:val="Text1"/>
        <w:rPr>
          <w:lang w:val="en-IE"/>
        </w:rPr>
      </w:pPr>
      <w:r w:rsidRPr="5009B1BF">
        <w:rPr>
          <w:lang w:val="en-IE"/>
        </w:rPr>
        <w:t>‘Such assessments shall be based, where appropriate, on qualitative and quantitative indicators and be carried out without undue delay after a significant change occurs, but at least every 5 years and whenever there are reasonable grounds to believe that the measures are no longer adequate or effective or that new risks of the occurrence of those adverse impacts may arise.</w:t>
      </w:r>
      <w:r w:rsidR="00C517C4">
        <w:rPr>
          <w:lang w:val="en-IE"/>
        </w:rPr>
        <w:t>’</w:t>
      </w:r>
      <w:r w:rsidR="00B07AF8">
        <w:rPr>
          <w:lang w:val="en-IE"/>
        </w:rPr>
        <w:t>;</w:t>
      </w:r>
    </w:p>
    <w:p w14:paraId="6F4F207D" w14:textId="77777777" w:rsidR="5B60B105" w:rsidRPr="00E86174" w:rsidRDefault="0083094F" w:rsidP="000E7E43">
      <w:pPr>
        <w:pStyle w:val="Point0number"/>
      </w:pPr>
      <w:r w:rsidRPr="00E86174">
        <w:t>i</w:t>
      </w:r>
      <w:r w:rsidR="00487F27" w:rsidRPr="00E86174">
        <w:t xml:space="preserve">n </w:t>
      </w:r>
      <w:r w:rsidR="38A6EB40" w:rsidRPr="00E86174">
        <w:t>Article 19</w:t>
      </w:r>
      <w:r w:rsidR="00487F27" w:rsidRPr="00E86174">
        <w:t>,</w:t>
      </w:r>
      <w:r w:rsidR="291CF39B" w:rsidRPr="00E86174">
        <w:t xml:space="preserve"> paragraph </w:t>
      </w:r>
      <w:r w:rsidR="38A6EB40" w:rsidRPr="00E86174">
        <w:t>3 is replaced by the following:</w:t>
      </w:r>
    </w:p>
    <w:p w14:paraId="499E5D43" w14:textId="77777777" w:rsidR="5B60B105" w:rsidRPr="006A19D4" w:rsidRDefault="38A6EB40" w:rsidP="00DE466D">
      <w:pPr>
        <w:pStyle w:val="Text1"/>
        <w:rPr>
          <w:lang w:val="en-IE"/>
        </w:rPr>
      </w:pPr>
      <w:r w:rsidRPr="5C7C626C">
        <w:rPr>
          <w:lang w:val="en-IE"/>
        </w:rPr>
        <w:t>‘</w:t>
      </w:r>
      <w:r w:rsidR="48C659A4" w:rsidRPr="5C7C626C">
        <w:rPr>
          <w:lang w:val="en-IE"/>
        </w:rPr>
        <w:t>3.</w:t>
      </w:r>
      <w:r w:rsidR="5B60B105">
        <w:tab/>
      </w:r>
      <w:r w:rsidRPr="5C7C626C">
        <w:rPr>
          <w:lang w:val="en-IE"/>
        </w:rPr>
        <w:t>The guidelines referred to in paragraph 2, point (a)</w:t>
      </w:r>
      <w:r w:rsidR="466CCC3B" w:rsidRPr="5C7C626C">
        <w:rPr>
          <w:lang w:val="en-IE"/>
        </w:rPr>
        <w:t>,</w:t>
      </w:r>
      <w:r w:rsidRPr="5C7C626C">
        <w:rPr>
          <w:lang w:val="en-IE"/>
        </w:rPr>
        <w:t xml:space="preserve"> shall be made available by 26 July 2026, those referred to in paragraph 2, points (d) and (e), by 26 January 2027, and those referred to in paragraph 2, points (b), (f) and (g)</w:t>
      </w:r>
      <w:r w:rsidR="73250365" w:rsidRPr="5C7C626C">
        <w:rPr>
          <w:lang w:val="en-IE"/>
        </w:rPr>
        <w:t>,</w:t>
      </w:r>
      <w:r w:rsidRPr="5C7C626C">
        <w:rPr>
          <w:lang w:val="en-IE"/>
        </w:rPr>
        <w:t xml:space="preserve"> by 26 July 2027.’</w:t>
      </w:r>
      <w:r w:rsidR="008A3430">
        <w:rPr>
          <w:lang w:val="en-IE"/>
        </w:rPr>
        <w:t>;</w:t>
      </w:r>
    </w:p>
    <w:p w14:paraId="5B6CA4EF" w14:textId="77777777" w:rsidR="00917332" w:rsidRPr="00E86174" w:rsidRDefault="00C73FA2" w:rsidP="000E7E43">
      <w:pPr>
        <w:pStyle w:val="Point0number"/>
      </w:pPr>
      <w:r w:rsidRPr="00E86174">
        <w:t>in Article 22(1), the first subparagraph is replaced by the following:</w:t>
      </w:r>
    </w:p>
    <w:p w14:paraId="72005D9B" w14:textId="77777777" w:rsidR="00C73FA2" w:rsidRDefault="00842778" w:rsidP="00DE466D">
      <w:pPr>
        <w:pStyle w:val="Text1"/>
      </w:pPr>
      <w:r>
        <w:rPr>
          <w:lang w:val="en-IE"/>
        </w:rPr>
        <w:t>‘</w:t>
      </w:r>
      <w:r w:rsidRPr="00842778">
        <w:rPr>
          <w:lang w:val="en-IE"/>
        </w:rPr>
        <w:t>Member States shall ensure that companies referred to in Article 2(1), points (a), (b) and (c), and Article 2(2), points (a), (b) and (c), adopt a transition plan for climate change mitigation</w:t>
      </w:r>
      <w:r w:rsidR="00765C1E">
        <w:rPr>
          <w:lang w:val="en-IE"/>
        </w:rPr>
        <w:t xml:space="preserve">, including </w:t>
      </w:r>
      <w:r w:rsidR="00956DC9">
        <w:rPr>
          <w:lang w:val="en-IE"/>
        </w:rPr>
        <w:t>implementing actions,</w:t>
      </w:r>
      <w:r w:rsidRPr="00842778">
        <w:rPr>
          <w:lang w:val="en-IE"/>
        </w:rPr>
        <w:t xml:space="preserve"> which aim to ensure, through best efforts, that the business model and strategy of the company are compatible with the transition to a sustainable economy and with the limiting of global warming to 1</w:t>
      </w:r>
      <w:r w:rsidR="007F09F8">
        <w:rPr>
          <w:lang w:val="en-IE"/>
        </w:rPr>
        <w:t>.</w:t>
      </w:r>
      <w:r w:rsidRPr="00842778">
        <w:rPr>
          <w:lang w:val="en-IE"/>
        </w:rPr>
        <w:t>5</w:t>
      </w:r>
      <w:r w:rsidR="007F09F8">
        <w:rPr>
          <w:lang w:val="en-IE"/>
        </w:rPr>
        <w:t>°</w:t>
      </w:r>
      <w:r w:rsidRPr="00842778">
        <w:rPr>
          <w:lang w:val="en-IE"/>
        </w:rPr>
        <w:t>C in line with the Paris Agreement and the objective of achieving climate neutrality as established in Regulation (EU) 2021/1119, including its intermediate and 2050 climate neutrality targets, and where relevant, the exposure of the company to coal-, oil- and gas-related activities.</w:t>
      </w:r>
      <w:r>
        <w:rPr>
          <w:lang w:val="en-IE"/>
        </w:rPr>
        <w:t>’;</w:t>
      </w:r>
    </w:p>
    <w:p w14:paraId="1313FC05" w14:textId="77777777" w:rsidR="3035AB68" w:rsidRPr="00E86174" w:rsidRDefault="0083094F" w:rsidP="000E7E43">
      <w:pPr>
        <w:pStyle w:val="Point0number"/>
      </w:pPr>
      <w:r w:rsidRPr="00E86174">
        <w:t>i</w:t>
      </w:r>
      <w:r w:rsidR="008308E1" w:rsidRPr="00E86174">
        <w:t xml:space="preserve">n </w:t>
      </w:r>
      <w:r w:rsidR="563DA760" w:rsidRPr="00E86174">
        <w:t>Article 27</w:t>
      </w:r>
      <w:r w:rsidRPr="00E86174">
        <w:t>,</w:t>
      </w:r>
      <w:r w:rsidR="36680F7C" w:rsidRPr="00E86174">
        <w:t xml:space="preserve"> paragraph </w:t>
      </w:r>
      <w:r w:rsidR="37CC0315" w:rsidRPr="00E86174">
        <w:t>4 is replaced by the following:</w:t>
      </w:r>
    </w:p>
    <w:p w14:paraId="00B81746" w14:textId="77777777" w:rsidR="6106D38D" w:rsidRDefault="6E31C9CC" w:rsidP="00DE466D">
      <w:pPr>
        <w:pStyle w:val="Text1"/>
        <w:rPr>
          <w:lang w:val="en-IE"/>
        </w:rPr>
      </w:pPr>
      <w:r w:rsidRPr="5C7C626C">
        <w:rPr>
          <w:lang w:val="en-IE"/>
        </w:rPr>
        <w:t>‘</w:t>
      </w:r>
      <w:r w:rsidR="005F1FE9">
        <w:rPr>
          <w:lang w:val="en-IE"/>
        </w:rPr>
        <w:t>4.</w:t>
      </w:r>
      <w:r w:rsidR="005F1FE9">
        <w:rPr>
          <w:lang w:val="en-IE"/>
        </w:rPr>
        <w:tab/>
      </w:r>
      <w:r w:rsidRPr="5C7C626C">
        <w:rPr>
          <w:lang w:val="en-IE"/>
        </w:rPr>
        <w:t xml:space="preserve">The Commission, in collaboration with Member States, shall issue guidance </w:t>
      </w:r>
      <w:r w:rsidR="49AB214F" w:rsidRPr="47E5BAF2">
        <w:rPr>
          <w:lang w:val="en-IE"/>
        </w:rPr>
        <w:t>to assist</w:t>
      </w:r>
      <w:r w:rsidRPr="5C7C626C">
        <w:rPr>
          <w:lang w:val="en-IE"/>
        </w:rPr>
        <w:t xml:space="preserve"> supervisory authorities </w:t>
      </w:r>
      <w:r w:rsidR="0C31D866" w:rsidRPr="47E5BAF2">
        <w:rPr>
          <w:lang w:val="en-IE"/>
        </w:rPr>
        <w:t>in</w:t>
      </w:r>
      <w:r w:rsidRPr="47E5BAF2">
        <w:rPr>
          <w:lang w:val="en-IE"/>
        </w:rPr>
        <w:t xml:space="preserve"> determin</w:t>
      </w:r>
      <w:r w:rsidR="721F43D6" w:rsidRPr="47E5BAF2">
        <w:rPr>
          <w:lang w:val="en-IE"/>
        </w:rPr>
        <w:t>ing</w:t>
      </w:r>
      <w:r w:rsidRPr="5C7C626C">
        <w:rPr>
          <w:lang w:val="en-IE"/>
        </w:rPr>
        <w:t xml:space="preserve"> the level of </w:t>
      </w:r>
      <w:r w:rsidR="5DD093F7" w:rsidRPr="47E5BAF2">
        <w:rPr>
          <w:lang w:val="en-IE"/>
        </w:rPr>
        <w:t>penalties</w:t>
      </w:r>
      <w:r w:rsidRPr="5C7C626C">
        <w:rPr>
          <w:lang w:val="en-IE"/>
        </w:rPr>
        <w:t xml:space="preserve"> in accordance with this Article</w:t>
      </w:r>
      <w:r w:rsidR="35EA8DE0" w:rsidRPr="5C7C626C">
        <w:rPr>
          <w:lang w:val="en-IE"/>
        </w:rPr>
        <w:t>.</w:t>
      </w:r>
      <w:r w:rsidRPr="5C7C626C">
        <w:rPr>
          <w:lang w:val="en-IE"/>
        </w:rPr>
        <w:t xml:space="preserve"> Member States shall not set a maximum limit of pecuniary penalties </w:t>
      </w:r>
      <w:r w:rsidR="4D1B1AC8" w:rsidRPr="5C7C626C">
        <w:rPr>
          <w:lang w:val="en-IE"/>
        </w:rPr>
        <w:t xml:space="preserve">in </w:t>
      </w:r>
      <w:r w:rsidR="46933BE2" w:rsidRPr="5C7C626C">
        <w:rPr>
          <w:lang w:val="en-IE"/>
        </w:rPr>
        <w:t xml:space="preserve">their </w:t>
      </w:r>
      <w:r w:rsidR="4D1B1AC8" w:rsidRPr="5C7C626C">
        <w:rPr>
          <w:lang w:val="en-IE"/>
        </w:rPr>
        <w:t xml:space="preserve">national law </w:t>
      </w:r>
      <w:r w:rsidR="6E8C07F5" w:rsidRPr="5C7C626C">
        <w:rPr>
          <w:lang w:val="en-IE"/>
        </w:rPr>
        <w:t xml:space="preserve">transposing this Directive </w:t>
      </w:r>
      <w:r w:rsidRPr="5C7C626C">
        <w:rPr>
          <w:lang w:val="en-IE"/>
        </w:rPr>
        <w:t xml:space="preserve">that would prevent supervisory authorities from imposing penalties in accordance with the </w:t>
      </w:r>
      <w:r w:rsidR="2CF6235E" w:rsidRPr="5C7C626C">
        <w:rPr>
          <w:lang w:val="en-IE"/>
        </w:rPr>
        <w:t xml:space="preserve">principles and </w:t>
      </w:r>
      <w:r w:rsidRPr="5C7C626C">
        <w:rPr>
          <w:lang w:val="en-IE"/>
        </w:rPr>
        <w:t>factors set out in paragraphs 1 and 2.</w:t>
      </w:r>
      <w:r w:rsidR="77C2CA62" w:rsidRPr="5C7C626C">
        <w:rPr>
          <w:lang w:val="en-IE"/>
        </w:rPr>
        <w:t>’</w:t>
      </w:r>
      <w:r w:rsidR="009E68DC">
        <w:rPr>
          <w:lang w:val="en-IE"/>
        </w:rPr>
        <w:t>;</w:t>
      </w:r>
    </w:p>
    <w:p w14:paraId="31618889" w14:textId="77777777" w:rsidR="002B6AFC" w:rsidRPr="00E86174" w:rsidRDefault="009C4F89" w:rsidP="000E7E43">
      <w:pPr>
        <w:pStyle w:val="Point0number"/>
      </w:pPr>
      <w:r w:rsidRPr="00E86174" w:rsidDel="001939D7">
        <w:t xml:space="preserve"> </w:t>
      </w:r>
      <w:r w:rsidR="002B6AFC" w:rsidRPr="00E86174">
        <w:t>Article 29 is amended as follows:</w:t>
      </w:r>
    </w:p>
    <w:p w14:paraId="05BFBAC7" w14:textId="77777777" w:rsidR="002B6AFC" w:rsidRPr="00D95B66" w:rsidRDefault="002B6AFC" w:rsidP="00491B39">
      <w:pPr>
        <w:pStyle w:val="Point1letter"/>
      </w:pPr>
      <w:r w:rsidRPr="5C7C626C">
        <w:t>paragraph 1 is deleted</w:t>
      </w:r>
      <w:r>
        <w:t>;</w:t>
      </w:r>
    </w:p>
    <w:p w14:paraId="276D1C74" w14:textId="77777777" w:rsidR="002B6AFC" w:rsidRDefault="002B6AFC" w:rsidP="00491B39">
      <w:pPr>
        <w:pStyle w:val="Point1letter"/>
      </w:pPr>
      <w:r w:rsidRPr="5C7C626C">
        <w:t xml:space="preserve">paragraph 2 is replaced by the following: </w:t>
      </w:r>
    </w:p>
    <w:p w14:paraId="1FE95A28" w14:textId="77777777" w:rsidR="002B6AFC" w:rsidRDefault="002B6AFC" w:rsidP="00DE466D">
      <w:pPr>
        <w:pStyle w:val="Text2"/>
      </w:pPr>
      <w:r w:rsidRPr="5C7C626C">
        <w:rPr>
          <w:lang w:val="en-IE"/>
        </w:rPr>
        <w:lastRenderedPageBreak/>
        <w:t>‘2.</w:t>
      </w:r>
      <w:r>
        <w:tab/>
      </w:r>
      <w:r w:rsidRPr="5C7C626C">
        <w:rPr>
          <w:lang w:val="en-IE"/>
        </w:rPr>
        <w:t xml:space="preserve">Where a company is held liable </w:t>
      </w:r>
      <w:r w:rsidRPr="5C7C626C">
        <w:rPr>
          <w:rFonts w:eastAsia="Times New Roman"/>
          <w:szCs w:val="24"/>
        </w:rPr>
        <w:t>pursuant to national law for damage caused to a natural or legal person</w:t>
      </w:r>
      <w:r w:rsidRPr="5C7C626C">
        <w:rPr>
          <w:lang w:val="en-IE"/>
        </w:rPr>
        <w:t xml:space="preserve"> by a failure to comply with the due diligence requirements under this Directive, Member States shall ensure that those persons have a right to full compensation. Full compensation shall not lead to overcompensation, whether by means of punitive, multiple or other types of damages.</w:t>
      </w:r>
      <w:r w:rsidR="00F11EDB">
        <w:rPr>
          <w:lang w:val="en-IE"/>
        </w:rPr>
        <w:t>’;</w:t>
      </w:r>
      <w:r w:rsidRPr="5C7C626C">
        <w:rPr>
          <w:lang w:val="en-IE"/>
        </w:rPr>
        <w:t xml:space="preserve"> </w:t>
      </w:r>
    </w:p>
    <w:p w14:paraId="563481B7" w14:textId="77777777" w:rsidR="00372DD7" w:rsidRPr="00A1795D" w:rsidRDefault="6ADBEADD" w:rsidP="008C161B">
      <w:pPr>
        <w:pStyle w:val="Point1letter"/>
      </w:pPr>
      <w:r>
        <w:t xml:space="preserve">in </w:t>
      </w:r>
      <w:r w:rsidR="0087246A" w:rsidDel="007D7B41">
        <w:t xml:space="preserve">paragraph </w:t>
      </w:r>
      <w:r w:rsidR="0036127B" w:rsidDel="007D7B41">
        <w:t xml:space="preserve">3, </w:t>
      </w:r>
      <w:r w:rsidR="0036127B">
        <w:t xml:space="preserve">point </w:t>
      </w:r>
      <w:r w:rsidR="00235E0A">
        <w:t>(d) is deleted</w:t>
      </w:r>
      <w:r w:rsidR="00A73D58">
        <w:t>;</w:t>
      </w:r>
    </w:p>
    <w:p w14:paraId="37612F1F" w14:textId="77777777" w:rsidR="00E6199E" w:rsidRDefault="00E6199E" w:rsidP="00491B39">
      <w:pPr>
        <w:pStyle w:val="Point1letter"/>
      </w:pPr>
      <w:r>
        <w:t>paragrap</w:t>
      </w:r>
      <w:r w:rsidR="008D082F">
        <w:t>h 4</w:t>
      </w:r>
      <w:r w:rsidR="00A64BC9">
        <w:t xml:space="preserve"> is replaced by the </w:t>
      </w:r>
      <w:r w:rsidR="006F2654">
        <w:t xml:space="preserve">following: </w:t>
      </w:r>
    </w:p>
    <w:p w14:paraId="26598E22" w14:textId="77777777" w:rsidR="002848A6" w:rsidRPr="00A1795D" w:rsidRDefault="00CE0A8A" w:rsidP="00DE466D">
      <w:pPr>
        <w:pStyle w:val="Text2"/>
      </w:pPr>
      <w:r w:rsidRPr="5C7C626C">
        <w:t>‘4.</w:t>
      </w:r>
      <w:r>
        <w:tab/>
      </w:r>
      <w:r w:rsidRPr="5C7C626C">
        <w:t xml:space="preserve">Companies that have participated in industry or multi-stakeholder initiatives, or used independent third-party verification or contractual clauses to support the implementation of due diligence obligations may nevertheless be held liable </w:t>
      </w:r>
      <w:r w:rsidRPr="00811D22">
        <w:t>in accordance with national law</w:t>
      </w:r>
      <w:r w:rsidRPr="5C7C626C">
        <w:t>.’;</w:t>
      </w:r>
    </w:p>
    <w:p w14:paraId="54AE67F8" w14:textId="77777777" w:rsidR="002B6AFC" w:rsidRPr="004A44BD" w:rsidRDefault="00D40250" w:rsidP="00491B39">
      <w:pPr>
        <w:pStyle w:val="Point1letter"/>
      </w:pPr>
      <w:r>
        <w:t xml:space="preserve">in </w:t>
      </w:r>
      <w:r w:rsidR="002B6AFC">
        <w:t>p</w:t>
      </w:r>
      <w:r w:rsidR="002B6AFC" w:rsidRPr="5C7C626C">
        <w:t xml:space="preserve">aragraph 5, </w:t>
      </w:r>
      <w:r w:rsidR="008A5DEC">
        <w:t xml:space="preserve">the </w:t>
      </w:r>
      <w:r w:rsidR="002B6AFC" w:rsidRPr="5C7C626C">
        <w:t>first subparagraph is replaced by the following:</w:t>
      </w:r>
    </w:p>
    <w:p w14:paraId="41D78915" w14:textId="77777777" w:rsidR="002B6AFC" w:rsidRPr="007B7732" w:rsidRDefault="002B6AFC" w:rsidP="00DE466D">
      <w:pPr>
        <w:pStyle w:val="Text2"/>
        <w:rPr>
          <w:rFonts w:eastAsia="Times New Roman"/>
          <w:szCs w:val="24"/>
          <w:highlight w:val="yellow"/>
        </w:rPr>
      </w:pPr>
      <w:r w:rsidRPr="5C7C626C">
        <w:t>‘</w:t>
      </w:r>
      <w:r w:rsidRPr="007B7732">
        <w:t xml:space="preserve">The civil </w:t>
      </w:r>
      <w:r w:rsidRPr="007B7732">
        <w:rPr>
          <w:rFonts w:eastAsia="Times New Roman"/>
          <w:szCs w:val="24"/>
        </w:rPr>
        <w:t>liability of a company</w:t>
      </w:r>
      <w:r w:rsidRPr="5C7C626C">
        <w:t xml:space="preserve"> for damages</w:t>
      </w:r>
      <w:r w:rsidRPr="5C7C626C">
        <w:rPr>
          <w:rFonts w:eastAsia="Times New Roman"/>
          <w:szCs w:val="24"/>
        </w:rPr>
        <w:t xml:space="preserve"> as referred to in this Article</w:t>
      </w:r>
      <w:r w:rsidRPr="5C7C626C">
        <w:t xml:space="preserve"> shall be without prejudice to the civil liability of its subsidiaries or of any direct and indirect business partners in the chain of activities of the company.’</w:t>
      </w:r>
      <w:r>
        <w:t>;</w:t>
      </w:r>
    </w:p>
    <w:p w14:paraId="04B2CB5E" w14:textId="77777777" w:rsidR="002B6AFC" w:rsidRPr="004A44BD" w:rsidRDefault="002B6AFC" w:rsidP="00491B39">
      <w:pPr>
        <w:pStyle w:val="Point1letter"/>
      </w:pPr>
      <w:r w:rsidRPr="5C7C626C">
        <w:t xml:space="preserve">paragraph 7 is </w:t>
      </w:r>
      <w:r w:rsidR="009C4F89">
        <w:t>deleted</w:t>
      </w:r>
      <w:r w:rsidR="0077542A">
        <w:t>;</w:t>
      </w:r>
      <w:r w:rsidR="009C4F89">
        <w:t xml:space="preserve"> </w:t>
      </w:r>
    </w:p>
    <w:p w14:paraId="5A30755E" w14:textId="77777777" w:rsidR="54BBEED4" w:rsidRPr="00577DAA" w:rsidRDefault="0077542A" w:rsidP="000428AB">
      <w:pPr>
        <w:pStyle w:val="Point0number"/>
      </w:pPr>
      <w:r w:rsidRPr="00E86174">
        <w:t>i</w:t>
      </w:r>
      <w:r w:rsidR="772DAA02" w:rsidRPr="00E86174">
        <w:t xml:space="preserve">n </w:t>
      </w:r>
      <w:r w:rsidR="0D6FE66D" w:rsidRPr="00E86174">
        <w:t>Article 36</w:t>
      </w:r>
      <w:r w:rsidR="000428AB">
        <w:t>,</w:t>
      </w:r>
      <w:r w:rsidR="0D6FE66D">
        <w:t xml:space="preserve"> </w:t>
      </w:r>
      <w:r w:rsidR="772DAA02" w:rsidRPr="00A760D5">
        <w:t>p</w:t>
      </w:r>
      <w:r w:rsidR="0D6FE66D" w:rsidRPr="00A760D5">
        <w:t xml:space="preserve">aragraph 1 is </w:t>
      </w:r>
      <w:r w:rsidR="439D49AF" w:rsidRPr="00A760D5">
        <w:t>deleted</w:t>
      </w:r>
      <w:r w:rsidR="000428AB">
        <w:t xml:space="preserve">. </w:t>
      </w:r>
    </w:p>
    <w:p w14:paraId="10137509" w14:textId="77777777" w:rsidR="54BBEED4" w:rsidRPr="00E86174" w:rsidRDefault="54BBEED4" w:rsidP="007310BF"/>
    <w:p w14:paraId="557DA499" w14:textId="77777777" w:rsidR="009D1FEE" w:rsidRPr="00757AE9" w:rsidRDefault="009D1FEE" w:rsidP="00645C13">
      <w:pPr>
        <w:pStyle w:val="Titrearticle"/>
        <w:keepLines/>
      </w:pPr>
      <w:r w:rsidRPr="00E742B2">
        <w:rPr>
          <w:lang w:val="en-IE"/>
        </w:rPr>
        <w:t xml:space="preserve">Article </w:t>
      </w:r>
      <w:r w:rsidR="00E64A0D">
        <w:rPr>
          <w:lang w:val="en-IE"/>
        </w:rPr>
        <w:t>5</w:t>
      </w:r>
    </w:p>
    <w:p w14:paraId="5020629D" w14:textId="77777777" w:rsidR="00390D52" w:rsidRPr="005804F6" w:rsidRDefault="005804F6" w:rsidP="00AB06E5">
      <w:pPr>
        <w:pStyle w:val="Titrearticle"/>
        <w:rPr>
          <w:lang w:val="en-IE"/>
        </w:rPr>
      </w:pPr>
      <w:r w:rsidRPr="005804F6">
        <w:rPr>
          <w:lang w:val="en-IE"/>
        </w:rPr>
        <w:t>Transposition</w:t>
      </w:r>
    </w:p>
    <w:p w14:paraId="0574037F" w14:textId="77777777" w:rsidR="009D1FEE" w:rsidRPr="00AC7E92" w:rsidRDefault="009D1FEE" w:rsidP="00DE466D">
      <w:r w:rsidRPr="00AC7E92">
        <w:t>1.</w:t>
      </w:r>
      <w:r w:rsidRPr="00AC7E92">
        <w:tab/>
        <w:t xml:space="preserve">Member States </w:t>
      </w:r>
      <w:r w:rsidRPr="0026586B">
        <w:t xml:space="preserve">shall bring into force the laws, regulations and administrative provisions necessary to comply with </w:t>
      </w:r>
      <w:r w:rsidRPr="00BD78EC">
        <w:t>this</w:t>
      </w:r>
      <w:r w:rsidRPr="0026586B">
        <w:t xml:space="preserve"> Directive by </w:t>
      </w:r>
      <w:r w:rsidR="00E64A0D" w:rsidRPr="0026586B">
        <w:t>[</w:t>
      </w:r>
      <w:r w:rsidR="00951C56" w:rsidRPr="0026586B">
        <w:rPr>
          <w:i/>
          <w:iCs/>
        </w:rPr>
        <w:t>12</w:t>
      </w:r>
      <w:r w:rsidR="00E64A0D" w:rsidRPr="0026586B">
        <w:rPr>
          <w:i/>
          <w:iCs/>
        </w:rPr>
        <w:t xml:space="preserve"> months</w:t>
      </w:r>
      <w:r w:rsidR="003E3903" w:rsidRPr="0026586B">
        <w:rPr>
          <w:i/>
          <w:iCs/>
        </w:rPr>
        <w:t xml:space="preserve"> after entry into</w:t>
      </w:r>
      <w:r w:rsidR="00AC6D82" w:rsidRPr="0026586B">
        <w:rPr>
          <w:i/>
          <w:iCs/>
        </w:rPr>
        <w:t xml:space="preserve"> force</w:t>
      </w:r>
      <w:r w:rsidR="00E64A0D" w:rsidRPr="0026586B">
        <w:t>]</w:t>
      </w:r>
      <w:r w:rsidRPr="0026586B">
        <w:t xml:space="preserve"> at the latest. They shall forthwith communicate to the Commission the text of those provisions.</w:t>
      </w:r>
    </w:p>
    <w:p w14:paraId="4EB6C62C" w14:textId="77777777" w:rsidR="009D1FEE" w:rsidRPr="0064451C" w:rsidRDefault="009D1FEE" w:rsidP="00DE466D">
      <w:r w:rsidRPr="00AC7E92">
        <w:t xml:space="preserve">When Member States adopt those provisions, they shall contain a reference to this Directive or be accompanied by such a reference on the occasion of their official publication. Member States shall </w:t>
      </w:r>
      <w:r w:rsidRPr="0064451C">
        <w:t>determine how such reference is to be made.</w:t>
      </w:r>
    </w:p>
    <w:p w14:paraId="54DD782D" w14:textId="77777777" w:rsidR="009D1FEE" w:rsidRPr="0064451C" w:rsidRDefault="009D1FEE" w:rsidP="00DE466D">
      <w:r w:rsidRPr="0064451C">
        <w:t>2.</w:t>
      </w:r>
      <w:r w:rsidRPr="0064451C">
        <w:tab/>
        <w:t>Member States shall communicate to the Commission the text of the main provisions of national law which they adopt in the field covered by this Directive.</w:t>
      </w:r>
    </w:p>
    <w:p w14:paraId="4F58294B" w14:textId="77777777" w:rsidR="009D1FEE" w:rsidRPr="00757AE9" w:rsidRDefault="009D1FEE">
      <w:pPr>
        <w:pStyle w:val="Titrearticle"/>
      </w:pPr>
      <w:r w:rsidRPr="0064451C">
        <w:t xml:space="preserve">Article </w:t>
      </w:r>
      <w:r w:rsidR="00E64A0D" w:rsidRPr="0064451C">
        <w:t>6</w:t>
      </w:r>
    </w:p>
    <w:p w14:paraId="0434FF03" w14:textId="77777777" w:rsidR="00EA7F33" w:rsidRPr="00AB06E5" w:rsidRDefault="00DF1318" w:rsidP="00AB06E5">
      <w:pPr>
        <w:pStyle w:val="Titrearticle"/>
        <w:rPr>
          <w:lang w:val="en-IE"/>
        </w:rPr>
      </w:pPr>
      <w:r w:rsidRPr="0064451C">
        <w:rPr>
          <w:lang w:val="en-IE"/>
        </w:rPr>
        <w:t>Entry into</w:t>
      </w:r>
      <w:r w:rsidRPr="00AB06E5">
        <w:rPr>
          <w:lang w:val="en-IE"/>
        </w:rPr>
        <w:t xml:space="preserve"> force</w:t>
      </w:r>
    </w:p>
    <w:p w14:paraId="0027C4A0" w14:textId="77777777" w:rsidR="009D1FEE" w:rsidRPr="00AC7E92" w:rsidRDefault="009D1FEE">
      <w:r w:rsidRPr="00AC7E92">
        <w:t>This Directive shall enter into force on the</w:t>
      </w:r>
      <w:r w:rsidR="002D3ED3">
        <w:t xml:space="preserve"> twentieth</w:t>
      </w:r>
      <w:r w:rsidRPr="00AC7E92">
        <w:t xml:space="preserve"> day following that of its publication in the </w:t>
      </w:r>
      <w:r w:rsidRPr="00AC7E92">
        <w:rPr>
          <w:i/>
        </w:rPr>
        <w:t>Official Journal of the European Union</w:t>
      </w:r>
      <w:r w:rsidRPr="00AC7E92">
        <w:t>.</w:t>
      </w:r>
    </w:p>
    <w:p w14:paraId="10AED9E3" w14:textId="77777777" w:rsidR="009D1FEE" w:rsidRPr="00757AE9" w:rsidRDefault="009D1FEE">
      <w:pPr>
        <w:pStyle w:val="Titrearticle"/>
      </w:pPr>
      <w:r w:rsidRPr="00AC7E92">
        <w:lastRenderedPageBreak/>
        <w:t xml:space="preserve">Article </w:t>
      </w:r>
      <w:r w:rsidR="00E64A0D">
        <w:t>7</w:t>
      </w:r>
    </w:p>
    <w:p w14:paraId="1EE98FF1" w14:textId="77777777" w:rsidR="007814DA" w:rsidRPr="007814DA" w:rsidRDefault="007814DA" w:rsidP="00AB06E5">
      <w:pPr>
        <w:pStyle w:val="Titrearticle"/>
        <w:rPr>
          <w:lang w:val="en-IE"/>
        </w:rPr>
      </w:pPr>
      <w:r>
        <w:rPr>
          <w:lang w:val="en-IE"/>
        </w:rPr>
        <w:t>Addressees</w:t>
      </w:r>
    </w:p>
    <w:p w14:paraId="0143D46C" w14:textId="77777777" w:rsidR="009D1FEE" w:rsidRDefault="009D1FEE">
      <w:pPr>
        <w:keepNext/>
        <w:keepLines/>
      </w:pPr>
      <w:r w:rsidRPr="00AC7E92">
        <w:t>This Directive is addressed to the Member States.</w:t>
      </w:r>
    </w:p>
    <w:p w14:paraId="2238DDF2" w14:textId="48D8FDE7" w:rsidR="009D1FEE" w:rsidRDefault="00D6173F" w:rsidP="00D6173F">
      <w:pPr>
        <w:pStyle w:val="Fait"/>
      </w:pPr>
      <w:r w:rsidRPr="00D6173F">
        <w:t>Done at Brussels,</w:t>
      </w:r>
    </w:p>
    <w:p w14:paraId="7AA754EB" w14:textId="77777777" w:rsidR="009D1FEE" w:rsidRDefault="009D1FEE" w:rsidP="009D1FEE">
      <w:pPr>
        <w:pStyle w:val="Institutionquisigne"/>
      </w:pPr>
      <w:r w:rsidRPr="009D1FEE">
        <w:t>For the European Parliament</w:t>
      </w:r>
      <w:r w:rsidRPr="009D1FEE">
        <w:tab/>
        <w:t>For the Council</w:t>
      </w:r>
    </w:p>
    <w:p w14:paraId="0071B612" w14:textId="77777777" w:rsidR="009D1FEE" w:rsidRDefault="009D1FEE" w:rsidP="009D1FEE">
      <w:pPr>
        <w:pStyle w:val="Personnequisigne"/>
      </w:pPr>
      <w:r w:rsidRPr="009D1FEE">
        <w:t>The President</w:t>
      </w:r>
      <w:r w:rsidRPr="009D1FEE">
        <w:tab/>
        <w:t>The President</w:t>
      </w:r>
    </w:p>
    <w:p w14:paraId="2562819E" w14:textId="77777777" w:rsidR="006D5B83" w:rsidRPr="006D5B83" w:rsidRDefault="006D5B83" w:rsidP="006D5B83">
      <w:pPr>
        <w:pStyle w:val="Institutionquisigne"/>
      </w:pPr>
    </w:p>
    <w:p w14:paraId="4F136344" w14:textId="77777777" w:rsidR="009D1FEE" w:rsidRDefault="009D1FEE" w:rsidP="009D1FEE">
      <w:pPr>
        <w:sectPr w:rsidR="009D1FEE" w:rsidSect="00D6173F">
          <w:headerReference w:type="even" r:id="rId24"/>
          <w:headerReference w:type="first" r:id="rId25"/>
          <w:footerReference w:type="first" r:id="rId26"/>
          <w:pgSz w:w="11907" w:h="16839"/>
          <w:pgMar w:top="1134" w:right="1417" w:bottom="1134" w:left="1417" w:header="709" w:footer="709" w:gutter="0"/>
          <w:cols w:space="708"/>
          <w:docGrid w:linePitch="360"/>
        </w:sectPr>
      </w:pPr>
    </w:p>
    <w:p w14:paraId="35D3F704" w14:textId="77777777" w:rsidR="009D1FEE" w:rsidRDefault="009D1FEE">
      <w:pPr>
        <w:pStyle w:val="Fichefinanciretitre"/>
        <w:keepNext/>
        <w:rPr>
          <w:noProof/>
        </w:rPr>
      </w:pPr>
      <w:r w:rsidRPr="00732102">
        <w:rPr>
          <w:noProof/>
        </w:rPr>
        <w:lastRenderedPageBreak/>
        <w:t>LEGISLATIVE FINANCIAL AND DIGITAL STATEMENT</w:t>
      </w:r>
    </w:p>
    <w:sdt>
      <w:sdtPr>
        <w:rPr>
          <w:b w:val="0"/>
          <w:sz w:val="24"/>
          <w:szCs w:val="24"/>
        </w:rPr>
        <w:id w:val="-2071025633"/>
        <w:docPartObj>
          <w:docPartGallery w:val="Table of Contents"/>
          <w:docPartUnique/>
        </w:docPartObj>
      </w:sdtPr>
      <w:sdtEndPr>
        <w:rPr>
          <w:noProof/>
        </w:rPr>
      </w:sdtEndPr>
      <w:sdtContent>
        <w:p w14:paraId="1FB82561" w14:textId="77777777" w:rsidR="00722BBB" w:rsidRDefault="00722BBB">
          <w:pPr>
            <w:pStyle w:val="TOCHeading"/>
          </w:pPr>
        </w:p>
        <w:p w14:paraId="767EB44E" w14:textId="77777777" w:rsidR="003328DF" w:rsidRDefault="00722BBB">
          <w:pPr>
            <w:pStyle w:val="TOC1"/>
            <w:rPr>
              <w:rFonts w:asciiTheme="minorHAnsi" w:eastAsiaTheme="minorEastAsia" w:hAnsiTheme="minorHAnsi" w:cstheme="minorBidi"/>
              <w:noProof/>
              <w:kern w:val="2"/>
              <w:szCs w:val="24"/>
              <w:lang w:val="en-IE" w:eastAsia="en-IE"/>
              <w14:ligatures w14:val="standardContextual"/>
            </w:rPr>
          </w:pPr>
          <w:r>
            <w:fldChar w:fldCharType="begin"/>
          </w:r>
          <w:r>
            <w:instrText xml:space="preserve"> TOC \o "1-3" \h \z \u </w:instrText>
          </w:r>
          <w:r>
            <w:fldChar w:fldCharType="separate"/>
          </w:r>
          <w:hyperlink w:anchor="_Toc191189466" w:history="1">
            <w:r w:rsidR="003328DF" w:rsidRPr="00BD1AC1">
              <w:rPr>
                <w:rStyle w:val="Hyperlink"/>
                <w:noProof/>
                <w:lang w:val="en-IE"/>
              </w:rPr>
              <w:t>1.</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CONTEXT OF THE PROPOSAL</w:t>
            </w:r>
            <w:r w:rsidR="003328DF">
              <w:rPr>
                <w:noProof/>
                <w:webHidden/>
              </w:rPr>
              <w:tab/>
            </w:r>
            <w:r w:rsidR="003328DF">
              <w:rPr>
                <w:noProof/>
                <w:webHidden/>
              </w:rPr>
              <w:fldChar w:fldCharType="begin"/>
            </w:r>
            <w:r w:rsidR="003328DF">
              <w:rPr>
                <w:noProof/>
                <w:webHidden/>
              </w:rPr>
              <w:instrText xml:space="preserve"> PAGEREF _Toc191189466 \h </w:instrText>
            </w:r>
            <w:r w:rsidR="003328DF">
              <w:rPr>
                <w:noProof/>
                <w:webHidden/>
              </w:rPr>
            </w:r>
            <w:r w:rsidR="003328DF">
              <w:rPr>
                <w:noProof/>
                <w:webHidden/>
              </w:rPr>
              <w:fldChar w:fldCharType="separate"/>
            </w:r>
            <w:r w:rsidR="003328DF">
              <w:rPr>
                <w:noProof/>
                <w:webHidden/>
              </w:rPr>
              <w:t>1</w:t>
            </w:r>
            <w:r w:rsidR="003328DF">
              <w:rPr>
                <w:noProof/>
                <w:webHidden/>
              </w:rPr>
              <w:fldChar w:fldCharType="end"/>
            </w:r>
          </w:hyperlink>
        </w:p>
        <w:p w14:paraId="75D80BC5"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67"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lang w:val="en-IE"/>
              </w:rPr>
              <w:t>Reasons for and objectives of the proposal</w:t>
            </w:r>
            <w:r w:rsidR="003328DF">
              <w:rPr>
                <w:noProof/>
                <w:webHidden/>
              </w:rPr>
              <w:tab/>
            </w:r>
            <w:r w:rsidR="003328DF">
              <w:rPr>
                <w:noProof/>
                <w:webHidden/>
              </w:rPr>
              <w:fldChar w:fldCharType="begin"/>
            </w:r>
            <w:r w:rsidR="003328DF">
              <w:rPr>
                <w:noProof/>
                <w:webHidden/>
              </w:rPr>
              <w:instrText xml:space="preserve"> PAGEREF _Toc191189467 \h </w:instrText>
            </w:r>
            <w:r w:rsidR="003328DF">
              <w:rPr>
                <w:noProof/>
                <w:webHidden/>
              </w:rPr>
            </w:r>
            <w:r w:rsidR="003328DF">
              <w:rPr>
                <w:noProof/>
                <w:webHidden/>
              </w:rPr>
              <w:fldChar w:fldCharType="separate"/>
            </w:r>
            <w:r w:rsidR="003328DF">
              <w:rPr>
                <w:noProof/>
                <w:webHidden/>
              </w:rPr>
              <w:t>1</w:t>
            </w:r>
            <w:r w:rsidR="003328DF">
              <w:rPr>
                <w:noProof/>
                <w:webHidden/>
              </w:rPr>
              <w:fldChar w:fldCharType="end"/>
            </w:r>
          </w:hyperlink>
        </w:p>
        <w:p w14:paraId="7C487315"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68"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lang w:val="en-IE"/>
              </w:rPr>
              <w:t>Consistency with existing policy provisions in the policy area</w:t>
            </w:r>
            <w:r w:rsidR="003328DF">
              <w:rPr>
                <w:noProof/>
                <w:webHidden/>
              </w:rPr>
              <w:tab/>
            </w:r>
            <w:r w:rsidR="003328DF">
              <w:rPr>
                <w:noProof/>
                <w:webHidden/>
              </w:rPr>
              <w:fldChar w:fldCharType="begin"/>
            </w:r>
            <w:r w:rsidR="003328DF">
              <w:rPr>
                <w:noProof/>
                <w:webHidden/>
              </w:rPr>
              <w:instrText xml:space="preserve"> PAGEREF _Toc191189468 \h </w:instrText>
            </w:r>
            <w:r w:rsidR="003328DF">
              <w:rPr>
                <w:noProof/>
                <w:webHidden/>
              </w:rPr>
            </w:r>
            <w:r w:rsidR="003328DF">
              <w:rPr>
                <w:noProof/>
                <w:webHidden/>
              </w:rPr>
              <w:fldChar w:fldCharType="separate"/>
            </w:r>
            <w:r w:rsidR="003328DF">
              <w:rPr>
                <w:noProof/>
                <w:webHidden/>
              </w:rPr>
              <w:t>7</w:t>
            </w:r>
            <w:r w:rsidR="003328DF">
              <w:rPr>
                <w:noProof/>
                <w:webHidden/>
              </w:rPr>
              <w:fldChar w:fldCharType="end"/>
            </w:r>
          </w:hyperlink>
        </w:p>
        <w:p w14:paraId="0273E9D7"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69"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lang w:val="en-IE"/>
              </w:rPr>
              <w:t>Consistency with other Union policies</w:t>
            </w:r>
            <w:r w:rsidR="003328DF">
              <w:rPr>
                <w:noProof/>
                <w:webHidden/>
              </w:rPr>
              <w:tab/>
            </w:r>
            <w:r w:rsidR="003328DF">
              <w:rPr>
                <w:noProof/>
                <w:webHidden/>
              </w:rPr>
              <w:fldChar w:fldCharType="begin"/>
            </w:r>
            <w:r w:rsidR="003328DF">
              <w:rPr>
                <w:noProof/>
                <w:webHidden/>
              </w:rPr>
              <w:instrText xml:space="preserve"> PAGEREF _Toc191189469 \h </w:instrText>
            </w:r>
            <w:r w:rsidR="003328DF">
              <w:rPr>
                <w:noProof/>
                <w:webHidden/>
              </w:rPr>
            </w:r>
            <w:r w:rsidR="003328DF">
              <w:rPr>
                <w:noProof/>
                <w:webHidden/>
              </w:rPr>
              <w:fldChar w:fldCharType="separate"/>
            </w:r>
            <w:r w:rsidR="003328DF">
              <w:rPr>
                <w:noProof/>
                <w:webHidden/>
              </w:rPr>
              <w:t>8</w:t>
            </w:r>
            <w:r w:rsidR="003328DF">
              <w:rPr>
                <w:noProof/>
                <w:webHidden/>
              </w:rPr>
              <w:fldChar w:fldCharType="end"/>
            </w:r>
          </w:hyperlink>
        </w:p>
        <w:p w14:paraId="33DE7E4D" w14:textId="77777777" w:rsidR="003328DF" w:rsidRDefault="00533715">
          <w:pPr>
            <w:pStyle w:val="TOC1"/>
            <w:rPr>
              <w:rFonts w:asciiTheme="minorHAnsi" w:eastAsiaTheme="minorEastAsia" w:hAnsiTheme="minorHAnsi" w:cstheme="minorBidi"/>
              <w:noProof/>
              <w:kern w:val="2"/>
              <w:szCs w:val="24"/>
              <w:lang w:val="en-IE" w:eastAsia="en-IE"/>
              <w14:ligatures w14:val="standardContextual"/>
            </w:rPr>
          </w:pPr>
          <w:hyperlink w:anchor="_Toc191189470" w:history="1">
            <w:r w:rsidR="003328DF" w:rsidRPr="00BD1AC1">
              <w:rPr>
                <w:rStyle w:val="Hyperlink"/>
                <w:noProof/>
                <w:lang w:val="en-IE"/>
              </w:rPr>
              <w:t>2.</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LEGAL BASIS, SUBSIDIARITY AND PROPORTIONALITY</w:t>
            </w:r>
            <w:r w:rsidR="003328DF">
              <w:rPr>
                <w:noProof/>
                <w:webHidden/>
              </w:rPr>
              <w:tab/>
            </w:r>
            <w:r w:rsidR="003328DF">
              <w:rPr>
                <w:noProof/>
                <w:webHidden/>
              </w:rPr>
              <w:fldChar w:fldCharType="begin"/>
            </w:r>
            <w:r w:rsidR="003328DF">
              <w:rPr>
                <w:noProof/>
                <w:webHidden/>
              </w:rPr>
              <w:instrText xml:space="preserve"> PAGEREF _Toc191189470 \h </w:instrText>
            </w:r>
            <w:r w:rsidR="003328DF">
              <w:rPr>
                <w:noProof/>
                <w:webHidden/>
              </w:rPr>
            </w:r>
            <w:r w:rsidR="003328DF">
              <w:rPr>
                <w:noProof/>
                <w:webHidden/>
              </w:rPr>
              <w:fldChar w:fldCharType="separate"/>
            </w:r>
            <w:r w:rsidR="003328DF">
              <w:rPr>
                <w:noProof/>
                <w:webHidden/>
              </w:rPr>
              <w:t>9</w:t>
            </w:r>
            <w:r w:rsidR="003328DF">
              <w:rPr>
                <w:noProof/>
                <w:webHidden/>
              </w:rPr>
              <w:fldChar w:fldCharType="end"/>
            </w:r>
          </w:hyperlink>
        </w:p>
        <w:p w14:paraId="79A0155B"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71"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bdr w:val="nil"/>
                <w:lang w:val="en-IE" w:eastAsia="en-GB"/>
              </w:rPr>
              <w:t>Legal basis</w:t>
            </w:r>
            <w:r w:rsidR="003328DF">
              <w:rPr>
                <w:noProof/>
                <w:webHidden/>
              </w:rPr>
              <w:tab/>
            </w:r>
            <w:r w:rsidR="003328DF">
              <w:rPr>
                <w:noProof/>
                <w:webHidden/>
              </w:rPr>
              <w:fldChar w:fldCharType="begin"/>
            </w:r>
            <w:r w:rsidR="003328DF">
              <w:rPr>
                <w:noProof/>
                <w:webHidden/>
              </w:rPr>
              <w:instrText xml:space="preserve"> PAGEREF _Toc191189471 \h </w:instrText>
            </w:r>
            <w:r w:rsidR="003328DF">
              <w:rPr>
                <w:noProof/>
                <w:webHidden/>
              </w:rPr>
            </w:r>
            <w:r w:rsidR="003328DF">
              <w:rPr>
                <w:noProof/>
                <w:webHidden/>
              </w:rPr>
              <w:fldChar w:fldCharType="separate"/>
            </w:r>
            <w:r w:rsidR="003328DF">
              <w:rPr>
                <w:noProof/>
                <w:webHidden/>
              </w:rPr>
              <w:t>9</w:t>
            </w:r>
            <w:r w:rsidR="003328DF">
              <w:rPr>
                <w:noProof/>
                <w:webHidden/>
              </w:rPr>
              <w:fldChar w:fldCharType="end"/>
            </w:r>
          </w:hyperlink>
        </w:p>
        <w:p w14:paraId="0D603C8C"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72"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bdr w:val="nil"/>
                <w:lang w:val="en-IE" w:eastAsia="en-GB"/>
              </w:rPr>
              <w:t>Subsidiarity (for non-exclusive competence)</w:t>
            </w:r>
            <w:r w:rsidR="003328DF">
              <w:rPr>
                <w:noProof/>
                <w:webHidden/>
              </w:rPr>
              <w:tab/>
            </w:r>
            <w:r w:rsidR="003328DF">
              <w:rPr>
                <w:noProof/>
                <w:webHidden/>
              </w:rPr>
              <w:fldChar w:fldCharType="begin"/>
            </w:r>
            <w:r w:rsidR="003328DF">
              <w:rPr>
                <w:noProof/>
                <w:webHidden/>
              </w:rPr>
              <w:instrText xml:space="preserve"> PAGEREF _Toc191189472 \h </w:instrText>
            </w:r>
            <w:r w:rsidR="003328DF">
              <w:rPr>
                <w:noProof/>
                <w:webHidden/>
              </w:rPr>
            </w:r>
            <w:r w:rsidR="003328DF">
              <w:rPr>
                <w:noProof/>
                <w:webHidden/>
              </w:rPr>
              <w:fldChar w:fldCharType="separate"/>
            </w:r>
            <w:r w:rsidR="003328DF">
              <w:rPr>
                <w:noProof/>
                <w:webHidden/>
              </w:rPr>
              <w:t>9</w:t>
            </w:r>
            <w:r w:rsidR="003328DF">
              <w:rPr>
                <w:noProof/>
                <w:webHidden/>
              </w:rPr>
              <w:fldChar w:fldCharType="end"/>
            </w:r>
          </w:hyperlink>
        </w:p>
        <w:p w14:paraId="3FFF7D55"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73"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bdr w:val="nil"/>
                <w:lang w:val="en-IE" w:eastAsia="en-GB"/>
              </w:rPr>
              <w:t>Proportionality</w:t>
            </w:r>
            <w:r w:rsidR="003328DF">
              <w:rPr>
                <w:noProof/>
                <w:webHidden/>
              </w:rPr>
              <w:tab/>
            </w:r>
            <w:r w:rsidR="003328DF">
              <w:rPr>
                <w:noProof/>
                <w:webHidden/>
              </w:rPr>
              <w:fldChar w:fldCharType="begin"/>
            </w:r>
            <w:r w:rsidR="003328DF">
              <w:rPr>
                <w:noProof/>
                <w:webHidden/>
              </w:rPr>
              <w:instrText xml:space="preserve"> PAGEREF _Toc191189473 \h </w:instrText>
            </w:r>
            <w:r w:rsidR="003328DF">
              <w:rPr>
                <w:noProof/>
                <w:webHidden/>
              </w:rPr>
            </w:r>
            <w:r w:rsidR="003328DF">
              <w:rPr>
                <w:noProof/>
                <w:webHidden/>
              </w:rPr>
              <w:fldChar w:fldCharType="separate"/>
            </w:r>
            <w:r w:rsidR="003328DF">
              <w:rPr>
                <w:noProof/>
                <w:webHidden/>
              </w:rPr>
              <w:t>9</w:t>
            </w:r>
            <w:r w:rsidR="003328DF">
              <w:rPr>
                <w:noProof/>
                <w:webHidden/>
              </w:rPr>
              <w:fldChar w:fldCharType="end"/>
            </w:r>
          </w:hyperlink>
        </w:p>
        <w:p w14:paraId="477801BE"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74"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bdr w:val="nil"/>
                <w:lang w:val="en-IE" w:eastAsia="en-GB"/>
              </w:rPr>
              <w:t>Choice of the instrument</w:t>
            </w:r>
            <w:r w:rsidR="003328DF">
              <w:rPr>
                <w:noProof/>
                <w:webHidden/>
              </w:rPr>
              <w:tab/>
            </w:r>
            <w:r w:rsidR="003328DF">
              <w:rPr>
                <w:noProof/>
                <w:webHidden/>
              </w:rPr>
              <w:fldChar w:fldCharType="begin"/>
            </w:r>
            <w:r w:rsidR="003328DF">
              <w:rPr>
                <w:noProof/>
                <w:webHidden/>
              </w:rPr>
              <w:instrText xml:space="preserve"> PAGEREF _Toc191189474 \h </w:instrText>
            </w:r>
            <w:r w:rsidR="003328DF">
              <w:rPr>
                <w:noProof/>
                <w:webHidden/>
              </w:rPr>
            </w:r>
            <w:r w:rsidR="003328DF">
              <w:rPr>
                <w:noProof/>
                <w:webHidden/>
              </w:rPr>
              <w:fldChar w:fldCharType="separate"/>
            </w:r>
            <w:r w:rsidR="003328DF">
              <w:rPr>
                <w:noProof/>
                <w:webHidden/>
              </w:rPr>
              <w:t>10</w:t>
            </w:r>
            <w:r w:rsidR="003328DF">
              <w:rPr>
                <w:noProof/>
                <w:webHidden/>
              </w:rPr>
              <w:fldChar w:fldCharType="end"/>
            </w:r>
          </w:hyperlink>
        </w:p>
        <w:p w14:paraId="61E7A406" w14:textId="77777777" w:rsidR="003328DF" w:rsidRDefault="00533715">
          <w:pPr>
            <w:pStyle w:val="TOC1"/>
            <w:rPr>
              <w:rFonts w:asciiTheme="minorHAnsi" w:eastAsiaTheme="minorEastAsia" w:hAnsiTheme="minorHAnsi" w:cstheme="minorBidi"/>
              <w:noProof/>
              <w:kern w:val="2"/>
              <w:szCs w:val="24"/>
              <w:lang w:val="en-IE" w:eastAsia="en-IE"/>
              <w14:ligatures w14:val="standardContextual"/>
            </w:rPr>
          </w:pPr>
          <w:hyperlink w:anchor="_Toc191189475" w:history="1">
            <w:r w:rsidR="003328DF" w:rsidRPr="00BD1AC1">
              <w:rPr>
                <w:rStyle w:val="Hyperlink"/>
                <w:noProof/>
                <w:lang w:val="en-IE"/>
              </w:rPr>
              <w:t>3.</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RESULTS OF EX-POST EVALUATIONS, STAKEHOLDER CONSULTATIONS AND IMPACT ASSESSMENTS</w:t>
            </w:r>
            <w:r w:rsidR="003328DF">
              <w:rPr>
                <w:noProof/>
                <w:webHidden/>
              </w:rPr>
              <w:tab/>
            </w:r>
            <w:r w:rsidR="003328DF">
              <w:rPr>
                <w:noProof/>
                <w:webHidden/>
              </w:rPr>
              <w:fldChar w:fldCharType="begin"/>
            </w:r>
            <w:r w:rsidR="003328DF">
              <w:rPr>
                <w:noProof/>
                <w:webHidden/>
              </w:rPr>
              <w:instrText xml:space="preserve"> PAGEREF _Toc191189475 \h </w:instrText>
            </w:r>
            <w:r w:rsidR="003328DF">
              <w:rPr>
                <w:noProof/>
                <w:webHidden/>
              </w:rPr>
            </w:r>
            <w:r w:rsidR="003328DF">
              <w:rPr>
                <w:noProof/>
                <w:webHidden/>
              </w:rPr>
              <w:fldChar w:fldCharType="separate"/>
            </w:r>
            <w:r w:rsidR="003328DF">
              <w:rPr>
                <w:noProof/>
                <w:webHidden/>
              </w:rPr>
              <w:t>10</w:t>
            </w:r>
            <w:r w:rsidR="003328DF">
              <w:rPr>
                <w:noProof/>
                <w:webHidden/>
              </w:rPr>
              <w:fldChar w:fldCharType="end"/>
            </w:r>
          </w:hyperlink>
        </w:p>
        <w:p w14:paraId="0E8C5765"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76"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bdr w:val="nil"/>
                <w:lang w:val="en-IE" w:eastAsia="en-GB"/>
              </w:rPr>
              <w:t>Ex-post evaluations/fitness checks of existing legislation</w:t>
            </w:r>
            <w:r w:rsidR="003328DF">
              <w:rPr>
                <w:noProof/>
                <w:webHidden/>
              </w:rPr>
              <w:tab/>
            </w:r>
            <w:r w:rsidR="003328DF">
              <w:rPr>
                <w:noProof/>
                <w:webHidden/>
              </w:rPr>
              <w:fldChar w:fldCharType="begin"/>
            </w:r>
            <w:r w:rsidR="003328DF">
              <w:rPr>
                <w:noProof/>
                <w:webHidden/>
              </w:rPr>
              <w:instrText xml:space="preserve"> PAGEREF _Toc191189476 \h </w:instrText>
            </w:r>
            <w:r w:rsidR="003328DF">
              <w:rPr>
                <w:noProof/>
                <w:webHidden/>
              </w:rPr>
            </w:r>
            <w:r w:rsidR="003328DF">
              <w:rPr>
                <w:noProof/>
                <w:webHidden/>
              </w:rPr>
              <w:fldChar w:fldCharType="separate"/>
            </w:r>
            <w:r w:rsidR="003328DF">
              <w:rPr>
                <w:noProof/>
                <w:webHidden/>
              </w:rPr>
              <w:t>10</w:t>
            </w:r>
            <w:r w:rsidR="003328DF">
              <w:rPr>
                <w:noProof/>
                <w:webHidden/>
              </w:rPr>
              <w:fldChar w:fldCharType="end"/>
            </w:r>
          </w:hyperlink>
        </w:p>
        <w:p w14:paraId="39016FAB"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77"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bdr w:val="nil"/>
                <w:lang w:val="en-IE" w:eastAsia="en-GB"/>
              </w:rPr>
              <w:t>Stakeholder consultations</w:t>
            </w:r>
            <w:r w:rsidR="003328DF">
              <w:rPr>
                <w:noProof/>
                <w:webHidden/>
              </w:rPr>
              <w:tab/>
            </w:r>
            <w:r w:rsidR="003328DF">
              <w:rPr>
                <w:noProof/>
                <w:webHidden/>
              </w:rPr>
              <w:fldChar w:fldCharType="begin"/>
            </w:r>
            <w:r w:rsidR="003328DF">
              <w:rPr>
                <w:noProof/>
                <w:webHidden/>
              </w:rPr>
              <w:instrText xml:space="preserve"> PAGEREF _Toc191189477 \h </w:instrText>
            </w:r>
            <w:r w:rsidR="003328DF">
              <w:rPr>
                <w:noProof/>
                <w:webHidden/>
              </w:rPr>
            </w:r>
            <w:r w:rsidR="003328DF">
              <w:rPr>
                <w:noProof/>
                <w:webHidden/>
              </w:rPr>
              <w:fldChar w:fldCharType="separate"/>
            </w:r>
            <w:r w:rsidR="003328DF">
              <w:rPr>
                <w:noProof/>
                <w:webHidden/>
              </w:rPr>
              <w:t>10</w:t>
            </w:r>
            <w:r w:rsidR="003328DF">
              <w:rPr>
                <w:noProof/>
                <w:webHidden/>
              </w:rPr>
              <w:fldChar w:fldCharType="end"/>
            </w:r>
          </w:hyperlink>
        </w:p>
        <w:p w14:paraId="0725D2E2"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78"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bdr w:val="nil"/>
                <w:lang w:val="en-IE" w:eastAsia="en-GB"/>
              </w:rPr>
              <w:t>Collection and use of expertise</w:t>
            </w:r>
            <w:r w:rsidR="003328DF">
              <w:rPr>
                <w:noProof/>
                <w:webHidden/>
              </w:rPr>
              <w:tab/>
            </w:r>
            <w:r w:rsidR="003328DF">
              <w:rPr>
                <w:noProof/>
                <w:webHidden/>
              </w:rPr>
              <w:fldChar w:fldCharType="begin"/>
            </w:r>
            <w:r w:rsidR="003328DF">
              <w:rPr>
                <w:noProof/>
                <w:webHidden/>
              </w:rPr>
              <w:instrText xml:space="preserve"> PAGEREF _Toc191189478 \h </w:instrText>
            </w:r>
            <w:r w:rsidR="003328DF">
              <w:rPr>
                <w:noProof/>
                <w:webHidden/>
              </w:rPr>
            </w:r>
            <w:r w:rsidR="003328DF">
              <w:rPr>
                <w:noProof/>
                <w:webHidden/>
              </w:rPr>
              <w:fldChar w:fldCharType="separate"/>
            </w:r>
            <w:r w:rsidR="003328DF">
              <w:rPr>
                <w:noProof/>
                <w:webHidden/>
              </w:rPr>
              <w:t>12</w:t>
            </w:r>
            <w:r w:rsidR="003328DF">
              <w:rPr>
                <w:noProof/>
                <w:webHidden/>
              </w:rPr>
              <w:fldChar w:fldCharType="end"/>
            </w:r>
          </w:hyperlink>
        </w:p>
        <w:p w14:paraId="5117E0D2"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79"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bdr w:val="nil"/>
                <w:lang w:val="en-IE" w:eastAsia="en-GB"/>
              </w:rPr>
              <w:t>Impact assessment</w:t>
            </w:r>
            <w:r w:rsidR="003328DF">
              <w:rPr>
                <w:noProof/>
                <w:webHidden/>
              </w:rPr>
              <w:tab/>
            </w:r>
            <w:r w:rsidR="003328DF">
              <w:rPr>
                <w:noProof/>
                <w:webHidden/>
              </w:rPr>
              <w:fldChar w:fldCharType="begin"/>
            </w:r>
            <w:r w:rsidR="003328DF">
              <w:rPr>
                <w:noProof/>
                <w:webHidden/>
              </w:rPr>
              <w:instrText xml:space="preserve"> PAGEREF _Toc191189479 \h </w:instrText>
            </w:r>
            <w:r w:rsidR="003328DF">
              <w:rPr>
                <w:noProof/>
                <w:webHidden/>
              </w:rPr>
            </w:r>
            <w:r w:rsidR="003328DF">
              <w:rPr>
                <w:noProof/>
                <w:webHidden/>
              </w:rPr>
              <w:fldChar w:fldCharType="separate"/>
            </w:r>
            <w:r w:rsidR="003328DF">
              <w:rPr>
                <w:noProof/>
                <w:webHidden/>
              </w:rPr>
              <w:t>12</w:t>
            </w:r>
            <w:r w:rsidR="003328DF">
              <w:rPr>
                <w:noProof/>
                <w:webHidden/>
              </w:rPr>
              <w:fldChar w:fldCharType="end"/>
            </w:r>
          </w:hyperlink>
        </w:p>
        <w:p w14:paraId="1C18C563"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80"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bdr w:val="nil"/>
                <w:lang w:val="en-IE" w:eastAsia="en-GB"/>
              </w:rPr>
              <w:t>Regulatory fitness and simplification</w:t>
            </w:r>
            <w:r w:rsidR="003328DF">
              <w:rPr>
                <w:noProof/>
                <w:webHidden/>
              </w:rPr>
              <w:tab/>
            </w:r>
            <w:r w:rsidR="003328DF">
              <w:rPr>
                <w:noProof/>
                <w:webHidden/>
              </w:rPr>
              <w:fldChar w:fldCharType="begin"/>
            </w:r>
            <w:r w:rsidR="003328DF">
              <w:rPr>
                <w:noProof/>
                <w:webHidden/>
              </w:rPr>
              <w:instrText xml:space="preserve"> PAGEREF _Toc191189480 \h </w:instrText>
            </w:r>
            <w:r w:rsidR="003328DF">
              <w:rPr>
                <w:noProof/>
                <w:webHidden/>
              </w:rPr>
            </w:r>
            <w:r w:rsidR="003328DF">
              <w:rPr>
                <w:noProof/>
                <w:webHidden/>
              </w:rPr>
              <w:fldChar w:fldCharType="separate"/>
            </w:r>
            <w:r w:rsidR="003328DF">
              <w:rPr>
                <w:noProof/>
                <w:webHidden/>
              </w:rPr>
              <w:t>13</w:t>
            </w:r>
            <w:r w:rsidR="003328DF">
              <w:rPr>
                <w:noProof/>
                <w:webHidden/>
              </w:rPr>
              <w:fldChar w:fldCharType="end"/>
            </w:r>
          </w:hyperlink>
        </w:p>
        <w:p w14:paraId="7D592C6C"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81"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bdr w:val="nil"/>
                <w:lang w:val="en-IE" w:eastAsia="en-GB"/>
              </w:rPr>
              <w:t>Fundamental rights</w:t>
            </w:r>
            <w:r w:rsidR="003328DF">
              <w:rPr>
                <w:noProof/>
                <w:webHidden/>
              </w:rPr>
              <w:tab/>
            </w:r>
            <w:r w:rsidR="003328DF">
              <w:rPr>
                <w:noProof/>
                <w:webHidden/>
              </w:rPr>
              <w:fldChar w:fldCharType="begin"/>
            </w:r>
            <w:r w:rsidR="003328DF">
              <w:rPr>
                <w:noProof/>
                <w:webHidden/>
              </w:rPr>
              <w:instrText xml:space="preserve"> PAGEREF _Toc191189481 \h </w:instrText>
            </w:r>
            <w:r w:rsidR="003328DF">
              <w:rPr>
                <w:noProof/>
                <w:webHidden/>
              </w:rPr>
            </w:r>
            <w:r w:rsidR="003328DF">
              <w:rPr>
                <w:noProof/>
                <w:webHidden/>
              </w:rPr>
              <w:fldChar w:fldCharType="separate"/>
            </w:r>
            <w:r w:rsidR="003328DF">
              <w:rPr>
                <w:noProof/>
                <w:webHidden/>
              </w:rPr>
              <w:t>13</w:t>
            </w:r>
            <w:r w:rsidR="003328DF">
              <w:rPr>
                <w:noProof/>
                <w:webHidden/>
              </w:rPr>
              <w:fldChar w:fldCharType="end"/>
            </w:r>
          </w:hyperlink>
        </w:p>
        <w:p w14:paraId="610A13AF" w14:textId="77777777" w:rsidR="003328DF" w:rsidRDefault="00533715">
          <w:pPr>
            <w:pStyle w:val="TOC1"/>
            <w:rPr>
              <w:rFonts w:asciiTheme="minorHAnsi" w:eastAsiaTheme="minorEastAsia" w:hAnsiTheme="minorHAnsi" w:cstheme="minorBidi"/>
              <w:noProof/>
              <w:kern w:val="2"/>
              <w:szCs w:val="24"/>
              <w:lang w:val="en-IE" w:eastAsia="en-IE"/>
              <w14:ligatures w14:val="standardContextual"/>
            </w:rPr>
          </w:pPr>
          <w:hyperlink w:anchor="_Toc191189482" w:history="1">
            <w:r w:rsidR="003328DF" w:rsidRPr="00BD1AC1">
              <w:rPr>
                <w:rStyle w:val="Hyperlink"/>
                <w:noProof/>
                <w:lang w:val="en-IE"/>
              </w:rPr>
              <w:t>4.</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BUDGETARY IMPLICATIONS</w:t>
            </w:r>
            <w:r w:rsidR="003328DF">
              <w:rPr>
                <w:noProof/>
                <w:webHidden/>
              </w:rPr>
              <w:tab/>
            </w:r>
            <w:r w:rsidR="003328DF">
              <w:rPr>
                <w:noProof/>
                <w:webHidden/>
              </w:rPr>
              <w:fldChar w:fldCharType="begin"/>
            </w:r>
            <w:r w:rsidR="003328DF">
              <w:rPr>
                <w:noProof/>
                <w:webHidden/>
              </w:rPr>
              <w:instrText xml:space="preserve"> PAGEREF _Toc191189482 \h </w:instrText>
            </w:r>
            <w:r w:rsidR="003328DF">
              <w:rPr>
                <w:noProof/>
                <w:webHidden/>
              </w:rPr>
            </w:r>
            <w:r w:rsidR="003328DF">
              <w:rPr>
                <w:noProof/>
                <w:webHidden/>
              </w:rPr>
              <w:fldChar w:fldCharType="separate"/>
            </w:r>
            <w:r w:rsidR="003328DF">
              <w:rPr>
                <w:noProof/>
                <w:webHidden/>
              </w:rPr>
              <w:t>14</w:t>
            </w:r>
            <w:r w:rsidR="003328DF">
              <w:rPr>
                <w:noProof/>
                <w:webHidden/>
              </w:rPr>
              <w:fldChar w:fldCharType="end"/>
            </w:r>
          </w:hyperlink>
        </w:p>
        <w:p w14:paraId="5AA20281" w14:textId="77777777" w:rsidR="003328DF" w:rsidRDefault="00533715">
          <w:pPr>
            <w:pStyle w:val="TOC1"/>
            <w:rPr>
              <w:rFonts w:asciiTheme="minorHAnsi" w:eastAsiaTheme="minorEastAsia" w:hAnsiTheme="minorHAnsi" w:cstheme="minorBidi"/>
              <w:noProof/>
              <w:kern w:val="2"/>
              <w:szCs w:val="24"/>
              <w:lang w:val="en-IE" w:eastAsia="en-IE"/>
              <w14:ligatures w14:val="standardContextual"/>
            </w:rPr>
          </w:pPr>
          <w:hyperlink w:anchor="_Toc191189483" w:history="1">
            <w:r w:rsidR="003328DF" w:rsidRPr="00BD1AC1">
              <w:rPr>
                <w:rStyle w:val="Hyperlink"/>
                <w:noProof/>
                <w:lang w:val="en-IE"/>
              </w:rPr>
              <w:t>5.</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OTHER ELEMENTS</w:t>
            </w:r>
            <w:r w:rsidR="003328DF">
              <w:rPr>
                <w:noProof/>
                <w:webHidden/>
              </w:rPr>
              <w:tab/>
            </w:r>
            <w:r w:rsidR="003328DF">
              <w:rPr>
                <w:noProof/>
                <w:webHidden/>
              </w:rPr>
              <w:fldChar w:fldCharType="begin"/>
            </w:r>
            <w:r w:rsidR="003328DF">
              <w:rPr>
                <w:noProof/>
                <w:webHidden/>
              </w:rPr>
              <w:instrText xml:space="preserve"> PAGEREF _Toc191189483 \h </w:instrText>
            </w:r>
            <w:r w:rsidR="003328DF">
              <w:rPr>
                <w:noProof/>
                <w:webHidden/>
              </w:rPr>
            </w:r>
            <w:r w:rsidR="003328DF">
              <w:rPr>
                <w:noProof/>
                <w:webHidden/>
              </w:rPr>
              <w:fldChar w:fldCharType="separate"/>
            </w:r>
            <w:r w:rsidR="003328DF">
              <w:rPr>
                <w:noProof/>
                <w:webHidden/>
              </w:rPr>
              <w:t>14</w:t>
            </w:r>
            <w:r w:rsidR="003328DF">
              <w:rPr>
                <w:noProof/>
                <w:webHidden/>
              </w:rPr>
              <w:fldChar w:fldCharType="end"/>
            </w:r>
          </w:hyperlink>
        </w:p>
        <w:p w14:paraId="1446F837"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84"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bdr w:val="nil"/>
                <w:lang w:val="en-IE" w:eastAsia="en-GB"/>
              </w:rPr>
              <w:t>Implementation plans and monitoring, evaluation and reporting arrangements</w:t>
            </w:r>
            <w:r w:rsidR="003328DF">
              <w:rPr>
                <w:noProof/>
                <w:webHidden/>
              </w:rPr>
              <w:tab/>
            </w:r>
            <w:r w:rsidR="003328DF">
              <w:rPr>
                <w:noProof/>
                <w:webHidden/>
              </w:rPr>
              <w:fldChar w:fldCharType="begin"/>
            </w:r>
            <w:r w:rsidR="003328DF">
              <w:rPr>
                <w:noProof/>
                <w:webHidden/>
              </w:rPr>
              <w:instrText xml:space="preserve"> PAGEREF _Toc191189484 \h </w:instrText>
            </w:r>
            <w:r w:rsidR="003328DF">
              <w:rPr>
                <w:noProof/>
                <w:webHidden/>
              </w:rPr>
            </w:r>
            <w:r w:rsidR="003328DF">
              <w:rPr>
                <w:noProof/>
                <w:webHidden/>
              </w:rPr>
              <w:fldChar w:fldCharType="separate"/>
            </w:r>
            <w:r w:rsidR="003328DF">
              <w:rPr>
                <w:noProof/>
                <w:webHidden/>
              </w:rPr>
              <w:t>14</w:t>
            </w:r>
            <w:r w:rsidR="003328DF">
              <w:rPr>
                <w:noProof/>
                <w:webHidden/>
              </w:rPr>
              <w:fldChar w:fldCharType="end"/>
            </w:r>
          </w:hyperlink>
        </w:p>
        <w:p w14:paraId="01AD184C"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85"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bdr w:val="nil"/>
                <w:lang w:val="en-IE" w:eastAsia="en-GB"/>
              </w:rPr>
              <w:t>Explanatory documents (for directives)</w:t>
            </w:r>
            <w:r w:rsidR="003328DF">
              <w:rPr>
                <w:noProof/>
                <w:webHidden/>
              </w:rPr>
              <w:tab/>
            </w:r>
            <w:r w:rsidR="003328DF">
              <w:rPr>
                <w:noProof/>
                <w:webHidden/>
              </w:rPr>
              <w:fldChar w:fldCharType="begin"/>
            </w:r>
            <w:r w:rsidR="003328DF">
              <w:rPr>
                <w:noProof/>
                <w:webHidden/>
              </w:rPr>
              <w:instrText xml:space="preserve"> PAGEREF _Toc191189485 \h </w:instrText>
            </w:r>
            <w:r w:rsidR="003328DF">
              <w:rPr>
                <w:noProof/>
                <w:webHidden/>
              </w:rPr>
            </w:r>
            <w:r w:rsidR="003328DF">
              <w:rPr>
                <w:noProof/>
                <w:webHidden/>
              </w:rPr>
              <w:fldChar w:fldCharType="separate"/>
            </w:r>
            <w:r w:rsidR="003328DF">
              <w:rPr>
                <w:noProof/>
                <w:webHidden/>
              </w:rPr>
              <w:t>14</w:t>
            </w:r>
            <w:r w:rsidR="003328DF">
              <w:rPr>
                <w:noProof/>
                <w:webHidden/>
              </w:rPr>
              <w:fldChar w:fldCharType="end"/>
            </w:r>
          </w:hyperlink>
        </w:p>
        <w:p w14:paraId="6889C591"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86" w:history="1">
            <w:r w:rsidR="003328DF" w:rsidRPr="00BD1AC1">
              <w:rPr>
                <w:rStyle w:val="Hyperlink"/>
                <w:rFonts w:eastAsia="Arial Unicode MS"/>
                <w:noProof/>
                <w:bdr w:val="nil"/>
                <w:lang w:val="en-IE" w:eastAsia="en-GB"/>
              </w:rPr>
              <w:t>•</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rFonts w:eastAsia="Arial Unicode MS"/>
                <w:noProof/>
                <w:bdr w:val="nil"/>
                <w:lang w:val="en-IE" w:eastAsia="en-GB"/>
              </w:rPr>
              <w:t>Detailed explanation of the specific provisions of the proposal</w:t>
            </w:r>
            <w:r w:rsidR="003328DF">
              <w:rPr>
                <w:noProof/>
                <w:webHidden/>
              </w:rPr>
              <w:tab/>
            </w:r>
            <w:r w:rsidR="003328DF">
              <w:rPr>
                <w:noProof/>
                <w:webHidden/>
              </w:rPr>
              <w:fldChar w:fldCharType="begin"/>
            </w:r>
            <w:r w:rsidR="003328DF">
              <w:rPr>
                <w:noProof/>
                <w:webHidden/>
              </w:rPr>
              <w:instrText xml:space="preserve"> PAGEREF _Toc191189486 \h </w:instrText>
            </w:r>
            <w:r w:rsidR="003328DF">
              <w:rPr>
                <w:noProof/>
                <w:webHidden/>
              </w:rPr>
            </w:r>
            <w:r w:rsidR="003328DF">
              <w:rPr>
                <w:noProof/>
                <w:webHidden/>
              </w:rPr>
              <w:fldChar w:fldCharType="separate"/>
            </w:r>
            <w:r w:rsidR="003328DF">
              <w:rPr>
                <w:noProof/>
                <w:webHidden/>
              </w:rPr>
              <w:t>14</w:t>
            </w:r>
            <w:r w:rsidR="003328DF">
              <w:rPr>
                <w:noProof/>
                <w:webHidden/>
              </w:rPr>
              <w:fldChar w:fldCharType="end"/>
            </w:r>
          </w:hyperlink>
        </w:p>
        <w:p w14:paraId="086D4118" w14:textId="77777777" w:rsidR="003328DF" w:rsidRDefault="00533715">
          <w:pPr>
            <w:pStyle w:val="TOC1"/>
            <w:rPr>
              <w:rFonts w:asciiTheme="minorHAnsi" w:eastAsiaTheme="minorEastAsia" w:hAnsiTheme="minorHAnsi" w:cstheme="minorBidi"/>
              <w:noProof/>
              <w:kern w:val="2"/>
              <w:szCs w:val="24"/>
              <w:lang w:val="en-IE" w:eastAsia="en-IE"/>
              <w14:ligatures w14:val="standardContextual"/>
            </w:rPr>
          </w:pPr>
          <w:hyperlink w:anchor="_Toc191189487" w:history="1">
            <w:r w:rsidR="003328DF" w:rsidRPr="00BD1AC1">
              <w:rPr>
                <w:rStyle w:val="Hyperlink"/>
                <w:noProof/>
              </w:rPr>
              <w:t>1.</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FRAMEWORK OF THE PROPOSAL/INITIATIVE</w:t>
            </w:r>
            <w:r w:rsidR="003328DF">
              <w:rPr>
                <w:noProof/>
                <w:webHidden/>
              </w:rPr>
              <w:tab/>
            </w:r>
            <w:r w:rsidR="003328DF">
              <w:rPr>
                <w:noProof/>
                <w:webHidden/>
              </w:rPr>
              <w:fldChar w:fldCharType="begin"/>
            </w:r>
            <w:r w:rsidR="003328DF">
              <w:rPr>
                <w:noProof/>
                <w:webHidden/>
              </w:rPr>
              <w:instrText xml:space="preserve"> PAGEREF _Toc191189487 \h </w:instrText>
            </w:r>
            <w:r w:rsidR="003328DF">
              <w:rPr>
                <w:noProof/>
                <w:webHidden/>
              </w:rPr>
            </w:r>
            <w:r w:rsidR="003328DF">
              <w:rPr>
                <w:noProof/>
                <w:webHidden/>
              </w:rPr>
              <w:fldChar w:fldCharType="separate"/>
            </w:r>
            <w:r w:rsidR="003328DF">
              <w:rPr>
                <w:noProof/>
                <w:webHidden/>
              </w:rPr>
              <w:t>3</w:t>
            </w:r>
            <w:r w:rsidR="003328DF">
              <w:rPr>
                <w:noProof/>
                <w:webHidden/>
              </w:rPr>
              <w:fldChar w:fldCharType="end"/>
            </w:r>
          </w:hyperlink>
        </w:p>
        <w:p w14:paraId="6266F209"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88" w:history="1">
            <w:r w:rsidR="003328DF" w:rsidRPr="00BD1AC1">
              <w:rPr>
                <w:rStyle w:val="Hyperlink"/>
                <w:noProof/>
                <w:lang w:val="en-IE"/>
              </w:rPr>
              <w:t>1.1.</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Title of the proposal/initiative</w:t>
            </w:r>
            <w:r w:rsidR="003328DF">
              <w:rPr>
                <w:noProof/>
                <w:webHidden/>
              </w:rPr>
              <w:tab/>
            </w:r>
            <w:r w:rsidR="003328DF">
              <w:rPr>
                <w:noProof/>
                <w:webHidden/>
              </w:rPr>
              <w:fldChar w:fldCharType="begin"/>
            </w:r>
            <w:r w:rsidR="003328DF">
              <w:rPr>
                <w:noProof/>
                <w:webHidden/>
              </w:rPr>
              <w:instrText xml:space="preserve"> PAGEREF _Toc191189488 \h </w:instrText>
            </w:r>
            <w:r w:rsidR="003328DF">
              <w:rPr>
                <w:noProof/>
                <w:webHidden/>
              </w:rPr>
            </w:r>
            <w:r w:rsidR="003328DF">
              <w:rPr>
                <w:noProof/>
                <w:webHidden/>
              </w:rPr>
              <w:fldChar w:fldCharType="separate"/>
            </w:r>
            <w:r w:rsidR="003328DF">
              <w:rPr>
                <w:noProof/>
                <w:webHidden/>
              </w:rPr>
              <w:t>3</w:t>
            </w:r>
            <w:r w:rsidR="003328DF">
              <w:rPr>
                <w:noProof/>
                <w:webHidden/>
              </w:rPr>
              <w:fldChar w:fldCharType="end"/>
            </w:r>
          </w:hyperlink>
        </w:p>
        <w:p w14:paraId="22602594"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89" w:history="1">
            <w:r w:rsidR="003328DF" w:rsidRPr="00BD1AC1">
              <w:rPr>
                <w:rStyle w:val="Hyperlink"/>
                <w:noProof/>
                <w:lang w:val="en-IE"/>
              </w:rPr>
              <w:t>1.2.</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Policy area(s) concerned</w:t>
            </w:r>
            <w:r w:rsidR="003328DF">
              <w:rPr>
                <w:noProof/>
                <w:webHidden/>
              </w:rPr>
              <w:tab/>
            </w:r>
            <w:r w:rsidR="003328DF">
              <w:rPr>
                <w:noProof/>
                <w:webHidden/>
              </w:rPr>
              <w:fldChar w:fldCharType="begin"/>
            </w:r>
            <w:r w:rsidR="003328DF">
              <w:rPr>
                <w:noProof/>
                <w:webHidden/>
              </w:rPr>
              <w:instrText xml:space="preserve"> PAGEREF _Toc191189489 \h </w:instrText>
            </w:r>
            <w:r w:rsidR="003328DF">
              <w:rPr>
                <w:noProof/>
                <w:webHidden/>
              </w:rPr>
            </w:r>
            <w:r w:rsidR="003328DF">
              <w:rPr>
                <w:noProof/>
                <w:webHidden/>
              </w:rPr>
              <w:fldChar w:fldCharType="separate"/>
            </w:r>
            <w:r w:rsidR="003328DF">
              <w:rPr>
                <w:noProof/>
                <w:webHidden/>
              </w:rPr>
              <w:t>3</w:t>
            </w:r>
            <w:r w:rsidR="003328DF">
              <w:rPr>
                <w:noProof/>
                <w:webHidden/>
              </w:rPr>
              <w:fldChar w:fldCharType="end"/>
            </w:r>
          </w:hyperlink>
        </w:p>
        <w:p w14:paraId="5D8E5E3A"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90" w:history="1">
            <w:r w:rsidR="003328DF" w:rsidRPr="00BD1AC1">
              <w:rPr>
                <w:rStyle w:val="Hyperlink"/>
                <w:noProof/>
                <w:lang w:val="en-IE"/>
              </w:rPr>
              <w:t>1.3.</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Objective(s)</w:t>
            </w:r>
            <w:r w:rsidR="003328DF">
              <w:rPr>
                <w:noProof/>
                <w:webHidden/>
              </w:rPr>
              <w:tab/>
            </w:r>
            <w:r w:rsidR="003328DF">
              <w:rPr>
                <w:noProof/>
                <w:webHidden/>
              </w:rPr>
              <w:fldChar w:fldCharType="begin"/>
            </w:r>
            <w:r w:rsidR="003328DF">
              <w:rPr>
                <w:noProof/>
                <w:webHidden/>
              </w:rPr>
              <w:instrText xml:space="preserve"> PAGEREF _Toc191189490 \h </w:instrText>
            </w:r>
            <w:r w:rsidR="003328DF">
              <w:rPr>
                <w:noProof/>
                <w:webHidden/>
              </w:rPr>
            </w:r>
            <w:r w:rsidR="003328DF">
              <w:rPr>
                <w:noProof/>
                <w:webHidden/>
              </w:rPr>
              <w:fldChar w:fldCharType="separate"/>
            </w:r>
            <w:r w:rsidR="003328DF">
              <w:rPr>
                <w:noProof/>
                <w:webHidden/>
              </w:rPr>
              <w:t>3</w:t>
            </w:r>
            <w:r w:rsidR="003328DF">
              <w:rPr>
                <w:noProof/>
                <w:webHidden/>
              </w:rPr>
              <w:fldChar w:fldCharType="end"/>
            </w:r>
          </w:hyperlink>
        </w:p>
        <w:p w14:paraId="39C1D181" w14:textId="77777777" w:rsidR="003328DF" w:rsidRDefault="00533715">
          <w:pPr>
            <w:pStyle w:val="TOC3"/>
            <w:rPr>
              <w:rFonts w:asciiTheme="minorHAnsi" w:eastAsiaTheme="minorEastAsia" w:hAnsiTheme="minorHAnsi" w:cstheme="minorBidi"/>
              <w:noProof/>
              <w:kern w:val="2"/>
              <w:szCs w:val="24"/>
              <w:lang w:val="en-IE" w:eastAsia="en-IE"/>
              <w14:ligatures w14:val="standardContextual"/>
            </w:rPr>
          </w:pPr>
          <w:hyperlink w:anchor="_Toc191189491" w:history="1">
            <w:r w:rsidR="003328DF" w:rsidRPr="00BD1AC1">
              <w:rPr>
                <w:rStyle w:val="Hyperlink"/>
                <w:noProof/>
                <w:lang w:val="en-IE"/>
              </w:rPr>
              <w:t>1.3.1.</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General objective(s)</w:t>
            </w:r>
            <w:r w:rsidR="003328DF">
              <w:rPr>
                <w:noProof/>
                <w:webHidden/>
              </w:rPr>
              <w:tab/>
            </w:r>
            <w:r w:rsidR="003328DF">
              <w:rPr>
                <w:noProof/>
                <w:webHidden/>
              </w:rPr>
              <w:fldChar w:fldCharType="begin"/>
            </w:r>
            <w:r w:rsidR="003328DF">
              <w:rPr>
                <w:noProof/>
                <w:webHidden/>
              </w:rPr>
              <w:instrText xml:space="preserve"> PAGEREF _Toc191189491 \h </w:instrText>
            </w:r>
            <w:r w:rsidR="003328DF">
              <w:rPr>
                <w:noProof/>
                <w:webHidden/>
              </w:rPr>
            </w:r>
            <w:r w:rsidR="003328DF">
              <w:rPr>
                <w:noProof/>
                <w:webHidden/>
              </w:rPr>
              <w:fldChar w:fldCharType="separate"/>
            </w:r>
            <w:r w:rsidR="003328DF">
              <w:rPr>
                <w:noProof/>
                <w:webHidden/>
              </w:rPr>
              <w:t>3</w:t>
            </w:r>
            <w:r w:rsidR="003328DF">
              <w:rPr>
                <w:noProof/>
                <w:webHidden/>
              </w:rPr>
              <w:fldChar w:fldCharType="end"/>
            </w:r>
          </w:hyperlink>
        </w:p>
        <w:p w14:paraId="5B8F140F" w14:textId="77777777" w:rsidR="003328DF" w:rsidRDefault="00533715">
          <w:pPr>
            <w:pStyle w:val="TOC3"/>
            <w:rPr>
              <w:rFonts w:asciiTheme="minorHAnsi" w:eastAsiaTheme="minorEastAsia" w:hAnsiTheme="minorHAnsi" w:cstheme="minorBidi"/>
              <w:noProof/>
              <w:kern w:val="2"/>
              <w:szCs w:val="24"/>
              <w:lang w:val="en-IE" w:eastAsia="en-IE"/>
              <w14:ligatures w14:val="standardContextual"/>
            </w:rPr>
          </w:pPr>
          <w:hyperlink w:anchor="_Toc191189492" w:history="1">
            <w:r w:rsidR="003328DF" w:rsidRPr="00BD1AC1">
              <w:rPr>
                <w:rStyle w:val="Hyperlink"/>
                <w:noProof/>
                <w:lang w:val="en-IE"/>
              </w:rPr>
              <w:t>1.3.2.</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Specific objective(s)</w:t>
            </w:r>
            <w:r w:rsidR="003328DF">
              <w:rPr>
                <w:noProof/>
                <w:webHidden/>
              </w:rPr>
              <w:tab/>
            </w:r>
            <w:r w:rsidR="003328DF">
              <w:rPr>
                <w:noProof/>
                <w:webHidden/>
              </w:rPr>
              <w:fldChar w:fldCharType="begin"/>
            </w:r>
            <w:r w:rsidR="003328DF">
              <w:rPr>
                <w:noProof/>
                <w:webHidden/>
              </w:rPr>
              <w:instrText xml:space="preserve"> PAGEREF _Toc191189492 \h </w:instrText>
            </w:r>
            <w:r w:rsidR="003328DF">
              <w:rPr>
                <w:noProof/>
                <w:webHidden/>
              </w:rPr>
            </w:r>
            <w:r w:rsidR="003328DF">
              <w:rPr>
                <w:noProof/>
                <w:webHidden/>
              </w:rPr>
              <w:fldChar w:fldCharType="separate"/>
            </w:r>
            <w:r w:rsidR="003328DF">
              <w:rPr>
                <w:noProof/>
                <w:webHidden/>
              </w:rPr>
              <w:t>3</w:t>
            </w:r>
            <w:r w:rsidR="003328DF">
              <w:rPr>
                <w:noProof/>
                <w:webHidden/>
              </w:rPr>
              <w:fldChar w:fldCharType="end"/>
            </w:r>
          </w:hyperlink>
        </w:p>
        <w:p w14:paraId="1B016742" w14:textId="77777777" w:rsidR="003328DF" w:rsidRDefault="00533715">
          <w:pPr>
            <w:pStyle w:val="TOC3"/>
            <w:rPr>
              <w:rFonts w:asciiTheme="minorHAnsi" w:eastAsiaTheme="minorEastAsia" w:hAnsiTheme="minorHAnsi" w:cstheme="minorBidi"/>
              <w:noProof/>
              <w:kern w:val="2"/>
              <w:szCs w:val="24"/>
              <w:lang w:val="en-IE" w:eastAsia="en-IE"/>
              <w14:ligatures w14:val="standardContextual"/>
            </w:rPr>
          </w:pPr>
          <w:hyperlink w:anchor="_Toc191189493" w:history="1">
            <w:r w:rsidR="003328DF" w:rsidRPr="00BD1AC1">
              <w:rPr>
                <w:rStyle w:val="Hyperlink"/>
                <w:noProof/>
                <w:lang w:val="en-IE"/>
              </w:rPr>
              <w:t>1.3.3.</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Expected result(s) and impact</w:t>
            </w:r>
            <w:r w:rsidR="003328DF">
              <w:rPr>
                <w:noProof/>
                <w:webHidden/>
              </w:rPr>
              <w:tab/>
            </w:r>
            <w:r w:rsidR="003328DF">
              <w:rPr>
                <w:noProof/>
                <w:webHidden/>
              </w:rPr>
              <w:fldChar w:fldCharType="begin"/>
            </w:r>
            <w:r w:rsidR="003328DF">
              <w:rPr>
                <w:noProof/>
                <w:webHidden/>
              </w:rPr>
              <w:instrText xml:space="preserve"> PAGEREF _Toc191189493 \h </w:instrText>
            </w:r>
            <w:r w:rsidR="003328DF">
              <w:rPr>
                <w:noProof/>
                <w:webHidden/>
              </w:rPr>
            </w:r>
            <w:r w:rsidR="003328DF">
              <w:rPr>
                <w:noProof/>
                <w:webHidden/>
              </w:rPr>
              <w:fldChar w:fldCharType="separate"/>
            </w:r>
            <w:r w:rsidR="003328DF">
              <w:rPr>
                <w:noProof/>
                <w:webHidden/>
              </w:rPr>
              <w:t>4</w:t>
            </w:r>
            <w:r w:rsidR="003328DF">
              <w:rPr>
                <w:noProof/>
                <w:webHidden/>
              </w:rPr>
              <w:fldChar w:fldCharType="end"/>
            </w:r>
          </w:hyperlink>
        </w:p>
        <w:p w14:paraId="1FE3005B" w14:textId="77777777" w:rsidR="003328DF" w:rsidRDefault="00533715">
          <w:pPr>
            <w:pStyle w:val="TOC3"/>
            <w:rPr>
              <w:rFonts w:asciiTheme="minorHAnsi" w:eastAsiaTheme="minorEastAsia" w:hAnsiTheme="minorHAnsi" w:cstheme="minorBidi"/>
              <w:noProof/>
              <w:kern w:val="2"/>
              <w:szCs w:val="24"/>
              <w:lang w:val="en-IE" w:eastAsia="en-IE"/>
              <w14:ligatures w14:val="standardContextual"/>
            </w:rPr>
          </w:pPr>
          <w:hyperlink w:anchor="_Toc191189494" w:history="1">
            <w:r w:rsidR="003328DF" w:rsidRPr="00BD1AC1">
              <w:rPr>
                <w:rStyle w:val="Hyperlink"/>
                <w:noProof/>
                <w:lang w:val="en-IE"/>
              </w:rPr>
              <w:t>1.3.4.</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Indicators of performance</w:t>
            </w:r>
            <w:r w:rsidR="003328DF">
              <w:rPr>
                <w:noProof/>
                <w:webHidden/>
              </w:rPr>
              <w:tab/>
            </w:r>
            <w:r w:rsidR="003328DF">
              <w:rPr>
                <w:noProof/>
                <w:webHidden/>
              </w:rPr>
              <w:fldChar w:fldCharType="begin"/>
            </w:r>
            <w:r w:rsidR="003328DF">
              <w:rPr>
                <w:noProof/>
                <w:webHidden/>
              </w:rPr>
              <w:instrText xml:space="preserve"> PAGEREF _Toc191189494 \h </w:instrText>
            </w:r>
            <w:r w:rsidR="003328DF">
              <w:rPr>
                <w:noProof/>
                <w:webHidden/>
              </w:rPr>
            </w:r>
            <w:r w:rsidR="003328DF">
              <w:rPr>
                <w:noProof/>
                <w:webHidden/>
              </w:rPr>
              <w:fldChar w:fldCharType="separate"/>
            </w:r>
            <w:r w:rsidR="003328DF">
              <w:rPr>
                <w:noProof/>
                <w:webHidden/>
              </w:rPr>
              <w:t>4</w:t>
            </w:r>
            <w:r w:rsidR="003328DF">
              <w:rPr>
                <w:noProof/>
                <w:webHidden/>
              </w:rPr>
              <w:fldChar w:fldCharType="end"/>
            </w:r>
          </w:hyperlink>
        </w:p>
        <w:p w14:paraId="6291716F"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95" w:history="1">
            <w:r w:rsidR="003328DF" w:rsidRPr="00BD1AC1">
              <w:rPr>
                <w:rStyle w:val="Hyperlink"/>
                <w:noProof/>
                <w:lang w:val="en-IE"/>
              </w:rPr>
              <w:t>1.4.</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The proposal/initiative relates to:</w:t>
            </w:r>
            <w:r w:rsidR="003328DF">
              <w:rPr>
                <w:noProof/>
                <w:webHidden/>
              </w:rPr>
              <w:tab/>
            </w:r>
            <w:r w:rsidR="003328DF">
              <w:rPr>
                <w:noProof/>
                <w:webHidden/>
              </w:rPr>
              <w:fldChar w:fldCharType="begin"/>
            </w:r>
            <w:r w:rsidR="003328DF">
              <w:rPr>
                <w:noProof/>
                <w:webHidden/>
              </w:rPr>
              <w:instrText xml:space="preserve"> PAGEREF _Toc191189495 \h </w:instrText>
            </w:r>
            <w:r w:rsidR="003328DF">
              <w:rPr>
                <w:noProof/>
                <w:webHidden/>
              </w:rPr>
            </w:r>
            <w:r w:rsidR="003328DF">
              <w:rPr>
                <w:noProof/>
                <w:webHidden/>
              </w:rPr>
              <w:fldChar w:fldCharType="separate"/>
            </w:r>
            <w:r w:rsidR="003328DF">
              <w:rPr>
                <w:noProof/>
                <w:webHidden/>
              </w:rPr>
              <w:t>5</w:t>
            </w:r>
            <w:r w:rsidR="003328DF">
              <w:rPr>
                <w:noProof/>
                <w:webHidden/>
              </w:rPr>
              <w:fldChar w:fldCharType="end"/>
            </w:r>
          </w:hyperlink>
        </w:p>
        <w:p w14:paraId="00B98904"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496" w:history="1">
            <w:r w:rsidR="003328DF" w:rsidRPr="00BD1AC1">
              <w:rPr>
                <w:rStyle w:val="Hyperlink"/>
                <w:noProof/>
                <w:lang w:val="en-IE"/>
              </w:rPr>
              <w:t>1.5.</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Grounds for the proposal/initiative</w:t>
            </w:r>
            <w:r w:rsidR="003328DF">
              <w:rPr>
                <w:noProof/>
                <w:webHidden/>
              </w:rPr>
              <w:tab/>
            </w:r>
            <w:r w:rsidR="003328DF">
              <w:rPr>
                <w:noProof/>
                <w:webHidden/>
              </w:rPr>
              <w:fldChar w:fldCharType="begin"/>
            </w:r>
            <w:r w:rsidR="003328DF">
              <w:rPr>
                <w:noProof/>
                <w:webHidden/>
              </w:rPr>
              <w:instrText xml:space="preserve"> PAGEREF _Toc191189496 \h </w:instrText>
            </w:r>
            <w:r w:rsidR="003328DF">
              <w:rPr>
                <w:noProof/>
                <w:webHidden/>
              </w:rPr>
            </w:r>
            <w:r w:rsidR="003328DF">
              <w:rPr>
                <w:noProof/>
                <w:webHidden/>
              </w:rPr>
              <w:fldChar w:fldCharType="separate"/>
            </w:r>
            <w:r w:rsidR="003328DF">
              <w:rPr>
                <w:noProof/>
                <w:webHidden/>
              </w:rPr>
              <w:t>5</w:t>
            </w:r>
            <w:r w:rsidR="003328DF">
              <w:rPr>
                <w:noProof/>
                <w:webHidden/>
              </w:rPr>
              <w:fldChar w:fldCharType="end"/>
            </w:r>
          </w:hyperlink>
        </w:p>
        <w:p w14:paraId="68CA2230" w14:textId="77777777" w:rsidR="003328DF" w:rsidRDefault="00533715">
          <w:pPr>
            <w:pStyle w:val="TOC3"/>
            <w:rPr>
              <w:rFonts w:asciiTheme="minorHAnsi" w:eastAsiaTheme="minorEastAsia" w:hAnsiTheme="minorHAnsi" w:cstheme="minorBidi"/>
              <w:noProof/>
              <w:kern w:val="2"/>
              <w:szCs w:val="24"/>
              <w:lang w:val="en-IE" w:eastAsia="en-IE"/>
              <w14:ligatures w14:val="standardContextual"/>
            </w:rPr>
          </w:pPr>
          <w:hyperlink w:anchor="_Toc191189497" w:history="1">
            <w:r w:rsidR="003328DF" w:rsidRPr="00BD1AC1">
              <w:rPr>
                <w:rStyle w:val="Hyperlink"/>
                <w:noProof/>
                <w:lang w:val="en-IE"/>
              </w:rPr>
              <w:t>1.5.1.</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Requirement(s) to be met in the short or long term including a detailed timeline for roll-out of the implementation of the initiative</w:t>
            </w:r>
            <w:r w:rsidR="003328DF">
              <w:rPr>
                <w:noProof/>
                <w:webHidden/>
              </w:rPr>
              <w:tab/>
            </w:r>
            <w:r w:rsidR="003328DF">
              <w:rPr>
                <w:noProof/>
                <w:webHidden/>
              </w:rPr>
              <w:fldChar w:fldCharType="begin"/>
            </w:r>
            <w:r w:rsidR="003328DF">
              <w:rPr>
                <w:noProof/>
                <w:webHidden/>
              </w:rPr>
              <w:instrText xml:space="preserve"> PAGEREF _Toc191189497 \h </w:instrText>
            </w:r>
            <w:r w:rsidR="003328DF">
              <w:rPr>
                <w:noProof/>
                <w:webHidden/>
              </w:rPr>
            </w:r>
            <w:r w:rsidR="003328DF">
              <w:rPr>
                <w:noProof/>
                <w:webHidden/>
              </w:rPr>
              <w:fldChar w:fldCharType="separate"/>
            </w:r>
            <w:r w:rsidR="003328DF">
              <w:rPr>
                <w:noProof/>
                <w:webHidden/>
              </w:rPr>
              <w:t>5</w:t>
            </w:r>
            <w:r w:rsidR="003328DF">
              <w:rPr>
                <w:noProof/>
                <w:webHidden/>
              </w:rPr>
              <w:fldChar w:fldCharType="end"/>
            </w:r>
          </w:hyperlink>
        </w:p>
        <w:p w14:paraId="2D8E6D12" w14:textId="77777777" w:rsidR="003328DF" w:rsidRDefault="00533715">
          <w:pPr>
            <w:pStyle w:val="TOC3"/>
            <w:rPr>
              <w:rFonts w:asciiTheme="minorHAnsi" w:eastAsiaTheme="minorEastAsia" w:hAnsiTheme="minorHAnsi" w:cstheme="minorBidi"/>
              <w:noProof/>
              <w:kern w:val="2"/>
              <w:szCs w:val="24"/>
              <w:lang w:val="en-IE" w:eastAsia="en-IE"/>
              <w14:ligatures w14:val="standardContextual"/>
            </w:rPr>
          </w:pPr>
          <w:hyperlink w:anchor="_Toc191189498" w:history="1">
            <w:r w:rsidR="003328DF" w:rsidRPr="00BD1AC1">
              <w:rPr>
                <w:rStyle w:val="Hyperlink"/>
                <w:noProof/>
                <w:lang w:val="en-IE"/>
              </w:rPr>
              <w:t>1.5.2.</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r w:rsidR="003328DF">
              <w:rPr>
                <w:noProof/>
                <w:webHidden/>
              </w:rPr>
              <w:tab/>
            </w:r>
            <w:r w:rsidR="003328DF">
              <w:rPr>
                <w:noProof/>
                <w:webHidden/>
              </w:rPr>
              <w:fldChar w:fldCharType="begin"/>
            </w:r>
            <w:r w:rsidR="003328DF">
              <w:rPr>
                <w:noProof/>
                <w:webHidden/>
              </w:rPr>
              <w:instrText xml:space="preserve"> PAGEREF _Toc191189498 \h </w:instrText>
            </w:r>
            <w:r w:rsidR="003328DF">
              <w:rPr>
                <w:noProof/>
                <w:webHidden/>
              </w:rPr>
            </w:r>
            <w:r w:rsidR="003328DF">
              <w:rPr>
                <w:noProof/>
                <w:webHidden/>
              </w:rPr>
              <w:fldChar w:fldCharType="separate"/>
            </w:r>
            <w:r w:rsidR="003328DF">
              <w:rPr>
                <w:noProof/>
                <w:webHidden/>
              </w:rPr>
              <w:t>6</w:t>
            </w:r>
            <w:r w:rsidR="003328DF">
              <w:rPr>
                <w:noProof/>
                <w:webHidden/>
              </w:rPr>
              <w:fldChar w:fldCharType="end"/>
            </w:r>
          </w:hyperlink>
        </w:p>
        <w:p w14:paraId="4BFB247B" w14:textId="77777777" w:rsidR="003328DF" w:rsidRDefault="00533715">
          <w:pPr>
            <w:pStyle w:val="TOC3"/>
            <w:rPr>
              <w:rFonts w:asciiTheme="minorHAnsi" w:eastAsiaTheme="minorEastAsia" w:hAnsiTheme="minorHAnsi" w:cstheme="minorBidi"/>
              <w:noProof/>
              <w:kern w:val="2"/>
              <w:szCs w:val="24"/>
              <w:lang w:val="en-IE" w:eastAsia="en-IE"/>
              <w14:ligatures w14:val="standardContextual"/>
            </w:rPr>
          </w:pPr>
          <w:hyperlink w:anchor="_Toc191189499" w:history="1">
            <w:r w:rsidR="003328DF" w:rsidRPr="00BD1AC1">
              <w:rPr>
                <w:rStyle w:val="Hyperlink"/>
                <w:noProof/>
                <w:lang w:val="en-IE"/>
              </w:rPr>
              <w:t>1.5.3.</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Lessons learned from similar experiences in the past</w:t>
            </w:r>
            <w:r w:rsidR="003328DF">
              <w:rPr>
                <w:noProof/>
                <w:webHidden/>
              </w:rPr>
              <w:tab/>
            </w:r>
            <w:r w:rsidR="003328DF">
              <w:rPr>
                <w:noProof/>
                <w:webHidden/>
              </w:rPr>
              <w:fldChar w:fldCharType="begin"/>
            </w:r>
            <w:r w:rsidR="003328DF">
              <w:rPr>
                <w:noProof/>
                <w:webHidden/>
              </w:rPr>
              <w:instrText xml:space="preserve"> PAGEREF _Toc191189499 \h </w:instrText>
            </w:r>
            <w:r w:rsidR="003328DF">
              <w:rPr>
                <w:noProof/>
                <w:webHidden/>
              </w:rPr>
            </w:r>
            <w:r w:rsidR="003328DF">
              <w:rPr>
                <w:noProof/>
                <w:webHidden/>
              </w:rPr>
              <w:fldChar w:fldCharType="separate"/>
            </w:r>
            <w:r w:rsidR="003328DF">
              <w:rPr>
                <w:noProof/>
                <w:webHidden/>
              </w:rPr>
              <w:t>6</w:t>
            </w:r>
            <w:r w:rsidR="003328DF">
              <w:rPr>
                <w:noProof/>
                <w:webHidden/>
              </w:rPr>
              <w:fldChar w:fldCharType="end"/>
            </w:r>
          </w:hyperlink>
        </w:p>
        <w:p w14:paraId="7CB34D75" w14:textId="77777777" w:rsidR="003328DF" w:rsidRDefault="00533715">
          <w:pPr>
            <w:pStyle w:val="TOC3"/>
            <w:rPr>
              <w:rFonts w:asciiTheme="minorHAnsi" w:eastAsiaTheme="minorEastAsia" w:hAnsiTheme="minorHAnsi" w:cstheme="minorBidi"/>
              <w:noProof/>
              <w:kern w:val="2"/>
              <w:szCs w:val="24"/>
              <w:lang w:val="en-IE" w:eastAsia="en-IE"/>
              <w14:ligatures w14:val="standardContextual"/>
            </w:rPr>
          </w:pPr>
          <w:hyperlink w:anchor="_Toc191189500" w:history="1">
            <w:r w:rsidR="003328DF" w:rsidRPr="00BD1AC1">
              <w:rPr>
                <w:rStyle w:val="Hyperlink"/>
                <w:noProof/>
                <w:lang w:val="en-IE"/>
              </w:rPr>
              <w:t>1.5.4.</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Compatibility with the multiannual financial framework and possible synergies with other appropriate instruments</w:t>
            </w:r>
            <w:r w:rsidR="003328DF">
              <w:rPr>
                <w:noProof/>
                <w:webHidden/>
              </w:rPr>
              <w:tab/>
            </w:r>
            <w:r w:rsidR="003328DF">
              <w:rPr>
                <w:noProof/>
                <w:webHidden/>
              </w:rPr>
              <w:fldChar w:fldCharType="begin"/>
            </w:r>
            <w:r w:rsidR="003328DF">
              <w:rPr>
                <w:noProof/>
                <w:webHidden/>
              </w:rPr>
              <w:instrText xml:space="preserve"> PAGEREF _Toc191189500 \h </w:instrText>
            </w:r>
            <w:r w:rsidR="003328DF">
              <w:rPr>
                <w:noProof/>
                <w:webHidden/>
              </w:rPr>
            </w:r>
            <w:r w:rsidR="003328DF">
              <w:rPr>
                <w:noProof/>
                <w:webHidden/>
              </w:rPr>
              <w:fldChar w:fldCharType="separate"/>
            </w:r>
            <w:r w:rsidR="003328DF">
              <w:rPr>
                <w:noProof/>
                <w:webHidden/>
              </w:rPr>
              <w:t>6</w:t>
            </w:r>
            <w:r w:rsidR="003328DF">
              <w:rPr>
                <w:noProof/>
                <w:webHidden/>
              </w:rPr>
              <w:fldChar w:fldCharType="end"/>
            </w:r>
          </w:hyperlink>
        </w:p>
        <w:p w14:paraId="05AF8C5A" w14:textId="77777777" w:rsidR="003328DF" w:rsidRDefault="00533715">
          <w:pPr>
            <w:pStyle w:val="TOC3"/>
            <w:rPr>
              <w:rFonts w:asciiTheme="minorHAnsi" w:eastAsiaTheme="minorEastAsia" w:hAnsiTheme="minorHAnsi" w:cstheme="minorBidi"/>
              <w:noProof/>
              <w:kern w:val="2"/>
              <w:szCs w:val="24"/>
              <w:lang w:val="en-IE" w:eastAsia="en-IE"/>
              <w14:ligatures w14:val="standardContextual"/>
            </w:rPr>
          </w:pPr>
          <w:hyperlink w:anchor="_Toc191189501" w:history="1">
            <w:r w:rsidR="003328DF" w:rsidRPr="00BD1AC1">
              <w:rPr>
                <w:rStyle w:val="Hyperlink"/>
                <w:noProof/>
                <w:lang w:val="en-IE"/>
              </w:rPr>
              <w:t>1.5.5.</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Assessment of the different available financing options, including scope for redeployment</w:t>
            </w:r>
            <w:r w:rsidR="003328DF">
              <w:rPr>
                <w:noProof/>
                <w:webHidden/>
              </w:rPr>
              <w:tab/>
            </w:r>
            <w:r w:rsidR="003328DF">
              <w:rPr>
                <w:noProof/>
                <w:webHidden/>
              </w:rPr>
              <w:fldChar w:fldCharType="begin"/>
            </w:r>
            <w:r w:rsidR="003328DF">
              <w:rPr>
                <w:noProof/>
                <w:webHidden/>
              </w:rPr>
              <w:instrText xml:space="preserve"> PAGEREF _Toc191189501 \h </w:instrText>
            </w:r>
            <w:r w:rsidR="003328DF">
              <w:rPr>
                <w:noProof/>
                <w:webHidden/>
              </w:rPr>
            </w:r>
            <w:r w:rsidR="003328DF">
              <w:rPr>
                <w:noProof/>
                <w:webHidden/>
              </w:rPr>
              <w:fldChar w:fldCharType="separate"/>
            </w:r>
            <w:r w:rsidR="003328DF">
              <w:rPr>
                <w:noProof/>
                <w:webHidden/>
              </w:rPr>
              <w:t>6</w:t>
            </w:r>
            <w:r w:rsidR="003328DF">
              <w:rPr>
                <w:noProof/>
                <w:webHidden/>
              </w:rPr>
              <w:fldChar w:fldCharType="end"/>
            </w:r>
          </w:hyperlink>
        </w:p>
        <w:p w14:paraId="3AA7FC23" w14:textId="77777777" w:rsidR="003328DF" w:rsidRDefault="00533715">
          <w:pPr>
            <w:pStyle w:val="TOC1"/>
            <w:rPr>
              <w:rFonts w:asciiTheme="minorHAnsi" w:eastAsiaTheme="minorEastAsia" w:hAnsiTheme="minorHAnsi" w:cstheme="minorBidi"/>
              <w:noProof/>
              <w:kern w:val="2"/>
              <w:szCs w:val="24"/>
              <w:lang w:val="en-IE" w:eastAsia="en-IE"/>
              <w14:ligatures w14:val="standardContextual"/>
            </w:rPr>
          </w:pPr>
          <w:hyperlink w:anchor="_Toc191189502" w:history="1">
            <w:r w:rsidR="003328DF" w:rsidRPr="00BD1AC1">
              <w:rPr>
                <w:rStyle w:val="Hyperlink"/>
                <w:noProof/>
                <w:lang w:val="en-IE"/>
              </w:rPr>
              <w:t>3.</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ESTIMATED FINANCIAL IMPACT OF THE PROPOSAL/INITIATIVE</w:t>
            </w:r>
            <w:r w:rsidR="003328DF">
              <w:rPr>
                <w:noProof/>
                <w:webHidden/>
              </w:rPr>
              <w:tab/>
            </w:r>
            <w:r w:rsidR="003328DF">
              <w:rPr>
                <w:noProof/>
                <w:webHidden/>
              </w:rPr>
              <w:fldChar w:fldCharType="begin"/>
            </w:r>
            <w:r w:rsidR="003328DF">
              <w:rPr>
                <w:noProof/>
                <w:webHidden/>
              </w:rPr>
              <w:instrText xml:space="preserve"> PAGEREF _Toc191189502 \h </w:instrText>
            </w:r>
            <w:r w:rsidR="003328DF">
              <w:rPr>
                <w:noProof/>
                <w:webHidden/>
              </w:rPr>
            </w:r>
            <w:r w:rsidR="003328DF">
              <w:rPr>
                <w:noProof/>
                <w:webHidden/>
              </w:rPr>
              <w:fldChar w:fldCharType="separate"/>
            </w:r>
            <w:r w:rsidR="003328DF">
              <w:rPr>
                <w:noProof/>
                <w:webHidden/>
              </w:rPr>
              <w:t>7</w:t>
            </w:r>
            <w:r w:rsidR="003328DF">
              <w:rPr>
                <w:noProof/>
                <w:webHidden/>
              </w:rPr>
              <w:fldChar w:fldCharType="end"/>
            </w:r>
          </w:hyperlink>
        </w:p>
        <w:p w14:paraId="5980A155"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503" w:history="1">
            <w:r w:rsidR="003328DF" w:rsidRPr="00BD1AC1">
              <w:rPr>
                <w:rStyle w:val="Hyperlink"/>
                <w:noProof/>
                <w:lang w:val="en-IE"/>
              </w:rPr>
              <w:t>3.1.</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Heading(s) of the multiannual financial framework and expenditure budget line(s) affected</w:t>
            </w:r>
            <w:r w:rsidR="003328DF">
              <w:rPr>
                <w:noProof/>
                <w:webHidden/>
              </w:rPr>
              <w:tab/>
            </w:r>
            <w:r w:rsidR="003328DF">
              <w:rPr>
                <w:noProof/>
                <w:webHidden/>
              </w:rPr>
              <w:fldChar w:fldCharType="begin"/>
            </w:r>
            <w:r w:rsidR="003328DF">
              <w:rPr>
                <w:noProof/>
                <w:webHidden/>
              </w:rPr>
              <w:instrText xml:space="preserve"> PAGEREF _Toc191189503 \h </w:instrText>
            </w:r>
            <w:r w:rsidR="003328DF">
              <w:rPr>
                <w:noProof/>
                <w:webHidden/>
              </w:rPr>
            </w:r>
            <w:r w:rsidR="003328DF">
              <w:rPr>
                <w:noProof/>
                <w:webHidden/>
              </w:rPr>
              <w:fldChar w:fldCharType="separate"/>
            </w:r>
            <w:r w:rsidR="003328DF">
              <w:rPr>
                <w:noProof/>
                <w:webHidden/>
              </w:rPr>
              <w:t>7</w:t>
            </w:r>
            <w:r w:rsidR="003328DF">
              <w:rPr>
                <w:noProof/>
                <w:webHidden/>
              </w:rPr>
              <w:fldChar w:fldCharType="end"/>
            </w:r>
          </w:hyperlink>
        </w:p>
        <w:p w14:paraId="36BA12D2" w14:textId="77777777" w:rsidR="003328DF" w:rsidRDefault="00533715">
          <w:pPr>
            <w:pStyle w:val="TOC1"/>
            <w:rPr>
              <w:rFonts w:asciiTheme="minorHAnsi" w:eastAsiaTheme="minorEastAsia" w:hAnsiTheme="minorHAnsi" w:cstheme="minorBidi"/>
              <w:noProof/>
              <w:kern w:val="2"/>
              <w:szCs w:val="24"/>
              <w:lang w:val="en-IE" w:eastAsia="en-IE"/>
              <w14:ligatures w14:val="standardContextual"/>
            </w:rPr>
          </w:pPr>
          <w:hyperlink w:anchor="_Toc191189504" w:history="1">
            <w:r w:rsidR="003328DF" w:rsidRPr="00BD1AC1">
              <w:rPr>
                <w:rStyle w:val="Hyperlink"/>
                <w:noProof/>
                <w:lang w:val="en-IE"/>
              </w:rPr>
              <w:t>4.</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caps/>
                <w:noProof/>
                <w:lang w:val="en-IE"/>
              </w:rPr>
              <w:t>Digital dimensions</w:t>
            </w:r>
            <w:r w:rsidR="003328DF">
              <w:rPr>
                <w:noProof/>
                <w:webHidden/>
              </w:rPr>
              <w:tab/>
            </w:r>
            <w:r w:rsidR="003328DF">
              <w:rPr>
                <w:noProof/>
                <w:webHidden/>
              </w:rPr>
              <w:fldChar w:fldCharType="begin"/>
            </w:r>
            <w:r w:rsidR="003328DF">
              <w:rPr>
                <w:noProof/>
                <w:webHidden/>
              </w:rPr>
              <w:instrText xml:space="preserve"> PAGEREF _Toc191189504 \h </w:instrText>
            </w:r>
            <w:r w:rsidR="003328DF">
              <w:rPr>
                <w:noProof/>
                <w:webHidden/>
              </w:rPr>
            </w:r>
            <w:r w:rsidR="003328DF">
              <w:rPr>
                <w:noProof/>
                <w:webHidden/>
              </w:rPr>
              <w:fldChar w:fldCharType="separate"/>
            </w:r>
            <w:r w:rsidR="003328DF">
              <w:rPr>
                <w:noProof/>
                <w:webHidden/>
              </w:rPr>
              <w:t>7</w:t>
            </w:r>
            <w:r w:rsidR="003328DF">
              <w:rPr>
                <w:noProof/>
                <w:webHidden/>
              </w:rPr>
              <w:fldChar w:fldCharType="end"/>
            </w:r>
          </w:hyperlink>
        </w:p>
        <w:p w14:paraId="1B70CD12"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505" w:history="1">
            <w:r w:rsidR="003328DF" w:rsidRPr="00BD1AC1">
              <w:rPr>
                <w:rStyle w:val="Hyperlink"/>
                <w:noProof/>
                <w:lang w:val="en-IE"/>
              </w:rPr>
              <w:t>4.1.</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Requirements of digital relevance</w:t>
            </w:r>
            <w:r w:rsidR="003328DF">
              <w:rPr>
                <w:noProof/>
                <w:webHidden/>
              </w:rPr>
              <w:tab/>
            </w:r>
            <w:r w:rsidR="003328DF">
              <w:rPr>
                <w:noProof/>
                <w:webHidden/>
              </w:rPr>
              <w:fldChar w:fldCharType="begin"/>
            </w:r>
            <w:r w:rsidR="003328DF">
              <w:rPr>
                <w:noProof/>
                <w:webHidden/>
              </w:rPr>
              <w:instrText xml:space="preserve"> PAGEREF _Toc191189505 \h </w:instrText>
            </w:r>
            <w:r w:rsidR="003328DF">
              <w:rPr>
                <w:noProof/>
                <w:webHidden/>
              </w:rPr>
            </w:r>
            <w:r w:rsidR="003328DF">
              <w:rPr>
                <w:noProof/>
                <w:webHidden/>
              </w:rPr>
              <w:fldChar w:fldCharType="separate"/>
            </w:r>
            <w:r w:rsidR="003328DF">
              <w:rPr>
                <w:noProof/>
                <w:webHidden/>
              </w:rPr>
              <w:t>7</w:t>
            </w:r>
            <w:r w:rsidR="003328DF">
              <w:rPr>
                <w:noProof/>
                <w:webHidden/>
              </w:rPr>
              <w:fldChar w:fldCharType="end"/>
            </w:r>
          </w:hyperlink>
        </w:p>
        <w:p w14:paraId="5177E9A7"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506" w:history="1">
            <w:r w:rsidR="003328DF" w:rsidRPr="00BD1AC1">
              <w:rPr>
                <w:rStyle w:val="Hyperlink"/>
                <w:noProof/>
                <w:lang w:val="en-IE"/>
              </w:rPr>
              <w:t>4.2.</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Data</w:t>
            </w:r>
            <w:r w:rsidR="003328DF">
              <w:rPr>
                <w:noProof/>
                <w:webHidden/>
              </w:rPr>
              <w:tab/>
            </w:r>
            <w:r w:rsidR="003328DF">
              <w:rPr>
                <w:noProof/>
                <w:webHidden/>
              </w:rPr>
              <w:fldChar w:fldCharType="begin"/>
            </w:r>
            <w:r w:rsidR="003328DF">
              <w:rPr>
                <w:noProof/>
                <w:webHidden/>
              </w:rPr>
              <w:instrText xml:space="preserve"> PAGEREF _Toc191189506 \h </w:instrText>
            </w:r>
            <w:r w:rsidR="003328DF">
              <w:rPr>
                <w:noProof/>
                <w:webHidden/>
              </w:rPr>
            </w:r>
            <w:r w:rsidR="003328DF">
              <w:rPr>
                <w:noProof/>
                <w:webHidden/>
              </w:rPr>
              <w:fldChar w:fldCharType="separate"/>
            </w:r>
            <w:r w:rsidR="003328DF">
              <w:rPr>
                <w:noProof/>
                <w:webHidden/>
              </w:rPr>
              <w:t>8</w:t>
            </w:r>
            <w:r w:rsidR="003328DF">
              <w:rPr>
                <w:noProof/>
                <w:webHidden/>
              </w:rPr>
              <w:fldChar w:fldCharType="end"/>
            </w:r>
          </w:hyperlink>
        </w:p>
        <w:p w14:paraId="004B9BC4"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507" w:history="1">
            <w:r w:rsidR="003328DF" w:rsidRPr="00BD1AC1">
              <w:rPr>
                <w:rStyle w:val="Hyperlink"/>
                <w:noProof/>
                <w:lang w:val="en-IE"/>
              </w:rPr>
              <w:t>4.3.</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Digital solutions</w:t>
            </w:r>
            <w:r w:rsidR="003328DF">
              <w:rPr>
                <w:noProof/>
                <w:webHidden/>
              </w:rPr>
              <w:tab/>
            </w:r>
            <w:r w:rsidR="003328DF">
              <w:rPr>
                <w:noProof/>
                <w:webHidden/>
              </w:rPr>
              <w:fldChar w:fldCharType="begin"/>
            </w:r>
            <w:r w:rsidR="003328DF">
              <w:rPr>
                <w:noProof/>
                <w:webHidden/>
              </w:rPr>
              <w:instrText xml:space="preserve"> PAGEREF _Toc191189507 \h </w:instrText>
            </w:r>
            <w:r w:rsidR="003328DF">
              <w:rPr>
                <w:noProof/>
                <w:webHidden/>
              </w:rPr>
            </w:r>
            <w:r w:rsidR="003328DF">
              <w:rPr>
                <w:noProof/>
                <w:webHidden/>
              </w:rPr>
              <w:fldChar w:fldCharType="separate"/>
            </w:r>
            <w:r w:rsidR="003328DF">
              <w:rPr>
                <w:noProof/>
                <w:webHidden/>
              </w:rPr>
              <w:t>8</w:t>
            </w:r>
            <w:r w:rsidR="003328DF">
              <w:rPr>
                <w:noProof/>
                <w:webHidden/>
              </w:rPr>
              <w:fldChar w:fldCharType="end"/>
            </w:r>
          </w:hyperlink>
        </w:p>
        <w:p w14:paraId="6FA3577C"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508" w:history="1">
            <w:r w:rsidR="003328DF" w:rsidRPr="00BD1AC1">
              <w:rPr>
                <w:rStyle w:val="Hyperlink"/>
                <w:bCs/>
                <w:i/>
                <w:iCs/>
                <w:noProof/>
                <w:lang w:val="en-IE"/>
              </w:rPr>
              <w:t>4.4.</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bCs/>
                <w:i/>
                <w:iCs/>
                <w:noProof/>
                <w:lang w:val="en-IE"/>
              </w:rPr>
              <w:t>Interoperability assessment</w:t>
            </w:r>
            <w:r w:rsidR="003328DF">
              <w:rPr>
                <w:noProof/>
                <w:webHidden/>
              </w:rPr>
              <w:tab/>
            </w:r>
            <w:r w:rsidR="003328DF">
              <w:rPr>
                <w:noProof/>
                <w:webHidden/>
              </w:rPr>
              <w:fldChar w:fldCharType="begin"/>
            </w:r>
            <w:r w:rsidR="003328DF">
              <w:rPr>
                <w:noProof/>
                <w:webHidden/>
              </w:rPr>
              <w:instrText xml:space="preserve"> PAGEREF _Toc191189508 \h </w:instrText>
            </w:r>
            <w:r w:rsidR="003328DF">
              <w:rPr>
                <w:noProof/>
                <w:webHidden/>
              </w:rPr>
            </w:r>
            <w:r w:rsidR="003328DF">
              <w:rPr>
                <w:noProof/>
                <w:webHidden/>
              </w:rPr>
              <w:fldChar w:fldCharType="separate"/>
            </w:r>
            <w:r w:rsidR="003328DF">
              <w:rPr>
                <w:noProof/>
                <w:webHidden/>
              </w:rPr>
              <w:t>8</w:t>
            </w:r>
            <w:r w:rsidR="003328DF">
              <w:rPr>
                <w:noProof/>
                <w:webHidden/>
              </w:rPr>
              <w:fldChar w:fldCharType="end"/>
            </w:r>
          </w:hyperlink>
        </w:p>
        <w:p w14:paraId="68603378" w14:textId="77777777" w:rsidR="003328DF" w:rsidRDefault="00533715">
          <w:pPr>
            <w:pStyle w:val="TOC2"/>
            <w:rPr>
              <w:rFonts w:asciiTheme="minorHAnsi" w:eastAsiaTheme="minorEastAsia" w:hAnsiTheme="minorHAnsi" w:cstheme="minorBidi"/>
              <w:noProof/>
              <w:kern w:val="2"/>
              <w:szCs w:val="24"/>
              <w:lang w:val="en-IE" w:eastAsia="en-IE"/>
              <w14:ligatures w14:val="standardContextual"/>
            </w:rPr>
          </w:pPr>
          <w:hyperlink w:anchor="_Toc191189509" w:history="1">
            <w:r w:rsidR="003328DF" w:rsidRPr="00BD1AC1">
              <w:rPr>
                <w:rStyle w:val="Hyperlink"/>
                <w:noProof/>
                <w:lang w:val="en-IE"/>
              </w:rPr>
              <w:t>4.5.</w:t>
            </w:r>
            <w:r w:rsidR="003328DF">
              <w:rPr>
                <w:rFonts w:asciiTheme="minorHAnsi" w:eastAsiaTheme="minorEastAsia" w:hAnsiTheme="minorHAnsi" w:cstheme="minorBidi"/>
                <w:noProof/>
                <w:kern w:val="2"/>
                <w:szCs w:val="24"/>
                <w:lang w:val="en-IE" w:eastAsia="en-IE"/>
                <w14:ligatures w14:val="standardContextual"/>
              </w:rPr>
              <w:tab/>
            </w:r>
            <w:r w:rsidR="003328DF" w:rsidRPr="00BD1AC1">
              <w:rPr>
                <w:rStyle w:val="Hyperlink"/>
                <w:noProof/>
                <w:lang w:val="en-IE"/>
              </w:rPr>
              <w:t>Measures to support digital implementation</w:t>
            </w:r>
            <w:r w:rsidR="003328DF">
              <w:rPr>
                <w:noProof/>
                <w:webHidden/>
              </w:rPr>
              <w:tab/>
            </w:r>
            <w:r w:rsidR="003328DF">
              <w:rPr>
                <w:noProof/>
                <w:webHidden/>
              </w:rPr>
              <w:fldChar w:fldCharType="begin"/>
            </w:r>
            <w:r w:rsidR="003328DF">
              <w:rPr>
                <w:noProof/>
                <w:webHidden/>
              </w:rPr>
              <w:instrText xml:space="preserve"> PAGEREF _Toc191189509 \h </w:instrText>
            </w:r>
            <w:r w:rsidR="003328DF">
              <w:rPr>
                <w:noProof/>
                <w:webHidden/>
              </w:rPr>
            </w:r>
            <w:r w:rsidR="003328DF">
              <w:rPr>
                <w:noProof/>
                <w:webHidden/>
              </w:rPr>
              <w:fldChar w:fldCharType="separate"/>
            </w:r>
            <w:r w:rsidR="003328DF">
              <w:rPr>
                <w:noProof/>
                <w:webHidden/>
              </w:rPr>
              <w:t>8</w:t>
            </w:r>
            <w:r w:rsidR="003328DF">
              <w:rPr>
                <w:noProof/>
                <w:webHidden/>
              </w:rPr>
              <w:fldChar w:fldCharType="end"/>
            </w:r>
          </w:hyperlink>
        </w:p>
        <w:p w14:paraId="4DA381BF" w14:textId="77777777" w:rsidR="00722BBB" w:rsidRDefault="00722BBB">
          <w:r>
            <w:rPr>
              <w:b/>
              <w:bCs/>
              <w:noProof/>
            </w:rPr>
            <w:fldChar w:fldCharType="end"/>
          </w:r>
        </w:p>
      </w:sdtContent>
    </w:sdt>
    <w:p w14:paraId="14B55F98" w14:textId="77777777" w:rsidR="00D2456D" w:rsidRPr="00D2456D" w:rsidRDefault="00D2456D" w:rsidP="00D2456D"/>
    <w:p w14:paraId="0D211094" w14:textId="77777777" w:rsidR="009D1FEE" w:rsidRDefault="009D1FEE">
      <w:pPr>
        <w:pStyle w:val="TOC1"/>
        <w:ind w:left="0" w:firstLine="0"/>
        <w:rPr>
          <w:noProof/>
        </w:rPr>
        <w:sectPr w:rsidR="009D1FEE" w:rsidSect="00D6173F">
          <w:headerReference w:type="even" r:id="rId27"/>
          <w:headerReference w:type="first" r:id="rId28"/>
          <w:footerReference w:type="first" r:id="rId29"/>
          <w:pgSz w:w="11907" w:h="16840" w:code="9"/>
          <w:pgMar w:top="1134" w:right="1418" w:bottom="1134" w:left="1418" w:header="709" w:footer="709" w:gutter="0"/>
          <w:pgNumType w:start="1"/>
          <w:cols w:space="720"/>
          <w:docGrid w:linePitch="360"/>
        </w:sectPr>
      </w:pPr>
    </w:p>
    <w:p w14:paraId="4885C6BF" w14:textId="77777777" w:rsidR="009D1FEE" w:rsidRPr="00F27401" w:rsidRDefault="009D1FEE">
      <w:pPr>
        <w:pStyle w:val="ManualHeading1"/>
        <w:rPr>
          <w:lang w:val="en-IE"/>
        </w:rPr>
      </w:pPr>
      <w:bookmarkStart w:id="23" w:name="_Toc514938007"/>
      <w:bookmarkStart w:id="24" w:name="_Toc520485025"/>
      <w:bookmarkStart w:id="25" w:name="_Toc160804567"/>
      <w:bookmarkStart w:id="26" w:name="_Toc167220259"/>
      <w:bookmarkStart w:id="27" w:name="_Toc177548992"/>
      <w:bookmarkStart w:id="28" w:name="_Toc191189487"/>
      <w:r w:rsidRPr="0021790A">
        <w:lastRenderedPageBreak/>
        <w:t>1.</w:t>
      </w:r>
      <w:r w:rsidRPr="0021790A">
        <w:tab/>
      </w:r>
      <w:r w:rsidRPr="00F27401">
        <w:rPr>
          <w:lang w:val="en-IE"/>
        </w:rPr>
        <w:t>FRAMEWORK OF THE PROPOSAL/INITIATIVE</w:t>
      </w:r>
      <w:bookmarkEnd w:id="23"/>
      <w:bookmarkEnd w:id="24"/>
      <w:bookmarkEnd w:id="25"/>
      <w:bookmarkEnd w:id="26"/>
      <w:bookmarkEnd w:id="27"/>
      <w:bookmarkEnd w:id="28"/>
      <w:r w:rsidRPr="00F27401">
        <w:rPr>
          <w:lang w:val="en-IE"/>
        </w:rPr>
        <w:t xml:space="preserve"> </w:t>
      </w:r>
    </w:p>
    <w:p w14:paraId="4F266414" w14:textId="77777777" w:rsidR="009D1FEE" w:rsidRPr="00F27401" w:rsidRDefault="009D1FEE">
      <w:pPr>
        <w:pStyle w:val="ManualHeading2"/>
        <w:rPr>
          <w:lang w:val="en-IE"/>
        </w:rPr>
      </w:pPr>
      <w:bookmarkStart w:id="29" w:name="_Toc514938008"/>
      <w:bookmarkStart w:id="30" w:name="_Toc520485026"/>
      <w:bookmarkStart w:id="31" w:name="_Toc160804568"/>
      <w:bookmarkStart w:id="32" w:name="_Toc167220260"/>
      <w:bookmarkStart w:id="33" w:name="_Toc177548993"/>
      <w:bookmarkStart w:id="34" w:name="_Toc191189488"/>
      <w:r w:rsidRPr="00F27401">
        <w:rPr>
          <w:lang w:val="en-IE"/>
        </w:rPr>
        <w:t>1.1.</w:t>
      </w:r>
      <w:r w:rsidRPr="00F27401">
        <w:rPr>
          <w:lang w:val="en-IE"/>
        </w:rPr>
        <w:tab/>
        <w:t>Title of the proposal/initiative</w:t>
      </w:r>
      <w:bookmarkEnd w:id="29"/>
      <w:bookmarkEnd w:id="30"/>
      <w:bookmarkEnd w:id="31"/>
      <w:bookmarkEnd w:id="32"/>
      <w:bookmarkEnd w:id="33"/>
      <w:bookmarkEnd w:id="34"/>
    </w:p>
    <w:p w14:paraId="0EDA332D" w14:textId="77777777" w:rsidR="009D1FEE" w:rsidRPr="00F27401" w:rsidRDefault="00A81358" w:rsidP="0026586B">
      <w:pPr>
        <w:pStyle w:val="Text1"/>
        <w:pBdr>
          <w:top w:val="single" w:sz="4" w:space="1" w:color="auto"/>
          <w:left w:val="single" w:sz="4" w:space="4" w:color="auto"/>
          <w:bottom w:val="single" w:sz="4" w:space="1" w:color="auto"/>
          <w:right w:val="single" w:sz="4" w:space="4" w:color="auto"/>
        </w:pBdr>
        <w:rPr>
          <w:lang w:val="en-IE"/>
        </w:rPr>
      </w:pPr>
      <w:r w:rsidRPr="00F27401">
        <w:rPr>
          <w:lang w:val="en-IE"/>
        </w:rPr>
        <w:t xml:space="preserve">Proposal for a Directive of the European Parliament and of the Council </w:t>
      </w:r>
      <w:r w:rsidR="00FC0399" w:rsidRPr="00F27401">
        <w:rPr>
          <w:lang w:val="en-IE"/>
        </w:rPr>
        <w:t xml:space="preserve">amending </w:t>
      </w:r>
      <w:r w:rsidR="006B6B00" w:rsidRPr="00F27401">
        <w:rPr>
          <w:lang w:val="en-IE"/>
        </w:rPr>
        <w:t>Directive</w:t>
      </w:r>
      <w:r w:rsidR="00F004A1" w:rsidRPr="00F27401">
        <w:rPr>
          <w:lang w:val="en-IE"/>
        </w:rPr>
        <w:t>s</w:t>
      </w:r>
      <w:r w:rsidR="006B6B00" w:rsidRPr="00F27401">
        <w:rPr>
          <w:lang w:val="en-IE"/>
        </w:rPr>
        <w:t xml:space="preserve"> 2006/43/EC, </w:t>
      </w:r>
      <w:r w:rsidR="00FC0399" w:rsidRPr="00F27401">
        <w:rPr>
          <w:lang w:val="en-IE"/>
        </w:rPr>
        <w:t xml:space="preserve">2013/34/EU, </w:t>
      </w:r>
      <w:r w:rsidR="00376615" w:rsidRPr="00F27401">
        <w:rPr>
          <w:lang w:val="en-IE"/>
        </w:rPr>
        <w:t>(EU)</w:t>
      </w:r>
      <w:r w:rsidR="004F1C05" w:rsidRPr="00F27401">
        <w:rPr>
          <w:lang w:val="en-IE"/>
        </w:rPr>
        <w:t xml:space="preserve"> </w:t>
      </w:r>
      <w:r w:rsidR="00376615" w:rsidRPr="00F27401">
        <w:rPr>
          <w:lang w:val="en-IE"/>
        </w:rPr>
        <w:t>2022/2464</w:t>
      </w:r>
      <w:r w:rsidR="00657A16" w:rsidRPr="00F27401">
        <w:rPr>
          <w:lang w:val="en-IE"/>
        </w:rPr>
        <w:t xml:space="preserve"> and </w:t>
      </w:r>
      <w:r w:rsidR="00366F52" w:rsidRPr="00F27401">
        <w:rPr>
          <w:lang w:val="en-IE"/>
        </w:rPr>
        <w:t xml:space="preserve">(EU) 2024/1760 as regards certain </w:t>
      </w:r>
      <w:r w:rsidR="00D81BF6" w:rsidRPr="00F27401">
        <w:rPr>
          <w:lang w:val="en-IE"/>
        </w:rPr>
        <w:t xml:space="preserve">corporate sustainability </w:t>
      </w:r>
      <w:r w:rsidR="00366F52" w:rsidRPr="00F27401">
        <w:rPr>
          <w:lang w:val="en-IE"/>
        </w:rPr>
        <w:t xml:space="preserve">reporting </w:t>
      </w:r>
      <w:r w:rsidR="00D81BF6" w:rsidRPr="00F27401">
        <w:rPr>
          <w:lang w:val="en-IE"/>
        </w:rPr>
        <w:t>and due diligence</w:t>
      </w:r>
      <w:r w:rsidR="00366F52" w:rsidRPr="00F27401">
        <w:rPr>
          <w:lang w:val="en-IE"/>
        </w:rPr>
        <w:t xml:space="preserve"> requirements for undertakings</w:t>
      </w:r>
      <w:r w:rsidR="00144710" w:rsidRPr="00F27401">
        <w:rPr>
          <w:lang w:val="en-IE"/>
        </w:rPr>
        <w:t>.</w:t>
      </w:r>
      <w:r w:rsidR="00366F52" w:rsidRPr="00F27401">
        <w:rPr>
          <w:lang w:val="en-IE"/>
        </w:rPr>
        <w:t xml:space="preserve"> </w:t>
      </w:r>
    </w:p>
    <w:p w14:paraId="63EA0C01" w14:textId="77777777" w:rsidR="009D1FEE" w:rsidRPr="00F27401" w:rsidRDefault="009D1FEE">
      <w:pPr>
        <w:pStyle w:val="ManualHeading2"/>
        <w:rPr>
          <w:i/>
          <w:lang w:val="en-IE"/>
        </w:rPr>
      </w:pPr>
      <w:bookmarkStart w:id="35" w:name="_Toc514938011"/>
      <w:bookmarkStart w:id="36" w:name="_Toc520485027"/>
      <w:bookmarkStart w:id="37" w:name="_Toc160804569"/>
      <w:bookmarkStart w:id="38" w:name="_Toc167220261"/>
      <w:bookmarkStart w:id="39" w:name="_Toc177548994"/>
      <w:bookmarkStart w:id="40" w:name="_Toc191189489"/>
      <w:r w:rsidRPr="00F27401">
        <w:rPr>
          <w:lang w:val="en-IE"/>
        </w:rPr>
        <w:t>1.2.</w:t>
      </w:r>
      <w:r w:rsidRPr="00F27401">
        <w:rPr>
          <w:lang w:val="en-IE"/>
        </w:rPr>
        <w:tab/>
        <w:t>Policy area(s) concerned</w:t>
      </w:r>
      <w:bookmarkEnd w:id="35"/>
      <w:bookmarkEnd w:id="36"/>
      <w:bookmarkEnd w:id="37"/>
      <w:bookmarkEnd w:id="38"/>
      <w:bookmarkEnd w:id="39"/>
      <w:bookmarkEnd w:id="40"/>
      <w:r w:rsidRPr="00F27401">
        <w:rPr>
          <w:i/>
          <w:lang w:val="en-IE"/>
        </w:rPr>
        <w:t xml:space="preserve"> </w:t>
      </w:r>
    </w:p>
    <w:p w14:paraId="24DB6738" w14:textId="77777777" w:rsidR="009D1FEE" w:rsidRPr="00F27401" w:rsidRDefault="00EE2708" w:rsidP="00766C22">
      <w:pPr>
        <w:pStyle w:val="Text1"/>
        <w:pBdr>
          <w:top w:val="single" w:sz="4" w:space="1" w:color="auto"/>
          <w:left w:val="single" w:sz="4" w:space="4" w:color="auto"/>
          <w:bottom w:val="single" w:sz="4" w:space="1" w:color="auto"/>
          <w:right w:val="single" w:sz="4" w:space="4" w:color="auto"/>
        </w:pBdr>
        <w:rPr>
          <w:lang w:val="en-IE"/>
        </w:rPr>
      </w:pPr>
      <w:r w:rsidRPr="00F27401">
        <w:rPr>
          <w:lang w:val="en-IE"/>
        </w:rPr>
        <w:t>Capital Markets Union, Savings and Investment Union, European Green Deal, Sustainable Finance Strategy</w:t>
      </w:r>
      <w:r w:rsidR="004E04A1" w:rsidRPr="00F27401">
        <w:rPr>
          <w:lang w:val="en-IE"/>
        </w:rPr>
        <w:t xml:space="preserve">, </w:t>
      </w:r>
      <w:r w:rsidR="00423C03" w:rsidRPr="00F27401">
        <w:rPr>
          <w:lang w:val="en-IE"/>
        </w:rPr>
        <w:t>Company law and corporate governance</w:t>
      </w:r>
      <w:r w:rsidR="00B45FCC">
        <w:rPr>
          <w:lang w:val="en-IE"/>
        </w:rPr>
        <w:t>.</w:t>
      </w:r>
    </w:p>
    <w:p w14:paraId="1013958E" w14:textId="77777777" w:rsidR="009D1FEE" w:rsidRPr="00F27401" w:rsidRDefault="009D1FEE">
      <w:pPr>
        <w:pStyle w:val="ManualHeading2"/>
        <w:rPr>
          <w:lang w:val="en-IE"/>
        </w:rPr>
      </w:pPr>
      <w:bookmarkStart w:id="41" w:name="_Toc514938015"/>
      <w:bookmarkStart w:id="42" w:name="_Toc520485029"/>
      <w:bookmarkStart w:id="43" w:name="_Toc160804571"/>
      <w:bookmarkStart w:id="44" w:name="_Toc167220263"/>
      <w:bookmarkStart w:id="45" w:name="_Toc177548995"/>
      <w:bookmarkStart w:id="46" w:name="_Toc191189490"/>
      <w:r w:rsidRPr="00F27401">
        <w:rPr>
          <w:lang w:val="en-IE"/>
        </w:rPr>
        <w:t>1.3.</w:t>
      </w:r>
      <w:r w:rsidRPr="00F27401">
        <w:rPr>
          <w:lang w:val="en-IE"/>
        </w:rPr>
        <w:tab/>
        <w:t>Objective(s)</w:t>
      </w:r>
      <w:bookmarkEnd w:id="41"/>
      <w:bookmarkEnd w:id="42"/>
      <w:bookmarkEnd w:id="43"/>
      <w:bookmarkEnd w:id="44"/>
      <w:bookmarkEnd w:id="45"/>
      <w:bookmarkEnd w:id="46"/>
    </w:p>
    <w:p w14:paraId="5A5D23A1" w14:textId="77777777" w:rsidR="009D1FEE" w:rsidRPr="00F27401" w:rsidRDefault="009D1FEE">
      <w:pPr>
        <w:pStyle w:val="ManualHeading3"/>
        <w:rPr>
          <w:lang w:val="en-IE"/>
        </w:rPr>
      </w:pPr>
      <w:bookmarkStart w:id="47" w:name="_Toc514938016"/>
      <w:bookmarkStart w:id="48" w:name="_Toc520485030"/>
      <w:bookmarkStart w:id="49" w:name="_Toc160804572"/>
      <w:bookmarkStart w:id="50" w:name="_Toc167220264"/>
      <w:bookmarkStart w:id="51" w:name="_Toc177548996"/>
      <w:bookmarkStart w:id="52" w:name="_Toc191189491"/>
      <w:r w:rsidRPr="00F27401">
        <w:rPr>
          <w:lang w:val="en-IE"/>
        </w:rPr>
        <w:t>1.3.1.</w:t>
      </w:r>
      <w:r w:rsidRPr="00F27401">
        <w:rPr>
          <w:lang w:val="en-IE"/>
        </w:rPr>
        <w:tab/>
        <w:t>General objective(s)</w:t>
      </w:r>
      <w:bookmarkEnd w:id="47"/>
      <w:bookmarkEnd w:id="48"/>
      <w:bookmarkEnd w:id="49"/>
      <w:bookmarkEnd w:id="50"/>
      <w:bookmarkEnd w:id="51"/>
      <w:bookmarkEnd w:id="52"/>
    </w:p>
    <w:p w14:paraId="422CB66C" w14:textId="77777777" w:rsidR="009D1FEE" w:rsidRPr="00F27401" w:rsidRDefault="0007515B">
      <w:pPr>
        <w:pStyle w:val="Text1"/>
        <w:pBdr>
          <w:top w:val="single" w:sz="4" w:space="1" w:color="auto"/>
          <w:left w:val="single" w:sz="4" w:space="4" w:color="auto"/>
          <w:bottom w:val="single" w:sz="4" w:space="1" w:color="auto"/>
          <w:right w:val="single" w:sz="4" w:space="4" w:color="auto"/>
        </w:pBdr>
        <w:rPr>
          <w:lang w:val="en-IE"/>
        </w:rPr>
      </w:pPr>
      <w:r w:rsidRPr="00F27401">
        <w:rPr>
          <w:lang w:val="en-IE"/>
        </w:rPr>
        <w:t xml:space="preserve">The general objectives pursued by </w:t>
      </w:r>
      <w:r w:rsidR="003C4CEA" w:rsidRPr="00F27401">
        <w:rPr>
          <w:lang w:val="en-IE"/>
        </w:rPr>
        <w:t xml:space="preserve">this legislative proposal </w:t>
      </w:r>
      <w:r w:rsidR="00EB292B" w:rsidRPr="00F27401">
        <w:rPr>
          <w:lang w:val="en-IE"/>
        </w:rPr>
        <w:t>are to simplify</w:t>
      </w:r>
      <w:r w:rsidR="003D6341" w:rsidRPr="00F27401">
        <w:rPr>
          <w:lang w:val="en-IE"/>
        </w:rPr>
        <w:t xml:space="preserve"> </w:t>
      </w:r>
      <w:r w:rsidR="007B436F" w:rsidRPr="00F27401">
        <w:rPr>
          <w:lang w:val="en-IE"/>
        </w:rPr>
        <w:t xml:space="preserve">and reduce </w:t>
      </w:r>
      <w:r w:rsidR="003D6341" w:rsidRPr="00F27401">
        <w:rPr>
          <w:lang w:val="en-IE"/>
        </w:rPr>
        <w:t>certain</w:t>
      </w:r>
      <w:r w:rsidR="00EB292B" w:rsidRPr="00F27401">
        <w:rPr>
          <w:lang w:val="en-IE"/>
        </w:rPr>
        <w:t xml:space="preserve"> elements of </w:t>
      </w:r>
      <w:r w:rsidR="006B6B00" w:rsidRPr="00F27401">
        <w:rPr>
          <w:lang w:val="en-IE"/>
        </w:rPr>
        <w:t>Directive</w:t>
      </w:r>
      <w:r w:rsidR="00F004A1" w:rsidRPr="00F27401">
        <w:rPr>
          <w:lang w:val="en-IE"/>
        </w:rPr>
        <w:t>s</w:t>
      </w:r>
      <w:r w:rsidR="006B6B00" w:rsidRPr="00F27401">
        <w:rPr>
          <w:lang w:val="en-IE"/>
        </w:rPr>
        <w:t xml:space="preserve"> 2006/43/EC, </w:t>
      </w:r>
      <w:r w:rsidR="00EB292B" w:rsidRPr="00F27401">
        <w:rPr>
          <w:lang w:val="en-IE"/>
        </w:rPr>
        <w:t>2013/34</w:t>
      </w:r>
      <w:r w:rsidR="00F004A1" w:rsidRPr="00F27401">
        <w:rPr>
          <w:lang w:val="en-IE"/>
        </w:rPr>
        <w:t>/</w:t>
      </w:r>
      <w:r w:rsidR="00EB292B" w:rsidRPr="00F27401">
        <w:rPr>
          <w:lang w:val="en-IE"/>
        </w:rPr>
        <w:t>EU,</w:t>
      </w:r>
      <w:r w:rsidR="00CB613C" w:rsidRPr="00F27401">
        <w:rPr>
          <w:lang w:val="en-IE"/>
        </w:rPr>
        <w:t xml:space="preserve"> </w:t>
      </w:r>
      <w:r w:rsidR="003F745D" w:rsidRPr="00F27401">
        <w:rPr>
          <w:lang w:val="en-IE"/>
        </w:rPr>
        <w:t>(EU) 2022/2464</w:t>
      </w:r>
      <w:r w:rsidR="007D3E10" w:rsidRPr="00F27401">
        <w:rPr>
          <w:lang w:val="en-IE"/>
        </w:rPr>
        <w:t xml:space="preserve"> and (EU)</w:t>
      </w:r>
      <w:r w:rsidR="0071023A" w:rsidRPr="00F27401">
        <w:rPr>
          <w:lang w:val="en-IE"/>
        </w:rPr>
        <w:t xml:space="preserve"> 2024/</w:t>
      </w:r>
      <w:r w:rsidR="00937B0A" w:rsidRPr="00F27401">
        <w:rPr>
          <w:lang w:val="en-IE"/>
        </w:rPr>
        <w:t>1760</w:t>
      </w:r>
      <w:r w:rsidR="003D6341" w:rsidRPr="00F27401">
        <w:rPr>
          <w:lang w:val="en-IE"/>
        </w:rPr>
        <w:t xml:space="preserve"> in order to </w:t>
      </w:r>
      <w:r w:rsidR="007B436F" w:rsidRPr="00F27401">
        <w:rPr>
          <w:lang w:val="en-IE"/>
        </w:rPr>
        <w:t>alleviate</w:t>
      </w:r>
      <w:r w:rsidR="003D6341" w:rsidRPr="00F27401">
        <w:rPr>
          <w:lang w:val="en-IE"/>
        </w:rPr>
        <w:t xml:space="preserve"> the reporting </w:t>
      </w:r>
      <w:r w:rsidR="008C2F96" w:rsidRPr="00F27401">
        <w:rPr>
          <w:lang w:val="en-IE"/>
        </w:rPr>
        <w:t xml:space="preserve">and due diligence </w:t>
      </w:r>
      <w:r w:rsidR="003D6341" w:rsidRPr="00F27401">
        <w:rPr>
          <w:lang w:val="en-IE"/>
        </w:rPr>
        <w:t>burden on companies in scope of t</w:t>
      </w:r>
      <w:r w:rsidR="008F37D0" w:rsidRPr="00F27401">
        <w:rPr>
          <w:lang w:val="en-IE"/>
        </w:rPr>
        <w:t>he requirements.</w:t>
      </w:r>
    </w:p>
    <w:p w14:paraId="485F2C65" w14:textId="77777777" w:rsidR="00884ADF" w:rsidRPr="00F27401" w:rsidRDefault="002A1292">
      <w:pPr>
        <w:pStyle w:val="Text1"/>
        <w:pBdr>
          <w:top w:val="single" w:sz="4" w:space="1" w:color="auto"/>
          <w:left w:val="single" w:sz="4" w:space="4" w:color="auto"/>
          <w:bottom w:val="single" w:sz="4" w:space="1" w:color="auto"/>
          <w:right w:val="single" w:sz="4" w:space="4" w:color="auto"/>
        </w:pBdr>
        <w:rPr>
          <w:lang w:val="en-IE"/>
        </w:rPr>
      </w:pPr>
      <w:r w:rsidRPr="00F27401">
        <w:rPr>
          <w:lang w:val="en-IE"/>
        </w:rPr>
        <w:t xml:space="preserve">By reducing the administrative burden associated with </w:t>
      </w:r>
      <w:r w:rsidR="004C0100" w:rsidRPr="00F27401">
        <w:rPr>
          <w:lang w:val="en-IE"/>
        </w:rPr>
        <w:t>reporting requirements</w:t>
      </w:r>
      <w:r w:rsidR="006411BA" w:rsidRPr="00F27401">
        <w:rPr>
          <w:lang w:val="en-IE"/>
        </w:rPr>
        <w:t xml:space="preserve"> and the </w:t>
      </w:r>
      <w:r w:rsidR="00C35615" w:rsidRPr="00F27401">
        <w:rPr>
          <w:lang w:val="en-IE"/>
        </w:rPr>
        <w:t>com</w:t>
      </w:r>
      <w:r w:rsidR="00BF648F">
        <w:rPr>
          <w:lang w:val="en-IE"/>
        </w:rPr>
        <w:t>p</w:t>
      </w:r>
      <w:r w:rsidR="00C35615" w:rsidRPr="00F27401">
        <w:rPr>
          <w:lang w:val="en-IE"/>
        </w:rPr>
        <w:t xml:space="preserve">liance </w:t>
      </w:r>
      <w:r w:rsidR="00E8342A" w:rsidRPr="00F27401">
        <w:rPr>
          <w:lang w:val="en-IE"/>
        </w:rPr>
        <w:t>costs of</w:t>
      </w:r>
      <w:r w:rsidR="00696FB1" w:rsidRPr="00F27401">
        <w:rPr>
          <w:lang w:val="en-IE"/>
        </w:rPr>
        <w:t xml:space="preserve"> </w:t>
      </w:r>
      <w:r w:rsidR="00F27401" w:rsidRPr="00F27401">
        <w:rPr>
          <w:lang w:val="en-IE"/>
        </w:rPr>
        <w:t>sustainability</w:t>
      </w:r>
      <w:r w:rsidR="00696FB1" w:rsidRPr="00F27401">
        <w:rPr>
          <w:lang w:val="en-IE"/>
        </w:rPr>
        <w:t xml:space="preserve"> due diligence </w:t>
      </w:r>
      <w:r w:rsidR="004C0100" w:rsidRPr="00F27401">
        <w:rPr>
          <w:lang w:val="en-IE"/>
        </w:rPr>
        <w:t>stemming from the above legislation</w:t>
      </w:r>
      <w:r w:rsidR="00816B3E" w:rsidRPr="00F27401">
        <w:rPr>
          <w:lang w:val="en-IE"/>
        </w:rPr>
        <w:t xml:space="preserve">, this proposal intends to </w:t>
      </w:r>
      <w:r w:rsidR="00B233D9" w:rsidRPr="00F27401">
        <w:rPr>
          <w:lang w:val="en-IE"/>
        </w:rPr>
        <w:t xml:space="preserve">enhance the </w:t>
      </w:r>
      <w:r w:rsidR="007B436F" w:rsidRPr="00F27401">
        <w:rPr>
          <w:lang w:val="en-IE"/>
        </w:rPr>
        <w:t xml:space="preserve">proportionality of the framework and </w:t>
      </w:r>
      <w:r w:rsidR="00B233D9" w:rsidRPr="00F27401">
        <w:rPr>
          <w:lang w:val="en-IE"/>
        </w:rPr>
        <w:t>the competi</w:t>
      </w:r>
      <w:r w:rsidR="00535A4F" w:rsidRPr="00F27401">
        <w:rPr>
          <w:lang w:val="en-IE"/>
        </w:rPr>
        <w:t>ti</w:t>
      </w:r>
      <w:r w:rsidR="00B233D9" w:rsidRPr="00F27401">
        <w:rPr>
          <w:lang w:val="en-IE"/>
        </w:rPr>
        <w:t xml:space="preserve">veness of European companies, while also </w:t>
      </w:r>
      <w:r w:rsidR="00884ADF" w:rsidRPr="00F27401">
        <w:rPr>
          <w:lang w:val="en-IE"/>
        </w:rPr>
        <w:t>maintaining</w:t>
      </w:r>
      <w:r w:rsidR="00B233D9" w:rsidRPr="00F27401">
        <w:rPr>
          <w:lang w:val="en-IE"/>
        </w:rPr>
        <w:t xml:space="preserve"> the </w:t>
      </w:r>
      <w:r w:rsidR="00535A4F" w:rsidRPr="00F27401">
        <w:rPr>
          <w:lang w:val="en-IE"/>
        </w:rPr>
        <w:t xml:space="preserve">objectives of the European Green Deal. </w:t>
      </w:r>
    </w:p>
    <w:p w14:paraId="0636EC65" w14:textId="77777777" w:rsidR="009D1FEE" w:rsidRPr="00F27401" w:rsidRDefault="009D1FEE">
      <w:pPr>
        <w:pStyle w:val="ManualHeading3"/>
        <w:rPr>
          <w:lang w:val="en-IE"/>
        </w:rPr>
      </w:pPr>
      <w:bookmarkStart w:id="53" w:name="_Toc514938018"/>
      <w:bookmarkStart w:id="54" w:name="_Toc520485031"/>
      <w:bookmarkStart w:id="55" w:name="_Toc160804573"/>
      <w:bookmarkStart w:id="56" w:name="_Toc167220265"/>
      <w:bookmarkStart w:id="57" w:name="_Toc177548997"/>
      <w:bookmarkStart w:id="58" w:name="_Toc191189492"/>
      <w:r w:rsidRPr="00F27401">
        <w:rPr>
          <w:lang w:val="en-IE"/>
        </w:rPr>
        <w:t>1.3.2.</w:t>
      </w:r>
      <w:r w:rsidRPr="00F27401">
        <w:rPr>
          <w:lang w:val="en-IE"/>
        </w:rPr>
        <w:tab/>
        <w:t>Specific objective(s)</w:t>
      </w:r>
      <w:bookmarkEnd w:id="53"/>
      <w:bookmarkEnd w:id="54"/>
      <w:bookmarkEnd w:id="55"/>
      <w:bookmarkEnd w:id="56"/>
      <w:bookmarkEnd w:id="57"/>
      <w:bookmarkEnd w:id="58"/>
    </w:p>
    <w:p w14:paraId="0417A008" w14:textId="77777777" w:rsidR="005D79E0" w:rsidRDefault="00CF75DC" w:rsidP="001D7D64">
      <w:pPr>
        <w:pStyle w:val="Text1"/>
        <w:pBdr>
          <w:top w:val="single" w:sz="4" w:space="1" w:color="auto"/>
          <w:left w:val="single" w:sz="4" w:space="4" w:color="auto"/>
          <w:bottom w:val="single" w:sz="4" w:space="1" w:color="auto"/>
          <w:right w:val="single" w:sz="4" w:space="4" w:color="auto"/>
        </w:pBdr>
        <w:rPr>
          <w:lang w:val="en-IE"/>
        </w:rPr>
      </w:pPr>
      <w:r w:rsidRPr="00F27401">
        <w:rPr>
          <w:lang w:val="en-IE"/>
        </w:rPr>
        <w:t>The specific objectives of the proposed amendments</w:t>
      </w:r>
      <w:r w:rsidR="00047D7E" w:rsidRPr="00F27401">
        <w:rPr>
          <w:lang w:val="en-IE"/>
        </w:rPr>
        <w:t xml:space="preserve"> to Directive 2013/34/EU</w:t>
      </w:r>
      <w:r w:rsidRPr="00F27401">
        <w:rPr>
          <w:lang w:val="en-IE"/>
        </w:rPr>
        <w:t xml:space="preserve"> </w:t>
      </w:r>
      <w:r w:rsidR="002A7572" w:rsidRPr="00F27401">
        <w:rPr>
          <w:lang w:val="en-IE"/>
        </w:rPr>
        <w:t xml:space="preserve">included </w:t>
      </w:r>
      <w:r w:rsidR="008963A4" w:rsidRPr="00F27401">
        <w:rPr>
          <w:lang w:val="en-IE"/>
        </w:rPr>
        <w:t xml:space="preserve">in this proposal </w:t>
      </w:r>
      <w:r w:rsidR="00512403" w:rsidRPr="00F27401">
        <w:rPr>
          <w:lang w:val="en-IE"/>
        </w:rPr>
        <w:t xml:space="preserve">aim to </w:t>
      </w:r>
      <w:r w:rsidR="005D79E0" w:rsidRPr="00F27401">
        <w:rPr>
          <w:lang w:val="en-IE"/>
        </w:rPr>
        <w:t xml:space="preserve">achieve the following results: </w:t>
      </w:r>
    </w:p>
    <w:p w14:paraId="1963155F" w14:textId="77777777" w:rsidR="008E4632" w:rsidRPr="008E4632" w:rsidRDefault="008E4632" w:rsidP="004671B1">
      <w:pPr>
        <w:pStyle w:val="Tiret1"/>
        <w:numPr>
          <w:ilvl w:val="0"/>
          <w:numId w:val="28"/>
        </w:numPr>
        <w:rPr>
          <w:lang w:val="en-IE"/>
        </w:rPr>
      </w:pPr>
      <w:r w:rsidRPr="008E4632">
        <w:rPr>
          <w:lang w:val="en-IE"/>
        </w:rPr>
        <w:t xml:space="preserve">Reduce the number of companies which fall within the scope of the sustainability reporting requirements to large companies with more than 1000 employees. </w:t>
      </w:r>
    </w:p>
    <w:p w14:paraId="09379569" w14:textId="77777777" w:rsidR="008E4632" w:rsidRPr="008E4632" w:rsidRDefault="008E4632" w:rsidP="00C11055">
      <w:pPr>
        <w:pStyle w:val="Tiret1"/>
        <w:rPr>
          <w:lang w:val="en-IE"/>
        </w:rPr>
      </w:pPr>
      <w:r w:rsidRPr="008E4632">
        <w:rPr>
          <w:lang w:val="en-IE"/>
        </w:rPr>
        <w:t xml:space="preserve">Reduce trickle-down effects on SMEs and smaller large companies by imposing the voluntary sustainability reporting standard for SMEs (VSME) as the value chain cap for all companies not subject to sustainability reporting requirements. </w:t>
      </w:r>
    </w:p>
    <w:p w14:paraId="346BA3F4" w14:textId="77777777" w:rsidR="008E4632" w:rsidRPr="008E4632" w:rsidRDefault="008E4632" w:rsidP="00C11055">
      <w:pPr>
        <w:pStyle w:val="Tiret1"/>
        <w:rPr>
          <w:lang w:val="en-IE"/>
        </w:rPr>
      </w:pPr>
      <w:r w:rsidRPr="008E4632">
        <w:rPr>
          <w:lang w:val="en-IE"/>
        </w:rPr>
        <w:t xml:space="preserve">Provide for a proportionate standard for voluntary use by companies which are not subject to sustainability reporting requirements. </w:t>
      </w:r>
    </w:p>
    <w:p w14:paraId="207D9412" w14:textId="77777777" w:rsidR="008E4632" w:rsidRDefault="008E4632" w:rsidP="00C11055">
      <w:pPr>
        <w:pStyle w:val="Tiret1"/>
        <w:rPr>
          <w:lang w:val="en-IE"/>
        </w:rPr>
      </w:pPr>
      <w:r w:rsidRPr="008E4632">
        <w:rPr>
          <w:lang w:val="en-IE"/>
        </w:rPr>
        <w:t xml:space="preserve">Remove the empowerment for the Commission to adopt sector-specific sustainability reporting standards. </w:t>
      </w:r>
    </w:p>
    <w:p w14:paraId="0CA63482" w14:textId="77777777" w:rsidR="008E4632" w:rsidRDefault="009B3B87" w:rsidP="008E4632">
      <w:pPr>
        <w:pStyle w:val="Text1"/>
        <w:pBdr>
          <w:top w:val="single" w:sz="4" w:space="1" w:color="auto"/>
          <w:left w:val="single" w:sz="4" w:space="4" w:color="auto"/>
          <w:bottom w:val="single" w:sz="4" w:space="1" w:color="auto"/>
          <w:right w:val="single" w:sz="4" w:space="4" w:color="auto"/>
        </w:pBdr>
        <w:rPr>
          <w:lang w:val="en-IE"/>
        </w:rPr>
      </w:pPr>
      <w:r w:rsidRPr="00F27401">
        <w:rPr>
          <w:lang w:val="en-IE"/>
        </w:rPr>
        <w:t xml:space="preserve">The specific objectives </w:t>
      </w:r>
      <w:r w:rsidR="00884ADF" w:rsidRPr="00F27401">
        <w:rPr>
          <w:lang w:val="en-IE"/>
        </w:rPr>
        <w:t xml:space="preserve">of the proposed amendments to Directive </w:t>
      </w:r>
      <w:r w:rsidR="0019306C" w:rsidRPr="00F27401">
        <w:rPr>
          <w:lang w:val="en-IE"/>
        </w:rPr>
        <w:t xml:space="preserve">2006/43/EC </w:t>
      </w:r>
      <w:r w:rsidR="00887A61" w:rsidRPr="00F27401">
        <w:rPr>
          <w:lang w:val="en-IE"/>
        </w:rPr>
        <w:t>included</w:t>
      </w:r>
      <w:r w:rsidR="008963A4" w:rsidRPr="00F27401">
        <w:rPr>
          <w:lang w:val="en-IE"/>
        </w:rPr>
        <w:t xml:space="preserve"> in this proposal</w:t>
      </w:r>
      <w:r w:rsidR="00887A61" w:rsidRPr="00F27401">
        <w:rPr>
          <w:lang w:val="en-IE"/>
        </w:rPr>
        <w:t xml:space="preserve"> aim to achieve the following results: </w:t>
      </w:r>
    </w:p>
    <w:p w14:paraId="5F391B05" w14:textId="77777777" w:rsidR="008E4632" w:rsidRDefault="008E4632" w:rsidP="00C11055">
      <w:pPr>
        <w:pStyle w:val="Tiret1"/>
        <w:rPr>
          <w:lang w:val="en-IE"/>
        </w:rPr>
      </w:pPr>
      <w:r w:rsidRPr="008E4632">
        <w:rPr>
          <w:lang w:val="en-IE"/>
        </w:rPr>
        <w:t>Delete the obligation for the Commission to adopt standards for sustainability assurance by October 2026. The Commission will issue targeted assurance guidelines by 2026</w:t>
      </w:r>
      <w:r>
        <w:rPr>
          <w:lang w:val="en-IE"/>
        </w:rPr>
        <w:t>.</w:t>
      </w:r>
    </w:p>
    <w:p w14:paraId="2CCE66B5" w14:textId="77777777" w:rsidR="008E4632" w:rsidRDefault="008E4632" w:rsidP="008E4632">
      <w:pPr>
        <w:pStyle w:val="Text1"/>
        <w:pBdr>
          <w:top w:val="single" w:sz="4" w:space="1" w:color="auto"/>
          <w:left w:val="single" w:sz="4" w:space="4" w:color="auto"/>
          <w:bottom w:val="single" w:sz="4" w:space="1" w:color="auto"/>
          <w:right w:val="single" w:sz="4" w:space="4" w:color="auto"/>
        </w:pBdr>
        <w:rPr>
          <w:lang w:val="en-IE"/>
        </w:rPr>
      </w:pPr>
      <w:r w:rsidRPr="008E4632">
        <w:rPr>
          <w:lang w:val="en-IE"/>
        </w:rPr>
        <w:t xml:space="preserve">The specific objectives of the proposed amendments to Directive (EU) 2022/2464 included in this proposal aim to achieve the following results: </w:t>
      </w:r>
    </w:p>
    <w:p w14:paraId="05470A12" w14:textId="77777777" w:rsidR="008E4632" w:rsidRDefault="008E4632" w:rsidP="00C11055">
      <w:pPr>
        <w:pStyle w:val="Tiret1"/>
        <w:rPr>
          <w:lang w:val="en-IE"/>
        </w:rPr>
      </w:pPr>
      <w:r w:rsidRPr="008E4632">
        <w:rPr>
          <w:lang w:val="en-IE"/>
        </w:rPr>
        <w:lastRenderedPageBreak/>
        <w:t xml:space="preserve">Reflect the reduction of the undertakings in scope of sustainability reporting under Articles 19a and 29a of the Accounting Directive in the relevant provision specifying the application dates for sustainability reporting rules. </w:t>
      </w:r>
    </w:p>
    <w:p w14:paraId="1159FFA0" w14:textId="77777777" w:rsidR="008E4632" w:rsidRDefault="008E4632" w:rsidP="008E4632">
      <w:pPr>
        <w:pStyle w:val="Text1"/>
        <w:pBdr>
          <w:top w:val="single" w:sz="4" w:space="1" w:color="auto"/>
          <w:left w:val="single" w:sz="4" w:space="4" w:color="auto"/>
          <w:bottom w:val="single" w:sz="4" w:space="1" w:color="auto"/>
          <w:right w:val="single" w:sz="4" w:space="4" w:color="auto"/>
        </w:pBdr>
        <w:rPr>
          <w:lang w:val="en-IE"/>
        </w:rPr>
      </w:pPr>
      <w:r w:rsidRPr="008E4632">
        <w:rPr>
          <w:lang w:val="en-IE"/>
        </w:rPr>
        <w:t xml:space="preserve">The specific objectives of the proposed amendments to Directive (EU) 2024/1760 included in this proposal aim to achieve the following results: </w:t>
      </w:r>
    </w:p>
    <w:p w14:paraId="44B0619C" w14:textId="77777777" w:rsidR="008E4632" w:rsidRDefault="008E4632" w:rsidP="00C11055">
      <w:pPr>
        <w:pStyle w:val="Tiret1"/>
        <w:rPr>
          <w:lang w:val="en-IE"/>
        </w:rPr>
      </w:pPr>
      <w:r w:rsidRPr="008E4632">
        <w:rPr>
          <w:lang w:val="en-IE"/>
        </w:rPr>
        <w:t>Simplify selected due diligence requirements in order to avoid unnecessary complexities and costs for the large companies under the scope</w:t>
      </w:r>
      <w:r>
        <w:rPr>
          <w:lang w:val="en-IE"/>
        </w:rPr>
        <w:t>.</w:t>
      </w:r>
    </w:p>
    <w:p w14:paraId="3D9D7843" w14:textId="77777777" w:rsidR="008E4632" w:rsidRDefault="008E4632" w:rsidP="00C11055">
      <w:pPr>
        <w:pStyle w:val="Tiret1"/>
        <w:rPr>
          <w:lang w:val="en-IE"/>
        </w:rPr>
      </w:pPr>
      <w:r w:rsidRPr="008E4632">
        <w:rPr>
          <w:lang w:val="en-IE"/>
        </w:rPr>
        <w:t>Reduce further the trickle-down effects on SMEs and small midcap companies (SMCs) in the value chains of large companies in scope by limiting information requests.</w:t>
      </w:r>
    </w:p>
    <w:p w14:paraId="5D1B6CF8" w14:textId="77777777" w:rsidR="009D1FEE" w:rsidRPr="00F27401" w:rsidRDefault="009D1FEE">
      <w:pPr>
        <w:pStyle w:val="ManualHeading3"/>
        <w:rPr>
          <w:lang w:val="en-IE"/>
        </w:rPr>
      </w:pPr>
      <w:bookmarkStart w:id="59" w:name="_Toc514938019"/>
      <w:bookmarkStart w:id="60" w:name="_Toc520485032"/>
      <w:bookmarkStart w:id="61" w:name="_Toc160804574"/>
      <w:bookmarkStart w:id="62" w:name="_Toc167220266"/>
      <w:bookmarkStart w:id="63" w:name="_Toc177548998"/>
      <w:bookmarkStart w:id="64" w:name="_Toc191189493"/>
      <w:r w:rsidRPr="00F27401">
        <w:rPr>
          <w:lang w:val="en-IE"/>
        </w:rPr>
        <w:t>1.3.3.</w:t>
      </w:r>
      <w:r w:rsidRPr="00F27401">
        <w:rPr>
          <w:lang w:val="en-IE"/>
        </w:rPr>
        <w:tab/>
        <w:t>Expected result(s) and impact</w:t>
      </w:r>
      <w:bookmarkEnd w:id="59"/>
      <w:bookmarkEnd w:id="60"/>
      <w:bookmarkEnd w:id="61"/>
      <w:bookmarkEnd w:id="62"/>
      <w:bookmarkEnd w:id="63"/>
      <w:bookmarkEnd w:id="64"/>
    </w:p>
    <w:p w14:paraId="00303CA4" w14:textId="77777777" w:rsidR="009D1FEE" w:rsidRPr="00757AE9" w:rsidRDefault="009D1FEE" w:rsidP="002F5889">
      <w:pPr>
        <w:pStyle w:val="Text1"/>
      </w:pPr>
      <w:r w:rsidRPr="00F27401">
        <w:rPr>
          <w:i/>
          <w:sz w:val="20"/>
          <w:lang w:val="en-IE"/>
        </w:rPr>
        <w:t>Specify the effects which the proposal/initiative should have on the beneficiaries/groups targeted.</w:t>
      </w:r>
    </w:p>
    <w:p w14:paraId="55930B2F" w14:textId="77777777" w:rsidR="002F5889" w:rsidRPr="00F27401" w:rsidRDefault="002F5889" w:rsidP="006B7902">
      <w:pPr>
        <w:pStyle w:val="Text1"/>
        <w:pBdr>
          <w:top w:val="single" w:sz="4" w:space="1" w:color="auto"/>
          <w:left w:val="single" w:sz="4" w:space="4" w:color="auto"/>
          <w:bottom w:val="single" w:sz="4" w:space="1" w:color="auto"/>
          <w:right w:val="single" w:sz="4" w:space="4" w:color="auto"/>
        </w:pBdr>
        <w:rPr>
          <w:lang w:val="en-IE"/>
        </w:rPr>
      </w:pPr>
      <w:r w:rsidRPr="00F27401">
        <w:rPr>
          <w:lang w:val="en-IE"/>
        </w:rPr>
        <w:t xml:space="preserve">The expected results and impact of the proposed amendments are to simplify </w:t>
      </w:r>
      <w:r w:rsidR="004864D4" w:rsidRPr="00F27401">
        <w:rPr>
          <w:lang w:val="en-IE"/>
        </w:rPr>
        <w:t>sustainability reporting requirements and as a result reduce the administrative burden on companies in this regard, whilst maintaining the objectives of the European Green Deal</w:t>
      </w:r>
      <w:r w:rsidR="003F5E75" w:rsidRPr="00F27401">
        <w:rPr>
          <w:lang w:val="en-IE"/>
        </w:rPr>
        <w:t xml:space="preserve"> and the Sustainable Finance Action Plan</w:t>
      </w:r>
      <w:r w:rsidR="004864D4" w:rsidRPr="00F27401">
        <w:rPr>
          <w:lang w:val="en-IE"/>
        </w:rPr>
        <w:t xml:space="preserve">. </w:t>
      </w:r>
      <w:r w:rsidR="00594637" w:rsidRPr="00F27401">
        <w:rPr>
          <w:lang w:val="en-IE"/>
        </w:rPr>
        <w:t xml:space="preserve">The proposed amendments are also expected to result in significant cost savings for companies in scope when carrying out </w:t>
      </w:r>
      <w:r w:rsidR="00CF6158" w:rsidRPr="00F27401">
        <w:rPr>
          <w:lang w:val="en-IE"/>
        </w:rPr>
        <w:t xml:space="preserve">sustainability reporting. </w:t>
      </w:r>
      <w:r w:rsidR="00F23477" w:rsidRPr="00F27401">
        <w:rPr>
          <w:lang w:val="en-IE"/>
        </w:rPr>
        <w:t xml:space="preserve">In the same vein, the </w:t>
      </w:r>
      <w:r w:rsidR="00361304" w:rsidRPr="00F27401">
        <w:rPr>
          <w:lang w:val="en-IE"/>
        </w:rPr>
        <w:t xml:space="preserve">amendments to the </w:t>
      </w:r>
      <w:r w:rsidR="00384531" w:rsidRPr="00F27401">
        <w:rPr>
          <w:lang w:val="en-IE"/>
        </w:rPr>
        <w:t>human rights and environmental due diligence re</w:t>
      </w:r>
      <w:r w:rsidR="00A0413E" w:rsidRPr="00F27401">
        <w:rPr>
          <w:lang w:val="en-IE"/>
        </w:rPr>
        <w:t>quirements are expected to simplify related corporate processes and procedures</w:t>
      </w:r>
      <w:r w:rsidR="00871F41" w:rsidRPr="00F27401">
        <w:rPr>
          <w:lang w:val="en-IE"/>
        </w:rPr>
        <w:t xml:space="preserve"> as </w:t>
      </w:r>
      <w:r w:rsidR="00A0413E" w:rsidRPr="00F27401">
        <w:rPr>
          <w:lang w:val="en-IE"/>
        </w:rPr>
        <w:t xml:space="preserve">compared to the Directive </w:t>
      </w:r>
      <w:r w:rsidR="00AB0F5B" w:rsidRPr="00F27401">
        <w:rPr>
          <w:lang w:val="en-IE"/>
        </w:rPr>
        <w:t>as in force (which is not yet transposed or applied).</w:t>
      </w:r>
    </w:p>
    <w:p w14:paraId="0520FF58" w14:textId="77777777" w:rsidR="009D1FEE" w:rsidRPr="00F27401" w:rsidRDefault="009D1FEE">
      <w:pPr>
        <w:pStyle w:val="ManualHeading3"/>
        <w:rPr>
          <w:lang w:val="en-IE"/>
        </w:rPr>
      </w:pPr>
      <w:bookmarkStart w:id="65" w:name="_Toc514938023"/>
      <w:bookmarkStart w:id="66" w:name="_Toc520485033"/>
      <w:bookmarkStart w:id="67" w:name="_Toc160804575"/>
      <w:bookmarkStart w:id="68" w:name="_Toc167220267"/>
      <w:bookmarkStart w:id="69" w:name="_Toc177548999"/>
      <w:bookmarkStart w:id="70" w:name="_Toc191189494"/>
      <w:r w:rsidRPr="00F27401">
        <w:rPr>
          <w:lang w:val="en-IE"/>
        </w:rPr>
        <w:t>1.3.4.</w:t>
      </w:r>
      <w:r w:rsidRPr="00F27401">
        <w:rPr>
          <w:lang w:val="en-IE"/>
        </w:rPr>
        <w:tab/>
        <w:t>Indicators of performance</w:t>
      </w:r>
      <w:bookmarkEnd w:id="65"/>
      <w:bookmarkEnd w:id="66"/>
      <w:bookmarkEnd w:id="67"/>
      <w:bookmarkEnd w:id="68"/>
      <w:bookmarkEnd w:id="69"/>
      <w:bookmarkEnd w:id="70"/>
    </w:p>
    <w:p w14:paraId="5DF078BB" w14:textId="77777777" w:rsidR="009D1FEE" w:rsidRPr="00F27401" w:rsidRDefault="009D1FEE">
      <w:pPr>
        <w:pStyle w:val="Text1"/>
        <w:rPr>
          <w:i/>
          <w:sz w:val="20"/>
          <w:lang w:val="en-IE"/>
        </w:rPr>
      </w:pPr>
      <w:r w:rsidRPr="00F27401">
        <w:rPr>
          <w:i/>
          <w:sz w:val="20"/>
          <w:lang w:val="en-IE"/>
        </w:rPr>
        <w:t>Specify the indicators for monitoring progress and achievements.</w:t>
      </w:r>
    </w:p>
    <w:p w14:paraId="6D548CC0" w14:textId="77777777" w:rsidR="0016423F" w:rsidRPr="00F27401" w:rsidRDefault="0016423F" w:rsidP="0016423F">
      <w:pPr>
        <w:pStyle w:val="Text1"/>
        <w:pBdr>
          <w:top w:val="single" w:sz="4" w:space="1" w:color="auto"/>
          <w:left w:val="single" w:sz="4" w:space="4" w:color="auto"/>
          <w:bottom w:val="single" w:sz="4" w:space="1" w:color="auto"/>
          <w:right w:val="single" w:sz="4" w:space="4" w:color="auto"/>
        </w:pBdr>
        <w:rPr>
          <w:lang w:val="en-IE"/>
        </w:rPr>
      </w:pPr>
      <w:r w:rsidRPr="00F27401">
        <w:rPr>
          <w:lang w:val="en-IE"/>
        </w:rPr>
        <w:t xml:space="preserve">The CSRD has been applied by a first set of companies who are publishing their first sustainability statements mainly in the first half of 2025. It has therefore not been possible to undertake an ex-post evaluation or fitness check of either piece of legislation.  </w:t>
      </w:r>
    </w:p>
    <w:p w14:paraId="5FA89464" w14:textId="77777777" w:rsidR="000E268E" w:rsidRPr="00F27401" w:rsidRDefault="0016423F" w:rsidP="000E268E">
      <w:pPr>
        <w:pStyle w:val="Text1"/>
        <w:pBdr>
          <w:top w:val="single" w:sz="4" w:space="1" w:color="auto"/>
          <w:left w:val="single" w:sz="4" w:space="4" w:color="auto"/>
          <w:bottom w:val="single" w:sz="4" w:space="1" w:color="auto"/>
          <w:right w:val="single" w:sz="4" w:space="4" w:color="auto"/>
        </w:pBdr>
        <w:rPr>
          <w:lang w:val="en-IE"/>
        </w:rPr>
      </w:pPr>
      <w:r w:rsidRPr="00F27401">
        <w:rPr>
          <w:lang w:val="en-IE"/>
        </w:rPr>
        <w:t xml:space="preserve">To monitor progress towards achieving the proposal’s specific objectives, the Commission will explore the possibility of organising exchanges with stakeholders in different formats as well as periodic surveys of users of sustainability information and of undertakings that report such information, depending on the availability of financial resources. Article 6 of the CSRD requires the Commission to present a report on the implementation of the Directive by April 2029. </w:t>
      </w:r>
    </w:p>
    <w:p w14:paraId="615196DE" w14:textId="77777777" w:rsidR="009A70B6" w:rsidRPr="00F27401" w:rsidRDefault="002C0F57" w:rsidP="0016423F">
      <w:pPr>
        <w:pStyle w:val="Text1"/>
        <w:pBdr>
          <w:top w:val="single" w:sz="4" w:space="1" w:color="auto"/>
          <w:left w:val="single" w:sz="4" w:space="4" w:color="auto"/>
          <w:bottom w:val="single" w:sz="4" w:space="1" w:color="auto"/>
          <w:right w:val="single" w:sz="4" w:space="4" w:color="auto"/>
        </w:pBdr>
        <w:rPr>
          <w:lang w:val="en-IE"/>
        </w:rPr>
      </w:pPr>
      <w:r w:rsidRPr="00F27401">
        <w:rPr>
          <w:lang w:val="en-IE"/>
        </w:rPr>
        <w:t xml:space="preserve">In this proposal, the Commission also commits to revising the first set of ESRS. </w:t>
      </w:r>
      <w:r w:rsidR="006E3284" w:rsidRPr="00F27401">
        <w:rPr>
          <w:lang w:val="en-IE"/>
        </w:rPr>
        <w:t xml:space="preserve">Under Directive 2013/34/EU, the Commission is required to review </w:t>
      </w:r>
      <w:r w:rsidR="000E268E" w:rsidRPr="00F27401">
        <w:rPr>
          <w:lang w:val="en-IE"/>
        </w:rPr>
        <w:t>those sustainability reporting standards, including the sustainability reporting standards for small and medium-sized undertakings, every three years to take account of relevant developments, including the development of international standards.</w:t>
      </w:r>
    </w:p>
    <w:p w14:paraId="1215BAFD" w14:textId="77777777" w:rsidR="009D1FEE" w:rsidRPr="00F27401" w:rsidRDefault="0016423F">
      <w:pPr>
        <w:pStyle w:val="Text1"/>
        <w:pBdr>
          <w:top w:val="single" w:sz="4" w:space="1" w:color="auto"/>
          <w:left w:val="single" w:sz="4" w:space="4" w:color="auto"/>
          <w:bottom w:val="single" w:sz="4" w:space="1" w:color="auto"/>
          <w:right w:val="single" w:sz="4" w:space="4" w:color="auto"/>
        </w:pBdr>
        <w:rPr>
          <w:lang w:val="en-IE"/>
        </w:rPr>
      </w:pPr>
      <w:r w:rsidRPr="00F27401">
        <w:rPr>
          <w:lang w:val="en-IE"/>
        </w:rPr>
        <w:t xml:space="preserve">The implementation of the CSDDD as amended, and its effectiveness in reaching its objectives, in particular in addressing adverse impacts, will also be subject to regular evaluation according to Article 36 of that Directive. </w:t>
      </w:r>
    </w:p>
    <w:p w14:paraId="66B32472" w14:textId="77777777" w:rsidR="009D1FEE" w:rsidRPr="00F27401" w:rsidRDefault="003A59EB">
      <w:pPr>
        <w:pStyle w:val="Text1"/>
        <w:pBdr>
          <w:top w:val="single" w:sz="4" w:space="1" w:color="auto"/>
          <w:left w:val="single" w:sz="4" w:space="4" w:color="auto"/>
          <w:bottom w:val="single" w:sz="4" w:space="1" w:color="auto"/>
          <w:right w:val="single" w:sz="4" w:space="4" w:color="auto"/>
        </w:pBdr>
        <w:rPr>
          <w:lang w:val="en-IE"/>
        </w:rPr>
      </w:pPr>
      <w:r w:rsidRPr="00F27401">
        <w:rPr>
          <w:lang w:val="en-IE"/>
        </w:rPr>
        <w:t xml:space="preserve">A number of indicators </w:t>
      </w:r>
      <w:r w:rsidR="00B238C8" w:rsidRPr="00F27401">
        <w:rPr>
          <w:lang w:val="en-IE"/>
        </w:rPr>
        <w:t>will</w:t>
      </w:r>
      <w:r w:rsidRPr="00F27401">
        <w:rPr>
          <w:lang w:val="en-IE"/>
        </w:rPr>
        <w:t xml:space="preserve"> be used to monitor the progress of these </w:t>
      </w:r>
      <w:r w:rsidR="00B56FA6" w:rsidRPr="00F27401">
        <w:rPr>
          <w:lang w:val="en-IE"/>
        </w:rPr>
        <w:t xml:space="preserve">proposals, such as the effectiveness and timeliness of the </w:t>
      </w:r>
      <w:r w:rsidR="007924EE" w:rsidRPr="00F27401">
        <w:rPr>
          <w:lang w:val="en-IE"/>
        </w:rPr>
        <w:t xml:space="preserve">actions proposed, </w:t>
      </w:r>
      <w:r w:rsidR="0043055B" w:rsidRPr="00F27401">
        <w:rPr>
          <w:lang w:val="en-IE"/>
        </w:rPr>
        <w:t xml:space="preserve">the efficiency </w:t>
      </w:r>
      <w:r w:rsidR="006672DC" w:rsidRPr="00F27401">
        <w:rPr>
          <w:lang w:val="en-IE"/>
        </w:rPr>
        <w:t xml:space="preserve">of processes for collecting and processing data in accordance with the sustainability </w:t>
      </w:r>
      <w:r w:rsidR="006672DC" w:rsidRPr="00F27401">
        <w:rPr>
          <w:lang w:val="en-IE"/>
        </w:rPr>
        <w:lastRenderedPageBreak/>
        <w:t xml:space="preserve">reporting requirements, </w:t>
      </w:r>
      <w:r w:rsidR="004B6722" w:rsidRPr="00F27401">
        <w:rPr>
          <w:lang w:val="en-IE"/>
        </w:rPr>
        <w:t xml:space="preserve">and the </w:t>
      </w:r>
      <w:r w:rsidR="0074579D" w:rsidRPr="00F27401">
        <w:rPr>
          <w:lang w:val="en-IE"/>
        </w:rPr>
        <w:t xml:space="preserve">objective to limit administrative burden and </w:t>
      </w:r>
      <w:r w:rsidR="006E5D3E" w:rsidRPr="00F27401">
        <w:rPr>
          <w:lang w:val="en-IE"/>
        </w:rPr>
        <w:t>avoid un</w:t>
      </w:r>
      <w:r w:rsidR="00235481" w:rsidRPr="00F27401">
        <w:rPr>
          <w:lang w:val="en-IE"/>
        </w:rPr>
        <w:t xml:space="preserve">necessary or duplicative </w:t>
      </w:r>
      <w:r w:rsidR="007A31C6" w:rsidRPr="00F27401">
        <w:rPr>
          <w:lang w:val="en-IE"/>
        </w:rPr>
        <w:t>reporting requirements.</w:t>
      </w:r>
    </w:p>
    <w:p w14:paraId="018A0D86" w14:textId="77777777" w:rsidR="007A31C6" w:rsidRPr="00F27401" w:rsidRDefault="00B25157">
      <w:pPr>
        <w:pStyle w:val="Text1"/>
        <w:pBdr>
          <w:top w:val="single" w:sz="4" w:space="1" w:color="auto"/>
          <w:left w:val="single" w:sz="4" w:space="4" w:color="auto"/>
          <w:bottom w:val="single" w:sz="4" w:space="1" w:color="auto"/>
          <w:right w:val="single" w:sz="4" w:space="4" w:color="auto"/>
        </w:pBdr>
        <w:rPr>
          <w:lang w:val="en-IE"/>
        </w:rPr>
      </w:pPr>
      <w:r w:rsidRPr="00F27401">
        <w:rPr>
          <w:lang w:val="en-IE"/>
        </w:rPr>
        <w:t xml:space="preserve">Under Article 36 of the CSDDD, the Commission will </w:t>
      </w:r>
      <w:r w:rsidR="00AC6878" w:rsidRPr="00F27401">
        <w:rPr>
          <w:lang w:val="en-IE"/>
        </w:rPr>
        <w:t xml:space="preserve">submit, by </w:t>
      </w:r>
      <w:r w:rsidRPr="00F27401">
        <w:rPr>
          <w:lang w:val="en-IE"/>
        </w:rPr>
        <w:t xml:space="preserve">26 July 2030, a report to the European Parliament and to the Council on the implementation of this Directive and its effectiveness in reaching its objectives, in particular in addressing adverse impacts. </w:t>
      </w:r>
      <w:r w:rsidR="00C11877" w:rsidRPr="00F27401">
        <w:rPr>
          <w:lang w:val="en-IE"/>
        </w:rPr>
        <w:t xml:space="preserve">It will </w:t>
      </w:r>
      <w:r w:rsidR="00143251" w:rsidRPr="00F27401">
        <w:rPr>
          <w:lang w:val="en-IE"/>
        </w:rPr>
        <w:t xml:space="preserve">cover, among others, </w:t>
      </w:r>
      <w:r w:rsidRPr="00F27401">
        <w:rPr>
          <w:lang w:val="en-IE"/>
        </w:rPr>
        <w:t>the impacts of this Directive on SMEs, the scope of this Directive in terms of the companies covered, the definition of the term ‘chain of activities’;</w:t>
      </w:r>
      <w:r w:rsidR="00772DA1" w:rsidRPr="00F27401">
        <w:rPr>
          <w:lang w:val="en-IE"/>
        </w:rPr>
        <w:t xml:space="preserve"> </w:t>
      </w:r>
      <w:r w:rsidRPr="00F27401">
        <w:rPr>
          <w:lang w:val="en-IE"/>
        </w:rPr>
        <w:t>the Annex, including whether it should be extended to cover additional adverse impacts;</w:t>
      </w:r>
      <w:r w:rsidR="00EB3F0D" w:rsidRPr="00F27401">
        <w:rPr>
          <w:lang w:val="en-IE"/>
        </w:rPr>
        <w:t xml:space="preserve"> </w:t>
      </w:r>
      <w:r w:rsidRPr="00F27401">
        <w:rPr>
          <w:lang w:val="en-IE"/>
        </w:rPr>
        <w:t>the rules on combatting climate change;</w:t>
      </w:r>
      <w:r w:rsidR="00371A33" w:rsidRPr="00F27401">
        <w:rPr>
          <w:lang w:val="en-IE"/>
        </w:rPr>
        <w:t xml:space="preserve"> </w:t>
      </w:r>
      <w:r w:rsidRPr="00F27401">
        <w:rPr>
          <w:lang w:val="en-IE"/>
        </w:rPr>
        <w:t>the effectiveness of the enforcement mechanisms</w:t>
      </w:r>
      <w:r w:rsidR="007A4325" w:rsidRPr="00F27401">
        <w:rPr>
          <w:lang w:val="en-IE"/>
        </w:rPr>
        <w:t xml:space="preserve">, </w:t>
      </w:r>
      <w:r w:rsidRPr="00F27401">
        <w:rPr>
          <w:lang w:val="en-IE"/>
        </w:rPr>
        <w:t>penalties and the rules on civil liability;</w:t>
      </w:r>
      <w:r w:rsidR="007A4325" w:rsidRPr="00F27401">
        <w:rPr>
          <w:lang w:val="en-IE"/>
        </w:rPr>
        <w:t xml:space="preserve"> </w:t>
      </w:r>
      <w:r w:rsidRPr="00F27401">
        <w:rPr>
          <w:lang w:val="en-IE"/>
        </w:rPr>
        <w:t>the level of harmonisation</w:t>
      </w:r>
      <w:r w:rsidR="005508D0" w:rsidRPr="00F27401">
        <w:rPr>
          <w:lang w:val="en-IE"/>
        </w:rPr>
        <w:t>, including convergence and divergence between provisions of national law transposing this Directive</w:t>
      </w:r>
      <w:r w:rsidRPr="00F27401">
        <w:rPr>
          <w:lang w:val="en-IE"/>
        </w:rPr>
        <w:t>.</w:t>
      </w:r>
    </w:p>
    <w:p w14:paraId="28357492" w14:textId="77777777" w:rsidR="009D1FEE" w:rsidRPr="00F27401" w:rsidRDefault="009D1FEE">
      <w:pPr>
        <w:pStyle w:val="ManualHeading2"/>
        <w:rPr>
          <w:lang w:val="en-IE"/>
        </w:rPr>
      </w:pPr>
      <w:bookmarkStart w:id="71" w:name="_Toc177549000"/>
      <w:bookmarkStart w:id="72" w:name="_Toc191189495"/>
      <w:r w:rsidRPr="00F27401">
        <w:rPr>
          <w:lang w:val="en-IE"/>
        </w:rPr>
        <w:t>1.4.</w:t>
      </w:r>
      <w:r w:rsidRPr="00F27401">
        <w:rPr>
          <w:lang w:val="en-IE"/>
        </w:rPr>
        <w:tab/>
        <w:t>The proposal/initiative relates to:</w:t>
      </w:r>
      <w:bookmarkEnd w:id="71"/>
      <w:bookmarkEnd w:id="72"/>
      <w:r w:rsidRPr="00F27401">
        <w:rPr>
          <w:lang w:val="en-IE"/>
        </w:rPr>
        <w:t xml:space="preserve"> </w:t>
      </w:r>
    </w:p>
    <w:p w14:paraId="25C5C2EF" w14:textId="77777777" w:rsidR="009D1FEE" w:rsidRPr="00F27401" w:rsidRDefault="009D1FEE">
      <w:pPr>
        <w:pStyle w:val="Text1"/>
        <w:rPr>
          <w:sz w:val="22"/>
          <w:lang w:val="en-IE"/>
        </w:rPr>
      </w:pPr>
      <w:r w:rsidRPr="00F27401">
        <w:rPr>
          <w:rFonts w:ascii="Wingdings" w:eastAsia="Wingdings" w:hAnsi="Wingdings" w:cs="Wingdings"/>
          <w:sz w:val="22"/>
          <w:lang w:val="en-IE"/>
        </w:rPr>
        <w:t>¨</w:t>
      </w:r>
      <w:r w:rsidRPr="00F27401">
        <w:rPr>
          <w:i/>
          <w:iCs/>
          <w:sz w:val="22"/>
          <w:lang w:val="en-IE"/>
        </w:rPr>
        <w:t xml:space="preserve"> </w:t>
      </w:r>
      <w:r w:rsidRPr="00F27401">
        <w:rPr>
          <w:lang w:val="en-IE"/>
        </w:rPr>
        <w:t>a new action</w:t>
      </w:r>
      <w:r w:rsidRPr="00F27401">
        <w:rPr>
          <w:sz w:val="22"/>
          <w:lang w:val="en-IE"/>
        </w:rPr>
        <w:t xml:space="preserve"> </w:t>
      </w:r>
    </w:p>
    <w:p w14:paraId="2ED40B27" w14:textId="77777777" w:rsidR="009D1FEE" w:rsidRPr="00F27401" w:rsidRDefault="009D1FEE">
      <w:pPr>
        <w:pStyle w:val="Text1"/>
        <w:rPr>
          <w:sz w:val="22"/>
          <w:lang w:val="en-IE"/>
        </w:rPr>
      </w:pPr>
      <w:r w:rsidRPr="00F27401">
        <w:rPr>
          <w:rFonts w:ascii="Wingdings" w:eastAsia="Wingdings" w:hAnsi="Wingdings" w:cs="Wingdings"/>
          <w:sz w:val="22"/>
          <w:lang w:val="en-IE"/>
        </w:rPr>
        <w:t>¨</w:t>
      </w:r>
      <w:r w:rsidRPr="00F27401">
        <w:rPr>
          <w:i/>
          <w:iCs/>
          <w:sz w:val="22"/>
          <w:lang w:val="en-IE"/>
        </w:rPr>
        <w:t xml:space="preserve"> </w:t>
      </w:r>
      <w:r w:rsidRPr="00F27401">
        <w:rPr>
          <w:lang w:val="en-IE"/>
        </w:rPr>
        <w:t>a new action following a pilot project / preparatory action</w:t>
      </w:r>
      <w:r w:rsidRPr="00F27401">
        <w:rPr>
          <w:rStyle w:val="FootnoteReference"/>
          <w:lang w:val="en-IE"/>
        </w:rPr>
        <w:footnoteReference w:id="34"/>
      </w:r>
      <w:r w:rsidRPr="00F27401">
        <w:rPr>
          <w:sz w:val="22"/>
          <w:lang w:val="en-IE"/>
        </w:rPr>
        <w:t xml:space="preserve"> </w:t>
      </w:r>
    </w:p>
    <w:p w14:paraId="17BC9B78" w14:textId="77777777" w:rsidR="009D1FEE" w:rsidRPr="00F27401" w:rsidRDefault="009D1FEE">
      <w:pPr>
        <w:pStyle w:val="Text1"/>
        <w:rPr>
          <w:sz w:val="22"/>
          <w:lang w:val="en-IE"/>
        </w:rPr>
      </w:pPr>
      <w:r w:rsidRPr="00F27401">
        <w:rPr>
          <w:rFonts w:ascii="Wingdings" w:eastAsia="Wingdings" w:hAnsi="Wingdings" w:cs="Wingdings"/>
          <w:sz w:val="22"/>
          <w:lang w:val="en-IE"/>
        </w:rPr>
        <w:t>¨</w:t>
      </w:r>
      <w:r w:rsidRPr="00F27401">
        <w:rPr>
          <w:i/>
          <w:iCs/>
          <w:sz w:val="22"/>
          <w:lang w:val="en-IE"/>
        </w:rPr>
        <w:t xml:space="preserve"> </w:t>
      </w:r>
      <w:r w:rsidRPr="00F27401">
        <w:rPr>
          <w:lang w:val="en-IE"/>
        </w:rPr>
        <w:t>the extension of an existing action</w:t>
      </w:r>
      <w:r w:rsidRPr="00F27401">
        <w:rPr>
          <w:sz w:val="22"/>
          <w:lang w:val="en-IE"/>
        </w:rPr>
        <w:t xml:space="preserve"> </w:t>
      </w:r>
    </w:p>
    <w:p w14:paraId="39A50095" w14:textId="77777777" w:rsidR="009D1FEE" w:rsidRPr="00F27401" w:rsidRDefault="00C43E07">
      <w:pPr>
        <w:pStyle w:val="Text1"/>
        <w:rPr>
          <w:lang w:val="en-IE"/>
        </w:rPr>
      </w:pPr>
      <w:r w:rsidRPr="00C43E07">
        <w:rPr>
          <w:rFonts w:ascii="Wingdings" w:eastAsia="Wingdings" w:hAnsi="Wingdings" w:cs="Wingdings"/>
          <w:noProof/>
          <w:sz w:val="22"/>
        </w:rPr>
        <w:t>þ</w:t>
      </w:r>
      <w:r w:rsidR="009D1FEE" w:rsidRPr="00C43E07">
        <w:rPr>
          <w:i/>
          <w:sz w:val="22"/>
          <w:lang w:val="en-IE"/>
        </w:rPr>
        <w:t xml:space="preserve"> </w:t>
      </w:r>
      <w:r w:rsidR="009D1FEE" w:rsidRPr="00C43E07">
        <w:rPr>
          <w:lang w:val="en-IE"/>
        </w:rPr>
        <w:t>a merger or redirection of one or more actions towards another/a new action</w:t>
      </w:r>
    </w:p>
    <w:p w14:paraId="0A1415E2" w14:textId="77777777" w:rsidR="009D1FEE" w:rsidRPr="00F27401" w:rsidRDefault="009D1FEE">
      <w:pPr>
        <w:pStyle w:val="ManualHeading2"/>
        <w:rPr>
          <w:bCs/>
          <w:szCs w:val="24"/>
          <w:lang w:val="en-IE"/>
        </w:rPr>
      </w:pPr>
      <w:bookmarkStart w:id="73" w:name="_Toc514938025"/>
      <w:bookmarkStart w:id="74" w:name="_Toc520485034"/>
      <w:bookmarkStart w:id="75" w:name="_Toc160804576"/>
      <w:bookmarkStart w:id="76" w:name="_Toc167220268"/>
      <w:bookmarkStart w:id="77" w:name="_Toc177549001"/>
      <w:bookmarkStart w:id="78" w:name="_Toc191189496"/>
      <w:r w:rsidRPr="00F27401">
        <w:rPr>
          <w:lang w:val="en-IE"/>
        </w:rPr>
        <w:t>1.5.</w:t>
      </w:r>
      <w:r w:rsidRPr="00F27401">
        <w:rPr>
          <w:lang w:val="en-IE"/>
        </w:rPr>
        <w:tab/>
        <w:t>Grounds for the proposal/initiative</w:t>
      </w:r>
      <w:bookmarkEnd w:id="73"/>
      <w:bookmarkEnd w:id="74"/>
      <w:bookmarkEnd w:id="75"/>
      <w:bookmarkEnd w:id="76"/>
      <w:bookmarkEnd w:id="77"/>
      <w:bookmarkEnd w:id="78"/>
      <w:r w:rsidRPr="00F27401">
        <w:rPr>
          <w:lang w:val="en-IE"/>
        </w:rPr>
        <w:t xml:space="preserve"> </w:t>
      </w:r>
    </w:p>
    <w:p w14:paraId="3F982E4F" w14:textId="77777777" w:rsidR="009D1FEE" w:rsidRPr="00F27401" w:rsidRDefault="009D1FEE">
      <w:pPr>
        <w:pStyle w:val="ManualHeading3"/>
        <w:rPr>
          <w:lang w:val="en-IE"/>
        </w:rPr>
      </w:pPr>
      <w:bookmarkStart w:id="79" w:name="_Toc514938026"/>
      <w:bookmarkStart w:id="80" w:name="_Toc520485035"/>
      <w:bookmarkStart w:id="81" w:name="_Toc160804577"/>
      <w:bookmarkStart w:id="82" w:name="_Toc167220269"/>
      <w:bookmarkStart w:id="83" w:name="_Toc177549002"/>
      <w:bookmarkStart w:id="84" w:name="_Toc191189497"/>
      <w:r w:rsidRPr="00F27401">
        <w:rPr>
          <w:lang w:val="en-IE"/>
        </w:rPr>
        <w:t>1.5.1.</w:t>
      </w:r>
      <w:r w:rsidRPr="00F27401">
        <w:rPr>
          <w:lang w:val="en-IE"/>
        </w:rPr>
        <w:tab/>
        <w:t>Requirement(s) to be met in the short or long term including a detailed timeline for roll-out of the implementation of the initiative</w:t>
      </w:r>
      <w:bookmarkEnd w:id="79"/>
      <w:bookmarkEnd w:id="80"/>
      <w:bookmarkEnd w:id="81"/>
      <w:bookmarkEnd w:id="82"/>
      <w:bookmarkEnd w:id="83"/>
      <w:bookmarkEnd w:id="84"/>
    </w:p>
    <w:p w14:paraId="4C3550CF" w14:textId="77777777" w:rsidR="0052218B" w:rsidRPr="00F27401" w:rsidRDefault="00EC48BF" w:rsidP="0052218B">
      <w:pPr>
        <w:pStyle w:val="Text1"/>
        <w:pBdr>
          <w:top w:val="single" w:sz="4" w:space="1" w:color="auto"/>
          <w:left w:val="single" w:sz="4" w:space="4" w:color="auto"/>
          <w:bottom w:val="single" w:sz="4" w:space="1" w:color="auto"/>
          <w:right w:val="single" w:sz="4" w:space="4" w:color="auto"/>
        </w:pBdr>
        <w:rPr>
          <w:lang w:val="en-IE"/>
        </w:rPr>
      </w:pPr>
      <w:r w:rsidRPr="00757AE9">
        <w:t>With</w:t>
      </w:r>
      <w:r w:rsidR="006767B2" w:rsidRPr="00757AE9">
        <w:t xml:space="preserve"> this proposal, the Commission proposes </w:t>
      </w:r>
      <w:r w:rsidR="00D9402B" w:rsidRPr="00757AE9">
        <w:t xml:space="preserve">a </w:t>
      </w:r>
      <w:r w:rsidR="00551CF4" w:rsidRPr="00757AE9">
        <w:t>Direc</w:t>
      </w:r>
      <w:r w:rsidR="00C110DA" w:rsidRPr="00757AE9">
        <w:t>tive amending a</w:t>
      </w:r>
      <w:r w:rsidR="006767B2" w:rsidRPr="00757AE9">
        <w:t xml:space="preserve"> number of </w:t>
      </w:r>
      <w:r w:rsidR="00C110DA" w:rsidRPr="00757AE9">
        <w:t>provisions of</w:t>
      </w:r>
      <w:r w:rsidR="006767B2" w:rsidRPr="00757AE9">
        <w:t xml:space="preserve"> Directive</w:t>
      </w:r>
      <w:r w:rsidR="00102509" w:rsidRPr="00757AE9">
        <w:t>s</w:t>
      </w:r>
      <w:r w:rsidR="006767B2" w:rsidRPr="00757AE9">
        <w:t xml:space="preserve"> </w:t>
      </w:r>
      <w:r w:rsidRPr="00757AE9">
        <w:t xml:space="preserve">2006/43/EC, </w:t>
      </w:r>
      <w:r w:rsidR="00102509" w:rsidRPr="00757AE9">
        <w:t xml:space="preserve">2013/34/EU, </w:t>
      </w:r>
      <w:r w:rsidR="004237F7" w:rsidRPr="00757AE9">
        <w:t xml:space="preserve">(EU) 2022/2464, and (EU) 2024/1760. </w:t>
      </w:r>
      <w:r w:rsidR="009133D1" w:rsidRPr="00757AE9">
        <w:t xml:space="preserve">Once </w:t>
      </w:r>
      <w:r w:rsidR="00CF1F6D" w:rsidRPr="00757AE9">
        <w:t>the co-legislators have reached an agreement on the contents of the proposal</w:t>
      </w:r>
      <w:r w:rsidR="00A11BF2" w:rsidRPr="00757AE9">
        <w:t xml:space="preserve">, the Member States will have a certain period of time to transpose the amendments introduced by this Directive into their national law. </w:t>
      </w:r>
    </w:p>
    <w:p w14:paraId="3469F34F" w14:textId="77777777" w:rsidR="009D1FEE" w:rsidRPr="00F27401" w:rsidRDefault="006A02B6">
      <w:pPr>
        <w:pStyle w:val="Text1"/>
        <w:pBdr>
          <w:top w:val="single" w:sz="4" w:space="1" w:color="auto"/>
          <w:left w:val="single" w:sz="4" w:space="4" w:color="auto"/>
          <w:bottom w:val="single" w:sz="4" w:space="1" w:color="auto"/>
          <w:right w:val="single" w:sz="4" w:space="4" w:color="auto"/>
        </w:pBdr>
        <w:rPr>
          <w:lang w:val="en-IE"/>
        </w:rPr>
      </w:pPr>
      <w:r w:rsidRPr="00757AE9">
        <w:t xml:space="preserve">In a separate legislative proposal, the Commission proposes to </w:t>
      </w:r>
      <w:r w:rsidR="00662B92" w:rsidRPr="00757AE9">
        <w:t xml:space="preserve">postpone the application of </w:t>
      </w:r>
      <w:r w:rsidR="00BB46E7" w:rsidRPr="00757AE9">
        <w:t>the sustainability reporting requirements in Directive 2013/34/EU for a period of two years</w:t>
      </w:r>
      <w:r w:rsidR="00211EAC" w:rsidRPr="00757AE9">
        <w:t xml:space="preserve"> for </w:t>
      </w:r>
      <w:r w:rsidR="00B93264" w:rsidRPr="00757AE9">
        <w:t xml:space="preserve">all large companies and listed SMEs </w:t>
      </w:r>
      <w:r w:rsidR="000946EC" w:rsidRPr="00757AE9">
        <w:t xml:space="preserve">– including </w:t>
      </w:r>
      <w:r w:rsidR="00D44DFC" w:rsidRPr="00757AE9">
        <w:t xml:space="preserve">non-EU issuers </w:t>
      </w:r>
      <w:r w:rsidR="005723D7" w:rsidRPr="00757AE9">
        <w:t xml:space="preserve">that meet these size thresholds - </w:t>
      </w:r>
      <w:r w:rsidR="001F5CE8" w:rsidRPr="00757AE9">
        <w:t>currently</w:t>
      </w:r>
      <w:r w:rsidR="00B93264" w:rsidRPr="00757AE9">
        <w:t xml:space="preserve"> in scope</w:t>
      </w:r>
      <w:r w:rsidR="00851ACE" w:rsidRPr="00757AE9">
        <w:t xml:space="preserve"> </w:t>
      </w:r>
      <w:r w:rsidR="00E37BE0" w:rsidRPr="00757AE9">
        <w:t xml:space="preserve">and required to comply with sustainability reporting </w:t>
      </w:r>
      <w:r w:rsidR="003D4AED" w:rsidRPr="00757AE9">
        <w:t>rules from financial year 2025 onwards</w:t>
      </w:r>
      <w:r w:rsidR="00B93264" w:rsidRPr="00757AE9">
        <w:t>.</w:t>
      </w:r>
      <w:r w:rsidR="008946F1" w:rsidRPr="00757AE9">
        <w:t xml:space="preserve"> In the same proposal, the </w:t>
      </w:r>
      <w:r w:rsidR="004C6F27" w:rsidRPr="00757AE9">
        <w:t xml:space="preserve">Commission also proposes to delay, by one year, the transposition deadline </w:t>
      </w:r>
      <w:r w:rsidR="0053633F" w:rsidRPr="00757AE9">
        <w:t xml:space="preserve">(to 26 July 2027) </w:t>
      </w:r>
      <w:r w:rsidR="00AA43A5" w:rsidRPr="00757AE9">
        <w:t xml:space="preserve">and the first wave of application </w:t>
      </w:r>
      <w:r w:rsidR="0053633F" w:rsidRPr="00757AE9">
        <w:t xml:space="preserve">(26 July 2028) </w:t>
      </w:r>
      <w:r w:rsidR="004C6F27" w:rsidRPr="00757AE9">
        <w:t xml:space="preserve">of </w:t>
      </w:r>
      <w:r w:rsidR="00AA43A5" w:rsidRPr="00757AE9">
        <w:t xml:space="preserve">the sustainability due diligence rules set out in </w:t>
      </w:r>
      <w:r w:rsidR="004C6F27" w:rsidRPr="00757AE9">
        <w:t>Directive 20</w:t>
      </w:r>
      <w:r w:rsidR="00747352" w:rsidRPr="00757AE9">
        <w:t>2</w:t>
      </w:r>
      <w:r w:rsidR="00997565" w:rsidRPr="00757AE9">
        <w:t>4/1760</w:t>
      </w:r>
      <w:r w:rsidR="00AA43A5" w:rsidRPr="00757AE9">
        <w:t>.</w:t>
      </w:r>
    </w:p>
    <w:p w14:paraId="5FA7FCEE" w14:textId="77777777" w:rsidR="00EE2382" w:rsidRPr="00757AE9" w:rsidRDefault="00A2756B">
      <w:pPr>
        <w:pStyle w:val="Text1"/>
        <w:pBdr>
          <w:top w:val="single" w:sz="4" w:space="1" w:color="auto"/>
          <w:left w:val="single" w:sz="4" w:space="4" w:color="auto"/>
          <w:bottom w:val="single" w:sz="4" w:space="1" w:color="auto"/>
          <w:right w:val="single" w:sz="4" w:space="4" w:color="auto"/>
        </w:pBdr>
      </w:pPr>
      <w:r w:rsidRPr="00757AE9">
        <w:t xml:space="preserve">The Commission </w:t>
      </w:r>
      <w:r w:rsidR="007B2904" w:rsidRPr="00757AE9">
        <w:t xml:space="preserve">also proposes to revise </w:t>
      </w:r>
      <w:r w:rsidR="00B71DD7" w:rsidRPr="00757AE9">
        <w:t>Commission</w:t>
      </w:r>
      <w:r w:rsidR="007B2904" w:rsidRPr="00757AE9">
        <w:t xml:space="preserve"> </w:t>
      </w:r>
      <w:r w:rsidR="0079208F" w:rsidRPr="00757AE9">
        <w:t xml:space="preserve">Delegated </w:t>
      </w:r>
      <w:r w:rsidR="00B71DD7" w:rsidRPr="00757AE9">
        <w:t>Regulation (EU) 2023</w:t>
      </w:r>
      <w:r w:rsidR="00CE0E74" w:rsidRPr="00757AE9">
        <w:t>/2772 (European Sustainability Reporting Standards)</w:t>
      </w:r>
      <w:r w:rsidR="00EE2382" w:rsidRPr="00757AE9">
        <w:t>.</w:t>
      </w:r>
      <w:r w:rsidR="00CE0E74" w:rsidRPr="00757AE9">
        <w:t xml:space="preserve"> </w:t>
      </w:r>
      <w:r w:rsidR="00EB4981" w:rsidRPr="00757AE9">
        <w:t>The Commission will adopt the revised ESRS delegated act in time for those undertakings in the second wave that would be required to start reporting under the CSRD in 2028 for financial year 2027 to apply the revised standards</w:t>
      </w:r>
      <w:r w:rsidR="0060467B" w:rsidRPr="00757AE9">
        <w:t xml:space="preserve">. </w:t>
      </w:r>
    </w:p>
    <w:p w14:paraId="4A9F317E" w14:textId="77777777" w:rsidR="00FC1D6E" w:rsidRPr="00757AE9" w:rsidRDefault="00FC1D6E" w:rsidP="0060467B">
      <w:pPr>
        <w:pStyle w:val="Text1"/>
        <w:pBdr>
          <w:top w:val="single" w:sz="4" w:space="1" w:color="auto"/>
          <w:left w:val="single" w:sz="4" w:space="4" w:color="auto"/>
          <w:bottom w:val="single" w:sz="4" w:space="1" w:color="auto"/>
          <w:right w:val="single" w:sz="4" w:space="4" w:color="auto"/>
        </w:pBdr>
      </w:pPr>
      <w:r w:rsidRPr="00757AE9">
        <w:t xml:space="preserve">To monitor progress towards achieving the proposal’s specific objectives, the Commission will explore the possibility of organising exchanges with stakeholders in different formats as well as periodic surveys of users of sustainability information and of undertakings that report such information, depending on the availability of </w:t>
      </w:r>
      <w:r w:rsidRPr="00757AE9">
        <w:lastRenderedPageBreak/>
        <w:t>financial resources. Article 6 of the CSRD requires the Commission to present a report on the implementation if the Directive by April 2029. The implementation of the CSDDD as amended, and its effectiveness in reaching its objectives, in particular in addressing adverse impacts, will also be subject to regular evaluation according to Article 36 of that Directive. This proposal does not require an implementation plan.</w:t>
      </w:r>
    </w:p>
    <w:p w14:paraId="583A925A" w14:textId="77777777" w:rsidR="009D1FEE" w:rsidRPr="00F27401" w:rsidRDefault="009D1FEE">
      <w:pPr>
        <w:pStyle w:val="ManualHeading3"/>
        <w:rPr>
          <w:bCs/>
          <w:szCs w:val="24"/>
          <w:lang w:val="en-IE"/>
        </w:rPr>
      </w:pPr>
      <w:bookmarkStart w:id="85" w:name="_Toc514938029"/>
      <w:bookmarkStart w:id="86" w:name="_Toc520485036"/>
      <w:bookmarkStart w:id="87" w:name="_Toc160804578"/>
      <w:bookmarkStart w:id="88" w:name="_Toc167220270"/>
      <w:bookmarkStart w:id="89" w:name="_Toc177549003"/>
      <w:bookmarkStart w:id="90" w:name="_Toc191189498"/>
      <w:r w:rsidRPr="00F27401">
        <w:rPr>
          <w:lang w:val="en-IE"/>
        </w:rPr>
        <w:t>1.5.2.</w:t>
      </w:r>
      <w:r w:rsidRPr="00F27401">
        <w:rPr>
          <w:lang w:val="en-IE"/>
        </w:rPr>
        <w:tab/>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bookmarkEnd w:id="85"/>
      <w:bookmarkEnd w:id="86"/>
      <w:bookmarkEnd w:id="87"/>
      <w:bookmarkEnd w:id="88"/>
      <w:bookmarkEnd w:id="89"/>
      <w:bookmarkEnd w:id="90"/>
    </w:p>
    <w:p w14:paraId="5A0D6FE5" w14:textId="77777777" w:rsidR="007062AB" w:rsidRPr="00F27401" w:rsidRDefault="007062AB" w:rsidP="007062AB">
      <w:pPr>
        <w:pStyle w:val="Text1"/>
        <w:pBdr>
          <w:top w:val="single" w:sz="4" w:space="1" w:color="auto"/>
          <w:left w:val="single" w:sz="4" w:space="4" w:color="auto"/>
          <w:bottom w:val="single" w:sz="4" w:space="1" w:color="auto"/>
          <w:right w:val="single" w:sz="4" w:space="4" w:color="auto"/>
        </w:pBdr>
        <w:rPr>
          <w:lang w:val="en-IE"/>
        </w:rPr>
      </w:pPr>
      <w:r w:rsidRPr="00F27401">
        <w:rPr>
          <w:lang w:val="en-IE"/>
        </w:rPr>
        <w:t xml:space="preserve">The Accounting Directive, as amended by the CSRD, already regulates the disclosure of sustainability information in the EU. Common rules on sustainability reporting and its assurance ensure a level playing field for companies established in the different Member States. Significant differences in requirements for sustainability reporting and assurance between Member States would create additional costs and complexity for companies operating across borders, which would be detrimental to the single market. Member States acting alone are not able to modify existing EU laws to reduce the burden on companies.  </w:t>
      </w:r>
    </w:p>
    <w:p w14:paraId="508A7EEE" w14:textId="77777777" w:rsidR="001465A7" w:rsidRPr="00F27401" w:rsidRDefault="00E92215" w:rsidP="007062AB">
      <w:pPr>
        <w:pStyle w:val="Text1"/>
        <w:pBdr>
          <w:top w:val="single" w:sz="4" w:space="1" w:color="auto"/>
          <w:left w:val="single" w:sz="4" w:space="4" w:color="auto"/>
          <w:bottom w:val="single" w:sz="4" w:space="1" w:color="auto"/>
          <w:right w:val="single" w:sz="4" w:space="4" w:color="auto"/>
        </w:pBdr>
        <w:rPr>
          <w:lang w:val="en-IE"/>
        </w:rPr>
      </w:pPr>
      <w:r w:rsidRPr="00F27401">
        <w:rPr>
          <w:lang w:val="en-IE"/>
        </w:rPr>
        <w:t xml:space="preserve">Similarly, the CSDDD already sets out a harmonised </w:t>
      </w:r>
      <w:r w:rsidR="0060083E" w:rsidRPr="00F27401">
        <w:rPr>
          <w:lang w:val="en-IE"/>
        </w:rPr>
        <w:t>regulatory framework for corporate sustain</w:t>
      </w:r>
      <w:r w:rsidR="00DA0D03" w:rsidRPr="00F27401">
        <w:rPr>
          <w:lang w:val="en-IE"/>
        </w:rPr>
        <w:t xml:space="preserve">ability </w:t>
      </w:r>
      <w:r w:rsidR="0060083E" w:rsidRPr="00F27401">
        <w:rPr>
          <w:lang w:val="en-IE"/>
        </w:rPr>
        <w:t>due diligence</w:t>
      </w:r>
      <w:r w:rsidR="0050376E" w:rsidRPr="00F27401">
        <w:rPr>
          <w:lang w:val="en-IE"/>
        </w:rPr>
        <w:t xml:space="preserve">, </w:t>
      </w:r>
      <w:r w:rsidR="00730DDD" w:rsidRPr="00F27401">
        <w:rPr>
          <w:lang w:val="en-IE"/>
        </w:rPr>
        <w:t xml:space="preserve">and also covers certain third-country companies active in the EU market, </w:t>
      </w:r>
      <w:r w:rsidR="00D632EA" w:rsidRPr="00F27401">
        <w:rPr>
          <w:lang w:val="en-IE"/>
        </w:rPr>
        <w:t>ensuring lev</w:t>
      </w:r>
      <w:r w:rsidR="000279A2" w:rsidRPr="00F27401">
        <w:rPr>
          <w:lang w:val="en-IE"/>
        </w:rPr>
        <w:t>e</w:t>
      </w:r>
      <w:r w:rsidR="00D632EA" w:rsidRPr="00F27401">
        <w:rPr>
          <w:lang w:val="en-IE"/>
        </w:rPr>
        <w:t xml:space="preserve">l playing field </w:t>
      </w:r>
      <w:r w:rsidR="00F813D7" w:rsidRPr="00F27401">
        <w:rPr>
          <w:lang w:val="en-IE"/>
        </w:rPr>
        <w:t>in</w:t>
      </w:r>
      <w:r w:rsidR="000279A2" w:rsidRPr="00F27401">
        <w:rPr>
          <w:lang w:val="en-IE"/>
        </w:rPr>
        <w:t xml:space="preserve"> </w:t>
      </w:r>
      <w:r w:rsidR="00F813D7" w:rsidRPr="00F27401">
        <w:rPr>
          <w:lang w:val="en-IE"/>
        </w:rPr>
        <w:t xml:space="preserve">this policy </w:t>
      </w:r>
      <w:r w:rsidR="00730DDD" w:rsidRPr="00F27401">
        <w:rPr>
          <w:lang w:val="en-IE"/>
        </w:rPr>
        <w:t>area</w:t>
      </w:r>
      <w:r w:rsidR="00F813D7" w:rsidRPr="00F27401">
        <w:rPr>
          <w:lang w:val="en-IE"/>
        </w:rPr>
        <w:t xml:space="preserve">. </w:t>
      </w:r>
    </w:p>
    <w:p w14:paraId="6C344906" w14:textId="77777777" w:rsidR="009D1FEE" w:rsidRPr="00F27401" w:rsidRDefault="009D1FEE">
      <w:pPr>
        <w:pStyle w:val="ManualHeading3"/>
        <w:rPr>
          <w:lang w:val="en-IE"/>
        </w:rPr>
      </w:pPr>
      <w:bookmarkStart w:id="91" w:name="_Toc514938030"/>
      <w:bookmarkStart w:id="92" w:name="_Toc520485037"/>
      <w:bookmarkStart w:id="93" w:name="_Toc160804579"/>
      <w:bookmarkStart w:id="94" w:name="_Toc167220271"/>
      <w:bookmarkStart w:id="95" w:name="_Toc177549004"/>
      <w:bookmarkStart w:id="96" w:name="_Toc191189499"/>
      <w:r w:rsidRPr="00F27401">
        <w:rPr>
          <w:lang w:val="en-IE"/>
        </w:rPr>
        <w:t>1.5.3.</w:t>
      </w:r>
      <w:r w:rsidRPr="00F27401">
        <w:rPr>
          <w:lang w:val="en-IE"/>
        </w:rPr>
        <w:tab/>
        <w:t>Lessons learned from similar experiences in the past</w:t>
      </w:r>
      <w:bookmarkEnd w:id="91"/>
      <w:bookmarkEnd w:id="92"/>
      <w:bookmarkEnd w:id="93"/>
      <w:bookmarkEnd w:id="94"/>
      <w:bookmarkEnd w:id="95"/>
      <w:bookmarkEnd w:id="96"/>
    </w:p>
    <w:p w14:paraId="2CE25FD8" w14:textId="77777777" w:rsidR="009D1FEE" w:rsidRPr="00F27401" w:rsidRDefault="000F5190">
      <w:pPr>
        <w:pStyle w:val="Text1"/>
        <w:pBdr>
          <w:top w:val="single" w:sz="4" w:space="1" w:color="auto"/>
          <w:left w:val="single" w:sz="4" w:space="4" w:color="auto"/>
          <w:bottom w:val="single" w:sz="4" w:space="1" w:color="auto"/>
          <w:right w:val="single" w:sz="4" w:space="4" w:color="auto"/>
        </w:pBdr>
        <w:rPr>
          <w:lang w:val="en-IE"/>
        </w:rPr>
      </w:pPr>
      <w:r w:rsidRPr="00757AE9">
        <w:t>N/A</w:t>
      </w:r>
    </w:p>
    <w:p w14:paraId="0383B445" w14:textId="77777777" w:rsidR="009D1FEE" w:rsidRPr="00F27401" w:rsidRDefault="009D1FEE">
      <w:pPr>
        <w:pStyle w:val="ManualHeading3"/>
        <w:rPr>
          <w:lang w:val="en-IE"/>
        </w:rPr>
      </w:pPr>
      <w:bookmarkStart w:id="97" w:name="_Toc514938033"/>
      <w:bookmarkStart w:id="98" w:name="_Toc520485038"/>
      <w:bookmarkStart w:id="99" w:name="_Toc160804580"/>
      <w:bookmarkStart w:id="100" w:name="_Toc167220272"/>
      <w:bookmarkStart w:id="101" w:name="_Toc177549005"/>
      <w:bookmarkStart w:id="102" w:name="_Toc191189500"/>
      <w:r w:rsidRPr="00F27401">
        <w:rPr>
          <w:lang w:val="en-IE"/>
        </w:rPr>
        <w:t>1.5.4.</w:t>
      </w:r>
      <w:r w:rsidRPr="00F27401">
        <w:rPr>
          <w:lang w:val="en-IE"/>
        </w:rPr>
        <w:tab/>
        <w:t>Compatibility with the multiannual financial framework and possible synergies with other appropriate instruments</w:t>
      </w:r>
      <w:bookmarkEnd w:id="97"/>
      <w:bookmarkEnd w:id="98"/>
      <w:bookmarkEnd w:id="99"/>
      <w:bookmarkEnd w:id="100"/>
      <w:bookmarkEnd w:id="101"/>
      <w:bookmarkEnd w:id="102"/>
    </w:p>
    <w:p w14:paraId="6EA76386" w14:textId="77777777" w:rsidR="009D1FEE" w:rsidRPr="00F27401" w:rsidRDefault="009836A8" w:rsidP="009836A8">
      <w:pPr>
        <w:pStyle w:val="Text1"/>
        <w:pBdr>
          <w:top w:val="single" w:sz="4" w:space="1" w:color="auto"/>
          <w:left w:val="single" w:sz="4" w:space="4" w:color="auto"/>
          <w:bottom w:val="single" w:sz="4" w:space="1" w:color="auto"/>
          <w:right w:val="single" w:sz="4" w:space="4" w:color="auto"/>
        </w:pBdr>
        <w:rPr>
          <w:lang w:val="en-IE"/>
        </w:rPr>
      </w:pPr>
      <w:r w:rsidRPr="00757AE9">
        <w:t>N/A</w:t>
      </w:r>
    </w:p>
    <w:p w14:paraId="26A20F2E" w14:textId="77777777" w:rsidR="009D1FEE" w:rsidRPr="00F27401" w:rsidRDefault="009D1FEE">
      <w:pPr>
        <w:pStyle w:val="ManualHeading3"/>
        <w:rPr>
          <w:lang w:val="en-IE"/>
        </w:rPr>
      </w:pPr>
      <w:bookmarkStart w:id="103" w:name="_Toc514938036"/>
      <w:bookmarkStart w:id="104" w:name="_Toc520485039"/>
      <w:bookmarkStart w:id="105" w:name="_Toc160804581"/>
      <w:bookmarkStart w:id="106" w:name="_Toc167220273"/>
      <w:bookmarkStart w:id="107" w:name="_Toc177549006"/>
      <w:bookmarkStart w:id="108" w:name="_Toc191189501"/>
      <w:r w:rsidRPr="00F27401">
        <w:rPr>
          <w:lang w:val="en-IE"/>
        </w:rPr>
        <w:t>1.5.5.</w:t>
      </w:r>
      <w:r w:rsidRPr="00F27401">
        <w:rPr>
          <w:lang w:val="en-IE"/>
        </w:rPr>
        <w:tab/>
        <w:t>Assessment of the different available financing options, including scope for redeployment</w:t>
      </w:r>
      <w:bookmarkEnd w:id="103"/>
      <w:bookmarkEnd w:id="104"/>
      <w:bookmarkEnd w:id="105"/>
      <w:bookmarkEnd w:id="106"/>
      <w:bookmarkEnd w:id="107"/>
      <w:bookmarkEnd w:id="108"/>
    </w:p>
    <w:p w14:paraId="322D2929" w14:textId="77777777" w:rsidR="009D1FEE" w:rsidRPr="00F27401" w:rsidRDefault="009836A8" w:rsidP="00766C22">
      <w:pPr>
        <w:pStyle w:val="Text1"/>
        <w:pBdr>
          <w:top w:val="single" w:sz="4" w:space="1" w:color="auto"/>
          <w:left w:val="single" w:sz="4" w:space="4" w:color="auto"/>
          <w:bottom w:val="single" w:sz="4" w:space="1" w:color="auto"/>
          <w:right w:val="single" w:sz="4" w:space="4" w:color="auto"/>
        </w:pBdr>
        <w:rPr>
          <w:lang w:val="en-IE"/>
        </w:rPr>
      </w:pPr>
      <w:r w:rsidRPr="00F27401">
        <w:rPr>
          <w:lang w:val="en-IE"/>
        </w:rPr>
        <w:t>N/</w:t>
      </w:r>
      <w:r w:rsidR="00766C22" w:rsidRPr="00F27401">
        <w:rPr>
          <w:lang w:val="en-IE"/>
        </w:rPr>
        <w:t>A</w:t>
      </w:r>
    </w:p>
    <w:p w14:paraId="0990CE62" w14:textId="77777777" w:rsidR="009D1FEE" w:rsidRPr="00F27401" w:rsidRDefault="009D1FEE">
      <w:pPr>
        <w:rPr>
          <w:lang w:val="en-IE"/>
        </w:rPr>
        <w:sectPr w:rsidR="009D1FEE" w:rsidRPr="00F27401" w:rsidSect="00D6173F">
          <w:pgSz w:w="11907" w:h="16840" w:code="9"/>
          <w:pgMar w:top="1134" w:right="1418" w:bottom="1134" w:left="1418" w:header="709" w:footer="709" w:gutter="0"/>
          <w:cols w:space="708"/>
          <w:docGrid w:linePitch="360"/>
        </w:sectPr>
      </w:pPr>
    </w:p>
    <w:p w14:paraId="134A39D4" w14:textId="77777777" w:rsidR="009D1FEE" w:rsidRPr="00F27401" w:rsidRDefault="009D1FEE">
      <w:pPr>
        <w:pStyle w:val="ManualHeading1"/>
        <w:rPr>
          <w:bCs/>
          <w:szCs w:val="24"/>
          <w:lang w:val="en-IE"/>
        </w:rPr>
      </w:pPr>
      <w:bookmarkStart w:id="109" w:name="_Toc514938050"/>
      <w:bookmarkStart w:id="110" w:name="_Toc520485049"/>
      <w:bookmarkStart w:id="111" w:name="_Toc160804591"/>
      <w:bookmarkStart w:id="112" w:name="_Toc167220283"/>
      <w:bookmarkStart w:id="113" w:name="_Toc177549016"/>
      <w:bookmarkStart w:id="114" w:name="_Toc191189502"/>
      <w:r w:rsidRPr="00F27401">
        <w:rPr>
          <w:lang w:val="en-IE"/>
        </w:rPr>
        <w:lastRenderedPageBreak/>
        <w:t>3.</w:t>
      </w:r>
      <w:r w:rsidRPr="00F27401">
        <w:rPr>
          <w:lang w:val="en-IE"/>
        </w:rPr>
        <w:tab/>
        <w:t>ESTIMATED FINANCIAL IMPACT OF THE PROPOSAL/INITIATIVE</w:t>
      </w:r>
      <w:bookmarkEnd w:id="109"/>
      <w:bookmarkEnd w:id="110"/>
      <w:bookmarkEnd w:id="111"/>
      <w:bookmarkEnd w:id="112"/>
      <w:bookmarkEnd w:id="113"/>
      <w:bookmarkEnd w:id="114"/>
      <w:r w:rsidRPr="00F27401">
        <w:rPr>
          <w:lang w:val="en-IE"/>
        </w:rPr>
        <w:t xml:space="preserve"> </w:t>
      </w:r>
    </w:p>
    <w:p w14:paraId="219944A5" w14:textId="77777777" w:rsidR="009D1FEE" w:rsidRPr="00F27401" w:rsidRDefault="009D1FEE">
      <w:pPr>
        <w:pStyle w:val="ManualHeading2"/>
        <w:rPr>
          <w:lang w:val="en-IE"/>
        </w:rPr>
      </w:pPr>
      <w:bookmarkStart w:id="115" w:name="_Toc514938051"/>
      <w:bookmarkStart w:id="116" w:name="_Toc520485050"/>
      <w:bookmarkStart w:id="117" w:name="_Toc160804592"/>
      <w:bookmarkStart w:id="118" w:name="_Toc167220284"/>
      <w:bookmarkStart w:id="119" w:name="_Toc177549017"/>
      <w:bookmarkStart w:id="120" w:name="_Toc191189503"/>
      <w:r w:rsidRPr="00F27401">
        <w:rPr>
          <w:lang w:val="en-IE"/>
        </w:rPr>
        <w:t>3.1.</w:t>
      </w:r>
      <w:r w:rsidRPr="00F27401">
        <w:rPr>
          <w:lang w:val="en-IE"/>
        </w:rPr>
        <w:tab/>
        <w:t>Heading(s) of the multiannual financial framework and expenditure budget line(s) affected</w:t>
      </w:r>
      <w:bookmarkEnd w:id="115"/>
      <w:bookmarkEnd w:id="116"/>
      <w:bookmarkEnd w:id="117"/>
      <w:bookmarkEnd w:id="118"/>
      <w:bookmarkEnd w:id="119"/>
      <w:bookmarkEnd w:id="120"/>
      <w:r w:rsidRPr="00F27401">
        <w:rPr>
          <w:lang w:val="en-IE"/>
        </w:rPr>
        <w:t xml:space="preserve"> </w:t>
      </w:r>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1874E2" w:rsidRPr="00F27401" w14:paraId="4FAF1B05" w14:textId="77777777">
        <w:trPr>
          <w:trHeight w:val="300"/>
        </w:trPr>
        <w:tc>
          <w:tcPr>
            <w:tcW w:w="9067" w:type="dxa"/>
          </w:tcPr>
          <w:p w14:paraId="0FEB447D" w14:textId="77777777" w:rsidR="001874E2" w:rsidRPr="00F27401" w:rsidRDefault="001874E2" w:rsidP="00F349D9">
            <w:pPr>
              <w:spacing w:before="0" w:after="0"/>
              <w:rPr>
                <w:i/>
                <w:lang w:val="en-IE"/>
              </w:rPr>
            </w:pPr>
            <w:bookmarkStart w:id="121" w:name="_Toc167220301"/>
            <w:bookmarkStart w:id="122" w:name="_Toc177549035"/>
            <w:r w:rsidRPr="00757AE9">
              <w:t>N/A</w:t>
            </w:r>
          </w:p>
        </w:tc>
      </w:tr>
    </w:tbl>
    <w:p w14:paraId="0BAC5DB8" w14:textId="77777777" w:rsidR="009D1FEE" w:rsidRPr="00F27401" w:rsidRDefault="009D1FEE">
      <w:pPr>
        <w:pStyle w:val="ManualHeading1"/>
        <w:rPr>
          <w:caps/>
          <w:lang w:val="en-IE"/>
        </w:rPr>
      </w:pPr>
      <w:bookmarkStart w:id="123" w:name="_Toc191189504"/>
      <w:r w:rsidRPr="00F27401">
        <w:rPr>
          <w:lang w:val="en-IE"/>
        </w:rPr>
        <w:t>4.</w:t>
      </w:r>
      <w:r w:rsidRPr="00F27401">
        <w:rPr>
          <w:lang w:val="en-IE"/>
        </w:rPr>
        <w:tab/>
      </w:r>
      <w:bookmarkStart w:id="124" w:name="_Hlk167692977"/>
      <w:r w:rsidRPr="00F27401">
        <w:rPr>
          <w:caps/>
          <w:lang w:val="en-IE"/>
        </w:rPr>
        <w:t>Digital dimensions</w:t>
      </w:r>
      <w:bookmarkEnd w:id="121"/>
      <w:bookmarkEnd w:id="122"/>
      <w:bookmarkEnd w:id="123"/>
    </w:p>
    <w:p w14:paraId="6E941995" w14:textId="77777777" w:rsidR="009D1FEE" w:rsidRPr="00F27401" w:rsidRDefault="009D1FEE">
      <w:pPr>
        <w:pStyle w:val="ManualHeading2"/>
        <w:rPr>
          <w:lang w:val="en-IE"/>
        </w:rPr>
      </w:pPr>
      <w:bookmarkStart w:id="125" w:name="_Toc167220302"/>
      <w:bookmarkStart w:id="126" w:name="_Toc177549037"/>
      <w:bookmarkStart w:id="127" w:name="_Toc191189505"/>
      <w:r w:rsidRPr="00F27401">
        <w:rPr>
          <w:lang w:val="en-IE"/>
        </w:rPr>
        <w:t>4.1.</w:t>
      </w:r>
      <w:r w:rsidRPr="00F27401">
        <w:rPr>
          <w:lang w:val="en-IE"/>
        </w:rPr>
        <w:tab/>
        <w:t>Requirements of digital relevance</w:t>
      </w:r>
      <w:bookmarkEnd w:id="125"/>
      <w:bookmarkEnd w:id="126"/>
      <w:bookmarkEnd w:id="127"/>
    </w:p>
    <w:tbl>
      <w:tblPr>
        <w:tblStyle w:val="TableGrid"/>
        <w:tblW w:w="9072" w:type="dxa"/>
        <w:tblInd w:w="-5" w:type="dxa"/>
        <w:tblLayout w:type="fixed"/>
        <w:tblLook w:val="06A0" w:firstRow="1" w:lastRow="0" w:firstColumn="1" w:lastColumn="0" w:noHBand="1" w:noVBand="1"/>
      </w:tblPr>
      <w:tblGrid>
        <w:gridCol w:w="9072"/>
      </w:tblGrid>
      <w:tr w:rsidR="00F57308" w:rsidRPr="00F27401" w14:paraId="48AA93B4" w14:textId="77777777" w:rsidTr="323471FE">
        <w:trPr>
          <w:trHeight w:val="300"/>
        </w:trPr>
        <w:tc>
          <w:tcPr>
            <w:tcW w:w="9072" w:type="dxa"/>
          </w:tcPr>
          <w:p w14:paraId="42A65CBE" w14:textId="77777777" w:rsidR="007A3724" w:rsidRPr="00F27401" w:rsidRDefault="007A3724" w:rsidP="007A3724">
            <w:pPr>
              <w:rPr>
                <w:lang w:val="en-IE"/>
              </w:rPr>
            </w:pPr>
            <w:r w:rsidRPr="00F27401">
              <w:rPr>
                <w:lang w:val="en-IE"/>
              </w:rPr>
              <w:t>The reporting requirements introduced by Directive 2013/34/EU require companies</w:t>
            </w:r>
            <w:r w:rsidR="009D1FEE" w:rsidRPr="00F27401">
              <w:rPr>
                <w:lang w:val="en-IE"/>
              </w:rPr>
              <w:t xml:space="preserve"> to </w:t>
            </w:r>
            <w:r w:rsidRPr="00F27401">
              <w:rPr>
                <w:lang w:val="en-IE"/>
              </w:rPr>
              <w:t>collect</w:t>
            </w:r>
            <w:r w:rsidR="009D1FEE" w:rsidRPr="00F27401">
              <w:rPr>
                <w:lang w:val="en-IE"/>
              </w:rPr>
              <w:t xml:space="preserve"> and</w:t>
            </w:r>
            <w:r w:rsidRPr="00F27401">
              <w:rPr>
                <w:lang w:val="en-IE"/>
              </w:rPr>
              <w:t xml:space="preserve"> report data concerning their impacts, risks and opportunities as regards material sustainability matters. This exercise entails significant data identification, collection, processing, verification and publication. </w:t>
            </w:r>
            <w:r w:rsidR="002C5428" w:rsidRPr="00F27401">
              <w:rPr>
                <w:lang w:val="en-IE"/>
              </w:rPr>
              <w:t>In order to collect the relevant data, undertakings often use digital data collection and data sharing platforms</w:t>
            </w:r>
            <w:r w:rsidR="00143910" w:rsidRPr="00F27401">
              <w:rPr>
                <w:lang w:val="en-IE"/>
              </w:rPr>
              <w:t xml:space="preserve">. Additionally, in order to store and process the data for the purposes of sustainability reporting </w:t>
            </w:r>
            <w:r w:rsidR="00C82A30" w:rsidRPr="00F27401">
              <w:rPr>
                <w:lang w:val="en-IE"/>
              </w:rPr>
              <w:t xml:space="preserve">companies also often utilise </w:t>
            </w:r>
            <w:r w:rsidR="00461923" w:rsidRPr="00F27401">
              <w:rPr>
                <w:lang w:val="en-IE"/>
              </w:rPr>
              <w:t xml:space="preserve">digital </w:t>
            </w:r>
            <w:r w:rsidR="00C82A30" w:rsidRPr="00F27401">
              <w:rPr>
                <w:lang w:val="en-IE"/>
              </w:rPr>
              <w:t xml:space="preserve">data management </w:t>
            </w:r>
            <w:r w:rsidR="00461923" w:rsidRPr="00F27401">
              <w:rPr>
                <w:lang w:val="en-IE"/>
              </w:rPr>
              <w:t xml:space="preserve">tools. </w:t>
            </w:r>
          </w:p>
          <w:p w14:paraId="0340C95B" w14:textId="77777777" w:rsidR="009D1FEE" w:rsidRPr="00757AE9" w:rsidRDefault="00E779B0">
            <w:r w:rsidRPr="00F27401">
              <w:rPr>
                <w:lang w:val="en-IE"/>
              </w:rPr>
              <w:t xml:space="preserve">Users of sustainability information increasingly expect such information to be </w:t>
            </w:r>
            <w:r w:rsidR="00376D9C" w:rsidRPr="00F27401">
              <w:rPr>
                <w:lang w:val="en-IE"/>
              </w:rPr>
              <w:t>accessible</w:t>
            </w:r>
            <w:r w:rsidRPr="00F27401">
              <w:rPr>
                <w:lang w:val="en-IE"/>
              </w:rPr>
              <w:t xml:space="preserve">, comparable and machine-readable in digital formats. Member States </w:t>
            </w:r>
            <w:r w:rsidR="00C87532" w:rsidRPr="00F27401">
              <w:rPr>
                <w:lang w:val="en-IE"/>
              </w:rPr>
              <w:t>must</w:t>
            </w:r>
            <w:r w:rsidRPr="00F27401">
              <w:rPr>
                <w:lang w:val="en-IE"/>
              </w:rPr>
              <w:t xml:space="preserve"> require that undertakings subject to the sustainability reporting requirements of Directive 2013/34/EU make their management reports available on their websites, free of charge to the public. Digitalisation creates opportunities to exploit information more efficiently and holds the potential for significant cost savings for both users and undertakings. Digitalisation also enables the centralisation at Union and Member State level of data in an open and accessible format that facilitates reading and allows for the comparison of data.</w:t>
            </w:r>
            <w:r w:rsidR="00AC677F" w:rsidRPr="00F27401">
              <w:rPr>
                <w:lang w:val="en-IE"/>
              </w:rPr>
              <w:t xml:space="preserve"> </w:t>
            </w:r>
            <w:r w:rsidRPr="00F27401">
              <w:rPr>
                <w:lang w:val="en-IE"/>
              </w:rPr>
              <w:t>These requirements also complement the creation of a European single access point (ESAP) for public corporate information</w:t>
            </w:r>
            <w:r w:rsidR="00AC677F" w:rsidRPr="00F27401">
              <w:rPr>
                <w:lang w:val="en-IE"/>
              </w:rPr>
              <w:t>.</w:t>
            </w:r>
            <w:r w:rsidRPr="00F27401">
              <w:rPr>
                <w:lang w:val="en-IE"/>
              </w:rPr>
              <w:t xml:space="preserve"> </w:t>
            </w:r>
          </w:p>
          <w:p w14:paraId="677963D9" w14:textId="77777777" w:rsidR="00A9315B" w:rsidRPr="00757AE9" w:rsidRDefault="00A9315B">
            <w:r w:rsidRPr="00757AE9">
              <w:t>As regards specific requirements within the Directive which are of digital relevance</w:t>
            </w:r>
            <w:r w:rsidR="00D51568" w:rsidRPr="00757AE9">
              <w:t xml:space="preserve">, please see below. </w:t>
            </w:r>
          </w:p>
          <w:p w14:paraId="36F87A17" w14:textId="77777777" w:rsidR="00926770" w:rsidRPr="00757AE9" w:rsidRDefault="00AE6114">
            <w:r w:rsidRPr="00757AE9">
              <w:t xml:space="preserve">Directive 2013/34/EU requires undertakings subject to sustainability reporting to </w:t>
            </w:r>
            <w:r w:rsidRPr="00F27401">
              <w:rPr>
                <w:lang w:val="en-IE"/>
              </w:rPr>
              <w:t>prepare their management report in the electronic reporting format specified in Article 3 of Commission Delegated Regulation (EU) 2019/815</w:t>
            </w:r>
            <w:r w:rsidR="00EC7829">
              <w:rPr>
                <w:lang w:val="en-IE"/>
              </w:rPr>
              <w:t xml:space="preserve"> (ESEF </w:t>
            </w:r>
            <w:r w:rsidR="00482547">
              <w:rPr>
                <w:lang w:val="en-IE"/>
              </w:rPr>
              <w:t>Delegated Regulation)</w:t>
            </w:r>
            <w:r w:rsidRPr="00F27401">
              <w:rPr>
                <w:lang w:val="en-IE"/>
              </w:rPr>
              <w:t xml:space="preserve">. </w:t>
            </w:r>
            <w:r>
              <w:rPr>
                <w:lang w:val="en-IE"/>
              </w:rPr>
              <w:t xml:space="preserve">It also </w:t>
            </w:r>
            <w:r w:rsidR="009D69EF" w:rsidRPr="00757AE9">
              <w:t xml:space="preserve">requires </w:t>
            </w:r>
            <w:r w:rsidRPr="00757AE9">
              <w:t xml:space="preserve">these </w:t>
            </w:r>
            <w:r w:rsidR="003E0E0D" w:rsidRPr="00757AE9">
              <w:t xml:space="preserve">undertakings to </w:t>
            </w:r>
            <w:r w:rsidR="00926770" w:rsidRPr="00F27401">
              <w:rPr>
                <w:lang w:val="en-IE"/>
              </w:rPr>
              <w:t xml:space="preserve">mark up their sustainability reporting, including the disclosures required by Article 8 of Regulation (EU) 2020/852, in accordance with the </w:t>
            </w:r>
            <w:r w:rsidR="002A42C3">
              <w:rPr>
                <w:lang w:val="en-IE"/>
              </w:rPr>
              <w:t xml:space="preserve">digital taxonomy to be adopted </w:t>
            </w:r>
            <w:r w:rsidR="00B30346">
              <w:rPr>
                <w:lang w:val="en-IE"/>
              </w:rPr>
              <w:t xml:space="preserve">by the Commission </w:t>
            </w:r>
            <w:r w:rsidR="006C0A35">
              <w:rPr>
                <w:lang w:val="en-IE"/>
              </w:rPr>
              <w:t xml:space="preserve">by way of </w:t>
            </w:r>
            <w:r w:rsidR="00EC7829">
              <w:rPr>
                <w:lang w:val="en-IE"/>
              </w:rPr>
              <w:t xml:space="preserve">an amendment to </w:t>
            </w:r>
            <w:r w:rsidR="00926770" w:rsidRPr="00F27401">
              <w:rPr>
                <w:lang w:val="en-IE"/>
              </w:rPr>
              <w:t xml:space="preserve"> </w:t>
            </w:r>
            <w:r w:rsidR="006C0A35">
              <w:rPr>
                <w:lang w:val="en-IE"/>
              </w:rPr>
              <w:t xml:space="preserve">the </w:t>
            </w:r>
            <w:r w:rsidR="00482547">
              <w:rPr>
                <w:lang w:val="en-IE"/>
              </w:rPr>
              <w:t>ESEF Delegated Regulation</w:t>
            </w:r>
            <w:r w:rsidR="00926770" w:rsidRPr="00F27401">
              <w:rPr>
                <w:lang w:val="en-IE"/>
              </w:rPr>
              <w:t>.</w:t>
            </w:r>
          </w:p>
          <w:p w14:paraId="7570914E" w14:textId="77777777" w:rsidR="009D1FEE" w:rsidRPr="00F27401" w:rsidRDefault="00926770">
            <w:pPr>
              <w:rPr>
                <w:lang w:val="en-IE"/>
              </w:rPr>
            </w:pPr>
            <w:r w:rsidRPr="00F27401">
              <w:rPr>
                <w:lang w:val="en-IE"/>
              </w:rPr>
              <w:t xml:space="preserve">A digital taxonomy for the Union sustainability reporting standards will </w:t>
            </w:r>
            <w:r w:rsidR="00B526D0">
              <w:rPr>
                <w:lang w:val="en-IE"/>
              </w:rPr>
              <w:t xml:space="preserve">allow sustainability reporting </w:t>
            </w:r>
            <w:r w:rsidR="00C86069">
              <w:rPr>
                <w:lang w:val="en-IE"/>
              </w:rPr>
              <w:t xml:space="preserve">to be tagged and to be machine-readable. </w:t>
            </w:r>
            <w:r w:rsidR="00E36B4B" w:rsidRPr="00F27401">
              <w:rPr>
                <w:lang w:val="en-IE"/>
              </w:rPr>
              <w:t>Until the adoption of this digital taxonomy, undertakings are not required to mark-up their sustainability statements. Considering that the sustainability statement will become machine-readable only once it is both included in an XHTML document and marked-up with a digital taxonomy, pending the adoption of the digital taxonomy undertakings are also not required to prepare the management report in XHTML.</w:t>
            </w:r>
          </w:p>
          <w:p w14:paraId="7A834C14" w14:textId="77777777" w:rsidR="00433707" w:rsidRPr="00F27401" w:rsidRDefault="00433707">
            <w:pPr>
              <w:rPr>
                <w:lang w:val="en-IE"/>
              </w:rPr>
            </w:pPr>
            <w:r w:rsidRPr="00F27401">
              <w:rPr>
                <w:lang w:val="en-IE"/>
              </w:rPr>
              <w:t>Stakeholders affected by these requirements include undertakings required to prepare and publish a sustainability statement which has been digitally tagged and provided in an XHTML format, as well as assurance providers who</w:t>
            </w:r>
            <w:r w:rsidR="002E200A" w:rsidRPr="00F27401">
              <w:rPr>
                <w:lang w:val="en-IE"/>
              </w:rPr>
              <w:t xml:space="preserve"> must verify that the sustainability statement meets the necessary requirements.</w:t>
            </w:r>
          </w:p>
          <w:p w14:paraId="1A0A8717" w14:textId="77777777" w:rsidR="001E7495" w:rsidRPr="00757AE9" w:rsidRDefault="00BB7699" w:rsidP="00442BCD">
            <w:pPr>
              <w:pBdr>
                <w:top w:val="nil"/>
                <w:left w:val="nil"/>
                <w:bottom w:val="nil"/>
                <w:right w:val="nil"/>
                <w:between w:val="nil"/>
                <w:bar w:val="nil"/>
              </w:pBdr>
              <w:spacing w:before="0" w:after="0"/>
              <w:rPr>
                <w:rFonts w:eastAsia="Arial Unicode MS"/>
              </w:rPr>
            </w:pPr>
            <w:r w:rsidRPr="00757AE9">
              <w:rPr>
                <w:rFonts w:eastAsia="Arial Unicode MS"/>
              </w:rPr>
              <w:lastRenderedPageBreak/>
              <w:t>The</w:t>
            </w:r>
            <w:r w:rsidR="00F11A69" w:rsidRPr="00757AE9">
              <w:rPr>
                <w:rFonts w:eastAsia="Arial Unicode MS"/>
              </w:rPr>
              <w:t xml:space="preserve"> current</w:t>
            </w:r>
            <w:r w:rsidRPr="00757AE9">
              <w:rPr>
                <w:rFonts w:eastAsia="Arial Unicode MS"/>
              </w:rPr>
              <w:t xml:space="preserve"> proposal does not modify the existing digital tagging </w:t>
            </w:r>
            <w:r w:rsidR="00F267DF" w:rsidRPr="00757AE9">
              <w:rPr>
                <w:rFonts w:eastAsia="Arial Unicode MS"/>
              </w:rPr>
              <w:t xml:space="preserve">or format </w:t>
            </w:r>
            <w:r w:rsidRPr="00757AE9">
              <w:rPr>
                <w:rFonts w:eastAsia="Arial Unicode MS"/>
              </w:rPr>
              <w:t xml:space="preserve">rules introduced by the </w:t>
            </w:r>
            <w:r w:rsidR="00433D45" w:rsidRPr="00757AE9">
              <w:rPr>
                <w:rFonts w:eastAsia="Arial Unicode MS"/>
              </w:rPr>
              <w:t>CSRD</w:t>
            </w:r>
            <w:r w:rsidRPr="00757AE9">
              <w:rPr>
                <w:rFonts w:eastAsia="Arial Unicode MS"/>
              </w:rPr>
              <w:t xml:space="preserve">, which will enhance digital reporting and enable the use of artificial intelligence in utilising the information that undertakings report. </w:t>
            </w:r>
          </w:p>
          <w:p w14:paraId="20ED3F85" w14:textId="77777777" w:rsidR="009D1FEE" w:rsidRPr="00F27401" w:rsidRDefault="003A1166" w:rsidP="001874E2">
            <w:pPr>
              <w:pBdr>
                <w:top w:val="nil"/>
                <w:left w:val="nil"/>
                <w:bottom w:val="nil"/>
                <w:right w:val="nil"/>
                <w:between w:val="nil"/>
                <w:bar w:val="nil"/>
              </w:pBdr>
              <w:rPr>
                <w:color w:val="0000FF"/>
                <w:lang w:val="en-IE"/>
              </w:rPr>
            </w:pPr>
            <w:r w:rsidRPr="00757AE9">
              <w:rPr>
                <w:rFonts w:eastAsia="Arial Unicode MS"/>
              </w:rPr>
              <w:t xml:space="preserve">As regards the CSDDD, </w:t>
            </w:r>
            <w:r w:rsidR="00B84B59" w:rsidRPr="00757AE9">
              <w:rPr>
                <w:rFonts w:eastAsia="Arial Unicode MS"/>
              </w:rPr>
              <w:t xml:space="preserve">digital tools and technologies, such as those used for tracking, surveillance or tracing raw materials, goods and products throughout value chains, for instance satellites, drones, radars, or platform-based solutions, could support and reduce the cost of data gathering for value chain management, including the identification and assessment of adverse impacts, prevention and mitigation, and monitoring of the effectiveness of due diligence measures. </w:t>
            </w:r>
          </w:p>
        </w:tc>
      </w:tr>
    </w:tbl>
    <w:p w14:paraId="52F137AE" w14:textId="77777777" w:rsidR="009D1FEE" w:rsidRPr="00F27401" w:rsidRDefault="009D1FEE">
      <w:pPr>
        <w:pStyle w:val="ManualHeading2"/>
        <w:rPr>
          <w:lang w:val="en-IE"/>
        </w:rPr>
      </w:pPr>
      <w:bookmarkStart w:id="128" w:name="_Toc167220303"/>
      <w:bookmarkStart w:id="129" w:name="_Toc177549038"/>
      <w:bookmarkStart w:id="130" w:name="_Toc191189506"/>
      <w:r w:rsidRPr="00F27401">
        <w:rPr>
          <w:lang w:val="en-IE"/>
        </w:rPr>
        <w:lastRenderedPageBreak/>
        <w:t>4.2.</w:t>
      </w:r>
      <w:r w:rsidRPr="00F27401">
        <w:rPr>
          <w:lang w:val="en-IE"/>
        </w:rPr>
        <w:tab/>
        <w:t>Data</w:t>
      </w:r>
      <w:bookmarkEnd w:id="128"/>
      <w:bookmarkEnd w:id="129"/>
      <w:bookmarkEnd w:id="130"/>
    </w:p>
    <w:tbl>
      <w:tblPr>
        <w:tblStyle w:val="TableGrid"/>
        <w:tblW w:w="0" w:type="auto"/>
        <w:tblLook w:val="04A0" w:firstRow="1" w:lastRow="0" w:firstColumn="1" w:lastColumn="0" w:noHBand="0" w:noVBand="1"/>
      </w:tblPr>
      <w:tblGrid>
        <w:gridCol w:w="9063"/>
      </w:tblGrid>
      <w:tr w:rsidR="009D1FEE" w:rsidRPr="00F27401" w14:paraId="00E3C3EB" w14:textId="77777777">
        <w:tc>
          <w:tcPr>
            <w:tcW w:w="9063" w:type="dxa"/>
          </w:tcPr>
          <w:p w14:paraId="0AF1FF82" w14:textId="77777777" w:rsidR="009D1FEE" w:rsidRPr="00F27401" w:rsidRDefault="008F1716" w:rsidP="006052C5">
            <w:pPr>
              <w:spacing w:before="60" w:after="60"/>
              <w:rPr>
                <w:lang w:val="en-IE"/>
              </w:rPr>
            </w:pPr>
            <w:r w:rsidRPr="00F27401">
              <w:rPr>
                <w:rFonts w:eastAsiaTheme="minorHAnsi"/>
                <w:lang w:val="en-IE" w:eastAsia="en-US"/>
              </w:rPr>
              <w:t xml:space="preserve">See section above. </w:t>
            </w:r>
          </w:p>
        </w:tc>
      </w:tr>
    </w:tbl>
    <w:p w14:paraId="3CDFCFDC" w14:textId="77777777" w:rsidR="009D1FEE" w:rsidRPr="00F27401" w:rsidRDefault="009D1FEE">
      <w:pPr>
        <w:pStyle w:val="ManualHeading2"/>
        <w:rPr>
          <w:lang w:val="en-IE"/>
        </w:rPr>
      </w:pPr>
      <w:bookmarkStart w:id="131" w:name="_Toc167220305"/>
      <w:bookmarkStart w:id="132" w:name="_Toc177549039"/>
      <w:bookmarkStart w:id="133" w:name="_Toc191189507"/>
      <w:r w:rsidRPr="00F27401">
        <w:rPr>
          <w:lang w:val="en-IE"/>
        </w:rPr>
        <w:t>4.3.</w:t>
      </w:r>
      <w:r w:rsidRPr="00F27401">
        <w:rPr>
          <w:lang w:val="en-IE"/>
        </w:rPr>
        <w:tab/>
        <w:t>Digital solutions</w:t>
      </w:r>
      <w:bookmarkEnd w:id="131"/>
      <w:bookmarkEnd w:id="132"/>
      <w:bookmarkEnd w:id="133"/>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9D1FEE" w:rsidRPr="00F27401" w14:paraId="3EF75A45" w14:textId="77777777">
        <w:tc>
          <w:tcPr>
            <w:tcW w:w="9067" w:type="dxa"/>
          </w:tcPr>
          <w:p w14:paraId="7135FB52" w14:textId="77777777" w:rsidR="009D1FEE" w:rsidRPr="00F27401" w:rsidRDefault="008F1716" w:rsidP="006052C5">
            <w:pPr>
              <w:spacing w:before="60" w:after="60"/>
              <w:rPr>
                <w:rStyle w:val="Marker"/>
                <w:color w:val="auto"/>
                <w:lang w:val="en-IE"/>
              </w:rPr>
            </w:pPr>
            <w:r w:rsidRPr="00757AE9">
              <w:t xml:space="preserve">See section above. </w:t>
            </w:r>
          </w:p>
        </w:tc>
      </w:tr>
    </w:tbl>
    <w:p w14:paraId="324EEF0C" w14:textId="77777777" w:rsidR="009D1FEE" w:rsidRPr="00F27401" w:rsidRDefault="009D1FEE">
      <w:pPr>
        <w:pStyle w:val="ManualHeading2"/>
        <w:rPr>
          <w:rStyle w:val="Emphasis"/>
          <w:b w:val="0"/>
          <w:bCs/>
          <w:i w:val="0"/>
          <w:iCs w:val="0"/>
          <w:lang w:val="en-IE"/>
        </w:rPr>
      </w:pPr>
      <w:bookmarkStart w:id="134" w:name="_Toc167220304"/>
      <w:bookmarkStart w:id="135" w:name="_Toc177549040"/>
      <w:bookmarkStart w:id="136" w:name="_Toc191189508"/>
      <w:r w:rsidRPr="00F27401">
        <w:rPr>
          <w:rStyle w:val="Emphasis"/>
          <w:bCs/>
          <w:lang w:val="en-IE"/>
        </w:rPr>
        <w:t>4.4.</w:t>
      </w:r>
      <w:r w:rsidRPr="00F27401">
        <w:rPr>
          <w:lang w:val="en-IE"/>
        </w:rPr>
        <w:tab/>
      </w:r>
      <w:r w:rsidRPr="00F27401">
        <w:rPr>
          <w:rStyle w:val="Emphasis"/>
          <w:bCs/>
          <w:lang w:val="en-IE"/>
        </w:rPr>
        <w:t>Interoperability assessment</w:t>
      </w:r>
      <w:bookmarkEnd w:id="134"/>
      <w:bookmarkEnd w:id="135"/>
      <w:bookmarkEnd w:id="136"/>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9D1FEE" w:rsidRPr="00F27401" w14:paraId="2EF0FF52" w14:textId="77777777">
        <w:trPr>
          <w:trHeight w:val="300"/>
        </w:trPr>
        <w:tc>
          <w:tcPr>
            <w:tcW w:w="9067" w:type="dxa"/>
          </w:tcPr>
          <w:p w14:paraId="19355B01" w14:textId="77777777" w:rsidR="009D1FEE" w:rsidRPr="00F27401" w:rsidRDefault="008F1716" w:rsidP="006052C5">
            <w:pPr>
              <w:spacing w:before="60" w:after="60"/>
              <w:rPr>
                <w:i/>
                <w:lang w:val="en-IE"/>
              </w:rPr>
            </w:pPr>
            <w:r w:rsidRPr="00757AE9">
              <w:t>N/A</w:t>
            </w:r>
          </w:p>
        </w:tc>
      </w:tr>
    </w:tbl>
    <w:p w14:paraId="6E7FAAFA" w14:textId="77777777" w:rsidR="009D1FEE" w:rsidRPr="00F27401" w:rsidRDefault="009D1FEE">
      <w:pPr>
        <w:pStyle w:val="ManualHeading2"/>
        <w:rPr>
          <w:lang w:val="en-IE"/>
        </w:rPr>
      </w:pPr>
      <w:bookmarkStart w:id="137" w:name="_Toc167220306"/>
      <w:bookmarkStart w:id="138" w:name="_Toc177549041"/>
      <w:bookmarkStart w:id="139" w:name="_Toc191189509"/>
      <w:r w:rsidRPr="00F27401">
        <w:rPr>
          <w:lang w:val="en-IE"/>
        </w:rPr>
        <w:t>4.5.</w:t>
      </w:r>
      <w:r w:rsidRPr="00F27401">
        <w:rPr>
          <w:lang w:val="en-IE"/>
        </w:rPr>
        <w:tab/>
        <w:t>Measures to support digital implementation</w:t>
      </w:r>
      <w:bookmarkEnd w:id="137"/>
      <w:bookmarkEnd w:id="138"/>
      <w:bookmarkEnd w:id="139"/>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9D1FEE" w:rsidRPr="00F27401" w14:paraId="630D1C57" w14:textId="77777777">
        <w:tc>
          <w:tcPr>
            <w:tcW w:w="9067" w:type="dxa"/>
          </w:tcPr>
          <w:p w14:paraId="32CF2FE2" w14:textId="77777777" w:rsidR="00B9288C" w:rsidRPr="00757AE9" w:rsidRDefault="009D1FEE">
            <w:r w:rsidRPr="00757AE9">
              <w:t xml:space="preserve">To facilitate the smooth implementation of the requirements of digital relevance identified in Section 4.1., </w:t>
            </w:r>
            <w:r w:rsidR="00B9288C" w:rsidRPr="00757AE9">
              <w:t xml:space="preserve">the Commission </w:t>
            </w:r>
            <w:r w:rsidR="00F94723" w:rsidRPr="00757AE9">
              <w:t>is involved in</w:t>
            </w:r>
            <w:r w:rsidR="00B9288C" w:rsidRPr="00757AE9">
              <w:t xml:space="preserve"> a number of initiatives. </w:t>
            </w:r>
          </w:p>
          <w:p w14:paraId="516CBCB4" w14:textId="77777777" w:rsidR="0060035F" w:rsidRPr="00757AE9" w:rsidRDefault="0060035F" w:rsidP="00715995">
            <w:r w:rsidRPr="00F27401">
              <w:rPr>
                <w:lang w:val="en-IE"/>
              </w:rPr>
              <w:t xml:space="preserve">Firstly, a digital taxonomy for the Union sustainability reporting standards will be necessary to allow the reported information to be tagged in accordance with those sustainability reporting standards. The Commission will adopt a digital taxonomy for the tagging of sustainability information via a Delegated Act, after having received technical advice from ESMA. </w:t>
            </w:r>
          </w:p>
          <w:p w14:paraId="539029CB" w14:textId="77777777" w:rsidR="00B9288C" w:rsidRPr="00757AE9" w:rsidRDefault="00E77E77">
            <w:r w:rsidRPr="00757AE9">
              <w:t>Secondly, i</w:t>
            </w:r>
            <w:r w:rsidR="00B9288C" w:rsidRPr="00757AE9">
              <w:t>n the framework of the 2025 Technical Support Instrument round, the Commission intends to launch a flagship multi-country project entitled "Improving Sustainability Reporting for Businesses." This initiative aims to enhance the capacity of Member States to support companies, particularly SMEs, in implementing CSRD and EU Taxonomy reporting requirements. The support under this initiative will take into account the evolution of the reporting requirements, and it will also be relevant for non-listed SMEs that are not subject to mandatory reporting but face growing demands for sustainability information from their financial and value chain partners.</w:t>
            </w:r>
          </w:p>
          <w:p w14:paraId="5CA039DE" w14:textId="77777777" w:rsidR="00905D1E" w:rsidRPr="00757AE9" w:rsidRDefault="00F94723" w:rsidP="00905D1E">
            <w:r w:rsidRPr="00757AE9">
              <w:t xml:space="preserve">Thirdly, EFRAG </w:t>
            </w:r>
            <w:r w:rsidR="003A1DA5" w:rsidRPr="00757AE9">
              <w:t xml:space="preserve">has launched an SME forum in which they bring together relevant stakeholders of the SME community to discuss </w:t>
            </w:r>
            <w:r w:rsidR="006F55C3" w:rsidRPr="00757AE9">
              <w:t xml:space="preserve">the implementation of the sustainability reporting requirements and how digital solutions and tools can be used to facilitate sustainability reporting for SMEs. </w:t>
            </w:r>
          </w:p>
          <w:p w14:paraId="09D8F3C9" w14:textId="77777777" w:rsidR="009D1FEE" w:rsidRPr="00F27401" w:rsidRDefault="00BC2011" w:rsidP="001874E2">
            <w:pPr>
              <w:rPr>
                <w:lang w:val="en-IE"/>
              </w:rPr>
            </w:pPr>
            <w:r w:rsidRPr="00757AE9">
              <w:rPr>
                <w:rFonts w:eastAsia="Arial Unicode MS"/>
              </w:rPr>
              <w:t xml:space="preserve">As regards the CSDDD, in order to help companies fulfil their due diligence obligations along their value chain, the Directive encourages the use of </w:t>
            </w:r>
            <w:r w:rsidR="00826838" w:rsidRPr="00757AE9">
              <w:rPr>
                <w:rFonts w:eastAsia="Arial Unicode MS"/>
              </w:rPr>
              <w:t>digital</w:t>
            </w:r>
            <w:r w:rsidRPr="00757AE9">
              <w:rPr>
                <w:rFonts w:eastAsia="Arial Unicode MS"/>
              </w:rPr>
              <w:t xml:space="preserve"> tools and technologies and requires the Commission to issue guidelines with useful information and references to appropriate resources. When using digital tools and technologies, companies should take into account and appropriately address possible risks associated therewith, and put in place mechanisms to verify the appropriateness of the information obtained.</w:t>
            </w:r>
          </w:p>
        </w:tc>
      </w:tr>
      <w:bookmarkEnd w:id="124"/>
    </w:tbl>
    <w:p w14:paraId="090529E6" w14:textId="77777777" w:rsidR="009D1FEE" w:rsidRPr="00F27401" w:rsidRDefault="009D1FEE" w:rsidP="006052C5">
      <w:pPr>
        <w:spacing w:before="0" w:after="0"/>
        <w:rPr>
          <w:lang w:val="en-IE"/>
        </w:rPr>
      </w:pPr>
    </w:p>
    <w:sectPr w:rsidR="009D1FEE" w:rsidRPr="00F27401" w:rsidSect="00D6173F">
      <w:headerReference w:type="even" r:id="rId30"/>
      <w:headerReference w:type="first" r:id="rId31"/>
      <w:footerReference w:type="first" r:id="rId3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5F8D" w14:textId="77777777" w:rsidR="005F0497" w:rsidRDefault="005F0497" w:rsidP="009D1FEE">
      <w:pPr>
        <w:spacing w:before="0" w:after="0"/>
      </w:pPr>
      <w:r>
        <w:separator/>
      </w:r>
    </w:p>
  </w:endnote>
  <w:endnote w:type="continuationSeparator" w:id="0">
    <w:p w14:paraId="2AB14E5B" w14:textId="77777777" w:rsidR="005F0497" w:rsidRDefault="005F0497" w:rsidP="009D1FEE">
      <w:pPr>
        <w:spacing w:before="0" w:after="0"/>
      </w:pPr>
      <w:r>
        <w:continuationSeparator/>
      </w:r>
    </w:p>
  </w:endnote>
  <w:endnote w:type="continuationNotice" w:id="1">
    <w:p w14:paraId="7CACD9A2" w14:textId="77777777" w:rsidR="005F0497" w:rsidRDefault="005F04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F063" w14:textId="17E83709" w:rsidR="007310BF" w:rsidRPr="00D6173F" w:rsidRDefault="00D6173F" w:rsidP="00D6173F">
    <w:pPr>
      <w:pStyle w:val="Footer"/>
      <w:rPr>
        <w:rFonts w:ascii="Arial" w:hAnsi="Arial" w:cs="Arial"/>
        <w:b/>
        <w:sz w:val="48"/>
      </w:rPr>
    </w:pPr>
    <w:r w:rsidRPr="00D6173F">
      <w:rPr>
        <w:rFonts w:ascii="Arial" w:hAnsi="Arial" w:cs="Arial"/>
        <w:b/>
        <w:sz w:val="48"/>
      </w:rPr>
      <w:t>EN</w:t>
    </w:r>
    <w:r w:rsidRPr="00D6173F">
      <w:rPr>
        <w:rFonts w:ascii="Arial" w:hAnsi="Arial" w:cs="Arial"/>
        <w:b/>
        <w:sz w:val="48"/>
      </w:rPr>
      <w:tab/>
    </w:r>
    <w:r w:rsidRPr="00D6173F">
      <w:rPr>
        <w:rFonts w:ascii="Arial" w:hAnsi="Arial" w:cs="Arial"/>
        <w:b/>
        <w:sz w:val="48"/>
      </w:rPr>
      <w:tab/>
    </w:r>
    <w:r w:rsidRPr="00D6173F">
      <w:tab/>
    </w:r>
    <w:r w:rsidRPr="00D6173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F2BC" w14:textId="6E591E02" w:rsidR="007310BF" w:rsidRPr="00D6173F" w:rsidRDefault="00D6173F" w:rsidP="00D6173F">
    <w:pPr>
      <w:pStyle w:val="Footer"/>
      <w:rPr>
        <w:rFonts w:ascii="Arial" w:hAnsi="Arial" w:cs="Arial"/>
        <w:b/>
        <w:sz w:val="48"/>
      </w:rPr>
    </w:pPr>
    <w:r w:rsidRPr="00D6173F">
      <w:rPr>
        <w:rFonts w:ascii="Arial" w:hAnsi="Arial" w:cs="Arial"/>
        <w:b/>
        <w:sz w:val="48"/>
      </w:rPr>
      <w:t>EN</w:t>
    </w:r>
    <w:r w:rsidRPr="00D6173F">
      <w:rPr>
        <w:rFonts w:ascii="Arial" w:hAnsi="Arial" w:cs="Arial"/>
        <w:b/>
        <w:sz w:val="48"/>
      </w:rPr>
      <w:tab/>
    </w:r>
    <w:r w:rsidRPr="00D6173F">
      <w:rPr>
        <w:rFonts w:ascii="Arial" w:hAnsi="Arial" w:cs="Arial"/>
        <w:b/>
        <w:sz w:val="48"/>
      </w:rPr>
      <w:tab/>
    </w:r>
    <w:r w:rsidRPr="00D6173F">
      <w:tab/>
    </w:r>
    <w:r w:rsidRPr="00D6173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D0E8" w14:textId="77777777" w:rsidR="00D6173F" w:rsidRPr="00D6173F" w:rsidRDefault="00D6173F" w:rsidP="00D617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2102" w14:textId="77777777" w:rsidR="00315825" w:rsidRPr="009D1FEE" w:rsidRDefault="00315825" w:rsidP="009D1FEE">
    <w:pPr>
      <w:pStyle w:val="Footer"/>
      <w:rPr>
        <w:rFonts w:ascii="Arial" w:hAnsi="Arial" w:cs="Arial"/>
        <w:b/>
        <w:sz w:val="48"/>
      </w:rPr>
    </w:pPr>
    <w:r w:rsidRPr="009D1FEE">
      <w:rPr>
        <w:rFonts w:ascii="Arial" w:hAnsi="Arial" w:cs="Arial"/>
        <w:b/>
        <w:sz w:val="48"/>
      </w:rPr>
      <w:t>EN</w:t>
    </w:r>
    <w:r w:rsidRPr="009D1FEE">
      <w:rPr>
        <w:rFonts w:ascii="Arial" w:hAnsi="Arial" w:cs="Arial"/>
        <w:b/>
        <w:sz w:val="48"/>
      </w:rPr>
      <w:tab/>
    </w:r>
    <w:r w:rsidRPr="009D1FEE">
      <w:rPr>
        <w:rFonts w:ascii="Arial" w:hAnsi="Arial" w:cs="Arial"/>
        <w:b/>
        <w:sz w:val="48"/>
      </w:rPr>
      <w:tab/>
    </w:r>
    <w:r w:rsidRPr="009D1FEE">
      <w:tab/>
    </w:r>
    <w:r w:rsidRPr="009D1FEE">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469A" w14:textId="405FC94F" w:rsidR="00D6173F" w:rsidRPr="00D6173F" w:rsidRDefault="00D6173F" w:rsidP="00D6173F">
    <w:pPr>
      <w:pStyle w:val="Footer"/>
      <w:rPr>
        <w:rFonts w:ascii="Arial" w:hAnsi="Arial" w:cs="Arial"/>
        <w:b/>
        <w:sz w:val="48"/>
      </w:rPr>
    </w:pPr>
    <w:r w:rsidRPr="00D6173F">
      <w:rPr>
        <w:rFonts w:ascii="Arial" w:hAnsi="Arial" w:cs="Arial"/>
        <w:b/>
        <w:sz w:val="48"/>
      </w:rPr>
      <w:t>EN</w:t>
    </w:r>
    <w:r w:rsidRPr="00D6173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6173F">
      <w:tab/>
    </w:r>
    <w:r w:rsidRPr="00D6173F">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3973" w14:textId="77777777" w:rsidR="00E66C1B" w:rsidRDefault="00E66C1B" w:rsidP="00D6173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B3FB" w14:textId="77777777" w:rsidR="009D1FEE" w:rsidRPr="003304E5" w:rsidRDefault="009D1FE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99C3" w14:textId="77777777" w:rsidR="009D1FEE" w:rsidRPr="00C37C35" w:rsidRDefault="009D1FE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2F74" w14:textId="77777777" w:rsidR="009D1FEE" w:rsidRPr="00C37C35" w:rsidRDefault="009D1FEE" w:rsidP="00B7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5AE42" w14:textId="77777777" w:rsidR="005F0497" w:rsidRDefault="005F0497" w:rsidP="009D1FEE">
      <w:pPr>
        <w:spacing w:before="0" w:after="0"/>
      </w:pPr>
      <w:r>
        <w:separator/>
      </w:r>
    </w:p>
  </w:footnote>
  <w:footnote w:type="continuationSeparator" w:id="0">
    <w:p w14:paraId="5145289E" w14:textId="77777777" w:rsidR="005F0497" w:rsidRDefault="005F0497" w:rsidP="009D1FEE">
      <w:pPr>
        <w:spacing w:before="0" w:after="0"/>
      </w:pPr>
      <w:r>
        <w:continuationSeparator/>
      </w:r>
    </w:p>
  </w:footnote>
  <w:footnote w:type="continuationNotice" w:id="1">
    <w:p w14:paraId="17705D66" w14:textId="77777777" w:rsidR="005F0497" w:rsidRDefault="005F0497">
      <w:pPr>
        <w:spacing w:before="0" w:after="0"/>
      </w:pPr>
    </w:p>
  </w:footnote>
  <w:footnote w:id="2">
    <w:p w14:paraId="535F2F5A" w14:textId="77777777" w:rsidR="006D492A" w:rsidRPr="001C5090" w:rsidRDefault="006D492A" w:rsidP="006D492A">
      <w:pPr>
        <w:pStyle w:val="FootnoteText"/>
      </w:pPr>
      <w:r w:rsidRPr="00757AE9">
        <w:rPr>
          <w:rStyle w:val="FootnoteReference"/>
        </w:rPr>
        <w:footnoteRef/>
      </w:r>
      <w:r w:rsidR="00757AE9">
        <w:tab/>
      </w:r>
      <w:r w:rsidRPr="001C5090">
        <w:t xml:space="preserve">“The future of European competitiveness”, September 2024. </w:t>
      </w:r>
    </w:p>
  </w:footnote>
  <w:footnote w:id="3">
    <w:p w14:paraId="05A87108" w14:textId="77777777" w:rsidR="006D492A" w:rsidRPr="00A92F39" w:rsidRDefault="006D492A" w:rsidP="006D492A">
      <w:pPr>
        <w:pStyle w:val="FootnoteText"/>
        <w:rPr>
          <w:lang w:val="en-IE"/>
        </w:rPr>
      </w:pPr>
      <w:r w:rsidRPr="00757AE9">
        <w:rPr>
          <w:rStyle w:val="FootnoteReference"/>
        </w:rPr>
        <w:footnoteRef/>
      </w:r>
      <w:r w:rsidR="00757AE9">
        <w:tab/>
      </w:r>
      <w:r w:rsidRPr="001C5090">
        <w:t>Budapest Declaration on the New European Competitiveness Deal, 8 November 2024</w:t>
      </w:r>
      <w:r>
        <w:t>.</w:t>
      </w:r>
    </w:p>
  </w:footnote>
  <w:footnote w:id="4">
    <w:p w14:paraId="2A04F183" w14:textId="77777777" w:rsidR="006D492A" w:rsidRPr="00A92F39" w:rsidRDefault="006D492A" w:rsidP="006D492A">
      <w:pPr>
        <w:pStyle w:val="FootnoteText"/>
        <w:ind w:left="0" w:firstLine="0"/>
        <w:rPr>
          <w:lang w:val="en-IE"/>
        </w:rPr>
      </w:pPr>
      <w:r w:rsidRPr="00757AE9">
        <w:rPr>
          <w:rStyle w:val="FootnoteReference"/>
        </w:rPr>
        <w:footnoteRef/>
      </w:r>
      <w:r w:rsidR="00757AE9">
        <w:tab/>
      </w:r>
      <w:r w:rsidRPr="00341EBB">
        <w:t>Communication from the Commission to the European Parliament, the European council, the Council, the European Economic and Social Committee and the Committee of the Regions, COM (2025) 30 final: A Competitiveness Compass for the EU.</w:t>
      </w:r>
    </w:p>
  </w:footnote>
  <w:footnote w:id="5">
    <w:p w14:paraId="1AB1EB82" w14:textId="77777777" w:rsidR="006D492A" w:rsidRPr="004138C0" w:rsidRDefault="006D492A" w:rsidP="00155438">
      <w:pPr>
        <w:pStyle w:val="FootnoteText"/>
        <w:ind w:left="0" w:firstLine="0"/>
      </w:pPr>
      <w:r w:rsidRPr="00757AE9">
        <w:rPr>
          <w:rStyle w:val="FootnoteReference"/>
        </w:rPr>
        <w:footnoteRef/>
      </w:r>
      <w:r w:rsidR="00757AE9">
        <w:tab/>
      </w:r>
      <w:r w:rsidR="00155438" w:rsidRPr="00155438">
        <w:t>Communication from the Commission to the European Parliament, the Council, the European Economic and Social Committee and the Committee of the Regions, COM (2025) 47 final: A simpler and faster Europe: Communication on implementation and simplification.</w:t>
      </w:r>
    </w:p>
  </w:footnote>
  <w:footnote w:id="6">
    <w:p w14:paraId="36A4A78E" w14:textId="77777777" w:rsidR="00341E86" w:rsidRPr="00341E86" w:rsidRDefault="00341E86" w:rsidP="00B86AA0">
      <w:pPr>
        <w:pStyle w:val="FootnoteText"/>
        <w:ind w:left="0" w:firstLine="0"/>
      </w:pPr>
      <w:r w:rsidRPr="00757AE9">
        <w:rPr>
          <w:rStyle w:val="FootnoteReference"/>
        </w:rPr>
        <w:footnoteRef/>
      </w:r>
      <w:r w:rsidR="00757AE9">
        <w:tab/>
      </w:r>
      <w:r w:rsidR="00B86AA0" w:rsidRPr="00B86AA0">
        <w:t>Directive (EU) 2022/2464 of the European Parliament and of the Council of 14 December 2022 (Corporate Sustainability Reporting Directive</w:t>
      </w:r>
      <w:r w:rsidR="002C5A96">
        <w:t>)</w:t>
      </w:r>
      <w:r w:rsidR="00B86AA0" w:rsidRPr="00B86AA0">
        <w:t>.</w:t>
      </w:r>
    </w:p>
  </w:footnote>
  <w:footnote w:id="7">
    <w:p w14:paraId="65BCB771" w14:textId="77777777" w:rsidR="00841383" w:rsidRPr="00841383" w:rsidRDefault="00841383" w:rsidP="00C25781">
      <w:pPr>
        <w:pStyle w:val="FootnoteText"/>
        <w:ind w:left="0" w:firstLine="0"/>
      </w:pPr>
      <w:r w:rsidRPr="00757AE9">
        <w:rPr>
          <w:rStyle w:val="FootnoteReference"/>
        </w:rPr>
        <w:footnoteRef/>
      </w:r>
      <w:r w:rsidR="00757AE9">
        <w:tab/>
      </w:r>
      <w:r w:rsidR="00C25781" w:rsidRPr="00C25781">
        <w:t>Directive 2013/34/EU of the European Parliament and of the Council of 26 June 2013 (Accounting Directive). Directive 2004/109/EC of the European Parliament and of the Council of 15 December 2004 (Transparency Directive). Directive 2006/43/EC of the European Parliament and of the Council of 17 May 2006 (Audit Directive). Regulation (EU) No 537/2014 of the European Parliament and of the Council of 16 April 2014 (Audit Regulation).</w:t>
      </w:r>
    </w:p>
  </w:footnote>
  <w:footnote w:id="8">
    <w:p w14:paraId="13D6677C" w14:textId="77777777" w:rsidR="00FA0B16" w:rsidRPr="001C5090" w:rsidRDefault="00FA0B16" w:rsidP="00AF048A">
      <w:pPr>
        <w:pStyle w:val="FootnoteText"/>
        <w:ind w:left="0" w:firstLine="0"/>
      </w:pPr>
      <w:r w:rsidRPr="00757AE9">
        <w:rPr>
          <w:rStyle w:val="FootnoteReference"/>
        </w:rPr>
        <w:footnoteRef/>
      </w:r>
      <w:r w:rsidR="00757AE9">
        <w:tab/>
      </w:r>
      <w:r w:rsidR="00D61A91" w:rsidRPr="001C5090">
        <w:t xml:space="preserve">Communication from the </w:t>
      </w:r>
      <w:r w:rsidR="00D41A93" w:rsidRPr="001C5090">
        <w:t>Commission,</w:t>
      </w:r>
      <w:r w:rsidR="00C3605C" w:rsidRPr="001C5090">
        <w:t xml:space="preserve"> ‘</w:t>
      </w:r>
      <w:r w:rsidR="00AF048A" w:rsidRPr="001C5090">
        <w:t>The European Green Deal</w:t>
      </w:r>
      <w:r w:rsidR="00387919" w:rsidRPr="001C5090">
        <w:t xml:space="preserve">, </w:t>
      </w:r>
      <w:r w:rsidR="00D41A93" w:rsidRPr="001C5090">
        <w:t xml:space="preserve">COM(2019) 640 final. </w:t>
      </w:r>
      <w:r w:rsidR="00387919" w:rsidRPr="001C5090">
        <w:t>Communication from the Commission ‘Action Plan: Financing Sustainable Growth’, COM/2018/097 final.</w:t>
      </w:r>
    </w:p>
  </w:footnote>
  <w:footnote w:id="9">
    <w:p w14:paraId="234CB612" w14:textId="77777777" w:rsidR="00F6679C" w:rsidRPr="00F6679C" w:rsidRDefault="00F6679C" w:rsidP="007C37E4">
      <w:pPr>
        <w:pStyle w:val="FootnoteText"/>
        <w:ind w:left="0" w:firstLine="0"/>
      </w:pPr>
      <w:r w:rsidRPr="00757AE9">
        <w:rPr>
          <w:rStyle w:val="FootnoteReference"/>
        </w:rPr>
        <w:footnoteRef/>
      </w:r>
      <w:r w:rsidR="00757AE9">
        <w:tab/>
      </w:r>
      <w:r w:rsidR="006A66D9" w:rsidRPr="006A66D9">
        <w:t xml:space="preserve">Directive (EU) 2024/1760 of the European Parliament and of the Council of 13 June 2024 </w:t>
      </w:r>
      <w:r w:rsidR="009D045C">
        <w:t xml:space="preserve">(Corporate Sustainability </w:t>
      </w:r>
      <w:r w:rsidR="007C37E4">
        <w:t>Due Diligence Directive)</w:t>
      </w:r>
      <w:r w:rsidR="00DE095D">
        <w:t>.</w:t>
      </w:r>
    </w:p>
  </w:footnote>
  <w:footnote w:id="10">
    <w:p w14:paraId="50F1A8F4" w14:textId="77777777" w:rsidR="006838CC" w:rsidRPr="00FC33AA" w:rsidRDefault="006838CC" w:rsidP="00A72F9A">
      <w:pPr>
        <w:pStyle w:val="FootnoteText"/>
        <w:ind w:left="0" w:firstLine="0"/>
      </w:pPr>
      <w:r w:rsidRPr="00757AE9">
        <w:rPr>
          <w:rStyle w:val="FootnoteReference"/>
        </w:rPr>
        <w:footnoteRef/>
      </w:r>
      <w:r w:rsidR="00757AE9">
        <w:tab/>
      </w:r>
      <w:r w:rsidR="00484D79" w:rsidRPr="00003D21">
        <w:t>As well as public-interest entities that are parent undertakings of a large group with more than 500 employees, for consolidated sustainability reporting.</w:t>
      </w:r>
      <w:r>
        <w:t xml:space="preserve"> </w:t>
      </w:r>
      <w:r w:rsidR="00530363">
        <w:t>“</w:t>
      </w:r>
      <w:r w:rsidR="0012074F">
        <w:t>Public-Interest Entities</w:t>
      </w:r>
      <w:r w:rsidR="00530363">
        <w:t>”</w:t>
      </w:r>
      <w:r w:rsidR="0012074F">
        <w:t xml:space="preserve"> are defined </w:t>
      </w:r>
      <w:r w:rsidR="00083929">
        <w:t>by Article 2 point (1) of the Accounting Directive as undertakings that are: (a) governed by the law of a Member State and whose transferable securities are admitted to trading on a</w:t>
      </w:r>
      <w:r w:rsidR="00121B1C">
        <w:t>n EU</w:t>
      </w:r>
      <w:r w:rsidR="00083929">
        <w:t xml:space="preserve"> regulated market</w:t>
      </w:r>
      <w:r w:rsidR="00121B1C">
        <w:t xml:space="preserve">; </w:t>
      </w:r>
      <w:r w:rsidR="00083929">
        <w:t>(b) credit institutions</w:t>
      </w:r>
      <w:r w:rsidR="00121B1C">
        <w:t xml:space="preserve">; </w:t>
      </w:r>
      <w:r w:rsidR="00083929">
        <w:t>(c) insurance undertakings</w:t>
      </w:r>
      <w:r w:rsidR="00121B1C">
        <w:t>;</w:t>
      </w:r>
      <w:r w:rsidR="00083929">
        <w:t xml:space="preserve"> or</w:t>
      </w:r>
      <w:r w:rsidR="00121B1C">
        <w:t xml:space="preserve"> </w:t>
      </w:r>
      <w:r w:rsidR="00083929">
        <w:t>(d) designated by Member States as public-interest entities</w:t>
      </w:r>
      <w:r w:rsidR="00530363">
        <w:t xml:space="preserve">. “Large undertakings” are defined by Article 3(4) of the </w:t>
      </w:r>
      <w:r w:rsidR="00FB0EA3">
        <w:t>Accounting</w:t>
      </w:r>
      <w:r w:rsidR="00530363">
        <w:t xml:space="preserve"> Directive</w:t>
      </w:r>
      <w:r w:rsidR="0071142B">
        <w:t xml:space="preserve"> as undertakings which on their balance sheet dates exceed at least two of the three following criteria: (a) balance sheet total: EUR 25 000 000; (b) net turnover: EUR 50 000 000; (c) average number of employees during the </w:t>
      </w:r>
      <w:r w:rsidR="0071142B" w:rsidRPr="00FC33AA">
        <w:t>financial year: 250.</w:t>
      </w:r>
    </w:p>
  </w:footnote>
  <w:footnote w:id="11">
    <w:p w14:paraId="61EB7F5E" w14:textId="77777777" w:rsidR="00B63A9B" w:rsidRPr="00B63A9B" w:rsidRDefault="00B63A9B">
      <w:pPr>
        <w:pStyle w:val="FootnoteText"/>
      </w:pPr>
      <w:r w:rsidRPr="00757AE9">
        <w:rPr>
          <w:rStyle w:val="FootnoteReference"/>
        </w:rPr>
        <w:footnoteRef/>
      </w:r>
      <w:r w:rsidR="00757AE9">
        <w:tab/>
      </w:r>
      <w:r w:rsidR="00F60CA0" w:rsidRPr="00003D21">
        <w:t>As well as the other parent undertakings of large groups, for consolidated sustainability reporting.</w:t>
      </w:r>
    </w:p>
  </w:footnote>
  <w:footnote w:id="12">
    <w:p w14:paraId="2282141D" w14:textId="77777777" w:rsidR="00214A9E" w:rsidRPr="00214A9E" w:rsidRDefault="00214A9E" w:rsidP="00560017">
      <w:pPr>
        <w:pStyle w:val="FootnoteText"/>
        <w:ind w:left="0" w:firstLine="0"/>
      </w:pPr>
      <w:r w:rsidRPr="00757AE9">
        <w:rPr>
          <w:rStyle w:val="FootnoteReference"/>
        </w:rPr>
        <w:footnoteRef/>
      </w:r>
      <w:r w:rsidR="00757AE9">
        <w:tab/>
      </w:r>
      <w:r>
        <w:t>Small</w:t>
      </w:r>
      <w:r w:rsidR="00492605">
        <w:t xml:space="preserve"> and non-complex credit institutions, and captive </w:t>
      </w:r>
      <w:r w:rsidR="00E623C9">
        <w:t>insurance and reinsurance undertakings,</w:t>
      </w:r>
      <w:r w:rsidR="00601DD7">
        <w:t xml:space="preserve"> are also part of the </w:t>
      </w:r>
      <w:r w:rsidR="00051C43">
        <w:t xml:space="preserve">third wave, although they may only use the additional two-year opt-out </w:t>
      </w:r>
      <w:r w:rsidR="001F056D" w:rsidRPr="0089540E">
        <w:t>i</w:t>
      </w:r>
      <w:r w:rsidR="00051C43">
        <w:t xml:space="preserve">f they are </w:t>
      </w:r>
      <w:r w:rsidR="00560017">
        <w:t xml:space="preserve">listed SMEs. </w:t>
      </w:r>
    </w:p>
  </w:footnote>
  <w:footnote w:id="13">
    <w:p w14:paraId="734A63A4" w14:textId="77777777" w:rsidR="00A51A5E" w:rsidRPr="00A51A5E" w:rsidRDefault="00A51A5E" w:rsidP="00912E91">
      <w:pPr>
        <w:pStyle w:val="FootnoteText"/>
        <w:ind w:left="0" w:firstLine="0"/>
      </w:pPr>
      <w:r w:rsidRPr="00757AE9">
        <w:rPr>
          <w:rStyle w:val="FootnoteReference"/>
        </w:rPr>
        <w:footnoteRef/>
      </w:r>
      <w:r w:rsidR="00757AE9">
        <w:tab/>
      </w:r>
      <w:r w:rsidR="00912E91">
        <w:t xml:space="preserve">According to article 40a of the </w:t>
      </w:r>
      <w:r w:rsidR="00A24794">
        <w:t xml:space="preserve">Accounting Directive, as amended by the CSRD, </w:t>
      </w:r>
      <w:r w:rsidR="002E28DD">
        <w:t>a</w:t>
      </w:r>
      <w:r w:rsidR="001A6E01">
        <w:t>n undertaking</w:t>
      </w:r>
      <w:r w:rsidR="002E28DD">
        <w:t xml:space="preserve"> </w:t>
      </w:r>
      <w:r w:rsidR="00912E91">
        <w:t>not</w:t>
      </w:r>
      <w:r w:rsidR="002E28DD">
        <w:t xml:space="preserve"> </w:t>
      </w:r>
      <w:r w:rsidR="00912E91">
        <w:t>established</w:t>
      </w:r>
      <w:r w:rsidR="002E28DD">
        <w:t xml:space="preserve"> </w:t>
      </w:r>
      <w:r w:rsidR="00912E91">
        <w:t xml:space="preserve">in the EU </w:t>
      </w:r>
      <w:r w:rsidR="000C75C7">
        <w:t>m</w:t>
      </w:r>
      <w:r w:rsidR="00585028">
        <w:t xml:space="preserve">ust report sustainability information </w:t>
      </w:r>
      <w:r w:rsidR="002B4832">
        <w:t>at</w:t>
      </w:r>
      <w:r w:rsidR="00585028">
        <w:t xml:space="preserve"> </w:t>
      </w:r>
      <w:r w:rsidR="004F2AD9">
        <w:t>the group level</w:t>
      </w:r>
      <w:r w:rsidR="00585028">
        <w:t xml:space="preserve"> if it</w:t>
      </w:r>
      <w:r w:rsidR="00912E91">
        <w:t xml:space="preserve"> </w:t>
      </w:r>
      <w:r w:rsidR="00A043D5">
        <w:t xml:space="preserve">a) </w:t>
      </w:r>
      <w:r w:rsidR="00BC5824">
        <w:t>generates</w:t>
      </w:r>
      <w:r w:rsidR="002E28DD">
        <w:t xml:space="preserve"> over </w:t>
      </w:r>
      <w:r w:rsidR="00912E91">
        <w:t xml:space="preserve">EUR 150 million </w:t>
      </w:r>
      <w:r w:rsidR="00A043D5">
        <w:t xml:space="preserve">in the Union and b) has either a subsidiary in the EU that is subject to the </w:t>
      </w:r>
      <w:r w:rsidR="00585028">
        <w:t>sustainability</w:t>
      </w:r>
      <w:r w:rsidR="00A043D5">
        <w:t xml:space="preserve"> reporting </w:t>
      </w:r>
      <w:r w:rsidR="00831806">
        <w:t xml:space="preserve">requirements </w:t>
      </w:r>
      <w:r w:rsidR="00585028">
        <w:t>introduced by the CSRD or has an EU branch that generate</w:t>
      </w:r>
      <w:r w:rsidR="0084227A">
        <w:t>d</w:t>
      </w:r>
      <w:r w:rsidR="00585028">
        <w:t xml:space="preserve"> over EUR 40 million. </w:t>
      </w:r>
      <w:r w:rsidR="00B870BD">
        <w:t xml:space="preserve">In this case, the legal </w:t>
      </w:r>
      <w:r w:rsidR="005B535C">
        <w:t>obligation</w:t>
      </w:r>
      <w:r w:rsidR="00B870BD">
        <w:t xml:space="preserve"> to </w:t>
      </w:r>
      <w:r w:rsidR="005B535C">
        <w:t xml:space="preserve">publish the </w:t>
      </w:r>
      <w:r w:rsidR="005F6F2C">
        <w:t xml:space="preserve">report falls on </w:t>
      </w:r>
      <w:r w:rsidR="008C67E8">
        <w:t xml:space="preserve">the </w:t>
      </w:r>
      <w:r w:rsidR="005F6F2C">
        <w:t xml:space="preserve">EU subsidiary or branch. </w:t>
      </w:r>
      <w:r w:rsidR="00B870BD">
        <w:t xml:space="preserve"> </w:t>
      </w:r>
      <w:r w:rsidR="00585028">
        <w:t xml:space="preserve"> </w:t>
      </w:r>
    </w:p>
  </w:footnote>
  <w:footnote w:id="14">
    <w:p w14:paraId="07DD72E2" w14:textId="77777777" w:rsidR="005775E2" w:rsidRPr="005B5F6E" w:rsidRDefault="005775E2" w:rsidP="005775E2">
      <w:pPr>
        <w:pStyle w:val="FootnoteText"/>
        <w:ind w:left="0" w:firstLine="0"/>
        <w:rPr>
          <w:lang w:val="en-IE"/>
        </w:rPr>
      </w:pPr>
      <w:r w:rsidRPr="00757AE9">
        <w:rPr>
          <w:rStyle w:val="FootnoteReference"/>
        </w:rPr>
        <w:footnoteRef/>
      </w:r>
      <w:r w:rsidR="00757AE9">
        <w:tab/>
      </w:r>
      <w:r>
        <w:t>Commission Delegated Regulation (EU) 2023/2772 of 31 July 2023 supplementing Directive 2013/34/EU of the European Parliament and of the Council as regards sustainability reporting standards.</w:t>
      </w:r>
    </w:p>
  </w:footnote>
  <w:footnote w:id="15">
    <w:p w14:paraId="558CF595" w14:textId="77777777" w:rsidR="009524D3" w:rsidRPr="007A7D84" w:rsidRDefault="009524D3" w:rsidP="00F401B5">
      <w:pPr>
        <w:pStyle w:val="FootnoteText"/>
        <w:ind w:left="0" w:firstLine="0"/>
        <w:rPr>
          <w:lang w:val="en-IE"/>
        </w:rPr>
      </w:pPr>
      <w:r w:rsidRPr="00757AE9">
        <w:rPr>
          <w:rStyle w:val="FootnoteReference"/>
        </w:rPr>
        <w:footnoteRef/>
      </w:r>
      <w:r w:rsidR="00757AE9">
        <w:tab/>
      </w:r>
      <w:r w:rsidR="00F401B5" w:rsidRPr="00F401B5">
        <w:t>EFRAG was previously called the European Financial Reporting Advisory Group but its official name is now just EFRAG. It is an independent private multistakeholder body, majority funded by the EU.</w:t>
      </w:r>
    </w:p>
  </w:footnote>
  <w:footnote w:id="16">
    <w:p w14:paraId="1BB638C9" w14:textId="77777777" w:rsidR="008233EB" w:rsidRPr="008233EB" w:rsidRDefault="008233EB" w:rsidP="004C7577">
      <w:pPr>
        <w:pStyle w:val="FootnoteText"/>
        <w:ind w:left="0" w:firstLine="0"/>
        <w:rPr>
          <w:lang w:val="en-IE"/>
        </w:rPr>
      </w:pPr>
      <w:r w:rsidRPr="00757AE9">
        <w:rPr>
          <w:rStyle w:val="FootnoteReference"/>
        </w:rPr>
        <w:footnoteRef/>
      </w:r>
      <w:r w:rsidR="00757AE9">
        <w:tab/>
      </w:r>
      <w:r w:rsidR="00531FC2" w:rsidRPr="00531FC2">
        <w:rPr>
          <w:lang w:val="en-IE"/>
        </w:rPr>
        <w:t>The amount of work for a limited assurance engagement is significantly less than for a reasonable assurance engagement. The conclusion of a limited assurance engagement is usually provided in a negative form of expression by stating that no matter has been identified by the assurance provider to conclude that the subject matter is materially misstated. The conclusion of a reasonable assurance engagement is usually provided in a positive form of expression and results in providing an opinion on the measurement of the subject matter against previously defined criteria.</w:t>
      </w:r>
    </w:p>
  </w:footnote>
  <w:footnote w:id="17">
    <w:p w14:paraId="38AD40D3" w14:textId="77777777" w:rsidR="001E198A" w:rsidRPr="001E198A" w:rsidRDefault="001E198A" w:rsidP="006E7CBE">
      <w:pPr>
        <w:pStyle w:val="FootnoteText"/>
        <w:ind w:left="0" w:firstLine="0"/>
      </w:pPr>
      <w:r w:rsidRPr="00757AE9">
        <w:rPr>
          <w:rStyle w:val="FootnoteReference"/>
        </w:rPr>
        <w:footnoteRef/>
      </w:r>
      <w:r w:rsidR="00757AE9">
        <w:tab/>
      </w:r>
      <w:r>
        <w:t>In addition and for reasons of consistency</w:t>
      </w:r>
      <w:r w:rsidR="00D101C0">
        <w:t xml:space="preserve">, </w:t>
      </w:r>
      <w:r w:rsidR="00B13796">
        <w:t xml:space="preserve">in </w:t>
      </w:r>
      <w:r w:rsidR="00D61029">
        <w:t>A</w:t>
      </w:r>
      <w:r w:rsidR="00B13796">
        <w:t>rticle 40a of the Accounting Directive</w:t>
      </w:r>
      <w:r w:rsidR="005201E3">
        <w:t>, the</w:t>
      </w:r>
      <w:r w:rsidR="00B13796">
        <w:t xml:space="preserve"> </w:t>
      </w:r>
      <w:r w:rsidR="00D61029">
        <w:t xml:space="preserve">net turnover </w:t>
      </w:r>
      <w:r w:rsidR="005201E3">
        <w:t>threshold</w:t>
      </w:r>
      <w:r w:rsidR="001A6E01">
        <w:t xml:space="preserve"> for an undertaking </w:t>
      </w:r>
      <w:r w:rsidR="001A6E01" w:rsidRPr="001A6E01">
        <w:t xml:space="preserve">not established in the EU </w:t>
      </w:r>
      <w:r w:rsidR="000F58D6">
        <w:t>to be subject to the reporting requirements a</w:t>
      </w:r>
      <w:r w:rsidR="001A6E01" w:rsidRPr="001A6E01">
        <w:t xml:space="preserve">t the group level </w:t>
      </w:r>
      <w:r w:rsidR="000F58D6">
        <w:t xml:space="preserve">would be raised from </w:t>
      </w:r>
      <w:r w:rsidRPr="001E198A">
        <w:t xml:space="preserve">EUR 150 million </w:t>
      </w:r>
      <w:r w:rsidR="00024FBB">
        <w:t xml:space="preserve">generated </w:t>
      </w:r>
      <w:r w:rsidRPr="001E198A">
        <w:t xml:space="preserve">in the Union </w:t>
      </w:r>
      <w:r w:rsidR="00024FBB">
        <w:t xml:space="preserve">to EUR 450 million. </w:t>
      </w:r>
      <w:r w:rsidR="00E145B7" w:rsidRPr="00E145B7">
        <w:t>Furthermore</w:t>
      </w:r>
      <w:r w:rsidR="00F71340">
        <w:t>,</w:t>
      </w:r>
      <w:r w:rsidR="00E145B7" w:rsidRPr="00E145B7">
        <w:t xml:space="preserve"> for reasons of consistency, the threshold for the EU </w:t>
      </w:r>
      <w:r w:rsidR="00752D57">
        <w:t xml:space="preserve">branch </w:t>
      </w:r>
      <w:r w:rsidR="00E145B7" w:rsidRPr="00E145B7">
        <w:t xml:space="preserve">under article 40a is raised from EUR 40 million to EUR 50 million and the threshold for the </w:t>
      </w:r>
      <w:r w:rsidR="00752D57">
        <w:t xml:space="preserve">EU </w:t>
      </w:r>
      <w:r w:rsidR="00E145B7" w:rsidRPr="00E145B7">
        <w:t>subsidiary is limited to large undertakings as define</w:t>
      </w:r>
      <w:r w:rsidR="00E145B7">
        <w:t xml:space="preserve">d </w:t>
      </w:r>
      <w:r w:rsidR="00E145B7" w:rsidRPr="00E145B7">
        <w:t>in the Accounting Directive</w:t>
      </w:r>
      <w:r w:rsidR="00752D57">
        <w:t xml:space="preserve">. </w:t>
      </w:r>
      <w:r w:rsidR="00355037">
        <w:t xml:space="preserve">The </w:t>
      </w:r>
      <w:r w:rsidR="008C5184">
        <w:t xml:space="preserve">key </w:t>
      </w:r>
      <w:r w:rsidR="0014319F">
        <w:t>thresholds</w:t>
      </w:r>
      <w:r w:rsidR="00725175">
        <w:t xml:space="preserve"> of the CSDDD are 1000 employee</w:t>
      </w:r>
      <w:r w:rsidR="00C10402">
        <w:t>s</w:t>
      </w:r>
      <w:r w:rsidR="00725175">
        <w:t xml:space="preserve"> and </w:t>
      </w:r>
      <w:r w:rsidR="0014319F">
        <w:t xml:space="preserve">EUR 450 million turnover. </w:t>
      </w:r>
    </w:p>
  </w:footnote>
  <w:footnote w:id="18">
    <w:p w14:paraId="699CB544" w14:textId="77777777" w:rsidR="00EF5439" w:rsidRPr="00A9524C" w:rsidRDefault="00EF5439" w:rsidP="00A9524C">
      <w:pPr>
        <w:pStyle w:val="FootnoteText"/>
        <w:tabs>
          <w:tab w:val="left" w:pos="142"/>
        </w:tabs>
        <w:ind w:left="0" w:firstLine="0"/>
      </w:pPr>
      <w:r w:rsidRPr="00757AE9">
        <w:rPr>
          <w:rStyle w:val="FootnoteReference"/>
        </w:rPr>
        <w:footnoteRef/>
      </w:r>
      <w:r w:rsidR="00757AE9">
        <w:tab/>
      </w:r>
      <w:r w:rsidRPr="00B12BB6">
        <w:t xml:space="preserve">As well as undertakings that are not public-interest entities and that are parent of large groups with more than 500 employees, and undertakings that are parents of large groups </w:t>
      </w:r>
      <w:r w:rsidR="00ED6DC9" w:rsidRPr="00B12BB6">
        <w:t>up to</w:t>
      </w:r>
      <w:r w:rsidRPr="00B12BB6">
        <w:t xml:space="preserve"> 500 employees.</w:t>
      </w:r>
    </w:p>
  </w:footnote>
  <w:footnote w:id="19">
    <w:p w14:paraId="3BE2F102" w14:textId="77777777" w:rsidR="00F04D64" w:rsidRPr="00F04D64" w:rsidRDefault="00F04D64" w:rsidP="00DE466D">
      <w:pPr>
        <w:pStyle w:val="FootnoteText"/>
        <w:ind w:left="0" w:firstLine="0"/>
      </w:pPr>
      <w:r w:rsidRPr="00757AE9">
        <w:rPr>
          <w:rStyle w:val="FootnoteReference"/>
        </w:rPr>
        <w:footnoteRef/>
      </w:r>
      <w:r w:rsidR="00757AE9">
        <w:tab/>
      </w:r>
      <w:r w:rsidRPr="00D33BF1">
        <w:t xml:space="preserve">As well as parent undertakings of groups </w:t>
      </w:r>
      <w:r w:rsidR="005B3036" w:rsidRPr="00D33BF1">
        <w:t xml:space="preserve">with more than 1000 employees </w:t>
      </w:r>
      <w:r w:rsidR="005E01C2">
        <w:t xml:space="preserve">on average </w:t>
      </w:r>
      <w:r w:rsidR="005B3036" w:rsidRPr="00D33BF1">
        <w:t>on a consolidated basis, for consolidated sustainability reporting.</w:t>
      </w:r>
      <w:r w:rsidR="005B3036">
        <w:t xml:space="preserve"> </w:t>
      </w:r>
    </w:p>
  </w:footnote>
  <w:footnote w:id="20">
    <w:p w14:paraId="0C44A482" w14:textId="77777777" w:rsidR="007927A9" w:rsidRPr="007927A9" w:rsidRDefault="007927A9" w:rsidP="009942CF">
      <w:pPr>
        <w:pStyle w:val="FootnoteText"/>
        <w:ind w:left="0" w:firstLine="0"/>
      </w:pPr>
      <w:r w:rsidRPr="00757AE9">
        <w:rPr>
          <w:rStyle w:val="FootnoteReference"/>
        </w:rPr>
        <w:footnoteRef/>
      </w:r>
      <w:r w:rsidR="00757AE9">
        <w:tab/>
      </w:r>
      <w:r>
        <w:rPr>
          <w:rStyle w:val="normaltextrun"/>
          <w:color w:val="000000"/>
          <w:shd w:val="clear" w:color="auto" w:fill="FFFFFF"/>
          <w:lang w:val="en-US"/>
        </w:rPr>
        <w:t>From 17 October to 1 December 2023, the Commission gathered feedback from 193 stakeholders on possible rationalization measures for reporting requirements</w:t>
      </w:r>
      <w:r w:rsidR="00A11240">
        <w:rPr>
          <w:rStyle w:val="normaltextrun"/>
          <w:color w:val="000000"/>
          <w:shd w:val="clear" w:color="auto" w:fill="FFFFFF"/>
          <w:lang w:val="en-US"/>
        </w:rPr>
        <w:t>:</w:t>
      </w:r>
      <w:r>
        <w:rPr>
          <w:rStyle w:val="normaltextrun"/>
          <w:rFonts w:ascii="Aptos" w:hAnsi="Aptos"/>
          <w:color w:val="000000"/>
          <w:shd w:val="clear" w:color="auto" w:fill="FFFFFF"/>
          <w:lang w:val="en-US"/>
        </w:rPr>
        <w:t> </w:t>
      </w:r>
      <w:hyperlink r:id="rId1" w:tgtFrame="_blank" w:history="1">
        <w:r>
          <w:rPr>
            <w:rStyle w:val="normaltextrun"/>
            <w:color w:val="467886"/>
            <w:u w:val="single"/>
            <w:shd w:val="clear" w:color="auto" w:fill="FFFFFF"/>
            <w:lang w:val="en-US"/>
          </w:rPr>
          <w:t>https://ec.europa.eu/info/law/better-regulation/have-your-say/initiatives/13990-Administrative-burden-rationalisation-of-reporting-requirements_en</w:t>
        </w:r>
      </w:hyperlink>
      <w:r w:rsidR="00A11240">
        <w:rPr>
          <w:rStyle w:val="normaltextrun"/>
          <w:color w:val="467886"/>
          <w:u w:val="single"/>
          <w:shd w:val="clear" w:color="auto" w:fill="FFFFFF"/>
          <w:lang w:val="en-US"/>
        </w:rPr>
        <w:t>.</w:t>
      </w:r>
    </w:p>
  </w:footnote>
  <w:footnote w:id="21">
    <w:p w14:paraId="4067CD58" w14:textId="77777777" w:rsidR="009D1FEE" w:rsidRPr="00995E80" w:rsidRDefault="009D1FEE">
      <w:pPr>
        <w:pStyle w:val="FootnoteText"/>
        <w:rPr>
          <w:lang w:val="pl-PL"/>
        </w:rPr>
      </w:pPr>
      <w:r>
        <w:rPr>
          <w:rStyle w:val="FootnoteReference"/>
        </w:rPr>
        <w:footnoteRef/>
      </w:r>
      <w:r w:rsidRPr="00CA5179">
        <w:rPr>
          <w:lang w:val="pl-PL"/>
        </w:rPr>
        <w:tab/>
      </w:r>
      <w:r w:rsidRPr="00995E80">
        <w:rPr>
          <w:lang w:val="pl-PL"/>
        </w:rPr>
        <w:t xml:space="preserve">OJ C </w:t>
      </w:r>
      <w:r w:rsidRPr="00757AE9">
        <w:t>[…]</w:t>
      </w:r>
      <w:r w:rsidRPr="00995E80">
        <w:rPr>
          <w:lang w:val="pl-PL"/>
        </w:rPr>
        <w:t xml:space="preserve">, </w:t>
      </w:r>
      <w:r w:rsidRPr="00757AE9">
        <w:t>[…]</w:t>
      </w:r>
      <w:r w:rsidRPr="00995E80">
        <w:rPr>
          <w:lang w:val="pl-PL"/>
        </w:rPr>
        <w:t xml:space="preserve">, p. </w:t>
      </w:r>
      <w:r w:rsidRPr="00757AE9">
        <w:t>[…]</w:t>
      </w:r>
      <w:r w:rsidRPr="00995E80">
        <w:rPr>
          <w:lang w:val="pl-PL"/>
        </w:rPr>
        <w:t>.</w:t>
      </w:r>
    </w:p>
  </w:footnote>
  <w:footnote w:id="22">
    <w:p w14:paraId="693D72B2" w14:textId="77777777" w:rsidR="00595E79" w:rsidRPr="00726CF6" w:rsidRDefault="00595E79">
      <w:pPr>
        <w:pStyle w:val="FootnoteText"/>
        <w:rPr>
          <w:lang w:val="en-US"/>
        </w:rPr>
      </w:pPr>
      <w:r>
        <w:rPr>
          <w:rStyle w:val="FootnoteReference"/>
        </w:rPr>
        <w:footnoteRef/>
      </w:r>
      <w:r>
        <w:rPr>
          <w:lang w:val="en-US"/>
        </w:rPr>
        <w:tab/>
      </w:r>
      <w:r w:rsidR="009A2D80" w:rsidRPr="009A2D80">
        <w:rPr>
          <w:sz w:val="18"/>
          <w:szCs w:val="18"/>
        </w:rPr>
        <w:t>Communication from the Commission to the European Parliament, the Council, the European Economic and Social Committee and the Committee of the Regions of 11 February 2025, ‘A simpler and faster Europe: Communication on implementation and simplification’, COM/2025/47 final.</w:t>
      </w:r>
    </w:p>
  </w:footnote>
  <w:footnote w:id="23">
    <w:p w14:paraId="75660CAC" w14:textId="77777777" w:rsidR="00E02079" w:rsidRPr="00DE466D" w:rsidRDefault="00E02079">
      <w:pPr>
        <w:pStyle w:val="FootnoteText"/>
        <w:rPr>
          <w:lang w:val="en-US"/>
        </w:rPr>
      </w:pPr>
      <w:r>
        <w:rPr>
          <w:rStyle w:val="FootnoteReference"/>
        </w:rPr>
        <w:footnoteRef/>
      </w:r>
      <w:r>
        <w:rPr>
          <w:lang w:val="en-US"/>
        </w:rPr>
        <w:tab/>
      </w:r>
      <w:r w:rsidRPr="00E02079">
        <w:t>Directive 2006/43/EC of the European Parliament and of the Council of 17 May 2006 on statutory audits of annual accounts and consolidated accounts, amending Council Directives 78/660/EEC and 83/349/EEC and repealing Council Directive 84/253/EEC (OJ L 157, 9.6.2006, p. 87, ELI: </w:t>
      </w:r>
      <w:hyperlink r:id="rId2" w:tooltip="Gives access to this document through its ELI URI." w:history="1">
        <w:r w:rsidRPr="00E02079">
          <w:rPr>
            <w:rStyle w:val="Hyperlink"/>
          </w:rPr>
          <w:t>http://data.europa.eu/eli/dir/2006/43/oj</w:t>
        </w:r>
      </w:hyperlink>
      <w:r w:rsidRPr="00E02079">
        <w:t>).</w:t>
      </w:r>
    </w:p>
  </w:footnote>
  <w:footnote w:id="24">
    <w:p w14:paraId="670125E8" w14:textId="77777777" w:rsidR="002E0260" w:rsidRPr="00DE466D" w:rsidRDefault="002E0260">
      <w:pPr>
        <w:pStyle w:val="FootnoteText"/>
        <w:rPr>
          <w:lang w:val="en-US"/>
        </w:rPr>
      </w:pPr>
      <w:r>
        <w:rPr>
          <w:rStyle w:val="FootnoteReference"/>
        </w:rPr>
        <w:footnoteRef/>
      </w:r>
      <w:r>
        <w:rPr>
          <w:lang w:val="en-US"/>
        </w:rPr>
        <w:tab/>
      </w:r>
      <w:r w:rsidRPr="002E0260">
        <w:rPr>
          <w:lang w:val="en-US"/>
        </w:rPr>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 ELI: http://data.europa.eu/eli/dir/2013/34/oj).</w:t>
      </w:r>
    </w:p>
  </w:footnote>
  <w:footnote w:id="25">
    <w:p w14:paraId="32182633" w14:textId="77777777" w:rsidR="00444739" w:rsidRPr="00DE466D" w:rsidRDefault="00444739">
      <w:pPr>
        <w:pStyle w:val="FootnoteText"/>
        <w:rPr>
          <w:lang w:val="en-US"/>
        </w:rPr>
      </w:pPr>
      <w:r>
        <w:rPr>
          <w:rStyle w:val="FootnoteReference"/>
        </w:rPr>
        <w:footnoteRef/>
      </w:r>
      <w:r>
        <w:rPr>
          <w:lang w:val="en-US"/>
        </w:rPr>
        <w:tab/>
      </w:r>
      <w:r w:rsidRPr="00444739">
        <w:rPr>
          <w:lang w:val="en-US"/>
        </w:rPr>
        <w:t>Directive (EU) 2022/2464 of the European Parliament and of the Council of 14 December 2022 amending Regulation (EU) No 537/2014, Directive 2004/109/EC, Directive 2006/43/EC and Directive 2013/34/EU, as regards corporate sustainability reporting (OJ L 322, 16.12.2022, p. 15, ELI: http://data.europa.eu/eli/dir/2022/2464/oj).</w:t>
      </w:r>
    </w:p>
  </w:footnote>
  <w:footnote w:id="26">
    <w:p w14:paraId="637E4219" w14:textId="77777777" w:rsidR="002618F4" w:rsidRPr="00DE466D" w:rsidRDefault="002618F4">
      <w:pPr>
        <w:pStyle w:val="FootnoteText"/>
        <w:rPr>
          <w:lang w:val="en-US"/>
        </w:rPr>
      </w:pPr>
      <w:r>
        <w:rPr>
          <w:rStyle w:val="FootnoteReference"/>
        </w:rPr>
        <w:footnoteRef/>
      </w:r>
      <w:r>
        <w:rPr>
          <w:lang w:val="en-US"/>
        </w:rPr>
        <w:tab/>
      </w:r>
      <w:r w:rsidRPr="002618F4">
        <w:rPr>
          <w:lang w:val="en-US"/>
        </w:rPr>
        <w:t>Directive (EU) 2024/1760 of the European Parliament and of the Council of 13 June 2024 on corporate sustainability due diligence and amending Directive (EU) 2019/1937 and Regulation (EU) 2023/2859 (OJ L, 2024/1760, 5.7.2024, ELI: http://data.europa.eu/eli/dir/2024/1760/oj).</w:t>
      </w:r>
    </w:p>
  </w:footnote>
  <w:footnote w:id="27">
    <w:p w14:paraId="7DBAB589" w14:textId="77777777" w:rsidR="00BF50CF" w:rsidRPr="00726CF6" w:rsidRDefault="00BF50CF">
      <w:pPr>
        <w:pStyle w:val="FootnoteText"/>
        <w:rPr>
          <w:lang w:val="en-US"/>
        </w:rPr>
      </w:pPr>
      <w:r>
        <w:rPr>
          <w:rStyle w:val="FootnoteReference"/>
        </w:rPr>
        <w:footnoteRef/>
      </w:r>
      <w:r>
        <w:rPr>
          <w:lang w:val="en-US"/>
        </w:rPr>
        <w:tab/>
      </w:r>
      <w:r w:rsidR="00B01767" w:rsidRPr="008A12D0">
        <w:t>Communication from the Commission to the European Parliament, the European Council, the Council, the European Economic and Social Committee and the Committee of the Regions of 11 December 2019, ‘</w:t>
      </w:r>
      <w:r w:rsidR="00B01767" w:rsidRPr="008A12D0">
        <w:rPr>
          <w:i/>
          <w:iCs/>
        </w:rPr>
        <w:t>The European Green Deal</w:t>
      </w:r>
      <w:r w:rsidR="00B01767" w:rsidRPr="008A12D0">
        <w:t>’, COM/2019/640 final.</w:t>
      </w:r>
    </w:p>
  </w:footnote>
  <w:footnote w:id="28">
    <w:p w14:paraId="7ED33DA7" w14:textId="77777777" w:rsidR="00BF50CF" w:rsidRPr="00726CF6" w:rsidRDefault="00BF50CF">
      <w:pPr>
        <w:pStyle w:val="FootnoteText"/>
        <w:rPr>
          <w:lang w:val="en-US"/>
        </w:rPr>
      </w:pPr>
      <w:r>
        <w:rPr>
          <w:rStyle w:val="FootnoteReference"/>
        </w:rPr>
        <w:footnoteRef/>
      </w:r>
      <w:r>
        <w:rPr>
          <w:lang w:val="en-US"/>
        </w:rPr>
        <w:tab/>
      </w:r>
      <w:r w:rsidR="0042093D" w:rsidRPr="0042093D">
        <w:t>Communication from the Commission to the European Parliament, the European Council, the Council, the European Central Bank, the European Economic and Social Committee and the Committee of the Regions</w:t>
      </w:r>
      <w:r w:rsidR="00BA6997">
        <w:t xml:space="preserve"> of 8 March 2018</w:t>
      </w:r>
      <w:r w:rsidR="0042093D" w:rsidRPr="0042093D">
        <w:t>, ‘</w:t>
      </w:r>
      <w:r w:rsidR="0042093D" w:rsidRPr="0042093D">
        <w:rPr>
          <w:i/>
          <w:iCs/>
        </w:rPr>
        <w:t>Action Plan: Financing Sustainable Growth</w:t>
      </w:r>
      <w:r w:rsidR="0042093D" w:rsidRPr="0042093D">
        <w:t>’, COM/2018/097 final.</w:t>
      </w:r>
    </w:p>
  </w:footnote>
  <w:footnote w:id="29">
    <w:p w14:paraId="08F13DA9" w14:textId="77777777" w:rsidR="00A93661" w:rsidRPr="008A12D0" w:rsidRDefault="00A93661" w:rsidP="00A93661">
      <w:pPr>
        <w:pStyle w:val="FootnoteText"/>
      </w:pPr>
      <w:r w:rsidRPr="00757AE9">
        <w:rPr>
          <w:rStyle w:val="FootnoteReference"/>
        </w:rPr>
        <w:footnoteRef/>
      </w:r>
      <w:r w:rsidR="00757AE9">
        <w:tab/>
      </w:r>
      <w:r>
        <w:t>Regulation (EU) 2020/852</w:t>
      </w:r>
      <w:r w:rsidRPr="005862DA">
        <w:t xml:space="preserve"> of the European Parliament and of the Council of </w:t>
      </w:r>
      <w:r>
        <w:t xml:space="preserve">18 June 2020 on the establishment of a framework to facilitate sustainable investment, and amending Regulation (EU) 2019/2088 </w:t>
      </w:r>
      <w:r w:rsidRPr="005862DA">
        <w:t>(OJ L 1</w:t>
      </w:r>
      <w:r>
        <w:t>98</w:t>
      </w:r>
      <w:r w:rsidRPr="005862DA">
        <w:t xml:space="preserve">, </w:t>
      </w:r>
      <w:r>
        <w:t>22.6.2020</w:t>
      </w:r>
      <w:r w:rsidRPr="005862DA">
        <w:t xml:space="preserve">, p. </w:t>
      </w:r>
      <w:r>
        <w:t>13</w:t>
      </w:r>
      <w:r w:rsidRPr="005862DA">
        <w:t xml:space="preserve">, </w:t>
      </w:r>
      <w:r w:rsidR="001D5350" w:rsidRPr="001D5350">
        <w:t>ELI: http://data.europa.eu/eli/reg/2020/852/oj</w:t>
      </w:r>
      <w:r w:rsidRPr="008A12D0">
        <w:t>).</w:t>
      </w:r>
    </w:p>
  </w:footnote>
  <w:footnote w:id="30">
    <w:p w14:paraId="29D737F7" w14:textId="77777777" w:rsidR="003654D7" w:rsidRPr="00DE466D" w:rsidRDefault="003654D7">
      <w:pPr>
        <w:pStyle w:val="FootnoteText"/>
        <w:rPr>
          <w:lang w:val="en-US"/>
        </w:rPr>
      </w:pPr>
      <w:r>
        <w:rPr>
          <w:rStyle w:val="FootnoteReference"/>
        </w:rPr>
        <w:footnoteRef/>
      </w:r>
      <w:r>
        <w:rPr>
          <w:lang w:val="en-US"/>
        </w:rPr>
        <w:tab/>
      </w:r>
      <w:r w:rsidRPr="003654D7">
        <w:rPr>
          <w:lang w:val="en-US"/>
        </w:rPr>
        <w:t>Directive 2004/109/EC of the European Parliament and of the Council of 15 December 2004 on the harmonization of transparency requirements in relation to information about issuers whose securities are admitted to trading on a regulated market and amending Directive 2001/34/EC (OJ L 39, 31.12.2004, p. 38, ELI: http://data.europa.eu/eli/dir/2004/109/oj).</w:t>
      </w:r>
    </w:p>
  </w:footnote>
  <w:footnote w:id="31">
    <w:p w14:paraId="408AC1B7" w14:textId="77777777" w:rsidR="00763167" w:rsidRPr="00DE466D" w:rsidRDefault="00763167" w:rsidP="00324790">
      <w:pPr>
        <w:pStyle w:val="FootnoteText"/>
        <w:rPr>
          <w:lang w:val="en-US"/>
        </w:rPr>
      </w:pPr>
      <w:r>
        <w:rPr>
          <w:rStyle w:val="FootnoteReference"/>
        </w:rPr>
        <w:footnoteRef/>
      </w:r>
      <w:r>
        <w:rPr>
          <w:lang w:val="en-US"/>
        </w:rPr>
        <w:tab/>
      </w:r>
      <w:r w:rsidR="00A93D2D" w:rsidRPr="00A93D2D">
        <w:rPr>
          <w:lang w:val="en-US"/>
        </w:rPr>
        <w:t>Commission Delegated Regulation (EU) 2018/815 of 17 December 2018 supplementing Directive 2004/109/EC of the European Parliament and of the Council with regard to regulatory technical standards on the specification of a single electronic reporting format</w:t>
      </w:r>
      <w:r w:rsidR="00A93D2D">
        <w:rPr>
          <w:lang w:val="en-US"/>
        </w:rPr>
        <w:t xml:space="preserve"> (</w:t>
      </w:r>
      <w:r w:rsidR="00A93D2D" w:rsidRPr="00A93D2D">
        <w:rPr>
          <w:lang w:val="en-US"/>
        </w:rPr>
        <w:t>OJ L 143, 29.5.2019, p. 1</w:t>
      </w:r>
      <w:r w:rsidR="00A93D2D">
        <w:rPr>
          <w:lang w:val="en-US"/>
        </w:rPr>
        <w:t xml:space="preserve">, </w:t>
      </w:r>
      <w:r w:rsidR="00A93D2D" w:rsidRPr="00A93D2D">
        <w:rPr>
          <w:lang w:val="en-US"/>
        </w:rPr>
        <w:t>ELI: http://data.europa.eu/eli/reg_del/2019/815/oj</w:t>
      </w:r>
      <w:r w:rsidR="00A93D2D">
        <w:rPr>
          <w:lang w:val="en-US"/>
        </w:rPr>
        <w:t>)</w:t>
      </w:r>
      <w:r w:rsidR="00324790">
        <w:rPr>
          <w:lang w:val="en-US"/>
        </w:rPr>
        <w:t>.</w:t>
      </w:r>
    </w:p>
  </w:footnote>
  <w:footnote w:id="32">
    <w:p w14:paraId="26367228" w14:textId="77777777" w:rsidR="00324790" w:rsidRPr="00DE466D" w:rsidRDefault="00324790" w:rsidP="00077757">
      <w:pPr>
        <w:pStyle w:val="FootnoteText"/>
        <w:rPr>
          <w:lang w:val="en-IE"/>
        </w:rPr>
      </w:pPr>
      <w:r>
        <w:rPr>
          <w:rStyle w:val="FootnoteReference"/>
        </w:rPr>
        <w:footnoteRef/>
      </w:r>
      <w:r>
        <w:rPr>
          <w:lang w:val="en-US"/>
        </w:rPr>
        <w:tab/>
      </w:r>
      <w:r w:rsidR="00077757" w:rsidRPr="00077757">
        <w:rPr>
          <w:lang w:val="en-US"/>
        </w:rPr>
        <w:t>Regulation (EU) 2020/852 of the European Parliament and of the Council of 18 June 2020 on the establishment of a framework to facilitate sustainable investment, and amending Regulation (EU) 2019/2088</w:t>
      </w:r>
      <w:r w:rsidR="00077757">
        <w:rPr>
          <w:lang w:val="en-US"/>
        </w:rPr>
        <w:t xml:space="preserve"> (</w:t>
      </w:r>
      <w:r w:rsidR="00077757" w:rsidRPr="00077757">
        <w:rPr>
          <w:lang w:val="en-US"/>
        </w:rPr>
        <w:t>OJ L 198, 22.6.2020, p. 13</w:t>
      </w:r>
      <w:r w:rsidR="0081057E">
        <w:rPr>
          <w:lang w:val="en-US"/>
        </w:rPr>
        <w:t xml:space="preserve">, </w:t>
      </w:r>
      <w:r w:rsidR="00077757" w:rsidRPr="00DE466D">
        <w:rPr>
          <w:lang w:val="en-IE"/>
        </w:rPr>
        <w:t xml:space="preserve">ELI: </w:t>
      </w:r>
      <w:hyperlink r:id="rId3" w:history="1">
        <w:r w:rsidR="0081057E" w:rsidRPr="00DE466D">
          <w:rPr>
            <w:rStyle w:val="Hyperlink"/>
            <w:lang w:val="en-IE"/>
          </w:rPr>
          <w:t>http://data.europa.eu/eli/reg/2020/852/oj</w:t>
        </w:r>
      </w:hyperlink>
      <w:r w:rsidR="0081057E">
        <w:rPr>
          <w:lang w:val="en-IE"/>
        </w:rPr>
        <w:t xml:space="preserve">). </w:t>
      </w:r>
    </w:p>
  </w:footnote>
  <w:footnote w:id="33">
    <w:p w14:paraId="11C638DC" w14:textId="77777777" w:rsidR="00996943" w:rsidRDefault="00996943" w:rsidP="00996943">
      <w:pPr>
        <w:pStyle w:val="FootnoteText"/>
      </w:pPr>
      <w:r w:rsidRPr="00757AE9">
        <w:rPr>
          <w:rStyle w:val="FootnoteReference"/>
        </w:rPr>
        <w:footnoteRef/>
      </w:r>
      <w:r w:rsidR="00757AE9">
        <w:tab/>
      </w:r>
      <w:r>
        <w:rPr>
          <w:lang w:val="en-US"/>
        </w:rPr>
        <w:t>Directive (EU) 2025/XX of ……….</w:t>
      </w:r>
    </w:p>
  </w:footnote>
  <w:footnote w:id="34">
    <w:p w14:paraId="7C7FF89B" w14:textId="77777777" w:rsidR="009D1FEE" w:rsidRDefault="009D1FEE">
      <w:pPr>
        <w:pStyle w:val="FootnoteText"/>
      </w:pPr>
      <w:r w:rsidRPr="00760368">
        <w:rPr>
          <w:rStyle w:val="FootnoteReference"/>
        </w:rPr>
        <w:footnoteRef/>
      </w:r>
      <w:r>
        <w:tab/>
        <w:t>As referred to in Article 58(2), point (a) or (b) of the Financial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C4F7" w14:textId="77777777" w:rsidR="00D6173F" w:rsidRPr="00D6173F" w:rsidRDefault="00D6173F" w:rsidP="00D6173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DCAC" w14:textId="77777777" w:rsidR="00A60881" w:rsidRDefault="00A6088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4209" w14:textId="77777777" w:rsidR="009D1FEE" w:rsidRPr="00C37C35" w:rsidRDefault="009D1FEE" w:rsidP="00B75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69C0" w14:textId="77777777" w:rsidR="00D6173F" w:rsidRPr="00D6173F" w:rsidRDefault="00D6173F" w:rsidP="00D61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09E8" w14:textId="77777777" w:rsidR="00D6173F" w:rsidRPr="00D6173F" w:rsidRDefault="00D6173F" w:rsidP="00D617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B28EB" w14:textId="77777777" w:rsidR="001D7717" w:rsidRDefault="001D77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F6F5" w14:textId="77777777" w:rsidR="00644680" w:rsidRDefault="006446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987" w14:textId="77777777" w:rsidR="00A60881" w:rsidRDefault="00A608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F7C4" w14:textId="77777777" w:rsidR="00A60881" w:rsidRDefault="00A608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B1B2" w14:textId="77777777" w:rsidR="00A60881" w:rsidRDefault="00A608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D4C8" w14:textId="77777777" w:rsidR="00A60881" w:rsidRDefault="00A60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3356B954"/>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3A33A61"/>
    <w:multiLevelType w:val="hybridMultilevel"/>
    <w:tmpl w:val="681EE3CC"/>
    <w:lvl w:ilvl="0" w:tplc="C95C8986">
      <w:start w:val="1"/>
      <w:numFmt w:val="decimal"/>
      <w:pStyle w:val="NormalPara"/>
      <w:lvlText w:val="%1."/>
      <w:lvlJc w:val="left"/>
      <w:pPr>
        <w:ind w:left="720" w:hanging="720"/>
      </w:pPr>
      <w:rPr>
        <w:rFonts w:hint="default"/>
        <w:b w:val="0"/>
        <w:color w:val="595959" w:themeColor="text1" w:themeTint="A6"/>
        <w:vertAlign w:val="baseline"/>
        <w:lang w:val="en-G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591401468">
    <w:abstractNumId w:val="0"/>
  </w:num>
  <w:num w:numId="2" w16cid:durableId="1525636558">
    <w:abstractNumId w:val="20"/>
  </w:num>
  <w:num w:numId="3" w16cid:durableId="719669486">
    <w:abstractNumId w:val="8"/>
  </w:num>
  <w:num w:numId="4" w16cid:durableId="1788547964">
    <w:abstractNumId w:val="17"/>
  </w:num>
  <w:num w:numId="5" w16cid:durableId="667053552">
    <w:abstractNumId w:val="16"/>
  </w:num>
  <w:num w:numId="6" w16cid:durableId="1632008470">
    <w:abstractNumId w:val="28"/>
  </w:num>
  <w:num w:numId="7" w16cid:durableId="469250507">
    <w:abstractNumId w:val="24"/>
  </w:num>
  <w:num w:numId="8" w16cid:durableId="428239973">
    <w:abstractNumId w:val="29"/>
  </w:num>
  <w:num w:numId="9" w16cid:durableId="1232157170">
    <w:abstractNumId w:val="30"/>
  </w:num>
  <w:num w:numId="10" w16cid:durableId="2004308667">
    <w:abstractNumId w:val="1"/>
  </w:num>
  <w:num w:numId="11" w16cid:durableId="1953591815">
    <w:abstractNumId w:val="10"/>
  </w:num>
  <w:num w:numId="12" w16cid:durableId="1081219775">
    <w:abstractNumId w:val="2"/>
  </w:num>
  <w:num w:numId="13" w16cid:durableId="716317055">
    <w:abstractNumId w:val="11"/>
  </w:num>
  <w:num w:numId="14" w16cid:durableId="901906901">
    <w:abstractNumId w:val="9"/>
  </w:num>
  <w:num w:numId="15" w16cid:durableId="1219901640">
    <w:abstractNumId w:val="18"/>
  </w:num>
  <w:num w:numId="16" w16cid:durableId="359861386">
    <w:abstractNumId w:val="7"/>
  </w:num>
  <w:num w:numId="17" w16cid:durableId="1392844996">
    <w:abstractNumId w:val="25"/>
  </w:num>
  <w:num w:numId="18" w16cid:durableId="2089114289">
    <w:abstractNumId w:val="3"/>
    <w:lvlOverride w:ilvl="0">
      <w:startOverride w:val="1"/>
    </w:lvlOverride>
  </w:num>
  <w:num w:numId="19" w16cid:durableId="224489292">
    <w:abstractNumId w:val="3"/>
  </w:num>
  <w:num w:numId="20" w16cid:durableId="2133281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6803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9265116">
    <w:abstractNumId w:val="23"/>
    <w:lvlOverride w:ilvl="0">
      <w:startOverride w:val="1"/>
    </w:lvlOverride>
  </w:num>
  <w:num w:numId="23" w16cid:durableId="1819767555">
    <w:abstractNumId w:val="21"/>
    <w:lvlOverride w:ilvl="0">
      <w:startOverride w:val="1"/>
    </w:lvlOverride>
  </w:num>
  <w:num w:numId="24" w16cid:durableId="181944945">
    <w:abstractNumId w:val="15"/>
    <w:lvlOverride w:ilvl="0">
      <w:startOverride w:val="1"/>
    </w:lvlOverride>
  </w:num>
  <w:num w:numId="25" w16cid:durableId="35662543">
    <w:abstractNumId w:val="31"/>
    <w:lvlOverride w:ilvl="0">
      <w:startOverride w:val="1"/>
    </w:lvlOverride>
  </w:num>
  <w:num w:numId="26" w16cid:durableId="241531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0946891">
    <w:abstractNumId w:val="23"/>
    <w:lvlOverride w:ilvl="0">
      <w:startOverride w:val="1"/>
    </w:lvlOverride>
  </w:num>
  <w:num w:numId="28" w16cid:durableId="772824701">
    <w:abstractNumId w:val="12"/>
    <w:lvlOverride w:ilvl="0">
      <w:startOverride w:val="1"/>
    </w:lvlOverride>
  </w:num>
  <w:num w:numId="29" w16cid:durableId="134685661">
    <w:abstractNumId w:val="23"/>
  </w:num>
  <w:num w:numId="30" w16cid:durableId="1625499492">
    <w:abstractNumId w:val="12"/>
  </w:num>
  <w:num w:numId="31" w16cid:durableId="1969701511">
    <w:abstractNumId w:val="27"/>
  </w:num>
  <w:num w:numId="32" w16cid:durableId="134178380">
    <w:abstractNumId w:val="6"/>
  </w:num>
  <w:num w:numId="33" w16cid:durableId="1454134025">
    <w:abstractNumId w:val="13"/>
  </w:num>
  <w:num w:numId="34" w16cid:durableId="1770464409">
    <w:abstractNumId w:val="14"/>
  </w:num>
  <w:num w:numId="35" w16cid:durableId="1763407015">
    <w:abstractNumId w:val="4"/>
  </w:num>
  <w:num w:numId="36" w16cid:durableId="364063964">
    <w:abstractNumId w:val="26"/>
  </w:num>
  <w:num w:numId="37" w16cid:durableId="1253205118">
    <w:abstractNumId w:val="3"/>
  </w:num>
  <w:num w:numId="38" w16cid:durableId="1189369116">
    <w:abstractNumId w:val="15"/>
  </w:num>
  <w:num w:numId="39" w16cid:durableId="1402678412">
    <w:abstractNumId w:val="21"/>
  </w:num>
  <w:num w:numId="40" w16cid:durableId="1440638136">
    <w:abstractNumId w:val="22"/>
  </w:num>
  <w:num w:numId="41" w16cid:durableId="1187450102">
    <w:abstractNumId w:val="5"/>
  </w:num>
  <w:num w:numId="42" w16cid:durableId="1269700423">
    <w:abstractNumId w:val="19"/>
  </w:num>
  <w:num w:numId="43" w16cid:durableId="1517305841">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DateTime" w:val="2025-02-25 13:12:2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ECCCBB20-1167-4D7A-9B59-335F3CCA6C2F"/>
    <w:docVar w:name="LW_COVERPAGE_TYPE" w:val="1"/>
    <w:docVar w:name="LW_CreatedUtc" w:val="2025-02-06T08:36:36.2939249Z"/>
    <w:docVar w:name="LW_CROSSREFERENCE" w:val="{SWD(2025) 80}"/>
    <w:docVar w:name="LW_DocType" w:val="COM"/>
    <w:docVar w:name="LW_EMISSION" w:val="26.2.2025"/>
    <w:docVar w:name="LW_EMISSION_ISODATE" w:val="2025-02-26"/>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45"/>
    <w:docVar w:name="LW_REF.II.NEW.CP_YEAR" w:val="2025"/>
    <w:docVar w:name="LW_REF.INST.NEW" w:val="COM"/>
    <w:docVar w:name="LW_REF.INST.NEW_ADOPTED" w:val="final"/>
    <w:docVar w:name="LW_REF.INST.NEW_TEXT" w:val="(2025) 8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s 2006/43/EC, 2013/34/EU, (EU) 2022/2464 and (EU) 2024/1760 as regards certain corporate sustainability reporting and due diligence requirements"/>
    <w:docVar w:name="LW_TYPE.DOC.CP" w:val="DIRECTIVE OF THE EUROPEAN PARLIAMENT AND OF THE COUNCIL"/>
  </w:docVars>
  <w:rsids>
    <w:rsidRoot w:val="009D1FEE"/>
    <w:rsid w:val="0000043C"/>
    <w:rsid w:val="00000708"/>
    <w:rsid w:val="00001110"/>
    <w:rsid w:val="0000118C"/>
    <w:rsid w:val="00001263"/>
    <w:rsid w:val="00001784"/>
    <w:rsid w:val="00001890"/>
    <w:rsid w:val="000019F6"/>
    <w:rsid w:val="00001D7E"/>
    <w:rsid w:val="00001E9F"/>
    <w:rsid w:val="00002090"/>
    <w:rsid w:val="000020F4"/>
    <w:rsid w:val="00002101"/>
    <w:rsid w:val="0000227E"/>
    <w:rsid w:val="00002427"/>
    <w:rsid w:val="00002A04"/>
    <w:rsid w:val="00002E48"/>
    <w:rsid w:val="00002E80"/>
    <w:rsid w:val="000030B1"/>
    <w:rsid w:val="000034B9"/>
    <w:rsid w:val="00003539"/>
    <w:rsid w:val="0000353E"/>
    <w:rsid w:val="00003761"/>
    <w:rsid w:val="00003776"/>
    <w:rsid w:val="0000382E"/>
    <w:rsid w:val="00003898"/>
    <w:rsid w:val="00003937"/>
    <w:rsid w:val="000039FB"/>
    <w:rsid w:val="00003A00"/>
    <w:rsid w:val="00003A49"/>
    <w:rsid w:val="00003D21"/>
    <w:rsid w:val="00003E6D"/>
    <w:rsid w:val="00004005"/>
    <w:rsid w:val="000044D0"/>
    <w:rsid w:val="000045CF"/>
    <w:rsid w:val="00004736"/>
    <w:rsid w:val="00004B80"/>
    <w:rsid w:val="00004BDA"/>
    <w:rsid w:val="00004C82"/>
    <w:rsid w:val="00004F90"/>
    <w:rsid w:val="00005196"/>
    <w:rsid w:val="00005671"/>
    <w:rsid w:val="000059D6"/>
    <w:rsid w:val="00005C25"/>
    <w:rsid w:val="00005E44"/>
    <w:rsid w:val="0000603C"/>
    <w:rsid w:val="0000606F"/>
    <w:rsid w:val="00006226"/>
    <w:rsid w:val="00006393"/>
    <w:rsid w:val="00006445"/>
    <w:rsid w:val="00006547"/>
    <w:rsid w:val="000067CF"/>
    <w:rsid w:val="00006A28"/>
    <w:rsid w:val="00006A68"/>
    <w:rsid w:val="00006A9B"/>
    <w:rsid w:val="00006AA3"/>
    <w:rsid w:val="00006C4E"/>
    <w:rsid w:val="000071B2"/>
    <w:rsid w:val="000071F2"/>
    <w:rsid w:val="00007658"/>
    <w:rsid w:val="00007741"/>
    <w:rsid w:val="00007878"/>
    <w:rsid w:val="0000787B"/>
    <w:rsid w:val="00007937"/>
    <w:rsid w:val="00007A24"/>
    <w:rsid w:val="00007E4C"/>
    <w:rsid w:val="000100D2"/>
    <w:rsid w:val="00010426"/>
    <w:rsid w:val="0001065D"/>
    <w:rsid w:val="00010C26"/>
    <w:rsid w:val="00010E3A"/>
    <w:rsid w:val="000115BC"/>
    <w:rsid w:val="000116FB"/>
    <w:rsid w:val="0001177D"/>
    <w:rsid w:val="0001180E"/>
    <w:rsid w:val="0001197A"/>
    <w:rsid w:val="00011DCE"/>
    <w:rsid w:val="0001241E"/>
    <w:rsid w:val="00012544"/>
    <w:rsid w:val="0001282A"/>
    <w:rsid w:val="0001297A"/>
    <w:rsid w:val="00012A1C"/>
    <w:rsid w:val="00012AFB"/>
    <w:rsid w:val="00012C80"/>
    <w:rsid w:val="00012ECF"/>
    <w:rsid w:val="000130BF"/>
    <w:rsid w:val="000131EB"/>
    <w:rsid w:val="000137A9"/>
    <w:rsid w:val="000137C2"/>
    <w:rsid w:val="00013865"/>
    <w:rsid w:val="0001391F"/>
    <w:rsid w:val="00013D6B"/>
    <w:rsid w:val="000140A6"/>
    <w:rsid w:val="00014189"/>
    <w:rsid w:val="00014443"/>
    <w:rsid w:val="0001454A"/>
    <w:rsid w:val="0001460A"/>
    <w:rsid w:val="000147BA"/>
    <w:rsid w:val="000149E3"/>
    <w:rsid w:val="00014D48"/>
    <w:rsid w:val="00014DFD"/>
    <w:rsid w:val="00014F49"/>
    <w:rsid w:val="00015019"/>
    <w:rsid w:val="0001548F"/>
    <w:rsid w:val="0001564E"/>
    <w:rsid w:val="00015721"/>
    <w:rsid w:val="00015810"/>
    <w:rsid w:val="0001586E"/>
    <w:rsid w:val="00015A80"/>
    <w:rsid w:val="00015BDA"/>
    <w:rsid w:val="00015DEC"/>
    <w:rsid w:val="00016438"/>
    <w:rsid w:val="0001682C"/>
    <w:rsid w:val="00016A94"/>
    <w:rsid w:val="00016D84"/>
    <w:rsid w:val="00016E3D"/>
    <w:rsid w:val="00017201"/>
    <w:rsid w:val="00017476"/>
    <w:rsid w:val="000179EF"/>
    <w:rsid w:val="00017EBF"/>
    <w:rsid w:val="000202A8"/>
    <w:rsid w:val="00020499"/>
    <w:rsid w:val="00020EE1"/>
    <w:rsid w:val="00020FD9"/>
    <w:rsid w:val="000216A2"/>
    <w:rsid w:val="000217C0"/>
    <w:rsid w:val="0002189E"/>
    <w:rsid w:val="000218FA"/>
    <w:rsid w:val="00021E31"/>
    <w:rsid w:val="00022289"/>
    <w:rsid w:val="000225C5"/>
    <w:rsid w:val="000227B4"/>
    <w:rsid w:val="00022CCF"/>
    <w:rsid w:val="00022CEF"/>
    <w:rsid w:val="00022E06"/>
    <w:rsid w:val="000230FF"/>
    <w:rsid w:val="0002315B"/>
    <w:rsid w:val="0002319B"/>
    <w:rsid w:val="000231E4"/>
    <w:rsid w:val="00023285"/>
    <w:rsid w:val="000232D4"/>
    <w:rsid w:val="00023626"/>
    <w:rsid w:val="00023835"/>
    <w:rsid w:val="0002389C"/>
    <w:rsid w:val="000238E6"/>
    <w:rsid w:val="00023A5B"/>
    <w:rsid w:val="00023E38"/>
    <w:rsid w:val="000240CA"/>
    <w:rsid w:val="00024188"/>
    <w:rsid w:val="0002454F"/>
    <w:rsid w:val="00024B65"/>
    <w:rsid w:val="00024C64"/>
    <w:rsid w:val="00024FBB"/>
    <w:rsid w:val="00025346"/>
    <w:rsid w:val="00025804"/>
    <w:rsid w:val="00025BFD"/>
    <w:rsid w:val="00025C98"/>
    <w:rsid w:val="00025CE3"/>
    <w:rsid w:val="00025F27"/>
    <w:rsid w:val="00025FF6"/>
    <w:rsid w:val="00026086"/>
    <w:rsid w:val="00026756"/>
    <w:rsid w:val="000267BF"/>
    <w:rsid w:val="00026E2E"/>
    <w:rsid w:val="0002708B"/>
    <w:rsid w:val="00027095"/>
    <w:rsid w:val="0002757C"/>
    <w:rsid w:val="000275ED"/>
    <w:rsid w:val="0002762F"/>
    <w:rsid w:val="00027639"/>
    <w:rsid w:val="0002776D"/>
    <w:rsid w:val="0002779E"/>
    <w:rsid w:val="000278AF"/>
    <w:rsid w:val="000279A2"/>
    <w:rsid w:val="00027CF8"/>
    <w:rsid w:val="00027DDB"/>
    <w:rsid w:val="00030164"/>
    <w:rsid w:val="000301DB"/>
    <w:rsid w:val="0003034A"/>
    <w:rsid w:val="0003038E"/>
    <w:rsid w:val="00030444"/>
    <w:rsid w:val="00030490"/>
    <w:rsid w:val="000305AB"/>
    <w:rsid w:val="00030928"/>
    <w:rsid w:val="000309F4"/>
    <w:rsid w:val="00030AB7"/>
    <w:rsid w:val="00030D0C"/>
    <w:rsid w:val="00030E16"/>
    <w:rsid w:val="0003114B"/>
    <w:rsid w:val="00031218"/>
    <w:rsid w:val="00031666"/>
    <w:rsid w:val="00031733"/>
    <w:rsid w:val="000317B8"/>
    <w:rsid w:val="0003180B"/>
    <w:rsid w:val="00031989"/>
    <w:rsid w:val="0003199C"/>
    <w:rsid w:val="000319DA"/>
    <w:rsid w:val="00031B35"/>
    <w:rsid w:val="00031D33"/>
    <w:rsid w:val="00032290"/>
    <w:rsid w:val="000327D8"/>
    <w:rsid w:val="00032839"/>
    <w:rsid w:val="00032DE8"/>
    <w:rsid w:val="00033282"/>
    <w:rsid w:val="000332E9"/>
    <w:rsid w:val="000334F7"/>
    <w:rsid w:val="00033657"/>
    <w:rsid w:val="00033703"/>
    <w:rsid w:val="00033857"/>
    <w:rsid w:val="00033A3A"/>
    <w:rsid w:val="00033AFB"/>
    <w:rsid w:val="00033BD6"/>
    <w:rsid w:val="00033CDF"/>
    <w:rsid w:val="00034051"/>
    <w:rsid w:val="000340E9"/>
    <w:rsid w:val="00034695"/>
    <w:rsid w:val="00034AA9"/>
    <w:rsid w:val="00034C60"/>
    <w:rsid w:val="00034FFF"/>
    <w:rsid w:val="0003538B"/>
    <w:rsid w:val="00035872"/>
    <w:rsid w:val="00035A62"/>
    <w:rsid w:val="00035B89"/>
    <w:rsid w:val="00035E5C"/>
    <w:rsid w:val="00035E94"/>
    <w:rsid w:val="00035F10"/>
    <w:rsid w:val="00035F74"/>
    <w:rsid w:val="00035F9E"/>
    <w:rsid w:val="00036185"/>
    <w:rsid w:val="0003636F"/>
    <w:rsid w:val="000367AA"/>
    <w:rsid w:val="00036955"/>
    <w:rsid w:val="00036D94"/>
    <w:rsid w:val="00036DB2"/>
    <w:rsid w:val="00036FA8"/>
    <w:rsid w:val="00036FBA"/>
    <w:rsid w:val="00037034"/>
    <w:rsid w:val="000371F9"/>
    <w:rsid w:val="0003752E"/>
    <w:rsid w:val="0003753B"/>
    <w:rsid w:val="000376CB"/>
    <w:rsid w:val="00037756"/>
    <w:rsid w:val="00037BB8"/>
    <w:rsid w:val="00037FCB"/>
    <w:rsid w:val="0004030D"/>
    <w:rsid w:val="000406D9"/>
    <w:rsid w:val="00040C5B"/>
    <w:rsid w:val="00041064"/>
    <w:rsid w:val="000410EC"/>
    <w:rsid w:val="00041135"/>
    <w:rsid w:val="000413EB"/>
    <w:rsid w:val="000415D5"/>
    <w:rsid w:val="00041810"/>
    <w:rsid w:val="00041844"/>
    <w:rsid w:val="00041971"/>
    <w:rsid w:val="00041BE4"/>
    <w:rsid w:val="00041C40"/>
    <w:rsid w:val="00042051"/>
    <w:rsid w:val="0004222E"/>
    <w:rsid w:val="000422E7"/>
    <w:rsid w:val="000423A2"/>
    <w:rsid w:val="0004273A"/>
    <w:rsid w:val="000428AB"/>
    <w:rsid w:val="000429A6"/>
    <w:rsid w:val="00042B50"/>
    <w:rsid w:val="00042BAB"/>
    <w:rsid w:val="00042E77"/>
    <w:rsid w:val="00042E92"/>
    <w:rsid w:val="00043127"/>
    <w:rsid w:val="000435F4"/>
    <w:rsid w:val="00043749"/>
    <w:rsid w:val="000437B8"/>
    <w:rsid w:val="00043835"/>
    <w:rsid w:val="00043892"/>
    <w:rsid w:val="000439D5"/>
    <w:rsid w:val="00043F1E"/>
    <w:rsid w:val="00043FBB"/>
    <w:rsid w:val="00044160"/>
    <w:rsid w:val="00044237"/>
    <w:rsid w:val="0004448B"/>
    <w:rsid w:val="0004465C"/>
    <w:rsid w:val="00044AAD"/>
    <w:rsid w:val="00044D9E"/>
    <w:rsid w:val="00044F3A"/>
    <w:rsid w:val="00045107"/>
    <w:rsid w:val="000451FE"/>
    <w:rsid w:val="0004521D"/>
    <w:rsid w:val="000456D7"/>
    <w:rsid w:val="00045B1A"/>
    <w:rsid w:val="00045D92"/>
    <w:rsid w:val="00045EDA"/>
    <w:rsid w:val="000463BA"/>
    <w:rsid w:val="00046A49"/>
    <w:rsid w:val="00046BC0"/>
    <w:rsid w:val="00046BDD"/>
    <w:rsid w:val="00047367"/>
    <w:rsid w:val="000474FE"/>
    <w:rsid w:val="0004794D"/>
    <w:rsid w:val="00047C54"/>
    <w:rsid w:val="00047D7E"/>
    <w:rsid w:val="00047FD5"/>
    <w:rsid w:val="0005037D"/>
    <w:rsid w:val="00050443"/>
    <w:rsid w:val="0005096A"/>
    <w:rsid w:val="00050BB1"/>
    <w:rsid w:val="00050BE8"/>
    <w:rsid w:val="00050CB9"/>
    <w:rsid w:val="00050DD4"/>
    <w:rsid w:val="0005112B"/>
    <w:rsid w:val="00051236"/>
    <w:rsid w:val="0005148A"/>
    <w:rsid w:val="000514E3"/>
    <w:rsid w:val="000516C2"/>
    <w:rsid w:val="00051B75"/>
    <w:rsid w:val="00051C43"/>
    <w:rsid w:val="00051E6F"/>
    <w:rsid w:val="00051EC9"/>
    <w:rsid w:val="00052265"/>
    <w:rsid w:val="000522BD"/>
    <w:rsid w:val="00052477"/>
    <w:rsid w:val="000524C1"/>
    <w:rsid w:val="000524EE"/>
    <w:rsid w:val="0005254D"/>
    <w:rsid w:val="00052683"/>
    <w:rsid w:val="00052803"/>
    <w:rsid w:val="000528C6"/>
    <w:rsid w:val="00052E42"/>
    <w:rsid w:val="00053236"/>
    <w:rsid w:val="0005341E"/>
    <w:rsid w:val="000534CF"/>
    <w:rsid w:val="00053871"/>
    <w:rsid w:val="00053922"/>
    <w:rsid w:val="00053DF1"/>
    <w:rsid w:val="00053F9F"/>
    <w:rsid w:val="00054060"/>
    <w:rsid w:val="0005406F"/>
    <w:rsid w:val="00054078"/>
    <w:rsid w:val="00054344"/>
    <w:rsid w:val="0005435A"/>
    <w:rsid w:val="000544DA"/>
    <w:rsid w:val="00054652"/>
    <w:rsid w:val="0005488E"/>
    <w:rsid w:val="00054B00"/>
    <w:rsid w:val="00054BE1"/>
    <w:rsid w:val="00054C77"/>
    <w:rsid w:val="00054CA7"/>
    <w:rsid w:val="00054E84"/>
    <w:rsid w:val="00054F63"/>
    <w:rsid w:val="00055073"/>
    <w:rsid w:val="000551BC"/>
    <w:rsid w:val="000551C1"/>
    <w:rsid w:val="000551FC"/>
    <w:rsid w:val="00055229"/>
    <w:rsid w:val="0005542C"/>
    <w:rsid w:val="0005575A"/>
    <w:rsid w:val="00055B43"/>
    <w:rsid w:val="00055F73"/>
    <w:rsid w:val="00056018"/>
    <w:rsid w:val="0005622E"/>
    <w:rsid w:val="00056B4A"/>
    <w:rsid w:val="00056B4B"/>
    <w:rsid w:val="00056C1E"/>
    <w:rsid w:val="00057552"/>
    <w:rsid w:val="0005769A"/>
    <w:rsid w:val="00057905"/>
    <w:rsid w:val="00057B8A"/>
    <w:rsid w:val="0005856B"/>
    <w:rsid w:val="000605CF"/>
    <w:rsid w:val="00060822"/>
    <w:rsid w:val="000609EA"/>
    <w:rsid w:val="00060EF1"/>
    <w:rsid w:val="00061161"/>
    <w:rsid w:val="00061420"/>
    <w:rsid w:val="00061823"/>
    <w:rsid w:val="00061BD5"/>
    <w:rsid w:val="00061C72"/>
    <w:rsid w:val="00061CB2"/>
    <w:rsid w:val="00061DD2"/>
    <w:rsid w:val="00061E81"/>
    <w:rsid w:val="00062108"/>
    <w:rsid w:val="000623A5"/>
    <w:rsid w:val="000623D2"/>
    <w:rsid w:val="000624D5"/>
    <w:rsid w:val="000625D2"/>
    <w:rsid w:val="00062AE4"/>
    <w:rsid w:val="000631AA"/>
    <w:rsid w:val="00063497"/>
    <w:rsid w:val="00063523"/>
    <w:rsid w:val="000639B9"/>
    <w:rsid w:val="00063A51"/>
    <w:rsid w:val="00063A88"/>
    <w:rsid w:val="00063D15"/>
    <w:rsid w:val="00063D86"/>
    <w:rsid w:val="00064275"/>
    <w:rsid w:val="0006443D"/>
    <w:rsid w:val="00064461"/>
    <w:rsid w:val="000645EA"/>
    <w:rsid w:val="000647A0"/>
    <w:rsid w:val="00064812"/>
    <w:rsid w:val="00064B56"/>
    <w:rsid w:val="00064BC9"/>
    <w:rsid w:val="00065176"/>
    <w:rsid w:val="00065674"/>
    <w:rsid w:val="000656AA"/>
    <w:rsid w:val="000658C4"/>
    <w:rsid w:val="000658F8"/>
    <w:rsid w:val="00065947"/>
    <w:rsid w:val="00065987"/>
    <w:rsid w:val="00065B43"/>
    <w:rsid w:val="00065C63"/>
    <w:rsid w:val="00065D60"/>
    <w:rsid w:val="00066144"/>
    <w:rsid w:val="000661EB"/>
    <w:rsid w:val="0006655D"/>
    <w:rsid w:val="00066C42"/>
    <w:rsid w:val="00066C4A"/>
    <w:rsid w:val="00066E40"/>
    <w:rsid w:val="00067439"/>
    <w:rsid w:val="000676B4"/>
    <w:rsid w:val="00067BD2"/>
    <w:rsid w:val="00067D21"/>
    <w:rsid w:val="0007020D"/>
    <w:rsid w:val="0007055D"/>
    <w:rsid w:val="00070C6F"/>
    <w:rsid w:val="0007112F"/>
    <w:rsid w:val="000715FD"/>
    <w:rsid w:val="000717D2"/>
    <w:rsid w:val="0007189E"/>
    <w:rsid w:val="00071D78"/>
    <w:rsid w:val="000720FE"/>
    <w:rsid w:val="000721AE"/>
    <w:rsid w:val="00072541"/>
    <w:rsid w:val="0007254A"/>
    <w:rsid w:val="00072666"/>
    <w:rsid w:val="00072691"/>
    <w:rsid w:val="000726F8"/>
    <w:rsid w:val="00072831"/>
    <w:rsid w:val="000728B8"/>
    <w:rsid w:val="00072B4F"/>
    <w:rsid w:val="00072D7F"/>
    <w:rsid w:val="0007328A"/>
    <w:rsid w:val="0007337D"/>
    <w:rsid w:val="000734D0"/>
    <w:rsid w:val="00073FFC"/>
    <w:rsid w:val="00074075"/>
    <w:rsid w:val="00074180"/>
    <w:rsid w:val="00074295"/>
    <w:rsid w:val="000746F4"/>
    <w:rsid w:val="0007498D"/>
    <w:rsid w:val="00074AD8"/>
    <w:rsid w:val="00074AF9"/>
    <w:rsid w:val="00074B98"/>
    <w:rsid w:val="00074C2F"/>
    <w:rsid w:val="00074EB8"/>
    <w:rsid w:val="0007515B"/>
    <w:rsid w:val="00075302"/>
    <w:rsid w:val="000755C0"/>
    <w:rsid w:val="00075608"/>
    <w:rsid w:val="00075729"/>
    <w:rsid w:val="000757E4"/>
    <w:rsid w:val="00075B7B"/>
    <w:rsid w:val="00075C91"/>
    <w:rsid w:val="0007600C"/>
    <w:rsid w:val="0007655A"/>
    <w:rsid w:val="000765EF"/>
    <w:rsid w:val="0007668C"/>
    <w:rsid w:val="0007673D"/>
    <w:rsid w:val="0007680C"/>
    <w:rsid w:val="00076828"/>
    <w:rsid w:val="0007686A"/>
    <w:rsid w:val="000768C0"/>
    <w:rsid w:val="000769F8"/>
    <w:rsid w:val="00076DE6"/>
    <w:rsid w:val="00076E1C"/>
    <w:rsid w:val="00076F4C"/>
    <w:rsid w:val="000770BF"/>
    <w:rsid w:val="00077295"/>
    <w:rsid w:val="000773DC"/>
    <w:rsid w:val="000775E7"/>
    <w:rsid w:val="000776E8"/>
    <w:rsid w:val="00077757"/>
    <w:rsid w:val="000777A9"/>
    <w:rsid w:val="0007790F"/>
    <w:rsid w:val="00077D23"/>
    <w:rsid w:val="00077E3D"/>
    <w:rsid w:val="00080801"/>
    <w:rsid w:val="00080851"/>
    <w:rsid w:val="0008086C"/>
    <w:rsid w:val="00080936"/>
    <w:rsid w:val="00080956"/>
    <w:rsid w:val="0008096F"/>
    <w:rsid w:val="00080A42"/>
    <w:rsid w:val="00080B1D"/>
    <w:rsid w:val="00080CC1"/>
    <w:rsid w:val="00080FDE"/>
    <w:rsid w:val="0008114E"/>
    <w:rsid w:val="00081171"/>
    <w:rsid w:val="000818F5"/>
    <w:rsid w:val="00081968"/>
    <w:rsid w:val="000824B3"/>
    <w:rsid w:val="00082562"/>
    <w:rsid w:val="000828D8"/>
    <w:rsid w:val="00082E42"/>
    <w:rsid w:val="00083006"/>
    <w:rsid w:val="0008308C"/>
    <w:rsid w:val="000830D0"/>
    <w:rsid w:val="0008318F"/>
    <w:rsid w:val="00083312"/>
    <w:rsid w:val="00083929"/>
    <w:rsid w:val="0008395B"/>
    <w:rsid w:val="00083B24"/>
    <w:rsid w:val="00083DC8"/>
    <w:rsid w:val="00083DD2"/>
    <w:rsid w:val="00083E46"/>
    <w:rsid w:val="00083E73"/>
    <w:rsid w:val="00084022"/>
    <w:rsid w:val="00084093"/>
    <w:rsid w:val="000844AB"/>
    <w:rsid w:val="0008454B"/>
    <w:rsid w:val="000847AF"/>
    <w:rsid w:val="00084ECE"/>
    <w:rsid w:val="0008503D"/>
    <w:rsid w:val="0008540A"/>
    <w:rsid w:val="000856BD"/>
    <w:rsid w:val="0008573B"/>
    <w:rsid w:val="00085C1E"/>
    <w:rsid w:val="00085E1D"/>
    <w:rsid w:val="0008602C"/>
    <w:rsid w:val="00086040"/>
    <w:rsid w:val="00086469"/>
    <w:rsid w:val="00086603"/>
    <w:rsid w:val="00086A49"/>
    <w:rsid w:val="00086A6E"/>
    <w:rsid w:val="00086BB4"/>
    <w:rsid w:val="00086C65"/>
    <w:rsid w:val="000873B1"/>
    <w:rsid w:val="000873CE"/>
    <w:rsid w:val="000873EF"/>
    <w:rsid w:val="00087C6A"/>
    <w:rsid w:val="00087F60"/>
    <w:rsid w:val="0009015F"/>
    <w:rsid w:val="000901CD"/>
    <w:rsid w:val="00090277"/>
    <w:rsid w:val="000902EC"/>
    <w:rsid w:val="00090509"/>
    <w:rsid w:val="0009062B"/>
    <w:rsid w:val="00090655"/>
    <w:rsid w:val="00090692"/>
    <w:rsid w:val="000907C1"/>
    <w:rsid w:val="00090896"/>
    <w:rsid w:val="000908C0"/>
    <w:rsid w:val="000908EF"/>
    <w:rsid w:val="00090A1A"/>
    <w:rsid w:val="00090FE3"/>
    <w:rsid w:val="000910D1"/>
    <w:rsid w:val="0009149F"/>
    <w:rsid w:val="00091A1D"/>
    <w:rsid w:val="00091B48"/>
    <w:rsid w:val="00091DF8"/>
    <w:rsid w:val="0009234F"/>
    <w:rsid w:val="00092656"/>
    <w:rsid w:val="00092670"/>
    <w:rsid w:val="000927FB"/>
    <w:rsid w:val="00092828"/>
    <w:rsid w:val="000929B1"/>
    <w:rsid w:val="00092A05"/>
    <w:rsid w:val="00092D80"/>
    <w:rsid w:val="00092E4B"/>
    <w:rsid w:val="00092FEF"/>
    <w:rsid w:val="0009304F"/>
    <w:rsid w:val="000939A8"/>
    <w:rsid w:val="00093BA6"/>
    <w:rsid w:val="00093F19"/>
    <w:rsid w:val="00093FDF"/>
    <w:rsid w:val="000941B7"/>
    <w:rsid w:val="000941C2"/>
    <w:rsid w:val="0009423E"/>
    <w:rsid w:val="0009458A"/>
    <w:rsid w:val="000945DA"/>
    <w:rsid w:val="000945DC"/>
    <w:rsid w:val="000946EC"/>
    <w:rsid w:val="000947CD"/>
    <w:rsid w:val="000947D8"/>
    <w:rsid w:val="000947E8"/>
    <w:rsid w:val="000949CF"/>
    <w:rsid w:val="00094DD6"/>
    <w:rsid w:val="00094F87"/>
    <w:rsid w:val="00095466"/>
    <w:rsid w:val="00095752"/>
    <w:rsid w:val="000959D1"/>
    <w:rsid w:val="00095D72"/>
    <w:rsid w:val="00095DFC"/>
    <w:rsid w:val="00095E63"/>
    <w:rsid w:val="00096061"/>
    <w:rsid w:val="00096310"/>
    <w:rsid w:val="0009664D"/>
    <w:rsid w:val="0009678A"/>
    <w:rsid w:val="00096862"/>
    <w:rsid w:val="0009692F"/>
    <w:rsid w:val="000969F6"/>
    <w:rsid w:val="00096A4C"/>
    <w:rsid w:val="00096C4A"/>
    <w:rsid w:val="00096C51"/>
    <w:rsid w:val="00096CF9"/>
    <w:rsid w:val="00096DD2"/>
    <w:rsid w:val="0009723F"/>
    <w:rsid w:val="000972DF"/>
    <w:rsid w:val="0009747D"/>
    <w:rsid w:val="00097519"/>
    <w:rsid w:val="00097540"/>
    <w:rsid w:val="00097553"/>
    <w:rsid w:val="0009798E"/>
    <w:rsid w:val="00097AD4"/>
    <w:rsid w:val="00097DFE"/>
    <w:rsid w:val="00097E4D"/>
    <w:rsid w:val="000A016D"/>
    <w:rsid w:val="000A0207"/>
    <w:rsid w:val="000A0FBA"/>
    <w:rsid w:val="000A16F3"/>
    <w:rsid w:val="000A1886"/>
    <w:rsid w:val="000A1A3B"/>
    <w:rsid w:val="000A1AE5"/>
    <w:rsid w:val="000A1C25"/>
    <w:rsid w:val="000A2268"/>
    <w:rsid w:val="000A2445"/>
    <w:rsid w:val="000A2911"/>
    <w:rsid w:val="000A298B"/>
    <w:rsid w:val="000A2B2D"/>
    <w:rsid w:val="000A2CA4"/>
    <w:rsid w:val="000A3658"/>
    <w:rsid w:val="000A37FA"/>
    <w:rsid w:val="000A3C2D"/>
    <w:rsid w:val="000A3CBD"/>
    <w:rsid w:val="000A3ED1"/>
    <w:rsid w:val="000A40BE"/>
    <w:rsid w:val="000A4237"/>
    <w:rsid w:val="000A45CE"/>
    <w:rsid w:val="000A46CB"/>
    <w:rsid w:val="000A537B"/>
    <w:rsid w:val="000A551E"/>
    <w:rsid w:val="000A5889"/>
    <w:rsid w:val="000A5C79"/>
    <w:rsid w:val="000A609F"/>
    <w:rsid w:val="000A61D0"/>
    <w:rsid w:val="000A62BE"/>
    <w:rsid w:val="000A6397"/>
    <w:rsid w:val="000A67AE"/>
    <w:rsid w:val="000A6B5D"/>
    <w:rsid w:val="000A6BA5"/>
    <w:rsid w:val="000A6D77"/>
    <w:rsid w:val="000A6F8E"/>
    <w:rsid w:val="000A7034"/>
    <w:rsid w:val="000A73A1"/>
    <w:rsid w:val="000A79CF"/>
    <w:rsid w:val="000A7BF1"/>
    <w:rsid w:val="000A7CEB"/>
    <w:rsid w:val="000A7F3A"/>
    <w:rsid w:val="000A7FA1"/>
    <w:rsid w:val="000B079C"/>
    <w:rsid w:val="000B0900"/>
    <w:rsid w:val="000B0B07"/>
    <w:rsid w:val="000B0B14"/>
    <w:rsid w:val="000B0C4B"/>
    <w:rsid w:val="000B0E9F"/>
    <w:rsid w:val="000B1286"/>
    <w:rsid w:val="000B136D"/>
    <w:rsid w:val="000B1699"/>
    <w:rsid w:val="000B19F5"/>
    <w:rsid w:val="000B1B59"/>
    <w:rsid w:val="000B1C95"/>
    <w:rsid w:val="000B1F72"/>
    <w:rsid w:val="000B23A1"/>
    <w:rsid w:val="000B2877"/>
    <w:rsid w:val="000B29F6"/>
    <w:rsid w:val="000B2B65"/>
    <w:rsid w:val="000B2BCD"/>
    <w:rsid w:val="000B329A"/>
    <w:rsid w:val="000B348E"/>
    <w:rsid w:val="000B3585"/>
    <w:rsid w:val="000B3AAC"/>
    <w:rsid w:val="000B3D0C"/>
    <w:rsid w:val="000B4003"/>
    <w:rsid w:val="000B413E"/>
    <w:rsid w:val="000B4219"/>
    <w:rsid w:val="000B45F4"/>
    <w:rsid w:val="000B46AC"/>
    <w:rsid w:val="000B480D"/>
    <w:rsid w:val="000B48C8"/>
    <w:rsid w:val="000B4964"/>
    <w:rsid w:val="000B4B5F"/>
    <w:rsid w:val="000B4E3E"/>
    <w:rsid w:val="000B4FD4"/>
    <w:rsid w:val="000B534A"/>
    <w:rsid w:val="000B54FF"/>
    <w:rsid w:val="000B55AB"/>
    <w:rsid w:val="000B57C5"/>
    <w:rsid w:val="000B5AA9"/>
    <w:rsid w:val="000B5C43"/>
    <w:rsid w:val="000B641A"/>
    <w:rsid w:val="000B658D"/>
    <w:rsid w:val="000B662C"/>
    <w:rsid w:val="000B67D8"/>
    <w:rsid w:val="000B6A4E"/>
    <w:rsid w:val="000B6CCC"/>
    <w:rsid w:val="000B6D05"/>
    <w:rsid w:val="000B6D2C"/>
    <w:rsid w:val="000B6E6E"/>
    <w:rsid w:val="000B7565"/>
    <w:rsid w:val="000B76BC"/>
    <w:rsid w:val="000B7C49"/>
    <w:rsid w:val="000B7E77"/>
    <w:rsid w:val="000B7F4E"/>
    <w:rsid w:val="000B7FE6"/>
    <w:rsid w:val="000C0353"/>
    <w:rsid w:val="000C03B8"/>
    <w:rsid w:val="000C062F"/>
    <w:rsid w:val="000C0754"/>
    <w:rsid w:val="000C0DA8"/>
    <w:rsid w:val="000C0DC7"/>
    <w:rsid w:val="000C106D"/>
    <w:rsid w:val="000C114E"/>
    <w:rsid w:val="000C14F7"/>
    <w:rsid w:val="000C1906"/>
    <w:rsid w:val="000C1AEC"/>
    <w:rsid w:val="000C1C71"/>
    <w:rsid w:val="000C1C9B"/>
    <w:rsid w:val="000C1DA2"/>
    <w:rsid w:val="000C2174"/>
    <w:rsid w:val="000C227F"/>
    <w:rsid w:val="000C2372"/>
    <w:rsid w:val="000C293D"/>
    <w:rsid w:val="000C2B12"/>
    <w:rsid w:val="000C2C5A"/>
    <w:rsid w:val="000C2CDD"/>
    <w:rsid w:val="000C3036"/>
    <w:rsid w:val="000C31DF"/>
    <w:rsid w:val="000C3474"/>
    <w:rsid w:val="000C386B"/>
    <w:rsid w:val="000C3B55"/>
    <w:rsid w:val="000C3CA4"/>
    <w:rsid w:val="000C4257"/>
    <w:rsid w:val="000C4339"/>
    <w:rsid w:val="000C4436"/>
    <w:rsid w:val="000C498C"/>
    <w:rsid w:val="000C4A5F"/>
    <w:rsid w:val="000C4A99"/>
    <w:rsid w:val="000C4ABA"/>
    <w:rsid w:val="000C4C6A"/>
    <w:rsid w:val="000C4D99"/>
    <w:rsid w:val="000C52B5"/>
    <w:rsid w:val="000C52D5"/>
    <w:rsid w:val="000C564D"/>
    <w:rsid w:val="000C58B6"/>
    <w:rsid w:val="000C5FF6"/>
    <w:rsid w:val="000C60AC"/>
    <w:rsid w:val="000C67A4"/>
    <w:rsid w:val="000C692C"/>
    <w:rsid w:val="000C694E"/>
    <w:rsid w:val="000C69B3"/>
    <w:rsid w:val="000C6A07"/>
    <w:rsid w:val="000C6AC0"/>
    <w:rsid w:val="000C6B6C"/>
    <w:rsid w:val="000C6CB1"/>
    <w:rsid w:val="000C6FD2"/>
    <w:rsid w:val="000C710E"/>
    <w:rsid w:val="000C715B"/>
    <w:rsid w:val="000C73DA"/>
    <w:rsid w:val="000C75C7"/>
    <w:rsid w:val="000C75E6"/>
    <w:rsid w:val="000C775B"/>
    <w:rsid w:val="000C7838"/>
    <w:rsid w:val="000C79D0"/>
    <w:rsid w:val="000C7B56"/>
    <w:rsid w:val="000C7B75"/>
    <w:rsid w:val="000C7BD0"/>
    <w:rsid w:val="000C7C69"/>
    <w:rsid w:val="000C7DED"/>
    <w:rsid w:val="000C7F47"/>
    <w:rsid w:val="000D03D6"/>
    <w:rsid w:val="000D0C78"/>
    <w:rsid w:val="000D1238"/>
    <w:rsid w:val="000D1550"/>
    <w:rsid w:val="000D16A5"/>
    <w:rsid w:val="000D17EE"/>
    <w:rsid w:val="000D18EE"/>
    <w:rsid w:val="000D199A"/>
    <w:rsid w:val="000D1F7B"/>
    <w:rsid w:val="000D2274"/>
    <w:rsid w:val="000D231C"/>
    <w:rsid w:val="000D2472"/>
    <w:rsid w:val="000D26D2"/>
    <w:rsid w:val="000D2798"/>
    <w:rsid w:val="000D2962"/>
    <w:rsid w:val="000D2B54"/>
    <w:rsid w:val="000D2C57"/>
    <w:rsid w:val="000D2DA8"/>
    <w:rsid w:val="000D2DB5"/>
    <w:rsid w:val="000D3429"/>
    <w:rsid w:val="000D35B9"/>
    <w:rsid w:val="000D3717"/>
    <w:rsid w:val="000D3A86"/>
    <w:rsid w:val="000D3A92"/>
    <w:rsid w:val="000D3C7A"/>
    <w:rsid w:val="000D3F51"/>
    <w:rsid w:val="000D419F"/>
    <w:rsid w:val="000D4969"/>
    <w:rsid w:val="000D4B13"/>
    <w:rsid w:val="000D4F40"/>
    <w:rsid w:val="000D4FF9"/>
    <w:rsid w:val="000D5157"/>
    <w:rsid w:val="000D550F"/>
    <w:rsid w:val="000D5712"/>
    <w:rsid w:val="000D5839"/>
    <w:rsid w:val="000D5A79"/>
    <w:rsid w:val="000D5B37"/>
    <w:rsid w:val="000D5BAC"/>
    <w:rsid w:val="000D5DA5"/>
    <w:rsid w:val="000D5E7E"/>
    <w:rsid w:val="000D5FB3"/>
    <w:rsid w:val="000D62C3"/>
    <w:rsid w:val="000D645C"/>
    <w:rsid w:val="000D670C"/>
    <w:rsid w:val="000D675C"/>
    <w:rsid w:val="000D68B8"/>
    <w:rsid w:val="000D6A70"/>
    <w:rsid w:val="000D6A8F"/>
    <w:rsid w:val="000D6BB3"/>
    <w:rsid w:val="000D6FF3"/>
    <w:rsid w:val="000D7012"/>
    <w:rsid w:val="000D7111"/>
    <w:rsid w:val="000D78E2"/>
    <w:rsid w:val="000D7A52"/>
    <w:rsid w:val="000D7EF6"/>
    <w:rsid w:val="000E012B"/>
    <w:rsid w:val="000E0483"/>
    <w:rsid w:val="000E0530"/>
    <w:rsid w:val="000E0591"/>
    <w:rsid w:val="000E08AB"/>
    <w:rsid w:val="000E0AAD"/>
    <w:rsid w:val="000E1475"/>
    <w:rsid w:val="000E1815"/>
    <w:rsid w:val="000E1852"/>
    <w:rsid w:val="000E18F9"/>
    <w:rsid w:val="000E198D"/>
    <w:rsid w:val="000E1D55"/>
    <w:rsid w:val="000E22F9"/>
    <w:rsid w:val="000E253B"/>
    <w:rsid w:val="000E25A2"/>
    <w:rsid w:val="000E268E"/>
    <w:rsid w:val="000E2900"/>
    <w:rsid w:val="000E2A4E"/>
    <w:rsid w:val="000E2A58"/>
    <w:rsid w:val="000E2D68"/>
    <w:rsid w:val="000E32CC"/>
    <w:rsid w:val="000E32EA"/>
    <w:rsid w:val="000E356C"/>
    <w:rsid w:val="000E35CB"/>
    <w:rsid w:val="000E3717"/>
    <w:rsid w:val="000E386A"/>
    <w:rsid w:val="000E3A3E"/>
    <w:rsid w:val="000E3B1F"/>
    <w:rsid w:val="000E3FFE"/>
    <w:rsid w:val="000E416E"/>
    <w:rsid w:val="000E422C"/>
    <w:rsid w:val="000E45E5"/>
    <w:rsid w:val="000E482D"/>
    <w:rsid w:val="000E4E1C"/>
    <w:rsid w:val="000E4FFD"/>
    <w:rsid w:val="000E5299"/>
    <w:rsid w:val="000E52F4"/>
    <w:rsid w:val="000E532D"/>
    <w:rsid w:val="000E5396"/>
    <w:rsid w:val="000E5692"/>
    <w:rsid w:val="000E5774"/>
    <w:rsid w:val="000E57F4"/>
    <w:rsid w:val="000E5A9F"/>
    <w:rsid w:val="000E5B19"/>
    <w:rsid w:val="000E5F41"/>
    <w:rsid w:val="000E5FF1"/>
    <w:rsid w:val="000E6035"/>
    <w:rsid w:val="000E63DF"/>
    <w:rsid w:val="000E641E"/>
    <w:rsid w:val="000E6AC6"/>
    <w:rsid w:val="000E6E36"/>
    <w:rsid w:val="000E76B3"/>
    <w:rsid w:val="000E7838"/>
    <w:rsid w:val="000E78F5"/>
    <w:rsid w:val="000E7B51"/>
    <w:rsid w:val="000E7CAC"/>
    <w:rsid w:val="000E7E1F"/>
    <w:rsid w:val="000E7E43"/>
    <w:rsid w:val="000E7FBA"/>
    <w:rsid w:val="000F00D0"/>
    <w:rsid w:val="000F01E1"/>
    <w:rsid w:val="000F04CF"/>
    <w:rsid w:val="000F05C1"/>
    <w:rsid w:val="000F0872"/>
    <w:rsid w:val="000F093D"/>
    <w:rsid w:val="000F0AFE"/>
    <w:rsid w:val="000F0D5D"/>
    <w:rsid w:val="000F139C"/>
    <w:rsid w:val="000F15DE"/>
    <w:rsid w:val="000F15FE"/>
    <w:rsid w:val="000F16F8"/>
    <w:rsid w:val="000F17A7"/>
    <w:rsid w:val="000F1A1B"/>
    <w:rsid w:val="000F1F69"/>
    <w:rsid w:val="000F2508"/>
    <w:rsid w:val="000F2552"/>
    <w:rsid w:val="000F32FA"/>
    <w:rsid w:val="000F34AA"/>
    <w:rsid w:val="000F3933"/>
    <w:rsid w:val="000F3981"/>
    <w:rsid w:val="000F39A7"/>
    <w:rsid w:val="000F3B87"/>
    <w:rsid w:val="000F3F08"/>
    <w:rsid w:val="000F4043"/>
    <w:rsid w:val="000F4173"/>
    <w:rsid w:val="000F41A6"/>
    <w:rsid w:val="000F47AD"/>
    <w:rsid w:val="000F4973"/>
    <w:rsid w:val="000F49D3"/>
    <w:rsid w:val="000F4B94"/>
    <w:rsid w:val="000F4CF9"/>
    <w:rsid w:val="000F4E1A"/>
    <w:rsid w:val="000F4E86"/>
    <w:rsid w:val="000F5190"/>
    <w:rsid w:val="000F53DE"/>
    <w:rsid w:val="000F55AE"/>
    <w:rsid w:val="000F5732"/>
    <w:rsid w:val="000F5879"/>
    <w:rsid w:val="000F5883"/>
    <w:rsid w:val="000F58AA"/>
    <w:rsid w:val="000F58D6"/>
    <w:rsid w:val="000F5972"/>
    <w:rsid w:val="000F59D8"/>
    <w:rsid w:val="000F5D3F"/>
    <w:rsid w:val="000F64BF"/>
    <w:rsid w:val="000F6814"/>
    <w:rsid w:val="000F6840"/>
    <w:rsid w:val="000F68CA"/>
    <w:rsid w:val="000F6ABF"/>
    <w:rsid w:val="000F6D99"/>
    <w:rsid w:val="000F6DE1"/>
    <w:rsid w:val="000F720E"/>
    <w:rsid w:val="000F7248"/>
    <w:rsid w:val="000F735F"/>
    <w:rsid w:val="000F750F"/>
    <w:rsid w:val="000F7AA2"/>
    <w:rsid w:val="000F7B11"/>
    <w:rsid w:val="000F7C87"/>
    <w:rsid w:val="000F7E02"/>
    <w:rsid w:val="000F7E98"/>
    <w:rsid w:val="00100093"/>
    <w:rsid w:val="00100212"/>
    <w:rsid w:val="00100322"/>
    <w:rsid w:val="00100B5A"/>
    <w:rsid w:val="00100B66"/>
    <w:rsid w:val="00100DEF"/>
    <w:rsid w:val="00100E27"/>
    <w:rsid w:val="001010AD"/>
    <w:rsid w:val="00101475"/>
    <w:rsid w:val="0010151C"/>
    <w:rsid w:val="001016A6"/>
    <w:rsid w:val="00101760"/>
    <w:rsid w:val="001017FE"/>
    <w:rsid w:val="00101870"/>
    <w:rsid w:val="00101B1A"/>
    <w:rsid w:val="00101BC8"/>
    <w:rsid w:val="00101BD6"/>
    <w:rsid w:val="001022AA"/>
    <w:rsid w:val="00102345"/>
    <w:rsid w:val="00102509"/>
    <w:rsid w:val="00102590"/>
    <w:rsid w:val="0010260C"/>
    <w:rsid w:val="00102640"/>
    <w:rsid w:val="001026A3"/>
    <w:rsid w:val="001026F7"/>
    <w:rsid w:val="0010275D"/>
    <w:rsid w:val="00102B0A"/>
    <w:rsid w:val="00102ED1"/>
    <w:rsid w:val="00103122"/>
    <w:rsid w:val="00103382"/>
    <w:rsid w:val="0010384E"/>
    <w:rsid w:val="0010395C"/>
    <w:rsid w:val="00103D5C"/>
    <w:rsid w:val="00103E14"/>
    <w:rsid w:val="00103F57"/>
    <w:rsid w:val="001042E8"/>
    <w:rsid w:val="00104A58"/>
    <w:rsid w:val="00104CB4"/>
    <w:rsid w:val="0010502C"/>
    <w:rsid w:val="00105385"/>
    <w:rsid w:val="0010549B"/>
    <w:rsid w:val="001054D8"/>
    <w:rsid w:val="001057E9"/>
    <w:rsid w:val="001057FD"/>
    <w:rsid w:val="00105ADF"/>
    <w:rsid w:val="00105BC7"/>
    <w:rsid w:val="00105E82"/>
    <w:rsid w:val="00105EEB"/>
    <w:rsid w:val="00106029"/>
    <w:rsid w:val="0010659C"/>
    <w:rsid w:val="001065F5"/>
    <w:rsid w:val="00106A77"/>
    <w:rsid w:val="00106FD7"/>
    <w:rsid w:val="00107004"/>
    <w:rsid w:val="00107027"/>
    <w:rsid w:val="0010752B"/>
    <w:rsid w:val="0010757C"/>
    <w:rsid w:val="001077E1"/>
    <w:rsid w:val="00107A42"/>
    <w:rsid w:val="00107AA6"/>
    <w:rsid w:val="00107D55"/>
    <w:rsid w:val="00107F8E"/>
    <w:rsid w:val="00110034"/>
    <w:rsid w:val="0011016E"/>
    <w:rsid w:val="0011024E"/>
    <w:rsid w:val="00110503"/>
    <w:rsid w:val="001106BC"/>
    <w:rsid w:val="001108D0"/>
    <w:rsid w:val="00110D64"/>
    <w:rsid w:val="0011139B"/>
    <w:rsid w:val="001114B7"/>
    <w:rsid w:val="001116AB"/>
    <w:rsid w:val="00111D33"/>
    <w:rsid w:val="00111E16"/>
    <w:rsid w:val="00111EBB"/>
    <w:rsid w:val="001121D0"/>
    <w:rsid w:val="00112255"/>
    <w:rsid w:val="00112A75"/>
    <w:rsid w:val="001130F0"/>
    <w:rsid w:val="001134A8"/>
    <w:rsid w:val="00113672"/>
    <w:rsid w:val="00113BF1"/>
    <w:rsid w:val="00113BFC"/>
    <w:rsid w:val="00113F54"/>
    <w:rsid w:val="00113FEF"/>
    <w:rsid w:val="001140F4"/>
    <w:rsid w:val="00114104"/>
    <w:rsid w:val="00114AC5"/>
    <w:rsid w:val="00114B19"/>
    <w:rsid w:val="00114EED"/>
    <w:rsid w:val="00114F44"/>
    <w:rsid w:val="001150E0"/>
    <w:rsid w:val="00115186"/>
    <w:rsid w:val="0011523F"/>
    <w:rsid w:val="00115590"/>
    <w:rsid w:val="00115CAA"/>
    <w:rsid w:val="0011609F"/>
    <w:rsid w:val="001162AA"/>
    <w:rsid w:val="00116429"/>
    <w:rsid w:val="0011646E"/>
    <w:rsid w:val="001165E1"/>
    <w:rsid w:val="00116858"/>
    <w:rsid w:val="00116887"/>
    <w:rsid w:val="001169DA"/>
    <w:rsid w:val="00116B2A"/>
    <w:rsid w:val="00116F7A"/>
    <w:rsid w:val="00117158"/>
    <w:rsid w:val="001171BB"/>
    <w:rsid w:val="001171BD"/>
    <w:rsid w:val="00117694"/>
    <w:rsid w:val="001176CE"/>
    <w:rsid w:val="00117A6B"/>
    <w:rsid w:val="00117B3E"/>
    <w:rsid w:val="00117C27"/>
    <w:rsid w:val="00117D40"/>
    <w:rsid w:val="00117E5F"/>
    <w:rsid w:val="00117FEC"/>
    <w:rsid w:val="001200D0"/>
    <w:rsid w:val="001203CD"/>
    <w:rsid w:val="0012042D"/>
    <w:rsid w:val="00120516"/>
    <w:rsid w:val="0012074F"/>
    <w:rsid w:val="00120785"/>
    <w:rsid w:val="00120DEC"/>
    <w:rsid w:val="00120E17"/>
    <w:rsid w:val="001211A2"/>
    <w:rsid w:val="001212A3"/>
    <w:rsid w:val="00121786"/>
    <w:rsid w:val="00121859"/>
    <w:rsid w:val="00121B1C"/>
    <w:rsid w:val="00121B93"/>
    <w:rsid w:val="0012200B"/>
    <w:rsid w:val="0012246E"/>
    <w:rsid w:val="00122494"/>
    <w:rsid w:val="0012261F"/>
    <w:rsid w:val="001226E4"/>
    <w:rsid w:val="00122827"/>
    <w:rsid w:val="001228FD"/>
    <w:rsid w:val="00122997"/>
    <w:rsid w:val="00122BA7"/>
    <w:rsid w:val="00122C11"/>
    <w:rsid w:val="00122D85"/>
    <w:rsid w:val="0012303D"/>
    <w:rsid w:val="00123323"/>
    <w:rsid w:val="0012344B"/>
    <w:rsid w:val="0012366C"/>
    <w:rsid w:val="00123803"/>
    <w:rsid w:val="0012383F"/>
    <w:rsid w:val="001238EF"/>
    <w:rsid w:val="00123971"/>
    <w:rsid w:val="00123A5B"/>
    <w:rsid w:val="00123B55"/>
    <w:rsid w:val="0012428D"/>
    <w:rsid w:val="00124900"/>
    <w:rsid w:val="001249EA"/>
    <w:rsid w:val="00124CF4"/>
    <w:rsid w:val="00124D85"/>
    <w:rsid w:val="0012591E"/>
    <w:rsid w:val="00125B2B"/>
    <w:rsid w:val="00125DF6"/>
    <w:rsid w:val="00126034"/>
    <w:rsid w:val="001260F7"/>
    <w:rsid w:val="001263D2"/>
    <w:rsid w:val="00126888"/>
    <w:rsid w:val="00126EE4"/>
    <w:rsid w:val="00126F61"/>
    <w:rsid w:val="0012772F"/>
    <w:rsid w:val="00127B18"/>
    <w:rsid w:val="00127CB3"/>
    <w:rsid w:val="00127EBA"/>
    <w:rsid w:val="001303B0"/>
    <w:rsid w:val="001307EA"/>
    <w:rsid w:val="00130C3B"/>
    <w:rsid w:val="00130CBA"/>
    <w:rsid w:val="0013109C"/>
    <w:rsid w:val="001310EC"/>
    <w:rsid w:val="0013161B"/>
    <w:rsid w:val="001316E5"/>
    <w:rsid w:val="00131E6E"/>
    <w:rsid w:val="00131F2E"/>
    <w:rsid w:val="00132014"/>
    <w:rsid w:val="001323C5"/>
    <w:rsid w:val="00132563"/>
    <w:rsid w:val="001335C2"/>
    <w:rsid w:val="0013362A"/>
    <w:rsid w:val="00133C91"/>
    <w:rsid w:val="00133C98"/>
    <w:rsid w:val="0013420A"/>
    <w:rsid w:val="00134639"/>
    <w:rsid w:val="001347B2"/>
    <w:rsid w:val="00134A1E"/>
    <w:rsid w:val="00134C0D"/>
    <w:rsid w:val="00134F87"/>
    <w:rsid w:val="001350FE"/>
    <w:rsid w:val="001353CA"/>
    <w:rsid w:val="00135580"/>
    <w:rsid w:val="0013563A"/>
    <w:rsid w:val="00135B72"/>
    <w:rsid w:val="00135DB0"/>
    <w:rsid w:val="00135FDA"/>
    <w:rsid w:val="0013654E"/>
    <w:rsid w:val="0013657A"/>
    <w:rsid w:val="001365E4"/>
    <w:rsid w:val="0013664E"/>
    <w:rsid w:val="00136C1E"/>
    <w:rsid w:val="00136CBE"/>
    <w:rsid w:val="00137267"/>
    <w:rsid w:val="001373BC"/>
    <w:rsid w:val="0013758A"/>
    <w:rsid w:val="00137669"/>
    <w:rsid w:val="001376B0"/>
    <w:rsid w:val="00137702"/>
    <w:rsid w:val="00137885"/>
    <w:rsid w:val="001408C3"/>
    <w:rsid w:val="00140D0D"/>
    <w:rsid w:val="00140E51"/>
    <w:rsid w:val="00141358"/>
    <w:rsid w:val="001414C2"/>
    <w:rsid w:val="001417DF"/>
    <w:rsid w:val="0014193B"/>
    <w:rsid w:val="00141951"/>
    <w:rsid w:val="00141ABE"/>
    <w:rsid w:val="001423B0"/>
    <w:rsid w:val="00142494"/>
    <w:rsid w:val="00142567"/>
    <w:rsid w:val="00142BD3"/>
    <w:rsid w:val="00142D22"/>
    <w:rsid w:val="00142F23"/>
    <w:rsid w:val="00143001"/>
    <w:rsid w:val="001430D0"/>
    <w:rsid w:val="001430FA"/>
    <w:rsid w:val="0014319F"/>
    <w:rsid w:val="00143251"/>
    <w:rsid w:val="00143408"/>
    <w:rsid w:val="001435B4"/>
    <w:rsid w:val="00143670"/>
    <w:rsid w:val="00143757"/>
    <w:rsid w:val="001438B2"/>
    <w:rsid w:val="00143910"/>
    <w:rsid w:val="00143A49"/>
    <w:rsid w:val="00143E7A"/>
    <w:rsid w:val="00143EBB"/>
    <w:rsid w:val="00144710"/>
    <w:rsid w:val="0014488E"/>
    <w:rsid w:val="00144F37"/>
    <w:rsid w:val="00144F92"/>
    <w:rsid w:val="0014544C"/>
    <w:rsid w:val="001458B9"/>
    <w:rsid w:val="0014599C"/>
    <w:rsid w:val="00145A76"/>
    <w:rsid w:val="00145BED"/>
    <w:rsid w:val="00145DF0"/>
    <w:rsid w:val="001461C0"/>
    <w:rsid w:val="0014629E"/>
    <w:rsid w:val="00146538"/>
    <w:rsid w:val="001465A7"/>
    <w:rsid w:val="00146795"/>
    <w:rsid w:val="00146875"/>
    <w:rsid w:val="0014691D"/>
    <w:rsid w:val="001469C8"/>
    <w:rsid w:val="00146A62"/>
    <w:rsid w:val="00146E32"/>
    <w:rsid w:val="00146FCE"/>
    <w:rsid w:val="00147042"/>
    <w:rsid w:val="0014732C"/>
    <w:rsid w:val="0014761F"/>
    <w:rsid w:val="001476B0"/>
    <w:rsid w:val="00147754"/>
    <w:rsid w:val="00147E11"/>
    <w:rsid w:val="00147E32"/>
    <w:rsid w:val="00147F9F"/>
    <w:rsid w:val="00150229"/>
    <w:rsid w:val="001504F9"/>
    <w:rsid w:val="00150706"/>
    <w:rsid w:val="00150709"/>
    <w:rsid w:val="00150A64"/>
    <w:rsid w:val="00150CFD"/>
    <w:rsid w:val="0015181F"/>
    <w:rsid w:val="0015186D"/>
    <w:rsid w:val="00151BEB"/>
    <w:rsid w:val="00152013"/>
    <w:rsid w:val="00152065"/>
    <w:rsid w:val="001520B6"/>
    <w:rsid w:val="001522D5"/>
    <w:rsid w:val="00152652"/>
    <w:rsid w:val="001526E1"/>
    <w:rsid w:val="001527E8"/>
    <w:rsid w:val="001527F3"/>
    <w:rsid w:val="001528AE"/>
    <w:rsid w:val="00152ABF"/>
    <w:rsid w:val="00152DED"/>
    <w:rsid w:val="00152E5A"/>
    <w:rsid w:val="00152E9B"/>
    <w:rsid w:val="001533F2"/>
    <w:rsid w:val="001534B0"/>
    <w:rsid w:val="001534C1"/>
    <w:rsid w:val="00153577"/>
    <w:rsid w:val="001537D4"/>
    <w:rsid w:val="00153A35"/>
    <w:rsid w:val="00153DD7"/>
    <w:rsid w:val="00154108"/>
    <w:rsid w:val="00154318"/>
    <w:rsid w:val="001544E8"/>
    <w:rsid w:val="001544F0"/>
    <w:rsid w:val="00154538"/>
    <w:rsid w:val="00154648"/>
    <w:rsid w:val="001547FC"/>
    <w:rsid w:val="00155134"/>
    <w:rsid w:val="0015515B"/>
    <w:rsid w:val="00155281"/>
    <w:rsid w:val="001552D7"/>
    <w:rsid w:val="001553E5"/>
    <w:rsid w:val="00155438"/>
    <w:rsid w:val="001554C9"/>
    <w:rsid w:val="001554F0"/>
    <w:rsid w:val="0015572A"/>
    <w:rsid w:val="00155E61"/>
    <w:rsid w:val="00155F0D"/>
    <w:rsid w:val="00155F71"/>
    <w:rsid w:val="00156524"/>
    <w:rsid w:val="001565A1"/>
    <w:rsid w:val="001566CA"/>
    <w:rsid w:val="0015699A"/>
    <w:rsid w:val="00156B31"/>
    <w:rsid w:val="00156C6B"/>
    <w:rsid w:val="00156E5E"/>
    <w:rsid w:val="00156E97"/>
    <w:rsid w:val="001570C3"/>
    <w:rsid w:val="00157142"/>
    <w:rsid w:val="0015733E"/>
    <w:rsid w:val="00157442"/>
    <w:rsid w:val="001577ED"/>
    <w:rsid w:val="001579F6"/>
    <w:rsid w:val="00157DB8"/>
    <w:rsid w:val="00157FA4"/>
    <w:rsid w:val="00160182"/>
    <w:rsid w:val="00160624"/>
    <w:rsid w:val="00160784"/>
    <w:rsid w:val="00160835"/>
    <w:rsid w:val="00160E42"/>
    <w:rsid w:val="00161088"/>
    <w:rsid w:val="0016128A"/>
    <w:rsid w:val="0016139E"/>
    <w:rsid w:val="00161470"/>
    <w:rsid w:val="001617F1"/>
    <w:rsid w:val="00161BFE"/>
    <w:rsid w:val="00161CB9"/>
    <w:rsid w:val="00161CCB"/>
    <w:rsid w:val="00161E2A"/>
    <w:rsid w:val="00161EDC"/>
    <w:rsid w:val="0016216C"/>
    <w:rsid w:val="00162201"/>
    <w:rsid w:val="00162556"/>
    <w:rsid w:val="00162774"/>
    <w:rsid w:val="0016278A"/>
    <w:rsid w:val="001629E1"/>
    <w:rsid w:val="00162A98"/>
    <w:rsid w:val="00162E1E"/>
    <w:rsid w:val="001631A1"/>
    <w:rsid w:val="001631A2"/>
    <w:rsid w:val="001633C4"/>
    <w:rsid w:val="00163583"/>
    <w:rsid w:val="001638BF"/>
    <w:rsid w:val="00163B16"/>
    <w:rsid w:val="00163ED0"/>
    <w:rsid w:val="00163F0E"/>
    <w:rsid w:val="00163FAD"/>
    <w:rsid w:val="00164073"/>
    <w:rsid w:val="0016423F"/>
    <w:rsid w:val="001642C4"/>
    <w:rsid w:val="00164451"/>
    <w:rsid w:val="00164468"/>
    <w:rsid w:val="0016449C"/>
    <w:rsid w:val="001649F9"/>
    <w:rsid w:val="00164C51"/>
    <w:rsid w:val="00164F70"/>
    <w:rsid w:val="00165063"/>
    <w:rsid w:val="001650C2"/>
    <w:rsid w:val="0016556B"/>
    <w:rsid w:val="001657DB"/>
    <w:rsid w:val="00165C42"/>
    <w:rsid w:val="00166119"/>
    <w:rsid w:val="001669C3"/>
    <w:rsid w:val="00166A34"/>
    <w:rsid w:val="00166B98"/>
    <w:rsid w:val="00166DD4"/>
    <w:rsid w:val="00167205"/>
    <w:rsid w:val="00167A9F"/>
    <w:rsid w:val="00167D2C"/>
    <w:rsid w:val="00170069"/>
    <w:rsid w:val="001705BF"/>
    <w:rsid w:val="001706AA"/>
    <w:rsid w:val="00170958"/>
    <w:rsid w:val="00170B42"/>
    <w:rsid w:val="00170F39"/>
    <w:rsid w:val="0017116B"/>
    <w:rsid w:val="001711C5"/>
    <w:rsid w:val="00171293"/>
    <w:rsid w:val="0017133E"/>
    <w:rsid w:val="001716CA"/>
    <w:rsid w:val="0017178D"/>
    <w:rsid w:val="001717CF"/>
    <w:rsid w:val="001718C3"/>
    <w:rsid w:val="00171AB8"/>
    <w:rsid w:val="00171BBC"/>
    <w:rsid w:val="00171FA0"/>
    <w:rsid w:val="001725A6"/>
    <w:rsid w:val="00172723"/>
    <w:rsid w:val="00172B6D"/>
    <w:rsid w:val="00172D5F"/>
    <w:rsid w:val="00172E2D"/>
    <w:rsid w:val="00173164"/>
    <w:rsid w:val="001734F8"/>
    <w:rsid w:val="001736BB"/>
    <w:rsid w:val="00173D91"/>
    <w:rsid w:val="00174353"/>
    <w:rsid w:val="00174605"/>
    <w:rsid w:val="00174BFD"/>
    <w:rsid w:val="00175167"/>
    <w:rsid w:val="00175303"/>
    <w:rsid w:val="0017548E"/>
    <w:rsid w:val="001756DA"/>
    <w:rsid w:val="001757B8"/>
    <w:rsid w:val="001757C4"/>
    <w:rsid w:val="00175910"/>
    <w:rsid w:val="00175929"/>
    <w:rsid w:val="00175963"/>
    <w:rsid w:val="001759BE"/>
    <w:rsid w:val="00175B65"/>
    <w:rsid w:val="00175B9C"/>
    <w:rsid w:val="00175EAD"/>
    <w:rsid w:val="0017620E"/>
    <w:rsid w:val="0017648E"/>
    <w:rsid w:val="001766D1"/>
    <w:rsid w:val="0017673E"/>
    <w:rsid w:val="00176B05"/>
    <w:rsid w:val="00176D7F"/>
    <w:rsid w:val="00176E8C"/>
    <w:rsid w:val="0017714E"/>
    <w:rsid w:val="0017715E"/>
    <w:rsid w:val="00177687"/>
    <w:rsid w:val="0017776C"/>
    <w:rsid w:val="001779C9"/>
    <w:rsid w:val="00177AAC"/>
    <w:rsid w:val="00177C3C"/>
    <w:rsid w:val="00177E28"/>
    <w:rsid w:val="00177EC1"/>
    <w:rsid w:val="00177F0B"/>
    <w:rsid w:val="0018031C"/>
    <w:rsid w:val="001805AC"/>
    <w:rsid w:val="0018067F"/>
    <w:rsid w:val="001806BB"/>
    <w:rsid w:val="0018076E"/>
    <w:rsid w:val="0018093A"/>
    <w:rsid w:val="00180CE4"/>
    <w:rsid w:val="00180D25"/>
    <w:rsid w:val="00180FF5"/>
    <w:rsid w:val="00181575"/>
    <w:rsid w:val="001815B4"/>
    <w:rsid w:val="0018182D"/>
    <w:rsid w:val="00181AFD"/>
    <w:rsid w:val="00181B0B"/>
    <w:rsid w:val="00181B29"/>
    <w:rsid w:val="00181B85"/>
    <w:rsid w:val="00181FAD"/>
    <w:rsid w:val="00181FC3"/>
    <w:rsid w:val="001824FF"/>
    <w:rsid w:val="001826B0"/>
    <w:rsid w:val="001827E8"/>
    <w:rsid w:val="001827FB"/>
    <w:rsid w:val="001828BC"/>
    <w:rsid w:val="00182D07"/>
    <w:rsid w:val="00182EF8"/>
    <w:rsid w:val="00183408"/>
    <w:rsid w:val="00183754"/>
    <w:rsid w:val="001839FD"/>
    <w:rsid w:val="00183A47"/>
    <w:rsid w:val="00183CF9"/>
    <w:rsid w:val="00183F8F"/>
    <w:rsid w:val="00184328"/>
    <w:rsid w:val="00184562"/>
    <w:rsid w:val="0018463B"/>
    <w:rsid w:val="0018481B"/>
    <w:rsid w:val="00184D83"/>
    <w:rsid w:val="00184EDD"/>
    <w:rsid w:val="00184F2F"/>
    <w:rsid w:val="001850C7"/>
    <w:rsid w:val="00185188"/>
    <w:rsid w:val="00185193"/>
    <w:rsid w:val="001854E4"/>
    <w:rsid w:val="001855AF"/>
    <w:rsid w:val="0018562B"/>
    <w:rsid w:val="001856B4"/>
    <w:rsid w:val="001857B2"/>
    <w:rsid w:val="001857D6"/>
    <w:rsid w:val="00185E29"/>
    <w:rsid w:val="0018602E"/>
    <w:rsid w:val="00186729"/>
    <w:rsid w:val="00186792"/>
    <w:rsid w:val="00186979"/>
    <w:rsid w:val="00186A77"/>
    <w:rsid w:val="00186AD1"/>
    <w:rsid w:val="00186BFC"/>
    <w:rsid w:val="00186FCD"/>
    <w:rsid w:val="0018733F"/>
    <w:rsid w:val="001874E2"/>
    <w:rsid w:val="0018750D"/>
    <w:rsid w:val="00187683"/>
    <w:rsid w:val="001876D8"/>
    <w:rsid w:val="00187888"/>
    <w:rsid w:val="00190316"/>
    <w:rsid w:val="00190320"/>
    <w:rsid w:val="00190445"/>
    <w:rsid w:val="00190497"/>
    <w:rsid w:val="001908A8"/>
    <w:rsid w:val="00190918"/>
    <w:rsid w:val="00190DBE"/>
    <w:rsid w:val="001910CA"/>
    <w:rsid w:val="00191141"/>
    <w:rsid w:val="00191154"/>
    <w:rsid w:val="001915CE"/>
    <w:rsid w:val="00191919"/>
    <w:rsid w:val="00191BC6"/>
    <w:rsid w:val="00191FF1"/>
    <w:rsid w:val="001921D4"/>
    <w:rsid w:val="0019250F"/>
    <w:rsid w:val="00192721"/>
    <w:rsid w:val="00192D2A"/>
    <w:rsid w:val="00192E4B"/>
    <w:rsid w:val="0019306C"/>
    <w:rsid w:val="00193356"/>
    <w:rsid w:val="00193474"/>
    <w:rsid w:val="0019356E"/>
    <w:rsid w:val="001936AD"/>
    <w:rsid w:val="001936EF"/>
    <w:rsid w:val="001939D7"/>
    <w:rsid w:val="00193AC7"/>
    <w:rsid w:val="00193CDA"/>
    <w:rsid w:val="00193FDF"/>
    <w:rsid w:val="001943BF"/>
    <w:rsid w:val="00194475"/>
    <w:rsid w:val="001944DD"/>
    <w:rsid w:val="0019455B"/>
    <w:rsid w:val="00194A9E"/>
    <w:rsid w:val="00194A9F"/>
    <w:rsid w:val="00194E86"/>
    <w:rsid w:val="00194F8B"/>
    <w:rsid w:val="00194FA2"/>
    <w:rsid w:val="00195090"/>
    <w:rsid w:val="001952C8"/>
    <w:rsid w:val="00195358"/>
    <w:rsid w:val="0019540B"/>
    <w:rsid w:val="00195485"/>
    <w:rsid w:val="001956C3"/>
    <w:rsid w:val="00195B30"/>
    <w:rsid w:val="00196078"/>
    <w:rsid w:val="00196270"/>
    <w:rsid w:val="0019635D"/>
    <w:rsid w:val="001964D4"/>
    <w:rsid w:val="00196505"/>
    <w:rsid w:val="0019655D"/>
    <w:rsid w:val="00196623"/>
    <w:rsid w:val="00196653"/>
    <w:rsid w:val="0019668F"/>
    <w:rsid w:val="00196AA8"/>
    <w:rsid w:val="00196BF3"/>
    <w:rsid w:val="00196F42"/>
    <w:rsid w:val="0019726F"/>
    <w:rsid w:val="00197613"/>
    <w:rsid w:val="00197732"/>
    <w:rsid w:val="00197EB4"/>
    <w:rsid w:val="001A0044"/>
    <w:rsid w:val="001A007A"/>
    <w:rsid w:val="001A01F0"/>
    <w:rsid w:val="001A02F1"/>
    <w:rsid w:val="001A05A8"/>
    <w:rsid w:val="001A068D"/>
    <w:rsid w:val="001A0A9B"/>
    <w:rsid w:val="001A0CED"/>
    <w:rsid w:val="001A0D56"/>
    <w:rsid w:val="001A0F45"/>
    <w:rsid w:val="001A10CA"/>
    <w:rsid w:val="001A10E8"/>
    <w:rsid w:val="001A12D0"/>
    <w:rsid w:val="001A1317"/>
    <w:rsid w:val="001A132A"/>
    <w:rsid w:val="001A1804"/>
    <w:rsid w:val="001A1B13"/>
    <w:rsid w:val="001A1CAA"/>
    <w:rsid w:val="001A1E44"/>
    <w:rsid w:val="001A2095"/>
    <w:rsid w:val="001A2236"/>
    <w:rsid w:val="001A2338"/>
    <w:rsid w:val="001A23B5"/>
    <w:rsid w:val="001A23EB"/>
    <w:rsid w:val="001A25C1"/>
    <w:rsid w:val="001A2E42"/>
    <w:rsid w:val="001A2E56"/>
    <w:rsid w:val="001A2EF1"/>
    <w:rsid w:val="001A3620"/>
    <w:rsid w:val="001A36B2"/>
    <w:rsid w:val="001A3A40"/>
    <w:rsid w:val="001A3BCF"/>
    <w:rsid w:val="001A3C3C"/>
    <w:rsid w:val="001A3E33"/>
    <w:rsid w:val="001A42D4"/>
    <w:rsid w:val="001A47F6"/>
    <w:rsid w:val="001A4821"/>
    <w:rsid w:val="001A49CF"/>
    <w:rsid w:val="001A4A26"/>
    <w:rsid w:val="001A4BC5"/>
    <w:rsid w:val="001A4CC3"/>
    <w:rsid w:val="001A4E1A"/>
    <w:rsid w:val="001A4F33"/>
    <w:rsid w:val="001A514E"/>
    <w:rsid w:val="001A5493"/>
    <w:rsid w:val="001A5731"/>
    <w:rsid w:val="001A584B"/>
    <w:rsid w:val="001A5BA5"/>
    <w:rsid w:val="001A5E1B"/>
    <w:rsid w:val="001A6079"/>
    <w:rsid w:val="001A69AE"/>
    <w:rsid w:val="001A6A2A"/>
    <w:rsid w:val="001A6C90"/>
    <w:rsid w:val="001A6E01"/>
    <w:rsid w:val="001A6E30"/>
    <w:rsid w:val="001A7413"/>
    <w:rsid w:val="001A77D4"/>
    <w:rsid w:val="001A7869"/>
    <w:rsid w:val="001A7BAB"/>
    <w:rsid w:val="001A7C23"/>
    <w:rsid w:val="001A7D24"/>
    <w:rsid w:val="001A7FF4"/>
    <w:rsid w:val="001B024A"/>
    <w:rsid w:val="001B039C"/>
    <w:rsid w:val="001B03A9"/>
    <w:rsid w:val="001B0421"/>
    <w:rsid w:val="001B049D"/>
    <w:rsid w:val="001B0550"/>
    <w:rsid w:val="001B0653"/>
    <w:rsid w:val="001B07AA"/>
    <w:rsid w:val="001B07DC"/>
    <w:rsid w:val="001B0BAC"/>
    <w:rsid w:val="001B0C0D"/>
    <w:rsid w:val="001B0CE6"/>
    <w:rsid w:val="001B0E47"/>
    <w:rsid w:val="001B0F6B"/>
    <w:rsid w:val="001B1012"/>
    <w:rsid w:val="001B1054"/>
    <w:rsid w:val="001B10FF"/>
    <w:rsid w:val="001B1114"/>
    <w:rsid w:val="001B1471"/>
    <w:rsid w:val="001B16AC"/>
    <w:rsid w:val="001B18A1"/>
    <w:rsid w:val="001B1AFD"/>
    <w:rsid w:val="001B1B20"/>
    <w:rsid w:val="001B21D3"/>
    <w:rsid w:val="001B251F"/>
    <w:rsid w:val="001B2605"/>
    <w:rsid w:val="001B263C"/>
    <w:rsid w:val="001B266D"/>
    <w:rsid w:val="001B2685"/>
    <w:rsid w:val="001B2D38"/>
    <w:rsid w:val="001B2F97"/>
    <w:rsid w:val="001B3086"/>
    <w:rsid w:val="001B35D3"/>
    <w:rsid w:val="001B3925"/>
    <w:rsid w:val="001B39B7"/>
    <w:rsid w:val="001B3D0E"/>
    <w:rsid w:val="001B3EE9"/>
    <w:rsid w:val="001B3EF8"/>
    <w:rsid w:val="001B4594"/>
    <w:rsid w:val="001B47AF"/>
    <w:rsid w:val="001B486B"/>
    <w:rsid w:val="001B4989"/>
    <w:rsid w:val="001B4CB4"/>
    <w:rsid w:val="001B4D3E"/>
    <w:rsid w:val="001B51AE"/>
    <w:rsid w:val="001B524F"/>
    <w:rsid w:val="001B5331"/>
    <w:rsid w:val="001B539E"/>
    <w:rsid w:val="001B55B9"/>
    <w:rsid w:val="001B5737"/>
    <w:rsid w:val="001B57F7"/>
    <w:rsid w:val="001B5835"/>
    <w:rsid w:val="001B5993"/>
    <w:rsid w:val="001B59F2"/>
    <w:rsid w:val="001B5BC1"/>
    <w:rsid w:val="001B5F5F"/>
    <w:rsid w:val="001B6069"/>
    <w:rsid w:val="001B60A6"/>
    <w:rsid w:val="001B6795"/>
    <w:rsid w:val="001B6BAB"/>
    <w:rsid w:val="001B6C2A"/>
    <w:rsid w:val="001B6E43"/>
    <w:rsid w:val="001B6E8F"/>
    <w:rsid w:val="001B6F75"/>
    <w:rsid w:val="001B70A4"/>
    <w:rsid w:val="001B734C"/>
    <w:rsid w:val="001B73E2"/>
    <w:rsid w:val="001B752D"/>
    <w:rsid w:val="001B7562"/>
    <w:rsid w:val="001B7649"/>
    <w:rsid w:val="001B77E2"/>
    <w:rsid w:val="001B7DF8"/>
    <w:rsid w:val="001C0015"/>
    <w:rsid w:val="001C0458"/>
    <w:rsid w:val="001C053B"/>
    <w:rsid w:val="001C0DAF"/>
    <w:rsid w:val="001C0F2E"/>
    <w:rsid w:val="001C1145"/>
    <w:rsid w:val="001C11CE"/>
    <w:rsid w:val="001C1228"/>
    <w:rsid w:val="001C1691"/>
    <w:rsid w:val="001C178F"/>
    <w:rsid w:val="001C1AD0"/>
    <w:rsid w:val="001C1B35"/>
    <w:rsid w:val="001C1BDD"/>
    <w:rsid w:val="001C1C79"/>
    <w:rsid w:val="001C1D48"/>
    <w:rsid w:val="001C1FE9"/>
    <w:rsid w:val="001C2135"/>
    <w:rsid w:val="001C2371"/>
    <w:rsid w:val="001C2787"/>
    <w:rsid w:val="001C283B"/>
    <w:rsid w:val="001C2EBA"/>
    <w:rsid w:val="001C2FBA"/>
    <w:rsid w:val="001C2FD8"/>
    <w:rsid w:val="001C3537"/>
    <w:rsid w:val="001C36AB"/>
    <w:rsid w:val="001C36BC"/>
    <w:rsid w:val="001C3718"/>
    <w:rsid w:val="001C37F1"/>
    <w:rsid w:val="001C3853"/>
    <w:rsid w:val="001C3864"/>
    <w:rsid w:val="001C3C11"/>
    <w:rsid w:val="001C3DDE"/>
    <w:rsid w:val="001C405E"/>
    <w:rsid w:val="001C410A"/>
    <w:rsid w:val="001C417D"/>
    <w:rsid w:val="001C455C"/>
    <w:rsid w:val="001C4899"/>
    <w:rsid w:val="001C497A"/>
    <w:rsid w:val="001C4B1E"/>
    <w:rsid w:val="001C4C8C"/>
    <w:rsid w:val="001C4F6E"/>
    <w:rsid w:val="001C4FAF"/>
    <w:rsid w:val="001C5090"/>
    <w:rsid w:val="001C53DB"/>
    <w:rsid w:val="001C5459"/>
    <w:rsid w:val="001C5970"/>
    <w:rsid w:val="001C5B45"/>
    <w:rsid w:val="001C6087"/>
    <w:rsid w:val="001C6797"/>
    <w:rsid w:val="001C69D6"/>
    <w:rsid w:val="001C6A9D"/>
    <w:rsid w:val="001C6AF7"/>
    <w:rsid w:val="001C6C2A"/>
    <w:rsid w:val="001C70AB"/>
    <w:rsid w:val="001C719B"/>
    <w:rsid w:val="001C731E"/>
    <w:rsid w:val="001C748C"/>
    <w:rsid w:val="001C7ACB"/>
    <w:rsid w:val="001C7CA9"/>
    <w:rsid w:val="001D0091"/>
    <w:rsid w:val="001D047D"/>
    <w:rsid w:val="001D0594"/>
    <w:rsid w:val="001D0793"/>
    <w:rsid w:val="001D0797"/>
    <w:rsid w:val="001D07FC"/>
    <w:rsid w:val="001D089E"/>
    <w:rsid w:val="001D09C7"/>
    <w:rsid w:val="001D0C72"/>
    <w:rsid w:val="001D0CB3"/>
    <w:rsid w:val="001D1063"/>
    <w:rsid w:val="001D14C3"/>
    <w:rsid w:val="001D14E9"/>
    <w:rsid w:val="001D1652"/>
    <w:rsid w:val="001D1A63"/>
    <w:rsid w:val="001D1C55"/>
    <w:rsid w:val="001D1CAE"/>
    <w:rsid w:val="001D1EF9"/>
    <w:rsid w:val="001D2324"/>
    <w:rsid w:val="001D24D9"/>
    <w:rsid w:val="001D2C97"/>
    <w:rsid w:val="001D2FBB"/>
    <w:rsid w:val="001D3107"/>
    <w:rsid w:val="001D3197"/>
    <w:rsid w:val="001D31A2"/>
    <w:rsid w:val="001D33FF"/>
    <w:rsid w:val="001D382D"/>
    <w:rsid w:val="001D3A8B"/>
    <w:rsid w:val="001D3BB8"/>
    <w:rsid w:val="001D3CA6"/>
    <w:rsid w:val="001D3CE3"/>
    <w:rsid w:val="001D3D3A"/>
    <w:rsid w:val="001D422E"/>
    <w:rsid w:val="001D42DD"/>
    <w:rsid w:val="001D4339"/>
    <w:rsid w:val="001D458B"/>
    <w:rsid w:val="001D466C"/>
    <w:rsid w:val="001D471D"/>
    <w:rsid w:val="001D484E"/>
    <w:rsid w:val="001D4AF2"/>
    <w:rsid w:val="001D4C95"/>
    <w:rsid w:val="001D4CF3"/>
    <w:rsid w:val="001D52D5"/>
    <w:rsid w:val="001D5350"/>
    <w:rsid w:val="001D538C"/>
    <w:rsid w:val="001D5426"/>
    <w:rsid w:val="001D557D"/>
    <w:rsid w:val="001D561D"/>
    <w:rsid w:val="001D5789"/>
    <w:rsid w:val="001D580D"/>
    <w:rsid w:val="001D59D0"/>
    <w:rsid w:val="001D5B26"/>
    <w:rsid w:val="001D5FED"/>
    <w:rsid w:val="001D6079"/>
    <w:rsid w:val="001D60F7"/>
    <w:rsid w:val="001D6467"/>
    <w:rsid w:val="001D6883"/>
    <w:rsid w:val="001D6D40"/>
    <w:rsid w:val="001D6DB9"/>
    <w:rsid w:val="001D720D"/>
    <w:rsid w:val="001D7717"/>
    <w:rsid w:val="001D79B6"/>
    <w:rsid w:val="001D7D64"/>
    <w:rsid w:val="001D7FB2"/>
    <w:rsid w:val="001E002E"/>
    <w:rsid w:val="001E0297"/>
    <w:rsid w:val="001E034F"/>
    <w:rsid w:val="001E058F"/>
    <w:rsid w:val="001E073E"/>
    <w:rsid w:val="001E09EC"/>
    <w:rsid w:val="001E0C3B"/>
    <w:rsid w:val="001E0D92"/>
    <w:rsid w:val="001E12AD"/>
    <w:rsid w:val="001E1397"/>
    <w:rsid w:val="001E16DB"/>
    <w:rsid w:val="001E179B"/>
    <w:rsid w:val="001E198A"/>
    <w:rsid w:val="001E1E4D"/>
    <w:rsid w:val="001E25E7"/>
    <w:rsid w:val="001E2A8A"/>
    <w:rsid w:val="001E2B3A"/>
    <w:rsid w:val="001E2B4B"/>
    <w:rsid w:val="001E2D39"/>
    <w:rsid w:val="001E2F36"/>
    <w:rsid w:val="001E3053"/>
    <w:rsid w:val="001E3166"/>
    <w:rsid w:val="001E3274"/>
    <w:rsid w:val="001E329C"/>
    <w:rsid w:val="001E33D1"/>
    <w:rsid w:val="001E350B"/>
    <w:rsid w:val="001E3577"/>
    <w:rsid w:val="001E36A5"/>
    <w:rsid w:val="001E3879"/>
    <w:rsid w:val="001E3BD6"/>
    <w:rsid w:val="001E3C4E"/>
    <w:rsid w:val="001E3D89"/>
    <w:rsid w:val="001E3ED5"/>
    <w:rsid w:val="001E40F4"/>
    <w:rsid w:val="001E49F4"/>
    <w:rsid w:val="001E4B7F"/>
    <w:rsid w:val="001E4C5A"/>
    <w:rsid w:val="001E4DE9"/>
    <w:rsid w:val="001E4E19"/>
    <w:rsid w:val="001E4ED5"/>
    <w:rsid w:val="001E4FAB"/>
    <w:rsid w:val="001E5140"/>
    <w:rsid w:val="001E5285"/>
    <w:rsid w:val="001E5505"/>
    <w:rsid w:val="001E5525"/>
    <w:rsid w:val="001E5703"/>
    <w:rsid w:val="001E57CA"/>
    <w:rsid w:val="001E5B1B"/>
    <w:rsid w:val="001E6097"/>
    <w:rsid w:val="001E609E"/>
    <w:rsid w:val="001E624E"/>
    <w:rsid w:val="001E6545"/>
    <w:rsid w:val="001E6749"/>
    <w:rsid w:val="001E6D77"/>
    <w:rsid w:val="001E6E90"/>
    <w:rsid w:val="001E7222"/>
    <w:rsid w:val="001E7495"/>
    <w:rsid w:val="001E76BD"/>
    <w:rsid w:val="001E7841"/>
    <w:rsid w:val="001E7A3D"/>
    <w:rsid w:val="001E7ABA"/>
    <w:rsid w:val="001E7BFE"/>
    <w:rsid w:val="001E7CCD"/>
    <w:rsid w:val="001F017D"/>
    <w:rsid w:val="001F0254"/>
    <w:rsid w:val="001F0388"/>
    <w:rsid w:val="001F0516"/>
    <w:rsid w:val="001F056D"/>
    <w:rsid w:val="001F089C"/>
    <w:rsid w:val="001F0E96"/>
    <w:rsid w:val="001F0F52"/>
    <w:rsid w:val="001F0FC1"/>
    <w:rsid w:val="001F11BB"/>
    <w:rsid w:val="001F11E1"/>
    <w:rsid w:val="001F145A"/>
    <w:rsid w:val="001F16AE"/>
    <w:rsid w:val="001F246D"/>
    <w:rsid w:val="001F2471"/>
    <w:rsid w:val="001F29F5"/>
    <w:rsid w:val="001F2A13"/>
    <w:rsid w:val="001F2C58"/>
    <w:rsid w:val="001F2EBD"/>
    <w:rsid w:val="001F2FB4"/>
    <w:rsid w:val="001F30B1"/>
    <w:rsid w:val="001F3195"/>
    <w:rsid w:val="001F376E"/>
    <w:rsid w:val="001F3860"/>
    <w:rsid w:val="001F42EC"/>
    <w:rsid w:val="001F43D5"/>
    <w:rsid w:val="001F4503"/>
    <w:rsid w:val="001F470D"/>
    <w:rsid w:val="001F491E"/>
    <w:rsid w:val="001F49D1"/>
    <w:rsid w:val="001F4A4F"/>
    <w:rsid w:val="001F4A72"/>
    <w:rsid w:val="001F4D2C"/>
    <w:rsid w:val="001F4D74"/>
    <w:rsid w:val="001F4EF9"/>
    <w:rsid w:val="001F50BD"/>
    <w:rsid w:val="001F52BD"/>
    <w:rsid w:val="001F541C"/>
    <w:rsid w:val="001F54C0"/>
    <w:rsid w:val="001F560C"/>
    <w:rsid w:val="001F57E9"/>
    <w:rsid w:val="001F58BA"/>
    <w:rsid w:val="001F58D4"/>
    <w:rsid w:val="001F5ACF"/>
    <w:rsid w:val="001F5CE8"/>
    <w:rsid w:val="001F5D64"/>
    <w:rsid w:val="001F5D95"/>
    <w:rsid w:val="001F64EB"/>
    <w:rsid w:val="001F6C8C"/>
    <w:rsid w:val="001F6EE8"/>
    <w:rsid w:val="001F7069"/>
    <w:rsid w:val="001F7230"/>
    <w:rsid w:val="001F7BED"/>
    <w:rsid w:val="001F7DC5"/>
    <w:rsid w:val="001F7DD3"/>
    <w:rsid w:val="001F7FAA"/>
    <w:rsid w:val="001F7FB7"/>
    <w:rsid w:val="0020024D"/>
    <w:rsid w:val="002002DE"/>
    <w:rsid w:val="00200328"/>
    <w:rsid w:val="0020066E"/>
    <w:rsid w:val="002006E9"/>
    <w:rsid w:val="00200988"/>
    <w:rsid w:val="00200E84"/>
    <w:rsid w:val="00200F04"/>
    <w:rsid w:val="0020123C"/>
    <w:rsid w:val="00201CB2"/>
    <w:rsid w:val="00201CC2"/>
    <w:rsid w:val="00201DC3"/>
    <w:rsid w:val="00201E6F"/>
    <w:rsid w:val="00201FC6"/>
    <w:rsid w:val="002021CA"/>
    <w:rsid w:val="0020233E"/>
    <w:rsid w:val="002023C3"/>
    <w:rsid w:val="002025F5"/>
    <w:rsid w:val="00202795"/>
    <w:rsid w:val="00202804"/>
    <w:rsid w:val="00202A0B"/>
    <w:rsid w:val="00202CCC"/>
    <w:rsid w:val="0020300D"/>
    <w:rsid w:val="002034C1"/>
    <w:rsid w:val="0020371A"/>
    <w:rsid w:val="00203D12"/>
    <w:rsid w:val="00203F13"/>
    <w:rsid w:val="002042E8"/>
    <w:rsid w:val="002043C4"/>
    <w:rsid w:val="00204577"/>
    <w:rsid w:val="002045F1"/>
    <w:rsid w:val="002046CA"/>
    <w:rsid w:val="0020471E"/>
    <w:rsid w:val="002049C2"/>
    <w:rsid w:val="00204EEA"/>
    <w:rsid w:val="00205166"/>
    <w:rsid w:val="00205440"/>
    <w:rsid w:val="002056E3"/>
    <w:rsid w:val="00205C2C"/>
    <w:rsid w:val="00205D63"/>
    <w:rsid w:val="00206186"/>
    <w:rsid w:val="00206357"/>
    <w:rsid w:val="002063A9"/>
    <w:rsid w:val="002063EC"/>
    <w:rsid w:val="0020641A"/>
    <w:rsid w:val="0020641B"/>
    <w:rsid w:val="00206863"/>
    <w:rsid w:val="00206B32"/>
    <w:rsid w:val="00206B8B"/>
    <w:rsid w:val="00206D6D"/>
    <w:rsid w:val="00207957"/>
    <w:rsid w:val="00207D07"/>
    <w:rsid w:val="00207FA2"/>
    <w:rsid w:val="002100F9"/>
    <w:rsid w:val="002103C0"/>
    <w:rsid w:val="002104B4"/>
    <w:rsid w:val="002107C6"/>
    <w:rsid w:val="00210DE6"/>
    <w:rsid w:val="00211101"/>
    <w:rsid w:val="00211276"/>
    <w:rsid w:val="00211341"/>
    <w:rsid w:val="0021137F"/>
    <w:rsid w:val="0021147A"/>
    <w:rsid w:val="00211765"/>
    <w:rsid w:val="00211AAD"/>
    <w:rsid w:val="00211C08"/>
    <w:rsid w:val="00211D38"/>
    <w:rsid w:val="00211E97"/>
    <w:rsid w:val="00211EAC"/>
    <w:rsid w:val="00211EB4"/>
    <w:rsid w:val="002120D5"/>
    <w:rsid w:val="002122E7"/>
    <w:rsid w:val="00212526"/>
    <w:rsid w:val="00212658"/>
    <w:rsid w:val="00212750"/>
    <w:rsid w:val="002127F0"/>
    <w:rsid w:val="00212893"/>
    <w:rsid w:val="00212953"/>
    <w:rsid w:val="00212AA2"/>
    <w:rsid w:val="00212B97"/>
    <w:rsid w:val="00212EFB"/>
    <w:rsid w:val="00212FDE"/>
    <w:rsid w:val="002132EA"/>
    <w:rsid w:val="00213310"/>
    <w:rsid w:val="00213318"/>
    <w:rsid w:val="002136D3"/>
    <w:rsid w:val="002136E5"/>
    <w:rsid w:val="0021380E"/>
    <w:rsid w:val="00213C84"/>
    <w:rsid w:val="00213E29"/>
    <w:rsid w:val="002140FE"/>
    <w:rsid w:val="00214215"/>
    <w:rsid w:val="00214409"/>
    <w:rsid w:val="002144B0"/>
    <w:rsid w:val="00214575"/>
    <w:rsid w:val="00214A9E"/>
    <w:rsid w:val="00214B05"/>
    <w:rsid w:val="00214B0F"/>
    <w:rsid w:val="00214C05"/>
    <w:rsid w:val="00214C4C"/>
    <w:rsid w:val="00214CE4"/>
    <w:rsid w:val="00214EDD"/>
    <w:rsid w:val="002150A9"/>
    <w:rsid w:val="00215102"/>
    <w:rsid w:val="0021534C"/>
    <w:rsid w:val="002153D6"/>
    <w:rsid w:val="00215597"/>
    <w:rsid w:val="00215984"/>
    <w:rsid w:val="00215C80"/>
    <w:rsid w:val="00215E56"/>
    <w:rsid w:val="002162C9"/>
    <w:rsid w:val="00216376"/>
    <w:rsid w:val="002165C2"/>
    <w:rsid w:val="002166B8"/>
    <w:rsid w:val="00216863"/>
    <w:rsid w:val="00216878"/>
    <w:rsid w:val="00216BD9"/>
    <w:rsid w:val="00217889"/>
    <w:rsid w:val="00217EFD"/>
    <w:rsid w:val="002201A0"/>
    <w:rsid w:val="00220247"/>
    <w:rsid w:val="002202A2"/>
    <w:rsid w:val="00220392"/>
    <w:rsid w:val="002203D4"/>
    <w:rsid w:val="002204BB"/>
    <w:rsid w:val="00220588"/>
    <w:rsid w:val="00220898"/>
    <w:rsid w:val="00220913"/>
    <w:rsid w:val="002209BC"/>
    <w:rsid w:val="00220C8A"/>
    <w:rsid w:val="00220EA4"/>
    <w:rsid w:val="00220ECB"/>
    <w:rsid w:val="00221205"/>
    <w:rsid w:val="002213AA"/>
    <w:rsid w:val="0022142E"/>
    <w:rsid w:val="00221516"/>
    <w:rsid w:val="00221929"/>
    <w:rsid w:val="002219E2"/>
    <w:rsid w:val="0022223F"/>
    <w:rsid w:val="00222280"/>
    <w:rsid w:val="002225C6"/>
    <w:rsid w:val="00222610"/>
    <w:rsid w:val="00222646"/>
    <w:rsid w:val="0022267F"/>
    <w:rsid w:val="002229AC"/>
    <w:rsid w:val="00222CD5"/>
    <w:rsid w:val="00222F13"/>
    <w:rsid w:val="002231DB"/>
    <w:rsid w:val="0022336B"/>
    <w:rsid w:val="00223C03"/>
    <w:rsid w:val="00223CF0"/>
    <w:rsid w:val="00223D8A"/>
    <w:rsid w:val="00223E24"/>
    <w:rsid w:val="00223FB8"/>
    <w:rsid w:val="0022421C"/>
    <w:rsid w:val="00224264"/>
    <w:rsid w:val="0022455A"/>
    <w:rsid w:val="00224C40"/>
    <w:rsid w:val="00224CC7"/>
    <w:rsid w:val="00224D3E"/>
    <w:rsid w:val="00224E94"/>
    <w:rsid w:val="00224F26"/>
    <w:rsid w:val="00225247"/>
    <w:rsid w:val="002254E9"/>
    <w:rsid w:val="0022570E"/>
    <w:rsid w:val="002257A8"/>
    <w:rsid w:val="002257D8"/>
    <w:rsid w:val="0022588A"/>
    <w:rsid w:val="00225933"/>
    <w:rsid w:val="0022598B"/>
    <w:rsid w:val="00225C59"/>
    <w:rsid w:val="00225E12"/>
    <w:rsid w:val="002260D8"/>
    <w:rsid w:val="0022616A"/>
    <w:rsid w:val="002261AB"/>
    <w:rsid w:val="00226257"/>
    <w:rsid w:val="002262BF"/>
    <w:rsid w:val="00226306"/>
    <w:rsid w:val="00226AD9"/>
    <w:rsid w:val="00226B0E"/>
    <w:rsid w:val="00226DCB"/>
    <w:rsid w:val="00226E43"/>
    <w:rsid w:val="00227111"/>
    <w:rsid w:val="00227126"/>
    <w:rsid w:val="00227228"/>
    <w:rsid w:val="0022733E"/>
    <w:rsid w:val="0022743E"/>
    <w:rsid w:val="002275CC"/>
    <w:rsid w:val="00227A1F"/>
    <w:rsid w:val="00227B9B"/>
    <w:rsid w:val="00227CD8"/>
    <w:rsid w:val="00227DBB"/>
    <w:rsid w:val="002304BC"/>
    <w:rsid w:val="0023075D"/>
    <w:rsid w:val="00230AD9"/>
    <w:rsid w:val="00230CC1"/>
    <w:rsid w:val="00231247"/>
    <w:rsid w:val="0023130E"/>
    <w:rsid w:val="00231537"/>
    <w:rsid w:val="00231580"/>
    <w:rsid w:val="00231A84"/>
    <w:rsid w:val="00231A92"/>
    <w:rsid w:val="00231B92"/>
    <w:rsid w:val="00231B97"/>
    <w:rsid w:val="00231B9D"/>
    <w:rsid w:val="00231CEC"/>
    <w:rsid w:val="00232185"/>
    <w:rsid w:val="0023245B"/>
    <w:rsid w:val="0023257B"/>
    <w:rsid w:val="00232BAB"/>
    <w:rsid w:val="00232C6B"/>
    <w:rsid w:val="00232CE6"/>
    <w:rsid w:val="00232FBA"/>
    <w:rsid w:val="002330F8"/>
    <w:rsid w:val="0023328F"/>
    <w:rsid w:val="002333D4"/>
    <w:rsid w:val="00233598"/>
    <w:rsid w:val="002336ED"/>
    <w:rsid w:val="00233870"/>
    <w:rsid w:val="00233D84"/>
    <w:rsid w:val="00233DC7"/>
    <w:rsid w:val="00233E19"/>
    <w:rsid w:val="002344A7"/>
    <w:rsid w:val="002344F5"/>
    <w:rsid w:val="00234711"/>
    <w:rsid w:val="00234742"/>
    <w:rsid w:val="00234766"/>
    <w:rsid w:val="00234AA4"/>
    <w:rsid w:val="00234C99"/>
    <w:rsid w:val="0023504C"/>
    <w:rsid w:val="00235364"/>
    <w:rsid w:val="00235481"/>
    <w:rsid w:val="00235872"/>
    <w:rsid w:val="00235AA1"/>
    <w:rsid w:val="00235C38"/>
    <w:rsid w:val="00235D6B"/>
    <w:rsid w:val="00235E0A"/>
    <w:rsid w:val="00235FE7"/>
    <w:rsid w:val="002361BC"/>
    <w:rsid w:val="00236201"/>
    <w:rsid w:val="002364FC"/>
    <w:rsid w:val="00236835"/>
    <w:rsid w:val="00236B89"/>
    <w:rsid w:val="00236F8A"/>
    <w:rsid w:val="002370DB"/>
    <w:rsid w:val="002371E5"/>
    <w:rsid w:val="00237369"/>
    <w:rsid w:val="00237426"/>
    <w:rsid w:val="00237668"/>
    <w:rsid w:val="00237670"/>
    <w:rsid w:val="002377E6"/>
    <w:rsid w:val="00237CB4"/>
    <w:rsid w:val="00240031"/>
    <w:rsid w:val="002400E5"/>
    <w:rsid w:val="00240791"/>
    <w:rsid w:val="0024083D"/>
    <w:rsid w:val="0024095F"/>
    <w:rsid w:val="00240E28"/>
    <w:rsid w:val="00240F68"/>
    <w:rsid w:val="00240F6F"/>
    <w:rsid w:val="002418C8"/>
    <w:rsid w:val="002419DA"/>
    <w:rsid w:val="00241B23"/>
    <w:rsid w:val="00241E58"/>
    <w:rsid w:val="00241EFF"/>
    <w:rsid w:val="00241FCD"/>
    <w:rsid w:val="00241FDF"/>
    <w:rsid w:val="00242B8C"/>
    <w:rsid w:val="00242E95"/>
    <w:rsid w:val="00242F2E"/>
    <w:rsid w:val="00243123"/>
    <w:rsid w:val="0024357B"/>
    <w:rsid w:val="0024379D"/>
    <w:rsid w:val="00243A71"/>
    <w:rsid w:val="00243BFD"/>
    <w:rsid w:val="002440B9"/>
    <w:rsid w:val="00244162"/>
    <w:rsid w:val="00244175"/>
    <w:rsid w:val="00244508"/>
    <w:rsid w:val="0024483F"/>
    <w:rsid w:val="002449BE"/>
    <w:rsid w:val="00244D0B"/>
    <w:rsid w:val="00244D2D"/>
    <w:rsid w:val="00244EA3"/>
    <w:rsid w:val="00244EF8"/>
    <w:rsid w:val="00244FBC"/>
    <w:rsid w:val="00245601"/>
    <w:rsid w:val="00245841"/>
    <w:rsid w:val="00245F3D"/>
    <w:rsid w:val="0024607A"/>
    <w:rsid w:val="00246245"/>
    <w:rsid w:val="00246388"/>
    <w:rsid w:val="0024656C"/>
    <w:rsid w:val="00246B6C"/>
    <w:rsid w:val="002470D4"/>
    <w:rsid w:val="002470F6"/>
    <w:rsid w:val="002472A4"/>
    <w:rsid w:val="002473D8"/>
    <w:rsid w:val="00247639"/>
    <w:rsid w:val="0024775E"/>
    <w:rsid w:val="00247779"/>
    <w:rsid w:val="002477EF"/>
    <w:rsid w:val="0024782B"/>
    <w:rsid w:val="00247836"/>
    <w:rsid w:val="00247B1D"/>
    <w:rsid w:val="00247E5D"/>
    <w:rsid w:val="00250148"/>
    <w:rsid w:val="0025018A"/>
    <w:rsid w:val="002503C7"/>
    <w:rsid w:val="00250581"/>
    <w:rsid w:val="002505AA"/>
    <w:rsid w:val="00250836"/>
    <w:rsid w:val="002509BB"/>
    <w:rsid w:val="00250A0F"/>
    <w:rsid w:val="00250CEF"/>
    <w:rsid w:val="00250DBE"/>
    <w:rsid w:val="00250F98"/>
    <w:rsid w:val="0025102C"/>
    <w:rsid w:val="002510B9"/>
    <w:rsid w:val="002510F9"/>
    <w:rsid w:val="00251177"/>
    <w:rsid w:val="00251487"/>
    <w:rsid w:val="002515A1"/>
    <w:rsid w:val="002516DF"/>
    <w:rsid w:val="00251729"/>
    <w:rsid w:val="00251ABE"/>
    <w:rsid w:val="00251AF9"/>
    <w:rsid w:val="00251C83"/>
    <w:rsid w:val="00251E70"/>
    <w:rsid w:val="002524D1"/>
    <w:rsid w:val="00252819"/>
    <w:rsid w:val="0025291C"/>
    <w:rsid w:val="00252BE2"/>
    <w:rsid w:val="00252D5E"/>
    <w:rsid w:val="00252EC2"/>
    <w:rsid w:val="00252FA0"/>
    <w:rsid w:val="00253184"/>
    <w:rsid w:val="0025330E"/>
    <w:rsid w:val="00253686"/>
    <w:rsid w:val="00253852"/>
    <w:rsid w:val="00253BF3"/>
    <w:rsid w:val="00253DEE"/>
    <w:rsid w:val="0025403A"/>
    <w:rsid w:val="0025470E"/>
    <w:rsid w:val="002547FA"/>
    <w:rsid w:val="00254820"/>
    <w:rsid w:val="00255124"/>
    <w:rsid w:val="002553CE"/>
    <w:rsid w:val="00255711"/>
    <w:rsid w:val="002558CA"/>
    <w:rsid w:val="00255A01"/>
    <w:rsid w:val="00255D12"/>
    <w:rsid w:val="002562D7"/>
    <w:rsid w:val="0025634B"/>
    <w:rsid w:val="002563D3"/>
    <w:rsid w:val="00256539"/>
    <w:rsid w:val="00256756"/>
    <w:rsid w:val="00256815"/>
    <w:rsid w:val="00256DFC"/>
    <w:rsid w:val="00256EE9"/>
    <w:rsid w:val="00256F19"/>
    <w:rsid w:val="0025701B"/>
    <w:rsid w:val="00257086"/>
    <w:rsid w:val="00257091"/>
    <w:rsid w:val="002571BD"/>
    <w:rsid w:val="002573C4"/>
    <w:rsid w:val="0025742A"/>
    <w:rsid w:val="0025765F"/>
    <w:rsid w:val="002576AB"/>
    <w:rsid w:val="002577B3"/>
    <w:rsid w:val="002578E3"/>
    <w:rsid w:val="00257955"/>
    <w:rsid w:val="002579C3"/>
    <w:rsid w:val="00257CE2"/>
    <w:rsid w:val="00257D3A"/>
    <w:rsid w:val="00257D40"/>
    <w:rsid w:val="00257E43"/>
    <w:rsid w:val="002601F1"/>
    <w:rsid w:val="002602AE"/>
    <w:rsid w:val="00260347"/>
    <w:rsid w:val="00260453"/>
    <w:rsid w:val="00260700"/>
    <w:rsid w:val="00260F4F"/>
    <w:rsid w:val="00260FB4"/>
    <w:rsid w:val="0026112D"/>
    <w:rsid w:val="0026156A"/>
    <w:rsid w:val="002616AF"/>
    <w:rsid w:val="002617BC"/>
    <w:rsid w:val="002618F4"/>
    <w:rsid w:val="00261916"/>
    <w:rsid w:val="002619D3"/>
    <w:rsid w:val="00261B15"/>
    <w:rsid w:val="00261D40"/>
    <w:rsid w:val="00261EFF"/>
    <w:rsid w:val="00261F27"/>
    <w:rsid w:val="00262187"/>
    <w:rsid w:val="00262192"/>
    <w:rsid w:val="00262567"/>
    <w:rsid w:val="00262665"/>
    <w:rsid w:val="002631F1"/>
    <w:rsid w:val="0026320E"/>
    <w:rsid w:val="002633B0"/>
    <w:rsid w:val="002633F5"/>
    <w:rsid w:val="00263445"/>
    <w:rsid w:val="00263582"/>
    <w:rsid w:val="002636B1"/>
    <w:rsid w:val="002637F0"/>
    <w:rsid w:val="002639DB"/>
    <w:rsid w:val="002639FC"/>
    <w:rsid w:val="00263CFE"/>
    <w:rsid w:val="00263E1F"/>
    <w:rsid w:val="00263EF5"/>
    <w:rsid w:val="00264777"/>
    <w:rsid w:val="0026479F"/>
    <w:rsid w:val="002647F3"/>
    <w:rsid w:val="00264990"/>
    <w:rsid w:val="0026499F"/>
    <w:rsid w:val="00264B7D"/>
    <w:rsid w:val="00264FA0"/>
    <w:rsid w:val="0026543F"/>
    <w:rsid w:val="00265569"/>
    <w:rsid w:val="002656E4"/>
    <w:rsid w:val="0026572C"/>
    <w:rsid w:val="0026586B"/>
    <w:rsid w:val="00265D10"/>
    <w:rsid w:val="00265DB7"/>
    <w:rsid w:val="00266112"/>
    <w:rsid w:val="0026645D"/>
    <w:rsid w:val="00266AD7"/>
    <w:rsid w:val="00266E5F"/>
    <w:rsid w:val="00266F4E"/>
    <w:rsid w:val="0026788A"/>
    <w:rsid w:val="002678A1"/>
    <w:rsid w:val="00267F4D"/>
    <w:rsid w:val="002709DD"/>
    <w:rsid w:val="00270A64"/>
    <w:rsid w:val="00270BC8"/>
    <w:rsid w:val="00270C34"/>
    <w:rsid w:val="00271008"/>
    <w:rsid w:val="0027142B"/>
    <w:rsid w:val="002717F4"/>
    <w:rsid w:val="00271BD8"/>
    <w:rsid w:val="00271C7B"/>
    <w:rsid w:val="00272251"/>
    <w:rsid w:val="0027226E"/>
    <w:rsid w:val="00272879"/>
    <w:rsid w:val="002728CD"/>
    <w:rsid w:val="00272993"/>
    <w:rsid w:val="00272AF2"/>
    <w:rsid w:val="00272F84"/>
    <w:rsid w:val="00273719"/>
    <w:rsid w:val="00273772"/>
    <w:rsid w:val="002738FF"/>
    <w:rsid w:val="00273B24"/>
    <w:rsid w:val="00273C14"/>
    <w:rsid w:val="00273DE7"/>
    <w:rsid w:val="00274662"/>
    <w:rsid w:val="0027478E"/>
    <w:rsid w:val="002747D4"/>
    <w:rsid w:val="0027498B"/>
    <w:rsid w:val="00274A5C"/>
    <w:rsid w:val="00274D03"/>
    <w:rsid w:val="00274D79"/>
    <w:rsid w:val="00275215"/>
    <w:rsid w:val="002754D7"/>
    <w:rsid w:val="00275733"/>
    <w:rsid w:val="00275782"/>
    <w:rsid w:val="002758E6"/>
    <w:rsid w:val="0027596B"/>
    <w:rsid w:val="002759BE"/>
    <w:rsid w:val="002760C6"/>
    <w:rsid w:val="00276119"/>
    <w:rsid w:val="00276264"/>
    <w:rsid w:val="002765A2"/>
    <w:rsid w:val="002765C8"/>
    <w:rsid w:val="002766E7"/>
    <w:rsid w:val="00276A88"/>
    <w:rsid w:val="00276BEF"/>
    <w:rsid w:val="00276D33"/>
    <w:rsid w:val="00276D77"/>
    <w:rsid w:val="00276E72"/>
    <w:rsid w:val="002771FF"/>
    <w:rsid w:val="00277208"/>
    <w:rsid w:val="00277473"/>
    <w:rsid w:val="00277739"/>
    <w:rsid w:val="0027775A"/>
    <w:rsid w:val="00277C1E"/>
    <w:rsid w:val="00277FB4"/>
    <w:rsid w:val="00277FE7"/>
    <w:rsid w:val="0028006C"/>
    <w:rsid w:val="00280582"/>
    <w:rsid w:val="0028063A"/>
    <w:rsid w:val="002807FA"/>
    <w:rsid w:val="002809B6"/>
    <w:rsid w:val="00280BF8"/>
    <w:rsid w:val="00280C5A"/>
    <w:rsid w:val="00280C5C"/>
    <w:rsid w:val="00280DA6"/>
    <w:rsid w:val="002811F1"/>
    <w:rsid w:val="0028178F"/>
    <w:rsid w:val="002817CE"/>
    <w:rsid w:val="0028190E"/>
    <w:rsid w:val="00281EA6"/>
    <w:rsid w:val="002820FD"/>
    <w:rsid w:val="002824A7"/>
    <w:rsid w:val="00282921"/>
    <w:rsid w:val="00282BBA"/>
    <w:rsid w:val="00282BBE"/>
    <w:rsid w:val="00282FAD"/>
    <w:rsid w:val="002830EC"/>
    <w:rsid w:val="00283770"/>
    <w:rsid w:val="00283C14"/>
    <w:rsid w:val="00283CE3"/>
    <w:rsid w:val="00283DFC"/>
    <w:rsid w:val="00283E05"/>
    <w:rsid w:val="00283EF3"/>
    <w:rsid w:val="002840BB"/>
    <w:rsid w:val="0028416D"/>
    <w:rsid w:val="00284507"/>
    <w:rsid w:val="00284757"/>
    <w:rsid w:val="00284871"/>
    <w:rsid w:val="002848A6"/>
    <w:rsid w:val="00284D38"/>
    <w:rsid w:val="00284F15"/>
    <w:rsid w:val="002852F4"/>
    <w:rsid w:val="0028537A"/>
    <w:rsid w:val="00285549"/>
    <w:rsid w:val="002855FB"/>
    <w:rsid w:val="00285628"/>
    <w:rsid w:val="002858BB"/>
    <w:rsid w:val="00285BEE"/>
    <w:rsid w:val="00285DC5"/>
    <w:rsid w:val="00285DF6"/>
    <w:rsid w:val="00285F6B"/>
    <w:rsid w:val="002864AC"/>
    <w:rsid w:val="0028651A"/>
    <w:rsid w:val="0028658F"/>
    <w:rsid w:val="002866B0"/>
    <w:rsid w:val="00286703"/>
    <w:rsid w:val="00286AB0"/>
    <w:rsid w:val="00286B23"/>
    <w:rsid w:val="00286CCF"/>
    <w:rsid w:val="00286DE8"/>
    <w:rsid w:val="00286F28"/>
    <w:rsid w:val="0028744A"/>
    <w:rsid w:val="0028765B"/>
    <w:rsid w:val="0028776E"/>
    <w:rsid w:val="002877AC"/>
    <w:rsid w:val="00287B9A"/>
    <w:rsid w:val="00287F20"/>
    <w:rsid w:val="00287F2E"/>
    <w:rsid w:val="00290015"/>
    <w:rsid w:val="00290203"/>
    <w:rsid w:val="00290273"/>
    <w:rsid w:val="002902D2"/>
    <w:rsid w:val="0029064A"/>
    <w:rsid w:val="002906C1"/>
    <w:rsid w:val="00290D63"/>
    <w:rsid w:val="00291028"/>
    <w:rsid w:val="0029103C"/>
    <w:rsid w:val="002914E5"/>
    <w:rsid w:val="002916ED"/>
    <w:rsid w:val="0029189B"/>
    <w:rsid w:val="002918E9"/>
    <w:rsid w:val="00291A94"/>
    <w:rsid w:val="00291B0B"/>
    <w:rsid w:val="00291B91"/>
    <w:rsid w:val="00291BA6"/>
    <w:rsid w:val="00291BDD"/>
    <w:rsid w:val="00291DC0"/>
    <w:rsid w:val="00291F34"/>
    <w:rsid w:val="00291FBF"/>
    <w:rsid w:val="00292073"/>
    <w:rsid w:val="002921AF"/>
    <w:rsid w:val="0029245D"/>
    <w:rsid w:val="00292525"/>
    <w:rsid w:val="002925CD"/>
    <w:rsid w:val="00292B7F"/>
    <w:rsid w:val="00292C52"/>
    <w:rsid w:val="00292E6A"/>
    <w:rsid w:val="00293064"/>
    <w:rsid w:val="00293641"/>
    <w:rsid w:val="002938DC"/>
    <w:rsid w:val="00293BEF"/>
    <w:rsid w:val="00293C83"/>
    <w:rsid w:val="00293CC7"/>
    <w:rsid w:val="00293F7B"/>
    <w:rsid w:val="002943A7"/>
    <w:rsid w:val="00294400"/>
    <w:rsid w:val="0029469A"/>
    <w:rsid w:val="0029480A"/>
    <w:rsid w:val="00294832"/>
    <w:rsid w:val="00294B2B"/>
    <w:rsid w:val="0029513B"/>
    <w:rsid w:val="0029515F"/>
    <w:rsid w:val="0029533F"/>
    <w:rsid w:val="00295493"/>
    <w:rsid w:val="00295641"/>
    <w:rsid w:val="00295780"/>
    <w:rsid w:val="0029579A"/>
    <w:rsid w:val="0029583C"/>
    <w:rsid w:val="00295985"/>
    <w:rsid w:val="00295D88"/>
    <w:rsid w:val="00295ECB"/>
    <w:rsid w:val="002962FC"/>
    <w:rsid w:val="00296401"/>
    <w:rsid w:val="00296970"/>
    <w:rsid w:val="00296EB4"/>
    <w:rsid w:val="0029709D"/>
    <w:rsid w:val="002970AB"/>
    <w:rsid w:val="002970BB"/>
    <w:rsid w:val="002971EF"/>
    <w:rsid w:val="002971FB"/>
    <w:rsid w:val="002975F2"/>
    <w:rsid w:val="002976E4"/>
    <w:rsid w:val="00297D1D"/>
    <w:rsid w:val="00297DDD"/>
    <w:rsid w:val="00297F97"/>
    <w:rsid w:val="002A011A"/>
    <w:rsid w:val="002A0188"/>
    <w:rsid w:val="002A032C"/>
    <w:rsid w:val="002A0364"/>
    <w:rsid w:val="002A0D0C"/>
    <w:rsid w:val="002A0E9B"/>
    <w:rsid w:val="002A0ECA"/>
    <w:rsid w:val="002A1292"/>
    <w:rsid w:val="002A12C4"/>
    <w:rsid w:val="002A1660"/>
    <w:rsid w:val="002A1DB3"/>
    <w:rsid w:val="002A1F8B"/>
    <w:rsid w:val="002A1FF9"/>
    <w:rsid w:val="002A2185"/>
    <w:rsid w:val="002A22C4"/>
    <w:rsid w:val="002A22FF"/>
    <w:rsid w:val="002A2325"/>
    <w:rsid w:val="002A2343"/>
    <w:rsid w:val="002A2412"/>
    <w:rsid w:val="002A25F3"/>
    <w:rsid w:val="002A2737"/>
    <w:rsid w:val="002A27BE"/>
    <w:rsid w:val="002A2C4B"/>
    <w:rsid w:val="002A2D66"/>
    <w:rsid w:val="002A3295"/>
    <w:rsid w:val="002A34AF"/>
    <w:rsid w:val="002A3771"/>
    <w:rsid w:val="002A3B14"/>
    <w:rsid w:val="002A3BDF"/>
    <w:rsid w:val="002A3D0D"/>
    <w:rsid w:val="002A3FF4"/>
    <w:rsid w:val="002A42C3"/>
    <w:rsid w:val="002A43C4"/>
    <w:rsid w:val="002A43EC"/>
    <w:rsid w:val="002A450A"/>
    <w:rsid w:val="002A4803"/>
    <w:rsid w:val="002A4808"/>
    <w:rsid w:val="002A4A26"/>
    <w:rsid w:val="002A4AAC"/>
    <w:rsid w:val="002A4E6A"/>
    <w:rsid w:val="002A52CB"/>
    <w:rsid w:val="002A5936"/>
    <w:rsid w:val="002A59A5"/>
    <w:rsid w:val="002A5D93"/>
    <w:rsid w:val="002A5E72"/>
    <w:rsid w:val="002A5F28"/>
    <w:rsid w:val="002A600C"/>
    <w:rsid w:val="002A62E5"/>
    <w:rsid w:val="002A6356"/>
    <w:rsid w:val="002A6C7B"/>
    <w:rsid w:val="002A6D45"/>
    <w:rsid w:val="002A6D88"/>
    <w:rsid w:val="002A6F5C"/>
    <w:rsid w:val="002A6FDE"/>
    <w:rsid w:val="002A7021"/>
    <w:rsid w:val="002A71A0"/>
    <w:rsid w:val="002A7572"/>
    <w:rsid w:val="002A7659"/>
    <w:rsid w:val="002A767F"/>
    <w:rsid w:val="002A7C43"/>
    <w:rsid w:val="002A7C95"/>
    <w:rsid w:val="002B0229"/>
    <w:rsid w:val="002B02A8"/>
    <w:rsid w:val="002B079E"/>
    <w:rsid w:val="002B0E60"/>
    <w:rsid w:val="002B1339"/>
    <w:rsid w:val="002B13F2"/>
    <w:rsid w:val="002B14E3"/>
    <w:rsid w:val="002B1659"/>
    <w:rsid w:val="002B166F"/>
    <w:rsid w:val="002B1678"/>
    <w:rsid w:val="002B19A0"/>
    <w:rsid w:val="002B19D9"/>
    <w:rsid w:val="002B2385"/>
    <w:rsid w:val="002B26A6"/>
    <w:rsid w:val="002B27C8"/>
    <w:rsid w:val="002B2856"/>
    <w:rsid w:val="002B2DA0"/>
    <w:rsid w:val="002B2E1B"/>
    <w:rsid w:val="002B30AF"/>
    <w:rsid w:val="002B321A"/>
    <w:rsid w:val="002B3401"/>
    <w:rsid w:val="002B3488"/>
    <w:rsid w:val="002B3547"/>
    <w:rsid w:val="002B3568"/>
    <w:rsid w:val="002B36D1"/>
    <w:rsid w:val="002B385F"/>
    <w:rsid w:val="002B3A1E"/>
    <w:rsid w:val="002B3D0F"/>
    <w:rsid w:val="002B3E31"/>
    <w:rsid w:val="002B433F"/>
    <w:rsid w:val="002B4369"/>
    <w:rsid w:val="002B43C7"/>
    <w:rsid w:val="002B4449"/>
    <w:rsid w:val="002B46FC"/>
    <w:rsid w:val="002B4762"/>
    <w:rsid w:val="002B476C"/>
    <w:rsid w:val="002B4832"/>
    <w:rsid w:val="002B4838"/>
    <w:rsid w:val="002B4850"/>
    <w:rsid w:val="002B4960"/>
    <w:rsid w:val="002B4967"/>
    <w:rsid w:val="002B4AC1"/>
    <w:rsid w:val="002B5078"/>
    <w:rsid w:val="002B51DB"/>
    <w:rsid w:val="002B520F"/>
    <w:rsid w:val="002B53B0"/>
    <w:rsid w:val="002B54AD"/>
    <w:rsid w:val="002B5525"/>
    <w:rsid w:val="002B57A8"/>
    <w:rsid w:val="002B59EE"/>
    <w:rsid w:val="002B5B12"/>
    <w:rsid w:val="002B5C88"/>
    <w:rsid w:val="002B5D78"/>
    <w:rsid w:val="002B5DDF"/>
    <w:rsid w:val="002B5F25"/>
    <w:rsid w:val="002B5F86"/>
    <w:rsid w:val="002B5FA9"/>
    <w:rsid w:val="002B6109"/>
    <w:rsid w:val="002B6568"/>
    <w:rsid w:val="002B691E"/>
    <w:rsid w:val="002B693A"/>
    <w:rsid w:val="002B6AFC"/>
    <w:rsid w:val="002B6D32"/>
    <w:rsid w:val="002B6DCB"/>
    <w:rsid w:val="002B6E25"/>
    <w:rsid w:val="002B7517"/>
    <w:rsid w:val="002B77E7"/>
    <w:rsid w:val="002B7899"/>
    <w:rsid w:val="002B7C83"/>
    <w:rsid w:val="002B7E2F"/>
    <w:rsid w:val="002B7F10"/>
    <w:rsid w:val="002C013B"/>
    <w:rsid w:val="002C016C"/>
    <w:rsid w:val="002C0177"/>
    <w:rsid w:val="002C0186"/>
    <w:rsid w:val="002C0345"/>
    <w:rsid w:val="002C0436"/>
    <w:rsid w:val="002C0555"/>
    <w:rsid w:val="002C0668"/>
    <w:rsid w:val="002C07A0"/>
    <w:rsid w:val="002C07E1"/>
    <w:rsid w:val="002C09A0"/>
    <w:rsid w:val="002C0AC7"/>
    <w:rsid w:val="002C0D7A"/>
    <w:rsid w:val="002C0E31"/>
    <w:rsid w:val="002C0F57"/>
    <w:rsid w:val="002C1016"/>
    <w:rsid w:val="002C112E"/>
    <w:rsid w:val="002C155E"/>
    <w:rsid w:val="002C1709"/>
    <w:rsid w:val="002C1E52"/>
    <w:rsid w:val="002C1F55"/>
    <w:rsid w:val="002C1F7B"/>
    <w:rsid w:val="002C2047"/>
    <w:rsid w:val="002C20A4"/>
    <w:rsid w:val="002C257A"/>
    <w:rsid w:val="002C2B43"/>
    <w:rsid w:val="002C2B76"/>
    <w:rsid w:val="002C2EDE"/>
    <w:rsid w:val="002C3058"/>
    <w:rsid w:val="002C3283"/>
    <w:rsid w:val="002C3403"/>
    <w:rsid w:val="002C3420"/>
    <w:rsid w:val="002C357A"/>
    <w:rsid w:val="002C365B"/>
    <w:rsid w:val="002C372F"/>
    <w:rsid w:val="002C3839"/>
    <w:rsid w:val="002C386C"/>
    <w:rsid w:val="002C3A74"/>
    <w:rsid w:val="002C3A8E"/>
    <w:rsid w:val="002C3B6B"/>
    <w:rsid w:val="002C3D34"/>
    <w:rsid w:val="002C4011"/>
    <w:rsid w:val="002C40E2"/>
    <w:rsid w:val="002C449A"/>
    <w:rsid w:val="002C4560"/>
    <w:rsid w:val="002C45B4"/>
    <w:rsid w:val="002C45CE"/>
    <w:rsid w:val="002C4A11"/>
    <w:rsid w:val="002C4C7C"/>
    <w:rsid w:val="002C4CE5"/>
    <w:rsid w:val="002C4D2B"/>
    <w:rsid w:val="002C4F75"/>
    <w:rsid w:val="002C5257"/>
    <w:rsid w:val="002C5428"/>
    <w:rsid w:val="002C56C2"/>
    <w:rsid w:val="002C58AE"/>
    <w:rsid w:val="002C5A96"/>
    <w:rsid w:val="002C5CD7"/>
    <w:rsid w:val="002C5CEF"/>
    <w:rsid w:val="002C5DE9"/>
    <w:rsid w:val="002C6709"/>
    <w:rsid w:val="002C6F81"/>
    <w:rsid w:val="002C74C8"/>
    <w:rsid w:val="002C74EC"/>
    <w:rsid w:val="002C79E7"/>
    <w:rsid w:val="002C7C8D"/>
    <w:rsid w:val="002C7EEA"/>
    <w:rsid w:val="002D0191"/>
    <w:rsid w:val="002D0291"/>
    <w:rsid w:val="002D05D6"/>
    <w:rsid w:val="002D0848"/>
    <w:rsid w:val="002D0942"/>
    <w:rsid w:val="002D0974"/>
    <w:rsid w:val="002D0DA4"/>
    <w:rsid w:val="002D1126"/>
    <w:rsid w:val="002D16E2"/>
    <w:rsid w:val="002D174D"/>
    <w:rsid w:val="002D19DC"/>
    <w:rsid w:val="002D1B75"/>
    <w:rsid w:val="002D1C96"/>
    <w:rsid w:val="002D1CD9"/>
    <w:rsid w:val="002D2257"/>
    <w:rsid w:val="002D2675"/>
    <w:rsid w:val="002D28FB"/>
    <w:rsid w:val="002D29B5"/>
    <w:rsid w:val="002D3135"/>
    <w:rsid w:val="002D316D"/>
    <w:rsid w:val="002D3232"/>
    <w:rsid w:val="002D33D1"/>
    <w:rsid w:val="002D36A7"/>
    <w:rsid w:val="002D37B9"/>
    <w:rsid w:val="002D37CB"/>
    <w:rsid w:val="002D39E7"/>
    <w:rsid w:val="002D3A97"/>
    <w:rsid w:val="002D3E34"/>
    <w:rsid w:val="002D3ED3"/>
    <w:rsid w:val="002D3EE1"/>
    <w:rsid w:val="002D3FEB"/>
    <w:rsid w:val="002D4550"/>
    <w:rsid w:val="002D45FC"/>
    <w:rsid w:val="002D465F"/>
    <w:rsid w:val="002D48AF"/>
    <w:rsid w:val="002D48C0"/>
    <w:rsid w:val="002D49C0"/>
    <w:rsid w:val="002D4B50"/>
    <w:rsid w:val="002D4B68"/>
    <w:rsid w:val="002D520A"/>
    <w:rsid w:val="002D56DE"/>
    <w:rsid w:val="002D5806"/>
    <w:rsid w:val="002D58F2"/>
    <w:rsid w:val="002D5B13"/>
    <w:rsid w:val="002D5E40"/>
    <w:rsid w:val="002D5EBC"/>
    <w:rsid w:val="002D5F6C"/>
    <w:rsid w:val="002D62B9"/>
    <w:rsid w:val="002D6304"/>
    <w:rsid w:val="002D660E"/>
    <w:rsid w:val="002D6670"/>
    <w:rsid w:val="002D67DE"/>
    <w:rsid w:val="002D6A46"/>
    <w:rsid w:val="002D6C20"/>
    <w:rsid w:val="002D6DBE"/>
    <w:rsid w:val="002D6EEF"/>
    <w:rsid w:val="002D6F67"/>
    <w:rsid w:val="002D70B1"/>
    <w:rsid w:val="002D7295"/>
    <w:rsid w:val="002D74CB"/>
    <w:rsid w:val="002D74F6"/>
    <w:rsid w:val="002D75F5"/>
    <w:rsid w:val="002D7902"/>
    <w:rsid w:val="002D7BA1"/>
    <w:rsid w:val="002D7DE2"/>
    <w:rsid w:val="002D7E03"/>
    <w:rsid w:val="002D7E3E"/>
    <w:rsid w:val="002D7F4A"/>
    <w:rsid w:val="002E006E"/>
    <w:rsid w:val="002E0222"/>
    <w:rsid w:val="002E0260"/>
    <w:rsid w:val="002E035F"/>
    <w:rsid w:val="002E046E"/>
    <w:rsid w:val="002E05CC"/>
    <w:rsid w:val="002E0698"/>
    <w:rsid w:val="002E0A91"/>
    <w:rsid w:val="002E0CCD"/>
    <w:rsid w:val="002E0FD1"/>
    <w:rsid w:val="002E1073"/>
    <w:rsid w:val="002E1097"/>
    <w:rsid w:val="002E12FD"/>
    <w:rsid w:val="002E1687"/>
    <w:rsid w:val="002E169A"/>
    <w:rsid w:val="002E176D"/>
    <w:rsid w:val="002E18B8"/>
    <w:rsid w:val="002E1ABA"/>
    <w:rsid w:val="002E200A"/>
    <w:rsid w:val="002E2180"/>
    <w:rsid w:val="002E22E2"/>
    <w:rsid w:val="002E2595"/>
    <w:rsid w:val="002E25D5"/>
    <w:rsid w:val="002E25E1"/>
    <w:rsid w:val="002E2717"/>
    <w:rsid w:val="002E28DD"/>
    <w:rsid w:val="002E2B93"/>
    <w:rsid w:val="002E2E6B"/>
    <w:rsid w:val="002E2FE0"/>
    <w:rsid w:val="002E312E"/>
    <w:rsid w:val="002E34C6"/>
    <w:rsid w:val="002E3925"/>
    <w:rsid w:val="002E430C"/>
    <w:rsid w:val="002E4356"/>
    <w:rsid w:val="002E4AE8"/>
    <w:rsid w:val="002E4C32"/>
    <w:rsid w:val="002E4D17"/>
    <w:rsid w:val="002E50C1"/>
    <w:rsid w:val="002E53F1"/>
    <w:rsid w:val="002E549E"/>
    <w:rsid w:val="002E562C"/>
    <w:rsid w:val="002E58E4"/>
    <w:rsid w:val="002E598F"/>
    <w:rsid w:val="002E5B86"/>
    <w:rsid w:val="002E5CB6"/>
    <w:rsid w:val="002E5E2C"/>
    <w:rsid w:val="002E6168"/>
    <w:rsid w:val="002E633B"/>
    <w:rsid w:val="002E662F"/>
    <w:rsid w:val="002E67DA"/>
    <w:rsid w:val="002E692E"/>
    <w:rsid w:val="002E6DD5"/>
    <w:rsid w:val="002E70B8"/>
    <w:rsid w:val="002E7465"/>
    <w:rsid w:val="002E789C"/>
    <w:rsid w:val="002E7A87"/>
    <w:rsid w:val="002E7AE1"/>
    <w:rsid w:val="002E7B0C"/>
    <w:rsid w:val="002E7CCC"/>
    <w:rsid w:val="002E7DDF"/>
    <w:rsid w:val="002E7F71"/>
    <w:rsid w:val="002F079B"/>
    <w:rsid w:val="002F07A4"/>
    <w:rsid w:val="002F0E1B"/>
    <w:rsid w:val="002F0E39"/>
    <w:rsid w:val="002F0FC8"/>
    <w:rsid w:val="002F1057"/>
    <w:rsid w:val="002F1212"/>
    <w:rsid w:val="002F13B2"/>
    <w:rsid w:val="002F159B"/>
    <w:rsid w:val="002F1613"/>
    <w:rsid w:val="002F1860"/>
    <w:rsid w:val="002F1937"/>
    <w:rsid w:val="002F19D2"/>
    <w:rsid w:val="002F1A92"/>
    <w:rsid w:val="002F1B4E"/>
    <w:rsid w:val="002F1C5D"/>
    <w:rsid w:val="002F206E"/>
    <w:rsid w:val="002F21BF"/>
    <w:rsid w:val="002F275A"/>
    <w:rsid w:val="002F294D"/>
    <w:rsid w:val="002F2AC8"/>
    <w:rsid w:val="002F2C11"/>
    <w:rsid w:val="002F2F14"/>
    <w:rsid w:val="002F3003"/>
    <w:rsid w:val="002F3036"/>
    <w:rsid w:val="002F30A3"/>
    <w:rsid w:val="002F3192"/>
    <w:rsid w:val="002F3512"/>
    <w:rsid w:val="002F3689"/>
    <w:rsid w:val="002F36B7"/>
    <w:rsid w:val="002F37A3"/>
    <w:rsid w:val="002F37E0"/>
    <w:rsid w:val="002F3907"/>
    <w:rsid w:val="002F3BFD"/>
    <w:rsid w:val="002F4206"/>
    <w:rsid w:val="002F432B"/>
    <w:rsid w:val="002F44B5"/>
    <w:rsid w:val="002F4735"/>
    <w:rsid w:val="002F4A84"/>
    <w:rsid w:val="002F4D4B"/>
    <w:rsid w:val="002F51B1"/>
    <w:rsid w:val="002F52FF"/>
    <w:rsid w:val="002F54B0"/>
    <w:rsid w:val="002F56A8"/>
    <w:rsid w:val="002F56D5"/>
    <w:rsid w:val="002F56F3"/>
    <w:rsid w:val="002F5889"/>
    <w:rsid w:val="002F5C1B"/>
    <w:rsid w:val="002F5DDA"/>
    <w:rsid w:val="002F5E61"/>
    <w:rsid w:val="002F62C9"/>
    <w:rsid w:val="002F6462"/>
    <w:rsid w:val="002F6515"/>
    <w:rsid w:val="002F6A80"/>
    <w:rsid w:val="002F6D99"/>
    <w:rsid w:val="002F6E6A"/>
    <w:rsid w:val="002F6EF1"/>
    <w:rsid w:val="002F6FF6"/>
    <w:rsid w:val="002F737C"/>
    <w:rsid w:val="002F752C"/>
    <w:rsid w:val="002F7852"/>
    <w:rsid w:val="002F78DA"/>
    <w:rsid w:val="002F7C16"/>
    <w:rsid w:val="002FFCD9"/>
    <w:rsid w:val="00300208"/>
    <w:rsid w:val="003002EA"/>
    <w:rsid w:val="00300326"/>
    <w:rsid w:val="003004C4"/>
    <w:rsid w:val="00300849"/>
    <w:rsid w:val="0030087E"/>
    <w:rsid w:val="00300A96"/>
    <w:rsid w:val="003013E5"/>
    <w:rsid w:val="00301499"/>
    <w:rsid w:val="003018EF"/>
    <w:rsid w:val="00301987"/>
    <w:rsid w:val="003019C9"/>
    <w:rsid w:val="00301A5B"/>
    <w:rsid w:val="00301A72"/>
    <w:rsid w:val="00301C14"/>
    <w:rsid w:val="00301C4B"/>
    <w:rsid w:val="00301E78"/>
    <w:rsid w:val="00301F35"/>
    <w:rsid w:val="00302111"/>
    <w:rsid w:val="003023F4"/>
    <w:rsid w:val="003024D1"/>
    <w:rsid w:val="0030283A"/>
    <w:rsid w:val="003028FC"/>
    <w:rsid w:val="003029B6"/>
    <w:rsid w:val="00302EA3"/>
    <w:rsid w:val="00303DC9"/>
    <w:rsid w:val="00303F70"/>
    <w:rsid w:val="00304092"/>
    <w:rsid w:val="0030415D"/>
    <w:rsid w:val="003041A9"/>
    <w:rsid w:val="003041C7"/>
    <w:rsid w:val="003041D5"/>
    <w:rsid w:val="00304349"/>
    <w:rsid w:val="003044EA"/>
    <w:rsid w:val="003046E6"/>
    <w:rsid w:val="00304899"/>
    <w:rsid w:val="00304931"/>
    <w:rsid w:val="00304D36"/>
    <w:rsid w:val="00305187"/>
    <w:rsid w:val="00305495"/>
    <w:rsid w:val="0030561D"/>
    <w:rsid w:val="00305670"/>
    <w:rsid w:val="003056CA"/>
    <w:rsid w:val="003056F6"/>
    <w:rsid w:val="00305A8C"/>
    <w:rsid w:val="00305B36"/>
    <w:rsid w:val="00305EB1"/>
    <w:rsid w:val="00305F48"/>
    <w:rsid w:val="003063E1"/>
    <w:rsid w:val="00306430"/>
    <w:rsid w:val="003067A7"/>
    <w:rsid w:val="0030682F"/>
    <w:rsid w:val="00306AEE"/>
    <w:rsid w:val="00306E90"/>
    <w:rsid w:val="00306ED1"/>
    <w:rsid w:val="0030709D"/>
    <w:rsid w:val="00307170"/>
    <w:rsid w:val="003072C7"/>
    <w:rsid w:val="00307328"/>
    <w:rsid w:val="00307339"/>
    <w:rsid w:val="00307444"/>
    <w:rsid w:val="003077EC"/>
    <w:rsid w:val="00307DB2"/>
    <w:rsid w:val="00307F00"/>
    <w:rsid w:val="00310180"/>
    <w:rsid w:val="003101B0"/>
    <w:rsid w:val="0031020A"/>
    <w:rsid w:val="0031047C"/>
    <w:rsid w:val="00310859"/>
    <w:rsid w:val="003108BF"/>
    <w:rsid w:val="003108C1"/>
    <w:rsid w:val="00311087"/>
    <w:rsid w:val="0031112E"/>
    <w:rsid w:val="00311287"/>
    <w:rsid w:val="003112F6"/>
    <w:rsid w:val="003115F6"/>
    <w:rsid w:val="00311B20"/>
    <w:rsid w:val="00311C9B"/>
    <w:rsid w:val="003123D6"/>
    <w:rsid w:val="003126D2"/>
    <w:rsid w:val="00312708"/>
    <w:rsid w:val="00312A3C"/>
    <w:rsid w:val="00312A6A"/>
    <w:rsid w:val="00312B6C"/>
    <w:rsid w:val="00312F94"/>
    <w:rsid w:val="0031311D"/>
    <w:rsid w:val="003131A3"/>
    <w:rsid w:val="00313278"/>
    <w:rsid w:val="003133CB"/>
    <w:rsid w:val="00313460"/>
    <w:rsid w:val="003136A4"/>
    <w:rsid w:val="00313769"/>
    <w:rsid w:val="0031394C"/>
    <w:rsid w:val="00313A1F"/>
    <w:rsid w:val="00313A22"/>
    <w:rsid w:val="00313CA8"/>
    <w:rsid w:val="003140E2"/>
    <w:rsid w:val="003141A0"/>
    <w:rsid w:val="00314296"/>
    <w:rsid w:val="00314431"/>
    <w:rsid w:val="00314619"/>
    <w:rsid w:val="0031478A"/>
    <w:rsid w:val="0031495F"/>
    <w:rsid w:val="00314BF0"/>
    <w:rsid w:val="00314C01"/>
    <w:rsid w:val="00315598"/>
    <w:rsid w:val="003155BE"/>
    <w:rsid w:val="003155CC"/>
    <w:rsid w:val="003155FD"/>
    <w:rsid w:val="00315795"/>
    <w:rsid w:val="003157B3"/>
    <w:rsid w:val="0031581D"/>
    <w:rsid w:val="00315825"/>
    <w:rsid w:val="00315D38"/>
    <w:rsid w:val="00315EA5"/>
    <w:rsid w:val="00315FAB"/>
    <w:rsid w:val="00316055"/>
    <w:rsid w:val="003162EB"/>
    <w:rsid w:val="0031634D"/>
    <w:rsid w:val="003165EF"/>
    <w:rsid w:val="003167D8"/>
    <w:rsid w:val="00316DB5"/>
    <w:rsid w:val="00316FD1"/>
    <w:rsid w:val="00316FDB"/>
    <w:rsid w:val="00317188"/>
    <w:rsid w:val="003175D7"/>
    <w:rsid w:val="003176C9"/>
    <w:rsid w:val="003177DE"/>
    <w:rsid w:val="00317809"/>
    <w:rsid w:val="00317BA0"/>
    <w:rsid w:val="00317C6C"/>
    <w:rsid w:val="00317DD1"/>
    <w:rsid w:val="00317F55"/>
    <w:rsid w:val="00317FA5"/>
    <w:rsid w:val="00320406"/>
    <w:rsid w:val="00320482"/>
    <w:rsid w:val="003205FD"/>
    <w:rsid w:val="00320895"/>
    <w:rsid w:val="003208A8"/>
    <w:rsid w:val="00320A04"/>
    <w:rsid w:val="00320ACC"/>
    <w:rsid w:val="00320CB3"/>
    <w:rsid w:val="00320D3A"/>
    <w:rsid w:val="00320EC3"/>
    <w:rsid w:val="00321099"/>
    <w:rsid w:val="00321433"/>
    <w:rsid w:val="0032147F"/>
    <w:rsid w:val="0032151B"/>
    <w:rsid w:val="00321632"/>
    <w:rsid w:val="003218F7"/>
    <w:rsid w:val="00321A2D"/>
    <w:rsid w:val="00321AA6"/>
    <w:rsid w:val="00321D60"/>
    <w:rsid w:val="00321F5B"/>
    <w:rsid w:val="003223BB"/>
    <w:rsid w:val="00322538"/>
    <w:rsid w:val="00322738"/>
    <w:rsid w:val="003227F7"/>
    <w:rsid w:val="003228C8"/>
    <w:rsid w:val="00322AD3"/>
    <w:rsid w:val="00323078"/>
    <w:rsid w:val="003233E5"/>
    <w:rsid w:val="003236CC"/>
    <w:rsid w:val="003237C0"/>
    <w:rsid w:val="003237F6"/>
    <w:rsid w:val="00323AD6"/>
    <w:rsid w:val="00323C4D"/>
    <w:rsid w:val="00323CC9"/>
    <w:rsid w:val="00323E85"/>
    <w:rsid w:val="0032414F"/>
    <w:rsid w:val="00324529"/>
    <w:rsid w:val="00324790"/>
    <w:rsid w:val="003248B2"/>
    <w:rsid w:val="00324A5B"/>
    <w:rsid w:val="00324BAB"/>
    <w:rsid w:val="00324D1B"/>
    <w:rsid w:val="00324E8B"/>
    <w:rsid w:val="00324EB4"/>
    <w:rsid w:val="00325278"/>
    <w:rsid w:val="003252D2"/>
    <w:rsid w:val="003253DA"/>
    <w:rsid w:val="0032543B"/>
    <w:rsid w:val="003257E7"/>
    <w:rsid w:val="00325BD4"/>
    <w:rsid w:val="00325F7D"/>
    <w:rsid w:val="00325FD3"/>
    <w:rsid w:val="0032612C"/>
    <w:rsid w:val="0032656D"/>
    <w:rsid w:val="00326664"/>
    <w:rsid w:val="00326CD5"/>
    <w:rsid w:val="003270C4"/>
    <w:rsid w:val="003272D7"/>
    <w:rsid w:val="003273C3"/>
    <w:rsid w:val="003275FC"/>
    <w:rsid w:val="00327700"/>
    <w:rsid w:val="00327714"/>
    <w:rsid w:val="0032788A"/>
    <w:rsid w:val="00327C17"/>
    <w:rsid w:val="00327D5A"/>
    <w:rsid w:val="00327FBF"/>
    <w:rsid w:val="003300F4"/>
    <w:rsid w:val="00330229"/>
    <w:rsid w:val="003302B6"/>
    <w:rsid w:val="00330678"/>
    <w:rsid w:val="0033067D"/>
    <w:rsid w:val="003306E7"/>
    <w:rsid w:val="00330D0E"/>
    <w:rsid w:val="00330D83"/>
    <w:rsid w:val="00330D9C"/>
    <w:rsid w:val="00330E1D"/>
    <w:rsid w:val="00330E4F"/>
    <w:rsid w:val="0033108E"/>
    <w:rsid w:val="003312AB"/>
    <w:rsid w:val="0033138B"/>
    <w:rsid w:val="0033140A"/>
    <w:rsid w:val="003317FC"/>
    <w:rsid w:val="00331CF7"/>
    <w:rsid w:val="00332387"/>
    <w:rsid w:val="0033276F"/>
    <w:rsid w:val="003327E9"/>
    <w:rsid w:val="00332803"/>
    <w:rsid w:val="003328DF"/>
    <w:rsid w:val="00332914"/>
    <w:rsid w:val="00332DD2"/>
    <w:rsid w:val="003332A8"/>
    <w:rsid w:val="0033344A"/>
    <w:rsid w:val="00333542"/>
    <w:rsid w:val="00333575"/>
    <w:rsid w:val="003335C0"/>
    <w:rsid w:val="003336ED"/>
    <w:rsid w:val="003337C8"/>
    <w:rsid w:val="003337FD"/>
    <w:rsid w:val="00333E3C"/>
    <w:rsid w:val="00333FFB"/>
    <w:rsid w:val="003347AA"/>
    <w:rsid w:val="00334CF9"/>
    <w:rsid w:val="00334EE6"/>
    <w:rsid w:val="003350F2"/>
    <w:rsid w:val="0033531F"/>
    <w:rsid w:val="003357E0"/>
    <w:rsid w:val="003359DA"/>
    <w:rsid w:val="00335BA0"/>
    <w:rsid w:val="00335EF8"/>
    <w:rsid w:val="00335FEE"/>
    <w:rsid w:val="00336016"/>
    <w:rsid w:val="00336041"/>
    <w:rsid w:val="00336159"/>
    <w:rsid w:val="0033623C"/>
    <w:rsid w:val="00336271"/>
    <w:rsid w:val="00336476"/>
    <w:rsid w:val="003365AF"/>
    <w:rsid w:val="003367F2"/>
    <w:rsid w:val="003369A3"/>
    <w:rsid w:val="00336A0C"/>
    <w:rsid w:val="00336EC3"/>
    <w:rsid w:val="00336EDA"/>
    <w:rsid w:val="00337069"/>
    <w:rsid w:val="003373F7"/>
    <w:rsid w:val="00337753"/>
    <w:rsid w:val="00337D09"/>
    <w:rsid w:val="00337E11"/>
    <w:rsid w:val="00337EE6"/>
    <w:rsid w:val="0034019B"/>
    <w:rsid w:val="003403AC"/>
    <w:rsid w:val="003403E4"/>
    <w:rsid w:val="003405DA"/>
    <w:rsid w:val="0034089C"/>
    <w:rsid w:val="003408C6"/>
    <w:rsid w:val="0034096B"/>
    <w:rsid w:val="00340AD3"/>
    <w:rsid w:val="00340B34"/>
    <w:rsid w:val="00340E72"/>
    <w:rsid w:val="00340FBF"/>
    <w:rsid w:val="00341544"/>
    <w:rsid w:val="00341778"/>
    <w:rsid w:val="00341CA9"/>
    <w:rsid w:val="00341E25"/>
    <w:rsid w:val="00341E7F"/>
    <w:rsid w:val="00341E86"/>
    <w:rsid w:val="00341EBB"/>
    <w:rsid w:val="00341EF7"/>
    <w:rsid w:val="0034254B"/>
    <w:rsid w:val="003425F7"/>
    <w:rsid w:val="00342795"/>
    <w:rsid w:val="0034283B"/>
    <w:rsid w:val="00342A69"/>
    <w:rsid w:val="00342C2A"/>
    <w:rsid w:val="00342D96"/>
    <w:rsid w:val="0034316B"/>
    <w:rsid w:val="003431DE"/>
    <w:rsid w:val="00343431"/>
    <w:rsid w:val="0034350E"/>
    <w:rsid w:val="00343614"/>
    <w:rsid w:val="003436FF"/>
    <w:rsid w:val="003437E1"/>
    <w:rsid w:val="0034440B"/>
    <w:rsid w:val="00344551"/>
    <w:rsid w:val="00344BFD"/>
    <w:rsid w:val="00344ED0"/>
    <w:rsid w:val="00344F34"/>
    <w:rsid w:val="0034530E"/>
    <w:rsid w:val="00345455"/>
    <w:rsid w:val="00345509"/>
    <w:rsid w:val="0034564B"/>
    <w:rsid w:val="0034588F"/>
    <w:rsid w:val="0034594D"/>
    <w:rsid w:val="003459A1"/>
    <w:rsid w:val="00345BBA"/>
    <w:rsid w:val="00345C28"/>
    <w:rsid w:val="00345C79"/>
    <w:rsid w:val="00345DC3"/>
    <w:rsid w:val="00346082"/>
    <w:rsid w:val="00346083"/>
    <w:rsid w:val="003466D3"/>
    <w:rsid w:val="0034676B"/>
    <w:rsid w:val="003469F3"/>
    <w:rsid w:val="00346AAA"/>
    <w:rsid w:val="00346BB6"/>
    <w:rsid w:val="00346CD6"/>
    <w:rsid w:val="0034702A"/>
    <w:rsid w:val="00347070"/>
    <w:rsid w:val="003471E0"/>
    <w:rsid w:val="003475C3"/>
    <w:rsid w:val="00347655"/>
    <w:rsid w:val="00347719"/>
    <w:rsid w:val="00347789"/>
    <w:rsid w:val="003477C2"/>
    <w:rsid w:val="0034788D"/>
    <w:rsid w:val="003478BE"/>
    <w:rsid w:val="00347A1C"/>
    <w:rsid w:val="00347D78"/>
    <w:rsid w:val="00347F93"/>
    <w:rsid w:val="0035003C"/>
    <w:rsid w:val="00350224"/>
    <w:rsid w:val="003502A6"/>
    <w:rsid w:val="003502B7"/>
    <w:rsid w:val="00350381"/>
    <w:rsid w:val="00350562"/>
    <w:rsid w:val="00350632"/>
    <w:rsid w:val="00350732"/>
    <w:rsid w:val="0035073F"/>
    <w:rsid w:val="0035089C"/>
    <w:rsid w:val="00350F27"/>
    <w:rsid w:val="00351358"/>
    <w:rsid w:val="003516D4"/>
    <w:rsid w:val="003519D7"/>
    <w:rsid w:val="00351CCE"/>
    <w:rsid w:val="00352087"/>
    <w:rsid w:val="003520DB"/>
    <w:rsid w:val="003524D0"/>
    <w:rsid w:val="00352AA0"/>
    <w:rsid w:val="003531F5"/>
    <w:rsid w:val="003533E8"/>
    <w:rsid w:val="0035362D"/>
    <w:rsid w:val="00353704"/>
    <w:rsid w:val="003537B6"/>
    <w:rsid w:val="003537E0"/>
    <w:rsid w:val="003538CC"/>
    <w:rsid w:val="00353B5E"/>
    <w:rsid w:val="003545B8"/>
    <w:rsid w:val="003545BE"/>
    <w:rsid w:val="00354704"/>
    <w:rsid w:val="00354770"/>
    <w:rsid w:val="00354781"/>
    <w:rsid w:val="00354AA2"/>
    <w:rsid w:val="00354C6F"/>
    <w:rsid w:val="00354D39"/>
    <w:rsid w:val="00354DFF"/>
    <w:rsid w:val="00355037"/>
    <w:rsid w:val="0035503E"/>
    <w:rsid w:val="003555EE"/>
    <w:rsid w:val="00355816"/>
    <w:rsid w:val="00355C2B"/>
    <w:rsid w:val="00355C8F"/>
    <w:rsid w:val="00355EFB"/>
    <w:rsid w:val="00356049"/>
    <w:rsid w:val="0035659C"/>
    <w:rsid w:val="003569B9"/>
    <w:rsid w:val="00356B48"/>
    <w:rsid w:val="00356EB9"/>
    <w:rsid w:val="00356ECD"/>
    <w:rsid w:val="00357048"/>
    <w:rsid w:val="003575C3"/>
    <w:rsid w:val="003575F2"/>
    <w:rsid w:val="00357D62"/>
    <w:rsid w:val="003605BF"/>
    <w:rsid w:val="00360ADE"/>
    <w:rsid w:val="00360B4D"/>
    <w:rsid w:val="00360B98"/>
    <w:rsid w:val="00360BC6"/>
    <w:rsid w:val="00360DA7"/>
    <w:rsid w:val="00360E4F"/>
    <w:rsid w:val="0036105D"/>
    <w:rsid w:val="0036127B"/>
    <w:rsid w:val="00361304"/>
    <w:rsid w:val="003614B4"/>
    <w:rsid w:val="00361811"/>
    <w:rsid w:val="0036188F"/>
    <w:rsid w:val="00361982"/>
    <w:rsid w:val="00361C9A"/>
    <w:rsid w:val="00361D7E"/>
    <w:rsid w:val="00361E1E"/>
    <w:rsid w:val="00361F4D"/>
    <w:rsid w:val="00362005"/>
    <w:rsid w:val="0036214D"/>
    <w:rsid w:val="003622EB"/>
    <w:rsid w:val="00362356"/>
    <w:rsid w:val="00362380"/>
    <w:rsid w:val="003626D2"/>
    <w:rsid w:val="00362720"/>
    <w:rsid w:val="0036275D"/>
    <w:rsid w:val="00362776"/>
    <w:rsid w:val="00362B09"/>
    <w:rsid w:val="00362B50"/>
    <w:rsid w:val="00362C3B"/>
    <w:rsid w:val="00362DE2"/>
    <w:rsid w:val="00362F1A"/>
    <w:rsid w:val="00362FCB"/>
    <w:rsid w:val="0036317C"/>
    <w:rsid w:val="00363219"/>
    <w:rsid w:val="00363236"/>
    <w:rsid w:val="00363259"/>
    <w:rsid w:val="0036350F"/>
    <w:rsid w:val="0036353F"/>
    <w:rsid w:val="00363577"/>
    <w:rsid w:val="00363691"/>
    <w:rsid w:val="00363A38"/>
    <w:rsid w:val="00363D18"/>
    <w:rsid w:val="00363EA5"/>
    <w:rsid w:val="00364054"/>
    <w:rsid w:val="003641C8"/>
    <w:rsid w:val="00364217"/>
    <w:rsid w:val="00364613"/>
    <w:rsid w:val="003649C9"/>
    <w:rsid w:val="00364C44"/>
    <w:rsid w:val="00364F5E"/>
    <w:rsid w:val="0036506E"/>
    <w:rsid w:val="003651EA"/>
    <w:rsid w:val="00365419"/>
    <w:rsid w:val="003654D7"/>
    <w:rsid w:val="00365816"/>
    <w:rsid w:val="00365D85"/>
    <w:rsid w:val="00365DF7"/>
    <w:rsid w:val="00365F9B"/>
    <w:rsid w:val="003662A7"/>
    <w:rsid w:val="003663B2"/>
    <w:rsid w:val="003663D3"/>
    <w:rsid w:val="0036651E"/>
    <w:rsid w:val="00366631"/>
    <w:rsid w:val="00366848"/>
    <w:rsid w:val="00366A57"/>
    <w:rsid w:val="00366B9A"/>
    <w:rsid w:val="00366C83"/>
    <w:rsid w:val="00366F52"/>
    <w:rsid w:val="003670B5"/>
    <w:rsid w:val="00367357"/>
    <w:rsid w:val="00367365"/>
    <w:rsid w:val="00367487"/>
    <w:rsid w:val="00367541"/>
    <w:rsid w:val="00367702"/>
    <w:rsid w:val="0036776E"/>
    <w:rsid w:val="00367B1E"/>
    <w:rsid w:val="00367E7D"/>
    <w:rsid w:val="00370077"/>
    <w:rsid w:val="003701E6"/>
    <w:rsid w:val="003703C8"/>
    <w:rsid w:val="00370492"/>
    <w:rsid w:val="003704FB"/>
    <w:rsid w:val="0037056F"/>
    <w:rsid w:val="00370662"/>
    <w:rsid w:val="003706C2"/>
    <w:rsid w:val="0037116E"/>
    <w:rsid w:val="00371612"/>
    <w:rsid w:val="0037180B"/>
    <w:rsid w:val="00371A33"/>
    <w:rsid w:val="00371AF0"/>
    <w:rsid w:val="00371B12"/>
    <w:rsid w:val="00371B74"/>
    <w:rsid w:val="00371D82"/>
    <w:rsid w:val="00371E12"/>
    <w:rsid w:val="00371EF2"/>
    <w:rsid w:val="00372007"/>
    <w:rsid w:val="0037269F"/>
    <w:rsid w:val="0037287E"/>
    <w:rsid w:val="00372930"/>
    <w:rsid w:val="00372950"/>
    <w:rsid w:val="00372B50"/>
    <w:rsid w:val="00372DBC"/>
    <w:rsid w:val="00372DD7"/>
    <w:rsid w:val="00372DF1"/>
    <w:rsid w:val="0037315F"/>
    <w:rsid w:val="00373337"/>
    <w:rsid w:val="0037350A"/>
    <w:rsid w:val="00373579"/>
    <w:rsid w:val="003736AD"/>
    <w:rsid w:val="00373A4F"/>
    <w:rsid w:val="00373B07"/>
    <w:rsid w:val="00373EA0"/>
    <w:rsid w:val="00373EBB"/>
    <w:rsid w:val="00373FEC"/>
    <w:rsid w:val="003747AB"/>
    <w:rsid w:val="00374C3F"/>
    <w:rsid w:val="00374CAC"/>
    <w:rsid w:val="00374E4B"/>
    <w:rsid w:val="00374EF4"/>
    <w:rsid w:val="00375009"/>
    <w:rsid w:val="003753BD"/>
    <w:rsid w:val="00375499"/>
    <w:rsid w:val="00375894"/>
    <w:rsid w:val="00375BA0"/>
    <w:rsid w:val="00375DEB"/>
    <w:rsid w:val="0037608B"/>
    <w:rsid w:val="0037631B"/>
    <w:rsid w:val="00376605"/>
    <w:rsid w:val="00376615"/>
    <w:rsid w:val="003766E9"/>
    <w:rsid w:val="00376722"/>
    <w:rsid w:val="00376CFD"/>
    <w:rsid w:val="00376D9C"/>
    <w:rsid w:val="00376FBD"/>
    <w:rsid w:val="0037728F"/>
    <w:rsid w:val="003773E0"/>
    <w:rsid w:val="00377667"/>
    <w:rsid w:val="00380146"/>
    <w:rsid w:val="0038021A"/>
    <w:rsid w:val="003803FD"/>
    <w:rsid w:val="0038060B"/>
    <w:rsid w:val="00380844"/>
    <w:rsid w:val="003808D3"/>
    <w:rsid w:val="003809C1"/>
    <w:rsid w:val="00380A92"/>
    <w:rsid w:val="00380DFB"/>
    <w:rsid w:val="0038131C"/>
    <w:rsid w:val="0038150D"/>
    <w:rsid w:val="0038184B"/>
    <w:rsid w:val="0038205A"/>
    <w:rsid w:val="00382513"/>
    <w:rsid w:val="003825DB"/>
    <w:rsid w:val="003825F5"/>
    <w:rsid w:val="00382648"/>
    <w:rsid w:val="00382727"/>
    <w:rsid w:val="00382889"/>
    <w:rsid w:val="00382AE0"/>
    <w:rsid w:val="00382DB0"/>
    <w:rsid w:val="003830AF"/>
    <w:rsid w:val="00383346"/>
    <w:rsid w:val="00383A09"/>
    <w:rsid w:val="00383B28"/>
    <w:rsid w:val="00383B2D"/>
    <w:rsid w:val="00383BB8"/>
    <w:rsid w:val="00384284"/>
    <w:rsid w:val="003842AC"/>
    <w:rsid w:val="00384484"/>
    <w:rsid w:val="00384531"/>
    <w:rsid w:val="003846F6"/>
    <w:rsid w:val="003848AC"/>
    <w:rsid w:val="00384AE2"/>
    <w:rsid w:val="00384AF7"/>
    <w:rsid w:val="00384C07"/>
    <w:rsid w:val="00384C28"/>
    <w:rsid w:val="00384F00"/>
    <w:rsid w:val="00385476"/>
    <w:rsid w:val="003854EA"/>
    <w:rsid w:val="003856FD"/>
    <w:rsid w:val="0038574C"/>
    <w:rsid w:val="0038587C"/>
    <w:rsid w:val="0038590D"/>
    <w:rsid w:val="003859A9"/>
    <w:rsid w:val="00385B93"/>
    <w:rsid w:val="00385C71"/>
    <w:rsid w:val="00385D32"/>
    <w:rsid w:val="00385EF7"/>
    <w:rsid w:val="00385FCD"/>
    <w:rsid w:val="003860D5"/>
    <w:rsid w:val="003860FE"/>
    <w:rsid w:val="003863DE"/>
    <w:rsid w:val="00386693"/>
    <w:rsid w:val="00386781"/>
    <w:rsid w:val="003867E6"/>
    <w:rsid w:val="00386C26"/>
    <w:rsid w:val="003878D2"/>
    <w:rsid w:val="00387919"/>
    <w:rsid w:val="00387BA6"/>
    <w:rsid w:val="00387C10"/>
    <w:rsid w:val="003902DD"/>
    <w:rsid w:val="00390510"/>
    <w:rsid w:val="00390972"/>
    <w:rsid w:val="00390D52"/>
    <w:rsid w:val="0039104A"/>
    <w:rsid w:val="00391418"/>
    <w:rsid w:val="00391643"/>
    <w:rsid w:val="003918D2"/>
    <w:rsid w:val="00391BE5"/>
    <w:rsid w:val="00391D34"/>
    <w:rsid w:val="003929B4"/>
    <w:rsid w:val="00392BC6"/>
    <w:rsid w:val="00392E62"/>
    <w:rsid w:val="00393421"/>
    <w:rsid w:val="00393538"/>
    <w:rsid w:val="00393542"/>
    <w:rsid w:val="00393816"/>
    <w:rsid w:val="00393A6C"/>
    <w:rsid w:val="00393CEE"/>
    <w:rsid w:val="00393E00"/>
    <w:rsid w:val="00394445"/>
    <w:rsid w:val="003946B7"/>
    <w:rsid w:val="003946BA"/>
    <w:rsid w:val="00394798"/>
    <w:rsid w:val="0039495C"/>
    <w:rsid w:val="00394962"/>
    <w:rsid w:val="00394B33"/>
    <w:rsid w:val="003951ED"/>
    <w:rsid w:val="0039522F"/>
    <w:rsid w:val="003952E7"/>
    <w:rsid w:val="003952F6"/>
    <w:rsid w:val="0039538F"/>
    <w:rsid w:val="003953C8"/>
    <w:rsid w:val="003955A4"/>
    <w:rsid w:val="003956DD"/>
    <w:rsid w:val="00395E2F"/>
    <w:rsid w:val="00395FB4"/>
    <w:rsid w:val="003961E9"/>
    <w:rsid w:val="003963E8"/>
    <w:rsid w:val="003966F5"/>
    <w:rsid w:val="0039698D"/>
    <w:rsid w:val="00396D90"/>
    <w:rsid w:val="00396E98"/>
    <w:rsid w:val="00396EDD"/>
    <w:rsid w:val="00397147"/>
    <w:rsid w:val="003971B3"/>
    <w:rsid w:val="003972C6"/>
    <w:rsid w:val="00397737"/>
    <w:rsid w:val="00397DE7"/>
    <w:rsid w:val="00397E77"/>
    <w:rsid w:val="00397F70"/>
    <w:rsid w:val="003A0043"/>
    <w:rsid w:val="003A008B"/>
    <w:rsid w:val="003A00FD"/>
    <w:rsid w:val="003A04E1"/>
    <w:rsid w:val="003A0704"/>
    <w:rsid w:val="003A0944"/>
    <w:rsid w:val="003A0D27"/>
    <w:rsid w:val="003A0D29"/>
    <w:rsid w:val="003A1166"/>
    <w:rsid w:val="003A1187"/>
    <w:rsid w:val="003A14FF"/>
    <w:rsid w:val="003A16D4"/>
    <w:rsid w:val="003A1752"/>
    <w:rsid w:val="003A1DA5"/>
    <w:rsid w:val="003A21FB"/>
    <w:rsid w:val="003A22F7"/>
    <w:rsid w:val="003A24FE"/>
    <w:rsid w:val="003A28FF"/>
    <w:rsid w:val="003A2C2E"/>
    <w:rsid w:val="003A2C5A"/>
    <w:rsid w:val="003A2E60"/>
    <w:rsid w:val="003A3168"/>
    <w:rsid w:val="003A33D8"/>
    <w:rsid w:val="003A35AD"/>
    <w:rsid w:val="003A35B5"/>
    <w:rsid w:val="003A38C0"/>
    <w:rsid w:val="003A38D5"/>
    <w:rsid w:val="003A392C"/>
    <w:rsid w:val="003A4181"/>
    <w:rsid w:val="003A4184"/>
    <w:rsid w:val="003A4330"/>
    <w:rsid w:val="003A4427"/>
    <w:rsid w:val="003A45B5"/>
    <w:rsid w:val="003A46C6"/>
    <w:rsid w:val="003A486D"/>
    <w:rsid w:val="003A48C4"/>
    <w:rsid w:val="003A4E1A"/>
    <w:rsid w:val="003A4ECF"/>
    <w:rsid w:val="003A4FCE"/>
    <w:rsid w:val="003A4FE9"/>
    <w:rsid w:val="003A50B8"/>
    <w:rsid w:val="003A51D9"/>
    <w:rsid w:val="003A5333"/>
    <w:rsid w:val="003A53CB"/>
    <w:rsid w:val="003A53EB"/>
    <w:rsid w:val="003A55E3"/>
    <w:rsid w:val="003A5802"/>
    <w:rsid w:val="003A5918"/>
    <w:rsid w:val="003A59EB"/>
    <w:rsid w:val="003A5C01"/>
    <w:rsid w:val="003A60F3"/>
    <w:rsid w:val="003A628D"/>
    <w:rsid w:val="003A6433"/>
    <w:rsid w:val="003A6591"/>
    <w:rsid w:val="003A67ED"/>
    <w:rsid w:val="003A6830"/>
    <w:rsid w:val="003A68B9"/>
    <w:rsid w:val="003A694D"/>
    <w:rsid w:val="003A6B5E"/>
    <w:rsid w:val="003A6EFF"/>
    <w:rsid w:val="003A6F6D"/>
    <w:rsid w:val="003A71FC"/>
    <w:rsid w:val="003A7221"/>
    <w:rsid w:val="003A74FB"/>
    <w:rsid w:val="003A785A"/>
    <w:rsid w:val="003A7944"/>
    <w:rsid w:val="003A7966"/>
    <w:rsid w:val="003A7D46"/>
    <w:rsid w:val="003B0043"/>
    <w:rsid w:val="003B0113"/>
    <w:rsid w:val="003B0384"/>
    <w:rsid w:val="003B03E7"/>
    <w:rsid w:val="003B0496"/>
    <w:rsid w:val="003B059B"/>
    <w:rsid w:val="003B06D0"/>
    <w:rsid w:val="003B0780"/>
    <w:rsid w:val="003B082D"/>
    <w:rsid w:val="003B0AC4"/>
    <w:rsid w:val="003B0B1A"/>
    <w:rsid w:val="003B0B83"/>
    <w:rsid w:val="003B0C62"/>
    <w:rsid w:val="003B0E36"/>
    <w:rsid w:val="003B0FB6"/>
    <w:rsid w:val="003B12C4"/>
    <w:rsid w:val="003B15E6"/>
    <w:rsid w:val="003B16F0"/>
    <w:rsid w:val="003B178F"/>
    <w:rsid w:val="003B17D7"/>
    <w:rsid w:val="003B180C"/>
    <w:rsid w:val="003B182A"/>
    <w:rsid w:val="003B182D"/>
    <w:rsid w:val="003B18D9"/>
    <w:rsid w:val="003B1E2E"/>
    <w:rsid w:val="003B21F9"/>
    <w:rsid w:val="003B222E"/>
    <w:rsid w:val="003B2447"/>
    <w:rsid w:val="003B24FB"/>
    <w:rsid w:val="003B27C7"/>
    <w:rsid w:val="003B2823"/>
    <w:rsid w:val="003B2946"/>
    <w:rsid w:val="003B2AC9"/>
    <w:rsid w:val="003B2D81"/>
    <w:rsid w:val="003B31C5"/>
    <w:rsid w:val="003B3352"/>
    <w:rsid w:val="003B336F"/>
    <w:rsid w:val="003B34AB"/>
    <w:rsid w:val="003B35D5"/>
    <w:rsid w:val="003B36C4"/>
    <w:rsid w:val="003B37D1"/>
    <w:rsid w:val="003B37D4"/>
    <w:rsid w:val="003B3EE5"/>
    <w:rsid w:val="003B40BF"/>
    <w:rsid w:val="003B41B9"/>
    <w:rsid w:val="003B449F"/>
    <w:rsid w:val="003B470A"/>
    <w:rsid w:val="003B4839"/>
    <w:rsid w:val="003B494D"/>
    <w:rsid w:val="003B4A4D"/>
    <w:rsid w:val="003B4B9B"/>
    <w:rsid w:val="003B4FF3"/>
    <w:rsid w:val="003B50C5"/>
    <w:rsid w:val="003B5430"/>
    <w:rsid w:val="003B54C7"/>
    <w:rsid w:val="003B56C0"/>
    <w:rsid w:val="003B56D6"/>
    <w:rsid w:val="003B570A"/>
    <w:rsid w:val="003B581D"/>
    <w:rsid w:val="003B5871"/>
    <w:rsid w:val="003B58B9"/>
    <w:rsid w:val="003B59D0"/>
    <w:rsid w:val="003B6029"/>
    <w:rsid w:val="003B628D"/>
    <w:rsid w:val="003B62DF"/>
    <w:rsid w:val="003B649E"/>
    <w:rsid w:val="003B6546"/>
    <w:rsid w:val="003B6660"/>
    <w:rsid w:val="003B668A"/>
    <w:rsid w:val="003B6690"/>
    <w:rsid w:val="003B67CA"/>
    <w:rsid w:val="003B74CD"/>
    <w:rsid w:val="003B76E8"/>
    <w:rsid w:val="003B7874"/>
    <w:rsid w:val="003B7DEA"/>
    <w:rsid w:val="003C0590"/>
    <w:rsid w:val="003C08D2"/>
    <w:rsid w:val="003C0924"/>
    <w:rsid w:val="003C0A23"/>
    <w:rsid w:val="003C0D31"/>
    <w:rsid w:val="003C0F85"/>
    <w:rsid w:val="003C0FC2"/>
    <w:rsid w:val="003C1440"/>
    <w:rsid w:val="003C189A"/>
    <w:rsid w:val="003C19BB"/>
    <w:rsid w:val="003C1AEC"/>
    <w:rsid w:val="003C1AEE"/>
    <w:rsid w:val="003C1D97"/>
    <w:rsid w:val="003C1EDE"/>
    <w:rsid w:val="003C1FB0"/>
    <w:rsid w:val="003C2196"/>
    <w:rsid w:val="003C2789"/>
    <w:rsid w:val="003C29D1"/>
    <w:rsid w:val="003C2C25"/>
    <w:rsid w:val="003C2EBD"/>
    <w:rsid w:val="003C31FE"/>
    <w:rsid w:val="003C32FC"/>
    <w:rsid w:val="003C387B"/>
    <w:rsid w:val="003C3FB8"/>
    <w:rsid w:val="003C420E"/>
    <w:rsid w:val="003C43F2"/>
    <w:rsid w:val="003C4570"/>
    <w:rsid w:val="003C48FB"/>
    <w:rsid w:val="003C4C1F"/>
    <w:rsid w:val="003C4CEA"/>
    <w:rsid w:val="003C4F1D"/>
    <w:rsid w:val="003C50F9"/>
    <w:rsid w:val="003C522D"/>
    <w:rsid w:val="003C539B"/>
    <w:rsid w:val="003C55A7"/>
    <w:rsid w:val="003C583E"/>
    <w:rsid w:val="003C58B2"/>
    <w:rsid w:val="003C5A56"/>
    <w:rsid w:val="003C5B3D"/>
    <w:rsid w:val="003C5DE8"/>
    <w:rsid w:val="003C6132"/>
    <w:rsid w:val="003C61BF"/>
    <w:rsid w:val="003C61C2"/>
    <w:rsid w:val="003C636A"/>
    <w:rsid w:val="003C6497"/>
    <w:rsid w:val="003C64E1"/>
    <w:rsid w:val="003C6D15"/>
    <w:rsid w:val="003C6D23"/>
    <w:rsid w:val="003C6D2D"/>
    <w:rsid w:val="003C6DEE"/>
    <w:rsid w:val="003C6F89"/>
    <w:rsid w:val="003C711A"/>
    <w:rsid w:val="003C7295"/>
    <w:rsid w:val="003C748A"/>
    <w:rsid w:val="003C75E3"/>
    <w:rsid w:val="003C7A11"/>
    <w:rsid w:val="003C7DEE"/>
    <w:rsid w:val="003D0049"/>
    <w:rsid w:val="003D00AA"/>
    <w:rsid w:val="003D0294"/>
    <w:rsid w:val="003D0387"/>
    <w:rsid w:val="003D0701"/>
    <w:rsid w:val="003D076A"/>
    <w:rsid w:val="003D0775"/>
    <w:rsid w:val="003D0785"/>
    <w:rsid w:val="003D0CA6"/>
    <w:rsid w:val="003D0D0B"/>
    <w:rsid w:val="003D0D7C"/>
    <w:rsid w:val="003D162B"/>
    <w:rsid w:val="003D164B"/>
    <w:rsid w:val="003D1675"/>
    <w:rsid w:val="003D1A32"/>
    <w:rsid w:val="003D1B7A"/>
    <w:rsid w:val="003D1D73"/>
    <w:rsid w:val="003D1DEE"/>
    <w:rsid w:val="003D1F2D"/>
    <w:rsid w:val="003D1F2F"/>
    <w:rsid w:val="003D2265"/>
    <w:rsid w:val="003D2330"/>
    <w:rsid w:val="003D2355"/>
    <w:rsid w:val="003D23D4"/>
    <w:rsid w:val="003D25C3"/>
    <w:rsid w:val="003D27BD"/>
    <w:rsid w:val="003D2A73"/>
    <w:rsid w:val="003D2C63"/>
    <w:rsid w:val="003D317A"/>
    <w:rsid w:val="003D32C9"/>
    <w:rsid w:val="003D349C"/>
    <w:rsid w:val="003D3A2C"/>
    <w:rsid w:val="003D3C7E"/>
    <w:rsid w:val="003D40C9"/>
    <w:rsid w:val="003D40DF"/>
    <w:rsid w:val="003D4173"/>
    <w:rsid w:val="003D4354"/>
    <w:rsid w:val="003D49C0"/>
    <w:rsid w:val="003D4AED"/>
    <w:rsid w:val="003D4C7E"/>
    <w:rsid w:val="003D50CC"/>
    <w:rsid w:val="003D515C"/>
    <w:rsid w:val="003D5288"/>
    <w:rsid w:val="003D52C6"/>
    <w:rsid w:val="003D53B8"/>
    <w:rsid w:val="003D5446"/>
    <w:rsid w:val="003D5663"/>
    <w:rsid w:val="003D569E"/>
    <w:rsid w:val="003D56EA"/>
    <w:rsid w:val="003D5A8C"/>
    <w:rsid w:val="003D5A91"/>
    <w:rsid w:val="003D5E22"/>
    <w:rsid w:val="003D5E4D"/>
    <w:rsid w:val="003D5F05"/>
    <w:rsid w:val="003D61D2"/>
    <w:rsid w:val="003D6208"/>
    <w:rsid w:val="003D632C"/>
    <w:rsid w:val="003D6341"/>
    <w:rsid w:val="003D6651"/>
    <w:rsid w:val="003D6B0A"/>
    <w:rsid w:val="003D6DDE"/>
    <w:rsid w:val="003D7016"/>
    <w:rsid w:val="003D707E"/>
    <w:rsid w:val="003D740D"/>
    <w:rsid w:val="003D7621"/>
    <w:rsid w:val="003D7C1D"/>
    <w:rsid w:val="003E014F"/>
    <w:rsid w:val="003E0513"/>
    <w:rsid w:val="003E0748"/>
    <w:rsid w:val="003E08BD"/>
    <w:rsid w:val="003E0A95"/>
    <w:rsid w:val="003E0E0D"/>
    <w:rsid w:val="003E122D"/>
    <w:rsid w:val="003E1277"/>
    <w:rsid w:val="003E1C0F"/>
    <w:rsid w:val="003E1E32"/>
    <w:rsid w:val="003E1E63"/>
    <w:rsid w:val="003E2105"/>
    <w:rsid w:val="003E2342"/>
    <w:rsid w:val="003E248A"/>
    <w:rsid w:val="003E261C"/>
    <w:rsid w:val="003E2BC8"/>
    <w:rsid w:val="003E2C6B"/>
    <w:rsid w:val="003E2D72"/>
    <w:rsid w:val="003E2E79"/>
    <w:rsid w:val="003E3108"/>
    <w:rsid w:val="003E3153"/>
    <w:rsid w:val="003E3250"/>
    <w:rsid w:val="003E32AF"/>
    <w:rsid w:val="003E366F"/>
    <w:rsid w:val="003E3903"/>
    <w:rsid w:val="003E3AEB"/>
    <w:rsid w:val="003E3B81"/>
    <w:rsid w:val="003E3C3F"/>
    <w:rsid w:val="003E3D99"/>
    <w:rsid w:val="003E3EF7"/>
    <w:rsid w:val="003E4199"/>
    <w:rsid w:val="003E41F3"/>
    <w:rsid w:val="003E421D"/>
    <w:rsid w:val="003E4449"/>
    <w:rsid w:val="003E450E"/>
    <w:rsid w:val="003E4611"/>
    <w:rsid w:val="003E46C6"/>
    <w:rsid w:val="003E478A"/>
    <w:rsid w:val="003E4CCA"/>
    <w:rsid w:val="003E4ED5"/>
    <w:rsid w:val="003E51F7"/>
    <w:rsid w:val="003E53AB"/>
    <w:rsid w:val="003E5533"/>
    <w:rsid w:val="003E5AA6"/>
    <w:rsid w:val="003E5B14"/>
    <w:rsid w:val="003E5CAB"/>
    <w:rsid w:val="003E5D7F"/>
    <w:rsid w:val="003E5E1C"/>
    <w:rsid w:val="003E5ED1"/>
    <w:rsid w:val="003E61A2"/>
    <w:rsid w:val="003E621E"/>
    <w:rsid w:val="003E63CF"/>
    <w:rsid w:val="003E6599"/>
    <w:rsid w:val="003E68F9"/>
    <w:rsid w:val="003E6966"/>
    <w:rsid w:val="003E6B36"/>
    <w:rsid w:val="003E6B92"/>
    <w:rsid w:val="003E6D00"/>
    <w:rsid w:val="003E6E85"/>
    <w:rsid w:val="003E71B4"/>
    <w:rsid w:val="003E7305"/>
    <w:rsid w:val="003E734C"/>
    <w:rsid w:val="003E7526"/>
    <w:rsid w:val="003E75BF"/>
    <w:rsid w:val="003E7795"/>
    <w:rsid w:val="003E77A2"/>
    <w:rsid w:val="003E7CDE"/>
    <w:rsid w:val="003E7D76"/>
    <w:rsid w:val="003F00C4"/>
    <w:rsid w:val="003F03A2"/>
    <w:rsid w:val="003F0F13"/>
    <w:rsid w:val="003F0F21"/>
    <w:rsid w:val="003F119B"/>
    <w:rsid w:val="003F1200"/>
    <w:rsid w:val="003F1255"/>
    <w:rsid w:val="003F1271"/>
    <w:rsid w:val="003F1304"/>
    <w:rsid w:val="003F149A"/>
    <w:rsid w:val="003F1BB5"/>
    <w:rsid w:val="003F1E70"/>
    <w:rsid w:val="003F206F"/>
    <w:rsid w:val="003F228C"/>
    <w:rsid w:val="003F23AC"/>
    <w:rsid w:val="003F2453"/>
    <w:rsid w:val="003F263D"/>
    <w:rsid w:val="003F2D79"/>
    <w:rsid w:val="003F2EFD"/>
    <w:rsid w:val="003F3388"/>
    <w:rsid w:val="003F349A"/>
    <w:rsid w:val="003F3A87"/>
    <w:rsid w:val="003F3BA3"/>
    <w:rsid w:val="003F3D7A"/>
    <w:rsid w:val="003F3D9B"/>
    <w:rsid w:val="003F4247"/>
    <w:rsid w:val="003F4249"/>
    <w:rsid w:val="003F42AA"/>
    <w:rsid w:val="003F434E"/>
    <w:rsid w:val="003F4AD4"/>
    <w:rsid w:val="003F4BF3"/>
    <w:rsid w:val="003F56ED"/>
    <w:rsid w:val="003F578A"/>
    <w:rsid w:val="003F57FE"/>
    <w:rsid w:val="003F5E75"/>
    <w:rsid w:val="003F5FD6"/>
    <w:rsid w:val="003F62F7"/>
    <w:rsid w:val="003F638A"/>
    <w:rsid w:val="003F6534"/>
    <w:rsid w:val="003F65C2"/>
    <w:rsid w:val="003F663F"/>
    <w:rsid w:val="003F66CE"/>
    <w:rsid w:val="003F6809"/>
    <w:rsid w:val="003F6C46"/>
    <w:rsid w:val="003F700F"/>
    <w:rsid w:val="003F708B"/>
    <w:rsid w:val="003F745D"/>
    <w:rsid w:val="003F768F"/>
    <w:rsid w:val="003F7ACC"/>
    <w:rsid w:val="003F7AFF"/>
    <w:rsid w:val="003F7B1B"/>
    <w:rsid w:val="003F7CD6"/>
    <w:rsid w:val="0040015C"/>
    <w:rsid w:val="004001C1"/>
    <w:rsid w:val="004001CA"/>
    <w:rsid w:val="00400378"/>
    <w:rsid w:val="00400482"/>
    <w:rsid w:val="00400625"/>
    <w:rsid w:val="00400705"/>
    <w:rsid w:val="0040076E"/>
    <w:rsid w:val="004009CA"/>
    <w:rsid w:val="00400A8C"/>
    <w:rsid w:val="00400DFB"/>
    <w:rsid w:val="00400E8F"/>
    <w:rsid w:val="00400F10"/>
    <w:rsid w:val="00401072"/>
    <w:rsid w:val="0040121F"/>
    <w:rsid w:val="00401379"/>
    <w:rsid w:val="00401672"/>
    <w:rsid w:val="00401B33"/>
    <w:rsid w:val="00401BF0"/>
    <w:rsid w:val="0040205D"/>
    <w:rsid w:val="004020D2"/>
    <w:rsid w:val="004024B1"/>
    <w:rsid w:val="004024ED"/>
    <w:rsid w:val="004028CC"/>
    <w:rsid w:val="00402975"/>
    <w:rsid w:val="00402995"/>
    <w:rsid w:val="00402AA3"/>
    <w:rsid w:val="00403218"/>
    <w:rsid w:val="00403358"/>
    <w:rsid w:val="004033CC"/>
    <w:rsid w:val="00403422"/>
    <w:rsid w:val="00403462"/>
    <w:rsid w:val="004035ED"/>
    <w:rsid w:val="004036DB"/>
    <w:rsid w:val="00403990"/>
    <w:rsid w:val="0040418E"/>
    <w:rsid w:val="004041E3"/>
    <w:rsid w:val="00404624"/>
    <w:rsid w:val="00404685"/>
    <w:rsid w:val="00404943"/>
    <w:rsid w:val="00404997"/>
    <w:rsid w:val="00404A16"/>
    <w:rsid w:val="00404B3C"/>
    <w:rsid w:val="00404BFC"/>
    <w:rsid w:val="00404C19"/>
    <w:rsid w:val="00404D5F"/>
    <w:rsid w:val="00404E86"/>
    <w:rsid w:val="00404EEA"/>
    <w:rsid w:val="004052EB"/>
    <w:rsid w:val="00405467"/>
    <w:rsid w:val="00405563"/>
    <w:rsid w:val="00405768"/>
    <w:rsid w:val="00405990"/>
    <w:rsid w:val="00405A44"/>
    <w:rsid w:val="00405ACA"/>
    <w:rsid w:val="00405C1E"/>
    <w:rsid w:val="00405E6C"/>
    <w:rsid w:val="0040600E"/>
    <w:rsid w:val="0040612F"/>
    <w:rsid w:val="00406227"/>
    <w:rsid w:val="004066C7"/>
    <w:rsid w:val="00406754"/>
    <w:rsid w:val="00406BB6"/>
    <w:rsid w:val="004072EC"/>
    <w:rsid w:val="0040734A"/>
    <w:rsid w:val="00407396"/>
    <w:rsid w:val="0040739B"/>
    <w:rsid w:val="004075D5"/>
    <w:rsid w:val="00407780"/>
    <w:rsid w:val="0040780C"/>
    <w:rsid w:val="00407ADB"/>
    <w:rsid w:val="00407AEF"/>
    <w:rsid w:val="00407CBE"/>
    <w:rsid w:val="00407DA4"/>
    <w:rsid w:val="00407ECC"/>
    <w:rsid w:val="00410015"/>
    <w:rsid w:val="004102C4"/>
    <w:rsid w:val="004103FC"/>
    <w:rsid w:val="004105E9"/>
    <w:rsid w:val="00410604"/>
    <w:rsid w:val="0041062B"/>
    <w:rsid w:val="00410652"/>
    <w:rsid w:val="00410955"/>
    <w:rsid w:val="004109F4"/>
    <w:rsid w:val="00410EBE"/>
    <w:rsid w:val="004110C6"/>
    <w:rsid w:val="00411141"/>
    <w:rsid w:val="004111CD"/>
    <w:rsid w:val="00411455"/>
    <w:rsid w:val="0041149B"/>
    <w:rsid w:val="0041163C"/>
    <w:rsid w:val="004116EE"/>
    <w:rsid w:val="0041191E"/>
    <w:rsid w:val="0041194E"/>
    <w:rsid w:val="004119EF"/>
    <w:rsid w:val="00411A1B"/>
    <w:rsid w:val="00411B32"/>
    <w:rsid w:val="00411C64"/>
    <w:rsid w:val="00411DA5"/>
    <w:rsid w:val="004124E3"/>
    <w:rsid w:val="00412A55"/>
    <w:rsid w:val="00412E7C"/>
    <w:rsid w:val="00412FCE"/>
    <w:rsid w:val="0041317F"/>
    <w:rsid w:val="00413184"/>
    <w:rsid w:val="0041322B"/>
    <w:rsid w:val="004132F1"/>
    <w:rsid w:val="00413330"/>
    <w:rsid w:val="004134C2"/>
    <w:rsid w:val="00413645"/>
    <w:rsid w:val="004138C0"/>
    <w:rsid w:val="00413B17"/>
    <w:rsid w:val="00413E27"/>
    <w:rsid w:val="00413E57"/>
    <w:rsid w:val="004141DF"/>
    <w:rsid w:val="00414754"/>
    <w:rsid w:val="004147C5"/>
    <w:rsid w:val="00414AA6"/>
    <w:rsid w:val="00414EB5"/>
    <w:rsid w:val="00414F42"/>
    <w:rsid w:val="0041516E"/>
    <w:rsid w:val="0041527F"/>
    <w:rsid w:val="004153FE"/>
    <w:rsid w:val="0041566F"/>
    <w:rsid w:val="004156D4"/>
    <w:rsid w:val="004159F8"/>
    <w:rsid w:val="00415A09"/>
    <w:rsid w:val="00415C0F"/>
    <w:rsid w:val="00415D0D"/>
    <w:rsid w:val="00415D18"/>
    <w:rsid w:val="00415F31"/>
    <w:rsid w:val="00415F67"/>
    <w:rsid w:val="00416218"/>
    <w:rsid w:val="0041629E"/>
    <w:rsid w:val="004164C3"/>
    <w:rsid w:val="0041666F"/>
    <w:rsid w:val="00416B74"/>
    <w:rsid w:val="00416B9B"/>
    <w:rsid w:val="00416BBE"/>
    <w:rsid w:val="00416FCE"/>
    <w:rsid w:val="004170F1"/>
    <w:rsid w:val="0041722F"/>
    <w:rsid w:val="00417345"/>
    <w:rsid w:val="00417734"/>
    <w:rsid w:val="0041782A"/>
    <w:rsid w:val="00417CC6"/>
    <w:rsid w:val="00420017"/>
    <w:rsid w:val="00420032"/>
    <w:rsid w:val="00420292"/>
    <w:rsid w:val="004206CB"/>
    <w:rsid w:val="00420814"/>
    <w:rsid w:val="0042093D"/>
    <w:rsid w:val="00420B39"/>
    <w:rsid w:val="00420CE1"/>
    <w:rsid w:val="00420CEF"/>
    <w:rsid w:val="00420DCE"/>
    <w:rsid w:val="0042107E"/>
    <w:rsid w:val="00421396"/>
    <w:rsid w:val="00421442"/>
    <w:rsid w:val="00421552"/>
    <w:rsid w:val="0042171B"/>
    <w:rsid w:val="00421910"/>
    <w:rsid w:val="00421A55"/>
    <w:rsid w:val="00421A7A"/>
    <w:rsid w:val="00421AE4"/>
    <w:rsid w:val="00421E14"/>
    <w:rsid w:val="00421FCE"/>
    <w:rsid w:val="004221C3"/>
    <w:rsid w:val="00422B61"/>
    <w:rsid w:val="00422BCB"/>
    <w:rsid w:val="00422D30"/>
    <w:rsid w:val="00422EF8"/>
    <w:rsid w:val="00422FC6"/>
    <w:rsid w:val="00423045"/>
    <w:rsid w:val="00423175"/>
    <w:rsid w:val="004231F6"/>
    <w:rsid w:val="004236C0"/>
    <w:rsid w:val="004237F7"/>
    <w:rsid w:val="00423C03"/>
    <w:rsid w:val="00423C5D"/>
    <w:rsid w:val="00423D01"/>
    <w:rsid w:val="00423D62"/>
    <w:rsid w:val="00423FCC"/>
    <w:rsid w:val="0042401C"/>
    <w:rsid w:val="00424342"/>
    <w:rsid w:val="00424816"/>
    <w:rsid w:val="004248D6"/>
    <w:rsid w:val="00424A58"/>
    <w:rsid w:val="00424E1C"/>
    <w:rsid w:val="004251E5"/>
    <w:rsid w:val="004257B4"/>
    <w:rsid w:val="00425812"/>
    <w:rsid w:val="00425A40"/>
    <w:rsid w:val="00425C73"/>
    <w:rsid w:val="00425E56"/>
    <w:rsid w:val="00425F50"/>
    <w:rsid w:val="00426296"/>
    <w:rsid w:val="0042648E"/>
    <w:rsid w:val="00426526"/>
    <w:rsid w:val="0042663E"/>
    <w:rsid w:val="004266CF"/>
    <w:rsid w:val="0042705E"/>
    <w:rsid w:val="004270C3"/>
    <w:rsid w:val="004272A7"/>
    <w:rsid w:val="004272EC"/>
    <w:rsid w:val="004275E4"/>
    <w:rsid w:val="0042768D"/>
    <w:rsid w:val="0042779F"/>
    <w:rsid w:val="004277CB"/>
    <w:rsid w:val="00427AAD"/>
    <w:rsid w:val="00427AEC"/>
    <w:rsid w:val="00427FC0"/>
    <w:rsid w:val="0043047B"/>
    <w:rsid w:val="0043055B"/>
    <w:rsid w:val="00430699"/>
    <w:rsid w:val="004306B6"/>
    <w:rsid w:val="00430F84"/>
    <w:rsid w:val="004311CD"/>
    <w:rsid w:val="004312C2"/>
    <w:rsid w:val="00431605"/>
    <w:rsid w:val="00431A4F"/>
    <w:rsid w:val="00431AB5"/>
    <w:rsid w:val="00431D6F"/>
    <w:rsid w:val="00431F1E"/>
    <w:rsid w:val="004321C5"/>
    <w:rsid w:val="00432250"/>
    <w:rsid w:val="0043251D"/>
    <w:rsid w:val="00432537"/>
    <w:rsid w:val="004325A4"/>
    <w:rsid w:val="004327E2"/>
    <w:rsid w:val="004327F7"/>
    <w:rsid w:val="00432DBB"/>
    <w:rsid w:val="00432E75"/>
    <w:rsid w:val="00433707"/>
    <w:rsid w:val="0043388D"/>
    <w:rsid w:val="00433CDF"/>
    <w:rsid w:val="00433D45"/>
    <w:rsid w:val="00433DB0"/>
    <w:rsid w:val="00433EA2"/>
    <w:rsid w:val="00433F8A"/>
    <w:rsid w:val="004342F4"/>
    <w:rsid w:val="004345BA"/>
    <w:rsid w:val="004345FC"/>
    <w:rsid w:val="004348C4"/>
    <w:rsid w:val="004349CF"/>
    <w:rsid w:val="00434A2A"/>
    <w:rsid w:val="00434DAC"/>
    <w:rsid w:val="00434ECF"/>
    <w:rsid w:val="0043504F"/>
    <w:rsid w:val="00435153"/>
    <w:rsid w:val="00435F23"/>
    <w:rsid w:val="00436038"/>
    <w:rsid w:val="0043621D"/>
    <w:rsid w:val="004363B2"/>
    <w:rsid w:val="004365D1"/>
    <w:rsid w:val="00436986"/>
    <w:rsid w:val="00436B90"/>
    <w:rsid w:val="00436BE0"/>
    <w:rsid w:val="00436CD2"/>
    <w:rsid w:val="00436E46"/>
    <w:rsid w:val="00436E65"/>
    <w:rsid w:val="0043714B"/>
    <w:rsid w:val="004372B9"/>
    <w:rsid w:val="00437317"/>
    <w:rsid w:val="00437369"/>
    <w:rsid w:val="00437797"/>
    <w:rsid w:val="004377C1"/>
    <w:rsid w:val="00437FB4"/>
    <w:rsid w:val="0044014B"/>
    <w:rsid w:val="00440375"/>
    <w:rsid w:val="004404A4"/>
    <w:rsid w:val="004405B5"/>
    <w:rsid w:val="004406B7"/>
    <w:rsid w:val="00440B86"/>
    <w:rsid w:val="00440D13"/>
    <w:rsid w:val="00440EA1"/>
    <w:rsid w:val="00440F4A"/>
    <w:rsid w:val="00441094"/>
    <w:rsid w:val="0044114E"/>
    <w:rsid w:val="00441224"/>
    <w:rsid w:val="00441548"/>
    <w:rsid w:val="004415F8"/>
    <w:rsid w:val="004417B4"/>
    <w:rsid w:val="00441AD2"/>
    <w:rsid w:val="00441B36"/>
    <w:rsid w:val="00441BE3"/>
    <w:rsid w:val="00441E8E"/>
    <w:rsid w:val="00441F2E"/>
    <w:rsid w:val="00441F90"/>
    <w:rsid w:val="004420F9"/>
    <w:rsid w:val="00442231"/>
    <w:rsid w:val="00442526"/>
    <w:rsid w:val="0044268E"/>
    <w:rsid w:val="00442970"/>
    <w:rsid w:val="00442BCD"/>
    <w:rsid w:val="00442DC9"/>
    <w:rsid w:val="00443026"/>
    <w:rsid w:val="00443269"/>
    <w:rsid w:val="004435C6"/>
    <w:rsid w:val="00443880"/>
    <w:rsid w:val="00443B4B"/>
    <w:rsid w:val="00443CC9"/>
    <w:rsid w:val="00443EBC"/>
    <w:rsid w:val="00443F53"/>
    <w:rsid w:val="00443FDF"/>
    <w:rsid w:val="00444447"/>
    <w:rsid w:val="00444503"/>
    <w:rsid w:val="004446A2"/>
    <w:rsid w:val="00444739"/>
    <w:rsid w:val="00444755"/>
    <w:rsid w:val="00444944"/>
    <w:rsid w:val="00444957"/>
    <w:rsid w:val="00444A9F"/>
    <w:rsid w:val="00444BAA"/>
    <w:rsid w:val="00444C85"/>
    <w:rsid w:val="00444E90"/>
    <w:rsid w:val="00444EA1"/>
    <w:rsid w:val="0044521D"/>
    <w:rsid w:val="00445688"/>
    <w:rsid w:val="004457F2"/>
    <w:rsid w:val="004459F6"/>
    <w:rsid w:val="00445B8F"/>
    <w:rsid w:val="00445BA0"/>
    <w:rsid w:val="00445C91"/>
    <w:rsid w:val="00445CB5"/>
    <w:rsid w:val="00445D16"/>
    <w:rsid w:val="00445DC6"/>
    <w:rsid w:val="00446183"/>
    <w:rsid w:val="004463FA"/>
    <w:rsid w:val="00446618"/>
    <w:rsid w:val="00446695"/>
    <w:rsid w:val="004466A5"/>
    <w:rsid w:val="00446AB7"/>
    <w:rsid w:val="00446B73"/>
    <w:rsid w:val="0044723B"/>
    <w:rsid w:val="00447418"/>
    <w:rsid w:val="00447631"/>
    <w:rsid w:val="00447ECD"/>
    <w:rsid w:val="00447F08"/>
    <w:rsid w:val="004504B1"/>
    <w:rsid w:val="00450765"/>
    <w:rsid w:val="004507DE"/>
    <w:rsid w:val="00451031"/>
    <w:rsid w:val="0045113B"/>
    <w:rsid w:val="004514EB"/>
    <w:rsid w:val="00451607"/>
    <w:rsid w:val="004518FB"/>
    <w:rsid w:val="00451FE9"/>
    <w:rsid w:val="00452126"/>
    <w:rsid w:val="00452161"/>
    <w:rsid w:val="004522EA"/>
    <w:rsid w:val="004523A7"/>
    <w:rsid w:val="0045255D"/>
    <w:rsid w:val="004525CA"/>
    <w:rsid w:val="00452763"/>
    <w:rsid w:val="004528B0"/>
    <w:rsid w:val="004529E8"/>
    <w:rsid w:val="00452A1A"/>
    <w:rsid w:val="00453251"/>
    <w:rsid w:val="00453448"/>
    <w:rsid w:val="0045379F"/>
    <w:rsid w:val="0045385F"/>
    <w:rsid w:val="00453904"/>
    <w:rsid w:val="00453E2C"/>
    <w:rsid w:val="00453EC4"/>
    <w:rsid w:val="004544C8"/>
    <w:rsid w:val="0045473B"/>
    <w:rsid w:val="0045495B"/>
    <w:rsid w:val="00454BF5"/>
    <w:rsid w:val="00454CDF"/>
    <w:rsid w:val="00454F70"/>
    <w:rsid w:val="00455097"/>
    <w:rsid w:val="00455206"/>
    <w:rsid w:val="004554D3"/>
    <w:rsid w:val="00455702"/>
    <w:rsid w:val="0045595F"/>
    <w:rsid w:val="00455DBE"/>
    <w:rsid w:val="0045616B"/>
    <w:rsid w:val="004562C2"/>
    <w:rsid w:val="004568B4"/>
    <w:rsid w:val="00456AFB"/>
    <w:rsid w:val="00456B4E"/>
    <w:rsid w:val="00456B98"/>
    <w:rsid w:val="00456C8F"/>
    <w:rsid w:val="00456D7C"/>
    <w:rsid w:val="004572ED"/>
    <w:rsid w:val="004575D4"/>
    <w:rsid w:val="00457600"/>
    <w:rsid w:val="004579BB"/>
    <w:rsid w:val="00457AD9"/>
    <w:rsid w:val="00457C2D"/>
    <w:rsid w:val="00460661"/>
    <w:rsid w:val="00460803"/>
    <w:rsid w:val="00460819"/>
    <w:rsid w:val="004609F3"/>
    <w:rsid w:val="00460A61"/>
    <w:rsid w:val="00460B96"/>
    <w:rsid w:val="00460F0C"/>
    <w:rsid w:val="00461034"/>
    <w:rsid w:val="00461524"/>
    <w:rsid w:val="004616B2"/>
    <w:rsid w:val="00461923"/>
    <w:rsid w:val="00461BB8"/>
    <w:rsid w:val="00461CC3"/>
    <w:rsid w:val="00461DFA"/>
    <w:rsid w:val="0046235B"/>
    <w:rsid w:val="00462417"/>
    <w:rsid w:val="00462B7A"/>
    <w:rsid w:val="00462C17"/>
    <w:rsid w:val="00462C32"/>
    <w:rsid w:val="00462C53"/>
    <w:rsid w:val="00462E8F"/>
    <w:rsid w:val="00463036"/>
    <w:rsid w:val="0046303B"/>
    <w:rsid w:val="00463066"/>
    <w:rsid w:val="00463146"/>
    <w:rsid w:val="00463272"/>
    <w:rsid w:val="004632D9"/>
    <w:rsid w:val="004636ED"/>
    <w:rsid w:val="00463A39"/>
    <w:rsid w:val="00463C10"/>
    <w:rsid w:val="0046408E"/>
    <w:rsid w:val="00464146"/>
    <w:rsid w:val="004641CC"/>
    <w:rsid w:val="00464255"/>
    <w:rsid w:val="00464ACB"/>
    <w:rsid w:val="00464B3C"/>
    <w:rsid w:val="00465231"/>
    <w:rsid w:val="004654C5"/>
    <w:rsid w:val="00465998"/>
    <w:rsid w:val="00465C1B"/>
    <w:rsid w:val="00465CA3"/>
    <w:rsid w:val="00466348"/>
    <w:rsid w:val="0046637E"/>
    <w:rsid w:val="0046646C"/>
    <w:rsid w:val="004667D5"/>
    <w:rsid w:val="00466B37"/>
    <w:rsid w:val="004671B1"/>
    <w:rsid w:val="00467325"/>
    <w:rsid w:val="0046740A"/>
    <w:rsid w:val="0046760B"/>
    <w:rsid w:val="00467846"/>
    <w:rsid w:val="00467B7C"/>
    <w:rsid w:val="00467C3A"/>
    <w:rsid w:val="00467CE3"/>
    <w:rsid w:val="00467E00"/>
    <w:rsid w:val="0047026A"/>
    <w:rsid w:val="004702FB"/>
    <w:rsid w:val="00470383"/>
    <w:rsid w:val="004703AB"/>
    <w:rsid w:val="004704F6"/>
    <w:rsid w:val="004708C9"/>
    <w:rsid w:val="00470920"/>
    <w:rsid w:val="004709DF"/>
    <w:rsid w:val="00470A72"/>
    <w:rsid w:val="00470B42"/>
    <w:rsid w:val="00470DD5"/>
    <w:rsid w:val="00470F21"/>
    <w:rsid w:val="00471340"/>
    <w:rsid w:val="004713BE"/>
    <w:rsid w:val="0047142F"/>
    <w:rsid w:val="004719E7"/>
    <w:rsid w:val="00471FDA"/>
    <w:rsid w:val="00472BB0"/>
    <w:rsid w:val="00472E45"/>
    <w:rsid w:val="004736E8"/>
    <w:rsid w:val="004739F2"/>
    <w:rsid w:val="00473A3C"/>
    <w:rsid w:val="00473E10"/>
    <w:rsid w:val="00473F6A"/>
    <w:rsid w:val="004740BF"/>
    <w:rsid w:val="004742D5"/>
    <w:rsid w:val="004743F3"/>
    <w:rsid w:val="004746EE"/>
    <w:rsid w:val="0047476E"/>
    <w:rsid w:val="004748BA"/>
    <w:rsid w:val="004748C4"/>
    <w:rsid w:val="0047492F"/>
    <w:rsid w:val="00474A4E"/>
    <w:rsid w:val="00474D24"/>
    <w:rsid w:val="00475025"/>
    <w:rsid w:val="0047516B"/>
    <w:rsid w:val="00475537"/>
    <w:rsid w:val="004757D5"/>
    <w:rsid w:val="00475A55"/>
    <w:rsid w:val="00475B3E"/>
    <w:rsid w:val="00475B6E"/>
    <w:rsid w:val="00475C37"/>
    <w:rsid w:val="0047609A"/>
    <w:rsid w:val="0047638D"/>
    <w:rsid w:val="004763D3"/>
    <w:rsid w:val="004769E9"/>
    <w:rsid w:val="00476C76"/>
    <w:rsid w:val="00476DCD"/>
    <w:rsid w:val="00476E61"/>
    <w:rsid w:val="00477018"/>
    <w:rsid w:val="00477205"/>
    <w:rsid w:val="00477450"/>
    <w:rsid w:val="004775AD"/>
    <w:rsid w:val="00477607"/>
    <w:rsid w:val="00477732"/>
    <w:rsid w:val="0047785D"/>
    <w:rsid w:val="00477A26"/>
    <w:rsid w:val="00477A9C"/>
    <w:rsid w:val="00477C32"/>
    <w:rsid w:val="00477E76"/>
    <w:rsid w:val="00480073"/>
    <w:rsid w:val="004804DD"/>
    <w:rsid w:val="004806FF"/>
    <w:rsid w:val="00480BE4"/>
    <w:rsid w:val="004810CE"/>
    <w:rsid w:val="00481301"/>
    <w:rsid w:val="0048133C"/>
    <w:rsid w:val="00481404"/>
    <w:rsid w:val="004814F0"/>
    <w:rsid w:val="00481D5E"/>
    <w:rsid w:val="00482298"/>
    <w:rsid w:val="004822A0"/>
    <w:rsid w:val="0048230A"/>
    <w:rsid w:val="00482547"/>
    <w:rsid w:val="0048259C"/>
    <w:rsid w:val="00483030"/>
    <w:rsid w:val="004831C4"/>
    <w:rsid w:val="004832BC"/>
    <w:rsid w:val="00483506"/>
    <w:rsid w:val="00483B1C"/>
    <w:rsid w:val="00483B93"/>
    <w:rsid w:val="00483C2C"/>
    <w:rsid w:val="00483CA1"/>
    <w:rsid w:val="00483CC7"/>
    <w:rsid w:val="00483CD3"/>
    <w:rsid w:val="004842C4"/>
    <w:rsid w:val="00484951"/>
    <w:rsid w:val="00484AC4"/>
    <w:rsid w:val="00484D79"/>
    <w:rsid w:val="00484E9D"/>
    <w:rsid w:val="004850BA"/>
    <w:rsid w:val="00485327"/>
    <w:rsid w:val="004854AB"/>
    <w:rsid w:val="0048565E"/>
    <w:rsid w:val="0048589D"/>
    <w:rsid w:val="00485A0E"/>
    <w:rsid w:val="00485D15"/>
    <w:rsid w:val="00485F17"/>
    <w:rsid w:val="00486362"/>
    <w:rsid w:val="00486381"/>
    <w:rsid w:val="004863B0"/>
    <w:rsid w:val="004864D4"/>
    <w:rsid w:val="00486962"/>
    <w:rsid w:val="00486AD2"/>
    <w:rsid w:val="00486BEC"/>
    <w:rsid w:val="00486CB5"/>
    <w:rsid w:val="00486DDA"/>
    <w:rsid w:val="0048744F"/>
    <w:rsid w:val="0048762F"/>
    <w:rsid w:val="004877D6"/>
    <w:rsid w:val="00487929"/>
    <w:rsid w:val="00487933"/>
    <w:rsid w:val="004879C9"/>
    <w:rsid w:val="00487BB1"/>
    <w:rsid w:val="00487F27"/>
    <w:rsid w:val="00487FDF"/>
    <w:rsid w:val="00490093"/>
    <w:rsid w:val="0049042C"/>
    <w:rsid w:val="00490606"/>
    <w:rsid w:val="004907E2"/>
    <w:rsid w:val="004909C8"/>
    <w:rsid w:val="00490C3E"/>
    <w:rsid w:val="00490CAA"/>
    <w:rsid w:val="00490EE0"/>
    <w:rsid w:val="00490EEF"/>
    <w:rsid w:val="00490EFA"/>
    <w:rsid w:val="004912F2"/>
    <w:rsid w:val="00491301"/>
    <w:rsid w:val="0049145F"/>
    <w:rsid w:val="004914FF"/>
    <w:rsid w:val="00491896"/>
    <w:rsid w:val="00491AA0"/>
    <w:rsid w:val="00491B39"/>
    <w:rsid w:val="00491B46"/>
    <w:rsid w:val="00491C41"/>
    <w:rsid w:val="00491D2A"/>
    <w:rsid w:val="00491DD9"/>
    <w:rsid w:val="00491FBB"/>
    <w:rsid w:val="004921E2"/>
    <w:rsid w:val="00492274"/>
    <w:rsid w:val="004923FA"/>
    <w:rsid w:val="0049251C"/>
    <w:rsid w:val="00492581"/>
    <w:rsid w:val="00492605"/>
    <w:rsid w:val="004928C0"/>
    <w:rsid w:val="00492BC0"/>
    <w:rsid w:val="00492CB1"/>
    <w:rsid w:val="00492D0D"/>
    <w:rsid w:val="00492F32"/>
    <w:rsid w:val="0049300B"/>
    <w:rsid w:val="00493174"/>
    <w:rsid w:val="0049325C"/>
    <w:rsid w:val="004936D2"/>
    <w:rsid w:val="0049396D"/>
    <w:rsid w:val="004939B1"/>
    <w:rsid w:val="00493C18"/>
    <w:rsid w:val="00493DC6"/>
    <w:rsid w:val="00493F47"/>
    <w:rsid w:val="00493F52"/>
    <w:rsid w:val="004941B9"/>
    <w:rsid w:val="00494377"/>
    <w:rsid w:val="00494512"/>
    <w:rsid w:val="004945E7"/>
    <w:rsid w:val="00494779"/>
    <w:rsid w:val="00494851"/>
    <w:rsid w:val="00494C70"/>
    <w:rsid w:val="00494DA6"/>
    <w:rsid w:val="00494DD9"/>
    <w:rsid w:val="00495084"/>
    <w:rsid w:val="00495376"/>
    <w:rsid w:val="0049568C"/>
    <w:rsid w:val="00495735"/>
    <w:rsid w:val="004958CE"/>
    <w:rsid w:val="00495995"/>
    <w:rsid w:val="00495AB5"/>
    <w:rsid w:val="00495B41"/>
    <w:rsid w:val="00495CC4"/>
    <w:rsid w:val="00495DA6"/>
    <w:rsid w:val="00495F9A"/>
    <w:rsid w:val="0049621B"/>
    <w:rsid w:val="00496669"/>
    <w:rsid w:val="004966A8"/>
    <w:rsid w:val="00496708"/>
    <w:rsid w:val="00496794"/>
    <w:rsid w:val="004970EE"/>
    <w:rsid w:val="00497286"/>
    <w:rsid w:val="004976EF"/>
    <w:rsid w:val="004978ED"/>
    <w:rsid w:val="004979F1"/>
    <w:rsid w:val="00497A4C"/>
    <w:rsid w:val="00497EFB"/>
    <w:rsid w:val="004A0247"/>
    <w:rsid w:val="004A031E"/>
    <w:rsid w:val="004A0508"/>
    <w:rsid w:val="004A078B"/>
    <w:rsid w:val="004A0A09"/>
    <w:rsid w:val="004A0B06"/>
    <w:rsid w:val="004A0BD7"/>
    <w:rsid w:val="004A0E66"/>
    <w:rsid w:val="004A0EAA"/>
    <w:rsid w:val="004A1005"/>
    <w:rsid w:val="004A13CE"/>
    <w:rsid w:val="004A14B7"/>
    <w:rsid w:val="004A150C"/>
    <w:rsid w:val="004A1622"/>
    <w:rsid w:val="004A199A"/>
    <w:rsid w:val="004A19C8"/>
    <w:rsid w:val="004A1C37"/>
    <w:rsid w:val="004A1E29"/>
    <w:rsid w:val="004A2104"/>
    <w:rsid w:val="004A2433"/>
    <w:rsid w:val="004A24A1"/>
    <w:rsid w:val="004A2857"/>
    <w:rsid w:val="004A288E"/>
    <w:rsid w:val="004A2AC0"/>
    <w:rsid w:val="004A2E9D"/>
    <w:rsid w:val="004A2ED7"/>
    <w:rsid w:val="004A2FB8"/>
    <w:rsid w:val="004A3058"/>
    <w:rsid w:val="004A315C"/>
    <w:rsid w:val="004A31EF"/>
    <w:rsid w:val="004A3203"/>
    <w:rsid w:val="004A3406"/>
    <w:rsid w:val="004A349A"/>
    <w:rsid w:val="004A3589"/>
    <w:rsid w:val="004A35DD"/>
    <w:rsid w:val="004A3649"/>
    <w:rsid w:val="004A372C"/>
    <w:rsid w:val="004A37B9"/>
    <w:rsid w:val="004A39F3"/>
    <w:rsid w:val="004A3F4B"/>
    <w:rsid w:val="004A3F76"/>
    <w:rsid w:val="004A3FA6"/>
    <w:rsid w:val="004A44BD"/>
    <w:rsid w:val="004A45C6"/>
    <w:rsid w:val="004A4661"/>
    <w:rsid w:val="004A4890"/>
    <w:rsid w:val="004A49CD"/>
    <w:rsid w:val="004A4AA1"/>
    <w:rsid w:val="004A4BE8"/>
    <w:rsid w:val="004A4CAD"/>
    <w:rsid w:val="004A4E00"/>
    <w:rsid w:val="004A5065"/>
    <w:rsid w:val="004A52F0"/>
    <w:rsid w:val="004A5510"/>
    <w:rsid w:val="004A57F2"/>
    <w:rsid w:val="004A5832"/>
    <w:rsid w:val="004A5C09"/>
    <w:rsid w:val="004A5C9F"/>
    <w:rsid w:val="004A5DF0"/>
    <w:rsid w:val="004A5E50"/>
    <w:rsid w:val="004A605C"/>
    <w:rsid w:val="004A65A1"/>
    <w:rsid w:val="004A66BF"/>
    <w:rsid w:val="004A69BB"/>
    <w:rsid w:val="004A6C95"/>
    <w:rsid w:val="004A6F43"/>
    <w:rsid w:val="004A702C"/>
    <w:rsid w:val="004A7195"/>
    <w:rsid w:val="004A71C1"/>
    <w:rsid w:val="004A7603"/>
    <w:rsid w:val="004A7779"/>
    <w:rsid w:val="004A79DC"/>
    <w:rsid w:val="004A7C2D"/>
    <w:rsid w:val="004A7C48"/>
    <w:rsid w:val="004B015B"/>
    <w:rsid w:val="004B03C7"/>
    <w:rsid w:val="004B03D4"/>
    <w:rsid w:val="004B0432"/>
    <w:rsid w:val="004B07B7"/>
    <w:rsid w:val="004B0891"/>
    <w:rsid w:val="004B0A7E"/>
    <w:rsid w:val="004B0D0D"/>
    <w:rsid w:val="004B0F4D"/>
    <w:rsid w:val="004B1031"/>
    <w:rsid w:val="004B1152"/>
    <w:rsid w:val="004B13D2"/>
    <w:rsid w:val="004B15AF"/>
    <w:rsid w:val="004B1691"/>
    <w:rsid w:val="004B16AA"/>
    <w:rsid w:val="004B17D8"/>
    <w:rsid w:val="004B18C6"/>
    <w:rsid w:val="004B1BDB"/>
    <w:rsid w:val="004B2205"/>
    <w:rsid w:val="004B2592"/>
    <w:rsid w:val="004B2B34"/>
    <w:rsid w:val="004B2B60"/>
    <w:rsid w:val="004B2C67"/>
    <w:rsid w:val="004B2EEA"/>
    <w:rsid w:val="004B2F9E"/>
    <w:rsid w:val="004B2FAE"/>
    <w:rsid w:val="004B34B3"/>
    <w:rsid w:val="004B366F"/>
    <w:rsid w:val="004B3836"/>
    <w:rsid w:val="004B3879"/>
    <w:rsid w:val="004B3E99"/>
    <w:rsid w:val="004B3FFA"/>
    <w:rsid w:val="004B40F0"/>
    <w:rsid w:val="004B40F9"/>
    <w:rsid w:val="004B439A"/>
    <w:rsid w:val="004B451A"/>
    <w:rsid w:val="004B45B8"/>
    <w:rsid w:val="004B4917"/>
    <w:rsid w:val="004B4999"/>
    <w:rsid w:val="004B4A29"/>
    <w:rsid w:val="004B4A61"/>
    <w:rsid w:val="004B4E66"/>
    <w:rsid w:val="004B4E6A"/>
    <w:rsid w:val="004B4F08"/>
    <w:rsid w:val="004B501D"/>
    <w:rsid w:val="004B50F5"/>
    <w:rsid w:val="004B5444"/>
    <w:rsid w:val="004B54CE"/>
    <w:rsid w:val="004B5628"/>
    <w:rsid w:val="004B5B5E"/>
    <w:rsid w:val="004B5D11"/>
    <w:rsid w:val="004B60A4"/>
    <w:rsid w:val="004B612F"/>
    <w:rsid w:val="004B6722"/>
    <w:rsid w:val="004B6AA4"/>
    <w:rsid w:val="004B6B1E"/>
    <w:rsid w:val="004B6BE6"/>
    <w:rsid w:val="004B6DE3"/>
    <w:rsid w:val="004B6E17"/>
    <w:rsid w:val="004B6E2D"/>
    <w:rsid w:val="004B7255"/>
    <w:rsid w:val="004B735C"/>
    <w:rsid w:val="004B73CE"/>
    <w:rsid w:val="004B7436"/>
    <w:rsid w:val="004B749F"/>
    <w:rsid w:val="004B7719"/>
    <w:rsid w:val="004B78B2"/>
    <w:rsid w:val="004B7A3F"/>
    <w:rsid w:val="004B7AED"/>
    <w:rsid w:val="004B7D3C"/>
    <w:rsid w:val="004B7D49"/>
    <w:rsid w:val="004B7DB2"/>
    <w:rsid w:val="004C0026"/>
    <w:rsid w:val="004C00DE"/>
    <w:rsid w:val="004C0100"/>
    <w:rsid w:val="004C016B"/>
    <w:rsid w:val="004C0509"/>
    <w:rsid w:val="004C0766"/>
    <w:rsid w:val="004C0847"/>
    <w:rsid w:val="004C0BFD"/>
    <w:rsid w:val="004C0C15"/>
    <w:rsid w:val="004C0DAE"/>
    <w:rsid w:val="004C0FF9"/>
    <w:rsid w:val="004C13C8"/>
    <w:rsid w:val="004C13F9"/>
    <w:rsid w:val="004C147F"/>
    <w:rsid w:val="004C1936"/>
    <w:rsid w:val="004C1939"/>
    <w:rsid w:val="004C1B7F"/>
    <w:rsid w:val="004C1CB3"/>
    <w:rsid w:val="004C1E8A"/>
    <w:rsid w:val="004C1F0E"/>
    <w:rsid w:val="004C21BC"/>
    <w:rsid w:val="004C21DB"/>
    <w:rsid w:val="004C2568"/>
    <w:rsid w:val="004C2600"/>
    <w:rsid w:val="004C27F5"/>
    <w:rsid w:val="004C29A1"/>
    <w:rsid w:val="004C29C0"/>
    <w:rsid w:val="004C2AFC"/>
    <w:rsid w:val="004C2E1A"/>
    <w:rsid w:val="004C2ECD"/>
    <w:rsid w:val="004C2EF3"/>
    <w:rsid w:val="004C2F22"/>
    <w:rsid w:val="004C3090"/>
    <w:rsid w:val="004C30B1"/>
    <w:rsid w:val="004C30F0"/>
    <w:rsid w:val="004C33EC"/>
    <w:rsid w:val="004C3F56"/>
    <w:rsid w:val="004C3FAF"/>
    <w:rsid w:val="004C3FD0"/>
    <w:rsid w:val="004C4087"/>
    <w:rsid w:val="004C42A2"/>
    <w:rsid w:val="004C4395"/>
    <w:rsid w:val="004C4500"/>
    <w:rsid w:val="004C455D"/>
    <w:rsid w:val="004C4BCC"/>
    <w:rsid w:val="004C4BEE"/>
    <w:rsid w:val="004C4C83"/>
    <w:rsid w:val="004C4E46"/>
    <w:rsid w:val="004C4FAE"/>
    <w:rsid w:val="004C5439"/>
    <w:rsid w:val="004C55E2"/>
    <w:rsid w:val="004C56DD"/>
    <w:rsid w:val="004C56EF"/>
    <w:rsid w:val="004C57E3"/>
    <w:rsid w:val="004C58BC"/>
    <w:rsid w:val="004C5927"/>
    <w:rsid w:val="004C5A1C"/>
    <w:rsid w:val="004C5B28"/>
    <w:rsid w:val="004C5BA9"/>
    <w:rsid w:val="004C5C4F"/>
    <w:rsid w:val="004C5CD7"/>
    <w:rsid w:val="004C5D0D"/>
    <w:rsid w:val="004C5D22"/>
    <w:rsid w:val="004C6321"/>
    <w:rsid w:val="004C63F0"/>
    <w:rsid w:val="004C6958"/>
    <w:rsid w:val="004C69DC"/>
    <w:rsid w:val="004C6BDE"/>
    <w:rsid w:val="004C6CB1"/>
    <w:rsid w:val="004C6CC6"/>
    <w:rsid w:val="004C6F27"/>
    <w:rsid w:val="004C6F31"/>
    <w:rsid w:val="004C7428"/>
    <w:rsid w:val="004C7577"/>
    <w:rsid w:val="004C782E"/>
    <w:rsid w:val="004C79DD"/>
    <w:rsid w:val="004C7D2F"/>
    <w:rsid w:val="004C7F5F"/>
    <w:rsid w:val="004D015D"/>
    <w:rsid w:val="004D0540"/>
    <w:rsid w:val="004D07D7"/>
    <w:rsid w:val="004D08CF"/>
    <w:rsid w:val="004D0EB7"/>
    <w:rsid w:val="004D1645"/>
    <w:rsid w:val="004D16B3"/>
    <w:rsid w:val="004D1CF2"/>
    <w:rsid w:val="004D1D18"/>
    <w:rsid w:val="004D1D84"/>
    <w:rsid w:val="004D20FE"/>
    <w:rsid w:val="004D21CB"/>
    <w:rsid w:val="004D225C"/>
    <w:rsid w:val="004D23E5"/>
    <w:rsid w:val="004D26BF"/>
    <w:rsid w:val="004D281B"/>
    <w:rsid w:val="004D28B0"/>
    <w:rsid w:val="004D2DE1"/>
    <w:rsid w:val="004D31C3"/>
    <w:rsid w:val="004D332B"/>
    <w:rsid w:val="004D3919"/>
    <w:rsid w:val="004D3990"/>
    <w:rsid w:val="004D3BA7"/>
    <w:rsid w:val="004D41BF"/>
    <w:rsid w:val="004D44EF"/>
    <w:rsid w:val="004D4556"/>
    <w:rsid w:val="004D4A9C"/>
    <w:rsid w:val="004D4AB8"/>
    <w:rsid w:val="004D4EAB"/>
    <w:rsid w:val="004D5356"/>
    <w:rsid w:val="004D55C7"/>
    <w:rsid w:val="004D5679"/>
    <w:rsid w:val="004D56BE"/>
    <w:rsid w:val="004D586D"/>
    <w:rsid w:val="004D5B6F"/>
    <w:rsid w:val="004D5C21"/>
    <w:rsid w:val="004D5C26"/>
    <w:rsid w:val="004D6053"/>
    <w:rsid w:val="004D6055"/>
    <w:rsid w:val="004D62A1"/>
    <w:rsid w:val="004D6792"/>
    <w:rsid w:val="004D73D3"/>
    <w:rsid w:val="004D74B2"/>
    <w:rsid w:val="004D759F"/>
    <w:rsid w:val="004D75EA"/>
    <w:rsid w:val="004D7842"/>
    <w:rsid w:val="004D78FA"/>
    <w:rsid w:val="004E015E"/>
    <w:rsid w:val="004E04A1"/>
    <w:rsid w:val="004E0827"/>
    <w:rsid w:val="004E0937"/>
    <w:rsid w:val="004E10A5"/>
    <w:rsid w:val="004E10E7"/>
    <w:rsid w:val="004E110F"/>
    <w:rsid w:val="004E1112"/>
    <w:rsid w:val="004E1370"/>
    <w:rsid w:val="004E1923"/>
    <w:rsid w:val="004E1952"/>
    <w:rsid w:val="004E1ABC"/>
    <w:rsid w:val="004E1B83"/>
    <w:rsid w:val="004E1C5D"/>
    <w:rsid w:val="004E1DD4"/>
    <w:rsid w:val="004E24BC"/>
    <w:rsid w:val="004E2816"/>
    <w:rsid w:val="004E2864"/>
    <w:rsid w:val="004E2F19"/>
    <w:rsid w:val="004E31D9"/>
    <w:rsid w:val="004E426D"/>
    <w:rsid w:val="004E4388"/>
    <w:rsid w:val="004E46F3"/>
    <w:rsid w:val="004E4C9B"/>
    <w:rsid w:val="004E4D31"/>
    <w:rsid w:val="004E516E"/>
    <w:rsid w:val="004E5597"/>
    <w:rsid w:val="004E56AD"/>
    <w:rsid w:val="004E56E8"/>
    <w:rsid w:val="004E5BA1"/>
    <w:rsid w:val="004E5C0B"/>
    <w:rsid w:val="004E5D3D"/>
    <w:rsid w:val="004E5DD5"/>
    <w:rsid w:val="004E6429"/>
    <w:rsid w:val="004E6531"/>
    <w:rsid w:val="004E68CE"/>
    <w:rsid w:val="004E6A28"/>
    <w:rsid w:val="004E6DEF"/>
    <w:rsid w:val="004E723E"/>
    <w:rsid w:val="004E783C"/>
    <w:rsid w:val="004E783E"/>
    <w:rsid w:val="004E79CC"/>
    <w:rsid w:val="004E7C48"/>
    <w:rsid w:val="004E7FE3"/>
    <w:rsid w:val="004F012D"/>
    <w:rsid w:val="004F01A7"/>
    <w:rsid w:val="004F0340"/>
    <w:rsid w:val="004F0678"/>
    <w:rsid w:val="004F06F2"/>
    <w:rsid w:val="004F0FC5"/>
    <w:rsid w:val="004F121B"/>
    <w:rsid w:val="004F1250"/>
    <w:rsid w:val="004F1522"/>
    <w:rsid w:val="004F15EE"/>
    <w:rsid w:val="004F166B"/>
    <w:rsid w:val="004F192E"/>
    <w:rsid w:val="004F1957"/>
    <w:rsid w:val="004F1BA3"/>
    <w:rsid w:val="004F1BCD"/>
    <w:rsid w:val="004F1C05"/>
    <w:rsid w:val="004F2A39"/>
    <w:rsid w:val="004F2AD9"/>
    <w:rsid w:val="004F2C1F"/>
    <w:rsid w:val="004F2D40"/>
    <w:rsid w:val="004F3681"/>
    <w:rsid w:val="004F373D"/>
    <w:rsid w:val="004F3764"/>
    <w:rsid w:val="004F3788"/>
    <w:rsid w:val="004F387C"/>
    <w:rsid w:val="004F3971"/>
    <w:rsid w:val="004F398D"/>
    <w:rsid w:val="004F399D"/>
    <w:rsid w:val="004F3D05"/>
    <w:rsid w:val="004F446D"/>
    <w:rsid w:val="004F44C6"/>
    <w:rsid w:val="004F4655"/>
    <w:rsid w:val="004F482D"/>
    <w:rsid w:val="004F4833"/>
    <w:rsid w:val="004F4D4A"/>
    <w:rsid w:val="004F4EB9"/>
    <w:rsid w:val="004F4EE0"/>
    <w:rsid w:val="004F5095"/>
    <w:rsid w:val="004F509F"/>
    <w:rsid w:val="004F541E"/>
    <w:rsid w:val="004F5502"/>
    <w:rsid w:val="004F5748"/>
    <w:rsid w:val="004F5CE6"/>
    <w:rsid w:val="004F5F80"/>
    <w:rsid w:val="004F6A2C"/>
    <w:rsid w:val="004F6A8A"/>
    <w:rsid w:val="004F6AD9"/>
    <w:rsid w:val="004F6CC2"/>
    <w:rsid w:val="004F6D6B"/>
    <w:rsid w:val="004F6E51"/>
    <w:rsid w:val="004F7325"/>
    <w:rsid w:val="004F7411"/>
    <w:rsid w:val="004F78FD"/>
    <w:rsid w:val="004F7BF3"/>
    <w:rsid w:val="004F7D11"/>
    <w:rsid w:val="004F7EDD"/>
    <w:rsid w:val="00500443"/>
    <w:rsid w:val="00500453"/>
    <w:rsid w:val="00500534"/>
    <w:rsid w:val="005005C5"/>
    <w:rsid w:val="0050087E"/>
    <w:rsid w:val="00500918"/>
    <w:rsid w:val="00500C1A"/>
    <w:rsid w:val="00500C3D"/>
    <w:rsid w:val="00500C66"/>
    <w:rsid w:val="00500CA1"/>
    <w:rsid w:val="00500CE1"/>
    <w:rsid w:val="00500D8C"/>
    <w:rsid w:val="005010F8"/>
    <w:rsid w:val="00501152"/>
    <w:rsid w:val="00501294"/>
    <w:rsid w:val="00501623"/>
    <w:rsid w:val="00501828"/>
    <w:rsid w:val="00501883"/>
    <w:rsid w:val="0050188E"/>
    <w:rsid w:val="005018BD"/>
    <w:rsid w:val="005018D7"/>
    <w:rsid w:val="00501919"/>
    <w:rsid w:val="005019CB"/>
    <w:rsid w:val="0050243D"/>
    <w:rsid w:val="00502D26"/>
    <w:rsid w:val="00503138"/>
    <w:rsid w:val="00503619"/>
    <w:rsid w:val="00503657"/>
    <w:rsid w:val="0050376E"/>
    <w:rsid w:val="00503E63"/>
    <w:rsid w:val="0050405E"/>
    <w:rsid w:val="0050406C"/>
    <w:rsid w:val="00504228"/>
    <w:rsid w:val="005042EF"/>
    <w:rsid w:val="0050437E"/>
    <w:rsid w:val="005044D2"/>
    <w:rsid w:val="0050464C"/>
    <w:rsid w:val="00504655"/>
    <w:rsid w:val="00504974"/>
    <w:rsid w:val="00504B04"/>
    <w:rsid w:val="00504C5A"/>
    <w:rsid w:val="00504CA5"/>
    <w:rsid w:val="00505173"/>
    <w:rsid w:val="0050527A"/>
    <w:rsid w:val="00505642"/>
    <w:rsid w:val="00505666"/>
    <w:rsid w:val="005057BF"/>
    <w:rsid w:val="00505B97"/>
    <w:rsid w:val="00506358"/>
    <w:rsid w:val="005063D1"/>
    <w:rsid w:val="005065C0"/>
    <w:rsid w:val="0050666B"/>
    <w:rsid w:val="00506907"/>
    <w:rsid w:val="00506B8C"/>
    <w:rsid w:val="00506B91"/>
    <w:rsid w:val="0050722D"/>
    <w:rsid w:val="005074E1"/>
    <w:rsid w:val="005074F9"/>
    <w:rsid w:val="00507B1F"/>
    <w:rsid w:val="00507B98"/>
    <w:rsid w:val="00507DA3"/>
    <w:rsid w:val="00507F3E"/>
    <w:rsid w:val="0051018E"/>
    <w:rsid w:val="005101E4"/>
    <w:rsid w:val="00510476"/>
    <w:rsid w:val="0051048B"/>
    <w:rsid w:val="00510502"/>
    <w:rsid w:val="00510588"/>
    <w:rsid w:val="005107A4"/>
    <w:rsid w:val="00510ADA"/>
    <w:rsid w:val="00510D02"/>
    <w:rsid w:val="00510F96"/>
    <w:rsid w:val="00511128"/>
    <w:rsid w:val="0051144A"/>
    <w:rsid w:val="0051149B"/>
    <w:rsid w:val="00511719"/>
    <w:rsid w:val="0051192A"/>
    <w:rsid w:val="00511997"/>
    <w:rsid w:val="005120CD"/>
    <w:rsid w:val="005122BA"/>
    <w:rsid w:val="005122D2"/>
    <w:rsid w:val="00512403"/>
    <w:rsid w:val="0051249C"/>
    <w:rsid w:val="005125AC"/>
    <w:rsid w:val="0051267B"/>
    <w:rsid w:val="00512765"/>
    <w:rsid w:val="00512887"/>
    <w:rsid w:val="0051295D"/>
    <w:rsid w:val="00513962"/>
    <w:rsid w:val="00513981"/>
    <w:rsid w:val="00513AFB"/>
    <w:rsid w:val="00513C17"/>
    <w:rsid w:val="005140DA"/>
    <w:rsid w:val="00514577"/>
    <w:rsid w:val="00514907"/>
    <w:rsid w:val="00514BF4"/>
    <w:rsid w:val="00514C12"/>
    <w:rsid w:val="00514C3E"/>
    <w:rsid w:val="00514E16"/>
    <w:rsid w:val="00514F35"/>
    <w:rsid w:val="00514F9A"/>
    <w:rsid w:val="00515174"/>
    <w:rsid w:val="005152D4"/>
    <w:rsid w:val="00515774"/>
    <w:rsid w:val="005158C4"/>
    <w:rsid w:val="005158E8"/>
    <w:rsid w:val="00515911"/>
    <w:rsid w:val="00515915"/>
    <w:rsid w:val="00515BB4"/>
    <w:rsid w:val="00515CE7"/>
    <w:rsid w:val="00515FFF"/>
    <w:rsid w:val="00516539"/>
    <w:rsid w:val="005166C3"/>
    <w:rsid w:val="005166DC"/>
    <w:rsid w:val="005167BD"/>
    <w:rsid w:val="005168EB"/>
    <w:rsid w:val="00516C37"/>
    <w:rsid w:val="00516C85"/>
    <w:rsid w:val="005172B2"/>
    <w:rsid w:val="00517613"/>
    <w:rsid w:val="0051793F"/>
    <w:rsid w:val="00517A69"/>
    <w:rsid w:val="00517F63"/>
    <w:rsid w:val="00517FB3"/>
    <w:rsid w:val="005200B3"/>
    <w:rsid w:val="005201E3"/>
    <w:rsid w:val="00520B80"/>
    <w:rsid w:val="00520D08"/>
    <w:rsid w:val="0052101C"/>
    <w:rsid w:val="00521177"/>
    <w:rsid w:val="00521253"/>
    <w:rsid w:val="00521484"/>
    <w:rsid w:val="005214FC"/>
    <w:rsid w:val="00521649"/>
    <w:rsid w:val="00521668"/>
    <w:rsid w:val="00521894"/>
    <w:rsid w:val="00521A5E"/>
    <w:rsid w:val="00521B02"/>
    <w:rsid w:val="00521E1D"/>
    <w:rsid w:val="0052201B"/>
    <w:rsid w:val="0052218B"/>
    <w:rsid w:val="00522491"/>
    <w:rsid w:val="00522852"/>
    <w:rsid w:val="00522969"/>
    <w:rsid w:val="00522C16"/>
    <w:rsid w:val="00522D7E"/>
    <w:rsid w:val="00523057"/>
    <w:rsid w:val="005231E7"/>
    <w:rsid w:val="00523211"/>
    <w:rsid w:val="005235E8"/>
    <w:rsid w:val="005236BB"/>
    <w:rsid w:val="00523820"/>
    <w:rsid w:val="0052423E"/>
    <w:rsid w:val="00524751"/>
    <w:rsid w:val="00524787"/>
    <w:rsid w:val="0052497B"/>
    <w:rsid w:val="00524DAA"/>
    <w:rsid w:val="00525013"/>
    <w:rsid w:val="00525083"/>
    <w:rsid w:val="005251EF"/>
    <w:rsid w:val="005258BE"/>
    <w:rsid w:val="00525E30"/>
    <w:rsid w:val="00525E67"/>
    <w:rsid w:val="0052613F"/>
    <w:rsid w:val="00526172"/>
    <w:rsid w:val="00526597"/>
    <w:rsid w:val="00526623"/>
    <w:rsid w:val="00526F00"/>
    <w:rsid w:val="00527637"/>
    <w:rsid w:val="00527E34"/>
    <w:rsid w:val="0053004F"/>
    <w:rsid w:val="005302C4"/>
    <w:rsid w:val="00530363"/>
    <w:rsid w:val="00530E87"/>
    <w:rsid w:val="00531076"/>
    <w:rsid w:val="005310C9"/>
    <w:rsid w:val="00531150"/>
    <w:rsid w:val="0053126E"/>
    <w:rsid w:val="005313E4"/>
    <w:rsid w:val="0053199C"/>
    <w:rsid w:val="00531CFC"/>
    <w:rsid w:val="00531FC2"/>
    <w:rsid w:val="0053230C"/>
    <w:rsid w:val="00532363"/>
    <w:rsid w:val="00532485"/>
    <w:rsid w:val="0053279D"/>
    <w:rsid w:val="00532813"/>
    <w:rsid w:val="00532864"/>
    <w:rsid w:val="00532997"/>
    <w:rsid w:val="005329DF"/>
    <w:rsid w:val="00532E54"/>
    <w:rsid w:val="00533085"/>
    <w:rsid w:val="005332B9"/>
    <w:rsid w:val="00533311"/>
    <w:rsid w:val="0053350C"/>
    <w:rsid w:val="005336B5"/>
    <w:rsid w:val="00533715"/>
    <w:rsid w:val="00533786"/>
    <w:rsid w:val="00533AFC"/>
    <w:rsid w:val="00533CFE"/>
    <w:rsid w:val="00534207"/>
    <w:rsid w:val="005344F1"/>
    <w:rsid w:val="0053458D"/>
    <w:rsid w:val="00534603"/>
    <w:rsid w:val="00534760"/>
    <w:rsid w:val="00534BB3"/>
    <w:rsid w:val="00534F96"/>
    <w:rsid w:val="005351FC"/>
    <w:rsid w:val="005353AC"/>
    <w:rsid w:val="00535572"/>
    <w:rsid w:val="005355C5"/>
    <w:rsid w:val="00535A4C"/>
    <w:rsid w:val="00535A4F"/>
    <w:rsid w:val="00535C42"/>
    <w:rsid w:val="00536082"/>
    <w:rsid w:val="0053633F"/>
    <w:rsid w:val="005369DA"/>
    <w:rsid w:val="00536AE2"/>
    <w:rsid w:val="00536C6B"/>
    <w:rsid w:val="00536FB7"/>
    <w:rsid w:val="00537030"/>
    <w:rsid w:val="0053739B"/>
    <w:rsid w:val="005375EB"/>
    <w:rsid w:val="00537A4C"/>
    <w:rsid w:val="00537D61"/>
    <w:rsid w:val="00537F05"/>
    <w:rsid w:val="005401FA"/>
    <w:rsid w:val="0054029D"/>
    <w:rsid w:val="00540481"/>
    <w:rsid w:val="005404D6"/>
    <w:rsid w:val="00540654"/>
    <w:rsid w:val="0054077B"/>
    <w:rsid w:val="005408EC"/>
    <w:rsid w:val="00540E1D"/>
    <w:rsid w:val="00540E46"/>
    <w:rsid w:val="00540EEE"/>
    <w:rsid w:val="00540F82"/>
    <w:rsid w:val="0054106B"/>
    <w:rsid w:val="0054133F"/>
    <w:rsid w:val="005415D7"/>
    <w:rsid w:val="00541635"/>
    <w:rsid w:val="00541869"/>
    <w:rsid w:val="00541A4C"/>
    <w:rsid w:val="00541D3C"/>
    <w:rsid w:val="00541F94"/>
    <w:rsid w:val="00541FF0"/>
    <w:rsid w:val="00542077"/>
    <w:rsid w:val="0054216C"/>
    <w:rsid w:val="005423FD"/>
    <w:rsid w:val="0054244F"/>
    <w:rsid w:val="00542785"/>
    <w:rsid w:val="005427D8"/>
    <w:rsid w:val="005428C3"/>
    <w:rsid w:val="00542BD4"/>
    <w:rsid w:val="00542D85"/>
    <w:rsid w:val="00542FB5"/>
    <w:rsid w:val="00543456"/>
    <w:rsid w:val="005435D2"/>
    <w:rsid w:val="00543714"/>
    <w:rsid w:val="005437AA"/>
    <w:rsid w:val="00543A6D"/>
    <w:rsid w:val="00543B33"/>
    <w:rsid w:val="00543DA8"/>
    <w:rsid w:val="005445CB"/>
    <w:rsid w:val="005447E3"/>
    <w:rsid w:val="00544936"/>
    <w:rsid w:val="00544AE5"/>
    <w:rsid w:val="00544E23"/>
    <w:rsid w:val="0054520B"/>
    <w:rsid w:val="00545286"/>
    <w:rsid w:val="005452F5"/>
    <w:rsid w:val="00545308"/>
    <w:rsid w:val="005454F0"/>
    <w:rsid w:val="00545786"/>
    <w:rsid w:val="00545D57"/>
    <w:rsid w:val="005462F7"/>
    <w:rsid w:val="0054638C"/>
    <w:rsid w:val="0054645D"/>
    <w:rsid w:val="005466D9"/>
    <w:rsid w:val="00546A8C"/>
    <w:rsid w:val="00546BDD"/>
    <w:rsid w:val="00546E73"/>
    <w:rsid w:val="00546F0D"/>
    <w:rsid w:val="00546FE0"/>
    <w:rsid w:val="005470F8"/>
    <w:rsid w:val="0054798A"/>
    <w:rsid w:val="00547AAE"/>
    <w:rsid w:val="00547B49"/>
    <w:rsid w:val="00547DFE"/>
    <w:rsid w:val="005503A0"/>
    <w:rsid w:val="0055067C"/>
    <w:rsid w:val="005508D0"/>
    <w:rsid w:val="00550EAD"/>
    <w:rsid w:val="00551184"/>
    <w:rsid w:val="00551387"/>
    <w:rsid w:val="005513C6"/>
    <w:rsid w:val="005514EA"/>
    <w:rsid w:val="005516A7"/>
    <w:rsid w:val="005516C7"/>
    <w:rsid w:val="005518BD"/>
    <w:rsid w:val="00551CF4"/>
    <w:rsid w:val="00551D73"/>
    <w:rsid w:val="00552081"/>
    <w:rsid w:val="005520AF"/>
    <w:rsid w:val="005520F9"/>
    <w:rsid w:val="00552421"/>
    <w:rsid w:val="00552509"/>
    <w:rsid w:val="005525DD"/>
    <w:rsid w:val="00552603"/>
    <w:rsid w:val="00552776"/>
    <w:rsid w:val="005527A6"/>
    <w:rsid w:val="005528D8"/>
    <w:rsid w:val="005529E8"/>
    <w:rsid w:val="00552AE8"/>
    <w:rsid w:val="00552B74"/>
    <w:rsid w:val="00552CB6"/>
    <w:rsid w:val="00552E6E"/>
    <w:rsid w:val="005530C4"/>
    <w:rsid w:val="00553299"/>
    <w:rsid w:val="0055329D"/>
    <w:rsid w:val="005532B9"/>
    <w:rsid w:val="005532CF"/>
    <w:rsid w:val="005538B0"/>
    <w:rsid w:val="00553A07"/>
    <w:rsid w:val="00553B3D"/>
    <w:rsid w:val="00553C18"/>
    <w:rsid w:val="00553E74"/>
    <w:rsid w:val="00553ED0"/>
    <w:rsid w:val="005540AC"/>
    <w:rsid w:val="00554128"/>
    <w:rsid w:val="00554BE1"/>
    <w:rsid w:val="00554D97"/>
    <w:rsid w:val="00554EBE"/>
    <w:rsid w:val="00554EEC"/>
    <w:rsid w:val="0055503C"/>
    <w:rsid w:val="0055514C"/>
    <w:rsid w:val="005551AC"/>
    <w:rsid w:val="0055572F"/>
    <w:rsid w:val="00555A6F"/>
    <w:rsid w:val="00555C09"/>
    <w:rsid w:val="00555E02"/>
    <w:rsid w:val="00555E1C"/>
    <w:rsid w:val="00556184"/>
    <w:rsid w:val="005561C4"/>
    <w:rsid w:val="005561ED"/>
    <w:rsid w:val="0055620F"/>
    <w:rsid w:val="005563F1"/>
    <w:rsid w:val="00556715"/>
    <w:rsid w:val="005567DC"/>
    <w:rsid w:val="0055689D"/>
    <w:rsid w:val="005570E6"/>
    <w:rsid w:val="00557747"/>
    <w:rsid w:val="00557C6E"/>
    <w:rsid w:val="00560017"/>
    <w:rsid w:val="0056005D"/>
    <w:rsid w:val="00560151"/>
    <w:rsid w:val="00560515"/>
    <w:rsid w:val="00560640"/>
    <w:rsid w:val="00560727"/>
    <w:rsid w:val="005608A9"/>
    <w:rsid w:val="00560B5A"/>
    <w:rsid w:val="00560E64"/>
    <w:rsid w:val="00560F56"/>
    <w:rsid w:val="00560F64"/>
    <w:rsid w:val="00561013"/>
    <w:rsid w:val="00561353"/>
    <w:rsid w:val="0056136A"/>
    <w:rsid w:val="00561398"/>
    <w:rsid w:val="005613A0"/>
    <w:rsid w:val="0056167E"/>
    <w:rsid w:val="00561724"/>
    <w:rsid w:val="00561751"/>
    <w:rsid w:val="00561759"/>
    <w:rsid w:val="00561CC7"/>
    <w:rsid w:val="00561D4D"/>
    <w:rsid w:val="00562814"/>
    <w:rsid w:val="005628BC"/>
    <w:rsid w:val="00562CB3"/>
    <w:rsid w:val="0056309C"/>
    <w:rsid w:val="0056311E"/>
    <w:rsid w:val="0056353C"/>
    <w:rsid w:val="00563555"/>
    <w:rsid w:val="00563954"/>
    <w:rsid w:val="00563BD4"/>
    <w:rsid w:val="00563DAB"/>
    <w:rsid w:val="00563E82"/>
    <w:rsid w:val="00563EDC"/>
    <w:rsid w:val="00563F85"/>
    <w:rsid w:val="00563F87"/>
    <w:rsid w:val="00564005"/>
    <w:rsid w:val="005641E1"/>
    <w:rsid w:val="00564355"/>
    <w:rsid w:val="0056476B"/>
    <w:rsid w:val="0056478C"/>
    <w:rsid w:val="00564874"/>
    <w:rsid w:val="005648C0"/>
    <w:rsid w:val="00564AD5"/>
    <w:rsid w:val="00564F36"/>
    <w:rsid w:val="00565133"/>
    <w:rsid w:val="0056541A"/>
    <w:rsid w:val="00565434"/>
    <w:rsid w:val="0056557F"/>
    <w:rsid w:val="00565EA6"/>
    <w:rsid w:val="00566071"/>
    <w:rsid w:val="005666AE"/>
    <w:rsid w:val="00566AE3"/>
    <w:rsid w:val="00566BA9"/>
    <w:rsid w:val="00566C1E"/>
    <w:rsid w:val="00566D02"/>
    <w:rsid w:val="00566D52"/>
    <w:rsid w:val="00566F40"/>
    <w:rsid w:val="00567066"/>
    <w:rsid w:val="00567104"/>
    <w:rsid w:val="00567145"/>
    <w:rsid w:val="005675B8"/>
    <w:rsid w:val="005675F4"/>
    <w:rsid w:val="00567839"/>
    <w:rsid w:val="00567A7B"/>
    <w:rsid w:val="00567B41"/>
    <w:rsid w:val="00567D60"/>
    <w:rsid w:val="00567E36"/>
    <w:rsid w:val="00567EDB"/>
    <w:rsid w:val="00570193"/>
    <w:rsid w:val="005701BE"/>
    <w:rsid w:val="00570211"/>
    <w:rsid w:val="0057048E"/>
    <w:rsid w:val="0057078A"/>
    <w:rsid w:val="005707B0"/>
    <w:rsid w:val="005707F2"/>
    <w:rsid w:val="00570A21"/>
    <w:rsid w:val="00570AAE"/>
    <w:rsid w:val="00570B5D"/>
    <w:rsid w:val="00571342"/>
    <w:rsid w:val="0057158A"/>
    <w:rsid w:val="005715AB"/>
    <w:rsid w:val="005715CE"/>
    <w:rsid w:val="00571762"/>
    <w:rsid w:val="005717D7"/>
    <w:rsid w:val="005719BF"/>
    <w:rsid w:val="00571C1B"/>
    <w:rsid w:val="00572118"/>
    <w:rsid w:val="00572282"/>
    <w:rsid w:val="00572351"/>
    <w:rsid w:val="005723D7"/>
    <w:rsid w:val="00573006"/>
    <w:rsid w:val="0057353F"/>
    <w:rsid w:val="005736B5"/>
    <w:rsid w:val="0057377E"/>
    <w:rsid w:val="005737FB"/>
    <w:rsid w:val="00573BED"/>
    <w:rsid w:val="00573F1C"/>
    <w:rsid w:val="00573F23"/>
    <w:rsid w:val="00573FF9"/>
    <w:rsid w:val="00574183"/>
    <w:rsid w:val="0057423E"/>
    <w:rsid w:val="0057433E"/>
    <w:rsid w:val="00574590"/>
    <w:rsid w:val="0057472C"/>
    <w:rsid w:val="0057472D"/>
    <w:rsid w:val="0057478B"/>
    <w:rsid w:val="0057479B"/>
    <w:rsid w:val="0057488F"/>
    <w:rsid w:val="0057497B"/>
    <w:rsid w:val="00574B64"/>
    <w:rsid w:val="00574ED7"/>
    <w:rsid w:val="00574F4C"/>
    <w:rsid w:val="005752A0"/>
    <w:rsid w:val="00575549"/>
    <w:rsid w:val="0057570A"/>
    <w:rsid w:val="0057577B"/>
    <w:rsid w:val="0057605A"/>
    <w:rsid w:val="0057611B"/>
    <w:rsid w:val="00576222"/>
    <w:rsid w:val="00576392"/>
    <w:rsid w:val="00576654"/>
    <w:rsid w:val="0057685A"/>
    <w:rsid w:val="00576A26"/>
    <w:rsid w:val="00576BA0"/>
    <w:rsid w:val="00576BF5"/>
    <w:rsid w:val="00576C74"/>
    <w:rsid w:val="00576F1F"/>
    <w:rsid w:val="005770A8"/>
    <w:rsid w:val="00577208"/>
    <w:rsid w:val="005775E2"/>
    <w:rsid w:val="00577977"/>
    <w:rsid w:val="00577A05"/>
    <w:rsid w:val="00577D3E"/>
    <w:rsid w:val="00577DAA"/>
    <w:rsid w:val="00577FA7"/>
    <w:rsid w:val="0058033F"/>
    <w:rsid w:val="005804F6"/>
    <w:rsid w:val="00580C5A"/>
    <w:rsid w:val="00580DD5"/>
    <w:rsid w:val="00581049"/>
    <w:rsid w:val="00581060"/>
    <w:rsid w:val="005813A7"/>
    <w:rsid w:val="005818A4"/>
    <w:rsid w:val="00581934"/>
    <w:rsid w:val="00581F48"/>
    <w:rsid w:val="005821D4"/>
    <w:rsid w:val="005823DE"/>
    <w:rsid w:val="00582625"/>
    <w:rsid w:val="00582FCC"/>
    <w:rsid w:val="00583125"/>
    <w:rsid w:val="005838F3"/>
    <w:rsid w:val="00583A17"/>
    <w:rsid w:val="00583A74"/>
    <w:rsid w:val="00583BC5"/>
    <w:rsid w:val="00583C0C"/>
    <w:rsid w:val="00583DD2"/>
    <w:rsid w:val="00583FEF"/>
    <w:rsid w:val="005845E4"/>
    <w:rsid w:val="00584704"/>
    <w:rsid w:val="005847B1"/>
    <w:rsid w:val="00584934"/>
    <w:rsid w:val="005849AD"/>
    <w:rsid w:val="005849F1"/>
    <w:rsid w:val="00584E16"/>
    <w:rsid w:val="00584E66"/>
    <w:rsid w:val="00584EB1"/>
    <w:rsid w:val="00584F63"/>
    <w:rsid w:val="00584FBF"/>
    <w:rsid w:val="00585028"/>
    <w:rsid w:val="00585776"/>
    <w:rsid w:val="0058578C"/>
    <w:rsid w:val="005859E6"/>
    <w:rsid w:val="00585A7C"/>
    <w:rsid w:val="00585B4C"/>
    <w:rsid w:val="00585C48"/>
    <w:rsid w:val="00585D1C"/>
    <w:rsid w:val="00585F88"/>
    <w:rsid w:val="00585FB0"/>
    <w:rsid w:val="0058601D"/>
    <w:rsid w:val="005860B4"/>
    <w:rsid w:val="0058623C"/>
    <w:rsid w:val="005863B8"/>
    <w:rsid w:val="00586665"/>
    <w:rsid w:val="00586799"/>
    <w:rsid w:val="00586A09"/>
    <w:rsid w:val="00586A3C"/>
    <w:rsid w:val="00586B2F"/>
    <w:rsid w:val="00586BA6"/>
    <w:rsid w:val="00586C66"/>
    <w:rsid w:val="00587000"/>
    <w:rsid w:val="00587199"/>
    <w:rsid w:val="005873B0"/>
    <w:rsid w:val="005874B1"/>
    <w:rsid w:val="005875AC"/>
    <w:rsid w:val="005878DB"/>
    <w:rsid w:val="00587AED"/>
    <w:rsid w:val="00587F7C"/>
    <w:rsid w:val="0059000B"/>
    <w:rsid w:val="005902B8"/>
    <w:rsid w:val="0059065C"/>
    <w:rsid w:val="00591469"/>
    <w:rsid w:val="00591556"/>
    <w:rsid w:val="0059192A"/>
    <w:rsid w:val="00591A75"/>
    <w:rsid w:val="00591B98"/>
    <w:rsid w:val="00591C8B"/>
    <w:rsid w:val="00591E7E"/>
    <w:rsid w:val="005920EA"/>
    <w:rsid w:val="005922CC"/>
    <w:rsid w:val="005922EB"/>
    <w:rsid w:val="0059267E"/>
    <w:rsid w:val="00592821"/>
    <w:rsid w:val="005928A5"/>
    <w:rsid w:val="005928C4"/>
    <w:rsid w:val="005928C6"/>
    <w:rsid w:val="00592983"/>
    <w:rsid w:val="00592A05"/>
    <w:rsid w:val="00592A16"/>
    <w:rsid w:val="00592A26"/>
    <w:rsid w:val="00592B8B"/>
    <w:rsid w:val="00592BBC"/>
    <w:rsid w:val="00592C09"/>
    <w:rsid w:val="00592C27"/>
    <w:rsid w:val="00592C72"/>
    <w:rsid w:val="00592E44"/>
    <w:rsid w:val="005937C6"/>
    <w:rsid w:val="005937E8"/>
    <w:rsid w:val="00593851"/>
    <w:rsid w:val="00593A40"/>
    <w:rsid w:val="00593AA2"/>
    <w:rsid w:val="00593C09"/>
    <w:rsid w:val="00593FFE"/>
    <w:rsid w:val="005942BF"/>
    <w:rsid w:val="00594637"/>
    <w:rsid w:val="00594770"/>
    <w:rsid w:val="0059480B"/>
    <w:rsid w:val="00594A90"/>
    <w:rsid w:val="00594BB0"/>
    <w:rsid w:val="00594D4C"/>
    <w:rsid w:val="00594DC3"/>
    <w:rsid w:val="00594EF4"/>
    <w:rsid w:val="00594F3B"/>
    <w:rsid w:val="00594F4E"/>
    <w:rsid w:val="00594FC8"/>
    <w:rsid w:val="00595132"/>
    <w:rsid w:val="0059537D"/>
    <w:rsid w:val="00595527"/>
    <w:rsid w:val="00595601"/>
    <w:rsid w:val="005959EF"/>
    <w:rsid w:val="00595A14"/>
    <w:rsid w:val="00595E79"/>
    <w:rsid w:val="005962A2"/>
    <w:rsid w:val="005962DE"/>
    <w:rsid w:val="005963B7"/>
    <w:rsid w:val="0059680B"/>
    <w:rsid w:val="00596A25"/>
    <w:rsid w:val="00596A90"/>
    <w:rsid w:val="00596D9A"/>
    <w:rsid w:val="0059706F"/>
    <w:rsid w:val="00597B38"/>
    <w:rsid w:val="00597BE4"/>
    <w:rsid w:val="00597EA1"/>
    <w:rsid w:val="005A0124"/>
    <w:rsid w:val="005A0487"/>
    <w:rsid w:val="005A0B9F"/>
    <w:rsid w:val="005A0C1B"/>
    <w:rsid w:val="005A0C2A"/>
    <w:rsid w:val="005A0D19"/>
    <w:rsid w:val="005A0D8D"/>
    <w:rsid w:val="005A1116"/>
    <w:rsid w:val="005A1223"/>
    <w:rsid w:val="005A14DE"/>
    <w:rsid w:val="005A1647"/>
    <w:rsid w:val="005A1727"/>
    <w:rsid w:val="005A17A1"/>
    <w:rsid w:val="005A1953"/>
    <w:rsid w:val="005A1967"/>
    <w:rsid w:val="005A1973"/>
    <w:rsid w:val="005A2313"/>
    <w:rsid w:val="005A259A"/>
    <w:rsid w:val="005A259C"/>
    <w:rsid w:val="005A2789"/>
    <w:rsid w:val="005A2D00"/>
    <w:rsid w:val="005A2D70"/>
    <w:rsid w:val="005A3123"/>
    <w:rsid w:val="005A3524"/>
    <w:rsid w:val="005A3598"/>
    <w:rsid w:val="005A3782"/>
    <w:rsid w:val="005A39E9"/>
    <w:rsid w:val="005A39FC"/>
    <w:rsid w:val="005A3A3C"/>
    <w:rsid w:val="005A3CAC"/>
    <w:rsid w:val="005A3E79"/>
    <w:rsid w:val="005A4368"/>
    <w:rsid w:val="005A44F8"/>
    <w:rsid w:val="005A4504"/>
    <w:rsid w:val="005A45C8"/>
    <w:rsid w:val="005A477A"/>
    <w:rsid w:val="005A4ACC"/>
    <w:rsid w:val="005A4D79"/>
    <w:rsid w:val="005A4E18"/>
    <w:rsid w:val="005A4F63"/>
    <w:rsid w:val="005A507A"/>
    <w:rsid w:val="005A5735"/>
    <w:rsid w:val="005A5797"/>
    <w:rsid w:val="005A5B81"/>
    <w:rsid w:val="005A5BC7"/>
    <w:rsid w:val="005A5C09"/>
    <w:rsid w:val="005A5C9E"/>
    <w:rsid w:val="005A5D68"/>
    <w:rsid w:val="005A60BF"/>
    <w:rsid w:val="005A6277"/>
    <w:rsid w:val="005A65CE"/>
    <w:rsid w:val="005A660B"/>
    <w:rsid w:val="005A697D"/>
    <w:rsid w:val="005A6BA9"/>
    <w:rsid w:val="005A6C7F"/>
    <w:rsid w:val="005A6E20"/>
    <w:rsid w:val="005A6EE1"/>
    <w:rsid w:val="005A7091"/>
    <w:rsid w:val="005A7100"/>
    <w:rsid w:val="005A7129"/>
    <w:rsid w:val="005A713A"/>
    <w:rsid w:val="005A746B"/>
    <w:rsid w:val="005A7565"/>
    <w:rsid w:val="005A769A"/>
    <w:rsid w:val="005A77C7"/>
    <w:rsid w:val="005A78BF"/>
    <w:rsid w:val="005A7A85"/>
    <w:rsid w:val="005A7B44"/>
    <w:rsid w:val="005B0003"/>
    <w:rsid w:val="005B0089"/>
    <w:rsid w:val="005B01EE"/>
    <w:rsid w:val="005B05B5"/>
    <w:rsid w:val="005B0825"/>
    <w:rsid w:val="005B0AE7"/>
    <w:rsid w:val="005B0B7A"/>
    <w:rsid w:val="005B0D93"/>
    <w:rsid w:val="005B0E9E"/>
    <w:rsid w:val="005B131C"/>
    <w:rsid w:val="005B14FC"/>
    <w:rsid w:val="005B154E"/>
    <w:rsid w:val="005B173E"/>
    <w:rsid w:val="005B178C"/>
    <w:rsid w:val="005B1905"/>
    <w:rsid w:val="005B1A30"/>
    <w:rsid w:val="005B1A5C"/>
    <w:rsid w:val="005B1C84"/>
    <w:rsid w:val="005B1DA8"/>
    <w:rsid w:val="005B1EB6"/>
    <w:rsid w:val="005B1FB3"/>
    <w:rsid w:val="005B2127"/>
    <w:rsid w:val="005B216A"/>
    <w:rsid w:val="005B2222"/>
    <w:rsid w:val="005B2AD5"/>
    <w:rsid w:val="005B2DE3"/>
    <w:rsid w:val="005B2E2C"/>
    <w:rsid w:val="005B3036"/>
    <w:rsid w:val="005B325B"/>
    <w:rsid w:val="005B34CF"/>
    <w:rsid w:val="005B356E"/>
    <w:rsid w:val="005B376E"/>
    <w:rsid w:val="005B38B4"/>
    <w:rsid w:val="005B3C54"/>
    <w:rsid w:val="005B4028"/>
    <w:rsid w:val="005B4431"/>
    <w:rsid w:val="005B486A"/>
    <w:rsid w:val="005B499D"/>
    <w:rsid w:val="005B4BC3"/>
    <w:rsid w:val="005B4CD5"/>
    <w:rsid w:val="005B5330"/>
    <w:rsid w:val="005B535C"/>
    <w:rsid w:val="005B5587"/>
    <w:rsid w:val="005B58A1"/>
    <w:rsid w:val="005B5923"/>
    <w:rsid w:val="005B5985"/>
    <w:rsid w:val="005B5F6E"/>
    <w:rsid w:val="005B604A"/>
    <w:rsid w:val="005B60D7"/>
    <w:rsid w:val="005B6110"/>
    <w:rsid w:val="005B611F"/>
    <w:rsid w:val="005B66A4"/>
    <w:rsid w:val="005B678D"/>
    <w:rsid w:val="005B6EBB"/>
    <w:rsid w:val="005B721F"/>
    <w:rsid w:val="005B7330"/>
    <w:rsid w:val="005B76AC"/>
    <w:rsid w:val="005B771C"/>
    <w:rsid w:val="005B7834"/>
    <w:rsid w:val="005B7F8B"/>
    <w:rsid w:val="005C0397"/>
    <w:rsid w:val="005C05D6"/>
    <w:rsid w:val="005C0676"/>
    <w:rsid w:val="005C0822"/>
    <w:rsid w:val="005C0891"/>
    <w:rsid w:val="005C09FC"/>
    <w:rsid w:val="005C0A1E"/>
    <w:rsid w:val="005C0D56"/>
    <w:rsid w:val="005C0DB9"/>
    <w:rsid w:val="005C0FAD"/>
    <w:rsid w:val="005C1695"/>
    <w:rsid w:val="005C1844"/>
    <w:rsid w:val="005C19E0"/>
    <w:rsid w:val="005C2171"/>
    <w:rsid w:val="005C2234"/>
    <w:rsid w:val="005C2A72"/>
    <w:rsid w:val="005C2B63"/>
    <w:rsid w:val="005C2C36"/>
    <w:rsid w:val="005C30AC"/>
    <w:rsid w:val="005C3422"/>
    <w:rsid w:val="005C392B"/>
    <w:rsid w:val="005C41E3"/>
    <w:rsid w:val="005C41E7"/>
    <w:rsid w:val="005C422E"/>
    <w:rsid w:val="005C4494"/>
    <w:rsid w:val="005C4559"/>
    <w:rsid w:val="005C455F"/>
    <w:rsid w:val="005C45B5"/>
    <w:rsid w:val="005C47E4"/>
    <w:rsid w:val="005C4885"/>
    <w:rsid w:val="005C49B4"/>
    <w:rsid w:val="005C49F9"/>
    <w:rsid w:val="005C4BB6"/>
    <w:rsid w:val="005C4C24"/>
    <w:rsid w:val="005C4D2C"/>
    <w:rsid w:val="005C5015"/>
    <w:rsid w:val="005C509F"/>
    <w:rsid w:val="005C5280"/>
    <w:rsid w:val="005C53AD"/>
    <w:rsid w:val="005C5660"/>
    <w:rsid w:val="005C597E"/>
    <w:rsid w:val="005C5B00"/>
    <w:rsid w:val="005C5CA7"/>
    <w:rsid w:val="005C5E0E"/>
    <w:rsid w:val="005C5F95"/>
    <w:rsid w:val="005C5FAE"/>
    <w:rsid w:val="005C6CD3"/>
    <w:rsid w:val="005C7020"/>
    <w:rsid w:val="005C710B"/>
    <w:rsid w:val="005C726B"/>
    <w:rsid w:val="005C7478"/>
    <w:rsid w:val="005C7548"/>
    <w:rsid w:val="005C756C"/>
    <w:rsid w:val="005C7712"/>
    <w:rsid w:val="005C7951"/>
    <w:rsid w:val="005D02F4"/>
    <w:rsid w:val="005D0832"/>
    <w:rsid w:val="005D09CF"/>
    <w:rsid w:val="005D0B7A"/>
    <w:rsid w:val="005D0C3F"/>
    <w:rsid w:val="005D0C68"/>
    <w:rsid w:val="005D0F46"/>
    <w:rsid w:val="005D1144"/>
    <w:rsid w:val="005D11AC"/>
    <w:rsid w:val="005D13D3"/>
    <w:rsid w:val="005D14CB"/>
    <w:rsid w:val="005D1663"/>
    <w:rsid w:val="005D1815"/>
    <w:rsid w:val="005D1BBD"/>
    <w:rsid w:val="005D1C5D"/>
    <w:rsid w:val="005D1CC8"/>
    <w:rsid w:val="005D1E49"/>
    <w:rsid w:val="005D1FC7"/>
    <w:rsid w:val="005D2081"/>
    <w:rsid w:val="005D20B5"/>
    <w:rsid w:val="005D2263"/>
    <w:rsid w:val="005D248D"/>
    <w:rsid w:val="005D28C9"/>
    <w:rsid w:val="005D2AC1"/>
    <w:rsid w:val="005D2DF3"/>
    <w:rsid w:val="005D2E21"/>
    <w:rsid w:val="005D3162"/>
    <w:rsid w:val="005D31CC"/>
    <w:rsid w:val="005D353E"/>
    <w:rsid w:val="005D35DE"/>
    <w:rsid w:val="005D37E7"/>
    <w:rsid w:val="005D3A5B"/>
    <w:rsid w:val="005D420C"/>
    <w:rsid w:val="005D43EF"/>
    <w:rsid w:val="005D453C"/>
    <w:rsid w:val="005D46B5"/>
    <w:rsid w:val="005D4700"/>
    <w:rsid w:val="005D4749"/>
    <w:rsid w:val="005D48FA"/>
    <w:rsid w:val="005D4A4C"/>
    <w:rsid w:val="005D4AE7"/>
    <w:rsid w:val="005D4BF0"/>
    <w:rsid w:val="005D4F1E"/>
    <w:rsid w:val="005D4FA9"/>
    <w:rsid w:val="005D50AA"/>
    <w:rsid w:val="005D5549"/>
    <w:rsid w:val="005D5618"/>
    <w:rsid w:val="005D5979"/>
    <w:rsid w:val="005D5B0E"/>
    <w:rsid w:val="005D5B7A"/>
    <w:rsid w:val="005D5C7B"/>
    <w:rsid w:val="005D5CE3"/>
    <w:rsid w:val="005D5E0F"/>
    <w:rsid w:val="005D6323"/>
    <w:rsid w:val="005D6A06"/>
    <w:rsid w:val="005D6C99"/>
    <w:rsid w:val="005D6D97"/>
    <w:rsid w:val="005D6DDF"/>
    <w:rsid w:val="005D6ED9"/>
    <w:rsid w:val="005D6FCF"/>
    <w:rsid w:val="005D702C"/>
    <w:rsid w:val="005D710B"/>
    <w:rsid w:val="005D729D"/>
    <w:rsid w:val="005D736D"/>
    <w:rsid w:val="005D7402"/>
    <w:rsid w:val="005D76F4"/>
    <w:rsid w:val="005D77D3"/>
    <w:rsid w:val="005D79E0"/>
    <w:rsid w:val="005D7C29"/>
    <w:rsid w:val="005D7D16"/>
    <w:rsid w:val="005D7EF9"/>
    <w:rsid w:val="005E0068"/>
    <w:rsid w:val="005E01C2"/>
    <w:rsid w:val="005E0284"/>
    <w:rsid w:val="005E07C8"/>
    <w:rsid w:val="005E0BBC"/>
    <w:rsid w:val="005E0C17"/>
    <w:rsid w:val="005E1089"/>
    <w:rsid w:val="005E113C"/>
    <w:rsid w:val="005E12DE"/>
    <w:rsid w:val="005E1968"/>
    <w:rsid w:val="005E196A"/>
    <w:rsid w:val="005E1AF1"/>
    <w:rsid w:val="005E1FD4"/>
    <w:rsid w:val="005E215D"/>
    <w:rsid w:val="005E268F"/>
    <w:rsid w:val="005E28C4"/>
    <w:rsid w:val="005E2C05"/>
    <w:rsid w:val="005E2C8A"/>
    <w:rsid w:val="005E2D19"/>
    <w:rsid w:val="005E2E93"/>
    <w:rsid w:val="005E31B5"/>
    <w:rsid w:val="005E399B"/>
    <w:rsid w:val="005E3B46"/>
    <w:rsid w:val="005E3B82"/>
    <w:rsid w:val="005E405F"/>
    <w:rsid w:val="005E419A"/>
    <w:rsid w:val="005E4882"/>
    <w:rsid w:val="005E4990"/>
    <w:rsid w:val="005E49D2"/>
    <w:rsid w:val="005E4A5A"/>
    <w:rsid w:val="005E4A5F"/>
    <w:rsid w:val="005E4B4B"/>
    <w:rsid w:val="005E4C57"/>
    <w:rsid w:val="005E5021"/>
    <w:rsid w:val="005E51B6"/>
    <w:rsid w:val="005E5428"/>
    <w:rsid w:val="005E5B6B"/>
    <w:rsid w:val="005E5DC0"/>
    <w:rsid w:val="005E6260"/>
    <w:rsid w:val="005E661E"/>
    <w:rsid w:val="005E6676"/>
    <w:rsid w:val="005E6912"/>
    <w:rsid w:val="005E6B70"/>
    <w:rsid w:val="005E6BAD"/>
    <w:rsid w:val="005E6E2B"/>
    <w:rsid w:val="005E6EC0"/>
    <w:rsid w:val="005E721A"/>
    <w:rsid w:val="005E737C"/>
    <w:rsid w:val="005E76D8"/>
    <w:rsid w:val="005E76E8"/>
    <w:rsid w:val="005E76E9"/>
    <w:rsid w:val="005E79C2"/>
    <w:rsid w:val="005E7B75"/>
    <w:rsid w:val="005F0080"/>
    <w:rsid w:val="005F0243"/>
    <w:rsid w:val="005F0349"/>
    <w:rsid w:val="005F0352"/>
    <w:rsid w:val="005F0380"/>
    <w:rsid w:val="005F042C"/>
    <w:rsid w:val="005F0497"/>
    <w:rsid w:val="005F080B"/>
    <w:rsid w:val="005F0931"/>
    <w:rsid w:val="005F0BEA"/>
    <w:rsid w:val="005F0D65"/>
    <w:rsid w:val="005F1015"/>
    <w:rsid w:val="005F11CB"/>
    <w:rsid w:val="005F122B"/>
    <w:rsid w:val="005F12CC"/>
    <w:rsid w:val="005F143C"/>
    <w:rsid w:val="005F1461"/>
    <w:rsid w:val="005F1762"/>
    <w:rsid w:val="005F17E9"/>
    <w:rsid w:val="005F1D9A"/>
    <w:rsid w:val="005F1FE9"/>
    <w:rsid w:val="005F209D"/>
    <w:rsid w:val="005F251B"/>
    <w:rsid w:val="005F2791"/>
    <w:rsid w:val="005F2C30"/>
    <w:rsid w:val="005F2C3B"/>
    <w:rsid w:val="005F2C84"/>
    <w:rsid w:val="005F2E38"/>
    <w:rsid w:val="005F2F10"/>
    <w:rsid w:val="005F31EC"/>
    <w:rsid w:val="005F3563"/>
    <w:rsid w:val="005F38A5"/>
    <w:rsid w:val="005F39C8"/>
    <w:rsid w:val="005F3BDC"/>
    <w:rsid w:val="005F3C15"/>
    <w:rsid w:val="005F3CA6"/>
    <w:rsid w:val="005F42B4"/>
    <w:rsid w:val="005F449B"/>
    <w:rsid w:val="005F4538"/>
    <w:rsid w:val="005F45DB"/>
    <w:rsid w:val="005F4858"/>
    <w:rsid w:val="005F5012"/>
    <w:rsid w:val="005F501D"/>
    <w:rsid w:val="005F5872"/>
    <w:rsid w:val="005F5A5B"/>
    <w:rsid w:val="005F5AC0"/>
    <w:rsid w:val="005F5BE9"/>
    <w:rsid w:val="005F5EFA"/>
    <w:rsid w:val="005F5F64"/>
    <w:rsid w:val="005F6162"/>
    <w:rsid w:val="005F65FD"/>
    <w:rsid w:val="005F66F4"/>
    <w:rsid w:val="005F6892"/>
    <w:rsid w:val="005F6924"/>
    <w:rsid w:val="005F6C17"/>
    <w:rsid w:val="005F6CFE"/>
    <w:rsid w:val="005F6D31"/>
    <w:rsid w:val="005F6F2C"/>
    <w:rsid w:val="005F6FEC"/>
    <w:rsid w:val="005F701F"/>
    <w:rsid w:val="005F7287"/>
    <w:rsid w:val="005F74F1"/>
    <w:rsid w:val="005F7A53"/>
    <w:rsid w:val="005F7BD0"/>
    <w:rsid w:val="005F7C36"/>
    <w:rsid w:val="00600311"/>
    <w:rsid w:val="0060035F"/>
    <w:rsid w:val="0060083E"/>
    <w:rsid w:val="00600A8B"/>
    <w:rsid w:val="00600B1D"/>
    <w:rsid w:val="00600B7A"/>
    <w:rsid w:val="00600E9B"/>
    <w:rsid w:val="00600EF6"/>
    <w:rsid w:val="0060116C"/>
    <w:rsid w:val="00601191"/>
    <w:rsid w:val="0060133B"/>
    <w:rsid w:val="00601622"/>
    <w:rsid w:val="00601714"/>
    <w:rsid w:val="0060175D"/>
    <w:rsid w:val="00601867"/>
    <w:rsid w:val="00601ABD"/>
    <w:rsid w:val="00601BC7"/>
    <w:rsid w:val="00601DD7"/>
    <w:rsid w:val="006020F6"/>
    <w:rsid w:val="006028F6"/>
    <w:rsid w:val="0060292F"/>
    <w:rsid w:val="00602B3A"/>
    <w:rsid w:val="00602B9D"/>
    <w:rsid w:val="00602EA7"/>
    <w:rsid w:val="00602EF4"/>
    <w:rsid w:val="00602EF7"/>
    <w:rsid w:val="00603002"/>
    <w:rsid w:val="00603546"/>
    <w:rsid w:val="0060359E"/>
    <w:rsid w:val="00603659"/>
    <w:rsid w:val="006038AE"/>
    <w:rsid w:val="006038F5"/>
    <w:rsid w:val="00603A6D"/>
    <w:rsid w:val="00603BD1"/>
    <w:rsid w:val="00603C8B"/>
    <w:rsid w:val="00603CE3"/>
    <w:rsid w:val="00603EB4"/>
    <w:rsid w:val="00603EEA"/>
    <w:rsid w:val="006041EB"/>
    <w:rsid w:val="00604205"/>
    <w:rsid w:val="0060467B"/>
    <w:rsid w:val="0060478E"/>
    <w:rsid w:val="006049C1"/>
    <w:rsid w:val="006049F2"/>
    <w:rsid w:val="00604A26"/>
    <w:rsid w:val="00604D4C"/>
    <w:rsid w:val="00604EA0"/>
    <w:rsid w:val="00604F81"/>
    <w:rsid w:val="006052C5"/>
    <w:rsid w:val="006052CC"/>
    <w:rsid w:val="00605542"/>
    <w:rsid w:val="00605602"/>
    <w:rsid w:val="00605683"/>
    <w:rsid w:val="00605784"/>
    <w:rsid w:val="00605917"/>
    <w:rsid w:val="00605B97"/>
    <w:rsid w:val="00605CE8"/>
    <w:rsid w:val="00605E4B"/>
    <w:rsid w:val="0060634A"/>
    <w:rsid w:val="0060681B"/>
    <w:rsid w:val="00606885"/>
    <w:rsid w:val="006068E4"/>
    <w:rsid w:val="00607088"/>
    <w:rsid w:val="00607761"/>
    <w:rsid w:val="00607908"/>
    <w:rsid w:val="00607A49"/>
    <w:rsid w:val="00607B4A"/>
    <w:rsid w:val="00607D4D"/>
    <w:rsid w:val="00607F0B"/>
    <w:rsid w:val="00610338"/>
    <w:rsid w:val="0061072B"/>
    <w:rsid w:val="0061080D"/>
    <w:rsid w:val="00610E4D"/>
    <w:rsid w:val="00610EEF"/>
    <w:rsid w:val="0061113C"/>
    <w:rsid w:val="00611257"/>
    <w:rsid w:val="006114FE"/>
    <w:rsid w:val="00611563"/>
    <w:rsid w:val="00611579"/>
    <w:rsid w:val="006118D6"/>
    <w:rsid w:val="0061194B"/>
    <w:rsid w:val="00611A94"/>
    <w:rsid w:val="00611B32"/>
    <w:rsid w:val="00611F72"/>
    <w:rsid w:val="006122D3"/>
    <w:rsid w:val="00612BF6"/>
    <w:rsid w:val="00612CC2"/>
    <w:rsid w:val="00612EED"/>
    <w:rsid w:val="00612F89"/>
    <w:rsid w:val="00613191"/>
    <w:rsid w:val="006132A8"/>
    <w:rsid w:val="006133C8"/>
    <w:rsid w:val="006134F7"/>
    <w:rsid w:val="006137BB"/>
    <w:rsid w:val="00613CFB"/>
    <w:rsid w:val="00613DFB"/>
    <w:rsid w:val="00613F2F"/>
    <w:rsid w:val="00614036"/>
    <w:rsid w:val="006142DD"/>
    <w:rsid w:val="006144C7"/>
    <w:rsid w:val="00614817"/>
    <w:rsid w:val="00614A8A"/>
    <w:rsid w:val="00614B3F"/>
    <w:rsid w:val="00614E22"/>
    <w:rsid w:val="00614F68"/>
    <w:rsid w:val="00615377"/>
    <w:rsid w:val="0061544E"/>
    <w:rsid w:val="0061576B"/>
    <w:rsid w:val="006157BB"/>
    <w:rsid w:val="00615AB1"/>
    <w:rsid w:val="006163C4"/>
    <w:rsid w:val="006169D4"/>
    <w:rsid w:val="00616BB6"/>
    <w:rsid w:val="00616CC5"/>
    <w:rsid w:val="00616D03"/>
    <w:rsid w:val="00616DE6"/>
    <w:rsid w:val="006172E2"/>
    <w:rsid w:val="00617998"/>
    <w:rsid w:val="00617DAB"/>
    <w:rsid w:val="006202E3"/>
    <w:rsid w:val="006204CF"/>
    <w:rsid w:val="0062052D"/>
    <w:rsid w:val="00620745"/>
    <w:rsid w:val="00620A1D"/>
    <w:rsid w:val="00620C5C"/>
    <w:rsid w:val="00620E46"/>
    <w:rsid w:val="006210BA"/>
    <w:rsid w:val="0062135C"/>
    <w:rsid w:val="00621374"/>
    <w:rsid w:val="006213D2"/>
    <w:rsid w:val="00621414"/>
    <w:rsid w:val="00621446"/>
    <w:rsid w:val="00621529"/>
    <w:rsid w:val="006217CA"/>
    <w:rsid w:val="00621889"/>
    <w:rsid w:val="00621B79"/>
    <w:rsid w:val="00621BAB"/>
    <w:rsid w:val="00621C42"/>
    <w:rsid w:val="00621DC5"/>
    <w:rsid w:val="00621FE1"/>
    <w:rsid w:val="00622235"/>
    <w:rsid w:val="0062227D"/>
    <w:rsid w:val="0062289C"/>
    <w:rsid w:val="006229FE"/>
    <w:rsid w:val="00622B27"/>
    <w:rsid w:val="00622B89"/>
    <w:rsid w:val="00622C84"/>
    <w:rsid w:val="00622C90"/>
    <w:rsid w:val="006230BB"/>
    <w:rsid w:val="006230ED"/>
    <w:rsid w:val="0062345A"/>
    <w:rsid w:val="006235A0"/>
    <w:rsid w:val="006235D0"/>
    <w:rsid w:val="006236FD"/>
    <w:rsid w:val="0062375D"/>
    <w:rsid w:val="00623AD0"/>
    <w:rsid w:val="00623B51"/>
    <w:rsid w:val="00623E37"/>
    <w:rsid w:val="0062450E"/>
    <w:rsid w:val="00624648"/>
    <w:rsid w:val="00624970"/>
    <w:rsid w:val="00624A27"/>
    <w:rsid w:val="00624A4F"/>
    <w:rsid w:val="00624B6A"/>
    <w:rsid w:val="00624D57"/>
    <w:rsid w:val="00624F9E"/>
    <w:rsid w:val="00624FB5"/>
    <w:rsid w:val="0062510C"/>
    <w:rsid w:val="0062526F"/>
    <w:rsid w:val="0062538C"/>
    <w:rsid w:val="006254E8"/>
    <w:rsid w:val="006256D1"/>
    <w:rsid w:val="0062575F"/>
    <w:rsid w:val="006257F1"/>
    <w:rsid w:val="006259F3"/>
    <w:rsid w:val="00625CC2"/>
    <w:rsid w:val="00625D84"/>
    <w:rsid w:val="00626000"/>
    <w:rsid w:val="0062605F"/>
    <w:rsid w:val="006260D7"/>
    <w:rsid w:val="006260FF"/>
    <w:rsid w:val="00626481"/>
    <w:rsid w:val="0062649B"/>
    <w:rsid w:val="00626550"/>
    <w:rsid w:val="00626659"/>
    <w:rsid w:val="006266FF"/>
    <w:rsid w:val="006271CA"/>
    <w:rsid w:val="00627686"/>
    <w:rsid w:val="00627748"/>
    <w:rsid w:val="006277E9"/>
    <w:rsid w:val="0062780B"/>
    <w:rsid w:val="0062782C"/>
    <w:rsid w:val="006279C6"/>
    <w:rsid w:val="00627F2C"/>
    <w:rsid w:val="00630072"/>
    <w:rsid w:val="00630797"/>
    <w:rsid w:val="00630997"/>
    <w:rsid w:val="00630CD6"/>
    <w:rsid w:val="0063113B"/>
    <w:rsid w:val="00631158"/>
    <w:rsid w:val="006312E2"/>
    <w:rsid w:val="0063164E"/>
    <w:rsid w:val="006321AF"/>
    <w:rsid w:val="00632426"/>
    <w:rsid w:val="00632556"/>
    <w:rsid w:val="00632870"/>
    <w:rsid w:val="0063299B"/>
    <w:rsid w:val="00632C08"/>
    <w:rsid w:val="0063310F"/>
    <w:rsid w:val="00633204"/>
    <w:rsid w:val="006334CF"/>
    <w:rsid w:val="00633793"/>
    <w:rsid w:val="00633839"/>
    <w:rsid w:val="00633CE6"/>
    <w:rsid w:val="00633CF3"/>
    <w:rsid w:val="00634305"/>
    <w:rsid w:val="00634604"/>
    <w:rsid w:val="00634716"/>
    <w:rsid w:val="0063477A"/>
    <w:rsid w:val="006348EF"/>
    <w:rsid w:val="00634A91"/>
    <w:rsid w:val="00634B60"/>
    <w:rsid w:val="00634ED1"/>
    <w:rsid w:val="00634F18"/>
    <w:rsid w:val="006351E5"/>
    <w:rsid w:val="00635263"/>
    <w:rsid w:val="00635458"/>
    <w:rsid w:val="0063585E"/>
    <w:rsid w:val="00635878"/>
    <w:rsid w:val="00635DEE"/>
    <w:rsid w:val="00635E09"/>
    <w:rsid w:val="00635EAF"/>
    <w:rsid w:val="00636266"/>
    <w:rsid w:val="006364A5"/>
    <w:rsid w:val="006364BE"/>
    <w:rsid w:val="0063682C"/>
    <w:rsid w:val="00636881"/>
    <w:rsid w:val="006369CC"/>
    <w:rsid w:val="00636B39"/>
    <w:rsid w:val="00636D29"/>
    <w:rsid w:val="006372BE"/>
    <w:rsid w:val="006372DF"/>
    <w:rsid w:val="006372EB"/>
    <w:rsid w:val="00637366"/>
    <w:rsid w:val="006373C5"/>
    <w:rsid w:val="006375EF"/>
    <w:rsid w:val="00637628"/>
    <w:rsid w:val="00637849"/>
    <w:rsid w:val="0063791B"/>
    <w:rsid w:val="00637DAC"/>
    <w:rsid w:val="00637F60"/>
    <w:rsid w:val="00640140"/>
    <w:rsid w:val="0064023E"/>
    <w:rsid w:val="0064063A"/>
    <w:rsid w:val="0064063F"/>
    <w:rsid w:val="006406DD"/>
    <w:rsid w:val="00640947"/>
    <w:rsid w:val="0064097F"/>
    <w:rsid w:val="00640B86"/>
    <w:rsid w:val="00640D34"/>
    <w:rsid w:val="006411BA"/>
    <w:rsid w:val="0064120B"/>
    <w:rsid w:val="0064127F"/>
    <w:rsid w:val="006412B8"/>
    <w:rsid w:val="0064130D"/>
    <w:rsid w:val="00641809"/>
    <w:rsid w:val="00641BB2"/>
    <w:rsid w:val="00641C5A"/>
    <w:rsid w:val="00641D02"/>
    <w:rsid w:val="00641F50"/>
    <w:rsid w:val="00641FD5"/>
    <w:rsid w:val="0064296E"/>
    <w:rsid w:val="00642C2D"/>
    <w:rsid w:val="00642CC3"/>
    <w:rsid w:val="00642EEF"/>
    <w:rsid w:val="00643527"/>
    <w:rsid w:val="00643554"/>
    <w:rsid w:val="0064356F"/>
    <w:rsid w:val="00643641"/>
    <w:rsid w:val="006436CA"/>
    <w:rsid w:val="00643C0C"/>
    <w:rsid w:val="00643CE7"/>
    <w:rsid w:val="00643E4B"/>
    <w:rsid w:val="00644067"/>
    <w:rsid w:val="00644149"/>
    <w:rsid w:val="0064451C"/>
    <w:rsid w:val="00644680"/>
    <w:rsid w:val="0064488D"/>
    <w:rsid w:val="00644AD0"/>
    <w:rsid w:val="00644ED1"/>
    <w:rsid w:val="006450EB"/>
    <w:rsid w:val="006450F3"/>
    <w:rsid w:val="006452B4"/>
    <w:rsid w:val="00645402"/>
    <w:rsid w:val="00645509"/>
    <w:rsid w:val="00645650"/>
    <w:rsid w:val="006459D3"/>
    <w:rsid w:val="00645B0A"/>
    <w:rsid w:val="00645C13"/>
    <w:rsid w:val="00646527"/>
    <w:rsid w:val="006467D9"/>
    <w:rsid w:val="006468EF"/>
    <w:rsid w:val="00646941"/>
    <w:rsid w:val="00646A22"/>
    <w:rsid w:val="00646B99"/>
    <w:rsid w:val="00646D09"/>
    <w:rsid w:val="00646F33"/>
    <w:rsid w:val="00647073"/>
    <w:rsid w:val="00647170"/>
    <w:rsid w:val="006471B1"/>
    <w:rsid w:val="0064766A"/>
    <w:rsid w:val="0064798F"/>
    <w:rsid w:val="00647C49"/>
    <w:rsid w:val="00647EA8"/>
    <w:rsid w:val="00647EF3"/>
    <w:rsid w:val="00650357"/>
    <w:rsid w:val="006506C8"/>
    <w:rsid w:val="006506FD"/>
    <w:rsid w:val="00650822"/>
    <w:rsid w:val="00650850"/>
    <w:rsid w:val="00650C1A"/>
    <w:rsid w:val="00650EAD"/>
    <w:rsid w:val="00651015"/>
    <w:rsid w:val="006510F6"/>
    <w:rsid w:val="00651251"/>
    <w:rsid w:val="00651541"/>
    <w:rsid w:val="006517D3"/>
    <w:rsid w:val="00651807"/>
    <w:rsid w:val="00651826"/>
    <w:rsid w:val="00651AE4"/>
    <w:rsid w:val="00651C10"/>
    <w:rsid w:val="00651EFF"/>
    <w:rsid w:val="0065243B"/>
    <w:rsid w:val="00652467"/>
    <w:rsid w:val="0065283D"/>
    <w:rsid w:val="00652950"/>
    <w:rsid w:val="00652D5B"/>
    <w:rsid w:val="006531BB"/>
    <w:rsid w:val="00653474"/>
    <w:rsid w:val="00653F10"/>
    <w:rsid w:val="00654154"/>
    <w:rsid w:val="00654539"/>
    <w:rsid w:val="0065496E"/>
    <w:rsid w:val="00654A3F"/>
    <w:rsid w:val="00654B35"/>
    <w:rsid w:val="00654C6C"/>
    <w:rsid w:val="00654E70"/>
    <w:rsid w:val="00654F17"/>
    <w:rsid w:val="006551A8"/>
    <w:rsid w:val="006554EC"/>
    <w:rsid w:val="0065561F"/>
    <w:rsid w:val="00655AAF"/>
    <w:rsid w:val="00655EAA"/>
    <w:rsid w:val="00655F65"/>
    <w:rsid w:val="0065651F"/>
    <w:rsid w:val="00656D93"/>
    <w:rsid w:val="00657A16"/>
    <w:rsid w:val="00657A91"/>
    <w:rsid w:val="00657C03"/>
    <w:rsid w:val="00657CBB"/>
    <w:rsid w:val="00657DE4"/>
    <w:rsid w:val="00657E40"/>
    <w:rsid w:val="00657FCA"/>
    <w:rsid w:val="006601A7"/>
    <w:rsid w:val="006608A3"/>
    <w:rsid w:val="00660A81"/>
    <w:rsid w:val="00660B0C"/>
    <w:rsid w:val="00660BFC"/>
    <w:rsid w:val="00660D62"/>
    <w:rsid w:val="00660DB9"/>
    <w:rsid w:val="00660E6B"/>
    <w:rsid w:val="00660E89"/>
    <w:rsid w:val="0066112D"/>
    <w:rsid w:val="00661141"/>
    <w:rsid w:val="0066126C"/>
    <w:rsid w:val="00661446"/>
    <w:rsid w:val="0066168A"/>
    <w:rsid w:val="00661804"/>
    <w:rsid w:val="00661966"/>
    <w:rsid w:val="00661A20"/>
    <w:rsid w:val="00661CD4"/>
    <w:rsid w:val="00661D17"/>
    <w:rsid w:val="00661F22"/>
    <w:rsid w:val="00662070"/>
    <w:rsid w:val="00662556"/>
    <w:rsid w:val="00662630"/>
    <w:rsid w:val="006626A3"/>
    <w:rsid w:val="0066278B"/>
    <w:rsid w:val="006629AD"/>
    <w:rsid w:val="00662B92"/>
    <w:rsid w:val="00662DCB"/>
    <w:rsid w:val="006631A0"/>
    <w:rsid w:val="006631FE"/>
    <w:rsid w:val="0066343F"/>
    <w:rsid w:val="00663869"/>
    <w:rsid w:val="006638F0"/>
    <w:rsid w:val="00663B65"/>
    <w:rsid w:val="00663F77"/>
    <w:rsid w:val="00664537"/>
    <w:rsid w:val="00664542"/>
    <w:rsid w:val="00664739"/>
    <w:rsid w:val="006647BE"/>
    <w:rsid w:val="006647D5"/>
    <w:rsid w:val="006649EB"/>
    <w:rsid w:val="00664A32"/>
    <w:rsid w:val="00664C1F"/>
    <w:rsid w:val="00664F3D"/>
    <w:rsid w:val="006650A9"/>
    <w:rsid w:val="00665124"/>
    <w:rsid w:val="00665671"/>
    <w:rsid w:val="00665F57"/>
    <w:rsid w:val="00665F8B"/>
    <w:rsid w:val="00665FD9"/>
    <w:rsid w:val="00666205"/>
    <w:rsid w:val="00666366"/>
    <w:rsid w:val="00666511"/>
    <w:rsid w:val="00666659"/>
    <w:rsid w:val="00666761"/>
    <w:rsid w:val="00666B13"/>
    <w:rsid w:val="00666EA6"/>
    <w:rsid w:val="00667116"/>
    <w:rsid w:val="00667257"/>
    <w:rsid w:val="006672DC"/>
    <w:rsid w:val="006674D8"/>
    <w:rsid w:val="0066780B"/>
    <w:rsid w:val="006678FC"/>
    <w:rsid w:val="00667D36"/>
    <w:rsid w:val="0067017E"/>
    <w:rsid w:val="0067049E"/>
    <w:rsid w:val="006709F9"/>
    <w:rsid w:val="00670A63"/>
    <w:rsid w:val="00670DE8"/>
    <w:rsid w:val="00670EC9"/>
    <w:rsid w:val="006710B4"/>
    <w:rsid w:val="006710E1"/>
    <w:rsid w:val="006711BE"/>
    <w:rsid w:val="006718DF"/>
    <w:rsid w:val="00671CEE"/>
    <w:rsid w:val="00671ECA"/>
    <w:rsid w:val="00671F97"/>
    <w:rsid w:val="00672053"/>
    <w:rsid w:val="006722DD"/>
    <w:rsid w:val="006723A3"/>
    <w:rsid w:val="006723D6"/>
    <w:rsid w:val="0067243C"/>
    <w:rsid w:val="00672716"/>
    <w:rsid w:val="00672718"/>
    <w:rsid w:val="00672929"/>
    <w:rsid w:val="006729AE"/>
    <w:rsid w:val="00672A61"/>
    <w:rsid w:val="00672AAC"/>
    <w:rsid w:val="00672BE0"/>
    <w:rsid w:val="00672FA0"/>
    <w:rsid w:val="0067305D"/>
    <w:rsid w:val="006731ED"/>
    <w:rsid w:val="00673519"/>
    <w:rsid w:val="0067355E"/>
    <w:rsid w:val="006738C4"/>
    <w:rsid w:val="00674397"/>
    <w:rsid w:val="006743B1"/>
    <w:rsid w:val="00674479"/>
    <w:rsid w:val="006744ED"/>
    <w:rsid w:val="00675267"/>
    <w:rsid w:val="006753E9"/>
    <w:rsid w:val="006755D4"/>
    <w:rsid w:val="00675681"/>
    <w:rsid w:val="006757E6"/>
    <w:rsid w:val="00675848"/>
    <w:rsid w:val="00675A90"/>
    <w:rsid w:val="00675AAC"/>
    <w:rsid w:val="00675BC6"/>
    <w:rsid w:val="00675DB8"/>
    <w:rsid w:val="00675E3C"/>
    <w:rsid w:val="00675F7D"/>
    <w:rsid w:val="006760C7"/>
    <w:rsid w:val="00676358"/>
    <w:rsid w:val="00676397"/>
    <w:rsid w:val="0067656F"/>
    <w:rsid w:val="00676744"/>
    <w:rsid w:val="006767B2"/>
    <w:rsid w:val="006767F1"/>
    <w:rsid w:val="00676A4B"/>
    <w:rsid w:val="00676AC5"/>
    <w:rsid w:val="00676BDA"/>
    <w:rsid w:val="00676DDC"/>
    <w:rsid w:val="00676E82"/>
    <w:rsid w:val="00677071"/>
    <w:rsid w:val="006770E5"/>
    <w:rsid w:val="00677569"/>
    <w:rsid w:val="006777B3"/>
    <w:rsid w:val="006777B6"/>
    <w:rsid w:val="00677838"/>
    <w:rsid w:val="00677AD8"/>
    <w:rsid w:val="00677D30"/>
    <w:rsid w:val="00677DC6"/>
    <w:rsid w:val="00677E04"/>
    <w:rsid w:val="00677E3D"/>
    <w:rsid w:val="00677EE2"/>
    <w:rsid w:val="00680161"/>
    <w:rsid w:val="00680223"/>
    <w:rsid w:val="006803F1"/>
    <w:rsid w:val="006804A5"/>
    <w:rsid w:val="006804BD"/>
    <w:rsid w:val="006807B6"/>
    <w:rsid w:val="00680831"/>
    <w:rsid w:val="006808B1"/>
    <w:rsid w:val="006808B8"/>
    <w:rsid w:val="006808CD"/>
    <w:rsid w:val="00680A43"/>
    <w:rsid w:val="00680ACA"/>
    <w:rsid w:val="00680CE5"/>
    <w:rsid w:val="00680E9F"/>
    <w:rsid w:val="00680F32"/>
    <w:rsid w:val="006810DA"/>
    <w:rsid w:val="00681200"/>
    <w:rsid w:val="0068153C"/>
    <w:rsid w:val="006815CB"/>
    <w:rsid w:val="00681933"/>
    <w:rsid w:val="00681ABB"/>
    <w:rsid w:val="00681CA9"/>
    <w:rsid w:val="00681DA8"/>
    <w:rsid w:val="0068211C"/>
    <w:rsid w:val="006827A5"/>
    <w:rsid w:val="00682872"/>
    <w:rsid w:val="00682949"/>
    <w:rsid w:val="00682966"/>
    <w:rsid w:val="00682A2B"/>
    <w:rsid w:val="00682B5C"/>
    <w:rsid w:val="00682E71"/>
    <w:rsid w:val="00682FFD"/>
    <w:rsid w:val="006830F8"/>
    <w:rsid w:val="0068314A"/>
    <w:rsid w:val="0068338A"/>
    <w:rsid w:val="0068358E"/>
    <w:rsid w:val="006836EB"/>
    <w:rsid w:val="006838A2"/>
    <w:rsid w:val="006838CC"/>
    <w:rsid w:val="00683AF0"/>
    <w:rsid w:val="00683C5E"/>
    <w:rsid w:val="00683CED"/>
    <w:rsid w:val="00683F2F"/>
    <w:rsid w:val="00683FC2"/>
    <w:rsid w:val="006841DC"/>
    <w:rsid w:val="006842B8"/>
    <w:rsid w:val="006842C0"/>
    <w:rsid w:val="006843D1"/>
    <w:rsid w:val="006847DA"/>
    <w:rsid w:val="006848CD"/>
    <w:rsid w:val="00684DBC"/>
    <w:rsid w:val="00684E3E"/>
    <w:rsid w:val="00684F09"/>
    <w:rsid w:val="00684FAD"/>
    <w:rsid w:val="00685A08"/>
    <w:rsid w:val="00685A6C"/>
    <w:rsid w:val="00685B34"/>
    <w:rsid w:val="00685E34"/>
    <w:rsid w:val="00686221"/>
    <w:rsid w:val="00686676"/>
    <w:rsid w:val="00686AF5"/>
    <w:rsid w:val="00686C24"/>
    <w:rsid w:val="00686D0F"/>
    <w:rsid w:val="00686D18"/>
    <w:rsid w:val="00686D73"/>
    <w:rsid w:val="00686D86"/>
    <w:rsid w:val="00686DB3"/>
    <w:rsid w:val="00686EDC"/>
    <w:rsid w:val="00686F34"/>
    <w:rsid w:val="00686F66"/>
    <w:rsid w:val="0068711C"/>
    <w:rsid w:val="00687124"/>
    <w:rsid w:val="006877D0"/>
    <w:rsid w:val="0068797D"/>
    <w:rsid w:val="00687C9D"/>
    <w:rsid w:val="00687E7A"/>
    <w:rsid w:val="00687EF5"/>
    <w:rsid w:val="00687FEF"/>
    <w:rsid w:val="00690030"/>
    <w:rsid w:val="00690263"/>
    <w:rsid w:val="00690321"/>
    <w:rsid w:val="006908C1"/>
    <w:rsid w:val="006908D7"/>
    <w:rsid w:val="006909CC"/>
    <w:rsid w:val="00690A0F"/>
    <w:rsid w:val="00690AB2"/>
    <w:rsid w:val="00690C86"/>
    <w:rsid w:val="00690E2F"/>
    <w:rsid w:val="00690F75"/>
    <w:rsid w:val="006912A4"/>
    <w:rsid w:val="006913B1"/>
    <w:rsid w:val="00691C04"/>
    <w:rsid w:val="00691DD0"/>
    <w:rsid w:val="00691E95"/>
    <w:rsid w:val="00692980"/>
    <w:rsid w:val="00692A04"/>
    <w:rsid w:val="00692C3B"/>
    <w:rsid w:val="00692D36"/>
    <w:rsid w:val="00692EB1"/>
    <w:rsid w:val="00692F03"/>
    <w:rsid w:val="00692F91"/>
    <w:rsid w:val="00693550"/>
    <w:rsid w:val="006936A4"/>
    <w:rsid w:val="006937F7"/>
    <w:rsid w:val="00693824"/>
    <w:rsid w:val="00693B18"/>
    <w:rsid w:val="00693BB3"/>
    <w:rsid w:val="00693F35"/>
    <w:rsid w:val="00694194"/>
    <w:rsid w:val="00694352"/>
    <w:rsid w:val="00694619"/>
    <w:rsid w:val="006947B5"/>
    <w:rsid w:val="00694FCB"/>
    <w:rsid w:val="0069512F"/>
    <w:rsid w:val="0069528A"/>
    <w:rsid w:val="00695631"/>
    <w:rsid w:val="00695805"/>
    <w:rsid w:val="00695909"/>
    <w:rsid w:val="00695A5B"/>
    <w:rsid w:val="00695CB5"/>
    <w:rsid w:val="00695CF0"/>
    <w:rsid w:val="00695D7E"/>
    <w:rsid w:val="00695DCE"/>
    <w:rsid w:val="006960C4"/>
    <w:rsid w:val="0069625A"/>
    <w:rsid w:val="006963DF"/>
    <w:rsid w:val="006965C4"/>
    <w:rsid w:val="00696602"/>
    <w:rsid w:val="00696CE6"/>
    <w:rsid w:val="00696D52"/>
    <w:rsid w:val="00696FB1"/>
    <w:rsid w:val="0069707C"/>
    <w:rsid w:val="006972BA"/>
    <w:rsid w:val="0069737F"/>
    <w:rsid w:val="00697676"/>
    <w:rsid w:val="006978C6"/>
    <w:rsid w:val="00697A6E"/>
    <w:rsid w:val="00697B31"/>
    <w:rsid w:val="00697B7E"/>
    <w:rsid w:val="006A000E"/>
    <w:rsid w:val="006A0262"/>
    <w:rsid w:val="006A02B6"/>
    <w:rsid w:val="006A0318"/>
    <w:rsid w:val="006A0348"/>
    <w:rsid w:val="006A0394"/>
    <w:rsid w:val="006A052A"/>
    <w:rsid w:val="006A09A9"/>
    <w:rsid w:val="006A0A90"/>
    <w:rsid w:val="006A0AF2"/>
    <w:rsid w:val="006A0CA0"/>
    <w:rsid w:val="006A0CA8"/>
    <w:rsid w:val="006A0D61"/>
    <w:rsid w:val="006A0DD6"/>
    <w:rsid w:val="006A1009"/>
    <w:rsid w:val="006A118B"/>
    <w:rsid w:val="006A120F"/>
    <w:rsid w:val="006A15AD"/>
    <w:rsid w:val="006A187E"/>
    <w:rsid w:val="006A18C5"/>
    <w:rsid w:val="006A195F"/>
    <w:rsid w:val="006A19D4"/>
    <w:rsid w:val="006A1AA3"/>
    <w:rsid w:val="006A1D6B"/>
    <w:rsid w:val="006A1DD3"/>
    <w:rsid w:val="006A2111"/>
    <w:rsid w:val="006A2193"/>
    <w:rsid w:val="006A21AA"/>
    <w:rsid w:val="006A21B2"/>
    <w:rsid w:val="006A2479"/>
    <w:rsid w:val="006A25C7"/>
    <w:rsid w:val="006A2745"/>
    <w:rsid w:val="006A27C2"/>
    <w:rsid w:val="006A2867"/>
    <w:rsid w:val="006A2B96"/>
    <w:rsid w:val="006A3205"/>
    <w:rsid w:val="006A36A7"/>
    <w:rsid w:val="006A3A57"/>
    <w:rsid w:val="006A3BA3"/>
    <w:rsid w:val="006A3CA8"/>
    <w:rsid w:val="006A3FB5"/>
    <w:rsid w:val="006A43F0"/>
    <w:rsid w:val="006A44C5"/>
    <w:rsid w:val="006A47B9"/>
    <w:rsid w:val="006A49E5"/>
    <w:rsid w:val="006A4BC3"/>
    <w:rsid w:val="006A4BCF"/>
    <w:rsid w:val="006A4C54"/>
    <w:rsid w:val="006A4C5F"/>
    <w:rsid w:val="006A4DC5"/>
    <w:rsid w:val="006A4DED"/>
    <w:rsid w:val="006A5233"/>
    <w:rsid w:val="006A53CC"/>
    <w:rsid w:val="006A5726"/>
    <w:rsid w:val="006A5844"/>
    <w:rsid w:val="006A58F9"/>
    <w:rsid w:val="006A5E1A"/>
    <w:rsid w:val="006A5E85"/>
    <w:rsid w:val="006A5ECE"/>
    <w:rsid w:val="006A6196"/>
    <w:rsid w:val="006A6204"/>
    <w:rsid w:val="006A64A9"/>
    <w:rsid w:val="006A64D0"/>
    <w:rsid w:val="006A66D9"/>
    <w:rsid w:val="006A66FB"/>
    <w:rsid w:val="006A6821"/>
    <w:rsid w:val="006A689E"/>
    <w:rsid w:val="006A6D47"/>
    <w:rsid w:val="006A6DBF"/>
    <w:rsid w:val="006A6E80"/>
    <w:rsid w:val="006A7174"/>
    <w:rsid w:val="006A72BF"/>
    <w:rsid w:val="006A7377"/>
    <w:rsid w:val="006A7AB8"/>
    <w:rsid w:val="006A7B8B"/>
    <w:rsid w:val="006A7DAD"/>
    <w:rsid w:val="006B0225"/>
    <w:rsid w:val="006B051A"/>
    <w:rsid w:val="006B0584"/>
    <w:rsid w:val="006B081D"/>
    <w:rsid w:val="006B10A4"/>
    <w:rsid w:val="006B1183"/>
    <w:rsid w:val="006B1247"/>
    <w:rsid w:val="006B1278"/>
    <w:rsid w:val="006B1486"/>
    <w:rsid w:val="006B1604"/>
    <w:rsid w:val="006B17B3"/>
    <w:rsid w:val="006B19E5"/>
    <w:rsid w:val="006B1ABF"/>
    <w:rsid w:val="006B1E39"/>
    <w:rsid w:val="006B1FF6"/>
    <w:rsid w:val="006B201C"/>
    <w:rsid w:val="006B21F9"/>
    <w:rsid w:val="006B22FE"/>
    <w:rsid w:val="006B232A"/>
    <w:rsid w:val="006B23DE"/>
    <w:rsid w:val="006B241A"/>
    <w:rsid w:val="006B2811"/>
    <w:rsid w:val="006B28C1"/>
    <w:rsid w:val="006B2C2D"/>
    <w:rsid w:val="006B2DDE"/>
    <w:rsid w:val="006B3031"/>
    <w:rsid w:val="006B30AA"/>
    <w:rsid w:val="006B30DE"/>
    <w:rsid w:val="006B32E3"/>
    <w:rsid w:val="006B37BB"/>
    <w:rsid w:val="006B39C3"/>
    <w:rsid w:val="006B4084"/>
    <w:rsid w:val="006B408A"/>
    <w:rsid w:val="006B4215"/>
    <w:rsid w:val="006B421A"/>
    <w:rsid w:val="006B447E"/>
    <w:rsid w:val="006B4533"/>
    <w:rsid w:val="006B4672"/>
    <w:rsid w:val="006B4A72"/>
    <w:rsid w:val="006B4AFF"/>
    <w:rsid w:val="006B4B6A"/>
    <w:rsid w:val="006B51FB"/>
    <w:rsid w:val="006B5340"/>
    <w:rsid w:val="006B5A4C"/>
    <w:rsid w:val="006B5D97"/>
    <w:rsid w:val="006B5DD2"/>
    <w:rsid w:val="006B5E33"/>
    <w:rsid w:val="006B6748"/>
    <w:rsid w:val="006B6B00"/>
    <w:rsid w:val="006B6EB9"/>
    <w:rsid w:val="006B7568"/>
    <w:rsid w:val="006B77C1"/>
    <w:rsid w:val="006B7902"/>
    <w:rsid w:val="006B7AA0"/>
    <w:rsid w:val="006B7F74"/>
    <w:rsid w:val="006C00CA"/>
    <w:rsid w:val="006C01BA"/>
    <w:rsid w:val="006C0393"/>
    <w:rsid w:val="006C0607"/>
    <w:rsid w:val="006C0784"/>
    <w:rsid w:val="006C0A35"/>
    <w:rsid w:val="006C0B44"/>
    <w:rsid w:val="006C0B96"/>
    <w:rsid w:val="006C0D39"/>
    <w:rsid w:val="006C0E06"/>
    <w:rsid w:val="006C0EC4"/>
    <w:rsid w:val="006C1152"/>
    <w:rsid w:val="006C1395"/>
    <w:rsid w:val="006C149A"/>
    <w:rsid w:val="006C1859"/>
    <w:rsid w:val="006C1B45"/>
    <w:rsid w:val="006C1BDD"/>
    <w:rsid w:val="006C1FDE"/>
    <w:rsid w:val="006C2194"/>
    <w:rsid w:val="006C24C4"/>
    <w:rsid w:val="006C271F"/>
    <w:rsid w:val="006C2778"/>
    <w:rsid w:val="006C289E"/>
    <w:rsid w:val="006C2A96"/>
    <w:rsid w:val="006C2AEB"/>
    <w:rsid w:val="006C2BBF"/>
    <w:rsid w:val="006C2E69"/>
    <w:rsid w:val="006C33D4"/>
    <w:rsid w:val="006C358B"/>
    <w:rsid w:val="006C3662"/>
    <w:rsid w:val="006C3703"/>
    <w:rsid w:val="006C3E29"/>
    <w:rsid w:val="006C3F43"/>
    <w:rsid w:val="006C4378"/>
    <w:rsid w:val="006C4899"/>
    <w:rsid w:val="006C4A12"/>
    <w:rsid w:val="006C4A94"/>
    <w:rsid w:val="006C4A9F"/>
    <w:rsid w:val="006C4C3D"/>
    <w:rsid w:val="006C4C83"/>
    <w:rsid w:val="006C4D5C"/>
    <w:rsid w:val="006C4DDC"/>
    <w:rsid w:val="006C4DF7"/>
    <w:rsid w:val="006C507B"/>
    <w:rsid w:val="006C5097"/>
    <w:rsid w:val="006C519B"/>
    <w:rsid w:val="006C5385"/>
    <w:rsid w:val="006C5429"/>
    <w:rsid w:val="006C54E7"/>
    <w:rsid w:val="006C5676"/>
    <w:rsid w:val="006C5783"/>
    <w:rsid w:val="006C5FCA"/>
    <w:rsid w:val="006C60F8"/>
    <w:rsid w:val="006C6199"/>
    <w:rsid w:val="006C636D"/>
    <w:rsid w:val="006C658A"/>
    <w:rsid w:val="006C680D"/>
    <w:rsid w:val="006C6830"/>
    <w:rsid w:val="006C6B3D"/>
    <w:rsid w:val="006C6BBD"/>
    <w:rsid w:val="006C6E38"/>
    <w:rsid w:val="006C7199"/>
    <w:rsid w:val="006C7261"/>
    <w:rsid w:val="006C7316"/>
    <w:rsid w:val="006C7628"/>
    <w:rsid w:val="006C763E"/>
    <w:rsid w:val="006C76E7"/>
    <w:rsid w:val="006C7970"/>
    <w:rsid w:val="006C7B62"/>
    <w:rsid w:val="006C7B7C"/>
    <w:rsid w:val="006C7BED"/>
    <w:rsid w:val="006C7D0D"/>
    <w:rsid w:val="006C7D5E"/>
    <w:rsid w:val="006C7F88"/>
    <w:rsid w:val="006CDBC6"/>
    <w:rsid w:val="006D0373"/>
    <w:rsid w:val="006D0380"/>
    <w:rsid w:val="006D0744"/>
    <w:rsid w:val="006D0994"/>
    <w:rsid w:val="006D0A80"/>
    <w:rsid w:val="006D0B27"/>
    <w:rsid w:val="006D0BA9"/>
    <w:rsid w:val="006D0BF2"/>
    <w:rsid w:val="006D1035"/>
    <w:rsid w:val="006D10B5"/>
    <w:rsid w:val="006D156E"/>
    <w:rsid w:val="006D16D3"/>
    <w:rsid w:val="006D197C"/>
    <w:rsid w:val="006D19AE"/>
    <w:rsid w:val="006D1BDD"/>
    <w:rsid w:val="006D1CBA"/>
    <w:rsid w:val="006D1D8B"/>
    <w:rsid w:val="006D1E93"/>
    <w:rsid w:val="006D25BF"/>
    <w:rsid w:val="006D25FC"/>
    <w:rsid w:val="006D2651"/>
    <w:rsid w:val="006D280A"/>
    <w:rsid w:val="006D28C7"/>
    <w:rsid w:val="006D2963"/>
    <w:rsid w:val="006D2C6C"/>
    <w:rsid w:val="006D2D9E"/>
    <w:rsid w:val="006D2EB8"/>
    <w:rsid w:val="006D321C"/>
    <w:rsid w:val="006D3269"/>
    <w:rsid w:val="006D336E"/>
    <w:rsid w:val="006D3512"/>
    <w:rsid w:val="006D3780"/>
    <w:rsid w:val="006D37BE"/>
    <w:rsid w:val="006D38C7"/>
    <w:rsid w:val="006D3A78"/>
    <w:rsid w:val="006D3E05"/>
    <w:rsid w:val="006D420E"/>
    <w:rsid w:val="006D438A"/>
    <w:rsid w:val="006D46E4"/>
    <w:rsid w:val="006D492A"/>
    <w:rsid w:val="006D4AF3"/>
    <w:rsid w:val="006D4CF9"/>
    <w:rsid w:val="006D4E58"/>
    <w:rsid w:val="006D5A13"/>
    <w:rsid w:val="006D5B83"/>
    <w:rsid w:val="006D5B9C"/>
    <w:rsid w:val="006D5E4F"/>
    <w:rsid w:val="006D5F10"/>
    <w:rsid w:val="006D601D"/>
    <w:rsid w:val="006D63AF"/>
    <w:rsid w:val="006D6827"/>
    <w:rsid w:val="006D6864"/>
    <w:rsid w:val="006D688A"/>
    <w:rsid w:val="006D6B46"/>
    <w:rsid w:val="006D6BD7"/>
    <w:rsid w:val="006D6CB8"/>
    <w:rsid w:val="006D714B"/>
    <w:rsid w:val="006D7265"/>
    <w:rsid w:val="006D7270"/>
    <w:rsid w:val="006E0046"/>
    <w:rsid w:val="006E0473"/>
    <w:rsid w:val="006E075A"/>
    <w:rsid w:val="006E0968"/>
    <w:rsid w:val="006E1117"/>
    <w:rsid w:val="006E11D3"/>
    <w:rsid w:val="006E1631"/>
    <w:rsid w:val="006E1684"/>
    <w:rsid w:val="006E169D"/>
    <w:rsid w:val="006E1759"/>
    <w:rsid w:val="006E1B4B"/>
    <w:rsid w:val="006E1E89"/>
    <w:rsid w:val="006E1E8B"/>
    <w:rsid w:val="006E22D9"/>
    <w:rsid w:val="006E2485"/>
    <w:rsid w:val="006E2FBF"/>
    <w:rsid w:val="006E2FFE"/>
    <w:rsid w:val="006E3097"/>
    <w:rsid w:val="006E3284"/>
    <w:rsid w:val="006E34DD"/>
    <w:rsid w:val="006E3C95"/>
    <w:rsid w:val="006E3CA2"/>
    <w:rsid w:val="006E3FF5"/>
    <w:rsid w:val="006E4352"/>
    <w:rsid w:val="006E4451"/>
    <w:rsid w:val="006E45B3"/>
    <w:rsid w:val="006E4694"/>
    <w:rsid w:val="006E480D"/>
    <w:rsid w:val="006E4A19"/>
    <w:rsid w:val="006E4A70"/>
    <w:rsid w:val="006E4C3A"/>
    <w:rsid w:val="006E4C3F"/>
    <w:rsid w:val="006E4E06"/>
    <w:rsid w:val="006E4E47"/>
    <w:rsid w:val="006E4EA3"/>
    <w:rsid w:val="006E4F18"/>
    <w:rsid w:val="006E4F2A"/>
    <w:rsid w:val="006E50B4"/>
    <w:rsid w:val="006E5152"/>
    <w:rsid w:val="006E5251"/>
    <w:rsid w:val="006E5ACC"/>
    <w:rsid w:val="006E5CE5"/>
    <w:rsid w:val="006E5D3E"/>
    <w:rsid w:val="006E5DFA"/>
    <w:rsid w:val="006E66FE"/>
    <w:rsid w:val="006E6AC8"/>
    <w:rsid w:val="006E6B27"/>
    <w:rsid w:val="006E6B85"/>
    <w:rsid w:val="006E6D60"/>
    <w:rsid w:val="006E6D93"/>
    <w:rsid w:val="006E6DEF"/>
    <w:rsid w:val="006E7123"/>
    <w:rsid w:val="006E7290"/>
    <w:rsid w:val="006E72A9"/>
    <w:rsid w:val="006E7368"/>
    <w:rsid w:val="006E7451"/>
    <w:rsid w:val="006E74F8"/>
    <w:rsid w:val="006E7618"/>
    <w:rsid w:val="006E787C"/>
    <w:rsid w:val="006E7885"/>
    <w:rsid w:val="006E7C98"/>
    <w:rsid w:val="006E7CBE"/>
    <w:rsid w:val="006E7E06"/>
    <w:rsid w:val="006F0137"/>
    <w:rsid w:val="006F01B5"/>
    <w:rsid w:val="006F03E3"/>
    <w:rsid w:val="006F0629"/>
    <w:rsid w:val="006F08FD"/>
    <w:rsid w:val="006F09CA"/>
    <w:rsid w:val="006F0D1D"/>
    <w:rsid w:val="006F121D"/>
    <w:rsid w:val="006F126F"/>
    <w:rsid w:val="006F1510"/>
    <w:rsid w:val="006F19B3"/>
    <w:rsid w:val="006F1A21"/>
    <w:rsid w:val="006F1E63"/>
    <w:rsid w:val="006F209D"/>
    <w:rsid w:val="006F20A7"/>
    <w:rsid w:val="006F20BA"/>
    <w:rsid w:val="006F2329"/>
    <w:rsid w:val="006F2654"/>
    <w:rsid w:val="006F2975"/>
    <w:rsid w:val="006F2A05"/>
    <w:rsid w:val="006F2B50"/>
    <w:rsid w:val="006F2C1B"/>
    <w:rsid w:val="006F2E80"/>
    <w:rsid w:val="006F2F11"/>
    <w:rsid w:val="006F2FE8"/>
    <w:rsid w:val="006F2FF0"/>
    <w:rsid w:val="006F3733"/>
    <w:rsid w:val="006F3A72"/>
    <w:rsid w:val="006F3B47"/>
    <w:rsid w:val="006F4301"/>
    <w:rsid w:val="006F4938"/>
    <w:rsid w:val="006F4B6E"/>
    <w:rsid w:val="006F4CF1"/>
    <w:rsid w:val="006F51BC"/>
    <w:rsid w:val="006F5344"/>
    <w:rsid w:val="006F55C3"/>
    <w:rsid w:val="006F56CD"/>
    <w:rsid w:val="006F578F"/>
    <w:rsid w:val="006F5794"/>
    <w:rsid w:val="006F5CBE"/>
    <w:rsid w:val="006F5D86"/>
    <w:rsid w:val="006F5DD5"/>
    <w:rsid w:val="006F5E75"/>
    <w:rsid w:val="006F60ED"/>
    <w:rsid w:val="006F6774"/>
    <w:rsid w:val="006F6B0C"/>
    <w:rsid w:val="006F6BD2"/>
    <w:rsid w:val="006F6CA9"/>
    <w:rsid w:val="006F6CB4"/>
    <w:rsid w:val="006F6D07"/>
    <w:rsid w:val="006F6E8B"/>
    <w:rsid w:val="006F6F04"/>
    <w:rsid w:val="006F735D"/>
    <w:rsid w:val="006F7503"/>
    <w:rsid w:val="006F7529"/>
    <w:rsid w:val="006F76F4"/>
    <w:rsid w:val="006F7827"/>
    <w:rsid w:val="006F7957"/>
    <w:rsid w:val="006F79D7"/>
    <w:rsid w:val="006F7A7E"/>
    <w:rsid w:val="006F7B3A"/>
    <w:rsid w:val="006F7C49"/>
    <w:rsid w:val="006F7C4C"/>
    <w:rsid w:val="006F7CD5"/>
    <w:rsid w:val="00700049"/>
    <w:rsid w:val="0070023F"/>
    <w:rsid w:val="007002CC"/>
    <w:rsid w:val="0070033A"/>
    <w:rsid w:val="007003BA"/>
    <w:rsid w:val="00700549"/>
    <w:rsid w:val="00700691"/>
    <w:rsid w:val="0070074F"/>
    <w:rsid w:val="00700859"/>
    <w:rsid w:val="00700C10"/>
    <w:rsid w:val="00700CF5"/>
    <w:rsid w:val="00700D4A"/>
    <w:rsid w:val="00700EBE"/>
    <w:rsid w:val="00701696"/>
    <w:rsid w:val="007018BA"/>
    <w:rsid w:val="00701B16"/>
    <w:rsid w:val="00701DA6"/>
    <w:rsid w:val="00701DC4"/>
    <w:rsid w:val="00701DC9"/>
    <w:rsid w:val="00701F89"/>
    <w:rsid w:val="007021BB"/>
    <w:rsid w:val="007023F3"/>
    <w:rsid w:val="007026A0"/>
    <w:rsid w:val="00702C6B"/>
    <w:rsid w:val="00702DB5"/>
    <w:rsid w:val="00702E06"/>
    <w:rsid w:val="007031B7"/>
    <w:rsid w:val="0070330E"/>
    <w:rsid w:val="00703512"/>
    <w:rsid w:val="0070390C"/>
    <w:rsid w:val="00703AF0"/>
    <w:rsid w:val="00703B41"/>
    <w:rsid w:val="00703C02"/>
    <w:rsid w:val="00703D4A"/>
    <w:rsid w:val="00703FD4"/>
    <w:rsid w:val="00704457"/>
    <w:rsid w:val="00704481"/>
    <w:rsid w:val="007047EA"/>
    <w:rsid w:val="00704970"/>
    <w:rsid w:val="00704A4E"/>
    <w:rsid w:val="00704B7F"/>
    <w:rsid w:val="00704C0B"/>
    <w:rsid w:val="00705554"/>
    <w:rsid w:val="007055DE"/>
    <w:rsid w:val="00705809"/>
    <w:rsid w:val="00705ABC"/>
    <w:rsid w:val="00705B95"/>
    <w:rsid w:val="00705BE8"/>
    <w:rsid w:val="00705E2B"/>
    <w:rsid w:val="007061F8"/>
    <w:rsid w:val="007062AB"/>
    <w:rsid w:val="0070633B"/>
    <w:rsid w:val="007063D1"/>
    <w:rsid w:val="0070645A"/>
    <w:rsid w:val="0070647A"/>
    <w:rsid w:val="00706567"/>
    <w:rsid w:val="00706743"/>
    <w:rsid w:val="007067AA"/>
    <w:rsid w:val="007067B6"/>
    <w:rsid w:val="00706A39"/>
    <w:rsid w:val="00706A3D"/>
    <w:rsid w:val="00706AD2"/>
    <w:rsid w:val="00706CF3"/>
    <w:rsid w:val="0070728B"/>
    <w:rsid w:val="0070754A"/>
    <w:rsid w:val="007075D5"/>
    <w:rsid w:val="00707617"/>
    <w:rsid w:val="00707676"/>
    <w:rsid w:val="0070797C"/>
    <w:rsid w:val="00707ADA"/>
    <w:rsid w:val="00707D16"/>
    <w:rsid w:val="00707ECC"/>
    <w:rsid w:val="00707EF4"/>
    <w:rsid w:val="00707F24"/>
    <w:rsid w:val="00707FF4"/>
    <w:rsid w:val="0071016B"/>
    <w:rsid w:val="0071023A"/>
    <w:rsid w:val="007102FC"/>
    <w:rsid w:val="007104B8"/>
    <w:rsid w:val="007104C8"/>
    <w:rsid w:val="00710547"/>
    <w:rsid w:val="0071076E"/>
    <w:rsid w:val="00710B7F"/>
    <w:rsid w:val="00710C37"/>
    <w:rsid w:val="00710E49"/>
    <w:rsid w:val="00710F4A"/>
    <w:rsid w:val="007110B9"/>
    <w:rsid w:val="0071142B"/>
    <w:rsid w:val="007116A4"/>
    <w:rsid w:val="00711955"/>
    <w:rsid w:val="00711BD4"/>
    <w:rsid w:val="00711C28"/>
    <w:rsid w:val="00711C2E"/>
    <w:rsid w:val="00711ED0"/>
    <w:rsid w:val="007126B4"/>
    <w:rsid w:val="0071296D"/>
    <w:rsid w:val="00712B8C"/>
    <w:rsid w:val="00712E64"/>
    <w:rsid w:val="00712EE3"/>
    <w:rsid w:val="007130A3"/>
    <w:rsid w:val="007130C3"/>
    <w:rsid w:val="007132E3"/>
    <w:rsid w:val="0071341A"/>
    <w:rsid w:val="00713610"/>
    <w:rsid w:val="0071365E"/>
    <w:rsid w:val="007138E3"/>
    <w:rsid w:val="00713BB4"/>
    <w:rsid w:val="00713BE8"/>
    <w:rsid w:val="00713C7C"/>
    <w:rsid w:val="00713D8B"/>
    <w:rsid w:val="00713F74"/>
    <w:rsid w:val="00714159"/>
    <w:rsid w:val="007149C8"/>
    <w:rsid w:val="00715068"/>
    <w:rsid w:val="0071513D"/>
    <w:rsid w:val="00715171"/>
    <w:rsid w:val="007153FF"/>
    <w:rsid w:val="00715605"/>
    <w:rsid w:val="00715613"/>
    <w:rsid w:val="00715995"/>
    <w:rsid w:val="00715AC8"/>
    <w:rsid w:val="00715BBA"/>
    <w:rsid w:val="00715C7B"/>
    <w:rsid w:val="00715CA0"/>
    <w:rsid w:val="00716008"/>
    <w:rsid w:val="00716039"/>
    <w:rsid w:val="00716319"/>
    <w:rsid w:val="007165C0"/>
    <w:rsid w:val="00716872"/>
    <w:rsid w:val="007168C7"/>
    <w:rsid w:val="0071698F"/>
    <w:rsid w:val="00716AC1"/>
    <w:rsid w:val="00716BDE"/>
    <w:rsid w:val="00717262"/>
    <w:rsid w:val="0071753E"/>
    <w:rsid w:val="007179C6"/>
    <w:rsid w:val="00717ACD"/>
    <w:rsid w:val="00720342"/>
    <w:rsid w:val="007204AC"/>
    <w:rsid w:val="00720992"/>
    <w:rsid w:val="00720BF3"/>
    <w:rsid w:val="00720E8D"/>
    <w:rsid w:val="00721108"/>
    <w:rsid w:val="00721309"/>
    <w:rsid w:val="00721532"/>
    <w:rsid w:val="00721673"/>
    <w:rsid w:val="00721832"/>
    <w:rsid w:val="00721C50"/>
    <w:rsid w:val="00721E14"/>
    <w:rsid w:val="007220B0"/>
    <w:rsid w:val="00722277"/>
    <w:rsid w:val="007223E6"/>
    <w:rsid w:val="00722471"/>
    <w:rsid w:val="00722596"/>
    <w:rsid w:val="007225D4"/>
    <w:rsid w:val="00722BBB"/>
    <w:rsid w:val="00722C52"/>
    <w:rsid w:val="00722D67"/>
    <w:rsid w:val="00722EAA"/>
    <w:rsid w:val="00722F4C"/>
    <w:rsid w:val="00723263"/>
    <w:rsid w:val="00723295"/>
    <w:rsid w:val="007235E4"/>
    <w:rsid w:val="00723637"/>
    <w:rsid w:val="0072370D"/>
    <w:rsid w:val="007238A1"/>
    <w:rsid w:val="00723CCB"/>
    <w:rsid w:val="00723E0F"/>
    <w:rsid w:val="00724193"/>
    <w:rsid w:val="00724256"/>
    <w:rsid w:val="00724413"/>
    <w:rsid w:val="0072459D"/>
    <w:rsid w:val="007248D4"/>
    <w:rsid w:val="007248ED"/>
    <w:rsid w:val="007249ED"/>
    <w:rsid w:val="00724A24"/>
    <w:rsid w:val="00724B18"/>
    <w:rsid w:val="0072510B"/>
    <w:rsid w:val="00725175"/>
    <w:rsid w:val="00725477"/>
    <w:rsid w:val="0072552E"/>
    <w:rsid w:val="00725593"/>
    <w:rsid w:val="007255D6"/>
    <w:rsid w:val="0072586A"/>
    <w:rsid w:val="007259DA"/>
    <w:rsid w:val="00725ACF"/>
    <w:rsid w:val="007262D8"/>
    <w:rsid w:val="007264D5"/>
    <w:rsid w:val="0072667A"/>
    <w:rsid w:val="00726743"/>
    <w:rsid w:val="007267DF"/>
    <w:rsid w:val="00726C74"/>
    <w:rsid w:val="00726CF6"/>
    <w:rsid w:val="00726CF8"/>
    <w:rsid w:val="00726D63"/>
    <w:rsid w:val="00726D77"/>
    <w:rsid w:val="00726FCD"/>
    <w:rsid w:val="00727240"/>
    <w:rsid w:val="0072731B"/>
    <w:rsid w:val="0072776B"/>
    <w:rsid w:val="00727A16"/>
    <w:rsid w:val="00727AB0"/>
    <w:rsid w:val="00727CED"/>
    <w:rsid w:val="00727EAC"/>
    <w:rsid w:val="0072C5E3"/>
    <w:rsid w:val="007300AF"/>
    <w:rsid w:val="007302DD"/>
    <w:rsid w:val="007303A2"/>
    <w:rsid w:val="007307B1"/>
    <w:rsid w:val="0073080D"/>
    <w:rsid w:val="0073093C"/>
    <w:rsid w:val="00730DDD"/>
    <w:rsid w:val="00731008"/>
    <w:rsid w:val="007310BF"/>
    <w:rsid w:val="00731209"/>
    <w:rsid w:val="00731880"/>
    <w:rsid w:val="00731C5C"/>
    <w:rsid w:val="00731D4D"/>
    <w:rsid w:val="00731F24"/>
    <w:rsid w:val="007326EB"/>
    <w:rsid w:val="00732AB2"/>
    <w:rsid w:val="00732BDD"/>
    <w:rsid w:val="00732D91"/>
    <w:rsid w:val="00732ECB"/>
    <w:rsid w:val="0073333A"/>
    <w:rsid w:val="0073364D"/>
    <w:rsid w:val="007337A2"/>
    <w:rsid w:val="00733A31"/>
    <w:rsid w:val="00733A60"/>
    <w:rsid w:val="00733C79"/>
    <w:rsid w:val="00734154"/>
    <w:rsid w:val="0073429C"/>
    <w:rsid w:val="00734366"/>
    <w:rsid w:val="007344DD"/>
    <w:rsid w:val="00734816"/>
    <w:rsid w:val="007348FD"/>
    <w:rsid w:val="00734956"/>
    <w:rsid w:val="00734DB0"/>
    <w:rsid w:val="0073546B"/>
    <w:rsid w:val="0073547C"/>
    <w:rsid w:val="0073572A"/>
    <w:rsid w:val="00735AA6"/>
    <w:rsid w:val="00735F32"/>
    <w:rsid w:val="007361D0"/>
    <w:rsid w:val="0073625E"/>
    <w:rsid w:val="007366C8"/>
    <w:rsid w:val="00736743"/>
    <w:rsid w:val="007367ED"/>
    <w:rsid w:val="00736D3A"/>
    <w:rsid w:val="00736D8F"/>
    <w:rsid w:val="00736E71"/>
    <w:rsid w:val="00737097"/>
    <w:rsid w:val="00737144"/>
    <w:rsid w:val="00737268"/>
    <w:rsid w:val="007373B7"/>
    <w:rsid w:val="0073751C"/>
    <w:rsid w:val="007375EB"/>
    <w:rsid w:val="0073796A"/>
    <w:rsid w:val="00737A89"/>
    <w:rsid w:val="00737BB5"/>
    <w:rsid w:val="00737BEA"/>
    <w:rsid w:val="00737D3E"/>
    <w:rsid w:val="00737E6D"/>
    <w:rsid w:val="00740004"/>
    <w:rsid w:val="00740156"/>
    <w:rsid w:val="0074016B"/>
    <w:rsid w:val="007403CF"/>
    <w:rsid w:val="007404D9"/>
    <w:rsid w:val="0074068F"/>
    <w:rsid w:val="0074077D"/>
    <w:rsid w:val="007409F3"/>
    <w:rsid w:val="00740AA4"/>
    <w:rsid w:val="00740B33"/>
    <w:rsid w:val="00740B9A"/>
    <w:rsid w:val="00740BB9"/>
    <w:rsid w:val="0074139E"/>
    <w:rsid w:val="00741503"/>
    <w:rsid w:val="00741855"/>
    <w:rsid w:val="0074196E"/>
    <w:rsid w:val="00741A09"/>
    <w:rsid w:val="00741E9C"/>
    <w:rsid w:val="00742124"/>
    <w:rsid w:val="00742655"/>
    <w:rsid w:val="00742A29"/>
    <w:rsid w:val="00742C2C"/>
    <w:rsid w:val="00742E3A"/>
    <w:rsid w:val="00742E8A"/>
    <w:rsid w:val="007431AB"/>
    <w:rsid w:val="00743923"/>
    <w:rsid w:val="00743CBC"/>
    <w:rsid w:val="00743E90"/>
    <w:rsid w:val="00743EB8"/>
    <w:rsid w:val="007441C5"/>
    <w:rsid w:val="00744587"/>
    <w:rsid w:val="007447EF"/>
    <w:rsid w:val="00744836"/>
    <w:rsid w:val="00744876"/>
    <w:rsid w:val="00744961"/>
    <w:rsid w:val="00744AA6"/>
    <w:rsid w:val="00744B14"/>
    <w:rsid w:val="00744DAB"/>
    <w:rsid w:val="00744DD4"/>
    <w:rsid w:val="0074579D"/>
    <w:rsid w:val="007458BF"/>
    <w:rsid w:val="00745936"/>
    <w:rsid w:val="00745974"/>
    <w:rsid w:val="00745E7E"/>
    <w:rsid w:val="007462E6"/>
    <w:rsid w:val="0074659A"/>
    <w:rsid w:val="00746746"/>
    <w:rsid w:val="00746B2A"/>
    <w:rsid w:val="00746D9C"/>
    <w:rsid w:val="00747125"/>
    <w:rsid w:val="00747214"/>
    <w:rsid w:val="00747350"/>
    <w:rsid w:val="00747352"/>
    <w:rsid w:val="00747672"/>
    <w:rsid w:val="007479D9"/>
    <w:rsid w:val="00747A59"/>
    <w:rsid w:val="00747B23"/>
    <w:rsid w:val="00747C1B"/>
    <w:rsid w:val="00747ED2"/>
    <w:rsid w:val="007502C7"/>
    <w:rsid w:val="00750458"/>
    <w:rsid w:val="00750569"/>
    <w:rsid w:val="00750610"/>
    <w:rsid w:val="00750873"/>
    <w:rsid w:val="007509FD"/>
    <w:rsid w:val="00750CC5"/>
    <w:rsid w:val="00750E3C"/>
    <w:rsid w:val="00750F9E"/>
    <w:rsid w:val="0075100E"/>
    <w:rsid w:val="0075139D"/>
    <w:rsid w:val="00751662"/>
    <w:rsid w:val="007519FF"/>
    <w:rsid w:val="00751CB9"/>
    <w:rsid w:val="00751EA5"/>
    <w:rsid w:val="00751FF4"/>
    <w:rsid w:val="007520D6"/>
    <w:rsid w:val="00752332"/>
    <w:rsid w:val="007524B7"/>
    <w:rsid w:val="00752678"/>
    <w:rsid w:val="00752A71"/>
    <w:rsid w:val="00752AA1"/>
    <w:rsid w:val="00752B81"/>
    <w:rsid w:val="00752D57"/>
    <w:rsid w:val="00752D68"/>
    <w:rsid w:val="00752EE3"/>
    <w:rsid w:val="0075321E"/>
    <w:rsid w:val="0075346E"/>
    <w:rsid w:val="007534BE"/>
    <w:rsid w:val="00753636"/>
    <w:rsid w:val="0075376D"/>
    <w:rsid w:val="0075395B"/>
    <w:rsid w:val="00753EE7"/>
    <w:rsid w:val="00753F07"/>
    <w:rsid w:val="0075422B"/>
    <w:rsid w:val="00754460"/>
    <w:rsid w:val="00754579"/>
    <w:rsid w:val="0075471B"/>
    <w:rsid w:val="0075491C"/>
    <w:rsid w:val="007549B6"/>
    <w:rsid w:val="00754DAD"/>
    <w:rsid w:val="00754DC3"/>
    <w:rsid w:val="00754FD3"/>
    <w:rsid w:val="0075503D"/>
    <w:rsid w:val="007550C7"/>
    <w:rsid w:val="007551CD"/>
    <w:rsid w:val="00755566"/>
    <w:rsid w:val="00755573"/>
    <w:rsid w:val="00755A46"/>
    <w:rsid w:val="00755ACF"/>
    <w:rsid w:val="00755AF9"/>
    <w:rsid w:val="00755E03"/>
    <w:rsid w:val="0075629C"/>
    <w:rsid w:val="007562E9"/>
    <w:rsid w:val="007563F1"/>
    <w:rsid w:val="00756409"/>
    <w:rsid w:val="00756765"/>
    <w:rsid w:val="00756B64"/>
    <w:rsid w:val="0075737A"/>
    <w:rsid w:val="0075740C"/>
    <w:rsid w:val="0075742B"/>
    <w:rsid w:val="007574D2"/>
    <w:rsid w:val="0075776C"/>
    <w:rsid w:val="007577E7"/>
    <w:rsid w:val="007578FA"/>
    <w:rsid w:val="00757988"/>
    <w:rsid w:val="00757AE9"/>
    <w:rsid w:val="0076047B"/>
    <w:rsid w:val="00760988"/>
    <w:rsid w:val="00760B5D"/>
    <w:rsid w:val="00760EB7"/>
    <w:rsid w:val="00761050"/>
    <w:rsid w:val="00761162"/>
    <w:rsid w:val="007615FB"/>
    <w:rsid w:val="00761730"/>
    <w:rsid w:val="00761B4A"/>
    <w:rsid w:val="00761B56"/>
    <w:rsid w:val="00761E77"/>
    <w:rsid w:val="00761EFC"/>
    <w:rsid w:val="00762078"/>
    <w:rsid w:val="007621CD"/>
    <w:rsid w:val="00762492"/>
    <w:rsid w:val="00762613"/>
    <w:rsid w:val="00762615"/>
    <w:rsid w:val="0076271E"/>
    <w:rsid w:val="0076282E"/>
    <w:rsid w:val="00762984"/>
    <w:rsid w:val="007629A8"/>
    <w:rsid w:val="00762CDC"/>
    <w:rsid w:val="00762D9D"/>
    <w:rsid w:val="00762E41"/>
    <w:rsid w:val="00762E89"/>
    <w:rsid w:val="00762F06"/>
    <w:rsid w:val="0076305C"/>
    <w:rsid w:val="0076313F"/>
    <w:rsid w:val="00763167"/>
    <w:rsid w:val="00763615"/>
    <w:rsid w:val="007639CF"/>
    <w:rsid w:val="00763A49"/>
    <w:rsid w:val="00763C23"/>
    <w:rsid w:val="00763DCE"/>
    <w:rsid w:val="00763DE8"/>
    <w:rsid w:val="0076403F"/>
    <w:rsid w:val="0076408F"/>
    <w:rsid w:val="00764397"/>
    <w:rsid w:val="00764487"/>
    <w:rsid w:val="007645A2"/>
    <w:rsid w:val="00764C29"/>
    <w:rsid w:val="00764FEC"/>
    <w:rsid w:val="00765546"/>
    <w:rsid w:val="00765919"/>
    <w:rsid w:val="00765C1E"/>
    <w:rsid w:val="00765CE8"/>
    <w:rsid w:val="00765E6E"/>
    <w:rsid w:val="00766668"/>
    <w:rsid w:val="007667E7"/>
    <w:rsid w:val="00766A3D"/>
    <w:rsid w:val="00766BCF"/>
    <w:rsid w:val="00766C22"/>
    <w:rsid w:val="00766C71"/>
    <w:rsid w:val="00766DD7"/>
    <w:rsid w:val="00766E31"/>
    <w:rsid w:val="0076707E"/>
    <w:rsid w:val="007670B4"/>
    <w:rsid w:val="00767157"/>
    <w:rsid w:val="007671C4"/>
    <w:rsid w:val="0076720B"/>
    <w:rsid w:val="007677CE"/>
    <w:rsid w:val="00767962"/>
    <w:rsid w:val="00767AFF"/>
    <w:rsid w:val="00767BDB"/>
    <w:rsid w:val="00767D93"/>
    <w:rsid w:val="007700B6"/>
    <w:rsid w:val="00770710"/>
    <w:rsid w:val="00770A8B"/>
    <w:rsid w:val="00770C2E"/>
    <w:rsid w:val="00770EBF"/>
    <w:rsid w:val="00770F8F"/>
    <w:rsid w:val="00771017"/>
    <w:rsid w:val="00771137"/>
    <w:rsid w:val="00771188"/>
    <w:rsid w:val="0077125C"/>
    <w:rsid w:val="007712AC"/>
    <w:rsid w:val="007715F5"/>
    <w:rsid w:val="00771716"/>
    <w:rsid w:val="00771AAB"/>
    <w:rsid w:val="00771B61"/>
    <w:rsid w:val="00771C81"/>
    <w:rsid w:val="00771D1E"/>
    <w:rsid w:val="00771DE1"/>
    <w:rsid w:val="007722E3"/>
    <w:rsid w:val="00772426"/>
    <w:rsid w:val="007724D2"/>
    <w:rsid w:val="007724D7"/>
    <w:rsid w:val="007724E8"/>
    <w:rsid w:val="0077253F"/>
    <w:rsid w:val="00772689"/>
    <w:rsid w:val="00772C91"/>
    <w:rsid w:val="00772CE7"/>
    <w:rsid w:val="00772DA1"/>
    <w:rsid w:val="00772E2D"/>
    <w:rsid w:val="00772ED2"/>
    <w:rsid w:val="00773284"/>
    <w:rsid w:val="00773331"/>
    <w:rsid w:val="00773D9A"/>
    <w:rsid w:val="00774344"/>
    <w:rsid w:val="007745B8"/>
    <w:rsid w:val="007745FD"/>
    <w:rsid w:val="0077468A"/>
    <w:rsid w:val="00774AE1"/>
    <w:rsid w:val="00774BDA"/>
    <w:rsid w:val="00774CAF"/>
    <w:rsid w:val="00774E9B"/>
    <w:rsid w:val="0077542A"/>
    <w:rsid w:val="007756EB"/>
    <w:rsid w:val="007757A5"/>
    <w:rsid w:val="00775D12"/>
    <w:rsid w:val="00775E4D"/>
    <w:rsid w:val="00776149"/>
    <w:rsid w:val="007763B1"/>
    <w:rsid w:val="00776508"/>
    <w:rsid w:val="00776599"/>
    <w:rsid w:val="007766BC"/>
    <w:rsid w:val="00776DC5"/>
    <w:rsid w:val="007771A8"/>
    <w:rsid w:val="007772FF"/>
    <w:rsid w:val="007773BB"/>
    <w:rsid w:val="0077757A"/>
    <w:rsid w:val="00777722"/>
    <w:rsid w:val="00777A1B"/>
    <w:rsid w:val="00777CDE"/>
    <w:rsid w:val="00777D96"/>
    <w:rsid w:val="00780184"/>
    <w:rsid w:val="0078025C"/>
    <w:rsid w:val="00780290"/>
    <w:rsid w:val="0078042A"/>
    <w:rsid w:val="0078049C"/>
    <w:rsid w:val="0078053D"/>
    <w:rsid w:val="0078064E"/>
    <w:rsid w:val="00780689"/>
    <w:rsid w:val="0078084D"/>
    <w:rsid w:val="0078092D"/>
    <w:rsid w:val="00780BC6"/>
    <w:rsid w:val="00780EED"/>
    <w:rsid w:val="00781215"/>
    <w:rsid w:val="0078126F"/>
    <w:rsid w:val="007812A2"/>
    <w:rsid w:val="0078135A"/>
    <w:rsid w:val="007814DA"/>
    <w:rsid w:val="00781577"/>
    <w:rsid w:val="00781695"/>
    <w:rsid w:val="00781850"/>
    <w:rsid w:val="00781F73"/>
    <w:rsid w:val="00781FB3"/>
    <w:rsid w:val="00782085"/>
    <w:rsid w:val="00782133"/>
    <w:rsid w:val="00782337"/>
    <w:rsid w:val="0078238C"/>
    <w:rsid w:val="007824A3"/>
    <w:rsid w:val="00782B43"/>
    <w:rsid w:val="00782B9C"/>
    <w:rsid w:val="00782BF5"/>
    <w:rsid w:val="00782D41"/>
    <w:rsid w:val="0078324A"/>
    <w:rsid w:val="00783426"/>
    <w:rsid w:val="007834C4"/>
    <w:rsid w:val="00783A1F"/>
    <w:rsid w:val="00783BD0"/>
    <w:rsid w:val="00783CF9"/>
    <w:rsid w:val="00783D9B"/>
    <w:rsid w:val="00784198"/>
    <w:rsid w:val="0078470F"/>
    <w:rsid w:val="00784747"/>
    <w:rsid w:val="0078483B"/>
    <w:rsid w:val="00784CD9"/>
    <w:rsid w:val="00784E39"/>
    <w:rsid w:val="007851A5"/>
    <w:rsid w:val="00785525"/>
    <w:rsid w:val="00785A5B"/>
    <w:rsid w:val="00785DEC"/>
    <w:rsid w:val="00785F59"/>
    <w:rsid w:val="007862B6"/>
    <w:rsid w:val="00786357"/>
    <w:rsid w:val="0078654F"/>
    <w:rsid w:val="0078665E"/>
    <w:rsid w:val="00786BFC"/>
    <w:rsid w:val="00786D02"/>
    <w:rsid w:val="00786E25"/>
    <w:rsid w:val="00786EA9"/>
    <w:rsid w:val="0078703E"/>
    <w:rsid w:val="007873D1"/>
    <w:rsid w:val="007873E9"/>
    <w:rsid w:val="0078747A"/>
    <w:rsid w:val="00787AAB"/>
    <w:rsid w:val="00787AF8"/>
    <w:rsid w:val="007901D4"/>
    <w:rsid w:val="00790395"/>
    <w:rsid w:val="007903E7"/>
    <w:rsid w:val="007904E6"/>
    <w:rsid w:val="00790B91"/>
    <w:rsid w:val="00790DEF"/>
    <w:rsid w:val="00791438"/>
    <w:rsid w:val="007916A7"/>
    <w:rsid w:val="007918AE"/>
    <w:rsid w:val="00791B6C"/>
    <w:rsid w:val="0079208F"/>
    <w:rsid w:val="00792392"/>
    <w:rsid w:val="007923A6"/>
    <w:rsid w:val="007924EE"/>
    <w:rsid w:val="007927A9"/>
    <w:rsid w:val="0079282B"/>
    <w:rsid w:val="00792D70"/>
    <w:rsid w:val="00792F5B"/>
    <w:rsid w:val="00793082"/>
    <w:rsid w:val="007932EF"/>
    <w:rsid w:val="007935BB"/>
    <w:rsid w:val="0079361A"/>
    <w:rsid w:val="00793834"/>
    <w:rsid w:val="00793A2C"/>
    <w:rsid w:val="00793B01"/>
    <w:rsid w:val="00793BF8"/>
    <w:rsid w:val="00793C37"/>
    <w:rsid w:val="00793D43"/>
    <w:rsid w:val="007941C6"/>
    <w:rsid w:val="00794217"/>
    <w:rsid w:val="007947F2"/>
    <w:rsid w:val="0079488D"/>
    <w:rsid w:val="00794DA4"/>
    <w:rsid w:val="00794F15"/>
    <w:rsid w:val="00794F4B"/>
    <w:rsid w:val="0079500C"/>
    <w:rsid w:val="0079519B"/>
    <w:rsid w:val="007951F9"/>
    <w:rsid w:val="00795429"/>
    <w:rsid w:val="00795723"/>
    <w:rsid w:val="00795966"/>
    <w:rsid w:val="00795D51"/>
    <w:rsid w:val="007963EB"/>
    <w:rsid w:val="0079645A"/>
    <w:rsid w:val="00796947"/>
    <w:rsid w:val="00796E93"/>
    <w:rsid w:val="007972AC"/>
    <w:rsid w:val="007978E6"/>
    <w:rsid w:val="00797BE0"/>
    <w:rsid w:val="00797C1D"/>
    <w:rsid w:val="007A03C2"/>
    <w:rsid w:val="007A0445"/>
    <w:rsid w:val="007A0583"/>
    <w:rsid w:val="007A0683"/>
    <w:rsid w:val="007A092C"/>
    <w:rsid w:val="007A0C25"/>
    <w:rsid w:val="007A14A9"/>
    <w:rsid w:val="007A16A4"/>
    <w:rsid w:val="007A16E9"/>
    <w:rsid w:val="007A196C"/>
    <w:rsid w:val="007A1987"/>
    <w:rsid w:val="007A19C7"/>
    <w:rsid w:val="007A1C11"/>
    <w:rsid w:val="007A1FEF"/>
    <w:rsid w:val="007A202C"/>
    <w:rsid w:val="007A20BD"/>
    <w:rsid w:val="007A243C"/>
    <w:rsid w:val="007A2442"/>
    <w:rsid w:val="007A246A"/>
    <w:rsid w:val="007A2896"/>
    <w:rsid w:val="007A2B3C"/>
    <w:rsid w:val="007A2C75"/>
    <w:rsid w:val="007A312D"/>
    <w:rsid w:val="007A31C6"/>
    <w:rsid w:val="007A31F2"/>
    <w:rsid w:val="007A3724"/>
    <w:rsid w:val="007A38BB"/>
    <w:rsid w:val="007A3955"/>
    <w:rsid w:val="007A3A37"/>
    <w:rsid w:val="007A3C5E"/>
    <w:rsid w:val="007A3E4F"/>
    <w:rsid w:val="007A4325"/>
    <w:rsid w:val="007A4651"/>
    <w:rsid w:val="007A46DF"/>
    <w:rsid w:val="007A4B74"/>
    <w:rsid w:val="007A4BFB"/>
    <w:rsid w:val="007A4D28"/>
    <w:rsid w:val="007A4DBB"/>
    <w:rsid w:val="007A4F1C"/>
    <w:rsid w:val="007A51CE"/>
    <w:rsid w:val="007A51ED"/>
    <w:rsid w:val="007A54D0"/>
    <w:rsid w:val="007A5544"/>
    <w:rsid w:val="007A55F4"/>
    <w:rsid w:val="007A5E7A"/>
    <w:rsid w:val="007A5F47"/>
    <w:rsid w:val="007A5F97"/>
    <w:rsid w:val="007A6041"/>
    <w:rsid w:val="007A60B9"/>
    <w:rsid w:val="007A6258"/>
    <w:rsid w:val="007A63AA"/>
    <w:rsid w:val="007A67ED"/>
    <w:rsid w:val="007A68BC"/>
    <w:rsid w:val="007A68DC"/>
    <w:rsid w:val="007A69B5"/>
    <w:rsid w:val="007A69C5"/>
    <w:rsid w:val="007A6A5B"/>
    <w:rsid w:val="007A6CE2"/>
    <w:rsid w:val="007A6DFC"/>
    <w:rsid w:val="007A6E32"/>
    <w:rsid w:val="007A728A"/>
    <w:rsid w:val="007A7422"/>
    <w:rsid w:val="007A7C93"/>
    <w:rsid w:val="007A7CA3"/>
    <w:rsid w:val="007A7D84"/>
    <w:rsid w:val="007A7E36"/>
    <w:rsid w:val="007B0068"/>
    <w:rsid w:val="007B011F"/>
    <w:rsid w:val="007B04E8"/>
    <w:rsid w:val="007B0758"/>
    <w:rsid w:val="007B0D9A"/>
    <w:rsid w:val="007B10FD"/>
    <w:rsid w:val="007B13F7"/>
    <w:rsid w:val="007B1555"/>
    <w:rsid w:val="007B18A8"/>
    <w:rsid w:val="007B1A0F"/>
    <w:rsid w:val="007B1A46"/>
    <w:rsid w:val="007B1B49"/>
    <w:rsid w:val="007B1F86"/>
    <w:rsid w:val="007B2023"/>
    <w:rsid w:val="007B284E"/>
    <w:rsid w:val="007B2904"/>
    <w:rsid w:val="007B29AC"/>
    <w:rsid w:val="007B2CA7"/>
    <w:rsid w:val="007B2D92"/>
    <w:rsid w:val="007B304B"/>
    <w:rsid w:val="007B3258"/>
    <w:rsid w:val="007B3329"/>
    <w:rsid w:val="007B359F"/>
    <w:rsid w:val="007B36AD"/>
    <w:rsid w:val="007B3753"/>
    <w:rsid w:val="007B385F"/>
    <w:rsid w:val="007B3874"/>
    <w:rsid w:val="007B39A5"/>
    <w:rsid w:val="007B3A98"/>
    <w:rsid w:val="007B3AA2"/>
    <w:rsid w:val="007B3B8F"/>
    <w:rsid w:val="007B3E63"/>
    <w:rsid w:val="007B3F86"/>
    <w:rsid w:val="007B40F1"/>
    <w:rsid w:val="007B41EE"/>
    <w:rsid w:val="007B422C"/>
    <w:rsid w:val="007B436F"/>
    <w:rsid w:val="007B44A5"/>
    <w:rsid w:val="007B44FD"/>
    <w:rsid w:val="007B458C"/>
    <w:rsid w:val="007B461C"/>
    <w:rsid w:val="007B47CE"/>
    <w:rsid w:val="007B4871"/>
    <w:rsid w:val="007B48EE"/>
    <w:rsid w:val="007B4CCC"/>
    <w:rsid w:val="007B5648"/>
    <w:rsid w:val="007B5765"/>
    <w:rsid w:val="007B5882"/>
    <w:rsid w:val="007B5919"/>
    <w:rsid w:val="007B5AD0"/>
    <w:rsid w:val="007B5C26"/>
    <w:rsid w:val="007B6087"/>
    <w:rsid w:val="007B62FA"/>
    <w:rsid w:val="007B633D"/>
    <w:rsid w:val="007B6AC6"/>
    <w:rsid w:val="007B6D06"/>
    <w:rsid w:val="007B6E41"/>
    <w:rsid w:val="007B6F83"/>
    <w:rsid w:val="007B73FF"/>
    <w:rsid w:val="007B7659"/>
    <w:rsid w:val="007B78D9"/>
    <w:rsid w:val="007B7981"/>
    <w:rsid w:val="007B7C59"/>
    <w:rsid w:val="007B7C9D"/>
    <w:rsid w:val="007B7D42"/>
    <w:rsid w:val="007B7DBE"/>
    <w:rsid w:val="007B7F2C"/>
    <w:rsid w:val="007C053A"/>
    <w:rsid w:val="007C0791"/>
    <w:rsid w:val="007C0935"/>
    <w:rsid w:val="007C0A87"/>
    <w:rsid w:val="007C0DEF"/>
    <w:rsid w:val="007C0E7F"/>
    <w:rsid w:val="007C107E"/>
    <w:rsid w:val="007C1A7D"/>
    <w:rsid w:val="007C1BF5"/>
    <w:rsid w:val="007C2083"/>
    <w:rsid w:val="007C2100"/>
    <w:rsid w:val="007C211F"/>
    <w:rsid w:val="007C21CE"/>
    <w:rsid w:val="007C22EC"/>
    <w:rsid w:val="007C2654"/>
    <w:rsid w:val="007C299A"/>
    <w:rsid w:val="007C2B30"/>
    <w:rsid w:val="007C2CAB"/>
    <w:rsid w:val="007C2CF5"/>
    <w:rsid w:val="007C2D1A"/>
    <w:rsid w:val="007C2D9D"/>
    <w:rsid w:val="007C2EBB"/>
    <w:rsid w:val="007C3078"/>
    <w:rsid w:val="007C3150"/>
    <w:rsid w:val="007C3218"/>
    <w:rsid w:val="007C3561"/>
    <w:rsid w:val="007C37E4"/>
    <w:rsid w:val="007C384B"/>
    <w:rsid w:val="007C3DF0"/>
    <w:rsid w:val="007C3EB3"/>
    <w:rsid w:val="007C41DF"/>
    <w:rsid w:val="007C45BD"/>
    <w:rsid w:val="007C4631"/>
    <w:rsid w:val="007C49FB"/>
    <w:rsid w:val="007C4D6C"/>
    <w:rsid w:val="007C4F44"/>
    <w:rsid w:val="007C5428"/>
    <w:rsid w:val="007C551F"/>
    <w:rsid w:val="007C59C6"/>
    <w:rsid w:val="007C5BDB"/>
    <w:rsid w:val="007C5CFB"/>
    <w:rsid w:val="007C602F"/>
    <w:rsid w:val="007C6062"/>
    <w:rsid w:val="007C61C9"/>
    <w:rsid w:val="007C6584"/>
    <w:rsid w:val="007C6747"/>
    <w:rsid w:val="007C6847"/>
    <w:rsid w:val="007C6894"/>
    <w:rsid w:val="007C6A88"/>
    <w:rsid w:val="007C6CB2"/>
    <w:rsid w:val="007C7004"/>
    <w:rsid w:val="007C70C2"/>
    <w:rsid w:val="007C70C5"/>
    <w:rsid w:val="007C757A"/>
    <w:rsid w:val="007C75FF"/>
    <w:rsid w:val="007C7927"/>
    <w:rsid w:val="007D07B3"/>
    <w:rsid w:val="007D09DE"/>
    <w:rsid w:val="007D0E3F"/>
    <w:rsid w:val="007D0FCA"/>
    <w:rsid w:val="007D11A7"/>
    <w:rsid w:val="007D1284"/>
    <w:rsid w:val="007D13E8"/>
    <w:rsid w:val="007D14CF"/>
    <w:rsid w:val="007D14F5"/>
    <w:rsid w:val="007D1903"/>
    <w:rsid w:val="007D1CE4"/>
    <w:rsid w:val="007D1D37"/>
    <w:rsid w:val="007D1D8B"/>
    <w:rsid w:val="007D1DD6"/>
    <w:rsid w:val="007D204E"/>
    <w:rsid w:val="007D2337"/>
    <w:rsid w:val="007D26F1"/>
    <w:rsid w:val="007D27C5"/>
    <w:rsid w:val="007D27EC"/>
    <w:rsid w:val="007D2863"/>
    <w:rsid w:val="007D28E9"/>
    <w:rsid w:val="007D2912"/>
    <w:rsid w:val="007D2A3B"/>
    <w:rsid w:val="007D2BA1"/>
    <w:rsid w:val="007D2E9D"/>
    <w:rsid w:val="007D2EB1"/>
    <w:rsid w:val="007D3088"/>
    <w:rsid w:val="007D327B"/>
    <w:rsid w:val="007D32FE"/>
    <w:rsid w:val="007D350F"/>
    <w:rsid w:val="007D3E10"/>
    <w:rsid w:val="007D3E5E"/>
    <w:rsid w:val="007D3E96"/>
    <w:rsid w:val="007D4173"/>
    <w:rsid w:val="007D4980"/>
    <w:rsid w:val="007D4DA1"/>
    <w:rsid w:val="007D4EF7"/>
    <w:rsid w:val="007D5176"/>
    <w:rsid w:val="007D51F8"/>
    <w:rsid w:val="007D54AB"/>
    <w:rsid w:val="007D54C8"/>
    <w:rsid w:val="007D54DA"/>
    <w:rsid w:val="007D5500"/>
    <w:rsid w:val="007D568F"/>
    <w:rsid w:val="007D5831"/>
    <w:rsid w:val="007D5B0E"/>
    <w:rsid w:val="007D5C70"/>
    <w:rsid w:val="007D5DC0"/>
    <w:rsid w:val="007D5DE8"/>
    <w:rsid w:val="007D5E78"/>
    <w:rsid w:val="007D6174"/>
    <w:rsid w:val="007D6322"/>
    <w:rsid w:val="007D658F"/>
    <w:rsid w:val="007D6628"/>
    <w:rsid w:val="007D66D7"/>
    <w:rsid w:val="007D691E"/>
    <w:rsid w:val="007D6958"/>
    <w:rsid w:val="007D6ADC"/>
    <w:rsid w:val="007D6E8E"/>
    <w:rsid w:val="007D6FF1"/>
    <w:rsid w:val="007D722D"/>
    <w:rsid w:val="007D7469"/>
    <w:rsid w:val="007D7512"/>
    <w:rsid w:val="007D75E5"/>
    <w:rsid w:val="007D7B41"/>
    <w:rsid w:val="007D7CEB"/>
    <w:rsid w:val="007D7D3F"/>
    <w:rsid w:val="007E0338"/>
    <w:rsid w:val="007E03A2"/>
    <w:rsid w:val="007E05B0"/>
    <w:rsid w:val="007E068B"/>
    <w:rsid w:val="007E07BA"/>
    <w:rsid w:val="007E0C9E"/>
    <w:rsid w:val="007E0CDE"/>
    <w:rsid w:val="007E0D02"/>
    <w:rsid w:val="007E0E1A"/>
    <w:rsid w:val="007E0E7B"/>
    <w:rsid w:val="007E1151"/>
    <w:rsid w:val="007E1521"/>
    <w:rsid w:val="007E160E"/>
    <w:rsid w:val="007E177B"/>
    <w:rsid w:val="007E1BE2"/>
    <w:rsid w:val="007E2323"/>
    <w:rsid w:val="007E2599"/>
    <w:rsid w:val="007E294B"/>
    <w:rsid w:val="007E2D86"/>
    <w:rsid w:val="007E2F5F"/>
    <w:rsid w:val="007E322A"/>
    <w:rsid w:val="007E323B"/>
    <w:rsid w:val="007E347B"/>
    <w:rsid w:val="007E3982"/>
    <w:rsid w:val="007E39F3"/>
    <w:rsid w:val="007E3A21"/>
    <w:rsid w:val="007E3C0B"/>
    <w:rsid w:val="007E3D2C"/>
    <w:rsid w:val="007E3E0F"/>
    <w:rsid w:val="007E3FCF"/>
    <w:rsid w:val="007E422E"/>
    <w:rsid w:val="007E444F"/>
    <w:rsid w:val="007E454B"/>
    <w:rsid w:val="007E462D"/>
    <w:rsid w:val="007E4823"/>
    <w:rsid w:val="007E4B1E"/>
    <w:rsid w:val="007E4C79"/>
    <w:rsid w:val="007E5030"/>
    <w:rsid w:val="007E517D"/>
    <w:rsid w:val="007E556B"/>
    <w:rsid w:val="007E5606"/>
    <w:rsid w:val="007E56A6"/>
    <w:rsid w:val="007E57A1"/>
    <w:rsid w:val="007E57E3"/>
    <w:rsid w:val="007E5BF8"/>
    <w:rsid w:val="007E5C05"/>
    <w:rsid w:val="007E5C46"/>
    <w:rsid w:val="007E5EA7"/>
    <w:rsid w:val="007E5EEA"/>
    <w:rsid w:val="007E619E"/>
    <w:rsid w:val="007E61F5"/>
    <w:rsid w:val="007E626A"/>
    <w:rsid w:val="007E6587"/>
    <w:rsid w:val="007E6A6C"/>
    <w:rsid w:val="007E7046"/>
    <w:rsid w:val="007E7076"/>
    <w:rsid w:val="007E714B"/>
    <w:rsid w:val="007E72D6"/>
    <w:rsid w:val="007E757D"/>
    <w:rsid w:val="007E76C4"/>
    <w:rsid w:val="007E76EC"/>
    <w:rsid w:val="007E784D"/>
    <w:rsid w:val="007E78E7"/>
    <w:rsid w:val="007E7C02"/>
    <w:rsid w:val="007E7CA6"/>
    <w:rsid w:val="007E7CC7"/>
    <w:rsid w:val="007E7F76"/>
    <w:rsid w:val="007F01DA"/>
    <w:rsid w:val="007F0403"/>
    <w:rsid w:val="007F0526"/>
    <w:rsid w:val="007F0951"/>
    <w:rsid w:val="007F09F8"/>
    <w:rsid w:val="007F10BC"/>
    <w:rsid w:val="007F11DD"/>
    <w:rsid w:val="007F152F"/>
    <w:rsid w:val="007F1542"/>
    <w:rsid w:val="007F18A4"/>
    <w:rsid w:val="007F1C44"/>
    <w:rsid w:val="007F1DD8"/>
    <w:rsid w:val="007F1FB6"/>
    <w:rsid w:val="007F20AF"/>
    <w:rsid w:val="007F23C6"/>
    <w:rsid w:val="007F24B8"/>
    <w:rsid w:val="007F2743"/>
    <w:rsid w:val="007F280F"/>
    <w:rsid w:val="007F2AAF"/>
    <w:rsid w:val="007F2D90"/>
    <w:rsid w:val="007F2FA9"/>
    <w:rsid w:val="007F3348"/>
    <w:rsid w:val="007F345E"/>
    <w:rsid w:val="007F3586"/>
    <w:rsid w:val="007F37F8"/>
    <w:rsid w:val="007F3885"/>
    <w:rsid w:val="007F390F"/>
    <w:rsid w:val="007F3923"/>
    <w:rsid w:val="007F3AC7"/>
    <w:rsid w:val="007F3E14"/>
    <w:rsid w:val="007F41A8"/>
    <w:rsid w:val="007F41DE"/>
    <w:rsid w:val="007F4275"/>
    <w:rsid w:val="007F43EC"/>
    <w:rsid w:val="007F44B2"/>
    <w:rsid w:val="007F45D5"/>
    <w:rsid w:val="007F4774"/>
    <w:rsid w:val="007F4880"/>
    <w:rsid w:val="007F4939"/>
    <w:rsid w:val="007F49CE"/>
    <w:rsid w:val="007F4AAE"/>
    <w:rsid w:val="007F4BAD"/>
    <w:rsid w:val="007F4C5F"/>
    <w:rsid w:val="007F4CB9"/>
    <w:rsid w:val="007F5ABD"/>
    <w:rsid w:val="007F5BFE"/>
    <w:rsid w:val="007F5E4B"/>
    <w:rsid w:val="007F6097"/>
    <w:rsid w:val="007F6439"/>
    <w:rsid w:val="007F6725"/>
    <w:rsid w:val="007F6767"/>
    <w:rsid w:val="007F6779"/>
    <w:rsid w:val="007F67D7"/>
    <w:rsid w:val="007F6805"/>
    <w:rsid w:val="007F6F49"/>
    <w:rsid w:val="007F6FF3"/>
    <w:rsid w:val="007F70A8"/>
    <w:rsid w:val="007F7499"/>
    <w:rsid w:val="007F7683"/>
    <w:rsid w:val="007F7848"/>
    <w:rsid w:val="007F7C18"/>
    <w:rsid w:val="007F7D49"/>
    <w:rsid w:val="007F7EA2"/>
    <w:rsid w:val="00800041"/>
    <w:rsid w:val="008000ED"/>
    <w:rsid w:val="00800361"/>
    <w:rsid w:val="008003CD"/>
    <w:rsid w:val="0080040D"/>
    <w:rsid w:val="00800828"/>
    <w:rsid w:val="00800A2F"/>
    <w:rsid w:val="00800D9B"/>
    <w:rsid w:val="00801070"/>
    <w:rsid w:val="00801191"/>
    <w:rsid w:val="00801506"/>
    <w:rsid w:val="008016F5"/>
    <w:rsid w:val="00801AE1"/>
    <w:rsid w:val="00801B10"/>
    <w:rsid w:val="00801C21"/>
    <w:rsid w:val="00801C95"/>
    <w:rsid w:val="00801D18"/>
    <w:rsid w:val="00802590"/>
    <w:rsid w:val="008025C9"/>
    <w:rsid w:val="0080265F"/>
    <w:rsid w:val="008028F4"/>
    <w:rsid w:val="00802A36"/>
    <w:rsid w:val="00802FA6"/>
    <w:rsid w:val="008031AB"/>
    <w:rsid w:val="008037C5"/>
    <w:rsid w:val="008039DE"/>
    <w:rsid w:val="00803A69"/>
    <w:rsid w:val="00803B13"/>
    <w:rsid w:val="00803F89"/>
    <w:rsid w:val="00804259"/>
    <w:rsid w:val="008046FF"/>
    <w:rsid w:val="00804D44"/>
    <w:rsid w:val="00804D81"/>
    <w:rsid w:val="00804DD0"/>
    <w:rsid w:val="00805002"/>
    <w:rsid w:val="008051CC"/>
    <w:rsid w:val="00805259"/>
    <w:rsid w:val="00805521"/>
    <w:rsid w:val="00805607"/>
    <w:rsid w:val="0080573E"/>
    <w:rsid w:val="0080599F"/>
    <w:rsid w:val="008059B4"/>
    <w:rsid w:val="00805AE1"/>
    <w:rsid w:val="00805AF5"/>
    <w:rsid w:val="00805E0F"/>
    <w:rsid w:val="00805E83"/>
    <w:rsid w:val="00805F24"/>
    <w:rsid w:val="00806062"/>
    <w:rsid w:val="008060A9"/>
    <w:rsid w:val="008062EB"/>
    <w:rsid w:val="00806770"/>
    <w:rsid w:val="008067AE"/>
    <w:rsid w:val="00806BAE"/>
    <w:rsid w:val="00806E33"/>
    <w:rsid w:val="00806EFA"/>
    <w:rsid w:val="00806F04"/>
    <w:rsid w:val="00807523"/>
    <w:rsid w:val="0080794B"/>
    <w:rsid w:val="00807B69"/>
    <w:rsid w:val="00807EBA"/>
    <w:rsid w:val="0081017C"/>
    <w:rsid w:val="008102BB"/>
    <w:rsid w:val="00810450"/>
    <w:rsid w:val="0081057E"/>
    <w:rsid w:val="008107C9"/>
    <w:rsid w:val="0081083C"/>
    <w:rsid w:val="0081085F"/>
    <w:rsid w:val="008108D6"/>
    <w:rsid w:val="00810BC8"/>
    <w:rsid w:val="00810FA9"/>
    <w:rsid w:val="0081125F"/>
    <w:rsid w:val="00811491"/>
    <w:rsid w:val="0081151E"/>
    <w:rsid w:val="008116F7"/>
    <w:rsid w:val="0081193D"/>
    <w:rsid w:val="00811AEA"/>
    <w:rsid w:val="00811B6B"/>
    <w:rsid w:val="00811C90"/>
    <w:rsid w:val="00812001"/>
    <w:rsid w:val="0081226C"/>
    <w:rsid w:val="008125E3"/>
    <w:rsid w:val="00812686"/>
    <w:rsid w:val="0081280C"/>
    <w:rsid w:val="00812A0D"/>
    <w:rsid w:val="00812B87"/>
    <w:rsid w:val="00812D1C"/>
    <w:rsid w:val="00813117"/>
    <w:rsid w:val="0081327C"/>
    <w:rsid w:val="00813374"/>
    <w:rsid w:val="0081361A"/>
    <w:rsid w:val="00813842"/>
    <w:rsid w:val="00813985"/>
    <w:rsid w:val="00813AEB"/>
    <w:rsid w:val="00813E5E"/>
    <w:rsid w:val="00814045"/>
    <w:rsid w:val="008144D1"/>
    <w:rsid w:val="00814585"/>
    <w:rsid w:val="0081487D"/>
    <w:rsid w:val="00814A76"/>
    <w:rsid w:val="00814B44"/>
    <w:rsid w:val="00814D4E"/>
    <w:rsid w:val="00814DEC"/>
    <w:rsid w:val="008150AB"/>
    <w:rsid w:val="0081522A"/>
    <w:rsid w:val="00815576"/>
    <w:rsid w:val="0081585B"/>
    <w:rsid w:val="00815A27"/>
    <w:rsid w:val="00815B73"/>
    <w:rsid w:val="00815B94"/>
    <w:rsid w:val="00815BBD"/>
    <w:rsid w:val="00815BFD"/>
    <w:rsid w:val="008160C9"/>
    <w:rsid w:val="008160FB"/>
    <w:rsid w:val="00816200"/>
    <w:rsid w:val="0081631A"/>
    <w:rsid w:val="00816698"/>
    <w:rsid w:val="0081670A"/>
    <w:rsid w:val="00816853"/>
    <w:rsid w:val="00816A71"/>
    <w:rsid w:val="00816AB4"/>
    <w:rsid w:val="00816B3E"/>
    <w:rsid w:val="00816CAF"/>
    <w:rsid w:val="00816D5C"/>
    <w:rsid w:val="0081702A"/>
    <w:rsid w:val="00817036"/>
    <w:rsid w:val="00817112"/>
    <w:rsid w:val="008171E3"/>
    <w:rsid w:val="008171E6"/>
    <w:rsid w:val="008174D6"/>
    <w:rsid w:val="00817534"/>
    <w:rsid w:val="008176A6"/>
    <w:rsid w:val="008177BD"/>
    <w:rsid w:val="008177CA"/>
    <w:rsid w:val="008178DC"/>
    <w:rsid w:val="008178E8"/>
    <w:rsid w:val="00817CCD"/>
    <w:rsid w:val="00817E50"/>
    <w:rsid w:val="00817E6A"/>
    <w:rsid w:val="00817F00"/>
    <w:rsid w:val="00817F5A"/>
    <w:rsid w:val="0082037E"/>
    <w:rsid w:val="00820523"/>
    <w:rsid w:val="00820A13"/>
    <w:rsid w:val="00820BA0"/>
    <w:rsid w:val="00820D04"/>
    <w:rsid w:val="00820D91"/>
    <w:rsid w:val="00820DEC"/>
    <w:rsid w:val="00821115"/>
    <w:rsid w:val="008211CD"/>
    <w:rsid w:val="008213D6"/>
    <w:rsid w:val="00821422"/>
    <w:rsid w:val="00821514"/>
    <w:rsid w:val="00821A67"/>
    <w:rsid w:val="00821C9C"/>
    <w:rsid w:val="00821D21"/>
    <w:rsid w:val="00821ECF"/>
    <w:rsid w:val="00821F8A"/>
    <w:rsid w:val="008220AA"/>
    <w:rsid w:val="008221F3"/>
    <w:rsid w:val="0082249E"/>
    <w:rsid w:val="00822539"/>
    <w:rsid w:val="008226CD"/>
    <w:rsid w:val="0082291C"/>
    <w:rsid w:val="00822FE9"/>
    <w:rsid w:val="008232D8"/>
    <w:rsid w:val="0082334A"/>
    <w:rsid w:val="008233EB"/>
    <w:rsid w:val="008234B5"/>
    <w:rsid w:val="0082352F"/>
    <w:rsid w:val="00823567"/>
    <w:rsid w:val="008235EC"/>
    <w:rsid w:val="008237B4"/>
    <w:rsid w:val="0082386D"/>
    <w:rsid w:val="00823921"/>
    <w:rsid w:val="00823C35"/>
    <w:rsid w:val="00823CB1"/>
    <w:rsid w:val="00823E27"/>
    <w:rsid w:val="00823F2C"/>
    <w:rsid w:val="008242F0"/>
    <w:rsid w:val="00824725"/>
    <w:rsid w:val="008247B1"/>
    <w:rsid w:val="0082486B"/>
    <w:rsid w:val="0082513E"/>
    <w:rsid w:val="0082543A"/>
    <w:rsid w:val="00825771"/>
    <w:rsid w:val="00825867"/>
    <w:rsid w:val="00825D3D"/>
    <w:rsid w:val="00825F82"/>
    <w:rsid w:val="00826057"/>
    <w:rsid w:val="00826130"/>
    <w:rsid w:val="00826149"/>
    <w:rsid w:val="0082633F"/>
    <w:rsid w:val="0082637D"/>
    <w:rsid w:val="008265C9"/>
    <w:rsid w:val="00826810"/>
    <w:rsid w:val="00826838"/>
    <w:rsid w:val="008269C9"/>
    <w:rsid w:val="00826C19"/>
    <w:rsid w:val="00826CDA"/>
    <w:rsid w:val="00826FCF"/>
    <w:rsid w:val="00827227"/>
    <w:rsid w:val="008272D3"/>
    <w:rsid w:val="0082746D"/>
    <w:rsid w:val="0082777C"/>
    <w:rsid w:val="00827E4D"/>
    <w:rsid w:val="00827E68"/>
    <w:rsid w:val="008301D2"/>
    <w:rsid w:val="0083030D"/>
    <w:rsid w:val="00830506"/>
    <w:rsid w:val="0083050B"/>
    <w:rsid w:val="0083052F"/>
    <w:rsid w:val="0083060A"/>
    <w:rsid w:val="0083067F"/>
    <w:rsid w:val="008306CC"/>
    <w:rsid w:val="008308E1"/>
    <w:rsid w:val="0083094F"/>
    <w:rsid w:val="008309A2"/>
    <w:rsid w:val="00830A37"/>
    <w:rsid w:val="00830AF5"/>
    <w:rsid w:val="00830C3C"/>
    <w:rsid w:val="00830D87"/>
    <w:rsid w:val="0083138F"/>
    <w:rsid w:val="008313BB"/>
    <w:rsid w:val="008313DF"/>
    <w:rsid w:val="00831567"/>
    <w:rsid w:val="008315D2"/>
    <w:rsid w:val="0083175B"/>
    <w:rsid w:val="00831806"/>
    <w:rsid w:val="0083189E"/>
    <w:rsid w:val="00831E12"/>
    <w:rsid w:val="00831EAA"/>
    <w:rsid w:val="00832271"/>
    <w:rsid w:val="00832339"/>
    <w:rsid w:val="008327FF"/>
    <w:rsid w:val="00832AA2"/>
    <w:rsid w:val="00832BFC"/>
    <w:rsid w:val="00832EC1"/>
    <w:rsid w:val="00832FA8"/>
    <w:rsid w:val="0083309D"/>
    <w:rsid w:val="008330C4"/>
    <w:rsid w:val="00833225"/>
    <w:rsid w:val="008333AE"/>
    <w:rsid w:val="0083341E"/>
    <w:rsid w:val="00833589"/>
    <w:rsid w:val="0083362C"/>
    <w:rsid w:val="008336DB"/>
    <w:rsid w:val="008339DA"/>
    <w:rsid w:val="00833ABC"/>
    <w:rsid w:val="00833EB8"/>
    <w:rsid w:val="00833F9A"/>
    <w:rsid w:val="008342CA"/>
    <w:rsid w:val="008342E2"/>
    <w:rsid w:val="0083466F"/>
    <w:rsid w:val="0083487B"/>
    <w:rsid w:val="008348DD"/>
    <w:rsid w:val="0083493E"/>
    <w:rsid w:val="00834CF0"/>
    <w:rsid w:val="00834E92"/>
    <w:rsid w:val="00835438"/>
    <w:rsid w:val="0083557A"/>
    <w:rsid w:val="008355DC"/>
    <w:rsid w:val="00835A3B"/>
    <w:rsid w:val="00835A77"/>
    <w:rsid w:val="00835B4C"/>
    <w:rsid w:val="00836010"/>
    <w:rsid w:val="00836472"/>
    <w:rsid w:val="008364D8"/>
    <w:rsid w:val="00836535"/>
    <w:rsid w:val="008368C0"/>
    <w:rsid w:val="00836AD6"/>
    <w:rsid w:val="00836E69"/>
    <w:rsid w:val="00836F5E"/>
    <w:rsid w:val="0083719F"/>
    <w:rsid w:val="0083730E"/>
    <w:rsid w:val="00837693"/>
    <w:rsid w:val="00837756"/>
    <w:rsid w:val="00837927"/>
    <w:rsid w:val="00837E05"/>
    <w:rsid w:val="008400AC"/>
    <w:rsid w:val="008404B1"/>
    <w:rsid w:val="00840738"/>
    <w:rsid w:val="0084083E"/>
    <w:rsid w:val="008409B6"/>
    <w:rsid w:val="00840B49"/>
    <w:rsid w:val="00840D60"/>
    <w:rsid w:val="00841094"/>
    <w:rsid w:val="008411C1"/>
    <w:rsid w:val="00841225"/>
    <w:rsid w:val="00841383"/>
    <w:rsid w:val="00841601"/>
    <w:rsid w:val="00841900"/>
    <w:rsid w:val="008419AE"/>
    <w:rsid w:val="00841DA1"/>
    <w:rsid w:val="00841DB7"/>
    <w:rsid w:val="0084204A"/>
    <w:rsid w:val="0084207B"/>
    <w:rsid w:val="00842160"/>
    <w:rsid w:val="00842218"/>
    <w:rsid w:val="00842239"/>
    <w:rsid w:val="0084227A"/>
    <w:rsid w:val="00842608"/>
    <w:rsid w:val="008426D4"/>
    <w:rsid w:val="00842778"/>
    <w:rsid w:val="00842A95"/>
    <w:rsid w:val="00843577"/>
    <w:rsid w:val="00843597"/>
    <w:rsid w:val="008436A3"/>
    <w:rsid w:val="00843752"/>
    <w:rsid w:val="0084375A"/>
    <w:rsid w:val="00843DB5"/>
    <w:rsid w:val="00843F22"/>
    <w:rsid w:val="00844028"/>
    <w:rsid w:val="0084407C"/>
    <w:rsid w:val="00844352"/>
    <w:rsid w:val="008445D2"/>
    <w:rsid w:val="008445E1"/>
    <w:rsid w:val="00844880"/>
    <w:rsid w:val="00844C98"/>
    <w:rsid w:val="00844EAE"/>
    <w:rsid w:val="00845403"/>
    <w:rsid w:val="0084566E"/>
    <w:rsid w:val="008456A6"/>
    <w:rsid w:val="00845D5A"/>
    <w:rsid w:val="00845F2F"/>
    <w:rsid w:val="008460E2"/>
    <w:rsid w:val="0084615B"/>
    <w:rsid w:val="00846204"/>
    <w:rsid w:val="0084625F"/>
    <w:rsid w:val="008462F3"/>
    <w:rsid w:val="0084631F"/>
    <w:rsid w:val="0084635F"/>
    <w:rsid w:val="0084637E"/>
    <w:rsid w:val="008466AD"/>
    <w:rsid w:val="008469A8"/>
    <w:rsid w:val="00846D42"/>
    <w:rsid w:val="00846D96"/>
    <w:rsid w:val="00846DE5"/>
    <w:rsid w:val="00846E29"/>
    <w:rsid w:val="00846FC4"/>
    <w:rsid w:val="008474BF"/>
    <w:rsid w:val="00847886"/>
    <w:rsid w:val="00847E0E"/>
    <w:rsid w:val="00847E7E"/>
    <w:rsid w:val="00847F84"/>
    <w:rsid w:val="00850221"/>
    <w:rsid w:val="00850308"/>
    <w:rsid w:val="0085041A"/>
    <w:rsid w:val="00850552"/>
    <w:rsid w:val="0085089B"/>
    <w:rsid w:val="00850CDD"/>
    <w:rsid w:val="008510B9"/>
    <w:rsid w:val="0085127F"/>
    <w:rsid w:val="0085143F"/>
    <w:rsid w:val="00851511"/>
    <w:rsid w:val="008516A9"/>
    <w:rsid w:val="008516B5"/>
    <w:rsid w:val="00851944"/>
    <w:rsid w:val="008519A8"/>
    <w:rsid w:val="00851ACE"/>
    <w:rsid w:val="00851BB8"/>
    <w:rsid w:val="00851CE4"/>
    <w:rsid w:val="00852281"/>
    <w:rsid w:val="00852ACB"/>
    <w:rsid w:val="00852CBC"/>
    <w:rsid w:val="00852F28"/>
    <w:rsid w:val="0085306D"/>
    <w:rsid w:val="0085345F"/>
    <w:rsid w:val="008534DA"/>
    <w:rsid w:val="008537B5"/>
    <w:rsid w:val="00853BCC"/>
    <w:rsid w:val="00853D19"/>
    <w:rsid w:val="00854265"/>
    <w:rsid w:val="008545D1"/>
    <w:rsid w:val="008547CF"/>
    <w:rsid w:val="0085484A"/>
    <w:rsid w:val="00854B5B"/>
    <w:rsid w:val="008551ED"/>
    <w:rsid w:val="00855293"/>
    <w:rsid w:val="008552F7"/>
    <w:rsid w:val="008553D3"/>
    <w:rsid w:val="00855632"/>
    <w:rsid w:val="0085591E"/>
    <w:rsid w:val="00855B36"/>
    <w:rsid w:val="00855FB8"/>
    <w:rsid w:val="008561DD"/>
    <w:rsid w:val="00856362"/>
    <w:rsid w:val="0085639A"/>
    <w:rsid w:val="00856401"/>
    <w:rsid w:val="00856805"/>
    <w:rsid w:val="008569FD"/>
    <w:rsid w:val="00856FE5"/>
    <w:rsid w:val="00857829"/>
    <w:rsid w:val="00857AF6"/>
    <w:rsid w:val="008601EC"/>
    <w:rsid w:val="008603AC"/>
    <w:rsid w:val="0086080B"/>
    <w:rsid w:val="008608CD"/>
    <w:rsid w:val="008608D2"/>
    <w:rsid w:val="0086092A"/>
    <w:rsid w:val="00860942"/>
    <w:rsid w:val="0086095D"/>
    <w:rsid w:val="00860AC7"/>
    <w:rsid w:val="00860AF2"/>
    <w:rsid w:val="00860CF5"/>
    <w:rsid w:val="00861247"/>
    <w:rsid w:val="008612E2"/>
    <w:rsid w:val="0086133A"/>
    <w:rsid w:val="008613E1"/>
    <w:rsid w:val="00861691"/>
    <w:rsid w:val="00861724"/>
    <w:rsid w:val="008619CF"/>
    <w:rsid w:val="00862458"/>
    <w:rsid w:val="00862619"/>
    <w:rsid w:val="0086276F"/>
    <w:rsid w:val="0086280B"/>
    <w:rsid w:val="00862BC5"/>
    <w:rsid w:val="00862F5E"/>
    <w:rsid w:val="00862F9E"/>
    <w:rsid w:val="0086325B"/>
    <w:rsid w:val="00863371"/>
    <w:rsid w:val="00863437"/>
    <w:rsid w:val="00863841"/>
    <w:rsid w:val="00863B4F"/>
    <w:rsid w:val="008640AF"/>
    <w:rsid w:val="00864C97"/>
    <w:rsid w:val="00864CEA"/>
    <w:rsid w:val="00864EB9"/>
    <w:rsid w:val="00865168"/>
    <w:rsid w:val="0086575B"/>
    <w:rsid w:val="0086583E"/>
    <w:rsid w:val="0086584B"/>
    <w:rsid w:val="00865A4E"/>
    <w:rsid w:val="00865BEA"/>
    <w:rsid w:val="00865C6A"/>
    <w:rsid w:val="00865C6D"/>
    <w:rsid w:val="00865C7A"/>
    <w:rsid w:val="00865CA0"/>
    <w:rsid w:val="00865EEA"/>
    <w:rsid w:val="00865F42"/>
    <w:rsid w:val="008660A9"/>
    <w:rsid w:val="00866151"/>
    <w:rsid w:val="00866269"/>
    <w:rsid w:val="008662B9"/>
    <w:rsid w:val="008662BB"/>
    <w:rsid w:val="008664F2"/>
    <w:rsid w:val="00866647"/>
    <w:rsid w:val="00866832"/>
    <w:rsid w:val="00866BBA"/>
    <w:rsid w:val="00866E50"/>
    <w:rsid w:val="00867057"/>
    <w:rsid w:val="0086752B"/>
    <w:rsid w:val="00867CBC"/>
    <w:rsid w:val="00867EAB"/>
    <w:rsid w:val="00867FA9"/>
    <w:rsid w:val="00870344"/>
    <w:rsid w:val="00870496"/>
    <w:rsid w:val="00870507"/>
    <w:rsid w:val="0087074E"/>
    <w:rsid w:val="008707AB"/>
    <w:rsid w:val="00870A0B"/>
    <w:rsid w:val="00870A5D"/>
    <w:rsid w:val="00870B76"/>
    <w:rsid w:val="00870EF9"/>
    <w:rsid w:val="0087118C"/>
    <w:rsid w:val="0087123D"/>
    <w:rsid w:val="00871514"/>
    <w:rsid w:val="00871536"/>
    <w:rsid w:val="00871F17"/>
    <w:rsid w:val="00871F41"/>
    <w:rsid w:val="00871F72"/>
    <w:rsid w:val="00872319"/>
    <w:rsid w:val="0087246A"/>
    <w:rsid w:val="00872584"/>
    <w:rsid w:val="008729BE"/>
    <w:rsid w:val="00872A02"/>
    <w:rsid w:val="00872F0B"/>
    <w:rsid w:val="00872F4B"/>
    <w:rsid w:val="00872FB0"/>
    <w:rsid w:val="008735FF"/>
    <w:rsid w:val="00873AD9"/>
    <w:rsid w:val="00873CC6"/>
    <w:rsid w:val="00874047"/>
    <w:rsid w:val="00874051"/>
    <w:rsid w:val="008740D6"/>
    <w:rsid w:val="008740E2"/>
    <w:rsid w:val="008747E3"/>
    <w:rsid w:val="008749F5"/>
    <w:rsid w:val="00874D22"/>
    <w:rsid w:val="00874E07"/>
    <w:rsid w:val="00874F79"/>
    <w:rsid w:val="00875059"/>
    <w:rsid w:val="0087505D"/>
    <w:rsid w:val="008755F6"/>
    <w:rsid w:val="008757E4"/>
    <w:rsid w:val="00875A3A"/>
    <w:rsid w:val="00875CC9"/>
    <w:rsid w:val="00875DEC"/>
    <w:rsid w:val="00875F8B"/>
    <w:rsid w:val="008763E0"/>
    <w:rsid w:val="00876745"/>
    <w:rsid w:val="008767B0"/>
    <w:rsid w:val="008767B7"/>
    <w:rsid w:val="008768A9"/>
    <w:rsid w:val="008769D9"/>
    <w:rsid w:val="00876C3A"/>
    <w:rsid w:val="00876F79"/>
    <w:rsid w:val="008775D2"/>
    <w:rsid w:val="00877791"/>
    <w:rsid w:val="008777BF"/>
    <w:rsid w:val="00877B39"/>
    <w:rsid w:val="00877C2B"/>
    <w:rsid w:val="00877C33"/>
    <w:rsid w:val="00880360"/>
    <w:rsid w:val="008803B0"/>
    <w:rsid w:val="00880457"/>
    <w:rsid w:val="00880EC2"/>
    <w:rsid w:val="00880FB7"/>
    <w:rsid w:val="0088112F"/>
    <w:rsid w:val="008811FA"/>
    <w:rsid w:val="0088134D"/>
    <w:rsid w:val="00881411"/>
    <w:rsid w:val="008816BF"/>
    <w:rsid w:val="0088194E"/>
    <w:rsid w:val="00881B4C"/>
    <w:rsid w:val="00881BAF"/>
    <w:rsid w:val="00881D33"/>
    <w:rsid w:val="00881F9B"/>
    <w:rsid w:val="008822E5"/>
    <w:rsid w:val="008822F9"/>
    <w:rsid w:val="00882734"/>
    <w:rsid w:val="008829C7"/>
    <w:rsid w:val="00882A4A"/>
    <w:rsid w:val="00882A97"/>
    <w:rsid w:val="00882C5B"/>
    <w:rsid w:val="00882C97"/>
    <w:rsid w:val="00882D09"/>
    <w:rsid w:val="00882FDF"/>
    <w:rsid w:val="00883256"/>
    <w:rsid w:val="008838C1"/>
    <w:rsid w:val="00883B35"/>
    <w:rsid w:val="00883CB0"/>
    <w:rsid w:val="00883CD5"/>
    <w:rsid w:val="00883E09"/>
    <w:rsid w:val="00883E83"/>
    <w:rsid w:val="00883FAD"/>
    <w:rsid w:val="00884026"/>
    <w:rsid w:val="008841FC"/>
    <w:rsid w:val="008842E5"/>
    <w:rsid w:val="008845FB"/>
    <w:rsid w:val="00884923"/>
    <w:rsid w:val="00884ADF"/>
    <w:rsid w:val="00884CDE"/>
    <w:rsid w:val="00885299"/>
    <w:rsid w:val="0088560C"/>
    <w:rsid w:val="00885773"/>
    <w:rsid w:val="00885F09"/>
    <w:rsid w:val="0088606B"/>
    <w:rsid w:val="008862D0"/>
    <w:rsid w:val="00886331"/>
    <w:rsid w:val="00886475"/>
    <w:rsid w:val="008864C7"/>
    <w:rsid w:val="00886BC2"/>
    <w:rsid w:val="00886C57"/>
    <w:rsid w:val="00886E2B"/>
    <w:rsid w:val="00886E63"/>
    <w:rsid w:val="00886FB7"/>
    <w:rsid w:val="0088700F"/>
    <w:rsid w:val="0088721E"/>
    <w:rsid w:val="0088725C"/>
    <w:rsid w:val="008875C3"/>
    <w:rsid w:val="008876A5"/>
    <w:rsid w:val="008877C3"/>
    <w:rsid w:val="00887A61"/>
    <w:rsid w:val="00887C0B"/>
    <w:rsid w:val="00887C16"/>
    <w:rsid w:val="0089010C"/>
    <w:rsid w:val="0089041A"/>
    <w:rsid w:val="0089069B"/>
    <w:rsid w:val="008907D2"/>
    <w:rsid w:val="008909DF"/>
    <w:rsid w:val="00890A06"/>
    <w:rsid w:val="00890E38"/>
    <w:rsid w:val="00890FEC"/>
    <w:rsid w:val="00891301"/>
    <w:rsid w:val="00891B0D"/>
    <w:rsid w:val="008921F7"/>
    <w:rsid w:val="00892353"/>
    <w:rsid w:val="0089251D"/>
    <w:rsid w:val="008926F3"/>
    <w:rsid w:val="00892A7B"/>
    <w:rsid w:val="00892AA9"/>
    <w:rsid w:val="00892B9C"/>
    <w:rsid w:val="00892EC9"/>
    <w:rsid w:val="008934AD"/>
    <w:rsid w:val="008938A1"/>
    <w:rsid w:val="008938CD"/>
    <w:rsid w:val="00893C37"/>
    <w:rsid w:val="00893C7E"/>
    <w:rsid w:val="00893E92"/>
    <w:rsid w:val="008945EF"/>
    <w:rsid w:val="00894685"/>
    <w:rsid w:val="008946F1"/>
    <w:rsid w:val="00894ECE"/>
    <w:rsid w:val="00895071"/>
    <w:rsid w:val="00895094"/>
    <w:rsid w:val="0089540E"/>
    <w:rsid w:val="008957CD"/>
    <w:rsid w:val="0089587B"/>
    <w:rsid w:val="008959F2"/>
    <w:rsid w:val="00895B2F"/>
    <w:rsid w:val="008961F8"/>
    <w:rsid w:val="008963A4"/>
    <w:rsid w:val="008964B1"/>
    <w:rsid w:val="00896512"/>
    <w:rsid w:val="008969C4"/>
    <w:rsid w:val="00896AAF"/>
    <w:rsid w:val="00896BFE"/>
    <w:rsid w:val="00896E09"/>
    <w:rsid w:val="00896FCD"/>
    <w:rsid w:val="008977B6"/>
    <w:rsid w:val="00897840"/>
    <w:rsid w:val="00897846"/>
    <w:rsid w:val="00897EE4"/>
    <w:rsid w:val="008A057A"/>
    <w:rsid w:val="008A064D"/>
    <w:rsid w:val="008A0741"/>
    <w:rsid w:val="008A08AB"/>
    <w:rsid w:val="008A0ACF"/>
    <w:rsid w:val="008A0B33"/>
    <w:rsid w:val="008A0F9A"/>
    <w:rsid w:val="008A0FE9"/>
    <w:rsid w:val="008A1026"/>
    <w:rsid w:val="008A13D0"/>
    <w:rsid w:val="008A13EE"/>
    <w:rsid w:val="008A15C8"/>
    <w:rsid w:val="008A17C7"/>
    <w:rsid w:val="008A1818"/>
    <w:rsid w:val="008A1B3F"/>
    <w:rsid w:val="008A1B7C"/>
    <w:rsid w:val="008A2117"/>
    <w:rsid w:val="008A21EC"/>
    <w:rsid w:val="008A25AE"/>
    <w:rsid w:val="008A2620"/>
    <w:rsid w:val="008A2914"/>
    <w:rsid w:val="008A2A11"/>
    <w:rsid w:val="008A2EC8"/>
    <w:rsid w:val="008A3004"/>
    <w:rsid w:val="008A323A"/>
    <w:rsid w:val="008A32FA"/>
    <w:rsid w:val="008A3430"/>
    <w:rsid w:val="008A3896"/>
    <w:rsid w:val="008A3D97"/>
    <w:rsid w:val="008A3E5E"/>
    <w:rsid w:val="008A3FB8"/>
    <w:rsid w:val="008A4008"/>
    <w:rsid w:val="008A4057"/>
    <w:rsid w:val="008A4078"/>
    <w:rsid w:val="008A44DF"/>
    <w:rsid w:val="008A4595"/>
    <w:rsid w:val="008A4806"/>
    <w:rsid w:val="008A4905"/>
    <w:rsid w:val="008A4929"/>
    <w:rsid w:val="008A4A83"/>
    <w:rsid w:val="008A4AAC"/>
    <w:rsid w:val="008A4CC9"/>
    <w:rsid w:val="008A4EF1"/>
    <w:rsid w:val="008A509B"/>
    <w:rsid w:val="008A5177"/>
    <w:rsid w:val="008A54D6"/>
    <w:rsid w:val="008A556D"/>
    <w:rsid w:val="008A55A9"/>
    <w:rsid w:val="008A568D"/>
    <w:rsid w:val="008A5C37"/>
    <w:rsid w:val="008A5C77"/>
    <w:rsid w:val="008A5CDF"/>
    <w:rsid w:val="008A5D05"/>
    <w:rsid w:val="008A5D97"/>
    <w:rsid w:val="008A5DEC"/>
    <w:rsid w:val="008A6414"/>
    <w:rsid w:val="008A64FE"/>
    <w:rsid w:val="008A665A"/>
    <w:rsid w:val="008A6741"/>
    <w:rsid w:val="008A6844"/>
    <w:rsid w:val="008A68BC"/>
    <w:rsid w:val="008A6AAA"/>
    <w:rsid w:val="008A6B10"/>
    <w:rsid w:val="008A70AC"/>
    <w:rsid w:val="008A73CF"/>
    <w:rsid w:val="008A751F"/>
    <w:rsid w:val="008A76B3"/>
    <w:rsid w:val="008A779E"/>
    <w:rsid w:val="008A7E3B"/>
    <w:rsid w:val="008A7EE2"/>
    <w:rsid w:val="008A7F33"/>
    <w:rsid w:val="008A7F48"/>
    <w:rsid w:val="008B0303"/>
    <w:rsid w:val="008B0465"/>
    <w:rsid w:val="008B065F"/>
    <w:rsid w:val="008B08B1"/>
    <w:rsid w:val="008B0C33"/>
    <w:rsid w:val="008B0D50"/>
    <w:rsid w:val="008B0DD3"/>
    <w:rsid w:val="008B0E02"/>
    <w:rsid w:val="008B0EB9"/>
    <w:rsid w:val="008B0FA7"/>
    <w:rsid w:val="008B1011"/>
    <w:rsid w:val="008B1495"/>
    <w:rsid w:val="008B1A22"/>
    <w:rsid w:val="008B1A3D"/>
    <w:rsid w:val="008B1B71"/>
    <w:rsid w:val="008B1DF2"/>
    <w:rsid w:val="008B2082"/>
    <w:rsid w:val="008B2282"/>
    <w:rsid w:val="008B27B9"/>
    <w:rsid w:val="008B2991"/>
    <w:rsid w:val="008B2A90"/>
    <w:rsid w:val="008B2BA8"/>
    <w:rsid w:val="008B2FCC"/>
    <w:rsid w:val="008B305C"/>
    <w:rsid w:val="008B3185"/>
    <w:rsid w:val="008B33B7"/>
    <w:rsid w:val="008B3446"/>
    <w:rsid w:val="008B35D9"/>
    <w:rsid w:val="008B3996"/>
    <w:rsid w:val="008B3C08"/>
    <w:rsid w:val="008B3FC4"/>
    <w:rsid w:val="008B40F2"/>
    <w:rsid w:val="008B4873"/>
    <w:rsid w:val="008B4A9A"/>
    <w:rsid w:val="008B4C5F"/>
    <w:rsid w:val="008B4D45"/>
    <w:rsid w:val="008B4E14"/>
    <w:rsid w:val="008B4EAB"/>
    <w:rsid w:val="008B4EDB"/>
    <w:rsid w:val="008B4F4A"/>
    <w:rsid w:val="008B5204"/>
    <w:rsid w:val="008B5285"/>
    <w:rsid w:val="008B582C"/>
    <w:rsid w:val="008B5BA4"/>
    <w:rsid w:val="008B5CEA"/>
    <w:rsid w:val="008B600B"/>
    <w:rsid w:val="008B61FC"/>
    <w:rsid w:val="008B67CC"/>
    <w:rsid w:val="008B6BC7"/>
    <w:rsid w:val="008B6D64"/>
    <w:rsid w:val="008B7277"/>
    <w:rsid w:val="008B72EE"/>
    <w:rsid w:val="008B762A"/>
    <w:rsid w:val="008B776E"/>
    <w:rsid w:val="008B7803"/>
    <w:rsid w:val="008B78B9"/>
    <w:rsid w:val="008B7A1B"/>
    <w:rsid w:val="008B7A6E"/>
    <w:rsid w:val="008B7E08"/>
    <w:rsid w:val="008C001E"/>
    <w:rsid w:val="008C00A7"/>
    <w:rsid w:val="008C0273"/>
    <w:rsid w:val="008C02FA"/>
    <w:rsid w:val="008C03F0"/>
    <w:rsid w:val="008C0AF0"/>
    <w:rsid w:val="008C161B"/>
    <w:rsid w:val="008C1854"/>
    <w:rsid w:val="008C18E0"/>
    <w:rsid w:val="008C1ACF"/>
    <w:rsid w:val="008C1C2A"/>
    <w:rsid w:val="008C1CD3"/>
    <w:rsid w:val="008C2249"/>
    <w:rsid w:val="008C2676"/>
    <w:rsid w:val="008C2880"/>
    <w:rsid w:val="008C28A8"/>
    <w:rsid w:val="008C28BE"/>
    <w:rsid w:val="008C2993"/>
    <w:rsid w:val="008C2A29"/>
    <w:rsid w:val="008C2BD7"/>
    <w:rsid w:val="008C2CC6"/>
    <w:rsid w:val="008C2D41"/>
    <w:rsid w:val="008C2E92"/>
    <w:rsid w:val="008C2F2F"/>
    <w:rsid w:val="008C2F96"/>
    <w:rsid w:val="008C2FAE"/>
    <w:rsid w:val="008C3306"/>
    <w:rsid w:val="008C345C"/>
    <w:rsid w:val="008C389E"/>
    <w:rsid w:val="008C3BB7"/>
    <w:rsid w:val="008C3D69"/>
    <w:rsid w:val="008C3DA3"/>
    <w:rsid w:val="008C3EB1"/>
    <w:rsid w:val="008C3EC5"/>
    <w:rsid w:val="008C3F6B"/>
    <w:rsid w:val="008C45A7"/>
    <w:rsid w:val="008C4806"/>
    <w:rsid w:val="008C48B4"/>
    <w:rsid w:val="008C4A45"/>
    <w:rsid w:val="008C4C28"/>
    <w:rsid w:val="008C4DC3"/>
    <w:rsid w:val="008C5106"/>
    <w:rsid w:val="008C5184"/>
    <w:rsid w:val="008C5296"/>
    <w:rsid w:val="008C542E"/>
    <w:rsid w:val="008C5854"/>
    <w:rsid w:val="008C5B25"/>
    <w:rsid w:val="008C62C3"/>
    <w:rsid w:val="008C647A"/>
    <w:rsid w:val="008C64F6"/>
    <w:rsid w:val="008C665A"/>
    <w:rsid w:val="008C6785"/>
    <w:rsid w:val="008C67E8"/>
    <w:rsid w:val="008C69F5"/>
    <w:rsid w:val="008C6B7B"/>
    <w:rsid w:val="008C6CB2"/>
    <w:rsid w:val="008C6CFF"/>
    <w:rsid w:val="008C6D4A"/>
    <w:rsid w:val="008C703A"/>
    <w:rsid w:val="008C7111"/>
    <w:rsid w:val="008C7199"/>
    <w:rsid w:val="008C7208"/>
    <w:rsid w:val="008C7277"/>
    <w:rsid w:val="008C75A3"/>
    <w:rsid w:val="008C75F5"/>
    <w:rsid w:val="008C78A4"/>
    <w:rsid w:val="008C7A19"/>
    <w:rsid w:val="008C7A5E"/>
    <w:rsid w:val="008C7CDA"/>
    <w:rsid w:val="008D00C6"/>
    <w:rsid w:val="008D076D"/>
    <w:rsid w:val="008D082F"/>
    <w:rsid w:val="008D0873"/>
    <w:rsid w:val="008D08B9"/>
    <w:rsid w:val="008D0937"/>
    <w:rsid w:val="008D0EA0"/>
    <w:rsid w:val="008D1049"/>
    <w:rsid w:val="008D11EC"/>
    <w:rsid w:val="008D1371"/>
    <w:rsid w:val="008D156A"/>
    <w:rsid w:val="008D19E3"/>
    <w:rsid w:val="008D1A47"/>
    <w:rsid w:val="008D1C23"/>
    <w:rsid w:val="008D1E80"/>
    <w:rsid w:val="008D1F83"/>
    <w:rsid w:val="008D2709"/>
    <w:rsid w:val="008D279E"/>
    <w:rsid w:val="008D27B2"/>
    <w:rsid w:val="008D2C0B"/>
    <w:rsid w:val="008D2DEB"/>
    <w:rsid w:val="008D3193"/>
    <w:rsid w:val="008D31B6"/>
    <w:rsid w:val="008D3232"/>
    <w:rsid w:val="008D3268"/>
    <w:rsid w:val="008D3347"/>
    <w:rsid w:val="008D3A15"/>
    <w:rsid w:val="008D3A46"/>
    <w:rsid w:val="008D3BDC"/>
    <w:rsid w:val="008D3D98"/>
    <w:rsid w:val="008D3DAC"/>
    <w:rsid w:val="008D3F07"/>
    <w:rsid w:val="008D3FFD"/>
    <w:rsid w:val="008D4859"/>
    <w:rsid w:val="008D4863"/>
    <w:rsid w:val="008D49A1"/>
    <w:rsid w:val="008D4A63"/>
    <w:rsid w:val="008D4D2B"/>
    <w:rsid w:val="008D5203"/>
    <w:rsid w:val="008D59B2"/>
    <w:rsid w:val="008D5B46"/>
    <w:rsid w:val="008D5BC3"/>
    <w:rsid w:val="008D5C89"/>
    <w:rsid w:val="008D5FE4"/>
    <w:rsid w:val="008D6217"/>
    <w:rsid w:val="008D6236"/>
    <w:rsid w:val="008D62B9"/>
    <w:rsid w:val="008D64C7"/>
    <w:rsid w:val="008D68AD"/>
    <w:rsid w:val="008D6BB0"/>
    <w:rsid w:val="008D7188"/>
    <w:rsid w:val="008D75A2"/>
    <w:rsid w:val="008D75B3"/>
    <w:rsid w:val="008D7B28"/>
    <w:rsid w:val="008D7FEF"/>
    <w:rsid w:val="008E0375"/>
    <w:rsid w:val="008E03BE"/>
    <w:rsid w:val="008E0CAC"/>
    <w:rsid w:val="008E0CC1"/>
    <w:rsid w:val="008E0CC6"/>
    <w:rsid w:val="008E0F49"/>
    <w:rsid w:val="008E149E"/>
    <w:rsid w:val="008E1CB0"/>
    <w:rsid w:val="008E1DC7"/>
    <w:rsid w:val="008E1EA1"/>
    <w:rsid w:val="008E1FA7"/>
    <w:rsid w:val="008E1FB4"/>
    <w:rsid w:val="008E23E5"/>
    <w:rsid w:val="008E255E"/>
    <w:rsid w:val="008E26AA"/>
    <w:rsid w:val="008E2800"/>
    <w:rsid w:val="008E2E02"/>
    <w:rsid w:val="008E30BA"/>
    <w:rsid w:val="008E3245"/>
    <w:rsid w:val="008E3683"/>
    <w:rsid w:val="008E37A8"/>
    <w:rsid w:val="008E39DC"/>
    <w:rsid w:val="008E3A4B"/>
    <w:rsid w:val="008E3A5A"/>
    <w:rsid w:val="008E3D14"/>
    <w:rsid w:val="008E3D7C"/>
    <w:rsid w:val="008E3F0A"/>
    <w:rsid w:val="008E3FDC"/>
    <w:rsid w:val="008E4062"/>
    <w:rsid w:val="008E40EF"/>
    <w:rsid w:val="008E4632"/>
    <w:rsid w:val="008E4686"/>
    <w:rsid w:val="008E4770"/>
    <w:rsid w:val="008E4B3E"/>
    <w:rsid w:val="008E4C1E"/>
    <w:rsid w:val="008E4C3E"/>
    <w:rsid w:val="008E4D8E"/>
    <w:rsid w:val="008E51FF"/>
    <w:rsid w:val="008E5359"/>
    <w:rsid w:val="008E536B"/>
    <w:rsid w:val="008E5743"/>
    <w:rsid w:val="008E5B4F"/>
    <w:rsid w:val="008E5C2F"/>
    <w:rsid w:val="008E5CAB"/>
    <w:rsid w:val="008E5D5B"/>
    <w:rsid w:val="008E6059"/>
    <w:rsid w:val="008E613E"/>
    <w:rsid w:val="008E6185"/>
    <w:rsid w:val="008E64EF"/>
    <w:rsid w:val="008E65BC"/>
    <w:rsid w:val="008E6754"/>
    <w:rsid w:val="008E6CAF"/>
    <w:rsid w:val="008E7177"/>
    <w:rsid w:val="008E71A4"/>
    <w:rsid w:val="008E71BD"/>
    <w:rsid w:val="008E732B"/>
    <w:rsid w:val="008E7587"/>
    <w:rsid w:val="008E7804"/>
    <w:rsid w:val="008E78C8"/>
    <w:rsid w:val="008E7928"/>
    <w:rsid w:val="008E7C8E"/>
    <w:rsid w:val="008E7EAD"/>
    <w:rsid w:val="008E7FDD"/>
    <w:rsid w:val="008F0024"/>
    <w:rsid w:val="008F0461"/>
    <w:rsid w:val="008F04BC"/>
    <w:rsid w:val="008F082D"/>
    <w:rsid w:val="008F0BD2"/>
    <w:rsid w:val="008F1449"/>
    <w:rsid w:val="008F166E"/>
    <w:rsid w:val="008F1716"/>
    <w:rsid w:val="008F17DE"/>
    <w:rsid w:val="008F19C4"/>
    <w:rsid w:val="008F1B9D"/>
    <w:rsid w:val="008F22C5"/>
    <w:rsid w:val="008F26FF"/>
    <w:rsid w:val="008F2E1F"/>
    <w:rsid w:val="008F2FBE"/>
    <w:rsid w:val="008F3125"/>
    <w:rsid w:val="008F33E6"/>
    <w:rsid w:val="008F35EA"/>
    <w:rsid w:val="008F363F"/>
    <w:rsid w:val="008F37D0"/>
    <w:rsid w:val="008F3A04"/>
    <w:rsid w:val="008F3A40"/>
    <w:rsid w:val="008F3CBA"/>
    <w:rsid w:val="008F3E4E"/>
    <w:rsid w:val="008F46BA"/>
    <w:rsid w:val="008F4949"/>
    <w:rsid w:val="008F4DD6"/>
    <w:rsid w:val="008F4EC8"/>
    <w:rsid w:val="008F4F1A"/>
    <w:rsid w:val="008F5134"/>
    <w:rsid w:val="008F54A2"/>
    <w:rsid w:val="008F5502"/>
    <w:rsid w:val="008F572B"/>
    <w:rsid w:val="008F57B1"/>
    <w:rsid w:val="008F59EA"/>
    <w:rsid w:val="008F5CA9"/>
    <w:rsid w:val="008F5CDF"/>
    <w:rsid w:val="008F5DB3"/>
    <w:rsid w:val="008F6034"/>
    <w:rsid w:val="008F6280"/>
    <w:rsid w:val="008F62D2"/>
    <w:rsid w:val="008F667F"/>
    <w:rsid w:val="008F66E7"/>
    <w:rsid w:val="008F684D"/>
    <w:rsid w:val="008F6C1D"/>
    <w:rsid w:val="008F6C36"/>
    <w:rsid w:val="008F6CF0"/>
    <w:rsid w:val="008F720B"/>
    <w:rsid w:val="008F7247"/>
    <w:rsid w:val="008F73A0"/>
    <w:rsid w:val="008F73E2"/>
    <w:rsid w:val="008F7640"/>
    <w:rsid w:val="008F7725"/>
    <w:rsid w:val="008F7ABE"/>
    <w:rsid w:val="008F7B85"/>
    <w:rsid w:val="008F7CA1"/>
    <w:rsid w:val="008F7CDB"/>
    <w:rsid w:val="008F7CF4"/>
    <w:rsid w:val="008F7D60"/>
    <w:rsid w:val="008F7F7B"/>
    <w:rsid w:val="008F7FC3"/>
    <w:rsid w:val="00900266"/>
    <w:rsid w:val="00900512"/>
    <w:rsid w:val="00900560"/>
    <w:rsid w:val="0090056C"/>
    <w:rsid w:val="00900704"/>
    <w:rsid w:val="00900F93"/>
    <w:rsid w:val="009012D7"/>
    <w:rsid w:val="0090168B"/>
    <w:rsid w:val="00901873"/>
    <w:rsid w:val="00902018"/>
    <w:rsid w:val="009021B1"/>
    <w:rsid w:val="00902262"/>
    <w:rsid w:val="009022C4"/>
    <w:rsid w:val="009023AD"/>
    <w:rsid w:val="00902459"/>
    <w:rsid w:val="00902941"/>
    <w:rsid w:val="00902A8C"/>
    <w:rsid w:val="00902BB9"/>
    <w:rsid w:val="00902DEA"/>
    <w:rsid w:val="00902F29"/>
    <w:rsid w:val="0090305E"/>
    <w:rsid w:val="009034C9"/>
    <w:rsid w:val="009034FC"/>
    <w:rsid w:val="0090352B"/>
    <w:rsid w:val="00903762"/>
    <w:rsid w:val="00903E55"/>
    <w:rsid w:val="00903FBC"/>
    <w:rsid w:val="00904047"/>
    <w:rsid w:val="0090466D"/>
    <w:rsid w:val="00904B59"/>
    <w:rsid w:val="00904ED9"/>
    <w:rsid w:val="00904F03"/>
    <w:rsid w:val="009053BC"/>
    <w:rsid w:val="0090549E"/>
    <w:rsid w:val="00905551"/>
    <w:rsid w:val="009055E4"/>
    <w:rsid w:val="00905779"/>
    <w:rsid w:val="00905784"/>
    <w:rsid w:val="0090590B"/>
    <w:rsid w:val="00905BB9"/>
    <w:rsid w:val="00905D1E"/>
    <w:rsid w:val="00905D41"/>
    <w:rsid w:val="00906045"/>
    <w:rsid w:val="00906046"/>
    <w:rsid w:val="0090606F"/>
    <w:rsid w:val="00906199"/>
    <w:rsid w:val="00906241"/>
    <w:rsid w:val="009068ED"/>
    <w:rsid w:val="009069E4"/>
    <w:rsid w:val="00906C23"/>
    <w:rsid w:val="00906D5F"/>
    <w:rsid w:val="00906E8C"/>
    <w:rsid w:val="00907044"/>
    <w:rsid w:val="009071DD"/>
    <w:rsid w:val="0090743B"/>
    <w:rsid w:val="00907705"/>
    <w:rsid w:val="009079F5"/>
    <w:rsid w:val="00907C6C"/>
    <w:rsid w:val="009102FA"/>
    <w:rsid w:val="009106C7"/>
    <w:rsid w:val="00910921"/>
    <w:rsid w:val="00910959"/>
    <w:rsid w:val="00910A96"/>
    <w:rsid w:val="009114D8"/>
    <w:rsid w:val="00911953"/>
    <w:rsid w:val="00911B72"/>
    <w:rsid w:val="009120AA"/>
    <w:rsid w:val="0091225C"/>
    <w:rsid w:val="00912753"/>
    <w:rsid w:val="00912BA2"/>
    <w:rsid w:val="00912E91"/>
    <w:rsid w:val="0091300E"/>
    <w:rsid w:val="0091300F"/>
    <w:rsid w:val="009131DA"/>
    <w:rsid w:val="009131E3"/>
    <w:rsid w:val="009133D1"/>
    <w:rsid w:val="0091345F"/>
    <w:rsid w:val="00913938"/>
    <w:rsid w:val="00913B47"/>
    <w:rsid w:val="00913BA6"/>
    <w:rsid w:val="00913CC1"/>
    <w:rsid w:val="00913D8A"/>
    <w:rsid w:val="009140E7"/>
    <w:rsid w:val="00914193"/>
    <w:rsid w:val="009144D3"/>
    <w:rsid w:val="009144F2"/>
    <w:rsid w:val="00914635"/>
    <w:rsid w:val="00914A13"/>
    <w:rsid w:val="00914D3B"/>
    <w:rsid w:val="00914D43"/>
    <w:rsid w:val="00914DEA"/>
    <w:rsid w:val="00915430"/>
    <w:rsid w:val="00915484"/>
    <w:rsid w:val="009155BC"/>
    <w:rsid w:val="00915B31"/>
    <w:rsid w:val="00915E47"/>
    <w:rsid w:val="00915E67"/>
    <w:rsid w:val="00915F9A"/>
    <w:rsid w:val="0091617F"/>
    <w:rsid w:val="009161EA"/>
    <w:rsid w:val="0091637F"/>
    <w:rsid w:val="009163A9"/>
    <w:rsid w:val="00916414"/>
    <w:rsid w:val="0091655B"/>
    <w:rsid w:val="0091661B"/>
    <w:rsid w:val="00916668"/>
    <w:rsid w:val="00916D14"/>
    <w:rsid w:val="00916ECF"/>
    <w:rsid w:val="00916FC8"/>
    <w:rsid w:val="00917332"/>
    <w:rsid w:val="009174DB"/>
    <w:rsid w:val="009175BE"/>
    <w:rsid w:val="00917663"/>
    <w:rsid w:val="009177CC"/>
    <w:rsid w:val="0091783D"/>
    <w:rsid w:val="0091790C"/>
    <w:rsid w:val="00917976"/>
    <w:rsid w:val="009179BC"/>
    <w:rsid w:val="009179C9"/>
    <w:rsid w:val="00917BB5"/>
    <w:rsid w:val="00917D4D"/>
    <w:rsid w:val="00917F03"/>
    <w:rsid w:val="00917F62"/>
    <w:rsid w:val="009200F7"/>
    <w:rsid w:val="009203E3"/>
    <w:rsid w:val="0092044E"/>
    <w:rsid w:val="00920713"/>
    <w:rsid w:val="009207E8"/>
    <w:rsid w:val="00920894"/>
    <w:rsid w:val="00920B7B"/>
    <w:rsid w:val="00920BC6"/>
    <w:rsid w:val="00920C13"/>
    <w:rsid w:val="0092103F"/>
    <w:rsid w:val="0092110C"/>
    <w:rsid w:val="009215C5"/>
    <w:rsid w:val="00921633"/>
    <w:rsid w:val="00921832"/>
    <w:rsid w:val="00921844"/>
    <w:rsid w:val="00921AAA"/>
    <w:rsid w:val="00921AEE"/>
    <w:rsid w:val="00921B24"/>
    <w:rsid w:val="00921CBE"/>
    <w:rsid w:val="009222BB"/>
    <w:rsid w:val="00922491"/>
    <w:rsid w:val="009226CB"/>
    <w:rsid w:val="009227A0"/>
    <w:rsid w:val="0092289B"/>
    <w:rsid w:val="009229AF"/>
    <w:rsid w:val="00922A9F"/>
    <w:rsid w:val="00922ABC"/>
    <w:rsid w:val="00922B46"/>
    <w:rsid w:val="00922B5B"/>
    <w:rsid w:val="00922B60"/>
    <w:rsid w:val="00922C3F"/>
    <w:rsid w:val="009230AE"/>
    <w:rsid w:val="009233D1"/>
    <w:rsid w:val="00923824"/>
    <w:rsid w:val="009239CD"/>
    <w:rsid w:val="009239E7"/>
    <w:rsid w:val="00923CB2"/>
    <w:rsid w:val="00923E8D"/>
    <w:rsid w:val="0092405F"/>
    <w:rsid w:val="00924370"/>
    <w:rsid w:val="00924682"/>
    <w:rsid w:val="00924764"/>
    <w:rsid w:val="00924784"/>
    <w:rsid w:val="009247A0"/>
    <w:rsid w:val="00924E1A"/>
    <w:rsid w:val="009250C7"/>
    <w:rsid w:val="00925467"/>
    <w:rsid w:val="00925735"/>
    <w:rsid w:val="00925914"/>
    <w:rsid w:val="009259FD"/>
    <w:rsid w:val="00925A16"/>
    <w:rsid w:val="00925A40"/>
    <w:rsid w:val="00925A82"/>
    <w:rsid w:val="00925B51"/>
    <w:rsid w:val="00925DE8"/>
    <w:rsid w:val="00925F30"/>
    <w:rsid w:val="0092607F"/>
    <w:rsid w:val="00926592"/>
    <w:rsid w:val="00926684"/>
    <w:rsid w:val="009266F6"/>
    <w:rsid w:val="00926727"/>
    <w:rsid w:val="00926743"/>
    <w:rsid w:val="00926770"/>
    <w:rsid w:val="009269D1"/>
    <w:rsid w:val="00926D0D"/>
    <w:rsid w:val="00926F21"/>
    <w:rsid w:val="009270A2"/>
    <w:rsid w:val="00927179"/>
    <w:rsid w:val="009273B7"/>
    <w:rsid w:val="0092743F"/>
    <w:rsid w:val="00927619"/>
    <w:rsid w:val="00927664"/>
    <w:rsid w:val="00927A88"/>
    <w:rsid w:val="00927B2F"/>
    <w:rsid w:val="00927CA2"/>
    <w:rsid w:val="00927DBD"/>
    <w:rsid w:val="00927E0B"/>
    <w:rsid w:val="0093003E"/>
    <w:rsid w:val="009300BB"/>
    <w:rsid w:val="009303A6"/>
    <w:rsid w:val="00930578"/>
    <w:rsid w:val="0093075F"/>
    <w:rsid w:val="0093081C"/>
    <w:rsid w:val="00930B96"/>
    <w:rsid w:val="00930BCD"/>
    <w:rsid w:val="00930C4A"/>
    <w:rsid w:val="00930CC8"/>
    <w:rsid w:val="00930D9A"/>
    <w:rsid w:val="00930DFE"/>
    <w:rsid w:val="00931086"/>
    <w:rsid w:val="0093120E"/>
    <w:rsid w:val="00931282"/>
    <w:rsid w:val="009314B3"/>
    <w:rsid w:val="00931AC6"/>
    <w:rsid w:val="00931E85"/>
    <w:rsid w:val="00931F20"/>
    <w:rsid w:val="0093201E"/>
    <w:rsid w:val="00932342"/>
    <w:rsid w:val="00932489"/>
    <w:rsid w:val="0093296F"/>
    <w:rsid w:val="009329CB"/>
    <w:rsid w:val="00932AF6"/>
    <w:rsid w:val="00932E04"/>
    <w:rsid w:val="00932F80"/>
    <w:rsid w:val="00933267"/>
    <w:rsid w:val="00933285"/>
    <w:rsid w:val="009336CC"/>
    <w:rsid w:val="009337DC"/>
    <w:rsid w:val="0093396D"/>
    <w:rsid w:val="00933A13"/>
    <w:rsid w:val="00933C09"/>
    <w:rsid w:val="00933E9A"/>
    <w:rsid w:val="00933FA1"/>
    <w:rsid w:val="00934238"/>
    <w:rsid w:val="009342F8"/>
    <w:rsid w:val="00934372"/>
    <w:rsid w:val="0093472D"/>
    <w:rsid w:val="0093478F"/>
    <w:rsid w:val="009348AE"/>
    <w:rsid w:val="009348E7"/>
    <w:rsid w:val="00934B62"/>
    <w:rsid w:val="00934B76"/>
    <w:rsid w:val="00934C10"/>
    <w:rsid w:val="00934D22"/>
    <w:rsid w:val="00934E77"/>
    <w:rsid w:val="009356FF"/>
    <w:rsid w:val="00935745"/>
    <w:rsid w:val="00936065"/>
    <w:rsid w:val="00936327"/>
    <w:rsid w:val="00936359"/>
    <w:rsid w:val="00936464"/>
    <w:rsid w:val="0093663A"/>
    <w:rsid w:val="009367BD"/>
    <w:rsid w:val="009367D7"/>
    <w:rsid w:val="00936A41"/>
    <w:rsid w:val="00936B8D"/>
    <w:rsid w:val="00936BA7"/>
    <w:rsid w:val="00936C7E"/>
    <w:rsid w:val="00936D8D"/>
    <w:rsid w:val="00937430"/>
    <w:rsid w:val="009374CE"/>
    <w:rsid w:val="00937B0A"/>
    <w:rsid w:val="00937FF6"/>
    <w:rsid w:val="0094001D"/>
    <w:rsid w:val="009400C1"/>
    <w:rsid w:val="00940140"/>
    <w:rsid w:val="00940243"/>
    <w:rsid w:val="009407C3"/>
    <w:rsid w:val="009407FF"/>
    <w:rsid w:val="009408D1"/>
    <w:rsid w:val="00940C1C"/>
    <w:rsid w:val="00940E48"/>
    <w:rsid w:val="00940F3F"/>
    <w:rsid w:val="009411D5"/>
    <w:rsid w:val="00941212"/>
    <w:rsid w:val="00941568"/>
    <w:rsid w:val="009419F2"/>
    <w:rsid w:val="00941E6D"/>
    <w:rsid w:val="00941FFD"/>
    <w:rsid w:val="00942093"/>
    <w:rsid w:val="009423F8"/>
    <w:rsid w:val="00942575"/>
    <w:rsid w:val="0094264B"/>
    <w:rsid w:val="00942965"/>
    <w:rsid w:val="009429EF"/>
    <w:rsid w:val="00942B71"/>
    <w:rsid w:val="00942C02"/>
    <w:rsid w:val="00942C48"/>
    <w:rsid w:val="00942CE9"/>
    <w:rsid w:val="00942DDC"/>
    <w:rsid w:val="0094300F"/>
    <w:rsid w:val="00943011"/>
    <w:rsid w:val="0094310A"/>
    <w:rsid w:val="0094346C"/>
    <w:rsid w:val="00943992"/>
    <w:rsid w:val="00943A93"/>
    <w:rsid w:val="00943BCD"/>
    <w:rsid w:val="00943E2F"/>
    <w:rsid w:val="00943EC2"/>
    <w:rsid w:val="0094409E"/>
    <w:rsid w:val="009443D3"/>
    <w:rsid w:val="00944551"/>
    <w:rsid w:val="0094455A"/>
    <w:rsid w:val="0094456C"/>
    <w:rsid w:val="0094464B"/>
    <w:rsid w:val="009447E8"/>
    <w:rsid w:val="00944C35"/>
    <w:rsid w:val="00944C85"/>
    <w:rsid w:val="00944D3C"/>
    <w:rsid w:val="00944D7D"/>
    <w:rsid w:val="009451A8"/>
    <w:rsid w:val="009451B2"/>
    <w:rsid w:val="0094529F"/>
    <w:rsid w:val="00945574"/>
    <w:rsid w:val="00945727"/>
    <w:rsid w:val="00945A8A"/>
    <w:rsid w:val="00945C72"/>
    <w:rsid w:val="00945DB5"/>
    <w:rsid w:val="009463B2"/>
    <w:rsid w:val="00946554"/>
    <w:rsid w:val="009466A2"/>
    <w:rsid w:val="009466B6"/>
    <w:rsid w:val="00946724"/>
    <w:rsid w:val="00946746"/>
    <w:rsid w:val="0094677D"/>
    <w:rsid w:val="0094678C"/>
    <w:rsid w:val="009467F1"/>
    <w:rsid w:val="0094693D"/>
    <w:rsid w:val="00947303"/>
    <w:rsid w:val="00947494"/>
    <w:rsid w:val="00947846"/>
    <w:rsid w:val="0094797F"/>
    <w:rsid w:val="00947A49"/>
    <w:rsid w:val="00947BDA"/>
    <w:rsid w:val="009502B2"/>
    <w:rsid w:val="009502E7"/>
    <w:rsid w:val="0095056C"/>
    <w:rsid w:val="009506C1"/>
    <w:rsid w:val="009506CB"/>
    <w:rsid w:val="00950712"/>
    <w:rsid w:val="00950C59"/>
    <w:rsid w:val="00951129"/>
    <w:rsid w:val="0095142C"/>
    <w:rsid w:val="009515E6"/>
    <w:rsid w:val="0095185E"/>
    <w:rsid w:val="009519FD"/>
    <w:rsid w:val="00951ADF"/>
    <w:rsid w:val="00951B6C"/>
    <w:rsid w:val="00951BD0"/>
    <w:rsid w:val="00951C56"/>
    <w:rsid w:val="00951DF6"/>
    <w:rsid w:val="00951E09"/>
    <w:rsid w:val="00951EE0"/>
    <w:rsid w:val="00951F91"/>
    <w:rsid w:val="009524D3"/>
    <w:rsid w:val="009525A8"/>
    <w:rsid w:val="00952998"/>
    <w:rsid w:val="00952C07"/>
    <w:rsid w:val="00952DFE"/>
    <w:rsid w:val="00953026"/>
    <w:rsid w:val="00953051"/>
    <w:rsid w:val="00953707"/>
    <w:rsid w:val="00953921"/>
    <w:rsid w:val="00953BC1"/>
    <w:rsid w:val="00953D16"/>
    <w:rsid w:val="00953DAB"/>
    <w:rsid w:val="00953EB7"/>
    <w:rsid w:val="00953FF0"/>
    <w:rsid w:val="009540F0"/>
    <w:rsid w:val="0095460B"/>
    <w:rsid w:val="009546F3"/>
    <w:rsid w:val="009547F9"/>
    <w:rsid w:val="00954899"/>
    <w:rsid w:val="00954957"/>
    <w:rsid w:val="00954EEF"/>
    <w:rsid w:val="00954FEF"/>
    <w:rsid w:val="00955452"/>
    <w:rsid w:val="00955551"/>
    <w:rsid w:val="009557C0"/>
    <w:rsid w:val="00955AD1"/>
    <w:rsid w:val="009561E7"/>
    <w:rsid w:val="00956203"/>
    <w:rsid w:val="00956313"/>
    <w:rsid w:val="00956541"/>
    <w:rsid w:val="00956598"/>
    <w:rsid w:val="009566FE"/>
    <w:rsid w:val="00956754"/>
    <w:rsid w:val="0095685C"/>
    <w:rsid w:val="00956A30"/>
    <w:rsid w:val="00956A83"/>
    <w:rsid w:val="00956B57"/>
    <w:rsid w:val="00956BF2"/>
    <w:rsid w:val="00956C99"/>
    <w:rsid w:val="00956D09"/>
    <w:rsid w:val="00956DC9"/>
    <w:rsid w:val="009573D3"/>
    <w:rsid w:val="00957713"/>
    <w:rsid w:val="0095785B"/>
    <w:rsid w:val="00957867"/>
    <w:rsid w:val="009579B4"/>
    <w:rsid w:val="00957A50"/>
    <w:rsid w:val="00957CF4"/>
    <w:rsid w:val="00957F18"/>
    <w:rsid w:val="00957FC1"/>
    <w:rsid w:val="00960966"/>
    <w:rsid w:val="00961038"/>
    <w:rsid w:val="0096116C"/>
    <w:rsid w:val="00961302"/>
    <w:rsid w:val="00961311"/>
    <w:rsid w:val="00961B46"/>
    <w:rsid w:val="00961B7B"/>
    <w:rsid w:val="00961F7F"/>
    <w:rsid w:val="00961FB6"/>
    <w:rsid w:val="00962113"/>
    <w:rsid w:val="00962263"/>
    <w:rsid w:val="009622CC"/>
    <w:rsid w:val="00962805"/>
    <w:rsid w:val="009628F0"/>
    <w:rsid w:val="00962992"/>
    <w:rsid w:val="00962F50"/>
    <w:rsid w:val="009631E8"/>
    <w:rsid w:val="00963656"/>
    <w:rsid w:val="009636D6"/>
    <w:rsid w:val="0096372F"/>
    <w:rsid w:val="00963A94"/>
    <w:rsid w:val="00963DBF"/>
    <w:rsid w:val="00963F7D"/>
    <w:rsid w:val="0096426E"/>
    <w:rsid w:val="009647FE"/>
    <w:rsid w:val="00964DC7"/>
    <w:rsid w:val="00964DF3"/>
    <w:rsid w:val="00965068"/>
    <w:rsid w:val="009650EF"/>
    <w:rsid w:val="0096515D"/>
    <w:rsid w:val="0096516A"/>
    <w:rsid w:val="009652C5"/>
    <w:rsid w:val="0096531D"/>
    <w:rsid w:val="00965352"/>
    <w:rsid w:val="00965EB1"/>
    <w:rsid w:val="0096606C"/>
    <w:rsid w:val="0096623B"/>
    <w:rsid w:val="00966308"/>
    <w:rsid w:val="009666FD"/>
    <w:rsid w:val="009667A1"/>
    <w:rsid w:val="009667A9"/>
    <w:rsid w:val="00966A82"/>
    <w:rsid w:val="00967356"/>
    <w:rsid w:val="009673CB"/>
    <w:rsid w:val="00967458"/>
    <w:rsid w:val="0096752E"/>
    <w:rsid w:val="0096799D"/>
    <w:rsid w:val="009679F5"/>
    <w:rsid w:val="00967A75"/>
    <w:rsid w:val="00967F03"/>
    <w:rsid w:val="00967FA4"/>
    <w:rsid w:val="0097016B"/>
    <w:rsid w:val="00970381"/>
    <w:rsid w:val="0097042B"/>
    <w:rsid w:val="009705DC"/>
    <w:rsid w:val="00970743"/>
    <w:rsid w:val="00970C0F"/>
    <w:rsid w:val="00970F78"/>
    <w:rsid w:val="009711F8"/>
    <w:rsid w:val="0097129B"/>
    <w:rsid w:val="009716DF"/>
    <w:rsid w:val="00971AC4"/>
    <w:rsid w:val="00971B94"/>
    <w:rsid w:val="00971FC0"/>
    <w:rsid w:val="00971FD6"/>
    <w:rsid w:val="009722B5"/>
    <w:rsid w:val="009723FB"/>
    <w:rsid w:val="00972480"/>
    <w:rsid w:val="0097260F"/>
    <w:rsid w:val="00972896"/>
    <w:rsid w:val="00972AA5"/>
    <w:rsid w:val="00973078"/>
    <w:rsid w:val="009735DB"/>
    <w:rsid w:val="0097364D"/>
    <w:rsid w:val="0097364F"/>
    <w:rsid w:val="00973A81"/>
    <w:rsid w:val="00973BCB"/>
    <w:rsid w:val="00973CE9"/>
    <w:rsid w:val="00973F8B"/>
    <w:rsid w:val="00974230"/>
    <w:rsid w:val="0097431F"/>
    <w:rsid w:val="009746A2"/>
    <w:rsid w:val="00974A20"/>
    <w:rsid w:val="00974B2D"/>
    <w:rsid w:val="00974F6A"/>
    <w:rsid w:val="0097509E"/>
    <w:rsid w:val="0097524C"/>
    <w:rsid w:val="0097525C"/>
    <w:rsid w:val="00975331"/>
    <w:rsid w:val="0097535B"/>
    <w:rsid w:val="009755F1"/>
    <w:rsid w:val="00975865"/>
    <w:rsid w:val="00975C8C"/>
    <w:rsid w:val="00975E66"/>
    <w:rsid w:val="00975F89"/>
    <w:rsid w:val="0097611A"/>
    <w:rsid w:val="00976133"/>
    <w:rsid w:val="009765DC"/>
    <w:rsid w:val="009765EE"/>
    <w:rsid w:val="00976717"/>
    <w:rsid w:val="009768A1"/>
    <w:rsid w:val="0097696C"/>
    <w:rsid w:val="00976A3F"/>
    <w:rsid w:val="009770C2"/>
    <w:rsid w:val="009771CB"/>
    <w:rsid w:val="0097738F"/>
    <w:rsid w:val="009773E8"/>
    <w:rsid w:val="009773F0"/>
    <w:rsid w:val="009774EE"/>
    <w:rsid w:val="00977502"/>
    <w:rsid w:val="0097753C"/>
    <w:rsid w:val="0097760C"/>
    <w:rsid w:val="00977634"/>
    <w:rsid w:val="009776EA"/>
    <w:rsid w:val="00977767"/>
    <w:rsid w:val="0097786B"/>
    <w:rsid w:val="00977990"/>
    <w:rsid w:val="00977B27"/>
    <w:rsid w:val="00977CF9"/>
    <w:rsid w:val="00977EFE"/>
    <w:rsid w:val="00977FF9"/>
    <w:rsid w:val="009808C1"/>
    <w:rsid w:val="009809AB"/>
    <w:rsid w:val="00980E04"/>
    <w:rsid w:val="00980FBB"/>
    <w:rsid w:val="009810B8"/>
    <w:rsid w:val="009812EF"/>
    <w:rsid w:val="00981591"/>
    <w:rsid w:val="00981674"/>
    <w:rsid w:val="00981902"/>
    <w:rsid w:val="00981B76"/>
    <w:rsid w:val="00981CBF"/>
    <w:rsid w:val="0098238B"/>
    <w:rsid w:val="00982D68"/>
    <w:rsid w:val="00982F96"/>
    <w:rsid w:val="00982FE6"/>
    <w:rsid w:val="009831D3"/>
    <w:rsid w:val="009833E8"/>
    <w:rsid w:val="009834AA"/>
    <w:rsid w:val="009836A8"/>
    <w:rsid w:val="009836BE"/>
    <w:rsid w:val="009836C5"/>
    <w:rsid w:val="009836E0"/>
    <w:rsid w:val="009837B7"/>
    <w:rsid w:val="009838FD"/>
    <w:rsid w:val="00983F94"/>
    <w:rsid w:val="009841B0"/>
    <w:rsid w:val="00984467"/>
    <w:rsid w:val="00984640"/>
    <w:rsid w:val="0098474D"/>
    <w:rsid w:val="009849A8"/>
    <w:rsid w:val="00984CC0"/>
    <w:rsid w:val="00984D09"/>
    <w:rsid w:val="00984D3D"/>
    <w:rsid w:val="00984E67"/>
    <w:rsid w:val="00985013"/>
    <w:rsid w:val="00985042"/>
    <w:rsid w:val="009857D5"/>
    <w:rsid w:val="009857DC"/>
    <w:rsid w:val="0098590E"/>
    <w:rsid w:val="00985A4E"/>
    <w:rsid w:val="00985AFB"/>
    <w:rsid w:val="00985B6E"/>
    <w:rsid w:val="00985D91"/>
    <w:rsid w:val="00985DFC"/>
    <w:rsid w:val="009864E6"/>
    <w:rsid w:val="00986892"/>
    <w:rsid w:val="009868CC"/>
    <w:rsid w:val="0098693B"/>
    <w:rsid w:val="00986988"/>
    <w:rsid w:val="009869B2"/>
    <w:rsid w:val="00986E0C"/>
    <w:rsid w:val="00986F1D"/>
    <w:rsid w:val="00987069"/>
    <w:rsid w:val="0098769A"/>
    <w:rsid w:val="009877DA"/>
    <w:rsid w:val="00987950"/>
    <w:rsid w:val="00987C92"/>
    <w:rsid w:val="00987D10"/>
    <w:rsid w:val="00987DBE"/>
    <w:rsid w:val="00987EAA"/>
    <w:rsid w:val="0098C8CC"/>
    <w:rsid w:val="00990048"/>
    <w:rsid w:val="00990679"/>
    <w:rsid w:val="00990A7A"/>
    <w:rsid w:val="00990AD3"/>
    <w:rsid w:val="00990B32"/>
    <w:rsid w:val="00990BE3"/>
    <w:rsid w:val="00990E0C"/>
    <w:rsid w:val="00990F6B"/>
    <w:rsid w:val="00991078"/>
    <w:rsid w:val="00991274"/>
    <w:rsid w:val="0099165D"/>
    <w:rsid w:val="00991A3C"/>
    <w:rsid w:val="00991E6D"/>
    <w:rsid w:val="00991E89"/>
    <w:rsid w:val="00992030"/>
    <w:rsid w:val="009920FD"/>
    <w:rsid w:val="00992387"/>
    <w:rsid w:val="00992558"/>
    <w:rsid w:val="0099284F"/>
    <w:rsid w:val="0099293C"/>
    <w:rsid w:val="00992E1B"/>
    <w:rsid w:val="009930AF"/>
    <w:rsid w:val="00993401"/>
    <w:rsid w:val="0099346C"/>
    <w:rsid w:val="009934CA"/>
    <w:rsid w:val="00993AB7"/>
    <w:rsid w:val="00993CB6"/>
    <w:rsid w:val="00993E81"/>
    <w:rsid w:val="00994189"/>
    <w:rsid w:val="009942C1"/>
    <w:rsid w:val="009942CF"/>
    <w:rsid w:val="0099430C"/>
    <w:rsid w:val="009946AF"/>
    <w:rsid w:val="00994747"/>
    <w:rsid w:val="00994984"/>
    <w:rsid w:val="009952F1"/>
    <w:rsid w:val="009953BF"/>
    <w:rsid w:val="0099554D"/>
    <w:rsid w:val="00995768"/>
    <w:rsid w:val="0099587F"/>
    <w:rsid w:val="00995B32"/>
    <w:rsid w:val="00995E45"/>
    <w:rsid w:val="00995E80"/>
    <w:rsid w:val="00995F6D"/>
    <w:rsid w:val="00995FF3"/>
    <w:rsid w:val="009960B6"/>
    <w:rsid w:val="0099647B"/>
    <w:rsid w:val="00996576"/>
    <w:rsid w:val="009965FD"/>
    <w:rsid w:val="0099666C"/>
    <w:rsid w:val="009967D5"/>
    <w:rsid w:val="00996943"/>
    <w:rsid w:val="00996A38"/>
    <w:rsid w:val="00996C38"/>
    <w:rsid w:val="00996DBC"/>
    <w:rsid w:val="00996EED"/>
    <w:rsid w:val="0099748F"/>
    <w:rsid w:val="00997557"/>
    <w:rsid w:val="00997565"/>
    <w:rsid w:val="00997812"/>
    <w:rsid w:val="00997C8F"/>
    <w:rsid w:val="00997CCB"/>
    <w:rsid w:val="00997F3B"/>
    <w:rsid w:val="009A002F"/>
    <w:rsid w:val="009A0112"/>
    <w:rsid w:val="009A04D2"/>
    <w:rsid w:val="009A064F"/>
    <w:rsid w:val="009A06AF"/>
    <w:rsid w:val="009A0A00"/>
    <w:rsid w:val="009A0A83"/>
    <w:rsid w:val="009A0DF2"/>
    <w:rsid w:val="009A0EA9"/>
    <w:rsid w:val="009A0F92"/>
    <w:rsid w:val="009A1007"/>
    <w:rsid w:val="009A14BC"/>
    <w:rsid w:val="009A1861"/>
    <w:rsid w:val="009A23D6"/>
    <w:rsid w:val="009A24E3"/>
    <w:rsid w:val="009A2A43"/>
    <w:rsid w:val="009A2A67"/>
    <w:rsid w:val="009A2D5E"/>
    <w:rsid w:val="009A2D80"/>
    <w:rsid w:val="009A304A"/>
    <w:rsid w:val="009A3067"/>
    <w:rsid w:val="009A312D"/>
    <w:rsid w:val="009A3141"/>
    <w:rsid w:val="009A31E6"/>
    <w:rsid w:val="009A326B"/>
    <w:rsid w:val="009A3270"/>
    <w:rsid w:val="009A34F3"/>
    <w:rsid w:val="009A3556"/>
    <w:rsid w:val="009A3584"/>
    <w:rsid w:val="009A3AAF"/>
    <w:rsid w:val="009A3C2F"/>
    <w:rsid w:val="009A3EC0"/>
    <w:rsid w:val="009A434D"/>
    <w:rsid w:val="009A4605"/>
    <w:rsid w:val="009A4986"/>
    <w:rsid w:val="009A4AE1"/>
    <w:rsid w:val="009A5025"/>
    <w:rsid w:val="009A542A"/>
    <w:rsid w:val="009A54C6"/>
    <w:rsid w:val="009A5918"/>
    <w:rsid w:val="009A5949"/>
    <w:rsid w:val="009A5CB0"/>
    <w:rsid w:val="009A5E7F"/>
    <w:rsid w:val="009A5EE8"/>
    <w:rsid w:val="009A63B4"/>
    <w:rsid w:val="009A67A4"/>
    <w:rsid w:val="009A6C13"/>
    <w:rsid w:val="009A7073"/>
    <w:rsid w:val="009A70B6"/>
    <w:rsid w:val="009A729F"/>
    <w:rsid w:val="009A750F"/>
    <w:rsid w:val="009A769A"/>
    <w:rsid w:val="009A78C9"/>
    <w:rsid w:val="009A79E4"/>
    <w:rsid w:val="009A7BDD"/>
    <w:rsid w:val="009A7DF0"/>
    <w:rsid w:val="009A7FDA"/>
    <w:rsid w:val="009B0057"/>
    <w:rsid w:val="009B00F0"/>
    <w:rsid w:val="009B01E9"/>
    <w:rsid w:val="009B0441"/>
    <w:rsid w:val="009B0771"/>
    <w:rsid w:val="009B07EE"/>
    <w:rsid w:val="009B082E"/>
    <w:rsid w:val="009B0B4D"/>
    <w:rsid w:val="009B0F9B"/>
    <w:rsid w:val="009B19BD"/>
    <w:rsid w:val="009B1F14"/>
    <w:rsid w:val="009B1F32"/>
    <w:rsid w:val="009B2077"/>
    <w:rsid w:val="009B2125"/>
    <w:rsid w:val="009B253E"/>
    <w:rsid w:val="009B25EE"/>
    <w:rsid w:val="009B28BD"/>
    <w:rsid w:val="009B29D2"/>
    <w:rsid w:val="009B2B81"/>
    <w:rsid w:val="009B2E3D"/>
    <w:rsid w:val="009B2E54"/>
    <w:rsid w:val="009B312C"/>
    <w:rsid w:val="009B328D"/>
    <w:rsid w:val="009B3634"/>
    <w:rsid w:val="009B37A4"/>
    <w:rsid w:val="009B3925"/>
    <w:rsid w:val="009B3B87"/>
    <w:rsid w:val="009B4395"/>
    <w:rsid w:val="009B449B"/>
    <w:rsid w:val="009B44F9"/>
    <w:rsid w:val="009B4741"/>
    <w:rsid w:val="009B484C"/>
    <w:rsid w:val="009B4A4A"/>
    <w:rsid w:val="009B4A4D"/>
    <w:rsid w:val="009B4A71"/>
    <w:rsid w:val="009B4BB3"/>
    <w:rsid w:val="009B4CC6"/>
    <w:rsid w:val="009B52B6"/>
    <w:rsid w:val="009B5499"/>
    <w:rsid w:val="009B552D"/>
    <w:rsid w:val="009B55B9"/>
    <w:rsid w:val="009B55F5"/>
    <w:rsid w:val="009B56E9"/>
    <w:rsid w:val="009B5EE9"/>
    <w:rsid w:val="009B6508"/>
    <w:rsid w:val="009B65ED"/>
    <w:rsid w:val="009B6800"/>
    <w:rsid w:val="009B6AC5"/>
    <w:rsid w:val="009B6B39"/>
    <w:rsid w:val="009B6E16"/>
    <w:rsid w:val="009B6F58"/>
    <w:rsid w:val="009B6FE6"/>
    <w:rsid w:val="009B75F2"/>
    <w:rsid w:val="009B7717"/>
    <w:rsid w:val="009B7768"/>
    <w:rsid w:val="009B785C"/>
    <w:rsid w:val="009B7B43"/>
    <w:rsid w:val="009B7BFB"/>
    <w:rsid w:val="009C008A"/>
    <w:rsid w:val="009C051D"/>
    <w:rsid w:val="009C07C2"/>
    <w:rsid w:val="009C07DC"/>
    <w:rsid w:val="009C0904"/>
    <w:rsid w:val="009C0A45"/>
    <w:rsid w:val="009C0A95"/>
    <w:rsid w:val="009C0C68"/>
    <w:rsid w:val="009C0DD2"/>
    <w:rsid w:val="009C0F5F"/>
    <w:rsid w:val="009C10E5"/>
    <w:rsid w:val="009C15EB"/>
    <w:rsid w:val="009C17B5"/>
    <w:rsid w:val="009C1FCA"/>
    <w:rsid w:val="009C208A"/>
    <w:rsid w:val="009C2183"/>
    <w:rsid w:val="009C2367"/>
    <w:rsid w:val="009C25BE"/>
    <w:rsid w:val="009C2B43"/>
    <w:rsid w:val="009C2CEA"/>
    <w:rsid w:val="009C2FD5"/>
    <w:rsid w:val="009C3004"/>
    <w:rsid w:val="009C37A7"/>
    <w:rsid w:val="009C3EEF"/>
    <w:rsid w:val="009C4481"/>
    <w:rsid w:val="009C4B54"/>
    <w:rsid w:val="009C4F89"/>
    <w:rsid w:val="009C528F"/>
    <w:rsid w:val="009C537A"/>
    <w:rsid w:val="009C58DF"/>
    <w:rsid w:val="009C5983"/>
    <w:rsid w:val="009C5B2E"/>
    <w:rsid w:val="009C5DDB"/>
    <w:rsid w:val="009C5E07"/>
    <w:rsid w:val="009C6401"/>
    <w:rsid w:val="009C6708"/>
    <w:rsid w:val="009C6AC3"/>
    <w:rsid w:val="009C6B02"/>
    <w:rsid w:val="009C6E53"/>
    <w:rsid w:val="009C6FC0"/>
    <w:rsid w:val="009C718B"/>
    <w:rsid w:val="009C73BD"/>
    <w:rsid w:val="009C742B"/>
    <w:rsid w:val="009C7500"/>
    <w:rsid w:val="009C750F"/>
    <w:rsid w:val="009C757E"/>
    <w:rsid w:val="009C78DB"/>
    <w:rsid w:val="009D0320"/>
    <w:rsid w:val="009D045C"/>
    <w:rsid w:val="009D0660"/>
    <w:rsid w:val="009D0910"/>
    <w:rsid w:val="009D0948"/>
    <w:rsid w:val="009D0BE2"/>
    <w:rsid w:val="009D0CE3"/>
    <w:rsid w:val="009D0CF1"/>
    <w:rsid w:val="009D0D16"/>
    <w:rsid w:val="009D0D1D"/>
    <w:rsid w:val="009D0FC6"/>
    <w:rsid w:val="009D119B"/>
    <w:rsid w:val="009D164A"/>
    <w:rsid w:val="009D16C9"/>
    <w:rsid w:val="009D1710"/>
    <w:rsid w:val="009D1746"/>
    <w:rsid w:val="009D1768"/>
    <w:rsid w:val="009D1804"/>
    <w:rsid w:val="009D19AD"/>
    <w:rsid w:val="009D1C0F"/>
    <w:rsid w:val="009D1C6E"/>
    <w:rsid w:val="009D1FEE"/>
    <w:rsid w:val="009D20A5"/>
    <w:rsid w:val="009D20AE"/>
    <w:rsid w:val="009D228A"/>
    <w:rsid w:val="009D2291"/>
    <w:rsid w:val="009D239F"/>
    <w:rsid w:val="009D23EA"/>
    <w:rsid w:val="009D256E"/>
    <w:rsid w:val="009D27CB"/>
    <w:rsid w:val="009D2959"/>
    <w:rsid w:val="009D296D"/>
    <w:rsid w:val="009D2BCF"/>
    <w:rsid w:val="009D302B"/>
    <w:rsid w:val="009D30FA"/>
    <w:rsid w:val="009D3174"/>
    <w:rsid w:val="009D3267"/>
    <w:rsid w:val="009D330D"/>
    <w:rsid w:val="009D36D9"/>
    <w:rsid w:val="009D3806"/>
    <w:rsid w:val="009D382E"/>
    <w:rsid w:val="009D3839"/>
    <w:rsid w:val="009D38D1"/>
    <w:rsid w:val="009D39AD"/>
    <w:rsid w:val="009D3BC4"/>
    <w:rsid w:val="009D3DE3"/>
    <w:rsid w:val="009D4010"/>
    <w:rsid w:val="009D4023"/>
    <w:rsid w:val="009D4058"/>
    <w:rsid w:val="009D407D"/>
    <w:rsid w:val="009D462D"/>
    <w:rsid w:val="009D4675"/>
    <w:rsid w:val="009D4923"/>
    <w:rsid w:val="009D4F9B"/>
    <w:rsid w:val="009D517B"/>
    <w:rsid w:val="009D524C"/>
    <w:rsid w:val="009D531E"/>
    <w:rsid w:val="009D5691"/>
    <w:rsid w:val="009D5818"/>
    <w:rsid w:val="009D59BF"/>
    <w:rsid w:val="009D5D65"/>
    <w:rsid w:val="009D5E26"/>
    <w:rsid w:val="009D5E41"/>
    <w:rsid w:val="009D6088"/>
    <w:rsid w:val="009D6218"/>
    <w:rsid w:val="009D69EF"/>
    <w:rsid w:val="009D6E67"/>
    <w:rsid w:val="009D7037"/>
    <w:rsid w:val="009D7478"/>
    <w:rsid w:val="009D7607"/>
    <w:rsid w:val="009D76CA"/>
    <w:rsid w:val="009D7C29"/>
    <w:rsid w:val="009D7EAF"/>
    <w:rsid w:val="009E021E"/>
    <w:rsid w:val="009E02A1"/>
    <w:rsid w:val="009E05B0"/>
    <w:rsid w:val="009E0A12"/>
    <w:rsid w:val="009E0ABF"/>
    <w:rsid w:val="009E0C86"/>
    <w:rsid w:val="009E0D18"/>
    <w:rsid w:val="009E0E64"/>
    <w:rsid w:val="009E0FBC"/>
    <w:rsid w:val="009E107F"/>
    <w:rsid w:val="009E10AA"/>
    <w:rsid w:val="009E133C"/>
    <w:rsid w:val="009E1345"/>
    <w:rsid w:val="009E138F"/>
    <w:rsid w:val="009E13C2"/>
    <w:rsid w:val="009E14FF"/>
    <w:rsid w:val="009E197E"/>
    <w:rsid w:val="009E1AE9"/>
    <w:rsid w:val="009E24EA"/>
    <w:rsid w:val="009E2627"/>
    <w:rsid w:val="009E266D"/>
    <w:rsid w:val="009E281D"/>
    <w:rsid w:val="009E2A05"/>
    <w:rsid w:val="009E2B44"/>
    <w:rsid w:val="009E2C47"/>
    <w:rsid w:val="009E2CB3"/>
    <w:rsid w:val="009E312A"/>
    <w:rsid w:val="009E3161"/>
    <w:rsid w:val="009E33A8"/>
    <w:rsid w:val="009E34A5"/>
    <w:rsid w:val="009E35CD"/>
    <w:rsid w:val="009E38B8"/>
    <w:rsid w:val="009E3904"/>
    <w:rsid w:val="009E3945"/>
    <w:rsid w:val="009E3AC6"/>
    <w:rsid w:val="009E3C02"/>
    <w:rsid w:val="009E4279"/>
    <w:rsid w:val="009E456C"/>
    <w:rsid w:val="009E4572"/>
    <w:rsid w:val="009E4590"/>
    <w:rsid w:val="009E45AF"/>
    <w:rsid w:val="009E464F"/>
    <w:rsid w:val="009E486A"/>
    <w:rsid w:val="009E4C01"/>
    <w:rsid w:val="009E5021"/>
    <w:rsid w:val="009E5A36"/>
    <w:rsid w:val="009E5A7D"/>
    <w:rsid w:val="009E5C65"/>
    <w:rsid w:val="009E5CD8"/>
    <w:rsid w:val="009E5E0A"/>
    <w:rsid w:val="009E5FC6"/>
    <w:rsid w:val="009E64D6"/>
    <w:rsid w:val="009E67AB"/>
    <w:rsid w:val="009E68DC"/>
    <w:rsid w:val="009E6948"/>
    <w:rsid w:val="009E6BEF"/>
    <w:rsid w:val="009E6E9C"/>
    <w:rsid w:val="009E7117"/>
    <w:rsid w:val="009E72E2"/>
    <w:rsid w:val="009E738B"/>
    <w:rsid w:val="009E74F2"/>
    <w:rsid w:val="009E761B"/>
    <w:rsid w:val="009E7628"/>
    <w:rsid w:val="009E778F"/>
    <w:rsid w:val="009E79D6"/>
    <w:rsid w:val="009E79FD"/>
    <w:rsid w:val="009E7A67"/>
    <w:rsid w:val="009E7D75"/>
    <w:rsid w:val="009E7D84"/>
    <w:rsid w:val="009E7F79"/>
    <w:rsid w:val="009E7FE8"/>
    <w:rsid w:val="009F009F"/>
    <w:rsid w:val="009F0150"/>
    <w:rsid w:val="009F03D8"/>
    <w:rsid w:val="009F03EE"/>
    <w:rsid w:val="009F08FF"/>
    <w:rsid w:val="009F0A8E"/>
    <w:rsid w:val="009F0BE5"/>
    <w:rsid w:val="009F0C56"/>
    <w:rsid w:val="009F0C67"/>
    <w:rsid w:val="009F0CEF"/>
    <w:rsid w:val="009F0D08"/>
    <w:rsid w:val="009F0EC6"/>
    <w:rsid w:val="009F0F3C"/>
    <w:rsid w:val="009F0FA0"/>
    <w:rsid w:val="009F1183"/>
    <w:rsid w:val="009F11F6"/>
    <w:rsid w:val="009F176F"/>
    <w:rsid w:val="009F1B39"/>
    <w:rsid w:val="009F1F6D"/>
    <w:rsid w:val="009F1FB0"/>
    <w:rsid w:val="009F2021"/>
    <w:rsid w:val="009F2066"/>
    <w:rsid w:val="009F20C0"/>
    <w:rsid w:val="009F2505"/>
    <w:rsid w:val="009F283B"/>
    <w:rsid w:val="009F28E1"/>
    <w:rsid w:val="009F2907"/>
    <w:rsid w:val="009F2A64"/>
    <w:rsid w:val="009F2D03"/>
    <w:rsid w:val="009F2DAC"/>
    <w:rsid w:val="009F2DD5"/>
    <w:rsid w:val="009F3017"/>
    <w:rsid w:val="009F302F"/>
    <w:rsid w:val="009F3487"/>
    <w:rsid w:val="009F361B"/>
    <w:rsid w:val="009F37BA"/>
    <w:rsid w:val="009F3BE0"/>
    <w:rsid w:val="009F3BE6"/>
    <w:rsid w:val="009F4085"/>
    <w:rsid w:val="009F43B0"/>
    <w:rsid w:val="009F47D6"/>
    <w:rsid w:val="009F496E"/>
    <w:rsid w:val="009F4976"/>
    <w:rsid w:val="009F4BB1"/>
    <w:rsid w:val="009F4BE6"/>
    <w:rsid w:val="009F4F9D"/>
    <w:rsid w:val="009F52AD"/>
    <w:rsid w:val="009F559B"/>
    <w:rsid w:val="009F5C9A"/>
    <w:rsid w:val="009F64EF"/>
    <w:rsid w:val="009F6504"/>
    <w:rsid w:val="009F6602"/>
    <w:rsid w:val="009F7043"/>
    <w:rsid w:val="009F7667"/>
    <w:rsid w:val="009F7C06"/>
    <w:rsid w:val="009F7FAC"/>
    <w:rsid w:val="00A0005E"/>
    <w:rsid w:val="00A000AB"/>
    <w:rsid w:val="00A002AD"/>
    <w:rsid w:val="00A003B2"/>
    <w:rsid w:val="00A00742"/>
    <w:rsid w:val="00A007FB"/>
    <w:rsid w:val="00A00B4A"/>
    <w:rsid w:val="00A0124F"/>
    <w:rsid w:val="00A01473"/>
    <w:rsid w:val="00A01799"/>
    <w:rsid w:val="00A01BFB"/>
    <w:rsid w:val="00A01C51"/>
    <w:rsid w:val="00A025AD"/>
    <w:rsid w:val="00A02663"/>
    <w:rsid w:val="00A0278B"/>
    <w:rsid w:val="00A0296C"/>
    <w:rsid w:val="00A02C30"/>
    <w:rsid w:val="00A03056"/>
    <w:rsid w:val="00A03260"/>
    <w:rsid w:val="00A033EC"/>
    <w:rsid w:val="00A03404"/>
    <w:rsid w:val="00A0342C"/>
    <w:rsid w:val="00A037C7"/>
    <w:rsid w:val="00A03D02"/>
    <w:rsid w:val="00A0413E"/>
    <w:rsid w:val="00A043D5"/>
    <w:rsid w:val="00A0462C"/>
    <w:rsid w:val="00A04881"/>
    <w:rsid w:val="00A04D93"/>
    <w:rsid w:val="00A04DA2"/>
    <w:rsid w:val="00A04EB7"/>
    <w:rsid w:val="00A053C2"/>
    <w:rsid w:val="00A0545A"/>
    <w:rsid w:val="00A05805"/>
    <w:rsid w:val="00A05E0C"/>
    <w:rsid w:val="00A05E79"/>
    <w:rsid w:val="00A064E3"/>
    <w:rsid w:val="00A06531"/>
    <w:rsid w:val="00A06830"/>
    <w:rsid w:val="00A06993"/>
    <w:rsid w:val="00A069C7"/>
    <w:rsid w:val="00A06B8F"/>
    <w:rsid w:val="00A06E17"/>
    <w:rsid w:val="00A06F7C"/>
    <w:rsid w:val="00A0704B"/>
    <w:rsid w:val="00A07129"/>
    <w:rsid w:val="00A07363"/>
    <w:rsid w:val="00A074BD"/>
    <w:rsid w:val="00A0773D"/>
    <w:rsid w:val="00A07EB3"/>
    <w:rsid w:val="00A102DF"/>
    <w:rsid w:val="00A1069B"/>
    <w:rsid w:val="00A10A6B"/>
    <w:rsid w:val="00A10B1D"/>
    <w:rsid w:val="00A110EB"/>
    <w:rsid w:val="00A11240"/>
    <w:rsid w:val="00A11340"/>
    <w:rsid w:val="00A11842"/>
    <w:rsid w:val="00A11B11"/>
    <w:rsid w:val="00A11B89"/>
    <w:rsid w:val="00A11BF2"/>
    <w:rsid w:val="00A11CFC"/>
    <w:rsid w:val="00A11D99"/>
    <w:rsid w:val="00A11F6A"/>
    <w:rsid w:val="00A11FD8"/>
    <w:rsid w:val="00A120A8"/>
    <w:rsid w:val="00A12429"/>
    <w:rsid w:val="00A12490"/>
    <w:rsid w:val="00A124C6"/>
    <w:rsid w:val="00A12503"/>
    <w:rsid w:val="00A126CF"/>
    <w:rsid w:val="00A12937"/>
    <w:rsid w:val="00A12951"/>
    <w:rsid w:val="00A129F3"/>
    <w:rsid w:val="00A12ABF"/>
    <w:rsid w:val="00A12E2C"/>
    <w:rsid w:val="00A1317B"/>
    <w:rsid w:val="00A1331A"/>
    <w:rsid w:val="00A1338B"/>
    <w:rsid w:val="00A133D1"/>
    <w:rsid w:val="00A13514"/>
    <w:rsid w:val="00A135E3"/>
    <w:rsid w:val="00A137FA"/>
    <w:rsid w:val="00A138AB"/>
    <w:rsid w:val="00A1397C"/>
    <w:rsid w:val="00A13A4F"/>
    <w:rsid w:val="00A13CDD"/>
    <w:rsid w:val="00A13E14"/>
    <w:rsid w:val="00A13FFB"/>
    <w:rsid w:val="00A14033"/>
    <w:rsid w:val="00A14382"/>
    <w:rsid w:val="00A14411"/>
    <w:rsid w:val="00A14756"/>
    <w:rsid w:val="00A14904"/>
    <w:rsid w:val="00A14A5F"/>
    <w:rsid w:val="00A14B0F"/>
    <w:rsid w:val="00A14DF2"/>
    <w:rsid w:val="00A14F0E"/>
    <w:rsid w:val="00A159DD"/>
    <w:rsid w:val="00A15B41"/>
    <w:rsid w:val="00A15B8A"/>
    <w:rsid w:val="00A15BE9"/>
    <w:rsid w:val="00A15C7D"/>
    <w:rsid w:val="00A15DD3"/>
    <w:rsid w:val="00A16242"/>
    <w:rsid w:val="00A16343"/>
    <w:rsid w:val="00A16583"/>
    <w:rsid w:val="00A1663C"/>
    <w:rsid w:val="00A166F8"/>
    <w:rsid w:val="00A1673D"/>
    <w:rsid w:val="00A16760"/>
    <w:rsid w:val="00A16846"/>
    <w:rsid w:val="00A16E4D"/>
    <w:rsid w:val="00A16F9A"/>
    <w:rsid w:val="00A17308"/>
    <w:rsid w:val="00A1738E"/>
    <w:rsid w:val="00A1790C"/>
    <w:rsid w:val="00A17BBB"/>
    <w:rsid w:val="00A201F5"/>
    <w:rsid w:val="00A206F5"/>
    <w:rsid w:val="00A20A66"/>
    <w:rsid w:val="00A20CF0"/>
    <w:rsid w:val="00A20E3E"/>
    <w:rsid w:val="00A20EC0"/>
    <w:rsid w:val="00A20F51"/>
    <w:rsid w:val="00A20F55"/>
    <w:rsid w:val="00A212F0"/>
    <w:rsid w:val="00A2134E"/>
    <w:rsid w:val="00A21415"/>
    <w:rsid w:val="00A2149E"/>
    <w:rsid w:val="00A217D0"/>
    <w:rsid w:val="00A218F9"/>
    <w:rsid w:val="00A21989"/>
    <w:rsid w:val="00A21BC1"/>
    <w:rsid w:val="00A21E58"/>
    <w:rsid w:val="00A21ED9"/>
    <w:rsid w:val="00A21F9F"/>
    <w:rsid w:val="00A22345"/>
    <w:rsid w:val="00A2261C"/>
    <w:rsid w:val="00A22C47"/>
    <w:rsid w:val="00A22DDE"/>
    <w:rsid w:val="00A230F9"/>
    <w:rsid w:val="00A2315F"/>
    <w:rsid w:val="00A23421"/>
    <w:rsid w:val="00A2345C"/>
    <w:rsid w:val="00A234EF"/>
    <w:rsid w:val="00A2359D"/>
    <w:rsid w:val="00A235EC"/>
    <w:rsid w:val="00A23815"/>
    <w:rsid w:val="00A2393D"/>
    <w:rsid w:val="00A23C17"/>
    <w:rsid w:val="00A242FF"/>
    <w:rsid w:val="00A24326"/>
    <w:rsid w:val="00A244DB"/>
    <w:rsid w:val="00A244F3"/>
    <w:rsid w:val="00A24658"/>
    <w:rsid w:val="00A2471F"/>
    <w:rsid w:val="00A2472D"/>
    <w:rsid w:val="00A24766"/>
    <w:rsid w:val="00A24794"/>
    <w:rsid w:val="00A248F0"/>
    <w:rsid w:val="00A24F5F"/>
    <w:rsid w:val="00A24F63"/>
    <w:rsid w:val="00A25054"/>
    <w:rsid w:val="00A25662"/>
    <w:rsid w:val="00A25884"/>
    <w:rsid w:val="00A258AB"/>
    <w:rsid w:val="00A2597E"/>
    <w:rsid w:val="00A25A7D"/>
    <w:rsid w:val="00A25D81"/>
    <w:rsid w:val="00A25F48"/>
    <w:rsid w:val="00A2620D"/>
    <w:rsid w:val="00A262C1"/>
    <w:rsid w:val="00A2658A"/>
    <w:rsid w:val="00A265F3"/>
    <w:rsid w:val="00A266C7"/>
    <w:rsid w:val="00A26D71"/>
    <w:rsid w:val="00A27181"/>
    <w:rsid w:val="00A2756B"/>
    <w:rsid w:val="00A275F8"/>
    <w:rsid w:val="00A27621"/>
    <w:rsid w:val="00A2790C"/>
    <w:rsid w:val="00A279E3"/>
    <w:rsid w:val="00A27B32"/>
    <w:rsid w:val="00A27DE3"/>
    <w:rsid w:val="00A27DF2"/>
    <w:rsid w:val="00A27E6E"/>
    <w:rsid w:val="00A27EC0"/>
    <w:rsid w:val="00A300A8"/>
    <w:rsid w:val="00A30186"/>
    <w:rsid w:val="00A301A9"/>
    <w:rsid w:val="00A30349"/>
    <w:rsid w:val="00A303F0"/>
    <w:rsid w:val="00A30502"/>
    <w:rsid w:val="00A30911"/>
    <w:rsid w:val="00A30AFD"/>
    <w:rsid w:val="00A30DC3"/>
    <w:rsid w:val="00A30DFF"/>
    <w:rsid w:val="00A31002"/>
    <w:rsid w:val="00A3102F"/>
    <w:rsid w:val="00A310BA"/>
    <w:rsid w:val="00A31169"/>
    <w:rsid w:val="00A3176C"/>
    <w:rsid w:val="00A31B32"/>
    <w:rsid w:val="00A31BF5"/>
    <w:rsid w:val="00A31CC2"/>
    <w:rsid w:val="00A31CE1"/>
    <w:rsid w:val="00A32124"/>
    <w:rsid w:val="00A32674"/>
    <w:rsid w:val="00A32891"/>
    <w:rsid w:val="00A32B48"/>
    <w:rsid w:val="00A32CAA"/>
    <w:rsid w:val="00A32CCB"/>
    <w:rsid w:val="00A33872"/>
    <w:rsid w:val="00A339C0"/>
    <w:rsid w:val="00A33AB6"/>
    <w:rsid w:val="00A33CF3"/>
    <w:rsid w:val="00A33DC9"/>
    <w:rsid w:val="00A33E20"/>
    <w:rsid w:val="00A33EBC"/>
    <w:rsid w:val="00A34033"/>
    <w:rsid w:val="00A340E7"/>
    <w:rsid w:val="00A341BC"/>
    <w:rsid w:val="00A341ED"/>
    <w:rsid w:val="00A34214"/>
    <w:rsid w:val="00A3437F"/>
    <w:rsid w:val="00A346FD"/>
    <w:rsid w:val="00A34993"/>
    <w:rsid w:val="00A34C7E"/>
    <w:rsid w:val="00A350F6"/>
    <w:rsid w:val="00A35300"/>
    <w:rsid w:val="00A35415"/>
    <w:rsid w:val="00A3554A"/>
    <w:rsid w:val="00A35769"/>
    <w:rsid w:val="00A35A7C"/>
    <w:rsid w:val="00A35C3C"/>
    <w:rsid w:val="00A3604F"/>
    <w:rsid w:val="00A3624A"/>
    <w:rsid w:val="00A362AB"/>
    <w:rsid w:val="00A36462"/>
    <w:rsid w:val="00A366B2"/>
    <w:rsid w:val="00A3671D"/>
    <w:rsid w:val="00A36A8F"/>
    <w:rsid w:val="00A36AD3"/>
    <w:rsid w:val="00A36D69"/>
    <w:rsid w:val="00A36DAC"/>
    <w:rsid w:val="00A36DCA"/>
    <w:rsid w:val="00A373DC"/>
    <w:rsid w:val="00A37724"/>
    <w:rsid w:val="00A37857"/>
    <w:rsid w:val="00A37A6F"/>
    <w:rsid w:val="00A37B80"/>
    <w:rsid w:val="00A37BDE"/>
    <w:rsid w:val="00A40101"/>
    <w:rsid w:val="00A40159"/>
    <w:rsid w:val="00A401C9"/>
    <w:rsid w:val="00A40248"/>
    <w:rsid w:val="00A402D3"/>
    <w:rsid w:val="00A40462"/>
    <w:rsid w:val="00A4062C"/>
    <w:rsid w:val="00A40791"/>
    <w:rsid w:val="00A409FF"/>
    <w:rsid w:val="00A40C0C"/>
    <w:rsid w:val="00A40DB9"/>
    <w:rsid w:val="00A41024"/>
    <w:rsid w:val="00A41202"/>
    <w:rsid w:val="00A4125D"/>
    <w:rsid w:val="00A412AB"/>
    <w:rsid w:val="00A41344"/>
    <w:rsid w:val="00A413C8"/>
    <w:rsid w:val="00A41B16"/>
    <w:rsid w:val="00A41E82"/>
    <w:rsid w:val="00A41F71"/>
    <w:rsid w:val="00A4233C"/>
    <w:rsid w:val="00A42632"/>
    <w:rsid w:val="00A42A1D"/>
    <w:rsid w:val="00A42A5C"/>
    <w:rsid w:val="00A42A6D"/>
    <w:rsid w:val="00A42E13"/>
    <w:rsid w:val="00A42F3D"/>
    <w:rsid w:val="00A4305F"/>
    <w:rsid w:val="00A4314B"/>
    <w:rsid w:val="00A431A0"/>
    <w:rsid w:val="00A4331F"/>
    <w:rsid w:val="00A4334E"/>
    <w:rsid w:val="00A433FA"/>
    <w:rsid w:val="00A434A4"/>
    <w:rsid w:val="00A43604"/>
    <w:rsid w:val="00A43871"/>
    <w:rsid w:val="00A4390C"/>
    <w:rsid w:val="00A43BD0"/>
    <w:rsid w:val="00A43ED8"/>
    <w:rsid w:val="00A44028"/>
    <w:rsid w:val="00A44049"/>
    <w:rsid w:val="00A44201"/>
    <w:rsid w:val="00A443D6"/>
    <w:rsid w:val="00A447D4"/>
    <w:rsid w:val="00A4480B"/>
    <w:rsid w:val="00A44826"/>
    <w:rsid w:val="00A448F2"/>
    <w:rsid w:val="00A449F2"/>
    <w:rsid w:val="00A44CA8"/>
    <w:rsid w:val="00A44D5A"/>
    <w:rsid w:val="00A44F61"/>
    <w:rsid w:val="00A45034"/>
    <w:rsid w:val="00A453B1"/>
    <w:rsid w:val="00A4549B"/>
    <w:rsid w:val="00A45530"/>
    <w:rsid w:val="00A45706"/>
    <w:rsid w:val="00A457D2"/>
    <w:rsid w:val="00A4595B"/>
    <w:rsid w:val="00A45B3B"/>
    <w:rsid w:val="00A45E4A"/>
    <w:rsid w:val="00A4624A"/>
    <w:rsid w:val="00A46639"/>
    <w:rsid w:val="00A46697"/>
    <w:rsid w:val="00A46ECF"/>
    <w:rsid w:val="00A46FE2"/>
    <w:rsid w:val="00A47523"/>
    <w:rsid w:val="00A47899"/>
    <w:rsid w:val="00A4789B"/>
    <w:rsid w:val="00A479AE"/>
    <w:rsid w:val="00A47AAF"/>
    <w:rsid w:val="00A47ACA"/>
    <w:rsid w:val="00A4981D"/>
    <w:rsid w:val="00A5002E"/>
    <w:rsid w:val="00A5006B"/>
    <w:rsid w:val="00A50F8D"/>
    <w:rsid w:val="00A50FA0"/>
    <w:rsid w:val="00A5119B"/>
    <w:rsid w:val="00A514E0"/>
    <w:rsid w:val="00A51785"/>
    <w:rsid w:val="00A51A5E"/>
    <w:rsid w:val="00A51BB1"/>
    <w:rsid w:val="00A51C9B"/>
    <w:rsid w:val="00A51E39"/>
    <w:rsid w:val="00A51E3D"/>
    <w:rsid w:val="00A51F94"/>
    <w:rsid w:val="00A52526"/>
    <w:rsid w:val="00A5253D"/>
    <w:rsid w:val="00A527FA"/>
    <w:rsid w:val="00A52818"/>
    <w:rsid w:val="00A52A34"/>
    <w:rsid w:val="00A52A7F"/>
    <w:rsid w:val="00A52F32"/>
    <w:rsid w:val="00A533B4"/>
    <w:rsid w:val="00A53A2F"/>
    <w:rsid w:val="00A53ACF"/>
    <w:rsid w:val="00A53D54"/>
    <w:rsid w:val="00A53F77"/>
    <w:rsid w:val="00A54029"/>
    <w:rsid w:val="00A54194"/>
    <w:rsid w:val="00A54459"/>
    <w:rsid w:val="00A54593"/>
    <w:rsid w:val="00A545A0"/>
    <w:rsid w:val="00A54776"/>
    <w:rsid w:val="00A5484F"/>
    <w:rsid w:val="00A549F1"/>
    <w:rsid w:val="00A549FD"/>
    <w:rsid w:val="00A54D0E"/>
    <w:rsid w:val="00A54D3A"/>
    <w:rsid w:val="00A554E1"/>
    <w:rsid w:val="00A556B0"/>
    <w:rsid w:val="00A55AD4"/>
    <w:rsid w:val="00A56120"/>
    <w:rsid w:val="00A5697C"/>
    <w:rsid w:val="00A56CE0"/>
    <w:rsid w:val="00A57135"/>
    <w:rsid w:val="00A5718D"/>
    <w:rsid w:val="00A5740B"/>
    <w:rsid w:val="00A576A8"/>
    <w:rsid w:val="00A5773B"/>
    <w:rsid w:val="00A5773F"/>
    <w:rsid w:val="00A57784"/>
    <w:rsid w:val="00A57A24"/>
    <w:rsid w:val="00A57BCE"/>
    <w:rsid w:val="00A57C7B"/>
    <w:rsid w:val="00A57ED0"/>
    <w:rsid w:val="00A602A1"/>
    <w:rsid w:val="00A60427"/>
    <w:rsid w:val="00A604CA"/>
    <w:rsid w:val="00A604D0"/>
    <w:rsid w:val="00A6071E"/>
    <w:rsid w:val="00A60842"/>
    <w:rsid w:val="00A60881"/>
    <w:rsid w:val="00A608AC"/>
    <w:rsid w:val="00A60B6F"/>
    <w:rsid w:val="00A60CC9"/>
    <w:rsid w:val="00A60FF6"/>
    <w:rsid w:val="00A611AE"/>
    <w:rsid w:val="00A61365"/>
    <w:rsid w:val="00A613C8"/>
    <w:rsid w:val="00A61540"/>
    <w:rsid w:val="00A61726"/>
    <w:rsid w:val="00A61804"/>
    <w:rsid w:val="00A61C2D"/>
    <w:rsid w:val="00A61FAD"/>
    <w:rsid w:val="00A6248E"/>
    <w:rsid w:val="00A624B6"/>
    <w:rsid w:val="00A62644"/>
    <w:rsid w:val="00A628D5"/>
    <w:rsid w:val="00A62BC3"/>
    <w:rsid w:val="00A62F6D"/>
    <w:rsid w:val="00A6325E"/>
    <w:rsid w:val="00A6358B"/>
    <w:rsid w:val="00A63679"/>
    <w:rsid w:val="00A639A7"/>
    <w:rsid w:val="00A63AD6"/>
    <w:rsid w:val="00A63D27"/>
    <w:rsid w:val="00A63D52"/>
    <w:rsid w:val="00A642D9"/>
    <w:rsid w:val="00A643AD"/>
    <w:rsid w:val="00A6444F"/>
    <w:rsid w:val="00A644F8"/>
    <w:rsid w:val="00A6469D"/>
    <w:rsid w:val="00A646DA"/>
    <w:rsid w:val="00A64878"/>
    <w:rsid w:val="00A64BC9"/>
    <w:rsid w:val="00A64BF9"/>
    <w:rsid w:val="00A65113"/>
    <w:rsid w:val="00A654F0"/>
    <w:rsid w:val="00A656E8"/>
    <w:rsid w:val="00A65891"/>
    <w:rsid w:val="00A658B6"/>
    <w:rsid w:val="00A65983"/>
    <w:rsid w:val="00A659FE"/>
    <w:rsid w:val="00A65BFE"/>
    <w:rsid w:val="00A65D58"/>
    <w:rsid w:val="00A6626D"/>
    <w:rsid w:val="00A6642D"/>
    <w:rsid w:val="00A665BE"/>
    <w:rsid w:val="00A66702"/>
    <w:rsid w:val="00A667AD"/>
    <w:rsid w:val="00A66880"/>
    <w:rsid w:val="00A66920"/>
    <w:rsid w:val="00A66A06"/>
    <w:rsid w:val="00A66BE4"/>
    <w:rsid w:val="00A66CF1"/>
    <w:rsid w:val="00A66DA4"/>
    <w:rsid w:val="00A66DF3"/>
    <w:rsid w:val="00A670F9"/>
    <w:rsid w:val="00A67111"/>
    <w:rsid w:val="00A6723E"/>
    <w:rsid w:val="00A674CD"/>
    <w:rsid w:val="00A6753A"/>
    <w:rsid w:val="00A6758C"/>
    <w:rsid w:val="00A6761F"/>
    <w:rsid w:val="00A676B6"/>
    <w:rsid w:val="00A676E5"/>
    <w:rsid w:val="00A677F8"/>
    <w:rsid w:val="00A67A0E"/>
    <w:rsid w:val="00A67A95"/>
    <w:rsid w:val="00A67E38"/>
    <w:rsid w:val="00A705D4"/>
    <w:rsid w:val="00A705EF"/>
    <w:rsid w:val="00A707B7"/>
    <w:rsid w:val="00A70BDC"/>
    <w:rsid w:val="00A70C99"/>
    <w:rsid w:val="00A70E83"/>
    <w:rsid w:val="00A70F5B"/>
    <w:rsid w:val="00A712A4"/>
    <w:rsid w:val="00A71417"/>
    <w:rsid w:val="00A71493"/>
    <w:rsid w:val="00A7163F"/>
    <w:rsid w:val="00A71A9C"/>
    <w:rsid w:val="00A71B90"/>
    <w:rsid w:val="00A71B9E"/>
    <w:rsid w:val="00A71F56"/>
    <w:rsid w:val="00A7244B"/>
    <w:rsid w:val="00A726BD"/>
    <w:rsid w:val="00A72DA9"/>
    <w:rsid w:val="00A72F9A"/>
    <w:rsid w:val="00A730F3"/>
    <w:rsid w:val="00A731BA"/>
    <w:rsid w:val="00A7358D"/>
    <w:rsid w:val="00A7380F"/>
    <w:rsid w:val="00A7391E"/>
    <w:rsid w:val="00A73B0E"/>
    <w:rsid w:val="00A73D58"/>
    <w:rsid w:val="00A74063"/>
    <w:rsid w:val="00A74189"/>
    <w:rsid w:val="00A741EF"/>
    <w:rsid w:val="00A74238"/>
    <w:rsid w:val="00A74245"/>
    <w:rsid w:val="00A7443B"/>
    <w:rsid w:val="00A74A87"/>
    <w:rsid w:val="00A74CAD"/>
    <w:rsid w:val="00A74EB8"/>
    <w:rsid w:val="00A753CA"/>
    <w:rsid w:val="00A75644"/>
    <w:rsid w:val="00A75B17"/>
    <w:rsid w:val="00A75E9B"/>
    <w:rsid w:val="00A760D5"/>
    <w:rsid w:val="00A767DB"/>
    <w:rsid w:val="00A767EE"/>
    <w:rsid w:val="00A76D3B"/>
    <w:rsid w:val="00A77468"/>
    <w:rsid w:val="00A7783B"/>
    <w:rsid w:val="00A77A13"/>
    <w:rsid w:val="00A77B28"/>
    <w:rsid w:val="00A77BD8"/>
    <w:rsid w:val="00A77D95"/>
    <w:rsid w:val="00A80242"/>
    <w:rsid w:val="00A807E2"/>
    <w:rsid w:val="00A807E6"/>
    <w:rsid w:val="00A807E9"/>
    <w:rsid w:val="00A80922"/>
    <w:rsid w:val="00A80A42"/>
    <w:rsid w:val="00A80ADE"/>
    <w:rsid w:val="00A80EE0"/>
    <w:rsid w:val="00A81164"/>
    <w:rsid w:val="00A8126E"/>
    <w:rsid w:val="00A81358"/>
    <w:rsid w:val="00A81758"/>
    <w:rsid w:val="00A8187D"/>
    <w:rsid w:val="00A8189D"/>
    <w:rsid w:val="00A81BA9"/>
    <w:rsid w:val="00A81C23"/>
    <w:rsid w:val="00A820F0"/>
    <w:rsid w:val="00A82340"/>
    <w:rsid w:val="00A82A29"/>
    <w:rsid w:val="00A82E42"/>
    <w:rsid w:val="00A830FC"/>
    <w:rsid w:val="00A831C7"/>
    <w:rsid w:val="00A832A3"/>
    <w:rsid w:val="00A83348"/>
    <w:rsid w:val="00A8354C"/>
    <w:rsid w:val="00A835D2"/>
    <w:rsid w:val="00A83640"/>
    <w:rsid w:val="00A83BC6"/>
    <w:rsid w:val="00A83D16"/>
    <w:rsid w:val="00A84024"/>
    <w:rsid w:val="00A84031"/>
    <w:rsid w:val="00A84034"/>
    <w:rsid w:val="00A84076"/>
    <w:rsid w:val="00A840E0"/>
    <w:rsid w:val="00A841E4"/>
    <w:rsid w:val="00A842E5"/>
    <w:rsid w:val="00A843FC"/>
    <w:rsid w:val="00A84574"/>
    <w:rsid w:val="00A84791"/>
    <w:rsid w:val="00A84815"/>
    <w:rsid w:val="00A84909"/>
    <w:rsid w:val="00A85292"/>
    <w:rsid w:val="00A85489"/>
    <w:rsid w:val="00A8552C"/>
    <w:rsid w:val="00A857C2"/>
    <w:rsid w:val="00A857E8"/>
    <w:rsid w:val="00A85C2B"/>
    <w:rsid w:val="00A85CB2"/>
    <w:rsid w:val="00A85DB9"/>
    <w:rsid w:val="00A85DE7"/>
    <w:rsid w:val="00A86128"/>
    <w:rsid w:val="00A861C0"/>
    <w:rsid w:val="00A86669"/>
    <w:rsid w:val="00A86768"/>
    <w:rsid w:val="00A86973"/>
    <w:rsid w:val="00A86A8D"/>
    <w:rsid w:val="00A86FA8"/>
    <w:rsid w:val="00A871B0"/>
    <w:rsid w:val="00A878E6"/>
    <w:rsid w:val="00A87D7E"/>
    <w:rsid w:val="00A90137"/>
    <w:rsid w:val="00A90388"/>
    <w:rsid w:val="00A90417"/>
    <w:rsid w:val="00A905BE"/>
    <w:rsid w:val="00A910C6"/>
    <w:rsid w:val="00A917C3"/>
    <w:rsid w:val="00A917CC"/>
    <w:rsid w:val="00A91A65"/>
    <w:rsid w:val="00A91D93"/>
    <w:rsid w:val="00A9232A"/>
    <w:rsid w:val="00A92436"/>
    <w:rsid w:val="00A92583"/>
    <w:rsid w:val="00A9288A"/>
    <w:rsid w:val="00A92A6A"/>
    <w:rsid w:val="00A92AD4"/>
    <w:rsid w:val="00A92E08"/>
    <w:rsid w:val="00A92EE8"/>
    <w:rsid w:val="00A92FEA"/>
    <w:rsid w:val="00A93112"/>
    <w:rsid w:val="00A9315B"/>
    <w:rsid w:val="00A93299"/>
    <w:rsid w:val="00A9334E"/>
    <w:rsid w:val="00A93661"/>
    <w:rsid w:val="00A93836"/>
    <w:rsid w:val="00A93CE7"/>
    <w:rsid w:val="00A93D2D"/>
    <w:rsid w:val="00A93E80"/>
    <w:rsid w:val="00A93F59"/>
    <w:rsid w:val="00A9401D"/>
    <w:rsid w:val="00A9415C"/>
    <w:rsid w:val="00A94317"/>
    <w:rsid w:val="00A94547"/>
    <w:rsid w:val="00A94937"/>
    <w:rsid w:val="00A94A0E"/>
    <w:rsid w:val="00A94CCD"/>
    <w:rsid w:val="00A94E35"/>
    <w:rsid w:val="00A94E8C"/>
    <w:rsid w:val="00A94FD1"/>
    <w:rsid w:val="00A9513C"/>
    <w:rsid w:val="00A9524C"/>
    <w:rsid w:val="00A9531C"/>
    <w:rsid w:val="00A955BA"/>
    <w:rsid w:val="00A9611C"/>
    <w:rsid w:val="00A96293"/>
    <w:rsid w:val="00A9656B"/>
    <w:rsid w:val="00A9673E"/>
    <w:rsid w:val="00A96A50"/>
    <w:rsid w:val="00A971D2"/>
    <w:rsid w:val="00A971F0"/>
    <w:rsid w:val="00A973E9"/>
    <w:rsid w:val="00A975FD"/>
    <w:rsid w:val="00A97786"/>
    <w:rsid w:val="00A97808"/>
    <w:rsid w:val="00A978BE"/>
    <w:rsid w:val="00A9797E"/>
    <w:rsid w:val="00A97AEC"/>
    <w:rsid w:val="00A97BB2"/>
    <w:rsid w:val="00A97C0F"/>
    <w:rsid w:val="00A97D5A"/>
    <w:rsid w:val="00A97DC7"/>
    <w:rsid w:val="00AA006E"/>
    <w:rsid w:val="00AA0177"/>
    <w:rsid w:val="00AA06DD"/>
    <w:rsid w:val="00AA0985"/>
    <w:rsid w:val="00AA0995"/>
    <w:rsid w:val="00AA0A0B"/>
    <w:rsid w:val="00AA0BA3"/>
    <w:rsid w:val="00AA0D9E"/>
    <w:rsid w:val="00AA0DFE"/>
    <w:rsid w:val="00AA0F11"/>
    <w:rsid w:val="00AA1064"/>
    <w:rsid w:val="00AA12E2"/>
    <w:rsid w:val="00AA1403"/>
    <w:rsid w:val="00AA1495"/>
    <w:rsid w:val="00AA15D2"/>
    <w:rsid w:val="00AA1A56"/>
    <w:rsid w:val="00AA1AAF"/>
    <w:rsid w:val="00AA1B1A"/>
    <w:rsid w:val="00AA1E57"/>
    <w:rsid w:val="00AA210E"/>
    <w:rsid w:val="00AA2457"/>
    <w:rsid w:val="00AA24C9"/>
    <w:rsid w:val="00AA25B3"/>
    <w:rsid w:val="00AA25DB"/>
    <w:rsid w:val="00AA2B59"/>
    <w:rsid w:val="00AA2D84"/>
    <w:rsid w:val="00AA2DF8"/>
    <w:rsid w:val="00AA2EC3"/>
    <w:rsid w:val="00AA3934"/>
    <w:rsid w:val="00AA3AB0"/>
    <w:rsid w:val="00AA3D07"/>
    <w:rsid w:val="00AA3D45"/>
    <w:rsid w:val="00AA3DE7"/>
    <w:rsid w:val="00AA40D6"/>
    <w:rsid w:val="00AA43A5"/>
    <w:rsid w:val="00AA486B"/>
    <w:rsid w:val="00AA48D8"/>
    <w:rsid w:val="00AA48FC"/>
    <w:rsid w:val="00AA4A5B"/>
    <w:rsid w:val="00AA4AB1"/>
    <w:rsid w:val="00AA4BD5"/>
    <w:rsid w:val="00AA4F62"/>
    <w:rsid w:val="00AA52E8"/>
    <w:rsid w:val="00AA5376"/>
    <w:rsid w:val="00AA5499"/>
    <w:rsid w:val="00AA5A1A"/>
    <w:rsid w:val="00AA5A64"/>
    <w:rsid w:val="00AA5C18"/>
    <w:rsid w:val="00AA5F3D"/>
    <w:rsid w:val="00AA6172"/>
    <w:rsid w:val="00AA6590"/>
    <w:rsid w:val="00AA679D"/>
    <w:rsid w:val="00AA68DF"/>
    <w:rsid w:val="00AA6A80"/>
    <w:rsid w:val="00AA6B08"/>
    <w:rsid w:val="00AA6CF1"/>
    <w:rsid w:val="00AA6EB3"/>
    <w:rsid w:val="00AA6F9A"/>
    <w:rsid w:val="00AA718B"/>
    <w:rsid w:val="00AA7532"/>
    <w:rsid w:val="00AA7A1B"/>
    <w:rsid w:val="00AA7B2D"/>
    <w:rsid w:val="00AA7D83"/>
    <w:rsid w:val="00AA7F93"/>
    <w:rsid w:val="00AB05CB"/>
    <w:rsid w:val="00AB06E5"/>
    <w:rsid w:val="00AB06E9"/>
    <w:rsid w:val="00AB07C5"/>
    <w:rsid w:val="00AB09CE"/>
    <w:rsid w:val="00AB0A3F"/>
    <w:rsid w:val="00AB0BD6"/>
    <w:rsid w:val="00AB0CB5"/>
    <w:rsid w:val="00AB0CDC"/>
    <w:rsid w:val="00AB0D97"/>
    <w:rsid w:val="00AB0E33"/>
    <w:rsid w:val="00AB0F5B"/>
    <w:rsid w:val="00AB1231"/>
    <w:rsid w:val="00AB1488"/>
    <w:rsid w:val="00AB14A6"/>
    <w:rsid w:val="00AB1653"/>
    <w:rsid w:val="00AB17B9"/>
    <w:rsid w:val="00AB18AC"/>
    <w:rsid w:val="00AB1965"/>
    <w:rsid w:val="00AB1B16"/>
    <w:rsid w:val="00AB1B4F"/>
    <w:rsid w:val="00AB2256"/>
    <w:rsid w:val="00AB2260"/>
    <w:rsid w:val="00AB2363"/>
    <w:rsid w:val="00AB25D7"/>
    <w:rsid w:val="00AB2617"/>
    <w:rsid w:val="00AB264F"/>
    <w:rsid w:val="00AB2A5D"/>
    <w:rsid w:val="00AB2BD9"/>
    <w:rsid w:val="00AB2EFF"/>
    <w:rsid w:val="00AB3581"/>
    <w:rsid w:val="00AB35D3"/>
    <w:rsid w:val="00AB3906"/>
    <w:rsid w:val="00AB3B34"/>
    <w:rsid w:val="00AB3BE8"/>
    <w:rsid w:val="00AB3EB4"/>
    <w:rsid w:val="00AB420D"/>
    <w:rsid w:val="00AB4376"/>
    <w:rsid w:val="00AB44E7"/>
    <w:rsid w:val="00AB4571"/>
    <w:rsid w:val="00AB4C77"/>
    <w:rsid w:val="00AB4C7D"/>
    <w:rsid w:val="00AB4D64"/>
    <w:rsid w:val="00AB54CB"/>
    <w:rsid w:val="00AB54DE"/>
    <w:rsid w:val="00AB574B"/>
    <w:rsid w:val="00AB5C09"/>
    <w:rsid w:val="00AB5EA4"/>
    <w:rsid w:val="00AB61C2"/>
    <w:rsid w:val="00AB6250"/>
    <w:rsid w:val="00AB680A"/>
    <w:rsid w:val="00AB68E5"/>
    <w:rsid w:val="00AB68F8"/>
    <w:rsid w:val="00AB6C0E"/>
    <w:rsid w:val="00AB7252"/>
    <w:rsid w:val="00AB77C5"/>
    <w:rsid w:val="00AB7824"/>
    <w:rsid w:val="00AB79FD"/>
    <w:rsid w:val="00AB7D61"/>
    <w:rsid w:val="00AC0219"/>
    <w:rsid w:val="00AC0414"/>
    <w:rsid w:val="00AC04D6"/>
    <w:rsid w:val="00AC0E2C"/>
    <w:rsid w:val="00AC12B0"/>
    <w:rsid w:val="00AC14BC"/>
    <w:rsid w:val="00AC15D3"/>
    <w:rsid w:val="00AC15ED"/>
    <w:rsid w:val="00AC161C"/>
    <w:rsid w:val="00AC1795"/>
    <w:rsid w:val="00AC213A"/>
    <w:rsid w:val="00AC2493"/>
    <w:rsid w:val="00AC24C7"/>
    <w:rsid w:val="00AC27D6"/>
    <w:rsid w:val="00AC27F6"/>
    <w:rsid w:val="00AC28EF"/>
    <w:rsid w:val="00AC28F2"/>
    <w:rsid w:val="00AC2C44"/>
    <w:rsid w:val="00AC2EF7"/>
    <w:rsid w:val="00AC323B"/>
    <w:rsid w:val="00AC32F5"/>
    <w:rsid w:val="00AC331E"/>
    <w:rsid w:val="00AC3544"/>
    <w:rsid w:val="00AC35BA"/>
    <w:rsid w:val="00AC3701"/>
    <w:rsid w:val="00AC3762"/>
    <w:rsid w:val="00AC3D06"/>
    <w:rsid w:val="00AC4090"/>
    <w:rsid w:val="00AC49F3"/>
    <w:rsid w:val="00AC4A1E"/>
    <w:rsid w:val="00AC4E96"/>
    <w:rsid w:val="00AC5028"/>
    <w:rsid w:val="00AC50BA"/>
    <w:rsid w:val="00AC51B3"/>
    <w:rsid w:val="00AC54AF"/>
    <w:rsid w:val="00AC55BC"/>
    <w:rsid w:val="00AC5600"/>
    <w:rsid w:val="00AC56DA"/>
    <w:rsid w:val="00AC5948"/>
    <w:rsid w:val="00AC5B06"/>
    <w:rsid w:val="00AC61BC"/>
    <w:rsid w:val="00AC64E4"/>
    <w:rsid w:val="00AC65C0"/>
    <w:rsid w:val="00AC677F"/>
    <w:rsid w:val="00AC6878"/>
    <w:rsid w:val="00AC68F0"/>
    <w:rsid w:val="00AC6AAE"/>
    <w:rsid w:val="00AC6D82"/>
    <w:rsid w:val="00AC741F"/>
    <w:rsid w:val="00AC7615"/>
    <w:rsid w:val="00AC7709"/>
    <w:rsid w:val="00AC7C86"/>
    <w:rsid w:val="00AD02B0"/>
    <w:rsid w:val="00AD0357"/>
    <w:rsid w:val="00AD04B4"/>
    <w:rsid w:val="00AD091F"/>
    <w:rsid w:val="00AD092F"/>
    <w:rsid w:val="00AD0949"/>
    <w:rsid w:val="00AD0A5A"/>
    <w:rsid w:val="00AD0BC3"/>
    <w:rsid w:val="00AD0E8A"/>
    <w:rsid w:val="00AD0EC6"/>
    <w:rsid w:val="00AD1265"/>
    <w:rsid w:val="00AD151B"/>
    <w:rsid w:val="00AD1744"/>
    <w:rsid w:val="00AD18B6"/>
    <w:rsid w:val="00AD247C"/>
    <w:rsid w:val="00AD24FA"/>
    <w:rsid w:val="00AD2571"/>
    <w:rsid w:val="00AD25F5"/>
    <w:rsid w:val="00AD275F"/>
    <w:rsid w:val="00AD2796"/>
    <w:rsid w:val="00AD2802"/>
    <w:rsid w:val="00AD2A12"/>
    <w:rsid w:val="00AD2BC4"/>
    <w:rsid w:val="00AD2D8E"/>
    <w:rsid w:val="00AD2D93"/>
    <w:rsid w:val="00AD38C9"/>
    <w:rsid w:val="00AD3944"/>
    <w:rsid w:val="00AD3C0D"/>
    <w:rsid w:val="00AD42B5"/>
    <w:rsid w:val="00AD4376"/>
    <w:rsid w:val="00AD44B6"/>
    <w:rsid w:val="00AD4C08"/>
    <w:rsid w:val="00AD4CE3"/>
    <w:rsid w:val="00AD4EBA"/>
    <w:rsid w:val="00AD5193"/>
    <w:rsid w:val="00AD520F"/>
    <w:rsid w:val="00AD53FE"/>
    <w:rsid w:val="00AD5655"/>
    <w:rsid w:val="00AD57A3"/>
    <w:rsid w:val="00AD5BF8"/>
    <w:rsid w:val="00AD5E4B"/>
    <w:rsid w:val="00AD5F65"/>
    <w:rsid w:val="00AD5FC5"/>
    <w:rsid w:val="00AD607D"/>
    <w:rsid w:val="00AD63F6"/>
    <w:rsid w:val="00AD65D2"/>
    <w:rsid w:val="00AD691D"/>
    <w:rsid w:val="00AD6AF6"/>
    <w:rsid w:val="00AD6DE3"/>
    <w:rsid w:val="00AD6F69"/>
    <w:rsid w:val="00AD70C5"/>
    <w:rsid w:val="00AD713E"/>
    <w:rsid w:val="00AD74A6"/>
    <w:rsid w:val="00AD752D"/>
    <w:rsid w:val="00AD760B"/>
    <w:rsid w:val="00AD771A"/>
    <w:rsid w:val="00AD775E"/>
    <w:rsid w:val="00AD77A7"/>
    <w:rsid w:val="00AD7A56"/>
    <w:rsid w:val="00AD7DDE"/>
    <w:rsid w:val="00AE0084"/>
    <w:rsid w:val="00AE04B4"/>
    <w:rsid w:val="00AE0B1D"/>
    <w:rsid w:val="00AE0D28"/>
    <w:rsid w:val="00AE0ED7"/>
    <w:rsid w:val="00AE0EED"/>
    <w:rsid w:val="00AE0F94"/>
    <w:rsid w:val="00AE1245"/>
    <w:rsid w:val="00AE127A"/>
    <w:rsid w:val="00AE12CB"/>
    <w:rsid w:val="00AE138F"/>
    <w:rsid w:val="00AE17B0"/>
    <w:rsid w:val="00AE17C4"/>
    <w:rsid w:val="00AE19DF"/>
    <w:rsid w:val="00AE1A5D"/>
    <w:rsid w:val="00AE1C60"/>
    <w:rsid w:val="00AE2074"/>
    <w:rsid w:val="00AE211E"/>
    <w:rsid w:val="00AE2BE2"/>
    <w:rsid w:val="00AE2F9D"/>
    <w:rsid w:val="00AE30F2"/>
    <w:rsid w:val="00AE32E3"/>
    <w:rsid w:val="00AE3401"/>
    <w:rsid w:val="00AE35F1"/>
    <w:rsid w:val="00AE36BB"/>
    <w:rsid w:val="00AE373E"/>
    <w:rsid w:val="00AE3A4B"/>
    <w:rsid w:val="00AE3AE7"/>
    <w:rsid w:val="00AE3CD8"/>
    <w:rsid w:val="00AE3DD0"/>
    <w:rsid w:val="00AE3FC2"/>
    <w:rsid w:val="00AE42CE"/>
    <w:rsid w:val="00AE4339"/>
    <w:rsid w:val="00AE48E4"/>
    <w:rsid w:val="00AE4AF4"/>
    <w:rsid w:val="00AE4D6D"/>
    <w:rsid w:val="00AE526A"/>
    <w:rsid w:val="00AE52DF"/>
    <w:rsid w:val="00AE52EA"/>
    <w:rsid w:val="00AE558A"/>
    <w:rsid w:val="00AE58A6"/>
    <w:rsid w:val="00AE59EC"/>
    <w:rsid w:val="00AE5B3C"/>
    <w:rsid w:val="00AE5C69"/>
    <w:rsid w:val="00AE5C84"/>
    <w:rsid w:val="00AE6114"/>
    <w:rsid w:val="00AE67CD"/>
    <w:rsid w:val="00AE6991"/>
    <w:rsid w:val="00AE6A15"/>
    <w:rsid w:val="00AE6CC9"/>
    <w:rsid w:val="00AE6F6A"/>
    <w:rsid w:val="00AE700C"/>
    <w:rsid w:val="00AE7104"/>
    <w:rsid w:val="00AE78DC"/>
    <w:rsid w:val="00AE7C45"/>
    <w:rsid w:val="00AE7EA3"/>
    <w:rsid w:val="00AF00FA"/>
    <w:rsid w:val="00AF02A0"/>
    <w:rsid w:val="00AF048A"/>
    <w:rsid w:val="00AF0517"/>
    <w:rsid w:val="00AF069E"/>
    <w:rsid w:val="00AF08AD"/>
    <w:rsid w:val="00AF09F6"/>
    <w:rsid w:val="00AF0ACF"/>
    <w:rsid w:val="00AF0D9E"/>
    <w:rsid w:val="00AF130B"/>
    <w:rsid w:val="00AF132F"/>
    <w:rsid w:val="00AF1494"/>
    <w:rsid w:val="00AF1655"/>
    <w:rsid w:val="00AF1691"/>
    <w:rsid w:val="00AF1824"/>
    <w:rsid w:val="00AF1CA4"/>
    <w:rsid w:val="00AF1DF8"/>
    <w:rsid w:val="00AF1F09"/>
    <w:rsid w:val="00AF21B1"/>
    <w:rsid w:val="00AF23DA"/>
    <w:rsid w:val="00AF2562"/>
    <w:rsid w:val="00AF28D5"/>
    <w:rsid w:val="00AF296C"/>
    <w:rsid w:val="00AF29DE"/>
    <w:rsid w:val="00AF2A16"/>
    <w:rsid w:val="00AF2FA1"/>
    <w:rsid w:val="00AF3042"/>
    <w:rsid w:val="00AF306D"/>
    <w:rsid w:val="00AF339C"/>
    <w:rsid w:val="00AF38E7"/>
    <w:rsid w:val="00AF3A65"/>
    <w:rsid w:val="00AF3C22"/>
    <w:rsid w:val="00AF3D5C"/>
    <w:rsid w:val="00AF3D6B"/>
    <w:rsid w:val="00AF442A"/>
    <w:rsid w:val="00AF46DF"/>
    <w:rsid w:val="00AF4846"/>
    <w:rsid w:val="00AF4B19"/>
    <w:rsid w:val="00AF5287"/>
    <w:rsid w:val="00AF5314"/>
    <w:rsid w:val="00AF539D"/>
    <w:rsid w:val="00AF5A1E"/>
    <w:rsid w:val="00AF5F36"/>
    <w:rsid w:val="00AF5F39"/>
    <w:rsid w:val="00AF60A3"/>
    <w:rsid w:val="00AF64F1"/>
    <w:rsid w:val="00AF6546"/>
    <w:rsid w:val="00AF676B"/>
    <w:rsid w:val="00AF68BD"/>
    <w:rsid w:val="00AF6A57"/>
    <w:rsid w:val="00AF6B6C"/>
    <w:rsid w:val="00AF6D10"/>
    <w:rsid w:val="00AF6E2E"/>
    <w:rsid w:val="00AF7052"/>
    <w:rsid w:val="00AF755E"/>
    <w:rsid w:val="00AF7758"/>
    <w:rsid w:val="00AF7A83"/>
    <w:rsid w:val="00AF7BEC"/>
    <w:rsid w:val="00AF7C79"/>
    <w:rsid w:val="00AF7CF0"/>
    <w:rsid w:val="00AF7F11"/>
    <w:rsid w:val="00B0035F"/>
    <w:rsid w:val="00B00771"/>
    <w:rsid w:val="00B00997"/>
    <w:rsid w:val="00B00B0F"/>
    <w:rsid w:val="00B00C83"/>
    <w:rsid w:val="00B00CE8"/>
    <w:rsid w:val="00B00F77"/>
    <w:rsid w:val="00B01155"/>
    <w:rsid w:val="00B011EF"/>
    <w:rsid w:val="00B01220"/>
    <w:rsid w:val="00B01446"/>
    <w:rsid w:val="00B0152B"/>
    <w:rsid w:val="00B01560"/>
    <w:rsid w:val="00B015D3"/>
    <w:rsid w:val="00B01767"/>
    <w:rsid w:val="00B01931"/>
    <w:rsid w:val="00B01B15"/>
    <w:rsid w:val="00B01CEC"/>
    <w:rsid w:val="00B0205F"/>
    <w:rsid w:val="00B02533"/>
    <w:rsid w:val="00B026AF"/>
    <w:rsid w:val="00B02A57"/>
    <w:rsid w:val="00B02C03"/>
    <w:rsid w:val="00B02C68"/>
    <w:rsid w:val="00B02D22"/>
    <w:rsid w:val="00B02DD9"/>
    <w:rsid w:val="00B02FB0"/>
    <w:rsid w:val="00B02FC6"/>
    <w:rsid w:val="00B032E3"/>
    <w:rsid w:val="00B036B3"/>
    <w:rsid w:val="00B03789"/>
    <w:rsid w:val="00B038EF"/>
    <w:rsid w:val="00B03959"/>
    <w:rsid w:val="00B03E57"/>
    <w:rsid w:val="00B03F51"/>
    <w:rsid w:val="00B04070"/>
    <w:rsid w:val="00B040EF"/>
    <w:rsid w:val="00B04214"/>
    <w:rsid w:val="00B046C6"/>
    <w:rsid w:val="00B047FC"/>
    <w:rsid w:val="00B048DE"/>
    <w:rsid w:val="00B048EC"/>
    <w:rsid w:val="00B0496E"/>
    <w:rsid w:val="00B04D5A"/>
    <w:rsid w:val="00B04E76"/>
    <w:rsid w:val="00B05212"/>
    <w:rsid w:val="00B0522E"/>
    <w:rsid w:val="00B052E8"/>
    <w:rsid w:val="00B052F4"/>
    <w:rsid w:val="00B054D9"/>
    <w:rsid w:val="00B057DB"/>
    <w:rsid w:val="00B05C7A"/>
    <w:rsid w:val="00B05C91"/>
    <w:rsid w:val="00B05DF2"/>
    <w:rsid w:val="00B05DFD"/>
    <w:rsid w:val="00B05E64"/>
    <w:rsid w:val="00B0631D"/>
    <w:rsid w:val="00B0642B"/>
    <w:rsid w:val="00B0650F"/>
    <w:rsid w:val="00B06600"/>
    <w:rsid w:val="00B0671C"/>
    <w:rsid w:val="00B067F8"/>
    <w:rsid w:val="00B06850"/>
    <w:rsid w:val="00B069AA"/>
    <w:rsid w:val="00B06ACF"/>
    <w:rsid w:val="00B06B9C"/>
    <w:rsid w:val="00B06D7F"/>
    <w:rsid w:val="00B07524"/>
    <w:rsid w:val="00B07613"/>
    <w:rsid w:val="00B0780B"/>
    <w:rsid w:val="00B079C6"/>
    <w:rsid w:val="00B07AF8"/>
    <w:rsid w:val="00B07C41"/>
    <w:rsid w:val="00B07F51"/>
    <w:rsid w:val="00B104EC"/>
    <w:rsid w:val="00B108D1"/>
    <w:rsid w:val="00B10977"/>
    <w:rsid w:val="00B10EAE"/>
    <w:rsid w:val="00B110FB"/>
    <w:rsid w:val="00B110FD"/>
    <w:rsid w:val="00B11276"/>
    <w:rsid w:val="00B117EA"/>
    <w:rsid w:val="00B11802"/>
    <w:rsid w:val="00B11AF3"/>
    <w:rsid w:val="00B11D74"/>
    <w:rsid w:val="00B11E6D"/>
    <w:rsid w:val="00B12068"/>
    <w:rsid w:val="00B121F6"/>
    <w:rsid w:val="00B12266"/>
    <w:rsid w:val="00B12424"/>
    <w:rsid w:val="00B124EE"/>
    <w:rsid w:val="00B1287E"/>
    <w:rsid w:val="00B12BB6"/>
    <w:rsid w:val="00B12BC9"/>
    <w:rsid w:val="00B12BCD"/>
    <w:rsid w:val="00B12E70"/>
    <w:rsid w:val="00B1303B"/>
    <w:rsid w:val="00B1312B"/>
    <w:rsid w:val="00B1334C"/>
    <w:rsid w:val="00B13496"/>
    <w:rsid w:val="00B134E2"/>
    <w:rsid w:val="00B1375B"/>
    <w:rsid w:val="00B13796"/>
    <w:rsid w:val="00B137B4"/>
    <w:rsid w:val="00B13C2C"/>
    <w:rsid w:val="00B13DAC"/>
    <w:rsid w:val="00B13F2D"/>
    <w:rsid w:val="00B13F6C"/>
    <w:rsid w:val="00B140F2"/>
    <w:rsid w:val="00B14210"/>
    <w:rsid w:val="00B142AF"/>
    <w:rsid w:val="00B14733"/>
    <w:rsid w:val="00B14DFC"/>
    <w:rsid w:val="00B14EA0"/>
    <w:rsid w:val="00B153D9"/>
    <w:rsid w:val="00B154B4"/>
    <w:rsid w:val="00B157D6"/>
    <w:rsid w:val="00B15E0B"/>
    <w:rsid w:val="00B15E3B"/>
    <w:rsid w:val="00B1600B"/>
    <w:rsid w:val="00B1614C"/>
    <w:rsid w:val="00B161D6"/>
    <w:rsid w:val="00B16241"/>
    <w:rsid w:val="00B16426"/>
    <w:rsid w:val="00B167D8"/>
    <w:rsid w:val="00B1688E"/>
    <w:rsid w:val="00B169CF"/>
    <w:rsid w:val="00B16CB4"/>
    <w:rsid w:val="00B16E64"/>
    <w:rsid w:val="00B17017"/>
    <w:rsid w:val="00B1758A"/>
    <w:rsid w:val="00B17735"/>
    <w:rsid w:val="00B1776B"/>
    <w:rsid w:val="00B178B9"/>
    <w:rsid w:val="00B17B8B"/>
    <w:rsid w:val="00B17C5B"/>
    <w:rsid w:val="00B17F62"/>
    <w:rsid w:val="00B2001B"/>
    <w:rsid w:val="00B20123"/>
    <w:rsid w:val="00B20510"/>
    <w:rsid w:val="00B206A4"/>
    <w:rsid w:val="00B206D2"/>
    <w:rsid w:val="00B208FE"/>
    <w:rsid w:val="00B20A65"/>
    <w:rsid w:val="00B20D75"/>
    <w:rsid w:val="00B2114D"/>
    <w:rsid w:val="00B212D7"/>
    <w:rsid w:val="00B212F2"/>
    <w:rsid w:val="00B214C0"/>
    <w:rsid w:val="00B214FB"/>
    <w:rsid w:val="00B219FC"/>
    <w:rsid w:val="00B21ADD"/>
    <w:rsid w:val="00B21DDA"/>
    <w:rsid w:val="00B21E32"/>
    <w:rsid w:val="00B21E67"/>
    <w:rsid w:val="00B21F2D"/>
    <w:rsid w:val="00B2222B"/>
    <w:rsid w:val="00B223C6"/>
    <w:rsid w:val="00B224E5"/>
    <w:rsid w:val="00B2261F"/>
    <w:rsid w:val="00B226FC"/>
    <w:rsid w:val="00B22803"/>
    <w:rsid w:val="00B22932"/>
    <w:rsid w:val="00B22B23"/>
    <w:rsid w:val="00B22B2E"/>
    <w:rsid w:val="00B22B5B"/>
    <w:rsid w:val="00B22BB5"/>
    <w:rsid w:val="00B22D25"/>
    <w:rsid w:val="00B22FB8"/>
    <w:rsid w:val="00B233A7"/>
    <w:rsid w:val="00B233D9"/>
    <w:rsid w:val="00B233F0"/>
    <w:rsid w:val="00B2366A"/>
    <w:rsid w:val="00B237AA"/>
    <w:rsid w:val="00B23843"/>
    <w:rsid w:val="00B238C8"/>
    <w:rsid w:val="00B23A8D"/>
    <w:rsid w:val="00B23F66"/>
    <w:rsid w:val="00B2410C"/>
    <w:rsid w:val="00B24265"/>
    <w:rsid w:val="00B245B4"/>
    <w:rsid w:val="00B2475B"/>
    <w:rsid w:val="00B248E2"/>
    <w:rsid w:val="00B24985"/>
    <w:rsid w:val="00B24C24"/>
    <w:rsid w:val="00B24C9A"/>
    <w:rsid w:val="00B24D85"/>
    <w:rsid w:val="00B24E78"/>
    <w:rsid w:val="00B24E93"/>
    <w:rsid w:val="00B24ECD"/>
    <w:rsid w:val="00B25157"/>
    <w:rsid w:val="00B25490"/>
    <w:rsid w:val="00B2598D"/>
    <w:rsid w:val="00B25D4B"/>
    <w:rsid w:val="00B25F42"/>
    <w:rsid w:val="00B25FC1"/>
    <w:rsid w:val="00B26020"/>
    <w:rsid w:val="00B2605D"/>
    <w:rsid w:val="00B266B8"/>
    <w:rsid w:val="00B268F5"/>
    <w:rsid w:val="00B26B5A"/>
    <w:rsid w:val="00B26EBA"/>
    <w:rsid w:val="00B26F0F"/>
    <w:rsid w:val="00B2707C"/>
    <w:rsid w:val="00B270DA"/>
    <w:rsid w:val="00B27103"/>
    <w:rsid w:val="00B2738A"/>
    <w:rsid w:val="00B273A9"/>
    <w:rsid w:val="00B274CB"/>
    <w:rsid w:val="00B276A9"/>
    <w:rsid w:val="00B2793F"/>
    <w:rsid w:val="00B279A7"/>
    <w:rsid w:val="00B27A73"/>
    <w:rsid w:val="00B301F5"/>
    <w:rsid w:val="00B301F9"/>
    <w:rsid w:val="00B30346"/>
    <w:rsid w:val="00B30426"/>
    <w:rsid w:val="00B30CA5"/>
    <w:rsid w:val="00B30E3C"/>
    <w:rsid w:val="00B30EEA"/>
    <w:rsid w:val="00B31215"/>
    <w:rsid w:val="00B31258"/>
    <w:rsid w:val="00B3140A"/>
    <w:rsid w:val="00B31411"/>
    <w:rsid w:val="00B31A14"/>
    <w:rsid w:val="00B31A21"/>
    <w:rsid w:val="00B31CE2"/>
    <w:rsid w:val="00B31D4A"/>
    <w:rsid w:val="00B32016"/>
    <w:rsid w:val="00B32102"/>
    <w:rsid w:val="00B323FA"/>
    <w:rsid w:val="00B32413"/>
    <w:rsid w:val="00B329B8"/>
    <w:rsid w:val="00B32A83"/>
    <w:rsid w:val="00B32B45"/>
    <w:rsid w:val="00B32C18"/>
    <w:rsid w:val="00B32EDD"/>
    <w:rsid w:val="00B32FF3"/>
    <w:rsid w:val="00B33024"/>
    <w:rsid w:val="00B33B55"/>
    <w:rsid w:val="00B33BC2"/>
    <w:rsid w:val="00B33DDD"/>
    <w:rsid w:val="00B342C4"/>
    <w:rsid w:val="00B34331"/>
    <w:rsid w:val="00B3458E"/>
    <w:rsid w:val="00B34618"/>
    <w:rsid w:val="00B34690"/>
    <w:rsid w:val="00B3474B"/>
    <w:rsid w:val="00B34801"/>
    <w:rsid w:val="00B34803"/>
    <w:rsid w:val="00B3481A"/>
    <w:rsid w:val="00B34854"/>
    <w:rsid w:val="00B34B0C"/>
    <w:rsid w:val="00B34DFB"/>
    <w:rsid w:val="00B34EEB"/>
    <w:rsid w:val="00B3500C"/>
    <w:rsid w:val="00B35076"/>
    <w:rsid w:val="00B3570F"/>
    <w:rsid w:val="00B35891"/>
    <w:rsid w:val="00B35AA4"/>
    <w:rsid w:val="00B35CEB"/>
    <w:rsid w:val="00B35D58"/>
    <w:rsid w:val="00B35E45"/>
    <w:rsid w:val="00B36555"/>
    <w:rsid w:val="00B366DF"/>
    <w:rsid w:val="00B3672A"/>
    <w:rsid w:val="00B3691D"/>
    <w:rsid w:val="00B36A7C"/>
    <w:rsid w:val="00B36AA2"/>
    <w:rsid w:val="00B36E44"/>
    <w:rsid w:val="00B36E61"/>
    <w:rsid w:val="00B36EDE"/>
    <w:rsid w:val="00B3706C"/>
    <w:rsid w:val="00B371C5"/>
    <w:rsid w:val="00B3725E"/>
    <w:rsid w:val="00B37261"/>
    <w:rsid w:val="00B375A6"/>
    <w:rsid w:val="00B3786F"/>
    <w:rsid w:val="00B37971"/>
    <w:rsid w:val="00B37BED"/>
    <w:rsid w:val="00B4008C"/>
    <w:rsid w:val="00B4023C"/>
    <w:rsid w:val="00B404AF"/>
    <w:rsid w:val="00B405E7"/>
    <w:rsid w:val="00B408D9"/>
    <w:rsid w:val="00B40947"/>
    <w:rsid w:val="00B40A39"/>
    <w:rsid w:val="00B40A8F"/>
    <w:rsid w:val="00B40AA1"/>
    <w:rsid w:val="00B40C35"/>
    <w:rsid w:val="00B40D1B"/>
    <w:rsid w:val="00B40D33"/>
    <w:rsid w:val="00B410CE"/>
    <w:rsid w:val="00B41265"/>
    <w:rsid w:val="00B41443"/>
    <w:rsid w:val="00B4152C"/>
    <w:rsid w:val="00B41980"/>
    <w:rsid w:val="00B41C32"/>
    <w:rsid w:val="00B4228D"/>
    <w:rsid w:val="00B42D06"/>
    <w:rsid w:val="00B4334D"/>
    <w:rsid w:val="00B43360"/>
    <w:rsid w:val="00B433BA"/>
    <w:rsid w:val="00B4373E"/>
    <w:rsid w:val="00B437EC"/>
    <w:rsid w:val="00B438C3"/>
    <w:rsid w:val="00B43EC0"/>
    <w:rsid w:val="00B43FCD"/>
    <w:rsid w:val="00B443FD"/>
    <w:rsid w:val="00B4440F"/>
    <w:rsid w:val="00B4463C"/>
    <w:rsid w:val="00B44674"/>
    <w:rsid w:val="00B448F0"/>
    <w:rsid w:val="00B4495D"/>
    <w:rsid w:val="00B44AB3"/>
    <w:rsid w:val="00B44F61"/>
    <w:rsid w:val="00B45007"/>
    <w:rsid w:val="00B45052"/>
    <w:rsid w:val="00B45183"/>
    <w:rsid w:val="00B451C7"/>
    <w:rsid w:val="00B4547D"/>
    <w:rsid w:val="00B45717"/>
    <w:rsid w:val="00B45B3A"/>
    <w:rsid w:val="00B45B40"/>
    <w:rsid w:val="00B45C03"/>
    <w:rsid w:val="00B45C97"/>
    <w:rsid w:val="00B45D6D"/>
    <w:rsid w:val="00B45F25"/>
    <w:rsid w:val="00B45FCC"/>
    <w:rsid w:val="00B462ED"/>
    <w:rsid w:val="00B46743"/>
    <w:rsid w:val="00B4679C"/>
    <w:rsid w:val="00B46D48"/>
    <w:rsid w:val="00B46E27"/>
    <w:rsid w:val="00B46F59"/>
    <w:rsid w:val="00B4719C"/>
    <w:rsid w:val="00B4775E"/>
    <w:rsid w:val="00B47D94"/>
    <w:rsid w:val="00B47F5C"/>
    <w:rsid w:val="00B47F7E"/>
    <w:rsid w:val="00B47FE3"/>
    <w:rsid w:val="00B5007E"/>
    <w:rsid w:val="00B5034B"/>
    <w:rsid w:val="00B5075C"/>
    <w:rsid w:val="00B507FF"/>
    <w:rsid w:val="00B50879"/>
    <w:rsid w:val="00B50B4D"/>
    <w:rsid w:val="00B50F3E"/>
    <w:rsid w:val="00B5117A"/>
    <w:rsid w:val="00B51725"/>
    <w:rsid w:val="00B51954"/>
    <w:rsid w:val="00B51AD5"/>
    <w:rsid w:val="00B51E72"/>
    <w:rsid w:val="00B51F17"/>
    <w:rsid w:val="00B51FA0"/>
    <w:rsid w:val="00B52122"/>
    <w:rsid w:val="00B5243E"/>
    <w:rsid w:val="00B526D0"/>
    <w:rsid w:val="00B527F7"/>
    <w:rsid w:val="00B529CB"/>
    <w:rsid w:val="00B52AD0"/>
    <w:rsid w:val="00B52F37"/>
    <w:rsid w:val="00B530B6"/>
    <w:rsid w:val="00B530C3"/>
    <w:rsid w:val="00B5348C"/>
    <w:rsid w:val="00B535DC"/>
    <w:rsid w:val="00B53831"/>
    <w:rsid w:val="00B53987"/>
    <w:rsid w:val="00B539B7"/>
    <w:rsid w:val="00B53B25"/>
    <w:rsid w:val="00B54056"/>
    <w:rsid w:val="00B540B8"/>
    <w:rsid w:val="00B54344"/>
    <w:rsid w:val="00B543B3"/>
    <w:rsid w:val="00B54566"/>
    <w:rsid w:val="00B5456F"/>
    <w:rsid w:val="00B54618"/>
    <w:rsid w:val="00B54A70"/>
    <w:rsid w:val="00B54A7A"/>
    <w:rsid w:val="00B54AC1"/>
    <w:rsid w:val="00B54BD3"/>
    <w:rsid w:val="00B54E48"/>
    <w:rsid w:val="00B54EAE"/>
    <w:rsid w:val="00B5512E"/>
    <w:rsid w:val="00B55722"/>
    <w:rsid w:val="00B55CAA"/>
    <w:rsid w:val="00B55CDC"/>
    <w:rsid w:val="00B55E8C"/>
    <w:rsid w:val="00B55E9E"/>
    <w:rsid w:val="00B55F1A"/>
    <w:rsid w:val="00B56192"/>
    <w:rsid w:val="00B56301"/>
    <w:rsid w:val="00B56437"/>
    <w:rsid w:val="00B565C0"/>
    <w:rsid w:val="00B566D3"/>
    <w:rsid w:val="00B56809"/>
    <w:rsid w:val="00B568F9"/>
    <w:rsid w:val="00B56B37"/>
    <w:rsid w:val="00B56FA6"/>
    <w:rsid w:val="00B5702E"/>
    <w:rsid w:val="00B570E6"/>
    <w:rsid w:val="00B572FE"/>
    <w:rsid w:val="00B573DA"/>
    <w:rsid w:val="00B57AD2"/>
    <w:rsid w:val="00B57B6A"/>
    <w:rsid w:val="00B57D16"/>
    <w:rsid w:val="00B57D79"/>
    <w:rsid w:val="00B57E07"/>
    <w:rsid w:val="00B57FB7"/>
    <w:rsid w:val="00B57FD5"/>
    <w:rsid w:val="00B604B1"/>
    <w:rsid w:val="00B607A3"/>
    <w:rsid w:val="00B60F6B"/>
    <w:rsid w:val="00B6168C"/>
    <w:rsid w:val="00B6168F"/>
    <w:rsid w:val="00B6173E"/>
    <w:rsid w:val="00B61811"/>
    <w:rsid w:val="00B61D69"/>
    <w:rsid w:val="00B61E68"/>
    <w:rsid w:val="00B62087"/>
    <w:rsid w:val="00B621A6"/>
    <w:rsid w:val="00B624E1"/>
    <w:rsid w:val="00B626C2"/>
    <w:rsid w:val="00B62733"/>
    <w:rsid w:val="00B62C53"/>
    <w:rsid w:val="00B62D72"/>
    <w:rsid w:val="00B62DDD"/>
    <w:rsid w:val="00B62F15"/>
    <w:rsid w:val="00B630FB"/>
    <w:rsid w:val="00B63255"/>
    <w:rsid w:val="00B63265"/>
    <w:rsid w:val="00B632FF"/>
    <w:rsid w:val="00B639F0"/>
    <w:rsid w:val="00B63A9B"/>
    <w:rsid w:val="00B63B78"/>
    <w:rsid w:val="00B63EDD"/>
    <w:rsid w:val="00B6422E"/>
    <w:rsid w:val="00B64311"/>
    <w:rsid w:val="00B647DE"/>
    <w:rsid w:val="00B64A12"/>
    <w:rsid w:val="00B64A24"/>
    <w:rsid w:val="00B64A55"/>
    <w:rsid w:val="00B64BE8"/>
    <w:rsid w:val="00B64DC2"/>
    <w:rsid w:val="00B64EF2"/>
    <w:rsid w:val="00B651ED"/>
    <w:rsid w:val="00B65260"/>
    <w:rsid w:val="00B653ED"/>
    <w:rsid w:val="00B65AEE"/>
    <w:rsid w:val="00B65C56"/>
    <w:rsid w:val="00B65F94"/>
    <w:rsid w:val="00B66131"/>
    <w:rsid w:val="00B66515"/>
    <w:rsid w:val="00B6652D"/>
    <w:rsid w:val="00B666E8"/>
    <w:rsid w:val="00B66894"/>
    <w:rsid w:val="00B668F2"/>
    <w:rsid w:val="00B66B65"/>
    <w:rsid w:val="00B66C50"/>
    <w:rsid w:val="00B66E01"/>
    <w:rsid w:val="00B66EAF"/>
    <w:rsid w:val="00B67122"/>
    <w:rsid w:val="00B6719F"/>
    <w:rsid w:val="00B67B9A"/>
    <w:rsid w:val="00B67BEA"/>
    <w:rsid w:val="00B67C99"/>
    <w:rsid w:val="00B67F28"/>
    <w:rsid w:val="00B700C6"/>
    <w:rsid w:val="00B7015C"/>
    <w:rsid w:val="00B70265"/>
    <w:rsid w:val="00B702A8"/>
    <w:rsid w:val="00B70368"/>
    <w:rsid w:val="00B708F6"/>
    <w:rsid w:val="00B70B8A"/>
    <w:rsid w:val="00B70C1B"/>
    <w:rsid w:val="00B70D4F"/>
    <w:rsid w:val="00B710DD"/>
    <w:rsid w:val="00B710FD"/>
    <w:rsid w:val="00B71171"/>
    <w:rsid w:val="00B712CE"/>
    <w:rsid w:val="00B713D8"/>
    <w:rsid w:val="00B7155C"/>
    <w:rsid w:val="00B716E1"/>
    <w:rsid w:val="00B7190D"/>
    <w:rsid w:val="00B71C65"/>
    <w:rsid w:val="00B71CE6"/>
    <w:rsid w:val="00B71DD7"/>
    <w:rsid w:val="00B71E3D"/>
    <w:rsid w:val="00B71EE4"/>
    <w:rsid w:val="00B72484"/>
    <w:rsid w:val="00B72648"/>
    <w:rsid w:val="00B7276B"/>
    <w:rsid w:val="00B727AF"/>
    <w:rsid w:val="00B727E6"/>
    <w:rsid w:val="00B7284A"/>
    <w:rsid w:val="00B7294E"/>
    <w:rsid w:val="00B72A71"/>
    <w:rsid w:val="00B7330F"/>
    <w:rsid w:val="00B7333A"/>
    <w:rsid w:val="00B733C6"/>
    <w:rsid w:val="00B73564"/>
    <w:rsid w:val="00B7379D"/>
    <w:rsid w:val="00B73A0C"/>
    <w:rsid w:val="00B73DBC"/>
    <w:rsid w:val="00B74116"/>
    <w:rsid w:val="00B74BE0"/>
    <w:rsid w:val="00B74E2F"/>
    <w:rsid w:val="00B74EA0"/>
    <w:rsid w:val="00B74F34"/>
    <w:rsid w:val="00B75267"/>
    <w:rsid w:val="00B75327"/>
    <w:rsid w:val="00B755CE"/>
    <w:rsid w:val="00B75663"/>
    <w:rsid w:val="00B75904"/>
    <w:rsid w:val="00B75A3F"/>
    <w:rsid w:val="00B75B0E"/>
    <w:rsid w:val="00B75B22"/>
    <w:rsid w:val="00B75B2A"/>
    <w:rsid w:val="00B75B3C"/>
    <w:rsid w:val="00B75ECB"/>
    <w:rsid w:val="00B76177"/>
    <w:rsid w:val="00B761B5"/>
    <w:rsid w:val="00B767E9"/>
    <w:rsid w:val="00B769DC"/>
    <w:rsid w:val="00B76A49"/>
    <w:rsid w:val="00B7710A"/>
    <w:rsid w:val="00B774C8"/>
    <w:rsid w:val="00B77637"/>
    <w:rsid w:val="00B77848"/>
    <w:rsid w:val="00B778D6"/>
    <w:rsid w:val="00B779E6"/>
    <w:rsid w:val="00B80146"/>
    <w:rsid w:val="00B801AD"/>
    <w:rsid w:val="00B80288"/>
    <w:rsid w:val="00B802C9"/>
    <w:rsid w:val="00B803F1"/>
    <w:rsid w:val="00B8040D"/>
    <w:rsid w:val="00B80440"/>
    <w:rsid w:val="00B80518"/>
    <w:rsid w:val="00B805C4"/>
    <w:rsid w:val="00B80783"/>
    <w:rsid w:val="00B8081F"/>
    <w:rsid w:val="00B80B3F"/>
    <w:rsid w:val="00B81047"/>
    <w:rsid w:val="00B8126B"/>
    <w:rsid w:val="00B81402"/>
    <w:rsid w:val="00B81767"/>
    <w:rsid w:val="00B817CB"/>
    <w:rsid w:val="00B818BB"/>
    <w:rsid w:val="00B81AE0"/>
    <w:rsid w:val="00B81F0C"/>
    <w:rsid w:val="00B82210"/>
    <w:rsid w:val="00B824CB"/>
    <w:rsid w:val="00B826C8"/>
    <w:rsid w:val="00B8299B"/>
    <w:rsid w:val="00B82E3B"/>
    <w:rsid w:val="00B8338F"/>
    <w:rsid w:val="00B83775"/>
    <w:rsid w:val="00B83787"/>
    <w:rsid w:val="00B83822"/>
    <w:rsid w:val="00B8384C"/>
    <w:rsid w:val="00B8388E"/>
    <w:rsid w:val="00B83D3A"/>
    <w:rsid w:val="00B83EF3"/>
    <w:rsid w:val="00B83EFA"/>
    <w:rsid w:val="00B83FA1"/>
    <w:rsid w:val="00B844F6"/>
    <w:rsid w:val="00B84647"/>
    <w:rsid w:val="00B84ABF"/>
    <w:rsid w:val="00B84B43"/>
    <w:rsid w:val="00B84B59"/>
    <w:rsid w:val="00B84B76"/>
    <w:rsid w:val="00B84E6B"/>
    <w:rsid w:val="00B84FDF"/>
    <w:rsid w:val="00B85318"/>
    <w:rsid w:val="00B85490"/>
    <w:rsid w:val="00B85553"/>
    <w:rsid w:val="00B85664"/>
    <w:rsid w:val="00B85749"/>
    <w:rsid w:val="00B859EE"/>
    <w:rsid w:val="00B85AB5"/>
    <w:rsid w:val="00B85D68"/>
    <w:rsid w:val="00B85D77"/>
    <w:rsid w:val="00B85D80"/>
    <w:rsid w:val="00B86013"/>
    <w:rsid w:val="00B86052"/>
    <w:rsid w:val="00B86195"/>
    <w:rsid w:val="00B861D1"/>
    <w:rsid w:val="00B8634C"/>
    <w:rsid w:val="00B86420"/>
    <w:rsid w:val="00B866EA"/>
    <w:rsid w:val="00B86827"/>
    <w:rsid w:val="00B868F1"/>
    <w:rsid w:val="00B86AA0"/>
    <w:rsid w:val="00B87091"/>
    <w:rsid w:val="00B870BD"/>
    <w:rsid w:val="00B87106"/>
    <w:rsid w:val="00B872BA"/>
    <w:rsid w:val="00B87712"/>
    <w:rsid w:val="00B87765"/>
    <w:rsid w:val="00B87832"/>
    <w:rsid w:val="00B879E1"/>
    <w:rsid w:val="00B87D86"/>
    <w:rsid w:val="00B87DA1"/>
    <w:rsid w:val="00B87FE1"/>
    <w:rsid w:val="00B90172"/>
    <w:rsid w:val="00B904A3"/>
    <w:rsid w:val="00B90755"/>
    <w:rsid w:val="00B90E0C"/>
    <w:rsid w:val="00B9108F"/>
    <w:rsid w:val="00B9118D"/>
    <w:rsid w:val="00B91411"/>
    <w:rsid w:val="00B91A08"/>
    <w:rsid w:val="00B91DEA"/>
    <w:rsid w:val="00B91EA1"/>
    <w:rsid w:val="00B92081"/>
    <w:rsid w:val="00B923AA"/>
    <w:rsid w:val="00B923E6"/>
    <w:rsid w:val="00B927C5"/>
    <w:rsid w:val="00B9288C"/>
    <w:rsid w:val="00B92A81"/>
    <w:rsid w:val="00B92ACD"/>
    <w:rsid w:val="00B92EF6"/>
    <w:rsid w:val="00B93244"/>
    <w:rsid w:val="00B93264"/>
    <w:rsid w:val="00B93484"/>
    <w:rsid w:val="00B93520"/>
    <w:rsid w:val="00B93522"/>
    <w:rsid w:val="00B93879"/>
    <w:rsid w:val="00B93B77"/>
    <w:rsid w:val="00B93BAF"/>
    <w:rsid w:val="00B93E64"/>
    <w:rsid w:val="00B93F58"/>
    <w:rsid w:val="00B93FAC"/>
    <w:rsid w:val="00B9402F"/>
    <w:rsid w:val="00B94582"/>
    <w:rsid w:val="00B94667"/>
    <w:rsid w:val="00B948D0"/>
    <w:rsid w:val="00B949BD"/>
    <w:rsid w:val="00B94A3C"/>
    <w:rsid w:val="00B94BD8"/>
    <w:rsid w:val="00B94EE8"/>
    <w:rsid w:val="00B95332"/>
    <w:rsid w:val="00B95549"/>
    <w:rsid w:val="00B95770"/>
    <w:rsid w:val="00B95872"/>
    <w:rsid w:val="00B95CB1"/>
    <w:rsid w:val="00B95DF7"/>
    <w:rsid w:val="00B96053"/>
    <w:rsid w:val="00B96054"/>
    <w:rsid w:val="00B961FD"/>
    <w:rsid w:val="00B962BB"/>
    <w:rsid w:val="00B963C0"/>
    <w:rsid w:val="00B9640A"/>
    <w:rsid w:val="00B965BF"/>
    <w:rsid w:val="00B96638"/>
    <w:rsid w:val="00B96746"/>
    <w:rsid w:val="00B97152"/>
    <w:rsid w:val="00B97312"/>
    <w:rsid w:val="00B9747B"/>
    <w:rsid w:val="00B97554"/>
    <w:rsid w:val="00B975F1"/>
    <w:rsid w:val="00B9786F"/>
    <w:rsid w:val="00B97984"/>
    <w:rsid w:val="00B979CB"/>
    <w:rsid w:val="00B97B6F"/>
    <w:rsid w:val="00B97D83"/>
    <w:rsid w:val="00B97DAF"/>
    <w:rsid w:val="00BA01CB"/>
    <w:rsid w:val="00BA039C"/>
    <w:rsid w:val="00BA03ED"/>
    <w:rsid w:val="00BA042E"/>
    <w:rsid w:val="00BA06AB"/>
    <w:rsid w:val="00BA06D8"/>
    <w:rsid w:val="00BA0A34"/>
    <w:rsid w:val="00BA0C48"/>
    <w:rsid w:val="00BA1136"/>
    <w:rsid w:val="00BA11C0"/>
    <w:rsid w:val="00BA11CF"/>
    <w:rsid w:val="00BA13BE"/>
    <w:rsid w:val="00BA14C8"/>
    <w:rsid w:val="00BA18F5"/>
    <w:rsid w:val="00BA1BE2"/>
    <w:rsid w:val="00BA1C59"/>
    <w:rsid w:val="00BA1D79"/>
    <w:rsid w:val="00BA2081"/>
    <w:rsid w:val="00BA21C1"/>
    <w:rsid w:val="00BA23EE"/>
    <w:rsid w:val="00BA2450"/>
    <w:rsid w:val="00BA296B"/>
    <w:rsid w:val="00BA29C3"/>
    <w:rsid w:val="00BA2A10"/>
    <w:rsid w:val="00BA2B95"/>
    <w:rsid w:val="00BA2C28"/>
    <w:rsid w:val="00BA2CEB"/>
    <w:rsid w:val="00BA2DA1"/>
    <w:rsid w:val="00BA2DE6"/>
    <w:rsid w:val="00BA30DD"/>
    <w:rsid w:val="00BA3154"/>
    <w:rsid w:val="00BA31DD"/>
    <w:rsid w:val="00BA3372"/>
    <w:rsid w:val="00BA33F0"/>
    <w:rsid w:val="00BA35CD"/>
    <w:rsid w:val="00BA3C01"/>
    <w:rsid w:val="00BA3E08"/>
    <w:rsid w:val="00BA4321"/>
    <w:rsid w:val="00BA4409"/>
    <w:rsid w:val="00BA4568"/>
    <w:rsid w:val="00BA47F1"/>
    <w:rsid w:val="00BA4817"/>
    <w:rsid w:val="00BA49C9"/>
    <w:rsid w:val="00BA4BE3"/>
    <w:rsid w:val="00BA4C10"/>
    <w:rsid w:val="00BA4D16"/>
    <w:rsid w:val="00BA5490"/>
    <w:rsid w:val="00BA54B4"/>
    <w:rsid w:val="00BA5597"/>
    <w:rsid w:val="00BA588C"/>
    <w:rsid w:val="00BA5A68"/>
    <w:rsid w:val="00BA60C8"/>
    <w:rsid w:val="00BA61DC"/>
    <w:rsid w:val="00BA6391"/>
    <w:rsid w:val="00BA6495"/>
    <w:rsid w:val="00BA6538"/>
    <w:rsid w:val="00BA6629"/>
    <w:rsid w:val="00BA6997"/>
    <w:rsid w:val="00BA6FFC"/>
    <w:rsid w:val="00BA7003"/>
    <w:rsid w:val="00BA70B0"/>
    <w:rsid w:val="00BA717E"/>
    <w:rsid w:val="00BA71A2"/>
    <w:rsid w:val="00BA72E2"/>
    <w:rsid w:val="00BA7566"/>
    <w:rsid w:val="00BA768D"/>
    <w:rsid w:val="00BA76DD"/>
    <w:rsid w:val="00BA778B"/>
    <w:rsid w:val="00BA79E2"/>
    <w:rsid w:val="00BA7B2E"/>
    <w:rsid w:val="00BA7BAA"/>
    <w:rsid w:val="00BA7CAB"/>
    <w:rsid w:val="00BA7EBB"/>
    <w:rsid w:val="00BA7F34"/>
    <w:rsid w:val="00BB00B3"/>
    <w:rsid w:val="00BB00FF"/>
    <w:rsid w:val="00BB0214"/>
    <w:rsid w:val="00BB03C0"/>
    <w:rsid w:val="00BB053D"/>
    <w:rsid w:val="00BB09E6"/>
    <w:rsid w:val="00BB0C2D"/>
    <w:rsid w:val="00BB0C4B"/>
    <w:rsid w:val="00BB0C94"/>
    <w:rsid w:val="00BB119E"/>
    <w:rsid w:val="00BB1522"/>
    <w:rsid w:val="00BB1656"/>
    <w:rsid w:val="00BB19B1"/>
    <w:rsid w:val="00BB1EDF"/>
    <w:rsid w:val="00BB1F00"/>
    <w:rsid w:val="00BB1F97"/>
    <w:rsid w:val="00BB217D"/>
    <w:rsid w:val="00BB23AE"/>
    <w:rsid w:val="00BB2530"/>
    <w:rsid w:val="00BB2570"/>
    <w:rsid w:val="00BB2623"/>
    <w:rsid w:val="00BB26E6"/>
    <w:rsid w:val="00BB26F7"/>
    <w:rsid w:val="00BB2D67"/>
    <w:rsid w:val="00BB30AA"/>
    <w:rsid w:val="00BB31AD"/>
    <w:rsid w:val="00BB32C9"/>
    <w:rsid w:val="00BB3459"/>
    <w:rsid w:val="00BB35B5"/>
    <w:rsid w:val="00BB36B1"/>
    <w:rsid w:val="00BB3731"/>
    <w:rsid w:val="00BB37BC"/>
    <w:rsid w:val="00BB37CD"/>
    <w:rsid w:val="00BB38E1"/>
    <w:rsid w:val="00BB3A64"/>
    <w:rsid w:val="00BB3E1E"/>
    <w:rsid w:val="00BB3E5B"/>
    <w:rsid w:val="00BB3F11"/>
    <w:rsid w:val="00BB4026"/>
    <w:rsid w:val="00BB40EF"/>
    <w:rsid w:val="00BB4176"/>
    <w:rsid w:val="00BB43D7"/>
    <w:rsid w:val="00BB4440"/>
    <w:rsid w:val="00BB46E7"/>
    <w:rsid w:val="00BB4A6C"/>
    <w:rsid w:val="00BB55E7"/>
    <w:rsid w:val="00BB57F6"/>
    <w:rsid w:val="00BB5A17"/>
    <w:rsid w:val="00BB5CA1"/>
    <w:rsid w:val="00BB61B3"/>
    <w:rsid w:val="00BB6206"/>
    <w:rsid w:val="00BB648E"/>
    <w:rsid w:val="00BB66DD"/>
    <w:rsid w:val="00BB66E3"/>
    <w:rsid w:val="00BB69E3"/>
    <w:rsid w:val="00BB6B82"/>
    <w:rsid w:val="00BB6E18"/>
    <w:rsid w:val="00BB7100"/>
    <w:rsid w:val="00BB73A3"/>
    <w:rsid w:val="00BB7699"/>
    <w:rsid w:val="00BB79BE"/>
    <w:rsid w:val="00BB7CAA"/>
    <w:rsid w:val="00BB7ED4"/>
    <w:rsid w:val="00BC0466"/>
    <w:rsid w:val="00BC048B"/>
    <w:rsid w:val="00BC07DF"/>
    <w:rsid w:val="00BC0814"/>
    <w:rsid w:val="00BC0AD7"/>
    <w:rsid w:val="00BC0CE2"/>
    <w:rsid w:val="00BC0E15"/>
    <w:rsid w:val="00BC1085"/>
    <w:rsid w:val="00BC10EC"/>
    <w:rsid w:val="00BC11F0"/>
    <w:rsid w:val="00BC1258"/>
    <w:rsid w:val="00BC1294"/>
    <w:rsid w:val="00BC12C5"/>
    <w:rsid w:val="00BC15AC"/>
    <w:rsid w:val="00BC15F0"/>
    <w:rsid w:val="00BC1A26"/>
    <w:rsid w:val="00BC1BB9"/>
    <w:rsid w:val="00BC1DF4"/>
    <w:rsid w:val="00BC1E7A"/>
    <w:rsid w:val="00BC1EAB"/>
    <w:rsid w:val="00BC1EAF"/>
    <w:rsid w:val="00BC2011"/>
    <w:rsid w:val="00BC20F1"/>
    <w:rsid w:val="00BC2211"/>
    <w:rsid w:val="00BC2534"/>
    <w:rsid w:val="00BC2809"/>
    <w:rsid w:val="00BC281E"/>
    <w:rsid w:val="00BC295C"/>
    <w:rsid w:val="00BC29ED"/>
    <w:rsid w:val="00BC2AA9"/>
    <w:rsid w:val="00BC2B63"/>
    <w:rsid w:val="00BC2B76"/>
    <w:rsid w:val="00BC3041"/>
    <w:rsid w:val="00BC30E6"/>
    <w:rsid w:val="00BC34F2"/>
    <w:rsid w:val="00BC3507"/>
    <w:rsid w:val="00BC3AC2"/>
    <w:rsid w:val="00BC3CFB"/>
    <w:rsid w:val="00BC3FEA"/>
    <w:rsid w:val="00BC4099"/>
    <w:rsid w:val="00BC4311"/>
    <w:rsid w:val="00BC4565"/>
    <w:rsid w:val="00BC489C"/>
    <w:rsid w:val="00BC492A"/>
    <w:rsid w:val="00BC49E9"/>
    <w:rsid w:val="00BC4A7F"/>
    <w:rsid w:val="00BC4D51"/>
    <w:rsid w:val="00BC4D74"/>
    <w:rsid w:val="00BC5194"/>
    <w:rsid w:val="00BC51EF"/>
    <w:rsid w:val="00BC53F2"/>
    <w:rsid w:val="00BC5768"/>
    <w:rsid w:val="00BC57E3"/>
    <w:rsid w:val="00BC5824"/>
    <w:rsid w:val="00BC5D0F"/>
    <w:rsid w:val="00BC60B4"/>
    <w:rsid w:val="00BC6174"/>
    <w:rsid w:val="00BC61D3"/>
    <w:rsid w:val="00BC6298"/>
    <w:rsid w:val="00BC67B3"/>
    <w:rsid w:val="00BC6AD1"/>
    <w:rsid w:val="00BC6CC8"/>
    <w:rsid w:val="00BC6D6B"/>
    <w:rsid w:val="00BC6F11"/>
    <w:rsid w:val="00BC7459"/>
    <w:rsid w:val="00BC7569"/>
    <w:rsid w:val="00BC75E3"/>
    <w:rsid w:val="00BC7676"/>
    <w:rsid w:val="00BC7C20"/>
    <w:rsid w:val="00BC7D4F"/>
    <w:rsid w:val="00BC7E69"/>
    <w:rsid w:val="00BD0324"/>
    <w:rsid w:val="00BD0607"/>
    <w:rsid w:val="00BD0655"/>
    <w:rsid w:val="00BD0722"/>
    <w:rsid w:val="00BD083A"/>
    <w:rsid w:val="00BD084C"/>
    <w:rsid w:val="00BD08EC"/>
    <w:rsid w:val="00BD0934"/>
    <w:rsid w:val="00BD0BCA"/>
    <w:rsid w:val="00BD0CE3"/>
    <w:rsid w:val="00BD0E65"/>
    <w:rsid w:val="00BD0F24"/>
    <w:rsid w:val="00BD0FCE"/>
    <w:rsid w:val="00BD126C"/>
    <w:rsid w:val="00BD1665"/>
    <w:rsid w:val="00BD1953"/>
    <w:rsid w:val="00BD2085"/>
    <w:rsid w:val="00BD2230"/>
    <w:rsid w:val="00BD22BE"/>
    <w:rsid w:val="00BD24EA"/>
    <w:rsid w:val="00BD2824"/>
    <w:rsid w:val="00BD28FA"/>
    <w:rsid w:val="00BD2949"/>
    <w:rsid w:val="00BD2ACF"/>
    <w:rsid w:val="00BD2B46"/>
    <w:rsid w:val="00BD2DF0"/>
    <w:rsid w:val="00BD2F49"/>
    <w:rsid w:val="00BD31A4"/>
    <w:rsid w:val="00BD330E"/>
    <w:rsid w:val="00BD33CD"/>
    <w:rsid w:val="00BD36E3"/>
    <w:rsid w:val="00BD3761"/>
    <w:rsid w:val="00BD38F4"/>
    <w:rsid w:val="00BD3973"/>
    <w:rsid w:val="00BD3B4D"/>
    <w:rsid w:val="00BD3E61"/>
    <w:rsid w:val="00BD3F81"/>
    <w:rsid w:val="00BD460A"/>
    <w:rsid w:val="00BD4AC4"/>
    <w:rsid w:val="00BD4CB9"/>
    <w:rsid w:val="00BD4CBB"/>
    <w:rsid w:val="00BD4E27"/>
    <w:rsid w:val="00BD53C2"/>
    <w:rsid w:val="00BD5556"/>
    <w:rsid w:val="00BD5A1B"/>
    <w:rsid w:val="00BD5C5E"/>
    <w:rsid w:val="00BD5D2F"/>
    <w:rsid w:val="00BD5DB3"/>
    <w:rsid w:val="00BD5E94"/>
    <w:rsid w:val="00BD60A5"/>
    <w:rsid w:val="00BD6167"/>
    <w:rsid w:val="00BD6198"/>
    <w:rsid w:val="00BD6200"/>
    <w:rsid w:val="00BD6918"/>
    <w:rsid w:val="00BD6969"/>
    <w:rsid w:val="00BD69FE"/>
    <w:rsid w:val="00BD6B1A"/>
    <w:rsid w:val="00BD6C21"/>
    <w:rsid w:val="00BD6F71"/>
    <w:rsid w:val="00BD6F9D"/>
    <w:rsid w:val="00BD7172"/>
    <w:rsid w:val="00BD77BD"/>
    <w:rsid w:val="00BD78DA"/>
    <w:rsid w:val="00BD78EC"/>
    <w:rsid w:val="00BD7CE3"/>
    <w:rsid w:val="00BD7D2C"/>
    <w:rsid w:val="00BE0194"/>
    <w:rsid w:val="00BE0268"/>
    <w:rsid w:val="00BE0269"/>
    <w:rsid w:val="00BE0455"/>
    <w:rsid w:val="00BE05B2"/>
    <w:rsid w:val="00BE0A17"/>
    <w:rsid w:val="00BE0A96"/>
    <w:rsid w:val="00BE0BB3"/>
    <w:rsid w:val="00BE0C5E"/>
    <w:rsid w:val="00BE13E5"/>
    <w:rsid w:val="00BE1619"/>
    <w:rsid w:val="00BE1683"/>
    <w:rsid w:val="00BE1782"/>
    <w:rsid w:val="00BE17DF"/>
    <w:rsid w:val="00BE17E8"/>
    <w:rsid w:val="00BE1B88"/>
    <w:rsid w:val="00BE211F"/>
    <w:rsid w:val="00BE219B"/>
    <w:rsid w:val="00BE2274"/>
    <w:rsid w:val="00BE2A47"/>
    <w:rsid w:val="00BE2D57"/>
    <w:rsid w:val="00BE2F74"/>
    <w:rsid w:val="00BE30BB"/>
    <w:rsid w:val="00BE321C"/>
    <w:rsid w:val="00BE3336"/>
    <w:rsid w:val="00BE339C"/>
    <w:rsid w:val="00BE356C"/>
    <w:rsid w:val="00BE3730"/>
    <w:rsid w:val="00BE3860"/>
    <w:rsid w:val="00BE3F9D"/>
    <w:rsid w:val="00BE40B3"/>
    <w:rsid w:val="00BE423A"/>
    <w:rsid w:val="00BE42D3"/>
    <w:rsid w:val="00BE45ED"/>
    <w:rsid w:val="00BE4CD7"/>
    <w:rsid w:val="00BE516F"/>
    <w:rsid w:val="00BE5303"/>
    <w:rsid w:val="00BE53F6"/>
    <w:rsid w:val="00BE5778"/>
    <w:rsid w:val="00BE5A98"/>
    <w:rsid w:val="00BE5BF1"/>
    <w:rsid w:val="00BE64E0"/>
    <w:rsid w:val="00BE66FA"/>
    <w:rsid w:val="00BE6C19"/>
    <w:rsid w:val="00BE6E45"/>
    <w:rsid w:val="00BE6E46"/>
    <w:rsid w:val="00BE7073"/>
    <w:rsid w:val="00BE70DC"/>
    <w:rsid w:val="00BE7131"/>
    <w:rsid w:val="00BE77E1"/>
    <w:rsid w:val="00BE78FE"/>
    <w:rsid w:val="00BE7A7F"/>
    <w:rsid w:val="00BE7B9A"/>
    <w:rsid w:val="00BE7C8C"/>
    <w:rsid w:val="00BE7D0A"/>
    <w:rsid w:val="00BF05CE"/>
    <w:rsid w:val="00BF0725"/>
    <w:rsid w:val="00BF08C3"/>
    <w:rsid w:val="00BF09E0"/>
    <w:rsid w:val="00BF0AD7"/>
    <w:rsid w:val="00BF0C53"/>
    <w:rsid w:val="00BF0DB2"/>
    <w:rsid w:val="00BF1058"/>
    <w:rsid w:val="00BF1911"/>
    <w:rsid w:val="00BF19EF"/>
    <w:rsid w:val="00BF1A8A"/>
    <w:rsid w:val="00BF23C2"/>
    <w:rsid w:val="00BF23C4"/>
    <w:rsid w:val="00BF2ABA"/>
    <w:rsid w:val="00BF2F4E"/>
    <w:rsid w:val="00BF3018"/>
    <w:rsid w:val="00BF337C"/>
    <w:rsid w:val="00BF35A0"/>
    <w:rsid w:val="00BF35E6"/>
    <w:rsid w:val="00BF3603"/>
    <w:rsid w:val="00BF384E"/>
    <w:rsid w:val="00BF38BB"/>
    <w:rsid w:val="00BF3B8B"/>
    <w:rsid w:val="00BF3BFC"/>
    <w:rsid w:val="00BF3CA3"/>
    <w:rsid w:val="00BF42C2"/>
    <w:rsid w:val="00BF4613"/>
    <w:rsid w:val="00BF4BDB"/>
    <w:rsid w:val="00BF4D51"/>
    <w:rsid w:val="00BF50CF"/>
    <w:rsid w:val="00BF568A"/>
    <w:rsid w:val="00BF5761"/>
    <w:rsid w:val="00BF580A"/>
    <w:rsid w:val="00BF606B"/>
    <w:rsid w:val="00BF62EC"/>
    <w:rsid w:val="00BF6378"/>
    <w:rsid w:val="00BF648F"/>
    <w:rsid w:val="00BF6592"/>
    <w:rsid w:val="00BF672E"/>
    <w:rsid w:val="00BF6A5C"/>
    <w:rsid w:val="00BF6B44"/>
    <w:rsid w:val="00BF6CB1"/>
    <w:rsid w:val="00BF6F31"/>
    <w:rsid w:val="00BF756D"/>
    <w:rsid w:val="00BF76D2"/>
    <w:rsid w:val="00BF76EB"/>
    <w:rsid w:val="00BF776B"/>
    <w:rsid w:val="00C00006"/>
    <w:rsid w:val="00C00011"/>
    <w:rsid w:val="00C00275"/>
    <w:rsid w:val="00C00280"/>
    <w:rsid w:val="00C00287"/>
    <w:rsid w:val="00C00374"/>
    <w:rsid w:val="00C0051E"/>
    <w:rsid w:val="00C0071A"/>
    <w:rsid w:val="00C00826"/>
    <w:rsid w:val="00C00AD8"/>
    <w:rsid w:val="00C00D96"/>
    <w:rsid w:val="00C00E02"/>
    <w:rsid w:val="00C00E45"/>
    <w:rsid w:val="00C00E8A"/>
    <w:rsid w:val="00C01153"/>
    <w:rsid w:val="00C01418"/>
    <w:rsid w:val="00C01743"/>
    <w:rsid w:val="00C0178B"/>
    <w:rsid w:val="00C01D7C"/>
    <w:rsid w:val="00C01FA5"/>
    <w:rsid w:val="00C02119"/>
    <w:rsid w:val="00C021CE"/>
    <w:rsid w:val="00C022D5"/>
    <w:rsid w:val="00C02355"/>
    <w:rsid w:val="00C0242D"/>
    <w:rsid w:val="00C02838"/>
    <w:rsid w:val="00C02850"/>
    <w:rsid w:val="00C028C5"/>
    <w:rsid w:val="00C02945"/>
    <w:rsid w:val="00C02A8C"/>
    <w:rsid w:val="00C02D0B"/>
    <w:rsid w:val="00C02E8E"/>
    <w:rsid w:val="00C031A5"/>
    <w:rsid w:val="00C0351B"/>
    <w:rsid w:val="00C0364C"/>
    <w:rsid w:val="00C03DCE"/>
    <w:rsid w:val="00C03E95"/>
    <w:rsid w:val="00C04352"/>
    <w:rsid w:val="00C046DA"/>
    <w:rsid w:val="00C046E2"/>
    <w:rsid w:val="00C046EC"/>
    <w:rsid w:val="00C04AA4"/>
    <w:rsid w:val="00C04C3D"/>
    <w:rsid w:val="00C04DCD"/>
    <w:rsid w:val="00C04FD7"/>
    <w:rsid w:val="00C0507E"/>
    <w:rsid w:val="00C05371"/>
    <w:rsid w:val="00C053E2"/>
    <w:rsid w:val="00C0546E"/>
    <w:rsid w:val="00C0548A"/>
    <w:rsid w:val="00C056F0"/>
    <w:rsid w:val="00C05795"/>
    <w:rsid w:val="00C057FB"/>
    <w:rsid w:val="00C05AC8"/>
    <w:rsid w:val="00C05CD0"/>
    <w:rsid w:val="00C05CDA"/>
    <w:rsid w:val="00C06287"/>
    <w:rsid w:val="00C06308"/>
    <w:rsid w:val="00C0631A"/>
    <w:rsid w:val="00C06489"/>
    <w:rsid w:val="00C065A0"/>
    <w:rsid w:val="00C06686"/>
    <w:rsid w:val="00C0678E"/>
    <w:rsid w:val="00C0693B"/>
    <w:rsid w:val="00C06961"/>
    <w:rsid w:val="00C06B6F"/>
    <w:rsid w:val="00C06D3C"/>
    <w:rsid w:val="00C0708A"/>
    <w:rsid w:val="00C072FF"/>
    <w:rsid w:val="00C07866"/>
    <w:rsid w:val="00C0794C"/>
    <w:rsid w:val="00C07AF9"/>
    <w:rsid w:val="00C07B31"/>
    <w:rsid w:val="00C07DEF"/>
    <w:rsid w:val="00C07E34"/>
    <w:rsid w:val="00C100D7"/>
    <w:rsid w:val="00C10104"/>
    <w:rsid w:val="00C10402"/>
    <w:rsid w:val="00C109E2"/>
    <w:rsid w:val="00C10B77"/>
    <w:rsid w:val="00C11055"/>
    <w:rsid w:val="00C110DA"/>
    <w:rsid w:val="00C11611"/>
    <w:rsid w:val="00C1179B"/>
    <w:rsid w:val="00C11877"/>
    <w:rsid w:val="00C1187B"/>
    <w:rsid w:val="00C118CB"/>
    <w:rsid w:val="00C11A47"/>
    <w:rsid w:val="00C11C39"/>
    <w:rsid w:val="00C122FB"/>
    <w:rsid w:val="00C12301"/>
    <w:rsid w:val="00C123F1"/>
    <w:rsid w:val="00C124DA"/>
    <w:rsid w:val="00C126F6"/>
    <w:rsid w:val="00C126FE"/>
    <w:rsid w:val="00C129AA"/>
    <w:rsid w:val="00C129D8"/>
    <w:rsid w:val="00C12AFF"/>
    <w:rsid w:val="00C12DFC"/>
    <w:rsid w:val="00C12E08"/>
    <w:rsid w:val="00C12F21"/>
    <w:rsid w:val="00C13644"/>
    <w:rsid w:val="00C13678"/>
    <w:rsid w:val="00C136A2"/>
    <w:rsid w:val="00C13AAD"/>
    <w:rsid w:val="00C13ABE"/>
    <w:rsid w:val="00C13C43"/>
    <w:rsid w:val="00C13C62"/>
    <w:rsid w:val="00C13D29"/>
    <w:rsid w:val="00C14016"/>
    <w:rsid w:val="00C140A0"/>
    <w:rsid w:val="00C141CA"/>
    <w:rsid w:val="00C141FD"/>
    <w:rsid w:val="00C143F8"/>
    <w:rsid w:val="00C14988"/>
    <w:rsid w:val="00C14CAA"/>
    <w:rsid w:val="00C14D0E"/>
    <w:rsid w:val="00C14DDA"/>
    <w:rsid w:val="00C15136"/>
    <w:rsid w:val="00C15231"/>
    <w:rsid w:val="00C153AD"/>
    <w:rsid w:val="00C153CD"/>
    <w:rsid w:val="00C154A3"/>
    <w:rsid w:val="00C15825"/>
    <w:rsid w:val="00C159CA"/>
    <w:rsid w:val="00C15E33"/>
    <w:rsid w:val="00C16190"/>
    <w:rsid w:val="00C16322"/>
    <w:rsid w:val="00C16746"/>
    <w:rsid w:val="00C169D6"/>
    <w:rsid w:val="00C16C5F"/>
    <w:rsid w:val="00C16C69"/>
    <w:rsid w:val="00C16EC0"/>
    <w:rsid w:val="00C170B7"/>
    <w:rsid w:val="00C17639"/>
    <w:rsid w:val="00C17912"/>
    <w:rsid w:val="00C17AF4"/>
    <w:rsid w:val="00C17BC0"/>
    <w:rsid w:val="00C17EFB"/>
    <w:rsid w:val="00C200EB"/>
    <w:rsid w:val="00C2010F"/>
    <w:rsid w:val="00C203ED"/>
    <w:rsid w:val="00C203EE"/>
    <w:rsid w:val="00C2079F"/>
    <w:rsid w:val="00C2110D"/>
    <w:rsid w:val="00C213BC"/>
    <w:rsid w:val="00C2147B"/>
    <w:rsid w:val="00C214FC"/>
    <w:rsid w:val="00C219C5"/>
    <w:rsid w:val="00C21A50"/>
    <w:rsid w:val="00C21AE1"/>
    <w:rsid w:val="00C21BDE"/>
    <w:rsid w:val="00C21C9F"/>
    <w:rsid w:val="00C21D86"/>
    <w:rsid w:val="00C21E16"/>
    <w:rsid w:val="00C21EEC"/>
    <w:rsid w:val="00C21F5F"/>
    <w:rsid w:val="00C21F97"/>
    <w:rsid w:val="00C2299C"/>
    <w:rsid w:val="00C229A1"/>
    <w:rsid w:val="00C22F1C"/>
    <w:rsid w:val="00C22F37"/>
    <w:rsid w:val="00C2321C"/>
    <w:rsid w:val="00C232EA"/>
    <w:rsid w:val="00C23425"/>
    <w:rsid w:val="00C237AB"/>
    <w:rsid w:val="00C23DF0"/>
    <w:rsid w:val="00C23E6F"/>
    <w:rsid w:val="00C23FEE"/>
    <w:rsid w:val="00C24111"/>
    <w:rsid w:val="00C24195"/>
    <w:rsid w:val="00C247DD"/>
    <w:rsid w:val="00C24B6C"/>
    <w:rsid w:val="00C24BC0"/>
    <w:rsid w:val="00C24D49"/>
    <w:rsid w:val="00C24E66"/>
    <w:rsid w:val="00C2522E"/>
    <w:rsid w:val="00C252B2"/>
    <w:rsid w:val="00C254AB"/>
    <w:rsid w:val="00C25644"/>
    <w:rsid w:val="00C25781"/>
    <w:rsid w:val="00C2587A"/>
    <w:rsid w:val="00C26026"/>
    <w:rsid w:val="00C260CC"/>
    <w:rsid w:val="00C26264"/>
    <w:rsid w:val="00C266D8"/>
    <w:rsid w:val="00C267CE"/>
    <w:rsid w:val="00C26B79"/>
    <w:rsid w:val="00C26CEE"/>
    <w:rsid w:val="00C270FD"/>
    <w:rsid w:val="00C2727F"/>
    <w:rsid w:val="00C272D2"/>
    <w:rsid w:val="00C27750"/>
    <w:rsid w:val="00C279A0"/>
    <w:rsid w:val="00C279A3"/>
    <w:rsid w:val="00C279E9"/>
    <w:rsid w:val="00C27CC6"/>
    <w:rsid w:val="00C27E83"/>
    <w:rsid w:val="00C27EFC"/>
    <w:rsid w:val="00C27F87"/>
    <w:rsid w:val="00C3018A"/>
    <w:rsid w:val="00C307DB"/>
    <w:rsid w:val="00C30A0D"/>
    <w:rsid w:val="00C30E17"/>
    <w:rsid w:val="00C30FFF"/>
    <w:rsid w:val="00C316B6"/>
    <w:rsid w:val="00C31A6A"/>
    <w:rsid w:val="00C31DB3"/>
    <w:rsid w:val="00C320C1"/>
    <w:rsid w:val="00C3237C"/>
    <w:rsid w:val="00C3240D"/>
    <w:rsid w:val="00C324DA"/>
    <w:rsid w:val="00C325D6"/>
    <w:rsid w:val="00C3276A"/>
    <w:rsid w:val="00C3283F"/>
    <w:rsid w:val="00C329B2"/>
    <w:rsid w:val="00C32BF5"/>
    <w:rsid w:val="00C32C3A"/>
    <w:rsid w:val="00C32CC7"/>
    <w:rsid w:val="00C32E2C"/>
    <w:rsid w:val="00C32EBE"/>
    <w:rsid w:val="00C3305E"/>
    <w:rsid w:val="00C33491"/>
    <w:rsid w:val="00C334A5"/>
    <w:rsid w:val="00C335D5"/>
    <w:rsid w:val="00C33B54"/>
    <w:rsid w:val="00C33B7E"/>
    <w:rsid w:val="00C33EBF"/>
    <w:rsid w:val="00C33F6E"/>
    <w:rsid w:val="00C3478B"/>
    <w:rsid w:val="00C348A4"/>
    <w:rsid w:val="00C34B9B"/>
    <w:rsid w:val="00C34D55"/>
    <w:rsid w:val="00C34D6B"/>
    <w:rsid w:val="00C352DD"/>
    <w:rsid w:val="00C35547"/>
    <w:rsid w:val="00C35615"/>
    <w:rsid w:val="00C35897"/>
    <w:rsid w:val="00C35932"/>
    <w:rsid w:val="00C35964"/>
    <w:rsid w:val="00C35C78"/>
    <w:rsid w:val="00C35CAB"/>
    <w:rsid w:val="00C3605C"/>
    <w:rsid w:val="00C36584"/>
    <w:rsid w:val="00C3660D"/>
    <w:rsid w:val="00C36998"/>
    <w:rsid w:val="00C36A5B"/>
    <w:rsid w:val="00C36E01"/>
    <w:rsid w:val="00C36E16"/>
    <w:rsid w:val="00C36E3A"/>
    <w:rsid w:val="00C371CA"/>
    <w:rsid w:val="00C37790"/>
    <w:rsid w:val="00C37A59"/>
    <w:rsid w:val="00C401E5"/>
    <w:rsid w:val="00C4057A"/>
    <w:rsid w:val="00C40A42"/>
    <w:rsid w:val="00C40A65"/>
    <w:rsid w:val="00C40DCE"/>
    <w:rsid w:val="00C40FC2"/>
    <w:rsid w:val="00C4125B"/>
    <w:rsid w:val="00C41818"/>
    <w:rsid w:val="00C41CCF"/>
    <w:rsid w:val="00C41D23"/>
    <w:rsid w:val="00C41F3B"/>
    <w:rsid w:val="00C42113"/>
    <w:rsid w:val="00C4211D"/>
    <w:rsid w:val="00C421DD"/>
    <w:rsid w:val="00C426CF"/>
    <w:rsid w:val="00C42873"/>
    <w:rsid w:val="00C42A56"/>
    <w:rsid w:val="00C42B46"/>
    <w:rsid w:val="00C42EE6"/>
    <w:rsid w:val="00C42FC0"/>
    <w:rsid w:val="00C4307C"/>
    <w:rsid w:val="00C433FB"/>
    <w:rsid w:val="00C4354F"/>
    <w:rsid w:val="00C435D3"/>
    <w:rsid w:val="00C43600"/>
    <w:rsid w:val="00C439FD"/>
    <w:rsid w:val="00C43DFC"/>
    <w:rsid w:val="00C43E07"/>
    <w:rsid w:val="00C43F0C"/>
    <w:rsid w:val="00C44133"/>
    <w:rsid w:val="00C441F2"/>
    <w:rsid w:val="00C4428C"/>
    <w:rsid w:val="00C44513"/>
    <w:rsid w:val="00C4478B"/>
    <w:rsid w:val="00C44E4A"/>
    <w:rsid w:val="00C46555"/>
    <w:rsid w:val="00C465CD"/>
    <w:rsid w:val="00C46609"/>
    <w:rsid w:val="00C46658"/>
    <w:rsid w:val="00C46712"/>
    <w:rsid w:val="00C46866"/>
    <w:rsid w:val="00C474A0"/>
    <w:rsid w:val="00C47C8E"/>
    <w:rsid w:val="00C47F0D"/>
    <w:rsid w:val="00C47F10"/>
    <w:rsid w:val="00C47FBA"/>
    <w:rsid w:val="00C500D4"/>
    <w:rsid w:val="00C500DF"/>
    <w:rsid w:val="00C50233"/>
    <w:rsid w:val="00C50559"/>
    <w:rsid w:val="00C505FA"/>
    <w:rsid w:val="00C5092E"/>
    <w:rsid w:val="00C50B1A"/>
    <w:rsid w:val="00C50E3D"/>
    <w:rsid w:val="00C50F3D"/>
    <w:rsid w:val="00C511C9"/>
    <w:rsid w:val="00C511DE"/>
    <w:rsid w:val="00C51355"/>
    <w:rsid w:val="00C5138E"/>
    <w:rsid w:val="00C517C4"/>
    <w:rsid w:val="00C51B3B"/>
    <w:rsid w:val="00C522BD"/>
    <w:rsid w:val="00C524DE"/>
    <w:rsid w:val="00C52589"/>
    <w:rsid w:val="00C525C2"/>
    <w:rsid w:val="00C52634"/>
    <w:rsid w:val="00C526FF"/>
    <w:rsid w:val="00C52917"/>
    <w:rsid w:val="00C52957"/>
    <w:rsid w:val="00C52AA5"/>
    <w:rsid w:val="00C52B75"/>
    <w:rsid w:val="00C530B1"/>
    <w:rsid w:val="00C53101"/>
    <w:rsid w:val="00C532B5"/>
    <w:rsid w:val="00C533A3"/>
    <w:rsid w:val="00C533D6"/>
    <w:rsid w:val="00C53543"/>
    <w:rsid w:val="00C5382E"/>
    <w:rsid w:val="00C53E3E"/>
    <w:rsid w:val="00C53ED8"/>
    <w:rsid w:val="00C53FEF"/>
    <w:rsid w:val="00C54436"/>
    <w:rsid w:val="00C547FF"/>
    <w:rsid w:val="00C54839"/>
    <w:rsid w:val="00C54A4F"/>
    <w:rsid w:val="00C54A6F"/>
    <w:rsid w:val="00C54E7B"/>
    <w:rsid w:val="00C5556B"/>
    <w:rsid w:val="00C55656"/>
    <w:rsid w:val="00C558D1"/>
    <w:rsid w:val="00C55926"/>
    <w:rsid w:val="00C55BDB"/>
    <w:rsid w:val="00C55E89"/>
    <w:rsid w:val="00C56108"/>
    <w:rsid w:val="00C561F7"/>
    <w:rsid w:val="00C56313"/>
    <w:rsid w:val="00C567F1"/>
    <w:rsid w:val="00C568DC"/>
    <w:rsid w:val="00C56AC4"/>
    <w:rsid w:val="00C56E4D"/>
    <w:rsid w:val="00C56EC9"/>
    <w:rsid w:val="00C56FEB"/>
    <w:rsid w:val="00C5721F"/>
    <w:rsid w:val="00C57332"/>
    <w:rsid w:val="00C573A1"/>
    <w:rsid w:val="00C57619"/>
    <w:rsid w:val="00C5780E"/>
    <w:rsid w:val="00C57816"/>
    <w:rsid w:val="00C5A046"/>
    <w:rsid w:val="00C6037A"/>
    <w:rsid w:val="00C604AE"/>
    <w:rsid w:val="00C60548"/>
    <w:rsid w:val="00C605FA"/>
    <w:rsid w:val="00C60943"/>
    <w:rsid w:val="00C60D3E"/>
    <w:rsid w:val="00C60F56"/>
    <w:rsid w:val="00C61139"/>
    <w:rsid w:val="00C6154F"/>
    <w:rsid w:val="00C6194B"/>
    <w:rsid w:val="00C61B01"/>
    <w:rsid w:val="00C61CE7"/>
    <w:rsid w:val="00C61E93"/>
    <w:rsid w:val="00C6230E"/>
    <w:rsid w:val="00C62452"/>
    <w:rsid w:val="00C627A7"/>
    <w:rsid w:val="00C62947"/>
    <w:rsid w:val="00C62B00"/>
    <w:rsid w:val="00C62D2E"/>
    <w:rsid w:val="00C62E07"/>
    <w:rsid w:val="00C634B6"/>
    <w:rsid w:val="00C63558"/>
    <w:rsid w:val="00C63628"/>
    <w:rsid w:val="00C6385C"/>
    <w:rsid w:val="00C638D8"/>
    <w:rsid w:val="00C63A8C"/>
    <w:rsid w:val="00C63D20"/>
    <w:rsid w:val="00C63D97"/>
    <w:rsid w:val="00C63E5F"/>
    <w:rsid w:val="00C63FD8"/>
    <w:rsid w:val="00C640FF"/>
    <w:rsid w:val="00C6497A"/>
    <w:rsid w:val="00C64E47"/>
    <w:rsid w:val="00C64E74"/>
    <w:rsid w:val="00C64EFD"/>
    <w:rsid w:val="00C6507F"/>
    <w:rsid w:val="00C65189"/>
    <w:rsid w:val="00C65282"/>
    <w:rsid w:val="00C6538E"/>
    <w:rsid w:val="00C654FE"/>
    <w:rsid w:val="00C65CBD"/>
    <w:rsid w:val="00C65EA9"/>
    <w:rsid w:val="00C65EF9"/>
    <w:rsid w:val="00C66082"/>
    <w:rsid w:val="00C66348"/>
    <w:rsid w:val="00C66767"/>
    <w:rsid w:val="00C6684B"/>
    <w:rsid w:val="00C6688F"/>
    <w:rsid w:val="00C6691E"/>
    <w:rsid w:val="00C6695C"/>
    <w:rsid w:val="00C66B5E"/>
    <w:rsid w:val="00C66BE9"/>
    <w:rsid w:val="00C66E85"/>
    <w:rsid w:val="00C66E9D"/>
    <w:rsid w:val="00C66EF0"/>
    <w:rsid w:val="00C66F2B"/>
    <w:rsid w:val="00C66F5F"/>
    <w:rsid w:val="00C67191"/>
    <w:rsid w:val="00C67725"/>
    <w:rsid w:val="00C679E6"/>
    <w:rsid w:val="00C67AB7"/>
    <w:rsid w:val="00C67C19"/>
    <w:rsid w:val="00C67D33"/>
    <w:rsid w:val="00C67E2E"/>
    <w:rsid w:val="00C67EEB"/>
    <w:rsid w:val="00C700D9"/>
    <w:rsid w:val="00C70938"/>
    <w:rsid w:val="00C70DB7"/>
    <w:rsid w:val="00C71039"/>
    <w:rsid w:val="00C711E3"/>
    <w:rsid w:val="00C714C3"/>
    <w:rsid w:val="00C71573"/>
    <w:rsid w:val="00C7157F"/>
    <w:rsid w:val="00C7178D"/>
    <w:rsid w:val="00C718B9"/>
    <w:rsid w:val="00C71A57"/>
    <w:rsid w:val="00C71D6A"/>
    <w:rsid w:val="00C71F16"/>
    <w:rsid w:val="00C71F38"/>
    <w:rsid w:val="00C71FA9"/>
    <w:rsid w:val="00C720CE"/>
    <w:rsid w:val="00C72290"/>
    <w:rsid w:val="00C7229B"/>
    <w:rsid w:val="00C7250D"/>
    <w:rsid w:val="00C7274D"/>
    <w:rsid w:val="00C72A0E"/>
    <w:rsid w:val="00C72B91"/>
    <w:rsid w:val="00C72B93"/>
    <w:rsid w:val="00C72ED7"/>
    <w:rsid w:val="00C72F3A"/>
    <w:rsid w:val="00C72FDE"/>
    <w:rsid w:val="00C730FD"/>
    <w:rsid w:val="00C7325A"/>
    <w:rsid w:val="00C73416"/>
    <w:rsid w:val="00C73496"/>
    <w:rsid w:val="00C738F3"/>
    <w:rsid w:val="00C73981"/>
    <w:rsid w:val="00C73A03"/>
    <w:rsid w:val="00C73F21"/>
    <w:rsid w:val="00C73FA2"/>
    <w:rsid w:val="00C73FEF"/>
    <w:rsid w:val="00C740F1"/>
    <w:rsid w:val="00C74138"/>
    <w:rsid w:val="00C74670"/>
    <w:rsid w:val="00C747D2"/>
    <w:rsid w:val="00C748B8"/>
    <w:rsid w:val="00C749DD"/>
    <w:rsid w:val="00C7504D"/>
    <w:rsid w:val="00C750CB"/>
    <w:rsid w:val="00C751F8"/>
    <w:rsid w:val="00C752C5"/>
    <w:rsid w:val="00C755FD"/>
    <w:rsid w:val="00C7560B"/>
    <w:rsid w:val="00C7563A"/>
    <w:rsid w:val="00C756E2"/>
    <w:rsid w:val="00C75B19"/>
    <w:rsid w:val="00C7637E"/>
    <w:rsid w:val="00C763CF"/>
    <w:rsid w:val="00C76759"/>
    <w:rsid w:val="00C7676B"/>
    <w:rsid w:val="00C76805"/>
    <w:rsid w:val="00C76AF7"/>
    <w:rsid w:val="00C76AF9"/>
    <w:rsid w:val="00C76BFA"/>
    <w:rsid w:val="00C76C6B"/>
    <w:rsid w:val="00C76D8D"/>
    <w:rsid w:val="00C76E32"/>
    <w:rsid w:val="00C771C4"/>
    <w:rsid w:val="00C779B5"/>
    <w:rsid w:val="00C77BC9"/>
    <w:rsid w:val="00C77BD0"/>
    <w:rsid w:val="00C77D7E"/>
    <w:rsid w:val="00C77FCA"/>
    <w:rsid w:val="00C8002F"/>
    <w:rsid w:val="00C800A2"/>
    <w:rsid w:val="00C8096A"/>
    <w:rsid w:val="00C80A0B"/>
    <w:rsid w:val="00C80B42"/>
    <w:rsid w:val="00C80E09"/>
    <w:rsid w:val="00C816FF"/>
    <w:rsid w:val="00C819C4"/>
    <w:rsid w:val="00C819EB"/>
    <w:rsid w:val="00C81A1C"/>
    <w:rsid w:val="00C81E38"/>
    <w:rsid w:val="00C81F4E"/>
    <w:rsid w:val="00C82416"/>
    <w:rsid w:val="00C82709"/>
    <w:rsid w:val="00C8294B"/>
    <w:rsid w:val="00C82965"/>
    <w:rsid w:val="00C82A30"/>
    <w:rsid w:val="00C82E8B"/>
    <w:rsid w:val="00C8337C"/>
    <w:rsid w:val="00C83414"/>
    <w:rsid w:val="00C83648"/>
    <w:rsid w:val="00C8366E"/>
    <w:rsid w:val="00C837AC"/>
    <w:rsid w:val="00C83AB3"/>
    <w:rsid w:val="00C83CD4"/>
    <w:rsid w:val="00C83D41"/>
    <w:rsid w:val="00C83E8B"/>
    <w:rsid w:val="00C844DE"/>
    <w:rsid w:val="00C844E0"/>
    <w:rsid w:val="00C845D5"/>
    <w:rsid w:val="00C847EA"/>
    <w:rsid w:val="00C84A64"/>
    <w:rsid w:val="00C84B4A"/>
    <w:rsid w:val="00C84C96"/>
    <w:rsid w:val="00C84F0E"/>
    <w:rsid w:val="00C84FEB"/>
    <w:rsid w:val="00C8507B"/>
    <w:rsid w:val="00C8549C"/>
    <w:rsid w:val="00C85761"/>
    <w:rsid w:val="00C85C30"/>
    <w:rsid w:val="00C85E62"/>
    <w:rsid w:val="00C86069"/>
    <w:rsid w:val="00C860AC"/>
    <w:rsid w:val="00C865A1"/>
    <w:rsid w:val="00C866DC"/>
    <w:rsid w:val="00C86B94"/>
    <w:rsid w:val="00C87148"/>
    <w:rsid w:val="00C87161"/>
    <w:rsid w:val="00C871FA"/>
    <w:rsid w:val="00C87532"/>
    <w:rsid w:val="00C87590"/>
    <w:rsid w:val="00C8764D"/>
    <w:rsid w:val="00C87B7A"/>
    <w:rsid w:val="00C87C26"/>
    <w:rsid w:val="00C87E44"/>
    <w:rsid w:val="00C90189"/>
    <w:rsid w:val="00C90296"/>
    <w:rsid w:val="00C905D1"/>
    <w:rsid w:val="00C9064C"/>
    <w:rsid w:val="00C90700"/>
    <w:rsid w:val="00C908A0"/>
    <w:rsid w:val="00C90AB4"/>
    <w:rsid w:val="00C90B97"/>
    <w:rsid w:val="00C90BAD"/>
    <w:rsid w:val="00C90DB0"/>
    <w:rsid w:val="00C91111"/>
    <w:rsid w:val="00C917CC"/>
    <w:rsid w:val="00C91967"/>
    <w:rsid w:val="00C91980"/>
    <w:rsid w:val="00C91CA4"/>
    <w:rsid w:val="00C92032"/>
    <w:rsid w:val="00C920F1"/>
    <w:rsid w:val="00C92171"/>
    <w:rsid w:val="00C922BF"/>
    <w:rsid w:val="00C92339"/>
    <w:rsid w:val="00C92380"/>
    <w:rsid w:val="00C923B6"/>
    <w:rsid w:val="00C9241D"/>
    <w:rsid w:val="00C924CB"/>
    <w:rsid w:val="00C926C5"/>
    <w:rsid w:val="00C9271F"/>
    <w:rsid w:val="00C929DE"/>
    <w:rsid w:val="00C92A1A"/>
    <w:rsid w:val="00C92A21"/>
    <w:rsid w:val="00C92B92"/>
    <w:rsid w:val="00C92C95"/>
    <w:rsid w:val="00C92F11"/>
    <w:rsid w:val="00C93891"/>
    <w:rsid w:val="00C9390D"/>
    <w:rsid w:val="00C93926"/>
    <w:rsid w:val="00C93A3F"/>
    <w:rsid w:val="00C93A77"/>
    <w:rsid w:val="00C93F6E"/>
    <w:rsid w:val="00C942AA"/>
    <w:rsid w:val="00C942B5"/>
    <w:rsid w:val="00C945C9"/>
    <w:rsid w:val="00C94788"/>
    <w:rsid w:val="00C94B94"/>
    <w:rsid w:val="00C94DAB"/>
    <w:rsid w:val="00C94F16"/>
    <w:rsid w:val="00C952D1"/>
    <w:rsid w:val="00C9538D"/>
    <w:rsid w:val="00C9540E"/>
    <w:rsid w:val="00C95731"/>
    <w:rsid w:val="00C957E9"/>
    <w:rsid w:val="00C957F2"/>
    <w:rsid w:val="00C95C41"/>
    <w:rsid w:val="00C95F4D"/>
    <w:rsid w:val="00C96048"/>
    <w:rsid w:val="00C96059"/>
    <w:rsid w:val="00C96383"/>
    <w:rsid w:val="00C96496"/>
    <w:rsid w:val="00C96505"/>
    <w:rsid w:val="00C969BD"/>
    <w:rsid w:val="00C9715F"/>
    <w:rsid w:val="00C97247"/>
    <w:rsid w:val="00C97364"/>
    <w:rsid w:val="00C975E4"/>
    <w:rsid w:val="00C97B81"/>
    <w:rsid w:val="00C97BD2"/>
    <w:rsid w:val="00CA009B"/>
    <w:rsid w:val="00CA0350"/>
    <w:rsid w:val="00CA052E"/>
    <w:rsid w:val="00CA0758"/>
    <w:rsid w:val="00CA07B8"/>
    <w:rsid w:val="00CA0BFD"/>
    <w:rsid w:val="00CA0CF0"/>
    <w:rsid w:val="00CA1483"/>
    <w:rsid w:val="00CA14C6"/>
    <w:rsid w:val="00CA1533"/>
    <w:rsid w:val="00CA171B"/>
    <w:rsid w:val="00CA179E"/>
    <w:rsid w:val="00CA1A36"/>
    <w:rsid w:val="00CA1AD5"/>
    <w:rsid w:val="00CA1BCC"/>
    <w:rsid w:val="00CA2294"/>
    <w:rsid w:val="00CA2300"/>
    <w:rsid w:val="00CA284E"/>
    <w:rsid w:val="00CA314B"/>
    <w:rsid w:val="00CA3573"/>
    <w:rsid w:val="00CA37F7"/>
    <w:rsid w:val="00CA390E"/>
    <w:rsid w:val="00CA3B09"/>
    <w:rsid w:val="00CA3D09"/>
    <w:rsid w:val="00CA3D4B"/>
    <w:rsid w:val="00CA405B"/>
    <w:rsid w:val="00CA42DC"/>
    <w:rsid w:val="00CA4376"/>
    <w:rsid w:val="00CA447C"/>
    <w:rsid w:val="00CA45AF"/>
    <w:rsid w:val="00CA4D75"/>
    <w:rsid w:val="00CA4E33"/>
    <w:rsid w:val="00CA51D6"/>
    <w:rsid w:val="00CA5380"/>
    <w:rsid w:val="00CA53DC"/>
    <w:rsid w:val="00CA5735"/>
    <w:rsid w:val="00CA587A"/>
    <w:rsid w:val="00CA5976"/>
    <w:rsid w:val="00CA5AFA"/>
    <w:rsid w:val="00CA5D1B"/>
    <w:rsid w:val="00CA5EDC"/>
    <w:rsid w:val="00CA5FEA"/>
    <w:rsid w:val="00CA6138"/>
    <w:rsid w:val="00CA6669"/>
    <w:rsid w:val="00CA668D"/>
    <w:rsid w:val="00CA67BB"/>
    <w:rsid w:val="00CA681D"/>
    <w:rsid w:val="00CA68A7"/>
    <w:rsid w:val="00CA6B35"/>
    <w:rsid w:val="00CA6B4B"/>
    <w:rsid w:val="00CA6CDC"/>
    <w:rsid w:val="00CA701F"/>
    <w:rsid w:val="00CA73DD"/>
    <w:rsid w:val="00CA740A"/>
    <w:rsid w:val="00CA7657"/>
    <w:rsid w:val="00CA7A0B"/>
    <w:rsid w:val="00CA7AB1"/>
    <w:rsid w:val="00CB00F3"/>
    <w:rsid w:val="00CB02D1"/>
    <w:rsid w:val="00CB087C"/>
    <w:rsid w:val="00CB0A52"/>
    <w:rsid w:val="00CB0A69"/>
    <w:rsid w:val="00CB0ABC"/>
    <w:rsid w:val="00CB0D7B"/>
    <w:rsid w:val="00CB0DC1"/>
    <w:rsid w:val="00CB0F6B"/>
    <w:rsid w:val="00CB0FB0"/>
    <w:rsid w:val="00CB10C8"/>
    <w:rsid w:val="00CB16CA"/>
    <w:rsid w:val="00CB187F"/>
    <w:rsid w:val="00CB1D81"/>
    <w:rsid w:val="00CB1E8D"/>
    <w:rsid w:val="00CB1F27"/>
    <w:rsid w:val="00CB2061"/>
    <w:rsid w:val="00CB2302"/>
    <w:rsid w:val="00CB2358"/>
    <w:rsid w:val="00CB23F0"/>
    <w:rsid w:val="00CB2596"/>
    <w:rsid w:val="00CB26FB"/>
    <w:rsid w:val="00CB2C52"/>
    <w:rsid w:val="00CB2CA0"/>
    <w:rsid w:val="00CB2CFE"/>
    <w:rsid w:val="00CB2DB3"/>
    <w:rsid w:val="00CB2E0B"/>
    <w:rsid w:val="00CB33F6"/>
    <w:rsid w:val="00CB35BB"/>
    <w:rsid w:val="00CB368A"/>
    <w:rsid w:val="00CB36DD"/>
    <w:rsid w:val="00CB376C"/>
    <w:rsid w:val="00CB37B4"/>
    <w:rsid w:val="00CB382C"/>
    <w:rsid w:val="00CB3A90"/>
    <w:rsid w:val="00CB3ADE"/>
    <w:rsid w:val="00CB3BB5"/>
    <w:rsid w:val="00CB3E15"/>
    <w:rsid w:val="00CB411C"/>
    <w:rsid w:val="00CB4239"/>
    <w:rsid w:val="00CB42C6"/>
    <w:rsid w:val="00CB449D"/>
    <w:rsid w:val="00CB44D6"/>
    <w:rsid w:val="00CB473A"/>
    <w:rsid w:val="00CB486B"/>
    <w:rsid w:val="00CB4B81"/>
    <w:rsid w:val="00CB4E47"/>
    <w:rsid w:val="00CB4FA8"/>
    <w:rsid w:val="00CB5104"/>
    <w:rsid w:val="00CB5247"/>
    <w:rsid w:val="00CB5893"/>
    <w:rsid w:val="00CB59C9"/>
    <w:rsid w:val="00CB5D28"/>
    <w:rsid w:val="00CB5DD9"/>
    <w:rsid w:val="00CB5F0C"/>
    <w:rsid w:val="00CB5F40"/>
    <w:rsid w:val="00CB613C"/>
    <w:rsid w:val="00CB63EE"/>
    <w:rsid w:val="00CB64A1"/>
    <w:rsid w:val="00CB66ED"/>
    <w:rsid w:val="00CB692F"/>
    <w:rsid w:val="00CB69F8"/>
    <w:rsid w:val="00CB6D25"/>
    <w:rsid w:val="00CB6D31"/>
    <w:rsid w:val="00CB6DEF"/>
    <w:rsid w:val="00CB70BF"/>
    <w:rsid w:val="00CB7155"/>
    <w:rsid w:val="00CB7429"/>
    <w:rsid w:val="00CB7933"/>
    <w:rsid w:val="00CB7ABB"/>
    <w:rsid w:val="00CB7B36"/>
    <w:rsid w:val="00CB7EAA"/>
    <w:rsid w:val="00CB7EB2"/>
    <w:rsid w:val="00CB7EDE"/>
    <w:rsid w:val="00CC005D"/>
    <w:rsid w:val="00CC00A0"/>
    <w:rsid w:val="00CC00E1"/>
    <w:rsid w:val="00CC02A4"/>
    <w:rsid w:val="00CC05FE"/>
    <w:rsid w:val="00CC06EC"/>
    <w:rsid w:val="00CC081C"/>
    <w:rsid w:val="00CC089E"/>
    <w:rsid w:val="00CC09BC"/>
    <w:rsid w:val="00CC0AF6"/>
    <w:rsid w:val="00CC0BFF"/>
    <w:rsid w:val="00CC0CDE"/>
    <w:rsid w:val="00CC0F7D"/>
    <w:rsid w:val="00CC10C5"/>
    <w:rsid w:val="00CC1156"/>
    <w:rsid w:val="00CC12C2"/>
    <w:rsid w:val="00CC153D"/>
    <w:rsid w:val="00CC1761"/>
    <w:rsid w:val="00CC1B2F"/>
    <w:rsid w:val="00CC1BB3"/>
    <w:rsid w:val="00CC1CE9"/>
    <w:rsid w:val="00CC1D4F"/>
    <w:rsid w:val="00CC1FD9"/>
    <w:rsid w:val="00CC2394"/>
    <w:rsid w:val="00CC2995"/>
    <w:rsid w:val="00CC2AAE"/>
    <w:rsid w:val="00CC2C2B"/>
    <w:rsid w:val="00CC2C2F"/>
    <w:rsid w:val="00CC2C42"/>
    <w:rsid w:val="00CC2C9D"/>
    <w:rsid w:val="00CC30CB"/>
    <w:rsid w:val="00CC3414"/>
    <w:rsid w:val="00CC34F0"/>
    <w:rsid w:val="00CC352B"/>
    <w:rsid w:val="00CC355C"/>
    <w:rsid w:val="00CC3795"/>
    <w:rsid w:val="00CC37FA"/>
    <w:rsid w:val="00CC3991"/>
    <w:rsid w:val="00CC3BEF"/>
    <w:rsid w:val="00CC3D2B"/>
    <w:rsid w:val="00CC3D7C"/>
    <w:rsid w:val="00CC3EA4"/>
    <w:rsid w:val="00CC3FD4"/>
    <w:rsid w:val="00CC4001"/>
    <w:rsid w:val="00CC4196"/>
    <w:rsid w:val="00CC42D6"/>
    <w:rsid w:val="00CC439C"/>
    <w:rsid w:val="00CC43C8"/>
    <w:rsid w:val="00CC4532"/>
    <w:rsid w:val="00CC48F0"/>
    <w:rsid w:val="00CC4C33"/>
    <w:rsid w:val="00CC4D40"/>
    <w:rsid w:val="00CC5059"/>
    <w:rsid w:val="00CC5426"/>
    <w:rsid w:val="00CC5626"/>
    <w:rsid w:val="00CC5968"/>
    <w:rsid w:val="00CC59A5"/>
    <w:rsid w:val="00CC5EBE"/>
    <w:rsid w:val="00CC63E3"/>
    <w:rsid w:val="00CC68B1"/>
    <w:rsid w:val="00CC6919"/>
    <w:rsid w:val="00CC6B7A"/>
    <w:rsid w:val="00CC6BDC"/>
    <w:rsid w:val="00CC6C36"/>
    <w:rsid w:val="00CC7592"/>
    <w:rsid w:val="00CC76DA"/>
    <w:rsid w:val="00CC7743"/>
    <w:rsid w:val="00CC7A12"/>
    <w:rsid w:val="00CC7CE1"/>
    <w:rsid w:val="00CC7DB7"/>
    <w:rsid w:val="00CC7FDF"/>
    <w:rsid w:val="00CD0214"/>
    <w:rsid w:val="00CD0220"/>
    <w:rsid w:val="00CD04CF"/>
    <w:rsid w:val="00CD070B"/>
    <w:rsid w:val="00CD0B68"/>
    <w:rsid w:val="00CD0CF2"/>
    <w:rsid w:val="00CD0D0A"/>
    <w:rsid w:val="00CD0F92"/>
    <w:rsid w:val="00CD13E1"/>
    <w:rsid w:val="00CD142D"/>
    <w:rsid w:val="00CD171B"/>
    <w:rsid w:val="00CD17E4"/>
    <w:rsid w:val="00CD1A55"/>
    <w:rsid w:val="00CD1BA4"/>
    <w:rsid w:val="00CD1C2C"/>
    <w:rsid w:val="00CD1C94"/>
    <w:rsid w:val="00CD1D97"/>
    <w:rsid w:val="00CD1E5A"/>
    <w:rsid w:val="00CD22CC"/>
    <w:rsid w:val="00CD2324"/>
    <w:rsid w:val="00CD2699"/>
    <w:rsid w:val="00CD28BC"/>
    <w:rsid w:val="00CD2D8D"/>
    <w:rsid w:val="00CD2E67"/>
    <w:rsid w:val="00CD2FFA"/>
    <w:rsid w:val="00CD3064"/>
    <w:rsid w:val="00CD31B7"/>
    <w:rsid w:val="00CD334C"/>
    <w:rsid w:val="00CD33E3"/>
    <w:rsid w:val="00CD372B"/>
    <w:rsid w:val="00CD38F8"/>
    <w:rsid w:val="00CD396F"/>
    <w:rsid w:val="00CD398F"/>
    <w:rsid w:val="00CD3B8E"/>
    <w:rsid w:val="00CD3DF7"/>
    <w:rsid w:val="00CD3E6B"/>
    <w:rsid w:val="00CD3E6D"/>
    <w:rsid w:val="00CD41C2"/>
    <w:rsid w:val="00CD432B"/>
    <w:rsid w:val="00CD436C"/>
    <w:rsid w:val="00CD4446"/>
    <w:rsid w:val="00CD44A9"/>
    <w:rsid w:val="00CD452C"/>
    <w:rsid w:val="00CD4664"/>
    <w:rsid w:val="00CD4716"/>
    <w:rsid w:val="00CD4CED"/>
    <w:rsid w:val="00CD4E8B"/>
    <w:rsid w:val="00CD50DD"/>
    <w:rsid w:val="00CD5279"/>
    <w:rsid w:val="00CD5508"/>
    <w:rsid w:val="00CD5657"/>
    <w:rsid w:val="00CD5879"/>
    <w:rsid w:val="00CD6079"/>
    <w:rsid w:val="00CD63C6"/>
    <w:rsid w:val="00CD65AE"/>
    <w:rsid w:val="00CD681C"/>
    <w:rsid w:val="00CD6CB5"/>
    <w:rsid w:val="00CD6EDB"/>
    <w:rsid w:val="00CD7313"/>
    <w:rsid w:val="00CD731C"/>
    <w:rsid w:val="00CD74E2"/>
    <w:rsid w:val="00CD794E"/>
    <w:rsid w:val="00CD7978"/>
    <w:rsid w:val="00CD798F"/>
    <w:rsid w:val="00CD7B69"/>
    <w:rsid w:val="00CD7FC0"/>
    <w:rsid w:val="00CE00F9"/>
    <w:rsid w:val="00CE01F4"/>
    <w:rsid w:val="00CE0624"/>
    <w:rsid w:val="00CE066C"/>
    <w:rsid w:val="00CE06D8"/>
    <w:rsid w:val="00CE0A8A"/>
    <w:rsid w:val="00CE0E74"/>
    <w:rsid w:val="00CE0F5B"/>
    <w:rsid w:val="00CE13C9"/>
    <w:rsid w:val="00CE13FE"/>
    <w:rsid w:val="00CE16FC"/>
    <w:rsid w:val="00CE1728"/>
    <w:rsid w:val="00CE1872"/>
    <w:rsid w:val="00CE1998"/>
    <w:rsid w:val="00CE19DC"/>
    <w:rsid w:val="00CE1DA6"/>
    <w:rsid w:val="00CE1F30"/>
    <w:rsid w:val="00CE1F66"/>
    <w:rsid w:val="00CE20D1"/>
    <w:rsid w:val="00CE225E"/>
    <w:rsid w:val="00CE226E"/>
    <w:rsid w:val="00CE240E"/>
    <w:rsid w:val="00CE245A"/>
    <w:rsid w:val="00CE24F1"/>
    <w:rsid w:val="00CE2720"/>
    <w:rsid w:val="00CE29AA"/>
    <w:rsid w:val="00CE2B48"/>
    <w:rsid w:val="00CE30F9"/>
    <w:rsid w:val="00CE327A"/>
    <w:rsid w:val="00CE32CE"/>
    <w:rsid w:val="00CE38E3"/>
    <w:rsid w:val="00CE38E9"/>
    <w:rsid w:val="00CE38FB"/>
    <w:rsid w:val="00CE3C20"/>
    <w:rsid w:val="00CE3D67"/>
    <w:rsid w:val="00CE41E8"/>
    <w:rsid w:val="00CE4262"/>
    <w:rsid w:val="00CE444F"/>
    <w:rsid w:val="00CE466B"/>
    <w:rsid w:val="00CE477B"/>
    <w:rsid w:val="00CE4835"/>
    <w:rsid w:val="00CE490D"/>
    <w:rsid w:val="00CE4950"/>
    <w:rsid w:val="00CE4969"/>
    <w:rsid w:val="00CE499D"/>
    <w:rsid w:val="00CE4A9E"/>
    <w:rsid w:val="00CE4AF4"/>
    <w:rsid w:val="00CE4B16"/>
    <w:rsid w:val="00CE4E98"/>
    <w:rsid w:val="00CE501F"/>
    <w:rsid w:val="00CE5131"/>
    <w:rsid w:val="00CE5449"/>
    <w:rsid w:val="00CE5C38"/>
    <w:rsid w:val="00CE622A"/>
    <w:rsid w:val="00CE63DF"/>
    <w:rsid w:val="00CE6763"/>
    <w:rsid w:val="00CE677E"/>
    <w:rsid w:val="00CE68EE"/>
    <w:rsid w:val="00CE6B31"/>
    <w:rsid w:val="00CE6D36"/>
    <w:rsid w:val="00CE6E51"/>
    <w:rsid w:val="00CE6EF0"/>
    <w:rsid w:val="00CE7176"/>
    <w:rsid w:val="00CE742C"/>
    <w:rsid w:val="00CE74AC"/>
    <w:rsid w:val="00CE74CB"/>
    <w:rsid w:val="00CE75E1"/>
    <w:rsid w:val="00CE7703"/>
    <w:rsid w:val="00CE7795"/>
    <w:rsid w:val="00CE7AD1"/>
    <w:rsid w:val="00CE7B94"/>
    <w:rsid w:val="00CE7BB3"/>
    <w:rsid w:val="00CE7CF7"/>
    <w:rsid w:val="00CF0015"/>
    <w:rsid w:val="00CF00E7"/>
    <w:rsid w:val="00CF0393"/>
    <w:rsid w:val="00CF0552"/>
    <w:rsid w:val="00CF05A6"/>
    <w:rsid w:val="00CF0787"/>
    <w:rsid w:val="00CF094A"/>
    <w:rsid w:val="00CF0A4F"/>
    <w:rsid w:val="00CF0A71"/>
    <w:rsid w:val="00CF0D23"/>
    <w:rsid w:val="00CF0D48"/>
    <w:rsid w:val="00CF0E26"/>
    <w:rsid w:val="00CF1708"/>
    <w:rsid w:val="00CF1772"/>
    <w:rsid w:val="00CF19F7"/>
    <w:rsid w:val="00CF1B38"/>
    <w:rsid w:val="00CF1F6D"/>
    <w:rsid w:val="00CF2031"/>
    <w:rsid w:val="00CF239D"/>
    <w:rsid w:val="00CF24F8"/>
    <w:rsid w:val="00CF2769"/>
    <w:rsid w:val="00CF28D2"/>
    <w:rsid w:val="00CF297B"/>
    <w:rsid w:val="00CF29DF"/>
    <w:rsid w:val="00CF2C96"/>
    <w:rsid w:val="00CF2E49"/>
    <w:rsid w:val="00CF3290"/>
    <w:rsid w:val="00CF334E"/>
    <w:rsid w:val="00CF34E6"/>
    <w:rsid w:val="00CF38EE"/>
    <w:rsid w:val="00CF3A1A"/>
    <w:rsid w:val="00CF46FF"/>
    <w:rsid w:val="00CF4734"/>
    <w:rsid w:val="00CF4BB0"/>
    <w:rsid w:val="00CF4BBE"/>
    <w:rsid w:val="00CF4C06"/>
    <w:rsid w:val="00CF5196"/>
    <w:rsid w:val="00CF58A2"/>
    <w:rsid w:val="00CF595D"/>
    <w:rsid w:val="00CF5D79"/>
    <w:rsid w:val="00CF5F56"/>
    <w:rsid w:val="00CF6158"/>
    <w:rsid w:val="00CF6AA1"/>
    <w:rsid w:val="00CF6BEF"/>
    <w:rsid w:val="00CF6C6F"/>
    <w:rsid w:val="00CF6D8B"/>
    <w:rsid w:val="00CF6E8A"/>
    <w:rsid w:val="00CF7077"/>
    <w:rsid w:val="00CF71C4"/>
    <w:rsid w:val="00CF727F"/>
    <w:rsid w:val="00CF740B"/>
    <w:rsid w:val="00CF74CB"/>
    <w:rsid w:val="00CF75DC"/>
    <w:rsid w:val="00CF7955"/>
    <w:rsid w:val="00CF7CCB"/>
    <w:rsid w:val="00CF7D6A"/>
    <w:rsid w:val="00D00378"/>
    <w:rsid w:val="00D0078F"/>
    <w:rsid w:val="00D00911"/>
    <w:rsid w:val="00D0094C"/>
    <w:rsid w:val="00D00985"/>
    <w:rsid w:val="00D00DF6"/>
    <w:rsid w:val="00D00E45"/>
    <w:rsid w:val="00D00F02"/>
    <w:rsid w:val="00D01339"/>
    <w:rsid w:val="00D01579"/>
    <w:rsid w:val="00D01698"/>
    <w:rsid w:val="00D018F7"/>
    <w:rsid w:val="00D01925"/>
    <w:rsid w:val="00D01942"/>
    <w:rsid w:val="00D01C80"/>
    <w:rsid w:val="00D01CF5"/>
    <w:rsid w:val="00D01E2A"/>
    <w:rsid w:val="00D020AF"/>
    <w:rsid w:val="00D022A9"/>
    <w:rsid w:val="00D02370"/>
    <w:rsid w:val="00D024A3"/>
    <w:rsid w:val="00D02634"/>
    <w:rsid w:val="00D02A60"/>
    <w:rsid w:val="00D02AFD"/>
    <w:rsid w:val="00D02C12"/>
    <w:rsid w:val="00D02EB9"/>
    <w:rsid w:val="00D03006"/>
    <w:rsid w:val="00D03125"/>
    <w:rsid w:val="00D034E6"/>
    <w:rsid w:val="00D03B6E"/>
    <w:rsid w:val="00D03B97"/>
    <w:rsid w:val="00D03C49"/>
    <w:rsid w:val="00D03FB2"/>
    <w:rsid w:val="00D04213"/>
    <w:rsid w:val="00D043AC"/>
    <w:rsid w:val="00D045B9"/>
    <w:rsid w:val="00D04617"/>
    <w:rsid w:val="00D04659"/>
    <w:rsid w:val="00D048BB"/>
    <w:rsid w:val="00D049EB"/>
    <w:rsid w:val="00D04ED2"/>
    <w:rsid w:val="00D04F2F"/>
    <w:rsid w:val="00D04F7E"/>
    <w:rsid w:val="00D04FF3"/>
    <w:rsid w:val="00D05443"/>
    <w:rsid w:val="00D05661"/>
    <w:rsid w:val="00D05703"/>
    <w:rsid w:val="00D05729"/>
    <w:rsid w:val="00D05865"/>
    <w:rsid w:val="00D059B1"/>
    <w:rsid w:val="00D05DAA"/>
    <w:rsid w:val="00D05EDD"/>
    <w:rsid w:val="00D05EE4"/>
    <w:rsid w:val="00D06178"/>
    <w:rsid w:val="00D06824"/>
    <w:rsid w:val="00D06830"/>
    <w:rsid w:val="00D06842"/>
    <w:rsid w:val="00D068BE"/>
    <w:rsid w:val="00D068E8"/>
    <w:rsid w:val="00D069B2"/>
    <w:rsid w:val="00D06BE2"/>
    <w:rsid w:val="00D06DB7"/>
    <w:rsid w:val="00D06E43"/>
    <w:rsid w:val="00D0734A"/>
    <w:rsid w:val="00D07717"/>
    <w:rsid w:val="00D078E9"/>
    <w:rsid w:val="00D07FBE"/>
    <w:rsid w:val="00D10073"/>
    <w:rsid w:val="00D101C0"/>
    <w:rsid w:val="00D10490"/>
    <w:rsid w:val="00D10501"/>
    <w:rsid w:val="00D107E3"/>
    <w:rsid w:val="00D1113E"/>
    <w:rsid w:val="00D11481"/>
    <w:rsid w:val="00D11842"/>
    <w:rsid w:val="00D11865"/>
    <w:rsid w:val="00D11FA9"/>
    <w:rsid w:val="00D1204A"/>
    <w:rsid w:val="00D12749"/>
    <w:rsid w:val="00D1275D"/>
    <w:rsid w:val="00D12763"/>
    <w:rsid w:val="00D12B4E"/>
    <w:rsid w:val="00D12E0F"/>
    <w:rsid w:val="00D12E29"/>
    <w:rsid w:val="00D13041"/>
    <w:rsid w:val="00D132CC"/>
    <w:rsid w:val="00D1363C"/>
    <w:rsid w:val="00D13BB7"/>
    <w:rsid w:val="00D14245"/>
    <w:rsid w:val="00D14450"/>
    <w:rsid w:val="00D1477E"/>
    <w:rsid w:val="00D14EAD"/>
    <w:rsid w:val="00D14FD8"/>
    <w:rsid w:val="00D15084"/>
    <w:rsid w:val="00D1511A"/>
    <w:rsid w:val="00D15643"/>
    <w:rsid w:val="00D15645"/>
    <w:rsid w:val="00D156FF"/>
    <w:rsid w:val="00D1589B"/>
    <w:rsid w:val="00D159E0"/>
    <w:rsid w:val="00D15DCC"/>
    <w:rsid w:val="00D15EA3"/>
    <w:rsid w:val="00D16080"/>
    <w:rsid w:val="00D160F1"/>
    <w:rsid w:val="00D16553"/>
    <w:rsid w:val="00D165AB"/>
    <w:rsid w:val="00D167D4"/>
    <w:rsid w:val="00D16A51"/>
    <w:rsid w:val="00D16B8F"/>
    <w:rsid w:val="00D16C49"/>
    <w:rsid w:val="00D16C7E"/>
    <w:rsid w:val="00D16FCC"/>
    <w:rsid w:val="00D1714B"/>
    <w:rsid w:val="00D17174"/>
    <w:rsid w:val="00D17709"/>
    <w:rsid w:val="00D1779C"/>
    <w:rsid w:val="00D17BA3"/>
    <w:rsid w:val="00D17BDF"/>
    <w:rsid w:val="00D17D56"/>
    <w:rsid w:val="00D1C952"/>
    <w:rsid w:val="00D200C3"/>
    <w:rsid w:val="00D20381"/>
    <w:rsid w:val="00D204E2"/>
    <w:rsid w:val="00D20530"/>
    <w:rsid w:val="00D20C71"/>
    <w:rsid w:val="00D20E7D"/>
    <w:rsid w:val="00D20F0B"/>
    <w:rsid w:val="00D210F1"/>
    <w:rsid w:val="00D2135D"/>
    <w:rsid w:val="00D21EDF"/>
    <w:rsid w:val="00D2220F"/>
    <w:rsid w:val="00D2279F"/>
    <w:rsid w:val="00D22E32"/>
    <w:rsid w:val="00D22E6B"/>
    <w:rsid w:val="00D2304C"/>
    <w:rsid w:val="00D23216"/>
    <w:rsid w:val="00D23223"/>
    <w:rsid w:val="00D23303"/>
    <w:rsid w:val="00D2365F"/>
    <w:rsid w:val="00D23662"/>
    <w:rsid w:val="00D237BA"/>
    <w:rsid w:val="00D23A82"/>
    <w:rsid w:val="00D23F1A"/>
    <w:rsid w:val="00D24045"/>
    <w:rsid w:val="00D24299"/>
    <w:rsid w:val="00D24537"/>
    <w:rsid w:val="00D2456D"/>
    <w:rsid w:val="00D245A5"/>
    <w:rsid w:val="00D248B8"/>
    <w:rsid w:val="00D25083"/>
    <w:rsid w:val="00D253E7"/>
    <w:rsid w:val="00D2542D"/>
    <w:rsid w:val="00D254E2"/>
    <w:rsid w:val="00D25EF3"/>
    <w:rsid w:val="00D25F14"/>
    <w:rsid w:val="00D26295"/>
    <w:rsid w:val="00D2638B"/>
    <w:rsid w:val="00D265F8"/>
    <w:rsid w:val="00D26626"/>
    <w:rsid w:val="00D2675C"/>
    <w:rsid w:val="00D26824"/>
    <w:rsid w:val="00D27143"/>
    <w:rsid w:val="00D274FF"/>
    <w:rsid w:val="00D2757E"/>
    <w:rsid w:val="00D275F4"/>
    <w:rsid w:val="00D278D1"/>
    <w:rsid w:val="00D27988"/>
    <w:rsid w:val="00D27A36"/>
    <w:rsid w:val="00D27AD8"/>
    <w:rsid w:val="00D27D33"/>
    <w:rsid w:val="00D30092"/>
    <w:rsid w:val="00D301F6"/>
    <w:rsid w:val="00D3056E"/>
    <w:rsid w:val="00D30739"/>
    <w:rsid w:val="00D3083E"/>
    <w:rsid w:val="00D308CF"/>
    <w:rsid w:val="00D30CC0"/>
    <w:rsid w:val="00D312A3"/>
    <w:rsid w:val="00D312E4"/>
    <w:rsid w:val="00D31360"/>
    <w:rsid w:val="00D31425"/>
    <w:rsid w:val="00D314FE"/>
    <w:rsid w:val="00D3159B"/>
    <w:rsid w:val="00D3162C"/>
    <w:rsid w:val="00D31871"/>
    <w:rsid w:val="00D31911"/>
    <w:rsid w:val="00D31C27"/>
    <w:rsid w:val="00D31C63"/>
    <w:rsid w:val="00D31CC4"/>
    <w:rsid w:val="00D321CD"/>
    <w:rsid w:val="00D32216"/>
    <w:rsid w:val="00D3250D"/>
    <w:rsid w:val="00D3291A"/>
    <w:rsid w:val="00D32978"/>
    <w:rsid w:val="00D329D4"/>
    <w:rsid w:val="00D32AC5"/>
    <w:rsid w:val="00D33010"/>
    <w:rsid w:val="00D335B0"/>
    <w:rsid w:val="00D33951"/>
    <w:rsid w:val="00D33BF1"/>
    <w:rsid w:val="00D33C4A"/>
    <w:rsid w:val="00D33DE3"/>
    <w:rsid w:val="00D33DED"/>
    <w:rsid w:val="00D33FA3"/>
    <w:rsid w:val="00D3406F"/>
    <w:rsid w:val="00D34180"/>
    <w:rsid w:val="00D34675"/>
    <w:rsid w:val="00D3472E"/>
    <w:rsid w:val="00D34DE9"/>
    <w:rsid w:val="00D35010"/>
    <w:rsid w:val="00D3535B"/>
    <w:rsid w:val="00D35376"/>
    <w:rsid w:val="00D3539D"/>
    <w:rsid w:val="00D35508"/>
    <w:rsid w:val="00D356B3"/>
    <w:rsid w:val="00D356CD"/>
    <w:rsid w:val="00D3610B"/>
    <w:rsid w:val="00D3669C"/>
    <w:rsid w:val="00D366E4"/>
    <w:rsid w:val="00D36A15"/>
    <w:rsid w:val="00D36B19"/>
    <w:rsid w:val="00D36BF4"/>
    <w:rsid w:val="00D36F40"/>
    <w:rsid w:val="00D36FA5"/>
    <w:rsid w:val="00D37185"/>
    <w:rsid w:val="00D37290"/>
    <w:rsid w:val="00D378D4"/>
    <w:rsid w:val="00D37940"/>
    <w:rsid w:val="00D37EE2"/>
    <w:rsid w:val="00D40250"/>
    <w:rsid w:val="00D40DB8"/>
    <w:rsid w:val="00D41195"/>
    <w:rsid w:val="00D41288"/>
    <w:rsid w:val="00D412C0"/>
    <w:rsid w:val="00D4143A"/>
    <w:rsid w:val="00D41486"/>
    <w:rsid w:val="00D41491"/>
    <w:rsid w:val="00D41496"/>
    <w:rsid w:val="00D41677"/>
    <w:rsid w:val="00D41A93"/>
    <w:rsid w:val="00D41D31"/>
    <w:rsid w:val="00D41F6D"/>
    <w:rsid w:val="00D42549"/>
    <w:rsid w:val="00D428E6"/>
    <w:rsid w:val="00D42982"/>
    <w:rsid w:val="00D4325C"/>
    <w:rsid w:val="00D432A2"/>
    <w:rsid w:val="00D43355"/>
    <w:rsid w:val="00D433CA"/>
    <w:rsid w:val="00D436A5"/>
    <w:rsid w:val="00D4396E"/>
    <w:rsid w:val="00D43ECD"/>
    <w:rsid w:val="00D43F79"/>
    <w:rsid w:val="00D440E8"/>
    <w:rsid w:val="00D4449E"/>
    <w:rsid w:val="00D44513"/>
    <w:rsid w:val="00D44758"/>
    <w:rsid w:val="00D44C20"/>
    <w:rsid w:val="00D44DFC"/>
    <w:rsid w:val="00D44EC3"/>
    <w:rsid w:val="00D4500C"/>
    <w:rsid w:val="00D457D0"/>
    <w:rsid w:val="00D4596B"/>
    <w:rsid w:val="00D45DBE"/>
    <w:rsid w:val="00D45ED5"/>
    <w:rsid w:val="00D46356"/>
    <w:rsid w:val="00D46586"/>
    <w:rsid w:val="00D465DD"/>
    <w:rsid w:val="00D46629"/>
    <w:rsid w:val="00D46725"/>
    <w:rsid w:val="00D46A4E"/>
    <w:rsid w:val="00D46E29"/>
    <w:rsid w:val="00D46ED9"/>
    <w:rsid w:val="00D46F01"/>
    <w:rsid w:val="00D46FD3"/>
    <w:rsid w:val="00D47121"/>
    <w:rsid w:val="00D47283"/>
    <w:rsid w:val="00D47438"/>
    <w:rsid w:val="00D4751D"/>
    <w:rsid w:val="00D4776F"/>
    <w:rsid w:val="00D47870"/>
    <w:rsid w:val="00D4799B"/>
    <w:rsid w:val="00D479AF"/>
    <w:rsid w:val="00D47A7A"/>
    <w:rsid w:val="00D47C24"/>
    <w:rsid w:val="00D47F4E"/>
    <w:rsid w:val="00D47FD7"/>
    <w:rsid w:val="00D501CD"/>
    <w:rsid w:val="00D50481"/>
    <w:rsid w:val="00D504AB"/>
    <w:rsid w:val="00D50819"/>
    <w:rsid w:val="00D5096A"/>
    <w:rsid w:val="00D509FD"/>
    <w:rsid w:val="00D50A3C"/>
    <w:rsid w:val="00D50C5E"/>
    <w:rsid w:val="00D50E19"/>
    <w:rsid w:val="00D50F44"/>
    <w:rsid w:val="00D51080"/>
    <w:rsid w:val="00D5132A"/>
    <w:rsid w:val="00D513D5"/>
    <w:rsid w:val="00D51568"/>
    <w:rsid w:val="00D5166A"/>
    <w:rsid w:val="00D51B11"/>
    <w:rsid w:val="00D51D04"/>
    <w:rsid w:val="00D51F28"/>
    <w:rsid w:val="00D51F8A"/>
    <w:rsid w:val="00D521FA"/>
    <w:rsid w:val="00D522BE"/>
    <w:rsid w:val="00D523F0"/>
    <w:rsid w:val="00D5261B"/>
    <w:rsid w:val="00D5267B"/>
    <w:rsid w:val="00D529BF"/>
    <w:rsid w:val="00D52A91"/>
    <w:rsid w:val="00D52D6C"/>
    <w:rsid w:val="00D53372"/>
    <w:rsid w:val="00D534FA"/>
    <w:rsid w:val="00D53603"/>
    <w:rsid w:val="00D53676"/>
    <w:rsid w:val="00D539B5"/>
    <w:rsid w:val="00D53BB2"/>
    <w:rsid w:val="00D5419E"/>
    <w:rsid w:val="00D5422C"/>
    <w:rsid w:val="00D54306"/>
    <w:rsid w:val="00D54418"/>
    <w:rsid w:val="00D545E1"/>
    <w:rsid w:val="00D54E4E"/>
    <w:rsid w:val="00D550FA"/>
    <w:rsid w:val="00D552DB"/>
    <w:rsid w:val="00D55342"/>
    <w:rsid w:val="00D5599D"/>
    <w:rsid w:val="00D55CF9"/>
    <w:rsid w:val="00D55DCE"/>
    <w:rsid w:val="00D55DEE"/>
    <w:rsid w:val="00D55E1F"/>
    <w:rsid w:val="00D5605E"/>
    <w:rsid w:val="00D56092"/>
    <w:rsid w:val="00D564E9"/>
    <w:rsid w:val="00D5654A"/>
    <w:rsid w:val="00D56D9D"/>
    <w:rsid w:val="00D56DA7"/>
    <w:rsid w:val="00D56E2E"/>
    <w:rsid w:val="00D56F35"/>
    <w:rsid w:val="00D57344"/>
    <w:rsid w:val="00D57536"/>
    <w:rsid w:val="00D57A41"/>
    <w:rsid w:val="00D57D59"/>
    <w:rsid w:val="00D57E82"/>
    <w:rsid w:val="00D6010F"/>
    <w:rsid w:val="00D60CB4"/>
    <w:rsid w:val="00D61029"/>
    <w:rsid w:val="00D6113F"/>
    <w:rsid w:val="00D6124E"/>
    <w:rsid w:val="00D613BF"/>
    <w:rsid w:val="00D6173F"/>
    <w:rsid w:val="00D617FA"/>
    <w:rsid w:val="00D61A91"/>
    <w:rsid w:val="00D61BC9"/>
    <w:rsid w:val="00D61BFC"/>
    <w:rsid w:val="00D61C04"/>
    <w:rsid w:val="00D61FFA"/>
    <w:rsid w:val="00D6203E"/>
    <w:rsid w:val="00D62121"/>
    <w:rsid w:val="00D62297"/>
    <w:rsid w:val="00D622E3"/>
    <w:rsid w:val="00D6240A"/>
    <w:rsid w:val="00D624DE"/>
    <w:rsid w:val="00D625C0"/>
    <w:rsid w:val="00D62BEB"/>
    <w:rsid w:val="00D62F17"/>
    <w:rsid w:val="00D630FF"/>
    <w:rsid w:val="00D632EA"/>
    <w:rsid w:val="00D63528"/>
    <w:rsid w:val="00D63532"/>
    <w:rsid w:val="00D637CC"/>
    <w:rsid w:val="00D638A4"/>
    <w:rsid w:val="00D63BF0"/>
    <w:rsid w:val="00D63D99"/>
    <w:rsid w:val="00D641F8"/>
    <w:rsid w:val="00D646A9"/>
    <w:rsid w:val="00D64758"/>
    <w:rsid w:val="00D647D5"/>
    <w:rsid w:val="00D649B1"/>
    <w:rsid w:val="00D649F7"/>
    <w:rsid w:val="00D64A8E"/>
    <w:rsid w:val="00D64F98"/>
    <w:rsid w:val="00D6519F"/>
    <w:rsid w:val="00D655C4"/>
    <w:rsid w:val="00D65655"/>
    <w:rsid w:val="00D6565A"/>
    <w:rsid w:val="00D65738"/>
    <w:rsid w:val="00D658C8"/>
    <w:rsid w:val="00D6590C"/>
    <w:rsid w:val="00D6615B"/>
    <w:rsid w:val="00D662C6"/>
    <w:rsid w:val="00D662F7"/>
    <w:rsid w:val="00D6636D"/>
    <w:rsid w:val="00D66729"/>
    <w:rsid w:val="00D66826"/>
    <w:rsid w:val="00D66A62"/>
    <w:rsid w:val="00D66B13"/>
    <w:rsid w:val="00D66C7B"/>
    <w:rsid w:val="00D66DA4"/>
    <w:rsid w:val="00D674FA"/>
    <w:rsid w:val="00D6795F"/>
    <w:rsid w:val="00D70265"/>
    <w:rsid w:val="00D702B6"/>
    <w:rsid w:val="00D70686"/>
    <w:rsid w:val="00D707C6"/>
    <w:rsid w:val="00D70FBB"/>
    <w:rsid w:val="00D713C7"/>
    <w:rsid w:val="00D714BD"/>
    <w:rsid w:val="00D7150D"/>
    <w:rsid w:val="00D71908"/>
    <w:rsid w:val="00D71AC6"/>
    <w:rsid w:val="00D71AC7"/>
    <w:rsid w:val="00D71B82"/>
    <w:rsid w:val="00D71C2E"/>
    <w:rsid w:val="00D71E0C"/>
    <w:rsid w:val="00D720E6"/>
    <w:rsid w:val="00D721B3"/>
    <w:rsid w:val="00D72254"/>
    <w:rsid w:val="00D72261"/>
    <w:rsid w:val="00D7239F"/>
    <w:rsid w:val="00D7242D"/>
    <w:rsid w:val="00D725F0"/>
    <w:rsid w:val="00D72926"/>
    <w:rsid w:val="00D72C40"/>
    <w:rsid w:val="00D730B6"/>
    <w:rsid w:val="00D730CA"/>
    <w:rsid w:val="00D73191"/>
    <w:rsid w:val="00D73537"/>
    <w:rsid w:val="00D7390F"/>
    <w:rsid w:val="00D73B56"/>
    <w:rsid w:val="00D73E13"/>
    <w:rsid w:val="00D73F4E"/>
    <w:rsid w:val="00D73FCB"/>
    <w:rsid w:val="00D74191"/>
    <w:rsid w:val="00D74265"/>
    <w:rsid w:val="00D742A0"/>
    <w:rsid w:val="00D7444A"/>
    <w:rsid w:val="00D745A3"/>
    <w:rsid w:val="00D745E4"/>
    <w:rsid w:val="00D746A6"/>
    <w:rsid w:val="00D747D5"/>
    <w:rsid w:val="00D748BA"/>
    <w:rsid w:val="00D74907"/>
    <w:rsid w:val="00D74E4D"/>
    <w:rsid w:val="00D74F20"/>
    <w:rsid w:val="00D74F31"/>
    <w:rsid w:val="00D750A8"/>
    <w:rsid w:val="00D75246"/>
    <w:rsid w:val="00D754D8"/>
    <w:rsid w:val="00D75653"/>
    <w:rsid w:val="00D757A8"/>
    <w:rsid w:val="00D7584D"/>
    <w:rsid w:val="00D7600E"/>
    <w:rsid w:val="00D7613A"/>
    <w:rsid w:val="00D761D1"/>
    <w:rsid w:val="00D762C4"/>
    <w:rsid w:val="00D7641A"/>
    <w:rsid w:val="00D7670A"/>
    <w:rsid w:val="00D76E20"/>
    <w:rsid w:val="00D76FD9"/>
    <w:rsid w:val="00D77081"/>
    <w:rsid w:val="00D77471"/>
    <w:rsid w:val="00D779B2"/>
    <w:rsid w:val="00D77BED"/>
    <w:rsid w:val="00D77E24"/>
    <w:rsid w:val="00D800CB"/>
    <w:rsid w:val="00D80E8A"/>
    <w:rsid w:val="00D80EBE"/>
    <w:rsid w:val="00D80EF7"/>
    <w:rsid w:val="00D80F39"/>
    <w:rsid w:val="00D810FC"/>
    <w:rsid w:val="00D81271"/>
    <w:rsid w:val="00D812A4"/>
    <w:rsid w:val="00D813B4"/>
    <w:rsid w:val="00D8150F"/>
    <w:rsid w:val="00D817C2"/>
    <w:rsid w:val="00D81856"/>
    <w:rsid w:val="00D819E8"/>
    <w:rsid w:val="00D81B39"/>
    <w:rsid w:val="00D81BF6"/>
    <w:rsid w:val="00D81D29"/>
    <w:rsid w:val="00D81D63"/>
    <w:rsid w:val="00D81EA1"/>
    <w:rsid w:val="00D81F5C"/>
    <w:rsid w:val="00D8284C"/>
    <w:rsid w:val="00D82930"/>
    <w:rsid w:val="00D82D48"/>
    <w:rsid w:val="00D82D76"/>
    <w:rsid w:val="00D82F11"/>
    <w:rsid w:val="00D8317F"/>
    <w:rsid w:val="00D83362"/>
    <w:rsid w:val="00D8340E"/>
    <w:rsid w:val="00D8344D"/>
    <w:rsid w:val="00D834DD"/>
    <w:rsid w:val="00D835FB"/>
    <w:rsid w:val="00D838BE"/>
    <w:rsid w:val="00D83BA5"/>
    <w:rsid w:val="00D83BA8"/>
    <w:rsid w:val="00D83BB7"/>
    <w:rsid w:val="00D83E7F"/>
    <w:rsid w:val="00D83EC6"/>
    <w:rsid w:val="00D840BE"/>
    <w:rsid w:val="00D84117"/>
    <w:rsid w:val="00D841E8"/>
    <w:rsid w:val="00D84605"/>
    <w:rsid w:val="00D8495B"/>
    <w:rsid w:val="00D84F9B"/>
    <w:rsid w:val="00D854ED"/>
    <w:rsid w:val="00D85617"/>
    <w:rsid w:val="00D85F66"/>
    <w:rsid w:val="00D86276"/>
    <w:rsid w:val="00D863A0"/>
    <w:rsid w:val="00D863D7"/>
    <w:rsid w:val="00D8658C"/>
    <w:rsid w:val="00D8668F"/>
    <w:rsid w:val="00D86725"/>
    <w:rsid w:val="00D8681D"/>
    <w:rsid w:val="00D86C86"/>
    <w:rsid w:val="00D86E0D"/>
    <w:rsid w:val="00D86EA0"/>
    <w:rsid w:val="00D86F16"/>
    <w:rsid w:val="00D8771B"/>
    <w:rsid w:val="00D879AD"/>
    <w:rsid w:val="00D87A0E"/>
    <w:rsid w:val="00D87B19"/>
    <w:rsid w:val="00D87B1F"/>
    <w:rsid w:val="00D87CC5"/>
    <w:rsid w:val="00D90415"/>
    <w:rsid w:val="00D90421"/>
    <w:rsid w:val="00D9058D"/>
    <w:rsid w:val="00D906A9"/>
    <w:rsid w:val="00D907FA"/>
    <w:rsid w:val="00D90B55"/>
    <w:rsid w:val="00D90C49"/>
    <w:rsid w:val="00D90E9E"/>
    <w:rsid w:val="00D90EE9"/>
    <w:rsid w:val="00D9142D"/>
    <w:rsid w:val="00D91713"/>
    <w:rsid w:val="00D91B8B"/>
    <w:rsid w:val="00D91DD4"/>
    <w:rsid w:val="00D91E8E"/>
    <w:rsid w:val="00D9204C"/>
    <w:rsid w:val="00D92392"/>
    <w:rsid w:val="00D923D2"/>
    <w:rsid w:val="00D924F3"/>
    <w:rsid w:val="00D925C0"/>
    <w:rsid w:val="00D9261F"/>
    <w:rsid w:val="00D926BE"/>
    <w:rsid w:val="00D928DF"/>
    <w:rsid w:val="00D92E95"/>
    <w:rsid w:val="00D92EB3"/>
    <w:rsid w:val="00D92F85"/>
    <w:rsid w:val="00D93107"/>
    <w:rsid w:val="00D9312E"/>
    <w:rsid w:val="00D932BC"/>
    <w:rsid w:val="00D932BD"/>
    <w:rsid w:val="00D934FE"/>
    <w:rsid w:val="00D93512"/>
    <w:rsid w:val="00D93CD8"/>
    <w:rsid w:val="00D93D54"/>
    <w:rsid w:val="00D9402B"/>
    <w:rsid w:val="00D94670"/>
    <w:rsid w:val="00D947A2"/>
    <w:rsid w:val="00D94AFD"/>
    <w:rsid w:val="00D94D0E"/>
    <w:rsid w:val="00D94F1B"/>
    <w:rsid w:val="00D958F6"/>
    <w:rsid w:val="00D95B66"/>
    <w:rsid w:val="00D95DAB"/>
    <w:rsid w:val="00D9602F"/>
    <w:rsid w:val="00D963B2"/>
    <w:rsid w:val="00D96513"/>
    <w:rsid w:val="00D9658B"/>
    <w:rsid w:val="00D967DF"/>
    <w:rsid w:val="00D9685B"/>
    <w:rsid w:val="00D96AD1"/>
    <w:rsid w:val="00D96C2C"/>
    <w:rsid w:val="00D971EF"/>
    <w:rsid w:val="00D973B3"/>
    <w:rsid w:val="00D975F9"/>
    <w:rsid w:val="00D976BC"/>
    <w:rsid w:val="00D9775B"/>
    <w:rsid w:val="00D97A1F"/>
    <w:rsid w:val="00D97C85"/>
    <w:rsid w:val="00D97C91"/>
    <w:rsid w:val="00DA000C"/>
    <w:rsid w:val="00DA009C"/>
    <w:rsid w:val="00DA0117"/>
    <w:rsid w:val="00DA035C"/>
    <w:rsid w:val="00DA035E"/>
    <w:rsid w:val="00DA063F"/>
    <w:rsid w:val="00DA07A8"/>
    <w:rsid w:val="00DA0892"/>
    <w:rsid w:val="00DA0ADA"/>
    <w:rsid w:val="00DA0BE3"/>
    <w:rsid w:val="00DA0C92"/>
    <w:rsid w:val="00DA0D03"/>
    <w:rsid w:val="00DA10F1"/>
    <w:rsid w:val="00DA11BC"/>
    <w:rsid w:val="00DA17FB"/>
    <w:rsid w:val="00DA184F"/>
    <w:rsid w:val="00DA18D4"/>
    <w:rsid w:val="00DA191A"/>
    <w:rsid w:val="00DA1F23"/>
    <w:rsid w:val="00DA21DB"/>
    <w:rsid w:val="00DA23E1"/>
    <w:rsid w:val="00DA26D1"/>
    <w:rsid w:val="00DA287D"/>
    <w:rsid w:val="00DA2930"/>
    <w:rsid w:val="00DA2A1F"/>
    <w:rsid w:val="00DA2C05"/>
    <w:rsid w:val="00DA2D29"/>
    <w:rsid w:val="00DA31E8"/>
    <w:rsid w:val="00DA32D0"/>
    <w:rsid w:val="00DA3302"/>
    <w:rsid w:val="00DA3483"/>
    <w:rsid w:val="00DA3620"/>
    <w:rsid w:val="00DA367D"/>
    <w:rsid w:val="00DA379F"/>
    <w:rsid w:val="00DA3848"/>
    <w:rsid w:val="00DA3AE4"/>
    <w:rsid w:val="00DA3AF8"/>
    <w:rsid w:val="00DA3B0C"/>
    <w:rsid w:val="00DA3B65"/>
    <w:rsid w:val="00DA3C93"/>
    <w:rsid w:val="00DA3C96"/>
    <w:rsid w:val="00DA3CC9"/>
    <w:rsid w:val="00DA3CE1"/>
    <w:rsid w:val="00DA3D19"/>
    <w:rsid w:val="00DA3D92"/>
    <w:rsid w:val="00DA3F55"/>
    <w:rsid w:val="00DA4604"/>
    <w:rsid w:val="00DA4680"/>
    <w:rsid w:val="00DA46CA"/>
    <w:rsid w:val="00DA4B7E"/>
    <w:rsid w:val="00DA4B81"/>
    <w:rsid w:val="00DA4BFA"/>
    <w:rsid w:val="00DA4F7B"/>
    <w:rsid w:val="00DA5145"/>
    <w:rsid w:val="00DA52AE"/>
    <w:rsid w:val="00DA5334"/>
    <w:rsid w:val="00DA56B9"/>
    <w:rsid w:val="00DA5942"/>
    <w:rsid w:val="00DA59CE"/>
    <w:rsid w:val="00DA5A80"/>
    <w:rsid w:val="00DA5F94"/>
    <w:rsid w:val="00DA60DE"/>
    <w:rsid w:val="00DA6161"/>
    <w:rsid w:val="00DA6336"/>
    <w:rsid w:val="00DA64EB"/>
    <w:rsid w:val="00DA68FD"/>
    <w:rsid w:val="00DA6962"/>
    <w:rsid w:val="00DA6B07"/>
    <w:rsid w:val="00DA6C5F"/>
    <w:rsid w:val="00DA6D05"/>
    <w:rsid w:val="00DA6D33"/>
    <w:rsid w:val="00DA6DB9"/>
    <w:rsid w:val="00DA6E77"/>
    <w:rsid w:val="00DA707E"/>
    <w:rsid w:val="00DA73DA"/>
    <w:rsid w:val="00DA767B"/>
    <w:rsid w:val="00DA76A5"/>
    <w:rsid w:val="00DA78E7"/>
    <w:rsid w:val="00DA7AB2"/>
    <w:rsid w:val="00DA7B83"/>
    <w:rsid w:val="00DA7B86"/>
    <w:rsid w:val="00DA7BAA"/>
    <w:rsid w:val="00DA7F10"/>
    <w:rsid w:val="00DB00D3"/>
    <w:rsid w:val="00DB025F"/>
    <w:rsid w:val="00DB0272"/>
    <w:rsid w:val="00DB053F"/>
    <w:rsid w:val="00DB0ED6"/>
    <w:rsid w:val="00DB0F53"/>
    <w:rsid w:val="00DB1181"/>
    <w:rsid w:val="00DB11EB"/>
    <w:rsid w:val="00DB158D"/>
    <w:rsid w:val="00DB187A"/>
    <w:rsid w:val="00DB1920"/>
    <w:rsid w:val="00DB1C62"/>
    <w:rsid w:val="00DB21E2"/>
    <w:rsid w:val="00DB241C"/>
    <w:rsid w:val="00DB2574"/>
    <w:rsid w:val="00DB2691"/>
    <w:rsid w:val="00DB26F1"/>
    <w:rsid w:val="00DB2E96"/>
    <w:rsid w:val="00DB2FD8"/>
    <w:rsid w:val="00DB3389"/>
    <w:rsid w:val="00DB347E"/>
    <w:rsid w:val="00DB3721"/>
    <w:rsid w:val="00DB3734"/>
    <w:rsid w:val="00DB377B"/>
    <w:rsid w:val="00DB37C0"/>
    <w:rsid w:val="00DB3860"/>
    <w:rsid w:val="00DB3890"/>
    <w:rsid w:val="00DB3938"/>
    <w:rsid w:val="00DB39A8"/>
    <w:rsid w:val="00DB3BA9"/>
    <w:rsid w:val="00DB3CE7"/>
    <w:rsid w:val="00DB3DE0"/>
    <w:rsid w:val="00DB3E4E"/>
    <w:rsid w:val="00DB3E86"/>
    <w:rsid w:val="00DB3F92"/>
    <w:rsid w:val="00DB40BB"/>
    <w:rsid w:val="00DB450F"/>
    <w:rsid w:val="00DB4538"/>
    <w:rsid w:val="00DB4AF5"/>
    <w:rsid w:val="00DB4E2F"/>
    <w:rsid w:val="00DB4F41"/>
    <w:rsid w:val="00DB4FC0"/>
    <w:rsid w:val="00DB5B2F"/>
    <w:rsid w:val="00DB5CCC"/>
    <w:rsid w:val="00DB5CD5"/>
    <w:rsid w:val="00DB5D22"/>
    <w:rsid w:val="00DB5E62"/>
    <w:rsid w:val="00DB5EC5"/>
    <w:rsid w:val="00DB6050"/>
    <w:rsid w:val="00DB6190"/>
    <w:rsid w:val="00DB6479"/>
    <w:rsid w:val="00DB6577"/>
    <w:rsid w:val="00DB65A0"/>
    <w:rsid w:val="00DB6940"/>
    <w:rsid w:val="00DB6A42"/>
    <w:rsid w:val="00DB6C9C"/>
    <w:rsid w:val="00DB6F39"/>
    <w:rsid w:val="00DB709B"/>
    <w:rsid w:val="00DB70A2"/>
    <w:rsid w:val="00DB722C"/>
    <w:rsid w:val="00DB7518"/>
    <w:rsid w:val="00DB7775"/>
    <w:rsid w:val="00DB7CCC"/>
    <w:rsid w:val="00DC01BC"/>
    <w:rsid w:val="00DC027B"/>
    <w:rsid w:val="00DC04AE"/>
    <w:rsid w:val="00DC0564"/>
    <w:rsid w:val="00DC09E6"/>
    <w:rsid w:val="00DC0A26"/>
    <w:rsid w:val="00DC0E2C"/>
    <w:rsid w:val="00DC0EE2"/>
    <w:rsid w:val="00DC0F24"/>
    <w:rsid w:val="00DC0FDB"/>
    <w:rsid w:val="00DC12A8"/>
    <w:rsid w:val="00DC13F1"/>
    <w:rsid w:val="00DC14F3"/>
    <w:rsid w:val="00DC1501"/>
    <w:rsid w:val="00DC15BD"/>
    <w:rsid w:val="00DC18E7"/>
    <w:rsid w:val="00DC1D5F"/>
    <w:rsid w:val="00DC1D96"/>
    <w:rsid w:val="00DC1F9F"/>
    <w:rsid w:val="00DC24D9"/>
    <w:rsid w:val="00DC26C3"/>
    <w:rsid w:val="00DC28DB"/>
    <w:rsid w:val="00DC295C"/>
    <w:rsid w:val="00DC2FE5"/>
    <w:rsid w:val="00DC3020"/>
    <w:rsid w:val="00DC3246"/>
    <w:rsid w:val="00DC3446"/>
    <w:rsid w:val="00DC34E1"/>
    <w:rsid w:val="00DC3890"/>
    <w:rsid w:val="00DC394F"/>
    <w:rsid w:val="00DC3BB2"/>
    <w:rsid w:val="00DC3CD2"/>
    <w:rsid w:val="00DC3EE4"/>
    <w:rsid w:val="00DC4387"/>
    <w:rsid w:val="00DC485B"/>
    <w:rsid w:val="00DC493B"/>
    <w:rsid w:val="00DC4A46"/>
    <w:rsid w:val="00DC4A90"/>
    <w:rsid w:val="00DC4E18"/>
    <w:rsid w:val="00DC5162"/>
    <w:rsid w:val="00DC550A"/>
    <w:rsid w:val="00DC583A"/>
    <w:rsid w:val="00DC5A9D"/>
    <w:rsid w:val="00DC5AE7"/>
    <w:rsid w:val="00DC5EE3"/>
    <w:rsid w:val="00DC6028"/>
    <w:rsid w:val="00DC618A"/>
    <w:rsid w:val="00DC6314"/>
    <w:rsid w:val="00DC68DD"/>
    <w:rsid w:val="00DC68EF"/>
    <w:rsid w:val="00DC6D55"/>
    <w:rsid w:val="00DC7302"/>
    <w:rsid w:val="00DC73B0"/>
    <w:rsid w:val="00DC7546"/>
    <w:rsid w:val="00DC7957"/>
    <w:rsid w:val="00DC7C00"/>
    <w:rsid w:val="00DD008E"/>
    <w:rsid w:val="00DD00D3"/>
    <w:rsid w:val="00DD0160"/>
    <w:rsid w:val="00DD0599"/>
    <w:rsid w:val="00DD0985"/>
    <w:rsid w:val="00DD0CD6"/>
    <w:rsid w:val="00DD0F77"/>
    <w:rsid w:val="00DD125A"/>
    <w:rsid w:val="00DD18ED"/>
    <w:rsid w:val="00DD19D0"/>
    <w:rsid w:val="00DD1F40"/>
    <w:rsid w:val="00DD218F"/>
    <w:rsid w:val="00DD2453"/>
    <w:rsid w:val="00DD2531"/>
    <w:rsid w:val="00DD27D7"/>
    <w:rsid w:val="00DD2D6C"/>
    <w:rsid w:val="00DD31A0"/>
    <w:rsid w:val="00DD31DA"/>
    <w:rsid w:val="00DD331B"/>
    <w:rsid w:val="00DD3324"/>
    <w:rsid w:val="00DD33A9"/>
    <w:rsid w:val="00DD34C1"/>
    <w:rsid w:val="00DD3C12"/>
    <w:rsid w:val="00DD3ECF"/>
    <w:rsid w:val="00DD4074"/>
    <w:rsid w:val="00DD4217"/>
    <w:rsid w:val="00DD423B"/>
    <w:rsid w:val="00DD439E"/>
    <w:rsid w:val="00DD490B"/>
    <w:rsid w:val="00DD4B01"/>
    <w:rsid w:val="00DD4BAD"/>
    <w:rsid w:val="00DD4DB2"/>
    <w:rsid w:val="00DD500C"/>
    <w:rsid w:val="00DD5036"/>
    <w:rsid w:val="00DD5317"/>
    <w:rsid w:val="00DD58D2"/>
    <w:rsid w:val="00DD5B10"/>
    <w:rsid w:val="00DD6251"/>
    <w:rsid w:val="00DD63D7"/>
    <w:rsid w:val="00DD65C3"/>
    <w:rsid w:val="00DD6696"/>
    <w:rsid w:val="00DD66ED"/>
    <w:rsid w:val="00DD67E4"/>
    <w:rsid w:val="00DD680C"/>
    <w:rsid w:val="00DD695A"/>
    <w:rsid w:val="00DD698A"/>
    <w:rsid w:val="00DD6BF0"/>
    <w:rsid w:val="00DD6C07"/>
    <w:rsid w:val="00DD6ECA"/>
    <w:rsid w:val="00DD6F8F"/>
    <w:rsid w:val="00DD709B"/>
    <w:rsid w:val="00DD7498"/>
    <w:rsid w:val="00DD78F5"/>
    <w:rsid w:val="00DD79DF"/>
    <w:rsid w:val="00DD7B68"/>
    <w:rsid w:val="00DD7C42"/>
    <w:rsid w:val="00DD7D06"/>
    <w:rsid w:val="00DD7DE1"/>
    <w:rsid w:val="00DD7F8C"/>
    <w:rsid w:val="00DE000D"/>
    <w:rsid w:val="00DE00B8"/>
    <w:rsid w:val="00DE054E"/>
    <w:rsid w:val="00DE074C"/>
    <w:rsid w:val="00DE0863"/>
    <w:rsid w:val="00DE095D"/>
    <w:rsid w:val="00DE0999"/>
    <w:rsid w:val="00DE09A8"/>
    <w:rsid w:val="00DE0DA1"/>
    <w:rsid w:val="00DE1379"/>
    <w:rsid w:val="00DE155D"/>
    <w:rsid w:val="00DE173E"/>
    <w:rsid w:val="00DE203C"/>
    <w:rsid w:val="00DE221E"/>
    <w:rsid w:val="00DE250C"/>
    <w:rsid w:val="00DE2523"/>
    <w:rsid w:val="00DE2599"/>
    <w:rsid w:val="00DE25C0"/>
    <w:rsid w:val="00DE25D3"/>
    <w:rsid w:val="00DE2A48"/>
    <w:rsid w:val="00DE2C97"/>
    <w:rsid w:val="00DE2EB0"/>
    <w:rsid w:val="00DE2F21"/>
    <w:rsid w:val="00DE2F6D"/>
    <w:rsid w:val="00DE2FD0"/>
    <w:rsid w:val="00DE33C7"/>
    <w:rsid w:val="00DE3786"/>
    <w:rsid w:val="00DE3AFC"/>
    <w:rsid w:val="00DE3C98"/>
    <w:rsid w:val="00DE40D4"/>
    <w:rsid w:val="00DE4162"/>
    <w:rsid w:val="00DE4389"/>
    <w:rsid w:val="00DE45A9"/>
    <w:rsid w:val="00DE466D"/>
    <w:rsid w:val="00DE4B33"/>
    <w:rsid w:val="00DE4C4D"/>
    <w:rsid w:val="00DE4E52"/>
    <w:rsid w:val="00DE4FA4"/>
    <w:rsid w:val="00DE4FBF"/>
    <w:rsid w:val="00DE5015"/>
    <w:rsid w:val="00DE5037"/>
    <w:rsid w:val="00DE55D7"/>
    <w:rsid w:val="00DE5E51"/>
    <w:rsid w:val="00DE5F1A"/>
    <w:rsid w:val="00DE5F85"/>
    <w:rsid w:val="00DE5FDD"/>
    <w:rsid w:val="00DE6349"/>
    <w:rsid w:val="00DE64B7"/>
    <w:rsid w:val="00DE6589"/>
    <w:rsid w:val="00DE66BF"/>
    <w:rsid w:val="00DE674B"/>
    <w:rsid w:val="00DE6B40"/>
    <w:rsid w:val="00DE6C85"/>
    <w:rsid w:val="00DE6EDA"/>
    <w:rsid w:val="00DE704F"/>
    <w:rsid w:val="00DE7060"/>
    <w:rsid w:val="00DE711F"/>
    <w:rsid w:val="00DE7166"/>
    <w:rsid w:val="00DE74F4"/>
    <w:rsid w:val="00DE7AEA"/>
    <w:rsid w:val="00DE7DF7"/>
    <w:rsid w:val="00DE7E0E"/>
    <w:rsid w:val="00DF0348"/>
    <w:rsid w:val="00DF0412"/>
    <w:rsid w:val="00DF0566"/>
    <w:rsid w:val="00DF06DF"/>
    <w:rsid w:val="00DF08BB"/>
    <w:rsid w:val="00DF099B"/>
    <w:rsid w:val="00DF0B17"/>
    <w:rsid w:val="00DF1318"/>
    <w:rsid w:val="00DF15F0"/>
    <w:rsid w:val="00DF16F4"/>
    <w:rsid w:val="00DF177C"/>
    <w:rsid w:val="00DF186D"/>
    <w:rsid w:val="00DF1881"/>
    <w:rsid w:val="00DF1891"/>
    <w:rsid w:val="00DF1908"/>
    <w:rsid w:val="00DF1B49"/>
    <w:rsid w:val="00DF1ED7"/>
    <w:rsid w:val="00DF2046"/>
    <w:rsid w:val="00DF2049"/>
    <w:rsid w:val="00DF225E"/>
    <w:rsid w:val="00DF23D6"/>
    <w:rsid w:val="00DF25DE"/>
    <w:rsid w:val="00DF270D"/>
    <w:rsid w:val="00DF2A2B"/>
    <w:rsid w:val="00DF2B60"/>
    <w:rsid w:val="00DF2B77"/>
    <w:rsid w:val="00DF2C19"/>
    <w:rsid w:val="00DF2CAF"/>
    <w:rsid w:val="00DF2EAE"/>
    <w:rsid w:val="00DF336A"/>
    <w:rsid w:val="00DF3390"/>
    <w:rsid w:val="00DF3487"/>
    <w:rsid w:val="00DF372A"/>
    <w:rsid w:val="00DF37BC"/>
    <w:rsid w:val="00DF398D"/>
    <w:rsid w:val="00DF3BDF"/>
    <w:rsid w:val="00DF4208"/>
    <w:rsid w:val="00DF4300"/>
    <w:rsid w:val="00DF46AF"/>
    <w:rsid w:val="00DF496E"/>
    <w:rsid w:val="00DF4B15"/>
    <w:rsid w:val="00DF4C94"/>
    <w:rsid w:val="00DF4EE3"/>
    <w:rsid w:val="00DF538A"/>
    <w:rsid w:val="00DF5418"/>
    <w:rsid w:val="00DF57E7"/>
    <w:rsid w:val="00DF597C"/>
    <w:rsid w:val="00DF5AA9"/>
    <w:rsid w:val="00DF5BF8"/>
    <w:rsid w:val="00DF5D34"/>
    <w:rsid w:val="00DF5F4D"/>
    <w:rsid w:val="00DF6035"/>
    <w:rsid w:val="00DF60AD"/>
    <w:rsid w:val="00DF6137"/>
    <w:rsid w:val="00DF62C4"/>
    <w:rsid w:val="00DF635D"/>
    <w:rsid w:val="00DF64E0"/>
    <w:rsid w:val="00DF660D"/>
    <w:rsid w:val="00DF670B"/>
    <w:rsid w:val="00DF6771"/>
    <w:rsid w:val="00DF68E8"/>
    <w:rsid w:val="00DF68F8"/>
    <w:rsid w:val="00DF69CB"/>
    <w:rsid w:val="00DF6B08"/>
    <w:rsid w:val="00DF6B42"/>
    <w:rsid w:val="00DF6BA3"/>
    <w:rsid w:val="00DF7119"/>
    <w:rsid w:val="00DF72F6"/>
    <w:rsid w:val="00DF7781"/>
    <w:rsid w:val="00DF778A"/>
    <w:rsid w:val="00DF7A01"/>
    <w:rsid w:val="00DF7CA3"/>
    <w:rsid w:val="00E00603"/>
    <w:rsid w:val="00E00814"/>
    <w:rsid w:val="00E00915"/>
    <w:rsid w:val="00E00AAD"/>
    <w:rsid w:val="00E00D29"/>
    <w:rsid w:val="00E010C0"/>
    <w:rsid w:val="00E0127C"/>
    <w:rsid w:val="00E01425"/>
    <w:rsid w:val="00E01767"/>
    <w:rsid w:val="00E019F8"/>
    <w:rsid w:val="00E01D70"/>
    <w:rsid w:val="00E01F13"/>
    <w:rsid w:val="00E02076"/>
    <w:rsid w:val="00E02079"/>
    <w:rsid w:val="00E02224"/>
    <w:rsid w:val="00E02358"/>
    <w:rsid w:val="00E02371"/>
    <w:rsid w:val="00E0239E"/>
    <w:rsid w:val="00E02842"/>
    <w:rsid w:val="00E02935"/>
    <w:rsid w:val="00E02A3F"/>
    <w:rsid w:val="00E02D45"/>
    <w:rsid w:val="00E02DE1"/>
    <w:rsid w:val="00E0331B"/>
    <w:rsid w:val="00E0335C"/>
    <w:rsid w:val="00E033EB"/>
    <w:rsid w:val="00E03438"/>
    <w:rsid w:val="00E03481"/>
    <w:rsid w:val="00E03612"/>
    <w:rsid w:val="00E03663"/>
    <w:rsid w:val="00E036EB"/>
    <w:rsid w:val="00E03775"/>
    <w:rsid w:val="00E03B46"/>
    <w:rsid w:val="00E03BDA"/>
    <w:rsid w:val="00E03D7C"/>
    <w:rsid w:val="00E03E5A"/>
    <w:rsid w:val="00E04207"/>
    <w:rsid w:val="00E04344"/>
    <w:rsid w:val="00E045C6"/>
    <w:rsid w:val="00E04A05"/>
    <w:rsid w:val="00E04A0A"/>
    <w:rsid w:val="00E04B92"/>
    <w:rsid w:val="00E04E2A"/>
    <w:rsid w:val="00E04F07"/>
    <w:rsid w:val="00E050D4"/>
    <w:rsid w:val="00E050FF"/>
    <w:rsid w:val="00E0515A"/>
    <w:rsid w:val="00E05356"/>
    <w:rsid w:val="00E0540B"/>
    <w:rsid w:val="00E054AD"/>
    <w:rsid w:val="00E05762"/>
    <w:rsid w:val="00E058C6"/>
    <w:rsid w:val="00E05D74"/>
    <w:rsid w:val="00E05D7B"/>
    <w:rsid w:val="00E05E94"/>
    <w:rsid w:val="00E06EFF"/>
    <w:rsid w:val="00E07184"/>
    <w:rsid w:val="00E07709"/>
    <w:rsid w:val="00E079AA"/>
    <w:rsid w:val="00E07CC8"/>
    <w:rsid w:val="00E07EB7"/>
    <w:rsid w:val="00E10631"/>
    <w:rsid w:val="00E10919"/>
    <w:rsid w:val="00E10F05"/>
    <w:rsid w:val="00E10F6E"/>
    <w:rsid w:val="00E10FBD"/>
    <w:rsid w:val="00E1104E"/>
    <w:rsid w:val="00E11288"/>
    <w:rsid w:val="00E113C9"/>
    <w:rsid w:val="00E118B9"/>
    <w:rsid w:val="00E119A2"/>
    <w:rsid w:val="00E11B37"/>
    <w:rsid w:val="00E11D4E"/>
    <w:rsid w:val="00E125A2"/>
    <w:rsid w:val="00E125E3"/>
    <w:rsid w:val="00E12823"/>
    <w:rsid w:val="00E12A29"/>
    <w:rsid w:val="00E12BC9"/>
    <w:rsid w:val="00E12EC8"/>
    <w:rsid w:val="00E12F31"/>
    <w:rsid w:val="00E13015"/>
    <w:rsid w:val="00E13485"/>
    <w:rsid w:val="00E137A3"/>
    <w:rsid w:val="00E13C89"/>
    <w:rsid w:val="00E13DA2"/>
    <w:rsid w:val="00E140DD"/>
    <w:rsid w:val="00E14159"/>
    <w:rsid w:val="00E14224"/>
    <w:rsid w:val="00E14341"/>
    <w:rsid w:val="00E1439D"/>
    <w:rsid w:val="00E1448D"/>
    <w:rsid w:val="00E145B7"/>
    <w:rsid w:val="00E14816"/>
    <w:rsid w:val="00E14825"/>
    <w:rsid w:val="00E1486A"/>
    <w:rsid w:val="00E14A55"/>
    <w:rsid w:val="00E14DAD"/>
    <w:rsid w:val="00E14F97"/>
    <w:rsid w:val="00E1503B"/>
    <w:rsid w:val="00E15097"/>
    <w:rsid w:val="00E15265"/>
    <w:rsid w:val="00E15643"/>
    <w:rsid w:val="00E1573B"/>
    <w:rsid w:val="00E1580A"/>
    <w:rsid w:val="00E15F39"/>
    <w:rsid w:val="00E16398"/>
    <w:rsid w:val="00E16399"/>
    <w:rsid w:val="00E165D4"/>
    <w:rsid w:val="00E166D5"/>
    <w:rsid w:val="00E1674D"/>
    <w:rsid w:val="00E168F9"/>
    <w:rsid w:val="00E16B3C"/>
    <w:rsid w:val="00E16DFA"/>
    <w:rsid w:val="00E16FB2"/>
    <w:rsid w:val="00E1700A"/>
    <w:rsid w:val="00E17904"/>
    <w:rsid w:val="00E179A8"/>
    <w:rsid w:val="00E17F0A"/>
    <w:rsid w:val="00E17FE2"/>
    <w:rsid w:val="00E20008"/>
    <w:rsid w:val="00E205FC"/>
    <w:rsid w:val="00E2060E"/>
    <w:rsid w:val="00E2089A"/>
    <w:rsid w:val="00E20D6B"/>
    <w:rsid w:val="00E20DAE"/>
    <w:rsid w:val="00E21028"/>
    <w:rsid w:val="00E21577"/>
    <w:rsid w:val="00E21777"/>
    <w:rsid w:val="00E21792"/>
    <w:rsid w:val="00E2196F"/>
    <w:rsid w:val="00E21BAC"/>
    <w:rsid w:val="00E21C1B"/>
    <w:rsid w:val="00E21D89"/>
    <w:rsid w:val="00E2247A"/>
    <w:rsid w:val="00E2256A"/>
    <w:rsid w:val="00E22C81"/>
    <w:rsid w:val="00E22F43"/>
    <w:rsid w:val="00E2321F"/>
    <w:rsid w:val="00E23249"/>
    <w:rsid w:val="00E2330A"/>
    <w:rsid w:val="00E236A1"/>
    <w:rsid w:val="00E236E7"/>
    <w:rsid w:val="00E23730"/>
    <w:rsid w:val="00E23853"/>
    <w:rsid w:val="00E23914"/>
    <w:rsid w:val="00E23995"/>
    <w:rsid w:val="00E23B72"/>
    <w:rsid w:val="00E24046"/>
    <w:rsid w:val="00E2456D"/>
    <w:rsid w:val="00E245E1"/>
    <w:rsid w:val="00E2464B"/>
    <w:rsid w:val="00E24870"/>
    <w:rsid w:val="00E24897"/>
    <w:rsid w:val="00E24904"/>
    <w:rsid w:val="00E2498A"/>
    <w:rsid w:val="00E24DAB"/>
    <w:rsid w:val="00E255C2"/>
    <w:rsid w:val="00E255CE"/>
    <w:rsid w:val="00E25ADD"/>
    <w:rsid w:val="00E25B1C"/>
    <w:rsid w:val="00E25B93"/>
    <w:rsid w:val="00E25EC2"/>
    <w:rsid w:val="00E26147"/>
    <w:rsid w:val="00E26157"/>
    <w:rsid w:val="00E262E3"/>
    <w:rsid w:val="00E26446"/>
    <w:rsid w:val="00E26643"/>
    <w:rsid w:val="00E26771"/>
    <w:rsid w:val="00E26BC1"/>
    <w:rsid w:val="00E26F96"/>
    <w:rsid w:val="00E2703E"/>
    <w:rsid w:val="00E2707B"/>
    <w:rsid w:val="00E274BD"/>
    <w:rsid w:val="00E2788C"/>
    <w:rsid w:val="00E27AE4"/>
    <w:rsid w:val="00E27DDC"/>
    <w:rsid w:val="00E27DF5"/>
    <w:rsid w:val="00E30160"/>
    <w:rsid w:val="00E30339"/>
    <w:rsid w:val="00E30572"/>
    <w:rsid w:val="00E30628"/>
    <w:rsid w:val="00E3076E"/>
    <w:rsid w:val="00E307D9"/>
    <w:rsid w:val="00E30A72"/>
    <w:rsid w:val="00E30CA5"/>
    <w:rsid w:val="00E311F2"/>
    <w:rsid w:val="00E312C4"/>
    <w:rsid w:val="00E31300"/>
    <w:rsid w:val="00E313F2"/>
    <w:rsid w:val="00E3168C"/>
    <w:rsid w:val="00E31958"/>
    <w:rsid w:val="00E31AAE"/>
    <w:rsid w:val="00E31CE9"/>
    <w:rsid w:val="00E31D34"/>
    <w:rsid w:val="00E31E7F"/>
    <w:rsid w:val="00E31ECC"/>
    <w:rsid w:val="00E31F74"/>
    <w:rsid w:val="00E32047"/>
    <w:rsid w:val="00E3208A"/>
    <w:rsid w:val="00E3212C"/>
    <w:rsid w:val="00E32164"/>
    <w:rsid w:val="00E322FE"/>
    <w:rsid w:val="00E32490"/>
    <w:rsid w:val="00E3273F"/>
    <w:rsid w:val="00E32846"/>
    <w:rsid w:val="00E32A79"/>
    <w:rsid w:val="00E32AC3"/>
    <w:rsid w:val="00E32B1E"/>
    <w:rsid w:val="00E32D56"/>
    <w:rsid w:val="00E32E50"/>
    <w:rsid w:val="00E33016"/>
    <w:rsid w:val="00E33118"/>
    <w:rsid w:val="00E3311F"/>
    <w:rsid w:val="00E33135"/>
    <w:rsid w:val="00E332F5"/>
    <w:rsid w:val="00E3341D"/>
    <w:rsid w:val="00E3343B"/>
    <w:rsid w:val="00E334DA"/>
    <w:rsid w:val="00E339D2"/>
    <w:rsid w:val="00E33CEC"/>
    <w:rsid w:val="00E340EF"/>
    <w:rsid w:val="00E3432A"/>
    <w:rsid w:val="00E343D4"/>
    <w:rsid w:val="00E3469E"/>
    <w:rsid w:val="00E34D2B"/>
    <w:rsid w:val="00E34F93"/>
    <w:rsid w:val="00E35065"/>
    <w:rsid w:val="00E3518D"/>
    <w:rsid w:val="00E35311"/>
    <w:rsid w:val="00E35A7C"/>
    <w:rsid w:val="00E35C7E"/>
    <w:rsid w:val="00E35E56"/>
    <w:rsid w:val="00E35EDC"/>
    <w:rsid w:val="00E3618D"/>
    <w:rsid w:val="00E362B8"/>
    <w:rsid w:val="00E36629"/>
    <w:rsid w:val="00E369D0"/>
    <w:rsid w:val="00E36B4B"/>
    <w:rsid w:val="00E36C01"/>
    <w:rsid w:val="00E36E85"/>
    <w:rsid w:val="00E372B0"/>
    <w:rsid w:val="00E37865"/>
    <w:rsid w:val="00E37BE0"/>
    <w:rsid w:val="00E37CA8"/>
    <w:rsid w:val="00E37CB6"/>
    <w:rsid w:val="00E37D48"/>
    <w:rsid w:val="00E37DFA"/>
    <w:rsid w:val="00E37DFE"/>
    <w:rsid w:val="00E37E0D"/>
    <w:rsid w:val="00E37FD1"/>
    <w:rsid w:val="00E40351"/>
    <w:rsid w:val="00E404D1"/>
    <w:rsid w:val="00E40619"/>
    <w:rsid w:val="00E40645"/>
    <w:rsid w:val="00E40DD0"/>
    <w:rsid w:val="00E40F70"/>
    <w:rsid w:val="00E41519"/>
    <w:rsid w:val="00E41A3E"/>
    <w:rsid w:val="00E41B3F"/>
    <w:rsid w:val="00E41B7B"/>
    <w:rsid w:val="00E41D54"/>
    <w:rsid w:val="00E41F79"/>
    <w:rsid w:val="00E4232A"/>
    <w:rsid w:val="00E4247F"/>
    <w:rsid w:val="00E424E1"/>
    <w:rsid w:val="00E42847"/>
    <w:rsid w:val="00E42972"/>
    <w:rsid w:val="00E42CFC"/>
    <w:rsid w:val="00E42FCC"/>
    <w:rsid w:val="00E4304D"/>
    <w:rsid w:val="00E432A9"/>
    <w:rsid w:val="00E4356D"/>
    <w:rsid w:val="00E43661"/>
    <w:rsid w:val="00E43789"/>
    <w:rsid w:val="00E43992"/>
    <w:rsid w:val="00E43A84"/>
    <w:rsid w:val="00E43ABB"/>
    <w:rsid w:val="00E43B1F"/>
    <w:rsid w:val="00E43CD5"/>
    <w:rsid w:val="00E441A0"/>
    <w:rsid w:val="00E44935"/>
    <w:rsid w:val="00E44956"/>
    <w:rsid w:val="00E44D72"/>
    <w:rsid w:val="00E44E13"/>
    <w:rsid w:val="00E44EA2"/>
    <w:rsid w:val="00E4512E"/>
    <w:rsid w:val="00E4525B"/>
    <w:rsid w:val="00E453D8"/>
    <w:rsid w:val="00E455B0"/>
    <w:rsid w:val="00E455E7"/>
    <w:rsid w:val="00E458D0"/>
    <w:rsid w:val="00E458F0"/>
    <w:rsid w:val="00E45DC8"/>
    <w:rsid w:val="00E45F68"/>
    <w:rsid w:val="00E46062"/>
    <w:rsid w:val="00E46181"/>
    <w:rsid w:val="00E462A1"/>
    <w:rsid w:val="00E4630E"/>
    <w:rsid w:val="00E46505"/>
    <w:rsid w:val="00E4651B"/>
    <w:rsid w:val="00E46576"/>
    <w:rsid w:val="00E4658B"/>
    <w:rsid w:val="00E46654"/>
    <w:rsid w:val="00E4692D"/>
    <w:rsid w:val="00E469D3"/>
    <w:rsid w:val="00E46A05"/>
    <w:rsid w:val="00E46BBA"/>
    <w:rsid w:val="00E46CE9"/>
    <w:rsid w:val="00E46D07"/>
    <w:rsid w:val="00E46D0C"/>
    <w:rsid w:val="00E46E13"/>
    <w:rsid w:val="00E47118"/>
    <w:rsid w:val="00E478A8"/>
    <w:rsid w:val="00E47A4D"/>
    <w:rsid w:val="00E47EB8"/>
    <w:rsid w:val="00E50522"/>
    <w:rsid w:val="00E50531"/>
    <w:rsid w:val="00E50538"/>
    <w:rsid w:val="00E5068D"/>
    <w:rsid w:val="00E50891"/>
    <w:rsid w:val="00E50A44"/>
    <w:rsid w:val="00E50BE4"/>
    <w:rsid w:val="00E50DB3"/>
    <w:rsid w:val="00E50E57"/>
    <w:rsid w:val="00E50F5D"/>
    <w:rsid w:val="00E51301"/>
    <w:rsid w:val="00E513C1"/>
    <w:rsid w:val="00E517FB"/>
    <w:rsid w:val="00E5185D"/>
    <w:rsid w:val="00E51A3D"/>
    <w:rsid w:val="00E51A51"/>
    <w:rsid w:val="00E51E62"/>
    <w:rsid w:val="00E51EF8"/>
    <w:rsid w:val="00E51F4D"/>
    <w:rsid w:val="00E520C6"/>
    <w:rsid w:val="00E52201"/>
    <w:rsid w:val="00E522B1"/>
    <w:rsid w:val="00E52A64"/>
    <w:rsid w:val="00E52B44"/>
    <w:rsid w:val="00E52C6F"/>
    <w:rsid w:val="00E52CDC"/>
    <w:rsid w:val="00E52ED0"/>
    <w:rsid w:val="00E52EDE"/>
    <w:rsid w:val="00E52EEA"/>
    <w:rsid w:val="00E53221"/>
    <w:rsid w:val="00E5337A"/>
    <w:rsid w:val="00E5350A"/>
    <w:rsid w:val="00E535CB"/>
    <w:rsid w:val="00E535E9"/>
    <w:rsid w:val="00E53697"/>
    <w:rsid w:val="00E539D0"/>
    <w:rsid w:val="00E53A6D"/>
    <w:rsid w:val="00E53CA6"/>
    <w:rsid w:val="00E53D3E"/>
    <w:rsid w:val="00E53DB0"/>
    <w:rsid w:val="00E53EA8"/>
    <w:rsid w:val="00E541E7"/>
    <w:rsid w:val="00E542E4"/>
    <w:rsid w:val="00E54348"/>
    <w:rsid w:val="00E54479"/>
    <w:rsid w:val="00E5469A"/>
    <w:rsid w:val="00E5493A"/>
    <w:rsid w:val="00E54986"/>
    <w:rsid w:val="00E54C0C"/>
    <w:rsid w:val="00E54C86"/>
    <w:rsid w:val="00E54E0F"/>
    <w:rsid w:val="00E54FDE"/>
    <w:rsid w:val="00E55148"/>
    <w:rsid w:val="00E55684"/>
    <w:rsid w:val="00E557E0"/>
    <w:rsid w:val="00E55AA9"/>
    <w:rsid w:val="00E55CA8"/>
    <w:rsid w:val="00E55D76"/>
    <w:rsid w:val="00E563B1"/>
    <w:rsid w:val="00E565F5"/>
    <w:rsid w:val="00E5699D"/>
    <w:rsid w:val="00E56A07"/>
    <w:rsid w:val="00E56A22"/>
    <w:rsid w:val="00E56DCB"/>
    <w:rsid w:val="00E56DE7"/>
    <w:rsid w:val="00E572A4"/>
    <w:rsid w:val="00E5779B"/>
    <w:rsid w:val="00E57834"/>
    <w:rsid w:val="00E57A5F"/>
    <w:rsid w:val="00E57A99"/>
    <w:rsid w:val="00E600F4"/>
    <w:rsid w:val="00E603E7"/>
    <w:rsid w:val="00E6088D"/>
    <w:rsid w:val="00E60924"/>
    <w:rsid w:val="00E609A0"/>
    <w:rsid w:val="00E60B8F"/>
    <w:rsid w:val="00E61163"/>
    <w:rsid w:val="00E61327"/>
    <w:rsid w:val="00E616D3"/>
    <w:rsid w:val="00E617C9"/>
    <w:rsid w:val="00E6199E"/>
    <w:rsid w:val="00E61CBC"/>
    <w:rsid w:val="00E61D03"/>
    <w:rsid w:val="00E61DB4"/>
    <w:rsid w:val="00E62005"/>
    <w:rsid w:val="00E62036"/>
    <w:rsid w:val="00E6220E"/>
    <w:rsid w:val="00E623C9"/>
    <w:rsid w:val="00E623FC"/>
    <w:rsid w:val="00E62DDD"/>
    <w:rsid w:val="00E62F33"/>
    <w:rsid w:val="00E62F39"/>
    <w:rsid w:val="00E63193"/>
    <w:rsid w:val="00E63456"/>
    <w:rsid w:val="00E6389E"/>
    <w:rsid w:val="00E6390C"/>
    <w:rsid w:val="00E63927"/>
    <w:rsid w:val="00E6392D"/>
    <w:rsid w:val="00E63B44"/>
    <w:rsid w:val="00E63E1F"/>
    <w:rsid w:val="00E6417B"/>
    <w:rsid w:val="00E64208"/>
    <w:rsid w:val="00E64238"/>
    <w:rsid w:val="00E64297"/>
    <w:rsid w:val="00E643AE"/>
    <w:rsid w:val="00E64773"/>
    <w:rsid w:val="00E64A0D"/>
    <w:rsid w:val="00E64BBC"/>
    <w:rsid w:val="00E64F75"/>
    <w:rsid w:val="00E650AA"/>
    <w:rsid w:val="00E65269"/>
    <w:rsid w:val="00E653EB"/>
    <w:rsid w:val="00E65457"/>
    <w:rsid w:val="00E656E1"/>
    <w:rsid w:val="00E659FB"/>
    <w:rsid w:val="00E65A35"/>
    <w:rsid w:val="00E65B4A"/>
    <w:rsid w:val="00E65B6B"/>
    <w:rsid w:val="00E65D88"/>
    <w:rsid w:val="00E65FCC"/>
    <w:rsid w:val="00E66687"/>
    <w:rsid w:val="00E66706"/>
    <w:rsid w:val="00E66782"/>
    <w:rsid w:val="00E66C1B"/>
    <w:rsid w:val="00E66F6E"/>
    <w:rsid w:val="00E67606"/>
    <w:rsid w:val="00E676A2"/>
    <w:rsid w:val="00E67AEB"/>
    <w:rsid w:val="00E67DA3"/>
    <w:rsid w:val="00E67E12"/>
    <w:rsid w:val="00E67F22"/>
    <w:rsid w:val="00E7033D"/>
    <w:rsid w:val="00E706AB"/>
    <w:rsid w:val="00E70A0D"/>
    <w:rsid w:val="00E70B19"/>
    <w:rsid w:val="00E70C16"/>
    <w:rsid w:val="00E711A5"/>
    <w:rsid w:val="00E711D9"/>
    <w:rsid w:val="00E71458"/>
    <w:rsid w:val="00E71908"/>
    <w:rsid w:val="00E7238E"/>
    <w:rsid w:val="00E7249C"/>
    <w:rsid w:val="00E726B7"/>
    <w:rsid w:val="00E727FA"/>
    <w:rsid w:val="00E72863"/>
    <w:rsid w:val="00E728E9"/>
    <w:rsid w:val="00E72BF9"/>
    <w:rsid w:val="00E72C0B"/>
    <w:rsid w:val="00E72DFB"/>
    <w:rsid w:val="00E7326B"/>
    <w:rsid w:val="00E7332F"/>
    <w:rsid w:val="00E73902"/>
    <w:rsid w:val="00E73DDF"/>
    <w:rsid w:val="00E74153"/>
    <w:rsid w:val="00E742B2"/>
    <w:rsid w:val="00E745BA"/>
    <w:rsid w:val="00E745F3"/>
    <w:rsid w:val="00E7471D"/>
    <w:rsid w:val="00E74733"/>
    <w:rsid w:val="00E749FE"/>
    <w:rsid w:val="00E74AD1"/>
    <w:rsid w:val="00E74BB4"/>
    <w:rsid w:val="00E755D6"/>
    <w:rsid w:val="00E756C0"/>
    <w:rsid w:val="00E75AF1"/>
    <w:rsid w:val="00E75BA7"/>
    <w:rsid w:val="00E75EFE"/>
    <w:rsid w:val="00E7608A"/>
    <w:rsid w:val="00E7620E"/>
    <w:rsid w:val="00E7627C"/>
    <w:rsid w:val="00E76304"/>
    <w:rsid w:val="00E76510"/>
    <w:rsid w:val="00E76552"/>
    <w:rsid w:val="00E765E5"/>
    <w:rsid w:val="00E76631"/>
    <w:rsid w:val="00E76678"/>
    <w:rsid w:val="00E767DE"/>
    <w:rsid w:val="00E76A95"/>
    <w:rsid w:val="00E76D7A"/>
    <w:rsid w:val="00E76F81"/>
    <w:rsid w:val="00E77499"/>
    <w:rsid w:val="00E776DD"/>
    <w:rsid w:val="00E7771C"/>
    <w:rsid w:val="00E779B0"/>
    <w:rsid w:val="00E77CCF"/>
    <w:rsid w:val="00E77D78"/>
    <w:rsid w:val="00E77DED"/>
    <w:rsid w:val="00E77E77"/>
    <w:rsid w:val="00E80117"/>
    <w:rsid w:val="00E8013F"/>
    <w:rsid w:val="00E80252"/>
    <w:rsid w:val="00E80329"/>
    <w:rsid w:val="00E80551"/>
    <w:rsid w:val="00E806ED"/>
    <w:rsid w:val="00E807EA"/>
    <w:rsid w:val="00E80B49"/>
    <w:rsid w:val="00E80DC4"/>
    <w:rsid w:val="00E81060"/>
    <w:rsid w:val="00E818FA"/>
    <w:rsid w:val="00E8191D"/>
    <w:rsid w:val="00E819C3"/>
    <w:rsid w:val="00E81AD1"/>
    <w:rsid w:val="00E81D03"/>
    <w:rsid w:val="00E81EB3"/>
    <w:rsid w:val="00E820D2"/>
    <w:rsid w:val="00E82137"/>
    <w:rsid w:val="00E82152"/>
    <w:rsid w:val="00E822D9"/>
    <w:rsid w:val="00E825D3"/>
    <w:rsid w:val="00E82867"/>
    <w:rsid w:val="00E82AB4"/>
    <w:rsid w:val="00E82BB8"/>
    <w:rsid w:val="00E82E78"/>
    <w:rsid w:val="00E8342A"/>
    <w:rsid w:val="00E834BE"/>
    <w:rsid w:val="00E83694"/>
    <w:rsid w:val="00E83913"/>
    <w:rsid w:val="00E839B7"/>
    <w:rsid w:val="00E83C8F"/>
    <w:rsid w:val="00E83F0E"/>
    <w:rsid w:val="00E84005"/>
    <w:rsid w:val="00E84205"/>
    <w:rsid w:val="00E84383"/>
    <w:rsid w:val="00E843DC"/>
    <w:rsid w:val="00E84422"/>
    <w:rsid w:val="00E844AE"/>
    <w:rsid w:val="00E84A35"/>
    <w:rsid w:val="00E84C55"/>
    <w:rsid w:val="00E84FC0"/>
    <w:rsid w:val="00E84FCE"/>
    <w:rsid w:val="00E850AD"/>
    <w:rsid w:val="00E850ED"/>
    <w:rsid w:val="00E851E8"/>
    <w:rsid w:val="00E854E9"/>
    <w:rsid w:val="00E85800"/>
    <w:rsid w:val="00E85939"/>
    <w:rsid w:val="00E85DF5"/>
    <w:rsid w:val="00E86174"/>
    <w:rsid w:val="00E8624F"/>
    <w:rsid w:val="00E86540"/>
    <w:rsid w:val="00E8684E"/>
    <w:rsid w:val="00E86BBB"/>
    <w:rsid w:val="00E86F53"/>
    <w:rsid w:val="00E87027"/>
    <w:rsid w:val="00E8704E"/>
    <w:rsid w:val="00E870F6"/>
    <w:rsid w:val="00E8740C"/>
    <w:rsid w:val="00E875CF"/>
    <w:rsid w:val="00E87807"/>
    <w:rsid w:val="00E87B16"/>
    <w:rsid w:val="00E87DFD"/>
    <w:rsid w:val="00E87E0D"/>
    <w:rsid w:val="00E87EBE"/>
    <w:rsid w:val="00E89948"/>
    <w:rsid w:val="00E901F2"/>
    <w:rsid w:val="00E90399"/>
    <w:rsid w:val="00E90896"/>
    <w:rsid w:val="00E90931"/>
    <w:rsid w:val="00E90A0F"/>
    <w:rsid w:val="00E90AE2"/>
    <w:rsid w:val="00E90CB5"/>
    <w:rsid w:val="00E91089"/>
    <w:rsid w:val="00E91255"/>
    <w:rsid w:val="00E9188C"/>
    <w:rsid w:val="00E91F0E"/>
    <w:rsid w:val="00E92215"/>
    <w:rsid w:val="00E9235B"/>
    <w:rsid w:val="00E925B7"/>
    <w:rsid w:val="00E927CA"/>
    <w:rsid w:val="00E92ABB"/>
    <w:rsid w:val="00E92C76"/>
    <w:rsid w:val="00E92DC2"/>
    <w:rsid w:val="00E92FA8"/>
    <w:rsid w:val="00E93267"/>
    <w:rsid w:val="00E9355E"/>
    <w:rsid w:val="00E93654"/>
    <w:rsid w:val="00E93698"/>
    <w:rsid w:val="00E936CB"/>
    <w:rsid w:val="00E93B40"/>
    <w:rsid w:val="00E9431D"/>
    <w:rsid w:val="00E94400"/>
    <w:rsid w:val="00E94734"/>
    <w:rsid w:val="00E9481E"/>
    <w:rsid w:val="00E94B0D"/>
    <w:rsid w:val="00E95343"/>
    <w:rsid w:val="00E95365"/>
    <w:rsid w:val="00E954B3"/>
    <w:rsid w:val="00E955E9"/>
    <w:rsid w:val="00E95A58"/>
    <w:rsid w:val="00E95A5F"/>
    <w:rsid w:val="00E95E16"/>
    <w:rsid w:val="00E96077"/>
    <w:rsid w:val="00E9639A"/>
    <w:rsid w:val="00E966C4"/>
    <w:rsid w:val="00E96B33"/>
    <w:rsid w:val="00E96BC6"/>
    <w:rsid w:val="00E96DE3"/>
    <w:rsid w:val="00E96F62"/>
    <w:rsid w:val="00E973D6"/>
    <w:rsid w:val="00E9754B"/>
    <w:rsid w:val="00E97564"/>
    <w:rsid w:val="00E975E6"/>
    <w:rsid w:val="00E97C25"/>
    <w:rsid w:val="00E97C6E"/>
    <w:rsid w:val="00E97D25"/>
    <w:rsid w:val="00E97FA5"/>
    <w:rsid w:val="00EA00E7"/>
    <w:rsid w:val="00EA0219"/>
    <w:rsid w:val="00EA0350"/>
    <w:rsid w:val="00EA043C"/>
    <w:rsid w:val="00EA071D"/>
    <w:rsid w:val="00EA07E7"/>
    <w:rsid w:val="00EA0C0B"/>
    <w:rsid w:val="00EA0C91"/>
    <w:rsid w:val="00EA1038"/>
    <w:rsid w:val="00EA10B7"/>
    <w:rsid w:val="00EA1149"/>
    <w:rsid w:val="00EA1237"/>
    <w:rsid w:val="00EA126F"/>
    <w:rsid w:val="00EA1301"/>
    <w:rsid w:val="00EA187A"/>
    <w:rsid w:val="00EA19ED"/>
    <w:rsid w:val="00EA1A7C"/>
    <w:rsid w:val="00EA1A98"/>
    <w:rsid w:val="00EA1AD5"/>
    <w:rsid w:val="00EA1E79"/>
    <w:rsid w:val="00EA2A11"/>
    <w:rsid w:val="00EA2CB7"/>
    <w:rsid w:val="00EA2D1E"/>
    <w:rsid w:val="00EA2D35"/>
    <w:rsid w:val="00EA2E98"/>
    <w:rsid w:val="00EA3202"/>
    <w:rsid w:val="00EA3339"/>
    <w:rsid w:val="00EA3486"/>
    <w:rsid w:val="00EA3B55"/>
    <w:rsid w:val="00EA3BAA"/>
    <w:rsid w:val="00EA3C68"/>
    <w:rsid w:val="00EA3D6F"/>
    <w:rsid w:val="00EA4043"/>
    <w:rsid w:val="00EA42BE"/>
    <w:rsid w:val="00EA42F2"/>
    <w:rsid w:val="00EA4429"/>
    <w:rsid w:val="00EA44A9"/>
    <w:rsid w:val="00EA48F2"/>
    <w:rsid w:val="00EA4B49"/>
    <w:rsid w:val="00EA4E25"/>
    <w:rsid w:val="00EA4F40"/>
    <w:rsid w:val="00EA5157"/>
    <w:rsid w:val="00EA54D0"/>
    <w:rsid w:val="00EA5561"/>
    <w:rsid w:val="00EA57BC"/>
    <w:rsid w:val="00EA58A0"/>
    <w:rsid w:val="00EA5A41"/>
    <w:rsid w:val="00EA5B40"/>
    <w:rsid w:val="00EA5D65"/>
    <w:rsid w:val="00EA600A"/>
    <w:rsid w:val="00EA6279"/>
    <w:rsid w:val="00EA6384"/>
    <w:rsid w:val="00EA63EF"/>
    <w:rsid w:val="00EA6665"/>
    <w:rsid w:val="00EA672E"/>
    <w:rsid w:val="00EA67DD"/>
    <w:rsid w:val="00EA68B3"/>
    <w:rsid w:val="00EA69CF"/>
    <w:rsid w:val="00EA6B64"/>
    <w:rsid w:val="00EA6BB9"/>
    <w:rsid w:val="00EA6C4D"/>
    <w:rsid w:val="00EA708D"/>
    <w:rsid w:val="00EA719A"/>
    <w:rsid w:val="00EA71A0"/>
    <w:rsid w:val="00EA724C"/>
    <w:rsid w:val="00EA7310"/>
    <w:rsid w:val="00EA7703"/>
    <w:rsid w:val="00EA77CC"/>
    <w:rsid w:val="00EA7AE5"/>
    <w:rsid w:val="00EA7C6B"/>
    <w:rsid w:val="00EA7DB1"/>
    <w:rsid w:val="00EA7DB6"/>
    <w:rsid w:val="00EA7F01"/>
    <w:rsid w:val="00EA7F33"/>
    <w:rsid w:val="00EB00AE"/>
    <w:rsid w:val="00EB03CB"/>
    <w:rsid w:val="00EB0525"/>
    <w:rsid w:val="00EB0552"/>
    <w:rsid w:val="00EB061B"/>
    <w:rsid w:val="00EB070D"/>
    <w:rsid w:val="00EB08A9"/>
    <w:rsid w:val="00EB08D5"/>
    <w:rsid w:val="00EB10E7"/>
    <w:rsid w:val="00EB124C"/>
    <w:rsid w:val="00EB12F1"/>
    <w:rsid w:val="00EB13E5"/>
    <w:rsid w:val="00EB1AA7"/>
    <w:rsid w:val="00EB1C33"/>
    <w:rsid w:val="00EB1D0A"/>
    <w:rsid w:val="00EB1E52"/>
    <w:rsid w:val="00EB21F5"/>
    <w:rsid w:val="00EB2266"/>
    <w:rsid w:val="00EB226F"/>
    <w:rsid w:val="00EB273F"/>
    <w:rsid w:val="00EB2748"/>
    <w:rsid w:val="00EB292B"/>
    <w:rsid w:val="00EB2B1E"/>
    <w:rsid w:val="00EB2C00"/>
    <w:rsid w:val="00EB2C3A"/>
    <w:rsid w:val="00EB32E3"/>
    <w:rsid w:val="00EB36EC"/>
    <w:rsid w:val="00EB3F0D"/>
    <w:rsid w:val="00EB3F9E"/>
    <w:rsid w:val="00EB41D6"/>
    <w:rsid w:val="00EB422F"/>
    <w:rsid w:val="00EB4304"/>
    <w:rsid w:val="00EB44B2"/>
    <w:rsid w:val="00EB46AF"/>
    <w:rsid w:val="00EB478F"/>
    <w:rsid w:val="00EB4883"/>
    <w:rsid w:val="00EB48EA"/>
    <w:rsid w:val="00EB4981"/>
    <w:rsid w:val="00EB4A0A"/>
    <w:rsid w:val="00EB4A30"/>
    <w:rsid w:val="00EB4C89"/>
    <w:rsid w:val="00EB4E83"/>
    <w:rsid w:val="00EB517E"/>
    <w:rsid w:val="00EB51D0"/>
    <w:rsid w:val="00EB5358"/>
    <w:rsid w:val="00EB54D8"/>
    <w:rsid w:val="00EB561B"/>
    <w:rsid w:val="00EB5648"/>
    <w:rsid w:val="00EB56D3"/>
    <w:rsid w:val="00EB5CB5"/>
    <w:rsid w:val="00EB5FD1"/>
    <w:rsid w:val="00EB6021"/>
    <w:rsid w:val="00EB6093"/>
    <w:rsid w:val="00EB60EE"/>
    <w:rsid w:val="00EB61E7"/>
    <w:rsid w:val="00EB647B"/>
    <w:rsid w:val="00EB69DA"/>
    <w:rsid w:val="00EB6D4B"/>
    <w:rsid w:val="00EB6EEA"/>
    <w:rsid w:val="00EB700D"/>
    <w:rsid w:val="00EB71B2"/>
    <w:rsid w:val="00EB771C"/>
    <w:rsid w:val="00EB79FE"/>
    <w:rsid w:val="00EB7F7B"/>
    <w:rsid w:val="00EC01E7"/>
    <w:rsid w:val="00EC0298"/>
    <w:rsid w:val="00EC02B7"/>
    <w:rsid w:val="00EC05EE"/>
    <w:rsid w:val="00EC0607"/>
    <w:rsid w:val="00EC074B"/>
    <w:rsid w:val="00EC0756"/>
    <w:rsid w:val="00EC0877"/>
    <w:rsid w:val="00EC0AA8"/>
    <w:rsid w:val="00EC0C7F"/>
    <w:rsid w:val="00EC0C86"/>
    <w:rsid w:val="00EC0DFF"/>
    <w:rsid w:val="00EC0EF9"/>
    <w:rsid w:val="00EC0F9E"/>
    <w:rsid w:val="00EC1043"/>
    <w:rsid w:val="00EC12B3"/>
    <w:rsid w:val="00EC130E"/>
    <w:rsid w:val="00EC145E"/>
    <w:rsid w:val="00EC14A8"/>
    <w:rsid w:val="00EC1759"/>
    <w:rsid w:val="00EC1879"/>
    <w:rsid w:val="00EC195A"/>
    <w:rsid w:val="00EC197E"/>
    <w:rsid w:val="00EC1ACB"/>
    <w:rsid w:val="00EC1B2F"/>
    <w:rsid w:val="00EC1B59"/>
    <w:rsid w:val="00EC20AF"/>
    <w:rsid w:val="00EC216C"/>
    <w:rsid w:val="00EC22FD"/>
    <w:rsid w:val="00EC23E5"/>
    <w:rsid w:val="00EC24B5"/>
    <w:rsid w:val="00EC255C"/>
    <w:rsid w:val="00EC2681"/>
    <w:rsid w:val="00EC27CC"/>
    <w:rsid w:val="00EC2882"/>
    <w:rsid w:val="00EC28AB"/>
    <w:rsid w:val="00EC2951"/>
    <w:rsid w:val="00EC2B05"/>
    <w:rsid w:val="00EC2CB1"/>
    <w:rsid w:val="00EC2F11"/>
    <w:rsid w:val="00EC356E"/>
    <w:rsid w:val="00EC3605"/>
    <w:rsid w:val="00EC3616"/>
    <w:rsid w:val="00EC3CBF"/>
    <w:rsid w:val="00EC3FA6"/>
    <w:rsid w:val="00EC3FEF"/>
    <w:rsid w:val="00EC42A7"/>
    <w:rsid w:val="00EC43B6"/>
    <w:rsid w:val="00EC47B6"/>
    <w:rsid w:val="00EC4833"/>
    <w:rsid w:val="00EC4836"/>
    <w:rsid w:val="00EC48BF"/>
    <w:rsid w:val="00EC497F"/>
    <w:rsid w:val="00EC4A56"/>
    <w:rsid w:val="00EC4B6D"/>
    <w:rsid w:val="00EC5053"/>
    <w:rsid w:val="00EC5121"/>
    <w:rsid w:val="00EC516F"/>
    <w:rsid w:val="00EC54C4"/>
    <w:rsid w:val="00EC54D1"/>
    <w:rsid w:val="00EC558C"/>
    <w:rsid w:val="00EC5869"/>
    <w:rsid w:val="00EC591D"/>
    <w:rsid w:val="00EC5A1C"/>
    <w:rsid w:val="00EC5B68"/>
    <w:rsid w:val="00EC5BE1"/>
    <w:rsid w:val="00EC5D5A"/>
    <w:rsid w:val="00EC5D64"/>
    <w:rsid w:val="00EC5E17"/>
    <w:rsid w:val="00EC5FB3"/>
    <w:rsid w:val="00EC6016"/>
    <w:rsid w:val="00EC69A1"/>
    <w:rsid w:val="00EC6AB2"/>
    <w:rsid w:val="00EC6B54"/>
    <w:rsid w:val="00EC7077"/>
    <w:rsid w:val="00EC7829"/>
    <w:rsid w:val="00EC7868"/>
    <w:rsid w:val="00EC7AAD"/>
    <w:rsid w:val="00EC7B46"/>
    <w:rsid w:val="00EC7C63"/>
    <w:rsid w:val="00EC7C6F"/>
    <w:rsid w:val="00EC7D8A"/>
    <w:rsid w:val="00ED052B"/>
    <w:rsid w:val="00ED0676"/>
    <w:rsid w:val="00ED0976"/>
    <w:rsid w:val="00ED0BA6"/>
    <w:rsid w:val="00ED0EF7"/>
    <w:rsid w:val="00ED1473"/>
    <w:rsid w:val="00ED16C8"/>
    <w:rsid w:val="00ED1C82"/>
    <w:rsid w:val="00ED1F28"/>
    <w:rsid w:val="00ED2252"/>
    <w:rsid w:val="00ED2589"/>
    <w:rsid w:val="00ED26C4"/>
    <w:rsid w:val="00ED2A4E"/>
    <w:rsid w:val="00ED2B35"/>
    <w:rsid w:val="00ED2E04"/>
    <w:rsid w:val="00ED2E53"/>
    <w:rsid w:val="00ED2EF0"/>
    <w:rsid w:val="00ED3375"/>
    <w:rsid w:val="00ED33D0"/>
    <w:rsid w:val="00ED359D"/>
    <w:rsid w:val="00ED36D1"/>
    <w:rsid w:val="00ED37B0"/>
    <w:rsid w:val="00ED38AC"/>
    <w:rsid w:val="00ED3935"/>
    <w:rsid w:val="00ED3A80"/>
    <w:rsid w:val="00ED3E24"/>
    <w:rsid w:val="00ED3E70"/>
    <w:rsid w:val="00ED40AC"/>
    <w:rsid w:val="00ED48B9"/>
    <w:rsid w:val="00ED4FC2"/>
    <w:rsid w:val="00ED5039"/>
    <w:rsid w:val="00ED5550"/>
    <w:rsid w:val="00ED56E0"/>
    <w:rsid w:val="00ED57A6"/>
    <w:rsid w:val="00ED5955"/>
    <w:rsid w:val="00ED59CC"/>
    <w:rsid w:val="00ED5AEC"/>
    <w:rsid w:val="00ED5C1E"/>
    <w:rsid w:val="00ED5E64"/>
    <w:rsid w:val="00ED5F78"/>
    <w:rsid w:val="00ED60C6"/>
    <w:rsid w:val="00ED60E8"/>
    <w:rsid w:val="00ED63FA"/>
    <w:rsid w:val="00ED6C1E"/>
    <w:rsid w:val="00ED6C54"/>
    <w:rsid w:val="00ED6C60"/>
    <w:rsid w:val="00ED6DC9"/>
    <w:rsid w:val="00ED6E5E"/>
    <w:rsid w:val="00ED6E8A"/>
    <w:rsid w:val="00ED6F66"/>
    <w:rsid w:val="00ED709F"/>
    <w:rsid w:val="00ED7198"/>
    <w:rsid w:val="00ED76AA"/>
    <w:rsid w:val="00ED7AD5"/>
    <w:rsid w:val="00ED7C56"/>
    <w:rsid w:val="00ED7CA4"/>
    <w:rsid w:val="00ED7FF3"/>
    <w:rsid w:val="00ED7FF5"/>
    <w:rsid w:val="00EE0311"/>
    <w:rsid w:val="00EE03F7"/>
    <w:rsid w:val="00EE0701"/>
    <w:rsid w:val="00EE08EA"/>
    <w:rsid w:val="00EE102F"/>
    <w:rsid w:val="00EE15DB"/>
    <w:rsid w:val="00EE17FA"/>
    <w:rsid w:val="00EE1ADC"/>
    <w:rsid w:val="00EE1B42"/>
    <w:rsid w:val="00EE1CD2"/>
    <w:rsid w:val="00EE2382"/>
    <w:rsid w:val="00EE2393"/>
    <w:rsid w:val="00EE2708"/>
    <w:rsid w:val="00EE2B47"/>
    <w:rsid w:val="00EE2C07"/>
    <w:rsid w:val="00EE2C17"/>
    <w:rsid w:val="00EE2CEE"/>
    <w:rsid w:val="00EE3546"/>
    <w:rsid w:val="00EE35E2"/>
    <w:rsid w:val="00EE388C"/>
    <w:rsid w:val="00EE3A58"/>
    <w:rsid w:val="00EE3E4F"/>
    <w:rsid w:val="00EE3F51"/>
    <w:rsid w:val="00EE40F3"/>
    <w:rsid w:val="00EE465D"/>
    <w:rsid w:val="00EE4ABE"/>
    <w:rsid w:val="00EE4DF5"/>
    <w:rsid w:val="00EE4F17"/>
    <w:rsid w:val="00EE4F60"/>
    <w:rsid w:val="00EE50B3"/>
    <w:rsid w:val="00EE5132"/>
    <w:rsid w:val="00EE5180"/>
    <w:rsid w:val="00EE5341"/>
    <w:rsid w:val="00EE59B5"/>
    <w:rsid w:val="00EE5A56"/>
    <w:rsid w:val="00EE5B17"/>
    <w:rsid w:val="00EE5BB7"/>
    <w:rsid w:val="00EE5DA0"/>
    <w:rsid w:val="00EE5E58"/>
    <w:rsid w:val="00EE60A5"/>
    <w:rsid w:val="00EE61A6"/>
    <w:rsid w:val="00EE645C"/>
    <w:rsid w:val="00EE656B"/>
    <w:rsid w:val="00EE6621"/>
    <w:rsid w:val="00EE6AA5"/>
    <w:rsid w:val="00EE6B98"/>
    <w:rsid w:val="00EE6BF6"/>
    <w:rsid w:val="00EE6D62"/>
    <w:rsid w:val="00EE6D7D"/>
    <w:rsid w:val="00EE7092"/>
    <w:rsid w:val="00EE73D0"/>
    <w:rsid w:val="00EE740C"/>
    <w:rsid w:val="00EE7C43"/>
    <w:rsid w:val="00EE7CB3"/>
    <w:rsid w:val="00EE7F74"/>
    <w:rsid w:val="00EF0391"/>
    <w:rsid w:val="00EF0485"/>
    <w:rsid w:val="00EF0888"/>
    <w:rsid w:val="00EF0A27"/>
    <w:rsid w:val="00EF0DEB"/>
    <w:rsid w:val="00EF0FD7"/>
    <w:rsid w:val="00EF125F"/>
    <w:rsid w:val="00EF13EE"/>
    <w:rsid w:val="00EF15D3"/>
    <w:rsid w:val="00EF1739"/>
    <w:rsid w:val="00EF178D"/>
    <w:rsid w:val="00EF1820"/>
    <w:rsid w:val="00EF1A10"/>
    <w:rsid w:val="00EF1B75"/>
    <w:rsid w:val="00EF1F03"/>
    <w:rsid w:val="00EF1FB5"/>
    <w:rsid w:val="00EF210C"/>
    <w:rsid w:val="00EF2251"/>
    <w:rsid w:val="00EF22E8"/>
    <w:rsid w:val="00EF2436"/>
    <w:rsid w:val="00EF25DC"/>
    <w:rsid w:val="00EF29DB"/>
    <w:rsid w:val="00EF2DC0"/>
    <w:rsid w:val="00EF2E85"/>
    <w:rsid w:val="00EF2FA7"/>
    <w:rsid w:val="00EF305B"/>
    <w:rsid w:val="00EF30B4"/>
    <w:rsid w:val="00EF3876"/>
    <w:rsid w:val="00EF38B4"/>
    <w:rsid w:val="00EF3AA1"/>
    <w:rsid w:val="00EF3BC6"/>
    <w:rsid w:val="00EF3D57"/>
    <w:rsid w:val="00EF3EDD"/>
    <w:rsid w:val="00EF41F1"/>
    <w:rsid w:val="00EF420F"/>
    <w:rsid w:val="00EF43DC"/>
    <w:rsid w:val="00EF44C6"/>
    <w:rsid w:val="00EF44DD"/>
    <w:rsid w:val="00EF4506"/>
    <w:rsid w:val="00EF450C"/>
    <w:rsid w:val="00EF4AD0"/>
    <w:rsid w:val="00EF4BFD"/>
    <w:rsid w:val="00EF4CEA"/>
    <w:rsid w:val="00EF4CF7"/>
    <w:rsid w:val="00EF4DA2"/>
    <w:rsid w:val="00EF5439"/>
    <w:rsid w:val="00EF548A"/>
    <w:rsid w:val="00EF5633"/>
    <w:rsid w:val="00EF5913"/>
    <w:rsid w:val="00EF5A20"/>
    <w:rsid w:val="00EF5A21"/>
    <w:rsid w:val="00EF5BE1"/>
    <w:rsid w:val="00EF5D82"/>
    <w:rsid w:val="00EF5EAF"/>
    <w:rsid w:val="00EF5EC5"/>
    <w:rsid w:val="00EF60A8"/>
    <w:rsid w:val="00EF619F"/>
    <w:rsid w:val="00EF62F6"/>
    <w:rsid w:val="00EF6738"/>
    <w:rsid w:val="00EF6771"/>
    <w:rsid w:val="00EF67BE"/>
    <w:rsid w:val="00EF6D6F"/>
    <w:rsid w:val="00EF6FD1"/>
    <w:rsid w:val="00EF73FD"/>
    <w:rsid w:val="00EF7527"/>
    <w:rsid w:val="00EF75F5"/>
    <w:rsid w:val="00EF76FD"/>
    <w:rsid w:val="00EF7848"/>
    <w:rsid w:val="00F000A8"/>
    <w:rsid w:val="00F0016C"/>
    <w:rsid w:val="00F001B1"/>
    <w:rsid w:val="00F004A1"/>
    <w:rsid w:val="00F006E3"/>
    <w:rsid w:val="00F00752"/>
    <w:rsid w:val="00F01351"/>
    <w:rsid w:val="00F014A9"/>
    <w:rsid w:val="00F01596"/>
    <w:rsid w:val="00F015FF"/>
    <w:rsid w:val="00F017BA"/>
    <w:rsid w:val="00F0190A"/>
    <w:rsid w:val="00F01A3C"/>
    <w:rsid w:val="00F01A90"/>
    <w:rsid w:val="00F01DD5"/>
    <w:rsid w:val="00F01E22"/>
    <w:rsid w:val="00F01EB2"/>
    <w:rsid w:val="00F0206E"/>
    <w:rsid w:val="00F02507"/>
    <w:rsid w:val="00F0250B"/>
    <w:rsid w:val="00F0287A"/>
    <w:rsid w:val="00F02999"/>
    <w:rsid w:val="00F02A88"/>
    <w:rsid w:val="00F03024"/>
    <w:rsid w:val="00F03062"/>
    <w:rsid w:val="00F0308E"/>
    <w:rsid w:val="00F035CA"/>
    <w:rsid w:val="00F0365A"/>
    <w:rsid w:val="00F03713"/>
    <w:rsid w:val="00F03728"/>
    <w:rsid w:val="00F0391A"/>
    <w:rsid w:val="00F043CE"/>
    <w:rsid w:val="00F04437"/>
    <w:rsid w:val="00F045CC"/>
    <w:rsid w:val="00F045D1"/>
    <w:rsid w:val="00F04B3A"/>
    <w:rsid w:val="00F04B61"/>
    <w:rsid w:val="00F04D64"/>
    <w:rsid w:val="00F051C6"/>
    <w:rsid w:val="00F052C3"/>
    <w:rsid w:val="00F0537E"/>
    <w:rsid w:val="00F05394"/>
    <w:rsid w:val="00F05D9C"/>
    <w:rsid w:val="00F0681E"/>
    <w:rsid w:val="00F06C74"/>
    <w:rsid w:val="00F07776"/>
    <w:rsid w:val="00F07826"/>
    <w:rsid w:val="00F07B29"/>
    <w:rsid w:val="00F07BB1"/>
    <w:rsid w:val="00F07C55"/>
    <w:rsid w:val="00F07DA8"/>
    <w:rsid w:val="00F07DD3"/>
    <w:rsid w:val="00F07F78"/>
    <w:rsid w:val="00F07FA2"/>
    <w:rsid w:val="00F101D4"/>
    <w:rsid w:val="00F10431"/>
    <w:rsid w:val="00F109C1"/>
    <w:rsid w:val="00F10B63"/>
    <w:rsid w:val="00F10C4C"/>
    <w:rsid w:val="00F10F06"/>
    <w:rsid w:val="00F11353"/>
    <w:rsid w:val="00F11370"/>
    <w:rsid w:val="00F115DE"/>
    <w:rsid w:val="00F1179C"/>
    <w:rsid w:val="00F1179E"/>
    <w:rsid w:val="00F11A69"/>
    <w:rsid w:val="00F11C14"/>
    <w:rsid w:val="00F11EDB"/>
    <w:rsid w:val="00F12365"/>
    <w:rsid w:val="00F12662"/>
    <w:rsid w:val="00F12712"/>
    <w:rsid w:val="00F127F7"/>
    <w:rsid w:val="00F12814"/>
    <w:rsid w:val="00F12B60"/>
    <w:rsid w:val="00F12EAE"/>
    <w:rsid w:val="00F12FF1"/>
    <w:rsid w:val="00F1330A"/>
    <w:rsid w:val="00F1346D"/>
    <w:rsid w:val="00F1348D"/>
    <w:rsid w:val="00F13586"/>
    <w:rsid w:val="00F1382C"/>
    <w:rsid w:val="00F138EC"/>
    <w:rsid w:val="00F13B5B"/>
    <w:rsid w:val="00F1417E"/>
    <w:rsid w:val="00F141B6"/>
    <w:rsid w:val="00F143BC"/>
    <w:rsid w:val="00F145D9"/>
    <w:rsid w:val="00F14623"/>
    <w:rsid w:val="00F148B1"/>
    <w:rsid w:val="00F14907"/>
    <w:rsid w:val="00F14955"/>
    <w:rsid w:val="00F14A0F"/>
    <w:rsid w:val="00F14EE9"/>
    <w:rsid w:val="00F15080"/>
    <w:rsid w:val="00F152AA"/>
    <w:rsid w:val="00F154DC"/>
    <w:rsid w:val="00F1566B"/>
    <w:rsid w:val="00F159D4"/>
    <w:rsid w:val="00F15A36"/>
    <w:rsid w:val="00F15C91"/>
    <w:rsid w:val="00F15D73"/>
    <w:rsid w:val="00F16076"/>
    <w:rsid w:val="00F160B7"/>
    <w:rsid w:val="00F1668D"/>
    <w:rsid w:val="00F16815"/>
    <w:rsid w:val="00F171FB"/>
    <w:rsid w:val="00F173D8"/>
    <w:rsid w:val="00F17571"/>
    <w:rsid w:val="00F17577"/>
    <w:rsid w:val="00F17741"/>
    <w:rsid w:val="00F1793A"/>
    <w:rsid w:val="00F17E44"/>
    <w:rsid w:val="00F202EB"/>
    <w:rsid w:val="00F20344"/>
    <w:rsid w:val="00F2034F"/>
    <w:rsid w:val="00F20394"/>
    <w:rsid w:val="00F20475"/>
    <w:rsid w:val="00F20979"/>
    <w:rsid w:val="00F20E7E"/>
    <w:rsid w:val="00F212D0"/>
    <w:rsid w:val="00F2170E"/>
    <w:rsid w:val="00F217AE"/>
    <w:rsid w:val="00F21859"/>
    <w:rsid w:val="00F21A6C"/>
    <w:rsid w:val="00F21AFB"/>
    <w:rsid w:val="00F21C02"/>
    <w:rsid w:val="00F21C65"/>
    <w:rsid w:val="00F21C7F"/>
    <w:rsid w:val="00F21D3F"/>
    <w:rsid w:val="00F2233D"/>
    <w:rsid w:val="00F22389"/>
    <w:rsid w:val="00F2238A"/>
    <w:rsid w:val="00F227F1"/>
    <w:rsid w:val="00F2291F"/>
    <w:rsid w:val="00F22A16"/>
    <w:rsid w:val="00F22C2A"/>
    <w:rsid w:val="00F231D3"/>
    <w:rsid w:val="00F232E2"/>
    <w:rsid w:val="00F23455"/>
    <w:rsid w:val="00F23477"/>
    <w:rsid w:val="00F2359F"/>
    <w:rsid w:val="00F236D1"/>
    <w:rsid w:val="00F23744"/>
    <w:rsid w:val="00F2375C"/>
    <w:rsid w:val="00F2394C"/>
    <w:rsid w:val="00F23BF8"/>
    <w:rsid w:val="00F23D88"/>
    <w:rsid w:val="00F23E5E"/>
    <w:rsid w:val="00F240AC"/>
    <w:rsid w:val="00F2422A"/>
    <w:rsid w:val="00F24234"/>
    <w:rsid w:val="00F242A6"/>
    <w:rsid w:val="00F245F6"/>
    <w:rsid w:val="00F2480D"/>
    <w:rsid w:val="00F24A1E"/>
    <w:rsid w:val="00F24C07"/>
    <w:rsid w:val="00F24D9A"/>
    <w:rsid w:val="00F24F8C"/>
    <w:rsid w:val="00F25345"/>
    <w:rsid w:val="00F25547"/>
    <w:rsid w:val="00F25835"/>
    <w:rsid w:val="00F25A16"/>
    <w:rsid w:val="00F25B76"/>
    <w:rsid w:val="00F25BE1"/>
    <w:rsid w:val="00F25BE7"/>
    <w:rsid w:val="00F25BF4"/>
    <w:rsid w:val="00F25DA9"/>
    <w:rsid w:val="00F25F41"/>
    <w:rsid w:val="00F26343"/>
    <w:rsid w:val="00F264A9"/>
    <w:rsid w:val="00F266A3"/>
    <w:rsid w:val="00F267DF"/>
    <w:rsid w:val="00F2690B"/>
    <w:rsid w:val="00F2698C"/>
    <w:rsid w:val="00F269BF"/>
    <w:rsid w:val="00F26B77"/>
    <w:rsid w:val="00F26C68"/>
    <w:rsid w:val="00F26DFF"/>
    <w:rsid w:val="00F26ED2"/>
    <w:rsid w:val="00F26FB9"/>
    <w:rsid w:val="00F2702A"/>
    <w:rsid w:val="00F2728D"/>
    <w:rsid w:val="00F273BE"/>
    <w:rsid w:val="00F27401"/>
    <w:rsid w:val="00F274E1"/>
    <w:rsid w:val="00F27668"/>
    <w:rsid w:val="00F27718"/>
    <w:rsid w:val="00F27E2E"/>
    <w:rsid w:val="00F27EE9"/>
    <w:rsid w:val="00F3000D"/>
    <w:rsid w:val="00F30121"/>
    <w:rsid w:val="00F30141"/>
    <w:rsid w:val="00F305AB"/>
    <w:rsid w:val="00F305D8"/>
    <w:rsid w:val="00F30830"/>
    <w:rsid w:val="00F30945"/>
    <w:rsid w:val="00F3095D"/>
    <w:rsid w:val="00F30A2E"/>
    <w:rsid w:val="00F30A57"/>
    <w:rsid w:val="00F30A77"/>
    <w:rsid w:val="00F30D27"/>
    <w:rsid w:val="00F30DB0"/>
    <w:rsid w:val="00F30FB7"/>
    <w:rsid w:val="00F31043"/>
    <w:rsid w:val="00F31089"/>
    <w:rsid w:val="00F310C2"/>
    <w:rsid w:val="00F31245"/>
    <w:rsid w:val="00F3186A"/>
    <w:rsid w:val="00F31BAF"/>
    <w:rsid w:val="00F31D9D"/>
    <w:rsid w:val="00F3204E"/>
    <w:rsid w:val="00F32158"/>
    <w:rsid w:val="00F32256"/>
    <w:rsid w:val="00F3258B"/>
    <w:rsid w:val="00F32687"/>
    <w:rsid w:val="00F3293F"/>
    <w:rsid w:val="00F32E4A"/>
    <w:rsid w:val="00F32F27"/>
    <w:rsid w:val="00F331FE"/>
    <w:rsid w:val="00F33262"/>
    <w:rsid w:val="00F3349A"/>
    <w:rsid w:val="00F334A2"/>
    <w:rsid w:val="00F336B7"/>
    <w:rsid w:val="00F33B1B"/>
    <w:rsid w:val="00F33B4E"/>
    <w:rsid w:val="00F341A2"/>
    <w:rsid w:val="00F344DA"/>
    <w:rsid w:val="00F349CB"/>
    <w:rsid w:val="00F349D9"/>
    <w:rsid w:val="00F34E71"/>
    <w:rsid w:val="00F3507D"/>
    <w:rsid w:val="00F353E4"/>
    <w:rsid w:val="00F357EF"/>
    <w:rsid w:val="00F358A5"/>
    <w:rsid w:val="00F358C6"/>
    <w:rsid w:val="00F359D2"/>
    <w:rsid w:val="00F35B33"/>
    <w:rsid w:val="00F360A7"/>
    <w:rsid w:val="00F362D8"/>
    <w:rsid w:val="00F36533"/>
    <w:rsid w:val="00F365E9"/>
    <w:rsid w:val="00F366ED"/>
    <w:rsid w:val="00F36832"/>
    <w:rsid w:val="00F3697D"/>
    <w:rsid w:val="00F36C54"/>
    <w:rsid w:val="00F37088"/>
    <w:rsid w:val="00F372A2"/>
    <w:rsid w:val="00F37374"/>
    <w:rsid w:val="00F374B1"/>
    <w:rsid w:val="00F3775A"/>
    <w:rsid w:val="00F37921"/>
    <w:rsid w:val="00F37983"/>
    <w:rsid w:val="00F37C3F"/>
    <w:rsid w:val="00F37DE1"/>
    <w:rsid w:val="00F37F3E"/>
    <w:rsid w:val="00F40074"/>
    <w:rsid w:val="00F401B5"/>
    <w:rsid w:val="00F4028C"/>
    <w:rsid w:val="00F404FD"/>
    <w:rsid w:val="00F4057E"/>
    <w:rsid w:val="00F40716"/>
    <w:rsid w:val="00F409D3"/>
    <w:rsid w:val="00F40B12"/>
    <w:rsid w:val="00F40C6B"/>
    <w:rsid w:val="00F40C93"/>
    <w:rsid w:val="00F40E2C"/>
    <w:rsid w:val="00F40E74"/>
    <w:rsid w:val="00F40E98"/>
    <w:rsid w:val="00F40EED"/>
    <w:rsid w:val="00F41286"/>
    <w:rsid w:val="00F41395"/>
    <w:rsid w:val="00F41C94"/>
    <w:rsid w:val="00F41D1D"/>
    <w:rsid w:val="00F41F12"/>
    <w:rsid w:val="00F42032"/>
    <w:rsid w:val="00F42394"/>
    <w:rsid w:val="00F42496"/>
    <w:rsid w:val="00F425D1"/>
    <w:rsid w:val="00F4270B"/>
    <w:rsid w:val="00F42AE5"/>
    <w:rsid w:val="00F42F4F"/>
    <w:rsid w:val="00F43063"/>
    <w:rsid w:val="00F4320A"/>
    <w:rsid w:val="00F439DF"/>
    <w:rsid w:val="00F43A66"/>
    <w:rsid w:val="00F43D49"/>
    <w:rsid w:val="00F43FAA"/>
    <w:rsid w:val="00F44236"/>
    <w:rsid w:val="00F442DA"/>
    <w:rsid w:val="00F4433C"/>
    <w:rsid w:val="00F44468"/>
    <w:rsid w:val="00F44605"/>
    <w:rsid w:val="00F448A0"/>
    <w:rsid w:val="00F44AA7"/>
    <w:rsid w:val="00F44B09"/>
    <w:rsid w:val="00F44C10"/>
    <w:rsid w:val="00F451AB"/>
    <w:rsid w:val="00F4574D"/>
    <w:rsid w:val="00F45EB7"/>
    <w:rsid w:val="00F45FCA"/>
    <w:rsid w:val="00F46174"/>
    <w:rsid w:val="00F4662F"/>
    <w:rsid w:val="00F46653"/>
    <w:rsid w:val="00F466A3"/>
    <w:rsid w:val="00F466CA"/>
    <w:rsid w:val="00F467DF"/>
    <w:rsid w:val="00F468CE"/>
    <w:rsid w:val="00F46CD8"/>
    <w:rsid w:val="00F46DCD"/>
    <w:rsid w:val="00F4701D"/>
    <w:rsid w:val="00F47349"/>
    <w:rsid w:val="00F4735D"/>
    <w:rsid w:val="00F47777"/>
    <w:rsid w:val="00F4797A"/>
    <w:rsid w:val="00F47A47"/>
    <w:rsid w:val="00F47A85"/>
    <w:rsid w:val="00F47C38"/>
    <w:rsid w:val="00F50745"/>
    <w:rsid w:val="00F50A6C"/>
    <w:rsid w:val="00F50B13"/>
    <w:rsid w:val="00F50BC4"/>
    <w:rsid w:val="00F51725"/>
    <w:rsid w:val="00F5184F"/>
    <w:rsid w:val="00F51908"/>
    <w:rsid w:val="00F51A7A"/>
    <w:rsid w:val="00F51BA9"/>
    <w:rsid w:val="00F51C68"/>
    <w:rsid w:val="00F51E4B"/>
    <w:rsid w:val="00F51EC1"/>
    <w:rsid w:val="00F51F52"/>
    <w:rsid w:val="00F521ED"/>
    <w:rsid w:val="00F52229"/>
    <w:rsid w:val="00F5236E"/>
    <w:rsid w:val="00F524E4"/>
    <w:rsid w:val="00F526E4"/>
    <w:rsid w:val="00F527C8"/>
    <w:rsid w:val="00F527FE"/>
    <w:rsid w:val="00F52BF2"/>
    <w:rsid w:val="00F52CB9"/>
    <w:rsid w:val="00F52D12"/>
    <w:rsid w:val="00F52F60"/>
    <w:rsid w:val="00F5336E"/>
    <w:rsid w:val="00F536FD"/>
    <w:rsid w:val="00F53926"/>
    <w:rsid w:val="00F5396F"/>
    <w:rsid w:val="00F53B52"/>
    <w:rsid w:val="00F53E7A"/>
    <w:rsid w:val="00F53F0E"/>
    <w:rsid w:val="00F54153"/>
    <w:rsid w:val="00F541BB"/>
    <w:rsid w:val="00F545C8"/>
    <w:rsid w:val="00F54652"/>
    <w:rsid w:val="00F5478C"/>
    <w:rsid w:val="00F54B91"/>
    <w:rsid w:val="00F54CFA"/>
    <w:rsid w:val="00F54E91"/>
    <w:rsid w:val="00F54F48"/>
    <w:rsid w:val="00F55289"/>
    <w:rsid w:val="00F55580"/>
    <w:rsid w:val="00F555E6"/>
    <w:rsid w:val="00F556A2"/>
    <w:rsid w:val="00F5575A"/>
    <w:rsid w:val="00F5580E"/>
    <w:rsid w:val="00F55902"/>
    <w:rsid w:val="00F55B6D"/>
    <w:rsid w:val="00F55EB6"/>
    <w:rsid w:val="00F56195"/>
    <w:rsid w:val="00F56377"/>
    <w:rsid w:val="00F56420"/>
    <w:rsid w:val="00F56B49"/>
    <w:rsid w:val="00F571E7"/>
    <w:rsid w:val="00F57308"/>
    <w:rsid w:val="00F57CE0"/>
    <w:rsid w:val="00F57DBC"/>
    <w:rsid w:val="00F57FB0"/>
    <w:rsid w:val="00F6000C"/>
    <w:rsid w:val="00F60CA0"/>
    <w:rsid w:val="00F60EFA"/>
    <w:rsid w:val="00F60FDD"/>
    <w:rsid w:val="00F6115E"/>
    <w:rsid w:val="00F61234"/>
    <w:rsid w:val="00F6124E"/>
    <w:rsid w:val="00F6127D"/>
    <w:rsid w:val="00F616C1"/>
    <w:rsid w:val="00F617AB"/>
    <w:rsid w:val="00F618A5"/>
    <w:rsid w:val="00F61B3E"/>
    <w:rsid w:val="00F61CE3"/>
    <w:rsid w:val="00F62516"/>
    <w:rsid w:val="00F62800"/>
    <w:rsid w:val="00F631E8"/>
    <w:rsid w:val="00F635B3"/>
    <w:rsid w:val="00F635D0"/>
    <w:rsid w:val="00F63E6F"/>
    <w:rsid w:val="00F64021"/>
    <w:rsid w:val="00F641B9"/>
    <w:rsid w:val="00F6421C"/>
    <w:rsid w:val="00F6425C"/>
    <w:rsid w:val="00F64403"/>
    <w:rsid w:val="00F64CB8"/>
    <w:rsid w:val="00F6505E"/>
    <w:rsid w:val="00F65263"/>
    <w:rsid w:val="00F655FC"/>
    <w:rsid w:val="00F65926"/>
    <w:rsid w:val="00F65943"/>
    <w:rsid w:val="00F65EDE"/>
    <w:rsid w:val="00F6602F"/>
    <w:rsid w:val="00F6611F"/>
    <w:rsid w:val="00F66378"/>
    <w:rsid w:val="00F66399"/>
    <w:rsid w:val="00F6679C"/>
    <w:rsid w:val="00F668BF"/>
    <w:rsid w:val="00F66B9C"/>
    <w:rsid w:val="00F66CC1"/>
    <w:rsid w:val="00F66EBB"/>
    <w:rsid w:val="00F670C2"/>
    <w:rsid w:val="00F670F3"/>
    <w:rsid w:val="00F67237"/>
    <w:rsid w:val="00F673E7"/>
    <w:rsid w:val="00F674D6"/>
    <w:rsid w:val="00F675D4"/>
    <w:rsid w:val="00F67602"/>
    <w:rsid w:val="00F67B04"/>
    <w:rsid w:val="00F67DC5"/>
    <w:rsid w:val="00F701B5"/>
    <w:rsid w:val="00F7021A"/>
    <w:rsid w:val="00F70268"/>
    <w:rsid w:val="00F708F4"/>
    <w:rsid w:val="00F70B89"/>
    <w:rsid w:val="00F71340"/>
    <w:rsid w:val="00F714DE"/>
    <w:rsid w:val="00F71656"/>
    <w:rsid w:val="00F7189B"/>
    <w:rsid w:val="00F71A85"/>
    <w:rsid w:val="00F71CA6"/>
    <w:rsid w:val="00F71D1E"/>
    <w:rsid w:val="00F71F38"/>
    <w:rsid w:val="00F71FCB"/>
    <w:rsid w:val="00F72190"/>
    <w:rsid w:val="00F7225A"/>
    <w:rsid w:val="00F724DB"/>
    <w:rsid w:val="00F724EF"/>
    <w:rsid w:val="00F72874"/>
    <w:rsid w:val="00F72886"/>
    <w:rsid w:val="00F72937"/>
    <w:rsid w:val="00F72A72"/>
    <w:rsid w:val="00F72AF7"/>
    <w:rsid w:val="00F72CE7"/>
    <w:rsid w:val="00F72E7C"/>
    <w:rsid w:val="00F73214"/>
    <w:rsid w:val="00F73569"/>
    <w:rsid w:val="00F73587"/>
    <w:rsid w:val="00F73611"/>
    <w:rsid w:val="00F73801"/>
    <w:rsid w:val="00F73A0C"/>
    <w:rsid w:val="00F73C40"/>
    <w:rsid w:val="00F73DBC"/>
    <w:rsid w:val="00F73DCC"/>
    <w:rsid w:val="00F73E12"/>
    <w:rsid w:val="00F73ED3"/>
    <w:rsid w:val="00F73F52"/>
    <w:rsid w:val="00F74EB3"/>
    <w:rsid w:val="00F750B3"/>
    <w:rsid w:val="00F75318"/>
    <w:rsid w:val="00F753B9"/>
    <w:rsid w:val="00F757D7"/>
    <w:rsid w:val="00F75807"/>
    <w:rsid w:val="00F762E3"/>
    <w:rsid w:val="00F763EF"/>
    <w:rsid w:val="00F76463"/>
    <w:rsid w:val="00F7670D"/>
    <w:rsid w:val="00F768D0"/>
    <w:rsid w:val="00F76D14"/>
    <w:rsid w:val="00F76DBD"/>
    <w:rsid w:val="00F76DDE"/>
    <w:rsid w:val="00F771B6"/>
    <w:rsid w:val="00F7727C"/>
    <w:rsid w:val="00F772CD"/>
    <w:rsid w:val="00F7785C"/>
    <w:rsid w:val="00F77945"/>
    <w:rsid w:val="00F77BEA"/>
    <w:rsid w:val="00F77E4F"/>
    <w:rsid w:val="00F80058"/>
    <w:rsid w:val="00F800D2"/>
    <w:rsid w:val="00F802EE"/>
    <w:rsid w:val="00F80420"/>
    <w:rsid w:val="00F804CC"/>
    <w:rsid w:val="00F804EB"/>
    <w:rsid w:val="00F80756"/>
    <w:rsid w:val="00F808C0"/>
    <w:rsid w:val="00F809F4"/>
    <w:rsid w:val="00F80BA1"/>
    <w:rsid w:val="00F80C37"/>
    <w:rsid w:val="00F81025"/>
    <w:rsid w:val="00F81386"/>
    <w:rsid w:val="00F81387"/>
    <w:rsid w:val="00F813D7"/>
    <w:rsid w:val="00F81432"/>
    <w:rsid w:val="00F814EF"/>
    <w:rsid w:val="00F81579"/>
    <w:rsid w:val="00F819C4"/>
    <w:rsid w:val="00F81C6E"/>
    <w:rsid w:val="00F82028"/>
    <w:rsid w:val="00F823EA"/>
    <w:rsid w:val="00F823F4"/>
    <w:rsid w:val="00F82812"/>
    <w:rsid w:val="00F82A01"/>
    <w:rsid w:val="00F82C10"/>
    <w:rsid w:val="00F82F17"/>
    <w:rsid w:val="00F82F76"/>
    <w:rsid w:val="00F83165"/>
    <w:rsid w:val="00F832C2"/>
    <w:rsid w:val="00F8332E"/>
    <w:rsid w:val="00F83450"/>
    <w:rsid w:val="00F83504"/>
    <w:rsid w:val="00F83AC6"/>
    <w:rsid w:val="00F83B35"/>
    <w:rsid w:val="00F83C74"/>
    <w:rsid w:val="00F83EFD"/>
    <w:rsid w:val="00F84316"/>
    <w:rsid w:val="00F84459"/>
    <w:rsid w:val="00F8450D"/>
    <w:rsid w:val="00F84712"/>
    <w:rsid w:val="00F84759"/>
    <w:rsid w:val="00F8480C"/>
    <w:rsid w:val="00F849B0"/>
    <w:rsid w:val="00F84B9A"/>
    <w:rsid w:val="00F84E19"/>
    <w:rsid w:val="00F84F96"/>
    <w:rsid w:val="00F858D2"/>
    <w:rsid w:val="00F85993"/>
    <w:rsid w:val="00F85BBC"/>
    <w:rsid w:val="00F85D2F"/>
    <w:rsid w:val="00F85EA5"/>
    <w:rsid w:val="00F85F62"/>
    <w:rsid w:val="00F86223"/>
    <w:rsid w:val="00F86382"/>
    <w:rsid w:val="00F86444"/>
    <w:rsid w:val="00F865D8"/>
    <w:rsid w:val="00F86643"/>
    <w:rsid w:val="00F86663"/>
    <w:rsid w:val="00F86757"/>
    <w:rsid w:val="00F8675E"/>
    <w:rsid w:val="00F86B5C"/>
    <w:rsid w:val="00F86BAB"/>
    <w:rsid w:val="00F86CF1"/>
    <w:rsid w:val="00F87151"/>
    <w:rsid w:val="00F873D5"/>
    <w:rsid w:val="00F873F8"/>
    <w:rsid w:val="00F87402"/>
    <w:rsid w:val="00F874B7"/>
    <w:rsid w:val="00F8769C"/>
    <w:rsid w:val="00F87858"/>
    <w:rsid w:val="00F87995"/>
    <w:rsid w:val="00F87A07"/>
    <w:rsid w:val="00F87CE0"/>
    <w:rsid w:val="00F87E24"/>
    <w:rsid w:val="00F90035"/>
    <w:rsid w:val="00F900EC"/>
    <w:rsid w:val="00F9056F"/>
    <w:rsid w:val="00F90B50"/>
    <w:rsid w:val="00F90B8C"/>
    <w:rsid w:val="00F90B9F"/>
    <w:rsid w:val="00F90E4B"/>
    <w:rsid w:val="00F90FC6"/>
    <w:rsid w:val="00F910B1"/>
    <w:rsid w:val="00F91379"/>
    <w:rsid w:val="00F91501"/>
    <w:rsid w:val="00F9186B"/>
    <w:rsid w:val="00F9188D"/>
    <w:rsid w:val="00F9191B"/>
    <w:rsid w:val="00F919BF"/>
    <w:rsid w:val="00F91AF1"/>
    <w:rsid w:val="00F920AB"/>
    <w:rsid w:val="00F921A3"/>
    <w:rsid w:val="00F92513"/>
    <w:rsid w:val="00F92736"/>
    <w:rsid w:val="00F92A60"/>
    <w:rsid w:val="00F9306E"/>
    <w:rsid w:val="00F93274"/>
    <w:rsid w:val="00F93924"/>
    <w:rsid w:val="00F939D5"/>
    <w:rsid w:val="00F940CA"/>
    <w:rsid w:val="00F9415B"/>
    <w:rsid w:val="00F94306"/>
    <w:rsid w:val="00F94364"/>
    <w:rsid w:val="00F94451"/>
    <w:rsid w:val="00F94723"/>
    <w:rsid w:val="00F94BEE"/>
    <w:rsid w:val="00F94DD0"/>
    <w:rsid w:val="00F9508D"/>
    <w:rsid w:val="00F953A8"/>
    <w:rsid w:val="00F95593"/>
    <w:rsid w:val="00F957E9"/>
    <w:rsid w:val="00F957EB"/>
    <w:rsid w:val="00F95909"/>
    <w:rsid w:val="00F95B42"/>
    <w:rsid w:val="00F95B6B"/>
    <w:rsid w:val="00F95F01"/>
    <w:rsid w:val="00F96400"/>
    <w:rsid w:val="00F96501"/>
    <w:rsid w:val="00F965A2"/>
    <w:rsid w:val="00F96770"/>
    <w:rsid w:val="00F968DF"/>
    <w:rsid w:val="00F96A53"/>
    <w:rsid w:val="00F970AC"/>
    <w:rsid w:val="00F970C1"/>
    <w:rsid w:val="00F970F9"/>
    <w:rsid w:val="00F97492"/>
    <w:rsid w:val="00F975AD"/>
    <w:rsid w:val="00F976F2"/>
    <w:rsid w:val="00F977A0"/>
    <w:rsid w:val="00F9791D"/>
    <w:rsid w:val="00F97DA1"/>
    <w:rsid w:val="00F97DC0"/>
    <w:rsid w:val="00FA014C"/>
    <w:rsid w:val="00FA01C9"/>
    <w:rsid w:val="00FA0336"/>
    <w:rsid w:val="00FA04F0"/>
    <w:rsid w:val="00FA052A"/>
    <w:rsid w:val="00FA05B4"/>
    <w:rsid w:val="00FA086A"/>
    <w:rsid w:val="00FA091E"/>
    <w:rsid w:val="00FA0B16"/>
    <w:rsid w:val="00FA1237"/>
    <w:rsid w:val="00FA147B"/>
    <w:rsid w:val="00FA14E9"/>
    <w:rsid w:val="00FA16A4"/>
    <w:rsid w:val="00FA18CD"/>
    <w:rsid w:val="00FA1FB7"/>
    <w:rsid w:val="00FA207F"/>
    <w:rsid w:val="00FA215A"/>
    <w:rsid w:val="00FA2257"/>
    <w:rsid w:val="00FA2311"/>
    <w:rsid w:val="00FA2689"/>
    <w:rsid w:val="00FA29B0"/>
    <w:rsid w:val="00FA29F2"/>
    <w:rsid w:val="00FA2BA9"/>
    <w:rsid w:val="00FA2C9D"/>
    <w:rsid w:val="00FA2EE1"/>
    <w:rsid w:val="00FA2FE2"/>
    <w:rsid w:val="00FA3351"/>
    <w:rsid w:val="00FA3453"/>
    <w:rsid w:val="00FA34A2"/>
    <w:rsid w:val="00FA3577"/>
    <w:rsid w:val="00FA3596"/>
    <w:rsid w:val="00FA36AA"/>
    <w:rsid w:val="00FA38C7"/>
    <w:rsid w:val="00FA3B95"/>
    <w:rsid w:val="00FA3C39"/>
    <w:rsid w:val="00FA3CD4"/>
    <w:rsid w:val="00FA3D8E"/>
    <w:rsid w:val="00FA3E77"/>
    <w:rsid w:val="00FA43C7"/>
    <w:rsid w:val="00FA43DF"/>
    <w:rsid w:val="00FA452C"/>
    <w:rsid w:val="00FA464C"/>
    <w:rsid w:val="00FA4CA1"/>
    <w:rsid w:val="00FA4EF8"/>
    <w:rsid w:val="00FA54BF"/>
    <w:rsid w:val="00FA5823"/>
    <w:rsid w:val="00FA5CD0"/>
    <w:rsid w:val="00FA5F53"/>
    <w:rsid w:val="00FA613F"/>
    <w:rsid w:val="00FA6345"/>
    <w:rsid w:val="00FA63F1"/>
    <w:rsid w:val="00FA63FF"/>
    <w:rsid w:val="00FA66DF"/>
    <w:rsid w:val="00FA6885"/>
    <w:rsid w:val="00FA68C6"/>
    <w:rsid w:val="00FA6A97"/>
    <w:rsid w:val="00FA6AA4"/>
    <w:rsid w:val="00FA6B36"/>
    <w:rsid w:val="00FA6BEB"/>
    <w:rsid w:val="00FA6C02"/>
    <w:rsid w:val="00FA6D04"/>
    <w:rsid w:val="00FA6FAC"/>
    <w:rsid w:val="00FA705D"/>
    <w:rsid w:val="00FA7126"/>
    <w:rsid w:val="00FA7281"/>
    <w:rsid w:val="00FA73F7"/>
    <w:rsid w:val="00FA74B5"/>
    <w:rsid w:val="00FA78E5"/>
    <w:rsid w:val="00FA7F14"/>
    <w:rsid w:val="00FA7F71"/>
    <w:rsid w:val="00FA7F73"/>
    <w:rsid w:val="00FB018C"/>
    <w:rsid w:val="00FB03EF"/>
    <w:rsid w:val="00FB073D"/>
    <w:rsid w:val="00FB09AE"/>
    <w:rsid w:val="00FB0A2D"/>
    <w:rsid w:val="00FB0BFC"/>
    <w:rsid w:val="00FB0C78"/>
    <w:rsid w:val="00FB0DF2"/>
    <w:rsid w:val="00FB0EA3"/>
    <w:rsid w:val="00FB1436"/>
    <w:rsid w:val="00FB17A7"/>
    <w:rsid w:val="00FB18B8"/>
    <w:rsid w:val="00FB1FFA"/>
    <w:rsid w:val="00FB2109"/>
    <w:rsid w:val="00FB23AF"/>
    <w:rsid w:val="00FB2672"/>
    <w:rsid w:val="00FB27F1"/>
    <w:rsid w:val="00FB28A6"/>
    <w:rsid w:val="00FB2927"/>
    <w:rsid w:val="00FB2C43"/>
    <w:rsid w:val="00FB2D37"/>
    <w:rsid w:val="00FB2E95"/>
    <w:rsid w:val="00FB302F"/>
    <w:rsid w:val="00FB3211"/>
    <w:rsid w:val="00FB376B"/>
    <w:rsid w:val="00FB3806"/>
    <w:rsid w:val="00FB4137"/>
    <w:rsid w:val="00FB4181"/>
    <w:rsid w:val="00FB429F"/>
    <w:rsid w:val="00FB42E0"/>
    <w:rsid w:val="00FB4F56"/>
    <w:rsid w:val="00FB5276"/>
    <w:rsid w:val="00FB532A"/>
    <w:rsid w:val="00FB53F1"/>
    <w:rsid w:val="00FB5755"/>
    <w:rsid w:val="00FB58FE"/>
    <w:rsid w:val="00FB5AF7"/>
    <w:rsid w:val="00FB5B81"/>
    <w:rsid w:val="00FB5D4A"/>
    <w:rsid w:val="00FB5E2F"/>
    <w:rsid w:val="00FB5EAE"/>
    <w:rsid w:val="00FB6162"/>
    <w:rsid w:val="00FB6181"/>
    <w:rsid w:val="00FB6605"/>
    <w:rsid w:val="00FB6716"/>
    <w:rsid w:val="00FB6FE0"/>
    <w:rsid w:val="00FB7470"/>
    <w:rsid w:val="00FB764C"/>
    <w:rsid w:val="00FB76B4"/>
    <w:rsid w:val="00FB7A9E"/>
    <w:rsid w:val="00FB7B51"/>
    <w:rsid w:val="00FB7C57"/>
    <w:rsid w:val="00FB7C63"/>
    <w:rsid w:val="00FB7CEC"/>
    <w:rsid w:val="00FB7CF2"/>
    <w:rsid w:val="00FB7F70"/>
    <w:rsid w:val="00FC011E"/>
    <w:rsid w:val="00FC02C5"/>
    <w:rsid w:val="00FC0399"/>
    <w:rsid w:val="00FC0457"/>
    <w:rsid w:val="00FC07C5"/>
    <w:rsid w:val="00FC0A38"/>
    <w:rsid w:val="00FC0E85"/>
    <w:rsid w:val="00FC100B"/>
    <w:rsid w:val="00FC120A"/>
    <w:rsid w:val="00FC1442"/>
    <w:rsid w:val="00FC18F5"/>
    <w:rsid w:val="00FC199D"/>
    <w:rsid w:val="00FC1BF9"/>
    <w:rsid w:val="00FC1D6E"/>
    <w:rsid w:val="00FC1F77"/>
    <w:rsid w:val="00FC1FDC"/>
    <w:rsid w:val="00FC246C"/>
    <w:rsid w:val="00FC2545"/>
    <w:rsid w:val="00FC2B85"/>
    <w:rsid w:val="00FC2CBB"/>
    <w:rsid w:val="00FC2D28"/>
    <w:rsid w:val="00FC30B4"/>
    <w:rsid w:val="00FC319B"/>
    <w:rsid w:val="00FC334E"/>
    <w:rsid w:val="00FC33AA"/>
    <w:rsid w:val="00FC3839"/>
    <w:rsid w:val="00FC38F8"/>
    <w:rsid w:val="00FC3BDB"/>
    <w:rsid w:val="00FC3D07"/>
    <w:rsid w:val="00FC411E"/>
    <w:rsid w:val="00FC4447"/>
    <w:rsid w:val="00FC49DF"/>
    <w:rsid w:val="00FC502A"/>
    <w:rsid w:val="00FC5741"/>
    <w:rsid w:val="00FC588C"/>
    <w:rsid w:val="00FC5979"/>
    <w:rsid w:val="00FC5AB7"/>
    <w:rsid w:val="00FC5BB4"/>
    <w:rsid w:val="00FC5D87"/>
    <w:rsid w:val="00FC617E"/>
    <w:rsid w:val="00FC648C"/>
    <w:rsid w:val="00FC64E1"/>
    <w:rsid w:val="00FC68C6"/>
    <w:rsid w:val="00FC692C"/>
    <w:rsid w:val="00FC6995"/>
    <w:rsid w:val="00FC6A36"/>
    <w:rsid w:val="00FC6CC9"/>
    <w:rsid w:val="00FC736A"/>
    <w:rsid w:val="00FC7384"/>
    <w:rsid w:val="00FC75CA"/>
    <w:rsid w:val="00FC7626"/>
    <w:rsid w:val="00FC7649"/>
    <w:rsid w:val="00FC768B"/>
    <w:rsid w:val="00FC76B7"/>
    <w:rsid w:val="00FC76DB"/>
    <w:rsid w:val="00FC789F"/>
    <w:rsid w:val="00FC7922"/>
    <w:rsid w:val="00FC7CF2"/>
    <w:rsid w:val="00FC7D10"/>
    <w:rsid w:val="00FC7DA2"/>
    <w:rsid w:val="00FC7ED4"/>
    <w:rsid w:val="00FC7FB2"/>
    <w:rsid w:val="00FD0642"/>
    <w:rsid w:val="00FD098F"/>
    <w:rsid w:val="00FD0A21"/>
    <w:rsid w:val="00FD0E40"/>
    <w:rsid w:val="00FD0E9A"/>
    <w:rsid w:val="00FD1172"/>
    <w:rsid w:val="00FD1375"/>
    <w:rsid w:val="00FD1534"/>
    <w:rsid w:val="00FD1658"/>
    <w:rsid w:val="00FD1B19"/>
    <w:rsid w:val="00FD1B94"/>
    <w:rsid w:val="00FD1FF8"/>
    <w:rsid w:val="00FD23C5"/>
    <w:rsid w:val="00FD24D0"/>
    <w:rsid w:val="00FD2952"/>
    <w:rsid w:val="00FD2A29"/>
    <w:rsid w:val="00FD2A46"/>
    <w:rsid w:val="00FD2FA7"/>
    <w:rsid w:val="00FD31EE"/>
    <w:rsid w:val="00FD32B8"/>
    <w:rsid w:val="00FD348E"/>
    <w:rsid w:val="00FD3507"/>
    <w:rsid w:val="00FD35C4"/>
    <w:rsid w:val="00FD36ED"/>
    <w:rsid w:val="00FD376D"/>
    <w:rsid w:val="00FD3CD5"/>
    <w:rsid w:val="00FD403F"/>
    <w:rsid w:val="00FD40EF"/>
    <w:rsid w:val="00FD4131"/>
    <w:rsid w:val="00FD4545"/>
    <w:rsid w:val="00FD460F"/>
    <w:rsid w:val="00FD464B"/>
    <w:rsid w:val="00FD499F"/>
    <w:rsid w:val="00FD4E9B"/>
    <w:rsid w:val="00FD4FB7"/>
    <w:rsid w:val="00FD5011"/>
    <w:rsid w:val="00FD5029"/>
    <w:rsid w:val="00FD51DD"/>
    <w:rsid w:val="00FD5573"/>
    <w:rsid w:val="00FD5929"/>
    <w:rsid w:val="00FD5A50"/>
    <w:rsid w:val="00FD5AD0"/>
    <w:rsid w:val="00FD5B24"/>
    <w:rsid w:val="00FD5E26"/>
    <w:rsid w:val="00FD5ED6"/>
    <w:rsid w:val="00FD5F4A"/>
    <w:rsid w:val="00FD6198"/>
    <w:rsid w:val="00FD6272"/>
    <w:rsid w:val="00FD6292"/>
    <w:rsid w:val="00FD6310"/>
    <w:rsid w:val="00FD655F"/>
    <w:rsid w:val="00FD6659"/>
    <w:rsid w:val="00FD6898"/>
    <w:rsid w:val="00FD6FB9"/>
    <w:rsid w:val="00FD7486"/>
    <w:rsid w:val="00FD7631"/>
    <w:rsid w:val="00FE0007"/>
    <w:rsid w:val="00FE04C5"/>
    <w:rsid w:val="00FE07D5"/>
    <w:rsid w:val="00FE0C39"/>
    <w:rsid w:val="00FE0CA0"/>
    <w:rsid w:val="00FE0D0F"/>
    <w:rsid w:val="00FE0FC6"/>
    <w:rsid w:val="00FE10D6"/>
    <w:rsid w:val="00FE136A"/>
    <w:rsid w:val="00FE16B6"/>
    <w:rsid w:val="00FE1909"/>
    <w:rsid w:val="00FE1C0D"/>
    <w:rsid w:val="00FE1CB1"/>
    <w:rsid w:val="00FE1D1C"/>
    <w:rsid w:val="00FE1FAB"/>
    <w:rsid w:val="00FE207A"/>
    <w:rsid w:val="00FE20A1"/>
    <w:rsid w:val="00FE2147"/>
    <w:rsid w:val="00FE2254"/>
    <w:rsid w:val="00FE23E0"/>
    <w:rsid w:val="00FE241E"/>
    <w:rsid w:val="00FE25E2"/>
    <w:rsid w:val="00FE2651"/>
    <w:rsid w:val="00FE274B"/>
    <w:rsid w:val="00FE2806"/>
    <w:rsid w:val="00FE282D"/>
    <w:rsid w:val="00FE28CD"/>
    <w:rsid w:val="00FE2A21"/>
    <w:rsid w:val="00FE2C07"/>
    <w:rsid w:val="00FE2D9C"/>
    <w:rsid w:val="00FE32BB"/>
    <w:rsid w:val="00FE3369"/>
    <w:rsid w:val="00FE3626"/>
    <w:rsid w:val="00FE3763"/>
    <w:rsid w:val="00FE39C3"/>
    <w:rsid w:val="00FE3CB8"/>
    <w:rsid w:val="00FE3D7D"/>
    <w:rsid w:val="00FE40AF"/>
    <w:rsid w:val="00FE414C"/>
    <w:rsid w:val="00FE4187"/>
    <w:rsid w:val="00FE4416"/>
    <w:rsid w:val="00FE4448"/>
    <w:rsid w:val="00FE4473"/>
    <w:rsid w:val="00FE4750"/>
    <w:rsid w:val="00FE4887"/>
    <w:rsid w:val="00FE4D1D"/>
    <w:rsid w:val="00FE4DF1"/>
    <w:rsid w:val="00FE4E76"/>
    <w:rsid w:val="00FE4F9A"/>
    <w:rsid w:val="00FE53BC"/>
    <w:rsid w:val="00FE560E"/>
    <w:rsid w:val="00FE5679"/>
    <w:rsid w:val="00FE56D7"/>
    <w:rsid w:val="00FE5746"/>
    <w:rsid w:val="00FE5A69"/>
    <w:rsid w:val="00FE5C97"/>
    <w:rsid w:val="00FE5E01"/>
    <w:rsid w:val="00FE6106"/>
    <w:rsid w:val="00FE6793"/>
    <w:rsid w:val="00FE684F"/>
    <w:rsid w:val="00FE686E"/>
    <w:rsid w:val="00FE6B22"/>
    <w:rsid w:val="00FE6C2A"/>
    <w:rsid w:val="00FE6CD3"/>
    <w:rsid w:val="00FE6F13"/>
    <w:rsid w:val="00FE74DC"/>
    <w:rsid w:val="00FE754E"/>
    <w:rsid w:val="00FE7719"/>
    <w:rsid w:val="00FE78CC"/>
    <w:rsid w:val="00FE7ABD"/>
    <w:rsid w:val="00FE7CA5"/>
    <w:rsid w:val="00FE7D86"/>
    <w:rsid w:val="00FE7E9C"/>
    <w:rsid w:val="00FF01CA"/>
    <w:rsid w:val="00FF08D3"/>
    <w:rsid w:val="00FF0958"/>
    <w:rsid w:val="00FF0A01"/>
    <w:rsid w:val="00FF0C9F"/>
    <w:rsid w:val="00FF0FFD"/>
    <w:rsid w:val="00FF11B0"/>
    <w:rsid w:val="00FF173D"/>
    <w:rsid w:val="00FF18D9"/>
    <w:rsid w:val="00FF1CF7"/>
    <w:rsid w:val="00FF1E00"/>
    <w:rsid w:val="00FF1EA8"/>
    <w:rsid w:val="00FF1F68"/>
    <w:rsid w:val="00FF1FDA"/>
    <w:rsid w:val="00FF20EB"/>
    <w:rsid w:val="00FF229C"/>
    <w:rsid w:val="00FF23E3"/>
    <w:rsid w:val="00FF2446"/>
    <w:rsid w:val="00FF248A"/>
    <w:rsid w:val="00FF24FC"/>
    <w:rsid w:val="00FF28F6"/>
    <w:rsid w:val="00FF2E49"/>
    <w:rsid w:val="00FF2EFC"/>
    <w:rsid w:val="00FF3564"/>
    <w:rsid w:val="00FF381F"/>
    <w:rsid w:val="00FF3847"/>
    <w:rsid w:val="00FF3A99"/>
    <w:rsid w:val="00FF3CC9"/>
    <w:rsid w:val="00FF423B"/>
    <w:rsid w:val="00FF43E3"/>
    <w:rsid w:val="00FF44A7"/>
    <w:rsid w:val="00FF46AF"/>
    <w:rsid w:val="00FF4A4D"/>
    <w:rsid w:val="00FF4B32"/>
    <w:rsid w:val="00FF54D2"/>
    <w:rsid w:val="00FF552A"/>
    <w:rsid w:val="00FF558A"/>
    <w:rsid w:val="00FF59C7"/>
    <w:rsid w:val="00FF5A3A"/>
    <w:rsid w:val="00FF5B22"/>
    <w:rsid w:val="00FF66AB"/>
    <w:rsid w:val="00FF66B6"/>
    <w:rsid w:val="00FF6946"/>
    <w:rsid w:val="00FF6A15"/>
    <w:rsid w:val="00FF6AF7"/>
    <w:rsid w:val="00FF6C8F"/>
    <w:rsid w:val="00FF6E06"/>
    <w:rsid w:val="00FF6F25"/>
    <w:rsid w:val="00FF70C4"/>
    <w:rsid w:val="00FF7174"/>
    <w:rsid w:val="00FF7252"/>
    <w:rsid w:val="00FF76B0"/>
    <w:rsid w:val="00FF7AEB"/>
    <w:rsid w:val="00FF7CE1"/>
    <w:rsid w:val="00FF7CFC"/>
    <w:rsid w:val="00FF7EC7"/>
    <w:rsid w:val="010F0688"/>
    <w:rsid w:val="0128E736"/>
    <w:rsid w:val="013A0DC2"/>
    <w:rsid w:val="013D916C"/>
    <w:rsid w:val="013FEF38"/>
    <w:rsid w:val="01423CD4"/>
    <w:rsid w:val="01552157"/>
    <w:rsid w:val="017CA93D"/>
    <w:rsid w:val="017CFDFD"/>
    <w:rsid w:val="0181B2B0"/>
    <w:rsid w:val="01868547"/>
    <w:rsid w:val="018B7E26"/>
    <w:rsid w:val="018EBDBF"/>
    <w:rsid w:val="01B2ACF5"/>
    <w:rsid w:val="01BEE8F9"/>
    <w:rsid w:val="01C372CC"/>
    <w:rsid w:val="01D24EB0"/>
    <w:rsid w:val="01DADED3"/>
    <w:rsid w:val="01DCC651"/>
    <w:rsid w:val="01E6F075"/>
    <w:rsid w:val="01E9E25B"/>
    <w:rsid w:val="01FD6B3F"/>
    <w:rsid w:val="01FE5577"/>
    <w:rsid w:val="020FA7C3"/>
    <w:rsid w:val="021BCF9E"/>
    <w:rsid w:val="021EA43A"/>
    <w:rsid w:val="02311D61"/>
    <w:rsid w:val="023D9C90"/>
    <w:rsid w:val="024C88C8"/>
    <w:rsid w:val="025512CB"/>
    <w:rsid w:val="026914AA"/>
    <w:rsid w:val="026C4A14"/>
    <w:rsid w:val="0280997C"/>
    <w:rsid w:val="0293BD32"/>
    <w:rsid w:val="0298AE0F"/>
    <w:rsid w:val="029B23DD"/>
    <w:rsid w:val="029DAC0A"/>
    <w:rsid w:val="02A02919"/>
    <w:rsid w:val="02A0DBA0"/>
    <w:rsid w:val="02A806C6"/>
    <w:rsid w:val="02A8200F"/>
    <w:rsid w:val="02A8BC92"/>
    <w:rsid w:val="02B6BCFA"/>
    <w:rsid w:val="02BBDAB3"/>
    <w:rsid w:val="02BC6D77"/>
    <w:rsid w:val="02C289E5"/>
    <w:rsid w:val="0316C0A3"/>
    <w:rsid w:val="0332EC9C"/>
    <w:rsid w:val="0350CCCD"/>
    <w:rsid w:val="036A64FB"/>
    <w:rsid w:val="036D4633"/>
    <w:rsid w:val="0371B6DB"/>
    <w:rsid w:val="03787E80"/>
    <w:rsid w:val="037B1209"/>
    <w:rsid w:val="0388A43D"/>
    <w:rsid w:val="03896486"/>
    <w:rsid w:val="039DA05D"/>
    <w:rsid w:val="03A743A7"/>
    <w:rsid w:val="03A9EC24"/>
    <w:rsid w:val="03AFFCA3"/>
    <w:rsid w:val="03BA7A7F"/>
    <w:rsid w:val="03CAF26A"/>
    <w:rsid w:val="03D33ADD"/>
    <w:rsid w:val="03E46B1A"/>
    <w:rsid w:val="03EB5EFB"/>
    <w:rsid w:val="03F914D1"/>
    <w:rsid w:val="0402910F"/>
    <w:rsid w:val="0411378C"/>
    <w:rsid w:val="0412D5CC"/>
    <w:rsid w:val="0418DC01"/>
    <w:rsid w:val="0449C3FE"/>
    <w:rsid w:val="04559734"/>
    <w:rsid w:val="047BF939"/>
    <w:rsid w:val="0484E258"/>
    <w:rsid w:val="048EDDB8"/>
    <w:rsid w:val="048F7CDB"/>
    <w:rsid w:val="04937A0D"/>
    <w:rsid w:val="049E6997"/>
    <w:rsid w:val="04B8BD77"/>
    <w:rsid w:val="04BB7AF7"/>
    <w:rsid w:val="04C12538"/>
    <w:rsid w:val="04D0C602"/>
    <w:rsid w:val="04D13AD5"/>
    <w:rsid w:val="04D2EB7A"/>
    <w:rsid w:val="04D7F432"/>
    <w:rsid w:val="0514A1C7"/>
    <w:rsid w:val="05168C31"/>
    <w:rsid w:val="0533EFE3"/>
    <w:rsid w:val="0548183C"/>
    <w:rsid w:val="0586BE66"/>
    <w:rsid w:val="059D61CC"/>
    <w:rsid w:val="05A1BFBE"/>
    <w:rsid w:val="05AE1BEF"/>
    <w:rsid w:val="05B382BD"/>
    <w:rsid w:val="05BC2345"/>
    <w:rsid w:val="05CCDB6E"/>
    <w:rsid w:val="05F30039"/>
    <w:rsid w:val="05F6A7C2"/>
    <w:rsid w:val="05F7114D"/>
    <w:rsid w:val="0608EC3B"/>
    <w:rsid w:val="060D8B42"/>
    <w:rsid w:val="06154162"/>
    <w:rsid w:val="061C750F"/>
    <w:rsid w:val="06261383"/>
    <w:rsid w:val="062D8BC9"/>
    <w:rsid w:val="06325812"/>
    <w:rsid w:val="063FD8F7"/>
    <w:rsid w:val="064B4A7E"/>
    <w:rsid w:val="064BB856"/>
    <w:rsid w:val="06836B58"/>
    <w:rsid w:val="06861A11"/>
    <w:rsid w:val="0686F0A2"/>
    <w:rsid w:val="0686F654"/>
    <w:rsid w:val="06947DAA"/>
    <w:rsid w:val="06AA2ED9"/>
    <w:rsid w:val="06ABDA8C"/>
    <w:rsid w:val="06B4B70A"/>
    <w:rsid w:val="06C62989"/>
    <w:rsid w:val="06CA7055"/>
    <w:rsid w:val="06DF1122"/>
    <w:rsid w:val="06F92F07"/>
    <w:rsid w:val="06F96FAA"/>
    <w:rsid w:val="06FDFBCE"/>
    <w:rsid w:val="06FFDA6A"/>
    <w:rsid w:val="0709C09C"/>
    <w:rsid w:val="070ED158"/>
    <w:rsid w:val="07170AA3"/>
    <w:rsid w:val="0718B847"/>
    <w:rsid w:val="071D8851"/>
    <w:rsid w:val="07327741"/>
    <w:rsid w:val="0735027C"/>
    <w:rsid w:val="0735AE9F"/>
    <w:rsid w:val="073B91C8"/>
    <w:rsid w:val="07476F4C"/>
    <w:rsid w:val="07644918"/>
    <w:rsid w:val="0768B0B2"/>
    <w:rsid w:val="076B77DB"/>
    <w:rsid w:val="0777A55B"/>
    <w:rsid w:val="077EC9F5"/>
    <w:rsid w:val="07824AC5"/>
    <w:rsid w:val="0793FF12"/>
    <w:rsid w:val="07996AA0"/>
    <w:rsid w:val="07C0AB04"/>
    <w:rsid w:val="07D0302D"/>
    <w:rsid w:val="07F44243"/>
    <w:rsid w:val="0801C11E"/>
    <w:rsid w:val="0817F84A"/>
    <w:rsid w:val="0825359D"/>
    <w:rsid w:val="0829C829"/>
    <w:rsid w:val="0838ECBA"/>
    <w:rsid w:val="083DE332"/>
    <w:rsid w:val="0848503A"/>
    <w:rsid w:val="08607648"/>
    <w:rsid w:val="0865971B"/>
    <w:rsid w:val="086A1030"/>
    <w:rsid w:val="088ED1EF"/>
    <w:rsid w:val="08C327DE"/>
    <w:rsid w:val="08C6DD94"/>
    <w:rsid w:val="08C9FADE"/>
    <w:rsid w:val="08CCF3F5"/>
    <w:rsid w:val="08DACDA9"/>
    <w:rsid w:val="08E30C7E"/>
    <w:rsid w:val="08FDC464"/>
    <w:rsid w:val="0905CE43"/>
    <w:rsid w:val="091230D6"/>
    <w:rsid w:val="091FA2B0"/>
    <w:rsid w:val="09346A74"/>
    <w:rsid w:val="093F048A"/>
    <w:rsid w:val="094F28D3"/>
    <w:rsid w:val="0951C451"/>
    <w:rsid w:val="09543498"/>
    <w:rsid w:val="095AEEAE"/>
    <w:rsid w:val="095E50B9"/>
    <w:rsid w:val="095E67FB"/>
    <w:rsid w:val="095F07A0"/>
    <w:rsid w:val="096539E8"/>
    <w:rsid w:val="097560D3"/>
    <w:rsid w:val="0980220F"/>
    <w:rsid w:val="098235CA"/>
    <w:rsid w:val="09A382C8"/>
    <w:rsid w:val="09A7EE98"/>
    <w:rsid w:val="09ACBBBA"/>
    <w:rsid w:val="09C8E9B3"/>
    <w:rsid w:val="09D6EA41"/>
    <w:rsid w:val="09D8B523"/>
    <w:rsid w:val="09E8EE27"/>
    <w:rsid w:val="09F5C14E"/>
    <w:rsid w:val="09FB61DC"/>
    <w:rsid w:val="09FB9442"/>
    <w:rsid w:val="0A146BE7"/>
    <w:rsid w:val="0A26F3D6"/>
    <w:rsid w:val="0A30DA5D"/>
    <w:rsid w:val="0A320EDC"/>
    <w:rsid w:val="0A34A4E4"/>
    <w:rsid w:val="0A37104B"/>
    <w:rsid w:val="0A387530"/>
    <w:rsid w:val="0A3E339E"/>
    <w:rsid w:val="0A576F1F"/>
    <w:rsid w:val="0A61E44E"/>
    <w:rsid w:val="0A7D244B"/>
    <w:rsid w:val="0A9AAD24"/>
    <w:rsid w:val="0AA081DE"/>
    <w:rsid w:val="0ABA7BF3"/>
    <w:rsid w:val="0AC451FE"/>
    <w:rsid w:val="0AC6928F"/>
    <w:rsid w:val="0ADB2042"/>
    <w:rsid w:val="0AEB89E3"/>
    <w:rsid w:val="0B0000A8"/>
    <w:rsid w:val="0B05EF56"/>
    <w:rsid w:val="0B0F4544"/>
    <w:rsid w:val="0B11E20C"/>
    <w:rsid w:val="0B1C96CB"/>
    <w:rsid w:val="0B1F9B3B"/>
    <w:rsid w:val="0B35463E"/>
    <w:rsid w:val="0B36D194"/>
    <w:rsid w:val="0B4F70C0"/>
    <w:rsid w:val="0B58D1D3"/>
    <w:rsid w:val="0B5D580C"/>
    <w:rsid w:val="0B5D7B86"/>
    <w:rsid w:val="0B5DA510"/>
    <w:rsid w:val="0B79DAFB"/>
    <w:rsid w:val="0B7FAFA4"/>
    <w:rsid w:val="0B9F2204"/>
    <w:rsid w:val="0BDB3196"/>
    <w:rsid w:val="0BE02854"/>
    <w:rsid w:val="0BE0AAB2"/>
    <w:rsid w:val="0BED7E12"/>
    <w:rsid w:val="0BEF6B81"/>
    <w:rsid w:val="0BFCA633"/>
    <w:rsid w:val="0C12B0E5"/>
    <w:rsid w:val="0C25600A"/>
    <w:rsid w:val="0C31D866"/>
    <w:rsid w:val="0C340CD4"/>
    <w:rsid w:val="0C40124B"/>
    <w:rsid w:val="0C409022"/>
    <w:rsid w:val="0C55B33E"/>
    <w:rsid w:val="0C637FDF"/>
    <w:rsid w:val="0C7368A2"/>
    <w:rsid w:val="0C7C6A75"/>
    <w:rsid w:val="0C7EBBC3"/>
    <w:rsid w:val="0C8F3674"/>
    <w:rsid w:val="0CB1AC61"/>
    <w:rsid w:val="0CC33EB8"/>
    <w:rsid w:val="0CC7B318"/>
    <w:rsid w:val="0CC85928"/>
    <w:rsid w:val="0CDE2382"/>
    <w:rsid w:val="0CF54EA9"/>
    <w:rsid w:val="0CFDCBB4"/>
    <w:rsid w:val="0D143C4A"/>
    <w:rsid w:val="0D1DFD2D"/>
    <w:rsid w:val="0D261443"/>
    <w:rsid w:val="0D2A8071"/>
    <w:rsid w:val="0D2F2064"/>
    <w:rsid w:val="0D369234"/>
    <w:rsid w:val="0D4C95B0"/>
    <w:rsid w:val="0D5CBAF7"/>
    <w:rsid w:val="0D6FE66D"/>
    <w:rsid w:val="0D7916E4"/>
    <w:rsid w:val="0D9FA836"/>
    <w:rsid w:val="0DA44DB0"/>
    <w:rsid w:val="0DA64560"/>
    <w:rsid w:val="0DB00B78"/>
    <w:rsid w:val="0DB136E6"/>
    <w:rsid w:val="0DB3E3C3"/>
    <w:rsid w:val="0DC0216F"/>
    <w:rsid w:val="0DD9B985"/>
    <w:rsid w:val="0DDF8393"/>
    <w:rsid w:val="0DE5A2CA"/>
    <w:rsid w:val="0DE7CA51"/>
    <w:rsid w:val="0DF5F38A"/>
    <w:rsid w:val="0DFC96C4"/>
    <w:rsid w:val="0E0C0047"/>
    <w:rsid w:val="0E10FFA9"/>
    <w:rsid w:val="0E3AA25D"/>
    <w:rsid w:val="0E59BD9C"/>
    <w:rsid w:val="0E5D77AB"/>
    <w:rsid w:val="0E5E1B4D"/>
    <w:rsid w:val="0E5F518B"/>
    <w:rsid w:val="0E5FA9E8"/>
    <w:rsid w:val="0E9EE177"/>
    <w:rsid w:val="0EA27EA5"/>
    <w:rsid w:val="0EB05456"/>
    <w:rsid w:val="0EB8022B"/>
    <w:rsid w:val="0EC2F4AD"/>
    <w:rsid w:val="0EC470F3"/>
    <w:rsid w:val="0ECB8718"/>
    <w:rsid w:val="0ED0AB43"/>
    <w:rsid w:val="0EEBA792"/>
    <w:rsid w:val="0EEBD7B6"/>
    <w:rsid w:val="0EF9D757"/>
    <w:rsid w:val="0F123C50"/>
    <w:rsid w:val="0F21050E"/>
    <w:rsid w:val="0F22A7F4"/>
    <w:rsid w:val="0F27FC4A"/>
    <w:rsid w:val="0F35D525"/>
    <w:rsid w:val="0F3B2ED4"/>
    <w:rsid w:val="0F467E6C"/>
    <w:rsid w:val="0F469D6E"/>
    <w:rsid w:val="0F534964"/>
    <w:rsid w:val="0F6DC9A9"/>
    <w:rsid w:val="0F82118A"/>
    <w:rsid w:val="0F90BC3A"/>
    <w:rsid w:val="0F957BDD"/>
    <w:rsid w:val="0F95BE4E"/>
    <w:rsid w:val="0F9AE66F"/>
    <w:rsid w:val="0F9CBE47"/>
    <w:rsid w:val="0FAB712A"/>
    <w:rsid w:val="0FB038A7"/>
    <w:rsid w:val="0FB84E5F"/>
    <w:rsid w:val="0FD63AF9"/>
    <w:rsid w:val="0FDA65A5"/>
    <w:rsid w:val="0FE7BD0A"/>
    <w:rsid w:val="0FECD777"/>
    <w:rsid w:val="0FEFBBEA"/>
    <w:rsid w:val="0FF3C6AE"/>
    <w:rsid w:val="0FF78862"/>
    <w:rsid w:val="1016ADB2"/>
    <w:rsid w:val="101A1AD4"/>
    <w:rsid w:val="101ED7D4"/>
    <w:rsid w:val="1022D3B4"/>
    <w:rsid w:val="10296B22"/>
    <w:rsid w:val="10393B22"/>
    <w:rsid w:val="103C12FA"/>
    <w:rsid w:val="103D15FD"/>
    <w:rsid w:val="105061A4"/>
    <w:rsid w:val="106E88C0"/>
    <w:rsid w:val="10772ABB"/>
    <w:rsid w:val="107AB3E4"/>
    <w:rsid w:val="107CA4BB"/>
    <w:rsid w:val="1080964E"/>
    <w:rsid w:val="10837C16"/>
    <w:rsid w:val="10882326"/>
    <w:rsid w:val="108AC38E"/>
    <w:rsid w:val="108F6326"/>
    <w:rsid w:val="1092454C"/>
    <w:rsid w:val="1094113C"/>
    <w:rsid w:val="10A41782"/>
    <w:rsid w:val="10CB860F"/>
    <w:rsid w:val="10DD0DC5"/>
    <w:rsid w:val="10E00C55"/>
    <w:rsid w:val="10E308E1"/>
    <w:rsid w:val="10E76909"/>
    <w:rsid w:val="10E84CD9"/>
    <w:rsid w:val="10ED89B6"/>
    <w:rsid w:val="10F109AC"/>
    <w:rsid w:val="10F55AEB"/>
    <w:rsid w:val="111B9FC6"/>
    <w:rsid w:val="112C1687"/>
    <w:rsid w:val="11387CB8"/>
    <w:rsid w:val="113B97E9"/>
    <w:rsid w:val="114AC83B"/>
    <w:rsid w:val="1167116D"/>
    <w:rsid w:val="117132D5"/>
    <w:rsid w:val="11755630"/>
    <w:rsid w:val="117EBF70"/>
    <w:rsid w:val="11840EB9"/>
    <w:rsid w:val="11872E8A"/>
    <w:rsid w:val="118B87D4"/>
    <w:rsid w:val="11935C22"/>
    <w:rsid w:val="11AC01D4"/>
    <w:rsid w:val="11AC66EC"/>
    <w:rsid w:val="11D3EA98"/>
    <w:rsid w:val="11D5328B"/>
    <w:rsid w:val="11D9D9BE"/>
    <w:rsid w:val="11E95B96"/>
    <w:rsid w:val="11F127B4"/>
    <w:rsid w:val="11F1FD87"/>
    <w:rsid w:val="11FDCA53"/>
    <w:rsid w:val="1202A799"/>
    <w:rsid w:val="1202BAFF"/>
    <w:rsid w:val="12174FEE"/>
    <w:rsid w:val="123377E1"/>
    <w:rsid w:val="124C2E18"/>
    <w:rsid w:val="1271961C"/>
    <w:rsid w:val="1274F085"/>
    <w:rsid w:val="127DB066"/>
    <w:rsid w:val="12807EA2"/>
    <w:rsid w:val="129CA2EB"/>
    <w:rsid w:val="129DED9F"/>
    <w:rsid w:val="12A8F2A8"/>
    <w:rsid w:val="12DC162E"/>
    <w:rsid w:val="12E2236A"/>
    <w:rsid w:val="12E3DEE7"/>
    <w:rsid w:val="12ED111A"/>
    <w:rsid w:val="13202CB9"/>
    <w:rsid w:val="1320982D"/>
    <w:rsid w:val="13322353"/>
    <w:rsid w:val="1367F12B"/>
    <w:rsid w:val="1369DCF1"/>
    <w:rsid w:val="13773D55"/>
    <w:rsid w:val="13806050"/>
    <w:rsid w:val="138A86B2"/>
    <w:rsid w:val="138BFF74"/>
    <w:rsid w:val="139228CF"/>
    <w:rsid w:val="139B0885"/>
    <w:rsid w:val="139F8A0B"/>
    <w:rsid w:val="13B40614"/>
    <w:rsid w:val="13BFB25F"/>
    <w:rsid w:val="13CD393C"/>
    <w:rsid w:val="13CF0AC9"/>
    <w:rsid w:val="13DCB375"/>
    <w:rsid w:val="1406B6B7"/>
    <w:rsid w:val="140D6BE6"/>
    <w:rsid w:val="142BECF9"/>
    <w:rsid w:val="142E2B38"/>
    <w:rsid w:val="1435E726"/>
    <w:rsid w:val="1454809B"/>
    <w:rsid w:val="146B049D"/>
    <w:rsid w:val="1475AC9B"/>
    <w:rsid w:val="147C73BF"/>
    <w:rsid w:val="1489D560"/>
    <w:rsid w:val="148F00F6"/>
    <w:rsid w:val="149D4ED4"/>
    <w:rsid w:val="149EFD0D"/>
    <w:rsid w:val="14AA9550"/>
    <w:rsid w:val="14ADED17"/>
    <w:rsid w:val="14B7589B"/>
    <w:rsid w:val="14C7C458"/>
    <w:rsid w:val="14CCA4B4"/>
    <w:rsid w:val="14D91371"/>
    <w:rsid w:val="14E6C7C4"/>
    <w:rsid w:val="14F93673"/>
    <w:rsid w:val="1500714C"/>
    <w:rsid w:val="1510146A"/>
    <w:rsid w:val="15174775"/>
    <w:rsid w:val="15174A15"/>
    <w:rsid w:val="151FEEA8"/>
    <w:rsid w:val="1533FFF4"/>
    <w:rsid w:val="153852CE"/>
    <w:rsid w:val="153BCA1A"/>
    <w:rsid w:val="154BCCCA"/>
    <w:rsid w:val="15572D8B"/>
    <w:rsid w:val="1571F212"/>
    <w:rsid w:val="15775443"/>
    <w:rsid w:val="1587B4D7"/>
    <w:rsid w:val="15A5185A"/>
    <w:rsid w:val="15ADB7B8"/>
    <w:rsid w:val="15AFB7D0"/>
    <w:rsid w:val="15C55B45"/>
    <w:rsid w:val="15D37835"/>
    <w:rsid w:val="15D94971"/>
    <w:rsid w:val="15E58FFF"/>
    <w:rsid w:val="15EA38F6"/>
    <w:rsid w:val="15FE4B17"/>
    <w:rsid w:val="1608072E"/>
    <w:rsid w:val="160C28BB"/>
    <w:rsid w:val="162529BC"/>
    <w:rsid w:val="162C9E81"/>
    <w:rsid w:val="1634A432"/>
    <w:rsid w:val="1636393E"/>
    <w:rsid w:val="16383DC5"/>
    <w:rsid w:val="164A1940"/>
    <w:rsid w:val="1651ACD6"/>
    <w:rsid w:val="1658328B"/>
    <w:rsid w:val="165A0E77"/>
    <w:rsid w:val="165BB46E"/>
    <w:rsid w:val="1663721D"/>
    <w:rsid w:val="166FCE85"/>
    <w:rsid w:val="1674020B"/>
    <w:rsid w:val="16753D19"/>
    <w:rsid w:val="167E8F35"/>
    <w:rsid w:val="168B6B36"/>
    <w:rsid w:val="16964C12"/>
    <w:rsid w:val="16D90AFF"/>
    <w:rsid w:val="16E59555"/>
    <w:rsid w:val="16F38AD0"/>
    <w:rsid w:val="170BEFAC"/>
    <w:rsid w:val="1711F7E0"/>
    <w:rsid w:val="171B1CDF"/>
    <w:rsid w:val="171CDBEC"/>
    <w:rsid w:val="1729927B"/>
    <w:rsid w:val="1732B90C"/>
    <w:rsid w:val="1735E200"/>
    <w:rsid w:val="17381EE1"/>
    <w:rsid w:val="17452972"/>
    <w:rsid w:val="17497B45"/>
    <w:rsid w:val="17543117"/>
    <w:rsid w:val="17557232"/>
    <w:rsid w:val="17593AB3"/>
    <w:rsid w:val="1765D56E"/>
    <w:rsid w:val="1779C710"/>
    <w:rsid w:val="17AA392B"/>
    <w:rsid w:val="17B68035"/>
    <w:rsid w:val="17B76450"/>
    <w:rsid w:val="17C3578E"/>
    <w:rsid w:val="17CA1B30"/>
    <w:rsid w:val="18077A92"/>
    <w:rsid w:val="18167627"/>
    <w:rsid w:val="1818AFB7"/>
    <w:rsid w:val="18255980"/>
    <w:rsid w:val="182E9B0E"/>
    <w:rsid w:val="1830368D"/>
    <w:rsid w:val="183EBBEA"/>
    <w:rsid w:val="18507396"/>
    <w:rsid w:val="1854DCA0"/>
    <w:rsid w:val="186ECEE1"/>
    <w:rsid w:val="18719DE6"/>
    <w:rsid w:val="1884068D"/>
    <w:rsid w:val="188AFFEB"/>
    <w:rsid w:val="18A08282"/>
    <w:rsid w:val="18A3A6BE"/>
    <w:rsid w:val="18BC83E4"/>
    <w:rsid w:val="18D35634"/>
    <w:rsid w:val="18D81029"/>
    <w:rsid w:val="18DBA849"/>
    <w:rsid w:val="19033BF3"/>
    <w:rsid w:val="190FF16F"/>
    <w:rsid w:val="1914B35D"/>
    <w:rsid w:val="191F26E7"/>
    <w:rsid w:val="1945996D"/>
    <w:rsid w:val="196309F1"/>
    <w:rsid w:val="19638769"/>
    <w:rsid w:val="196F7F08"/>
    <w:rsid w:val="19713F43"/>
    <w:rsid w:val="1975093B"/>
    <w:rsid w:val="198BD240"/>
    <w:rsid w:val="198EC2EA"/>
    <w:rsid w:val="19A6463F"/>
    <w:rsid w:val="19B28B65"/>
    <w:rsid w:val="19B66939"/>
    <w:rsid w:val="19D00C9C"/>
    <w:rsid w:val="19DF9DBF"/>
    <w:rsid w:val="19E8A345"/>
    <w:rsid w:val="19FA26F0"/>
    <w:rsid w:val="19FD99EF"/>
    <w:rsid w:val="1A15357D"/>
    <w:rsid w:val="1A154997"/>
    <w:rsid w:val="1A17A51F"/>
    <w:rsid w:val="1A1EF07C"/>
    <w:rsid w:val="1A3C56E9"/>
    <w:rsid w:val="1A42266A"/>
    <w:rsid w:val="1A43FB5E"/>
    <w:rsid w:val="1A49A86F"/>
    <w:rsid w:val="1A52E10F"/>
    <w:rsid w:val="1A911505"/>
    <w:rsid w:val="1ADD56E7"/>
    <w:rsid w:val="1B0523E2"/>
    <w:rsid w:val="1B1C6DC4"/>
    <w:rsid w:val="1B1DEC75"/>
    <w:rsid w:val="1B2FAFD2"/>
    <w:rsid w:val="1B330B90"/>
    <w:rsid w:val="1B3B29C7"/>
    <w:rsid w:val="1B40027D"/>
    <w:rsid w:val="1B4156B6"/>
    <w:rsid w:val="1B463F96"/>
    <w:rsid w:val="1B4C663C"/>
    <w:rsid w:val="1B6FFB47"/>
    <w:rsid w:val="1B77E877"/>
    <w:rsid w:val="1B782202"/>
    <w:rsid w:val="1B88DB98"/>
    <w:rsid w:val="1B976C97"/>
    <w:rsid w:val="1BB98072"/>
    <w:rsid w:val="1BF83831"/>
    <w:rsid w:val="1BFB90BD"/>
    <w:rsid w:val="1C06BBEB"/>
    <w:rsid w:val="1C156BAA"/>
    <w:rsid w:val="1C22A4A7"/>
    <w:rsid w:val="1C22BF6B"/>
    <w:rsid w:val="1C238E0E"/>
    <w:rsid w:val="1C29DBAA"/>
    <w:rsid w:val="1C3DC8E6"/>
    <w:rsid w:val="1C52F5BD"/>
    <w:rsid w:val="1C6FCED2"/>
    <w:rsid w:val="1C8918D7"/>
    <w:rsid w:val="1C89350E"/>
    <w:rsid w:val="1C8DDBCE"/>
    <w:rsid w:val="1C98C913"/>
    <w:rsid w:val="1CD359E6"/>
    <w:rsid w:val="1CD6B528"/>
    <w:rsid w:val="1CDFCCE1"/>
    <w:rsid w:val="1D096E2F"/>
    <w:rsid w:val="1D2DB053"/>
    <w:rsid w:val="1D35E3B6"/>
    <w:rsid w:val="1D402152"/>
    <w:rsid w:val="1D63CEAE"/>
    <w:rsid w:val="1D6BF5E4"/>
    <w:rsid w:val="1D6F8747"/>
    <w:rsid w:val="1D714CC9"/>
    <w:rsid w:val="1D79C1A1"/>
    <w:rsid w:val="1DA72AAF"/>
    <w:rsid w:val="1DAF83F1"/>
    <w:rsid w:val="1DB166FF"/>
    <w:rsid w:val="1DB488CD"/>
    <w:rsid w:val="1DB54582"/>
    <w:rsid w:val="1DC1B3C9"/>
    <w:rsid w:val="1DD060AF"/>
    <w:rsid w:val="1DD737BC"/>
    <w:rsid w:val="1DDC7D52"/>
    <w:rsid w:val="1DDD926D"/>
    <w:rsid w:val="1DEED704"/>
    <w:rsid w:val="1DF3DFBB"/>
    <w:rsid w:val="1E12F267"/>
    <w:rsid w:val="1E22AC2E"/>
    <w:rsid w:val="1E2531C2"/>
    <w:rsid w:val="1E43109D"/>
    <w:rsid w:val="1E5C3479"/>
    <w:rsid w:val="1E6039CD"/>
    <w:rsid w:val="1E616D32"/>
    <w:rsid w:val="1E6F6109"/>
    <w:rsid w:val="1E71049E"/>
    <w:rsid w:val="1E9140ED"/>
    <w:rsid w:val="1E92F70F"/>
    <w:rsid w:val="1E954310"/>
    <w:rsid w:val="1E968105"/>
    <w:rsid w:val="1E98B0AF"/>
    <w:rsid w:val="1EA1042C"/>
    <w:rsid w:val="1EAB0DFC"/>
    <w:rsid w:val="1EB42806"/>
    <w:rsid w:val="1ECC7BF7"/>
    <w:rsid w:val="1ED11405"/>
    <w:rsid w:val="1EDE2DB8"/>
    <w:rsid w:val="1EE452BE"/>
    <w:rsid w:val="1EFF173A"/>
    <w:rsid w:val="1F0D2495"/>
    <w:rsid w:val="1F3495C5"/>
    <w:rsid w:val="1F4045BE"/>
    <w:rsid w:val="1F473C14"/>
    <w:rsid w:val="1F5BBF47"/>
    <w:rsid w:val="1F633DE4"/>
    <w:rsid w:val="1F709789"/>
    <w:rsid w:val="1F714B89"/>
    <w:rsid w:val="1F7348D1"/>
    <w:rsid w:val="1F8AE0A9"/>
    <w:rsid w:val="1F9DB188"/>
    <w:rsid w:val="1F9E5816"/>
    <w:rsid w:val="1FA30512"/>
    <w:rsid w:val="1FA49EEE"/>
    <w:rsid w:val="1FA87C9D"/>
    <w:rsid w:val="1FB00AE0"/>
    <w:rsid w:val="1FB5AD17"/>
    <w:rsid w:val="1FB80913"/>
    <w:rsid w:val="1FBB155C"/>
    <w:rsid w:val="1FC70443"/>
    <w:rsid w:val="1FD6791F"/>
    <w:rsid w:val="1FD705D1"/>
    <w:rsid w:val="1FDDA41E"/>
    <w:rsid w:val="20079A2C"/>
    <w:rsid w:val="2007F4EE"/>
    <w:rsid w:val="2014309B"/>
    <w:rsid w:val="20157A27"/>
    <w:rsid w:val="20224DD1"/>
    <w:rsid w:val="2022E69B"/>
    <w:rsid w:val="2053B3F3"/>
    <w:rsid w:val="2068BFA3"/>
    <w:rsid w:val="2075B993"/>
    <w:rsid w:val="207A3E19"/>
    <w:rsid w:val="209017AA"/>
    <w:rsid w:val="2090E483"/>
    <w:rsid w:val="2091171E"/>
    <w:rsid w:val="2091F398"/>
    <w:rsid w:val="20B2529C"/>
    <w:rsid w:val="20BB739C"/>
    <w:rsid w:val="20CAAABC"/>
    <w:rsid w:val="20CB21F6"/>
    <w:rsid w:val="20CF7957"/>
    <w:rsid w:val="20DD364F"/>
    <w:rsid w:val="20F45F5F"/>
    <w:rsid w:val="20FE8A19"/>
    <w:rsid w:val="2100CC02"/>
    <w:rsid w:val="210F65AB"/>
    <w:rsid w:val="21236E46"/>
    <w:rsid w:val="21423DD8"/>
    <w:rsid w:val="2144397B"/>
    <w:rsid w:val="2158E8F5"/>
    <w:rsid w:val="215A1CE0"/>
    <w:rsid w:val="2163243A"/>
    <w:rsid w:val="21678861"/>
    <w:rsid w:val="216AE73A"/>
    <w:rsid w:val="216EBDBC"/>
    <w:rsid w:val="217452C7"/>
    <w:rsid w:val="2179DE82"/>
    <w:rsid w:val="2183B6EF"/>
    <w:rsid w:val="21939869"/>
    <w:rsid w:val="21B2D84E"/>
    <w:rsid w:val="21BB47D4"/>
    <w:rsid w:val="21BF1CF0"/>
    <w:rsid w:val="21BF7870"/>
    <w:rsid w:val="21C863F7"/>
    <w:rsid w:val="21CD40E6"/>
    <w:rsid w:val="21E3490E"/>
    <w:rsid w:val="21E65BDF"/>
    <w:rsid w:val="21EF6F15"/>
    <w:rsid w:val="21F9D5D2"/>
    <w:rsid w:val="21FC543B"/>
    <w:rsid w:val="22022FC0"/>
    <w:rsid w:val="22063328"/>
    <w:rsid w:val="220EF723"/>
    <w:rsid w:val="221591A4"/>
    <w:rsid w:val="22211DE5"/>
    <w:rsid w:val="2224933B"/>
    <w:rsid w:val="2240314D"/>
    <w:rsid w:val="2245E1E4"/>
    <w:rsid w:val="22460B29"/>
    <w:rsid w:val="225D0940"/>
    <w:rsid w:val="225F12B9"/>
    <w:rsid w:val="22688D77"/>
    <w:rsid w:val="22769BF9"/>
    <w:rsid w:val="2287578D"/>
    <w:rsid w:val="2288F365"/>
    <w:rsid w:val="228936FA"/>
    <w:rsid w:val="228AEF77"/>
    <w:rsid w:val="228DB390"/>
    <w:rsid w:val="229003B2"/>
    <w:rsid w:val="229017BA"/>
    <w:rsid w:val="22924FEF"/>
    <w:rsid w:val="22974A55"/>
    <w:rsid w:val="22D32F61"/>
    <w:rsid w:val="22D51EAD"/>
    <w:rsid w:val="22F7BF5F"/>
    <w:rsid w:val="22F8188A"/>
    <w:rsid w:val="230959D1"/>
    <w:rsid w:val="230B349E"/>
    <w:rsid w:val="2338CED2"/>
    <w:rsid w:val="234DDC4B"/>
    <w:rsid w:val="234E72E0"/>
    <w:rsid w:val="2351D855"/>
    <w:rsid w:val="235A2FAA"/>
    <w:rsid w:val="2360592F"/>
    <w:rsid w:val="23768581"/>
    <w:rsid w:val="23797E7F"/>
    <w:rsid w:val="237F6E49"/>
    <w:rsid w:val="239AF494"/>
    <w:rsid w:val="23A6953D"/>
    <w:rsid w:val="23C73904"/>
    <w:rsid w:val="23CD5A62"/>
    <w:rsid w:val="23CF5B2F"/>
    <w:rsid w:val="23E0586F"/>
    <w:rsid w:val="23E25BD7"/>
    <w:rsid w:val="23F80646"/>
    <w:rsid w:val="240FE356"/>
    <w:rsid w:val="24186308"/>
    <w:rsid w:val="2427B70A"/>
    <w:rsid w:val="2430A167"/>
    <w:rsid w:val="2435C969"/>
    <w:rsid w:val="2441F0CD"/>
    <w:rsid w:val="244B7B86"/>
    <w:rsid w:val="24506D6E"/>
    <w:rsid w:val="24513DDE"/>
    <w:rsid w:val="2458F3D1"/>
    <w:rsid w:val="246E6A04"/>
    <w:rsid w:val="24869CF2"/>
    <w:rsid w:val="248FAB1A"/>
    <w:rsid w:val="2490F8E7"/>
    <w:rsid w:val="24944FE5"/>
    <w:rsid w:val="24C2C1D0"/>
    <w:rsid w:val="25006A69"/>
    <w:rsid w:val="25092233"/>
    <w:rsid w:val="2513B21B"/>
    <w:rsid w:val="251D6D4E"/>
    <w:rsid w:val="254220F7"/>
    <w:rsid w:val="254C8D96"/>
    <w:rsid w:val="255058E5"/>
    <w:rsid w:val="25581FCF"/>
    <w:rsid w:val="256D1FB0"/>
    <w:rsid w:val="25707BFB"/>
    <w:rsid w:val="2591FD50"/>
    <w:rsid w:val="259D1BA1"/>
    <w:rsid w:val="259E7A6E"/>
    <w:rsid w:val="25A703FF"/>
    <w:rsid w:val="25C9AC2B"/>
    <w:rsid w:val="25CC5928"/>
    <w:rsid w:val="25ED58C0"/>
    <w:rsid w:val="25EE1177"/>
    <w:rsid w:val="25F4F2F1"/>
    <w:rsid w:val="2609BB09"/>
    <w:rsid w:val="260A4853"/>
    <w:rsid w:val="261160D2"/>
    <w:rsid w:val="26201AD0"/>
    <w:rsid w:val="265B6483"/>
    <w:rsid w:val="266DDF54"/>
    <w:rsid w:val="2672A3CB"/>
    <w:rsid w:val="2676EC90"/>
    <w:rsid w:val="26799BB9"/>
    <w:rsid w:val="2687238A"/>
    <w:rsid w:val="268AFBEC"/>
    <w:rsid w:val="269059A4"/>
    <w:rsid w:val="269515C5"/>
    <w:rsid w:val="26A76DDF"/>
    <w:rsid w:val="26AF9BBD"/>
    <w:rsid w:val="26B757FD"/>
    <w:rsid w:val="26D04683"/>
    <w:rsid w:val="26DD38C0"/>
    <w:rsid w:val="26DEC6EF"/>
    <w:rsid w:val="26E78827"/>
    <w:rsid w:val="26F9D6A0"/>
    <w:rsid w:val="2708A4D4"/>
    <w:rsid w:val="270AC0B7"/>
    <w:rsid w:val="272B21FA"/>
    <w:rsid w:val="27509C79"/>
    <w:rsid w:val="27563DDD"/>
    <w:rsid w:val="275920F9"/>
    <w:rsid w:val="276891F6"/>
    <w:rsid w:val="276FA75A"/>
    <w:rsid w:val="278B52E2"/>
    <w:rsid w:val="27973C25"/>
    <w:rsid w:val="279E992F"/>
    <w:rsid w:val="27A929C0"/>
    <w:rsid w:val="27D2D36A"/>
    <w:rsid w:val="27D7E0B7"/>
    <w:rsid w:val="27E72451"/>
    <w:rsid w:val="27EB869A"/>
    <w:rsid w:val="27F82518"/>
    <w:rsid w:val="2811BFCC"/>
    <w:rsid w:val="282B7335"/>
    <w:rsid w:val="28368FA2"/>
    <w:rsid w:val="283C5E83"/>
    <w:rsid w:val="2844A01C"/>
    <w:rsid w:val="284D06D1"/>
    <w:rsid w:val="2854BA35"/>
    <w:rsid w:val="28756F04"/>
    <w:rsid w:val="287FBB82"/>
    <w:rsid w:val="288C2487"/>
    <w:rsid w:val="288D6FC9"/>
    <w:rsid w:val="2894F86B"/>
    <w:rsid w:val="2895EB35"/>
    <w:rsid w:val="289F5304"/>
    <w:rsid w:val="28CAC04A"/>
    <w:rsid w:val="28D38491"/>
    <w:rsid w:val="28D9D2B3"/>
    <w:rsid w:val="28DE9556"/>
    <w:rsid w:val="28E0418A"/>
    <w:rsid w:val="2905C88C"/>
    <w:rsid w:val="291CF39B"/>
    <w:rsid w:val="292ADBAA"/>
    <w:rsid w:val="294C11D6"/>
    <w:rsid w:val="2956CCCD"/>
    <w:rsid w:val="2959D801"/>
    <w:rsid w:val="296D64CB"/>
    <w:rsid w:val="29726068"/>
    <w:rsid w:val="297BB581"/>
    <w:rsid w:val="298197BF"/>
    <w:rsid w:val="299ADF9F"/>
    <w:rsid w:val="29BF50A5"/>
    <w:rsid w:val="29C49265"/>
    <w:rsid w:val="29DBEC65"/>
    <w:rsid w:val="29E344F2"/>
    <w:rsid w:val="29E5EA3D"/>
    <w:rsid w:val="29E8232E"/>
    <w:rsid w:val="29F26200"/>
    <w:rsid w:val="2A05D8DF"/>
    <w:rsid w:val="2A1C6E9E"/>
    <w:rsid w:val="2A2B82E1"/>
    <w:rsid w:val="2A2C9BAC"/>
    <w:rsid w:val="2A32C140"/>
    <w:rsid w:val="2A3DEA24"/>
    <w:rsid w:val="2A583F06"/>
    <w:rsid w:val="2A66512C"/>
    <w:rsid w:val="2A764565"/>
    <w:rsid w:val="2A92BA45"/>
    <w:rsid w:val="2AAC840E"/>
    <w:rsid w:val="2AD49AB3"/>
    <w:rsid w:val="2AE4C102"/>
    <w:rsid w:val="2AE76432"/>
    <w:rsid w:val="2AF7DBC6"/>
    <w:rsid w:val="2B01B439"/>
    <w:rsid w:val="2B0465D9"/>
    <w:rsid w:val="2B070C65"/>
    <w:rsid w:val="2B247A59"/>
    <w:rsid w:val="2B26E607"/>
    <w:rsid w:val="2B27DD41"/>
    <w:rsid w:val="2B306145"/>
    <w:rsid w:val="2B36B958"/>
    <w:rsid w:val="2B449D3F"/>
    <w:rsid w:val="2B537D97"/>
    <w:rsid w:val="2B594545"/>
    <w:rsid w:val="2B62BB81"/>
    <w:rsid w:val="2B667414"/>
    <w:rsid w:val="2B87505D"/>
    <w:rsid w:val="2B995921"/>
    <w:rsid w:val="2BAB0405"/>
    <w:rsid w:val="2BB1D775"/>
    <w:rsid w:val="2BC1BDF5"/>
    <w:rsid w:val="2BDB5A8A"/>
    <w:rsid w:val="2BF10777"/>
    <w:rsid w:val="2BF7A426"/>
    <w:rsid w:val="2C15C35C"/>
    <w:rsid w:val="2C171E81"/>
    <w:rsid w:val="2C1E4D01"/>
    <w:rsid w:val="2C2003D0"/>
    <w:rsid w:val="2C24045A"/>
    <w:rsid w:val="2C2A5F77"/>
    <w:rsid w:val="2C4FA0E0"/>
    <w:rsid w:val="2C6EA2FB"/>
    <w:rsid w:val="2C73940F"/>
    <w:rsid w:val="2C8A7706"/>
    <w:rsid w:val="2C965087"/>
    <w:rsid w:val="2C9E1FCF"/>
    <w:rsid w:val="2CB4DA6B"/>
    <w:rsid w:val="2CB758E1"/>
    <w:rsid w:val="2CBB7588"/>
    <w:rsid w:val="2CC6D779"/>
    <w:rsid w:val="2CD9B260"/>
    <w:rsid w:val="2CDCFA61"/>
    <w:rsid w:val="2CEE480C"/>
    <w:rsid w:val="2CEE9F38"/>
    <w:rsid w:val="2CF246BF"/>
    <w:rsid w:val="2CF6235E"/>
    <w:rsid w:val="2D0A5F87"/>
    <w:rsid w:val="2D0EA6BA"/>
    <w:rsid w:val="2D0F31D9"/>
    <w:rsid w:val="2D1ED8B3"/>
    <w:rsid w:val="2D1FC4D4"/>
    <w:rsid w:val="2D315F32"/>
    <w:rsid w:val="2D5CBA6B"/>
    <w:rsid w:val="2D878009"/>
    <w:rsid w:val="2D8A1659"/>
    <w:rsid w:val="2D99005C"/>
    <w:rsid w:val="2DA480A3"/>
    <w:rsid w:val="2DC38EE0"/>
    <w:rsid w:val="2DCDC5D7"/>
    <w:rsid w:val="2DD0ECA6"/>
    <w:rsid w:val="2DD7B904"/>
    <w:rsid w:val="2DE5EFCE"/>
    <w:rsid w:val="2DEBDCDF"/>
    <w:rsid w:val="2DEF67DC"/>
    <w:rsid w:val="2E15E78B"/>
    <w:rsid w:val="2E1EF266"/>
    <w:rsid w:val="2E327C22"/>
    <w:rsid w:val="2E32BDD7"/>
    <w:rsid w:val="2E368EA2"/>
    <w:rsid w:val="2E3ACC01"/>
    <w:rsid w:val="2E3FDF3F"/>
    <w:rsid w:val="2E6220C6"/>
    <w:rsid w:val="2E75C9B3"/>
    <w:rsid w:val="2E75CDB8"/>
    <w:rsid w:val="2E88349D"/>
    <w:rsid w:val="2E8BF30A"/>
    <w:rsid w:val="2E9A2229"/>
    <w:rsid w:val="2EB866E4"/>
    <w:rsid w:val="2EC099FE"/>
    <w:rsid w:val="2ED0537F"/>
    <w:rsid w:val="2EE0CC0D"/>
    <w:rsid w:val="2EE1C1B2"/>
    <w:rsid w:val="2EE3ADC5"/>
    <w:rsid w:val="2EE5A2CE"/>
    <w:rsid w:val="2EEFD39A"/>
    <w:rsid w:val="2EF2DCD5"/>
    <w:rsid w:val="2F2869E3"/>
    <w:rsid w:val="2F2951C1"/>
    <w:rsid w:val="2F2F806E"/>
    <w:rsid w:val="2F496200"/>
    <w:rsid w:val="2F5D8110"/>
    <w:rsid w:val="2F5E2BD7"/>
    <w:rsid w:val="2F724CE4"/>
    <w:rsid w:val="2F7EA870"/>
    <w:rsid w:val="2F8AB9BC"/>
    <w:rsid w:val="2F8CAC91"/>
    <w:rsid w:val="2F99316D"/>
    <w:rsid w:val="2FA425D7"/>
    <w:rsid w:val="2FAEBFFB"/>
    <w:rsid w:val="2FB5DEF3"/>
    <w:rsid w:val="2FBF6BA9"/>
    <w:rsid w:val="2FCA24C7"/>
    <w:rsid w:val="2FCF7783"/>
    <w:rsid w:val="2FDC8734"/>
    <w:rsid w:val="2FED43D0"/>
    <w:rsid w:val="30030C9E"/>
    <w:rsid w:val="3004B536"/>
    <w:rsid w:val="3007CBA7"/>
    <w:rsid w:val="300FCBAC"/>
    <w:rsid w:val="3035AB68"/>
    <w:rsid w:val="30377548"/>
    <w:rsid w:val="303B2B0F"/>
    <w:rsid w:val="3047C814"/>
    <w:rsid w:val="3048DC5A"/>
    <w:rsid w:val="30673A2E"/>
    <w:rsid w:val="306FFBB8"/>
    <w:rsid w:val="3085643A"/>
    <w:rsid w:val="309270C4"/>
    <w:rsid w:val="3093F988"/>
    <w:rsid w:val="30B5258A"/>
    <w:rsid w:val="30B67203"/>
    <w:rsid w:val="30D336C6"/>
    <w:rsid w:val="30DDB396"/>
    <w:rsid w:val="30E64082"/>
    <w:rsid w:val="30ED44F7"/>
    <w:rsid w:val="30F149F3"/>
    <w:rsid w:val="30F2EED5"/>
    <w:rsid w:val="30F77FA4"/>
    <w:rsid w:val="3102C8C2"/>
    <w:rsid w:val="3107F28A"/>
    <w:rsid w:val="313B9243"/>
    <w:rsid w:val="314682AC"/>
    <w:rsid w:val="31494A99"/>
    <w:rsid w:val="315184C7"/>
    <w:rsid w:val="316C50AC"/>
    <w:rsid w:val="31A4BA56"/>
    <w:rsid w:val="31A9D5C8"/>
    <w:rsid w:val="31BCDB71"/>
    <w:rsid w:val="31C80CBB"/>
    <w:rsid w:val="31C86315"/>
    <w:rsid w:val="31D2C7B5"/>
    <w:rsid w:val="31D4F59B"/>
    <w:rsid w:val="31EE4EC5"/>
    <w:rsid w:val="31F97495"/>
    <w:rsid w:val="32031918"/>
    <w:rsid w:val="32041226"/>
    <w:rsid w:val="3220B1CA"/>
    <w:rsid w:val="322FEAF6"/>
    <w:rsid w:val="323471FE"/>
    <w:rsid w:val="323E2B5E"/>
    <w:rsid w:val="3243D09E"/>
    <w:rsid w:val="324787B1"/>
    <w:rsid w:val="325D7E35"/>
    <w:rsid w:val="326EB656"/>
    <w:rsid w:val="328267E3"/>
    <w:rsid w:val="32916C09"/>
    <w:rsid w:val="329B3982"/>
    <w:rsid w:val="32A2E2BE"/>
    <w:rsid w:val="32AD0AC0"/>
    <w:rsid w:val="32C3209A"/>
    <w:rsid w:val="32D04BF4"/>
    <w:rsid w:val="32D7A338"/>
    <w:rsid w:val="32E25728"/>
    <w:rsid w:val="32E300D3"/>
    <w:rsid w:val="32E85B41"/>
    <w:rsid w:val="32F30814"/>
    <w:rsid w:val="3314A9E9"/>
    <w:rsid w:val="332AEA26"/>
    <w:rsid w:val="3334B687"/>
    <w:rsid w:val="33472705"/>
    <w:rsid w:val="3348193E"/>
    <w:rsid w:val="334E491B"/>
    <w:rsid w:val="334E6606"/>
    <w:rsid w:val="3372746D"/>
    <w:rsid w:val="3375B26C"/>
    <w:rsid w:val="33768B07"/>
    <w:rsid w:val="33943932"/>
    <w:rsid w:val="339B27F0"/>
    <w:rsid w:val="33A93F9A"/>
    <w:rsid w:val="33AEBABE"/>
    <w:rsid w:val="33CC8B4F"/>
    <w:rsid w:val="33DD9B1E"/>
    <w:rsid w:val="33DDA07E"/>
    <w:rsid w:val="340DADD7"/>
    <w:rsid w:val="341A8F26"/>
    <w:rsid w:val="341DEE57"/>
    <w:rsid w:val="34701BD5"/>
    <w:rsid w:val="347DF1CD"/>
    <w:rsid w:val="34844D32"/>
    <w:rsid w:val="349A8B8B"/>
    <w:rsid w:val="349D0578"/>
    <w:rsid w:val="34A8E4D4"/>
    <w:rsid w:val="34B42260"/>
    <w:rsid w:val="34DC2DC3"/>
    <w:rsid w:val="34E44B0D"/>
    <w:rsid w:val="34F1248D"/>
    <w:rsid w:val="34FA3F22"/>
    <w:rsid w:val="3526ACD2"/>
    <w:rsid w:val="352833E6"/>
    <w:rsid w:val="35346D07"/>
    <w:rsid w:val="356985A5"/>
    <w:rsid w:val="357663CF"/>
    <w:rsid w:val="358EA876"/>
    <w:rsid w:val="3590617D"/>
    <w:rsid w:val="3591D61D"/>
    <w:rsid w:val="359EAC82"/>
    <w:rsid w:val="35A1F937"/>
    <w:rsid w:val="35A95C55"/>
    <w:rsid w:val="35A9ED0B"/>
    <w:rsid w:val="35AB9E11"/>
    <w:rsid w:val="35C49356"/>
    <w:rsid w:val="35D31D85"/>
    <w:rsid w:val="35E2F75D"/>
    <w:rsid w:val="35EA8DE0"/>
    <w:rsid w:val="35F68AC2"/>
    <w:rsid w:val="360A6211"/>
    <w:rsid w:val="361DBC94"/>
    <w:rsid w:val="3623D37B"/>
    <w:rsid w:val="36354837"/>
    <w:rsid w:val="3658520F"/>
    <w:rsid w:val="36680F7C"/>
    <w:rsid w:val="366826EB"/>
    <w:rsid w:val="368C0979"/>
    <w:rsid w:val="36BBF6B4"/>
    <w:rsid w:val="36CDF25C"/>
    <w:rsid w:val="36D15FBD"/>
    <w:rsid w:val="36E7730F"/>
    <w:rsid w:val="36E7907E"/>
    <w:rsid w:val="3709EDE0"/>
    <w:rsid w:val="3712DA59"/>
    <w:rsid w:val="3714598C"/>
    <w:rsid w:val="371E1580"/>
    <w:rsid w:val="37242447"/>
    <w:rsid w:val="3724F110"/>
    <w:rsid w:val="374BD60F"/>
    <w:rsid w:val="374D428B"/>
    <w:rsid w:val="374FF141"/>
    <w:rsid w:val="3780EE9B"/>
    <w:rsid w:val="3785557C"/>
    <w:rsid w:val="378CC85F"/>
    <w:rsid w:val="37A4C8E1"/>
    <w:rsid w:val="37A65C00"/>
    <w:rsid w:val="37C67CAF"/>
    <w:rsid w:val="37C92C99"/>
    <w:rsid w:val="37CB3F25"/>
    <w:rsid w:val="37CC0315"/>
    <w:rsid w:val="37D8F42C"/>
    <w:rsid w:val="3819281B"/>
    <w:rsid w:val="383194AF"/>
    <w:rsid w:val="3842FA46"/>
    <w:rsid w:val="3856FB76"/>
    <w:rsid w:val="385C256A"/>
    <w:rsid w:val="385D7E9E"/>
    <w:rsid w:val="385FC381"/>
    <w:rsid w:val="38654D1A"/>
    <w:rsid w:val="38682617"/>
    <w:rsid w:val="38756151"/>
    <w:rsid w:val="3898633F"/>
    <w:rsid w:val="38A6EB40"/>
    <w:rsid w:val="38A978D9"/>
    <w:rsid w:val="38A9E591"/>
    <w:rsid w:val="38C9C38E"/>
    <w:rsid w:val="38D59475"/>
    <w:rsid w:val="38E88ABB"/>
    <w:rsid w:val="38FAF3FC"/>
    <w:rsid w:val="391078F4"/>
    <w:rsid w:val="3963D6C8"/>
    <w:rsid w:val="396D89D2"/>
    <w:rsid w:val="397E19AC"/>
    <w:rsid w:val="398CFF79"/>
    <w:rsid w:val="398D5251"/>
    <w:rsid w:val="39A04F6E"/>
    <w:rsid w:val="39A3B153"/>
    <w:rsid w:val="39A7000A"/>
    <w:rsid w:val="39B37EF1"/>
    <w:rsid w:val="39BFFC47"/>
    <w:rsid w:val="39C448D1"/>
    <w:rsid w:val="39CCB70A"/>
    <w:rsid w:val="39D586AB"/>
    <w:rsid w:val="39F0CE01"/>
    <w:rsid w:val="3A002CAE"/>
    <w:rsid w:val="3A1DFB64"/>
    <w:rsid w:val="3A236E2D"/>
    <w:rsid w:val="3A2CAF0A"/>
    <w:rsid w:val="3A3E0968"/>
    <w:rsid w:val="3A43B4D0"/>
    <w:rsid w:val="3A5EA720"/>
    <w:rsid w:val="3A8B7D3C"/>
    <w:rsid w:val="3A8CDF39"/>
    <w:rsid w:val="3A90A949"/>
    <w:rsid w:val="3A90FA5C"/>
    <w:rsid w:val="3A957008"/>
    <w:rsid w:val="3A96FA4D"/>
    <w:rsid w:val="3A997AF5"/>
    <w:rsid w:val="3A99FE03"/>
    <w:rsid w:val="3AAB31EE"/>
    <w:rsid w:val="3AC4408B"/>
    <w:rsid w:val="3AC7D74B"/>
    <w:rsid w:val="3ACE9BC2"/>
    <w:rsid w:val="3AF49FF2"/>
    <w:rsid w:val="3B0206E3"/>
    <w:rsid w:val="3B0BDF77"/>
    <w:rsid w:val="3B1EC5AE"/>
    <w:rsid w:val="3B1EEB51"/>
    <w:rsid w:val="3B21A89B"/>
    <w:rsid w:val="3B2E18F9"/>
    <w:rsid w:val="3B39C3BF"/>
    <w:rsid w:val="3B6CD41C"/>
    <w:rsid w:val="3B8B0B6A"/>
    <w:rsid w:val="3B951191"/>
    <w:rsid w:val="3BBC656B"/>
    <w:rsid w:val="3BE66383"/>
    <w:rsid w:val="3BEA0CC0"/>
    <w:rsid w:val="3BEA742D"/>
    <w:rsid w:val="3BF53F0B"/>
    <w:rsid w:val="3BF6F811"/>
    <w:rsid w:val="3C002066"/>
    <w:rsid w:val="3C03A770"/>
    <w:rsid w:val="3C08E169"/>
    <w:rsid w:val="3C1B4C8B"/>
    <w:rsid w:val="3C25F847"/>
    <w:rsid w:val="3C6393EA"/>
    <w:rsid w:val="3C66CC72"/>
    <w:rsid w:val="3C7FB7A4"/>
    <w:rsid w:val="3C8F41D2"/>
    <w:rsid w:val="3CB94B05"/>
    <w:rsid w:val="3CBDF996"/>
    <w:rsid w:val="3CC1B2BD"/>
    <w:rsid w:val="3CC1DA56"/>
    <w:rsid w:val="3CD8423E"/>
    <w:rsid w:val="3CE3F3F0"/>
    <w:rsid w:val="3CEE9F88"/>
    <w:rsid w:val="3D134F52"/>
    <w:rsid w:val="3D17A5B1"/>
    <w:rsid w:val="3D1C4485"/>
    <w:rsid w:val="3D20D105"/>
    <w:rsid w:val="3D3F5027"/>
    <w:rsid w:val="3D459DB8"/>
    <w:rsid w:val="3D4CD1B0"/>
    <w:rsid w:val="3D4F1B29"/>
    <w:rsid w:val="3D52F2DE"/>
    <w:rsid w:val="3D54A700"/>
    <w:rsid w:val="3D557166"/>
    <w:rsid w:val="3D615666"/>
    <w:rsid w:val="3D67AEA7"/>
    <w:rsid w:val="3D6C6F23"/>
    <w:rsid w:val="3D71D9C5"/>
    <w:rsid w:val="3D81597E"/>
    <w:rsid w:val="3D89467B"/>
    <w:rsid w:val="3D8F06CE"/>
    <w:rsid w:val="3D98500D"/>
    <w:rsid w:val="3DA3041E"/>
    <w:rsid w:val="3DADBB13"/>
    <w:rsid w:val="3DBF2755"/>
    <w:rsid w:val="3DC22BE4"/>
    <w:rsid w:val="3DC59804"/>
    <w:rsid w:val="3DD28E42"/>
    <w:rsid w:val="3DE2717D"/>
    <w:rsid w:val="3E0C4444"/>
    <w:rsid w:val="3E286B25"/>
    <w:rsid w:val="3E2E118A"/>
    <w:rsid w:val="3E4B77CC"/>
    <w:rsid w:val="3E4E013D"/>
    <w:rsid w:val="3E54CB7E"/>
    <w:rsid w:val="3E5E346A"/>
    <w:rsid w:val="3E611461"/>
    <w:rsid w:val="3E613D2C"/>
    <w:rsid w:val="3E7C0869"/>
    <w:rsid w:val="3E7CBC71"/>
    <w:rsid w:val="3E81ADCD"/>
    <w:rsid w:val="3E882061"/>
    <w:rsid w:val="3E9AB802"/>
    <w:rsid w:val="3EB4E307"/>
    <w:rsid w:val="3EC3ACC6"/>
    <w:rsid w:val="3EC7EB50"/>
    <w:rsid w:val="3EC95913"/>
    <w:rsid w:val="3ECC0576"/>
    <w:rsid w:val="3ECE83D9"/>
    <w:rsid w:val="3ED1D729"/>
    <w:rsid w:val="3ED955CC"/>
    <w:rsid w:val="3EDCE4C4"/>
    <w:rsid w:val="3EE1CDC0"/>
    <w:rsid w:val="3EEE1437"/>
    <w:rsid w:val="3EF1DCFE"/>
    <w:rsid w:val="3EF1F8A2"/>
    <w:rsid w:val="3EF72E18"/>
    <w:rsid w:val="3F1136FC"/>
    <w:rsid w:val="3F22714F"/>
    <w:rsid w:val="3F2F97A4"/>
    <w:rsid w:val="3F3E90C8"/>
    <w:rsid w:val="3F44E571"/>
    <w:rsid w:val="3F596E31"/>
    <w:rsid w:val="3F6299EF"/>
    <w:rsid w:val="3F63CFBD"/>
    <w:rsid w:val="3F861AB6"/>
    <w:rsid w:val="3F99E598"/>
    <w:rsid w:val="3FAB72BF"/>
    <w:rsid w:val="3FB590D0"/>
    <w:rsid w:val="3FC65C36"/>
    <w:rsid w:val="3FCE9042"/>
    <w:rsid w:val="3FD45821"/>
    <w:rsid w:val="3FE18DF2"/>
    <w:rsid w:val="3FEACE37"/>
    <w:rsid w:val="3FF96400"/>
    <w:rsid w:val="3FFB6827"/>
    <w:rsid w:val="4043D97C"/>
    <w:rsid w:val="40516DDD"/>
    <w:rsid w:val="4054FB1E"/>
    <w:rsid w:val="405EF129"/>
    <w:rsid w:val="4064A18B"/>
    <w:rsid w:val="406733D5"/>
    <w:rsid w:val="4079B675"/>
    <w:rsid w:val="40842EC6"/>
    <w:rsid w:val="40A72CDD"/>
    <w:rsid w:val="40CB9A6E"/>
    <w:rsid w:val="40D5074A"/>
    <w:rsid w:val="40D735D5"/>
    <w:rsid w:val="40EB5998"/>
    <w:rsid w:val="410C98A4"/>
    <w:rsid w:val="412118CB"/>
    <w:rsid w:val="412F3478"/>
    <w:rsid w:val="4147C2EC"/>
    <w:rsid w:val="414DF775"/>
    <w:rsid w:val="416D2B8C"/>
    <w:rsid w:val="417E02B0"/>
    <w:rsid w:val="419AFA9E"/>
    <w:rsid w:val="419D8699"/>
    <w:rsid w:val="41A2E3F5"/>
    <w:rsid w:val="41FB1F40"/>
    <w:rsid w:val="42132BE0"/>
    <w:rsid w:val="4216F91A"/>
    <w:rsid w:val="42177356"/>
    <w:rsid w:val="4222BA3E"/>
    <w:rsid w:val="423B17AB"/>
    <w:rsid w:val="42411ECC"/>
    <w:rsid w:val="42425A79"/>
    <w:rsid w:val="4243B65C"/>
    <w:rsid w:val="4249A480"/>
    <w:rsid w:val="424CEC61"/>
    <w:rsid w:val="424E4BB9"/>
    <w:rsid w:val="426F01D2"/>
    <w:rsid w:val="4272E9E4"/>
    <w:rsid w:val="4278BB44"/>
    <w:rsid w:val="42A0005D"/>
    <w:rsid w:val="42AA379F"/>
    <w:rsid w:val="42C95EE0"/>
    <w:rsid w:val="42E5A018"/>
    <w:rsid w:val="42E810ED"/>
    <w:rsid w:val="42EC1201"/>
    <w:rsid w:val="42FE1A1C"/>
    <w:rsid w:val="43164884"/>
    <w:rsid w:val="433AE2BB"/>
    <w:rsid w:val="43538085"/>
    <w:rsid w:val="4355F1D5"/>
    <w:rsid w:val="4360F099"/>
    <w:rsid w:val="4363A9E4"/>
    <w:rsid w:val="437E541E"/>
    <w:rsid w:val="4394CDCC"/>
    <w:rsid w:val="439D49AF"/>
    <w:rsid w:val="43BE9301"/>
    <w:rsid w:val="43C5A77E"/>
    <w:rsid w:val="43D9583D"/>
    <w:rsid w:val="43E3A185"/>
    <w:rsid w:val="43E4428B"/>
    <w:rsid w:val="43F67C1C"/>
    <w:rsid w:val="44025ECD"/>
    <w:rsid w:val="44089BDB"/>
    <w:rsid w:val="4431A033"/>
    <w:rsid w:val="443462AB"/>
    <w:rsid w:val="443B8AD9"/>
    <w:rsid w:val="44511335"/>
    <w:rsid w:val="4456DB2B"/>
    <w:rsid w:val="44593651"/>
    <w:rsid w:val="44630975"/>
    <w:rsid w:val="4467F46F"/>
    <w:rsid w:val="44833D81"/>
    <w:rsid w:val="448A1B0F"/>
    <w:rsid w:val="448CBB2A"/>
    <w:rsid w:val="44A446AF"/>
    <w:rsid w:val="44AA6231"/>
    <w:rsid w:val="44B96274"/>
    <w:rsid w:val="44DA169B"/>
    <w:rsid w:val="44ED2695"/>
    <w:rsid w:val="45022258"/>
    <w:rsid w:val="45047A8B"/>
    <w:rsid w:val="45366242"/>
    <w:rsid w:val="453969C6"/>
    <w:rsid w:val="4545ED02"/>
    <w:rsid w:val="4547C3ED"/>
    <w:rsid w:val="454C9109"/>
    <w:rsid w:val="455FEB5F"/>
    <w:rsid w:val="4583CDFA"/>
    <w:rsid w:val="45B9703B"/>
    <w:rsid w:val="45BFA614"/>
    <w:rsid w:val="45C2A300"/>
    <w:rsid w:val="45CD33F7"/>
    <w:rsid w:val="45F00C90"/>
    <w:rsid w:val="46148DDA"/>
    <w:rsid w:val="4631D7DA"/>
    <w:rsid w:val="4639C453"/>
    <w:rsid w:val="46443509"/>
    <w:rsid w:val="4655EC87"/>
    <w:rsid w:val="466CCC3B"/>
    <w:rsid w:val="46776EB1"/>
    <w:rsid w:val="467AC14D"/>
    <w:rsid w:val="467D472A"/>
    <w:rsid w:val="468BE702"/>
    <w:rsid w:val="46933BE2"/>
    <w:rsid w:val="46946837"/>
    <w:rsid w:val="46985D52"/>
    <w:rsid w:val="469FA352"/>
    <w:rsid w:val="46B0AA5A"/>
    <w:rsid w:val="46B87F18"/>
    <w:rsid w:val="46C9BF1C"/>
    <w:rsid w:val="46CA1353"/>
    <w:rsid w:val="46D3C8E8"/>
    <w:rsid w:val="46D62B1E"/>
    <w:rsid w:val="46D958D9"/>
    <w:rsid w:val="46E8F524"/>
    <w:rsid w:val="46EBA9F7"/>
    <w:rsid w:val="471A77E2"/>
    <w:rsid w:val="4724F158"/>
    <w:rsid w:val="4725088A"/>
    <w:rsid w:val="472F2899"/>
    <w:rsid w:val="4733BC84"/>
    <w:rsid w:val="475C3FA3"/>
    <w:rsid w:val="475C60A6"/>
    <w:rsid w:val="47623B02"/>
    <w:rsid w:val="4764D355"/>
    <w:rsid w:val="476B3E09"/>
    <w:rsid w:val="4770FC7E"/>
    <w:rsid w:val="4796745C"/>
    <w:rsid w:val="47A3FAFB"/>
    <w:rsid w:val="47A67D33"/>
    <w:rsid w:val="47C3782F"/>
    <w:rsid w:val="47DEDF4C"/>
    <w:rsid w:val="47E5BAF2"/>
    <w:rsid w:val="47F0C582"/>
    <w:rsid w:val="4819A494"/>
    <w:rsid w:val="4825418D"/>
    <w:rsid w:val="483BF6A8"/>
    <w:rsid w:val="483F24B8"/>
    <w:rsid w:val="484F73AB"/>
    <w:rsid w:val="4851BD6E"/>
    <w:rsid w:val="48686B76"/>
    <w:rsid w:val="486CDB37"/>
    <w:rsid w:val="488876AF"/>
    <w:rsid w:val="489FE4DA"/>
    <w:rsid w:val="48A4438F"/>
    <w:rsid w:val="48AB049A"/>
    <w:rsid w:val="48BA9532"/>
    <w:rsid w:val="48C659A4"/>
    <w:rsid w:val="48C93E9A"/>
    <w:rsid w:val="48CC0E86"/>
    <w:rsid w:val="48D07CDB"/>
    <w:rsid w:val="48D3001D"/>
    <w:rsid w:val="48E5653F"/>
    <w:rsid w:val="48E7B52C"/>
    <w:rsid w:val="48E7DFA4"/>
    <w:rsid w:val="48FF2F5E"/>
    <w:rsid w:val="490ABDCE"/>
    <w:rsid w:val="49155586"/>
    <w:rsid w:val="492D13D1"/>
    <w:rsid w:val="4933C667"/>
    <w:rsid w:val="4947FB31"/>
    <w:rsid w:val="494E5179"/>
    <w:rsid w:val="4972D135"/>
    <w:rsid w:val="4995C0A4"/>
    <w:rsid w:val="49AB214F"/>
    <w:rsid w:val="49B07C2C"/>
    <w:rsid w:val="49B13578"/>
    <w:rsid w:val="49B192EB"/>
    <w:rsid w:val="49C18353"/>
    <w:rsid w:val="49EB310D"/>
    <w:rsid w:val="4A120201"/>
    <w:rsid w:val="4A2ED6C6"/>
    <w:rsid w:val="4A340101"/>
    <w:rsid w:val="4A647666"/>
    <w:rsid w:val="4A6CEA5E"/>
    <w:rsid w:val="4A74B53D"/>
    <w:rsid w:val="4A83D8CD"/>
    <w:rsid w:val="4A947667"/>
    <w:rsid w:val="4ABD6644"/>
    <w:rsid w:val="4AC01FD5"/>
    <w:rsid w:val="4ADC5E86"/>
    <w:rsid w:val="4B09D410"/>
    <w:rsid w:val="4B186687"/>
    <w:rsid w:val="4B28569E"/>
    <w:rsid w:val="4B3AF24A"/>
    <w:rsid w:val="4B506BD8"/>
    <w:rsid w:val="4B64EBD7"/>
    <w:rsid w:val="4B6E8804"/>
    <w:rsid w:val="4B729728"/>
    <w:rsid w:val="4B82D4C0"/>
    <w:rsid w:val="4B89EF7E"/>
    <w:rsid w:val="4B9464D4"/>
    <w:rsid w:val="4B963BC3"/>
    <w:rsid w:val="4BA785DC"/>
    <w:rsid w:val="4BAB9594"/>
    <w:rsid w:val="4BAC708F"/>
    <w:rsid w:val="4BCDEF4E"/>
    <w:rsid w:val="4BDE13D4"/>
    <w:rsid w:val="4BE5696D"/>
    <w:rsid w:val="4BE56E32"/>
    <w:rsid w:val="4BE8F22B"/>
    <w:rsid w:val="4BF01842"/>
    <w:rsid w:val="4BF0B600"/>
    <w:rsid w:val="4C0B4A7E"/>
    <w:rsid w:val="4C1E49E4"/>
    <w:rsid w:val="4C1E8B94"/>
    <w:rsid w:val="4C23E1FB"/>
    <w:rsid w:val="4C37FFE9"/>
    <w:rsid w:val="4C466C61"/>
    <w:rsid w:val="4C6D264E"/>
    <w:rsid w:val="4C73A2BB"/>
    <w:rsid w:val="4C79838B"/>
    <w:rsid w:val="4C808DE6"/>
    <w:rsid w:val="4C84A16A"/>
    <w:rsid w:val="4C85B91E"/>
    <w:rsid w:val="4C8BB535"/>
    <w:rsid w:val="4CA8262A"/>
    <w:rsid w:val="4CA8CB84"/>
    <w:rsid w:val="4CAADD64"/>
    <w:rsid w:val="4CB182BB"/>
    <w:rsid w:val="4CC79E4C"/>
    <w:rsid w:val="4CCB69A5"/>
    <w:rsid w:val="4CCD2F9E"/>
    <w:rsid w:val="4CD7EB6F"/>
    <w:rsid w:val="4CE07BB0"/>
    <w:rsid w:val="4CE3A2F6"/>
    <w:rsid w:val="4CF66081"/>
    <w:rsid w:val="4CFCE573"/>
    <w:rsid w:val="4CFDA049"/>
    <w:rsid w:val="4CFDE810"/>
    <w:rsid w:val="4D0E20E4"/>
    <w:rsid w:val="4D171D4D"/>
    <w:rsid w:val="4D190377"/>
    <w:rsid w:val="4D19A860"/>
    <w:rsid w:val="4D1B1AC8"/>
    <w:rsid w:val="4D2D1EDE"/>
    <w:rsid w:val="4D48AD68"/>
    <w:rsid w:val="4D53CC4C"/>
    <w:rsid w:val="4D5AA433"/>
    <w:rsid w:val="4D661CF2"/>
    <w:rsid w:val="4D69ADCB"/>
    <w:rsid w:val="4D84F1B4"/>
    <w:rsid w:val="4D882A27"/>
    <w:rsid w:val="4D94B10A"/>
    <w:rsid w:val="4D962021"/>
    <w:rsid w:val="4D9A3593"/>
    <w:rsid w:val="4D9AA77B"/>
    <w:rsid w:val="4DAB825E"/>
    <w:rsid w:val="4DB003A4"/>
    <w:rsid w:val="4DB4DBE8"/>
    <w:rsid w:val="4DC3E887"/>
    <w:rsid w:val="4DC64DC6"/>
    <w:rsid w:val="4DEDF61A"/>
    <w:rsid w:val="4DFE8FF0"/>
    <w:rsid w:val="4E0271B0"/>
    <w:rsid w:val="4E0D91E8"/>
    <w:rsid w:val="4E0DB3B3"/>
    <w:rsid w:val="4E107497"/>
    <w:rsid w:val="4E1AF42D"/>
    <w:rsid w:val="4E1C8D06"/>
    <w:rsid w:val="4E285EA0"/>
    <w:rsid w:val="4E2AEA56"/>
    <w:rsid w:val="4E72009F"/>
    <w:rsid w:val="4E78ADC9"/>
    <w:rsid w:val="4E83C170"/>
    <w:rsid w:val="4E86514F"/>
    <w:rsid w:val="4E8F75EF"/>
    <w:rsid w:val="4EA55EF0"/>
    <w:rsid w:val="4EA60C2E"/>
    <w:rsid w:val="4EC13362"/>
    <w:rsid w:val="4EC4D2E8"/>
    <w:rsid w:val="4EDC9CF9"/>
    <w:rsid w:val="4EDCAC49"/>
    <w:rsid w:val="4EE2E875"/>
    <w:rsid w:val="4EE78A1E"/>
    <w:rsid w:val="4EFEA42E"/>
    <w:rsid w:val="4EFF7119"/>
    <w:rsid w:val="4F04C386"/>
    <w:rsid w:val="4F04FBA5"/>
    <w:rsid w:val="4F0646B7"/>
    <w:rsid w:val="4F0AF05E"/>
    <w:rsid w:val="4F104C28"/>
    <w:rsid w:val="4F1658EB"/>
    <w:rsid w:val="4F1C5B3A"/>
    <w:rsid w:val="4F201F4F"/>
    <w:rsid w:val="4F2591A4"/>
    <w:rsid w:val="4F279B78"/>
    <w:rsid w:val="4F3B14B3"/>
    <w:rsid w:val="4F494D57"/>
    <w:rsid w:val="4F4C608A"/>
    <w:rsid w:val="4F65CD72"/>
    <w:rsid w:val="4F9D010C"/>
    <w:rsid w:val="4FC2B98A"/>
    <w:rsid w:val="4FDCDFEA"/>
    <w:rsid w:val="4FEF4931"/>
    <w:rsid w:val="4FF13D73"/>
    <w:rsid w:val="4FF26F9F"/>
    <w:rsid w:val="4FF8F8CF"/>
    <w:rsid w:val="4FFF8332"/>
    <w:rsid w:val="5005CE58"/>
    <w:rsid w:val="5007C31A"/>
    <w:rsid w:val="5009B1BF"/>
    <w:rsid w:val="5014890D"/>
    <w:rsid w:val="501BD3D9"/>
    <w:rsid w:val="501BFBDD"/>
    <w:rsid w:val="5035AF2E"/>
    <w:rsid w:val="504A5DBB"/>
    <w:rsid w:val="504BD412"/>
    <w:rsid w:val="505F4285"/>
    <w:rsid w:val="5062A023"/>
    <w:rsid w:val="50810270"/>
    <w:rsid w:val="5096583C"/>
    <w:rsid w:val="50BEF4E6"/>
    <w:rsid w:val="50CC3736"/>
    <w:rsid w:val="50D5906E"/>
    <w:rsid w:val="50E461BE"/>
    <w:rsid w:val="50EF680E"/>
    <w:rsid w:val="50FB3630"/>
    <w:rsid w:val="5106C1D3"/>
    <w:rsid w:val="51149866"/>
    <w:rsid w:val="5143B409"/>
    <w:rsid w:val="5152B601"/>
    <w:rsid w:val="515E0E75"/>
    <w:rsid w:val="515FFF38"/>
    <w:rsid w:val="51651053"/>
    <w:rsid w:val="516958BA"/>
    <w:rsid w:val="516C7878"/>
    <w:rsid w:val="5176CD64"/>
    <w:rsid w:val="5194C202"/>
    <w:rsid w:val="51ABB1ED"/>
    <w:rsid w:val="51EA9F32"/>
    <w:rsid w:val="51F173DC"/>
    <w:rsid w:val="52010F19"/>
    <w:rsid w:val="5207EC09"/>
    <w:rsid w:val="5208AE84"/>
    <w:rsid w:val="5216275A"/>
    <w:rsid w:val="521700A8"/>
    <w:rsid w:val="52204EF4"/>
    <w:rsid w:val="52221D15"/>
    <w:rsid w:val="522EDDE3"/>
    <w:rsid w:val="523940F0"/>
    <w:rsid w:val="5252AB9F"/>
    <w:rsid w:val="526BE053"/>
    <w:rsid w:val="52705845"/>
    <w:rsid w:val="5281ECDC"/>
    <w:rsid w:val="52A8B8C3"/>
    <w:rsid w:val="52AC6668"/>
    <w:rsid w:val="52AF7772"/>
    <w:rsid w:val="52C681BE"/>
    <w:rsid w:val="52FCAB63"/>
    <w:rsid w:val="52FF2620"/>
    <w:rsid w:val="531751BA"/>
    <w:rsid w:val="531BD7AF"/>
    <w:rsid w:val="5334D2B1"/>
    <w:rsid w:val="53387A4B"/>
    <w:rsid w:val="5346AC2B"/>
    <w:rsid w:val="537AF038"/>
    <w:rsid w:val="5389B2CD"/>
    <w:rsid w:val="53A03CDA"/>
    <w:rsid w:val="53C0B811"/>
    <w:rsid w:val="53C51825"/>
    <w:rsid w:val="53CE674E"/>
    <w:rsid w:val="53DC3E2B"/>
    <w:rsid w:val="53FBCA41"/>
    <w:rsid w:val="540D9FD0"/>
    <w:rsid w:val="541B3107"/>
    <w:rsid w:val="542C00FF"/>
    <w:rsid w:val="54368ACF"/>
    <w:rsid w:val="5444C309"/>
    <w:rsid w:val="5445BDDE"/>
    <w:rsid w:val="544AD84E"/>
    <w:rsid w:val="544EFBA3"/>
    <w:rsid w:val="54642FC6"/>
    <w:rsid w:val="54674320"/>
    <w:rsid w:val="5477F9F6"/>
    <w:rsid w:val="548A95E5"/>
    <w:rsid w:val="54A4B9D5"/>
    <w:rsid w:val="54A82C8F"/>
    <w:rsid w:val="54AD4587"/>
    <w:rsid w:val="54BBEED4"/>
    <w:rsid w:val="54BC6F16"/>
    <w:rsid w:val="54BD2C25"/>
    <w:rsid w:val="54BF821F"/>
    <w:rsid w:val="54C461BF"/>
    <w:rsid w:val="54CDF3DB"/>
    <w:rsid w:val="54EFA64D"/>
    <w:rsid w:val="551667DE"/>
    <w:rsid w:val="55169F7A"/>
    <w:rsid w:val="553335B3"/>
    <w:rsid w:val="555F6EA5"/>
    <w:rsid w:val="5565C082"/>
    <w:rsid w:val="55682347"/>
    <w:rsid w:val="558B582F"/>
    <w:rsid w:val="55A10348"/>
    <w:rsid w:val="55A745DD"/>
    <w:rsid w:val="55ABDE7C"/>
    <w:rsid w:val="55AFE9DD"/>
    <w:rsid w:val="55C2AD2B"/>
    <w:rsid w:val="55C2F8BE"/>
    <w:rsid w:val="55C8D500"/>
    <w:rsid w:val="55CCF087"/>
    <w:rsid w:val="56007D9D"/>
    <w:rsid w:val="5638326C"/>
    <w:rsid w:val="5639E8D9"/>
    <w:rsid w:val="563DA760"/>
    <w:rsid w:val="564CF115"/>
    <w:rsid w:val="566822BE"/>
    <w:rsid w:val="5685DD2D"/>
    <w:rsid w:val="56865C97"/>
    <w:rsid w:val="568DC2CA"/>
    <w:rsid w:val="56A073E7"/>
    <w:rsid w:val="56ACBFF6"/>
    <w:rsid w:val="56B7A9E2"/>
    <w:rsid w:val="56CA707B"/>
    <w:rsid w:val="56CC787B"/>
    <w:rsid w:val="56E3750E"/>
    <w:rsid w:val="56F13230"/>
    <w:rsid w:val="56F88B4E"/>
    <w:rsid w:val="5723427D"/>
    <w:rsid w:val="5728C49E"/>
    <w:rsid w:val="57335A00"/>
    <w:rsid w:val="57599A67"/>
    <w:rsid w:val="5761498E"/>
    <w:rsid w:val="576B2466"/>
    <w:rsid w:val="577371FB"/>
    <w:rsid w:val="5782D34A"/>
    <w:rsid w:val="578C194A"/>
    <w:rsid w:val="578CB46D"/>
    <w:rsid w:val="57A136CB"/>
    <w:rsid w:val="57A573DD"/>
    <w:rsid w:val="57CD81F2"/>
    <w:rsid w:val="57E7831F"/>
    <w:rsid w:val="57F89D65"/>
    <w:rsid w:val="5807BA86"/>
    <w:rsid w:val="58081077"/>
    <w:rsid w:val="580B1A43"/>
    <w:rsid w:val="580D409D"/>
    <w:rsid w:val="580D9754"/>
    <w:rsid w:val="5814289E"/>
    <w:rsid w:val="5817213C"/>
    <w:rsid w:val="58266A14"/>
    <w:rsid w:val="58349BA3"/>
    <w:rsid w:val="5841D755"/>
    <w:rsid w:val="58488029"/>
    <w:rsid w:val="584A6666"/>
    <w:rsid w:val="58605D72"/>
    <w:rsid w:val="58610592"/>
    <w:rsid w:val="5873D992"/>
    <w:rsid w:val="58818CCC"/>
    <w:rsid w:val="58827F9D"/>
    <w:rsid w:val="58874543"/>
    <w:rsid w:val="58938D59"/>
    <w:rsid w:val="58D2889B"/>
    <w:rsid w:val="58D5D430"/>
    <w:rsid w:val="58F3D1E4"/>
    <w:rsid w:val="590323FE"/>
    <w:rsid w:val="59055E07"/>
    <w:rsid w:val="5915A350"/>
    <w:rsid w:val="59181CBC"/>
    <w:rsid w:val="591960F3"/>
    <w:rsid w:val="592DF739"/>
    <w:rsid w:val="5949E40A"/>
    <w:rsid w:val="59581171"/>
    <w:rsid w:val="5961A9EE"/>
    <w:rsid w:val="59640958"/>
    <w:rsid w:val="5967BB4A"/>
    <w:rsid w:val="59717D0C"/>
    <w:rsid w:val="59762444"/>
    <w:rsid w:val="597ADB8E"/>
    <w:rsid w:val="5982E97C"/>
    <w:rsid w:val="5991F441"/>
    <w:rsid w:val="5997DF46"/>
    <w:rsid w:val="599FF6E6"/>
    <w:rsid w:val="59A2985C"/>
    <w:rsid w:val="59AC9B8D"/>
    <w:rsid w:val="59B33F84"/>
    <w:rsid w:val="59B46B16"/>
    <w:rsid w:val="59B95210"/>
    <w:rsid w:val="59B9F80A"/>
    <w:rsid w:val="59D8182E"/>
    <w:rsid w:val="59EA3B92"/>
    <w:rsid w:val="59EE7A2B"/>
    <w:rsid w:val="59EEEE9E"/>
    <w:rsid w:val="59F63A21"/>
    <w:rsid w:val="5A1F8DA4"/>
    <w:rsid w:val="5A29D39E"/>
    <w:rsid w:val="5A3538C8"/>
    <w:rsid w:val="5A42005E"/>
    <w:rsid w:val="5A4E5FE3"/>
    <w:rsid w:val="5A6B2E70"/>
    <w:rsid w:val="5A9BF55B"/>
    <w:rsid w:val="5AAEF1E7"/>
    <w:rsid w:val="5AB0237F"/>
    <w:rsid w:val="5AB20B40"/>
    <w:rsid w:val="5ABE2687"/>
    <w:rsid w:val="5AC261E0"/>
    <w:rsid w:val="5AC5587D"/>
    <w:rsid w:val="5AC9CC2C"/>
    <w:rsid w:val="5AD9E089"/>
    <w:rsid w:val="5AE81487"/>
    <w:rsid w:val="5AF18FBB"/>
    <w:rsid w:val="5AFAAB3E"/>
    <w:rsid w:val="5B153238"/>
    <w:rsid w:val="5B2BE753"/>
    <w:rsid w:val="5B601BB6"/>
    <w:rsid w:val="5B60B105"/>
    <w:rsid w:val="5B6D84AF"/>
    <w:rsid w:val="5B6F1A35"/>
    <w:rsid w:val="5B9959D9"/>
    <w:rsid w:val="5B9A0166"/>
    <w:rsid w:val="5B9F1D1A"/>
    <w:rsid w:val="5BAA72A8"/>
    <w:rsid w:val="5BAF9584"/>
    <w:rsid w:val="5BC3A717"/>
    <w:rsid w:val="5BE860D9"/>
    <w:rsid w:val="5BF41573"/>
    <w:rsid w:val="5C24CE5E"/>
    <w:rsid w:val="5C56D885"/>
    <w:rsid w:val="5C6483B4"/>
    <w:rsid w:val="5C79E25E"/>
    <w:rsid w:val="5C7C626C"/>
    <w:rsid w:val="5C9B099F"/>
    <w:rsid w:val="5CA28520"/>
    <w:rsid w:val="5CCCB7D7"/>
    <w:rsid w:val="5CCD204E"/>
    <w:rsid w:val="5CD34BB7"/>
    <w:rsid w:val="5CE2EAC4"/>
    <w:rsid w:val="5CE3B159"/>
    <w:rsid w:val="5CEA3757"/>
    <w:rsid w:val="5CF44E0D"/>
    <w:rsid w:val="5CF805C1"/>
    <w:rsid w:val="5CFCD8D4"/>
    <w:rsid w:val="5CFD8560"/>
    <w:rsid w:val="5D025D27"/>
    <w:rsid w:val="5D06FAF6"/>
    <w:rsid w:val="5D1D58F8"/>
    <w:rsid w:val="5D239380"/>
    <w:rsid w:val="5D334EFE"/>
    <w:rsid w:val="5D3A3596"/>
    <w:rsid w:val="5D53BE8B"/>
    <w:rsid w:val="5D54E5B0"/>
    <w:rsid w:val="5D5EE17E"/>
    <w:rsid w:val="5D675AD3"/>
    <w:rsid w:val="5D707659"/>
    <w:rsid w:val="5D7223C6"/>
    <w:rsid w:val="5D7B74DA"/>
    <w:rsid w:val="5DA71C18"/>
    <w:rsid w:val="5DAB913B"/>
    <w:rsid w:val="5DB75AFF"/>
    <w:rsid w:val="5DD093F7"/>
    <w:rsid w:val="5DE45DFE"/>
    <w:rsid w:val="5DE5F277"/>
    <w:rsid w:val="5DEB68B4"/>
    <w:rsid w:val="5DF32678"/>
    <w:rsid w:val="5E2105FB"/>
    <w:rsid w:val="5E231A06"/>
    <w:rsid w:val="5E2A9FFD"/>
    <w:rsid w:val="5E3D086B"/>
    <w:rsid w:val="5E480A7E"/>
    <w:rsid w:val="5E535A73"/>
    <w:rsid w:val="5E5870FE"/>
    <w:rsid w:val="5E5CC142"/>
    <w:rsid w:val="5E77C45C"/>
    <w:rsid w:val="5E8195A6"/>
    <w:rsid w:val="5E90C658"/>
    <w:rsid w:val="5E92CD66"/>
    <w:rsid w:val="5E9C2BD6"/>
    <w:rsid w:val="5EAC8287"/>
    <w:rsid w:val="5EAEF842"/>
    <w:rsid w:val="5EB5453E"/>
    <w:rsid w:val="5EB7EC4F"/>
    <w:rsid w:val="5ED23C70"/>
    <w:rsid w:val="5ED2B83F"/>
    <w:rsid w:val="5F08FC18"/>
    <w:rsid w:val="5F15AA35"/>
    <w:rsid w:val="5F16B8E8"/>
    <w:rsid w:val="5F1B6BF5"/>
    <w:rsid w:val="5F1CD940"/>
    <w:rsid w:val="5F23C281"/>
    <w:rsid w:val="5F29618B"/>
    <w:rsid w:val="5F3086A4"/>
    <w:rsid w:val="5F4AB794"/>
    <w:rsid w:val="5F52A5AD"/>
    <w:rsid w:val="5F54C980"/>
    <w:rsid w:val="5F5C405A"/>
    <w:rsid w:val="5F691D2F"/>
    <w:rsid w:val="5F6C3B8E"/>
    <w:rsid w:val="5F6C7C4D"/>
    <w:rsid w:val="5F6E3966"/>
    <w:rsid w:val="5F736537"/>
    <w:rsid w:val="5F7650F7"/>
    <w:rsid w:val="5F7B3F98"/>
    <w:rsid w:val="5F82E2A1"/>
    <w:rsid w:val="5F8B74F7"/>
    <w:rsid w:val="5F90E4A9"/>
    <w:rsid w:val="5FA92543"/>
    <w:rsid w:val="5FB2970A"/>
    <w:rsid w:val="5FB5F76C"/>
    <w:rsid w:val="5FC17F72"/>
    <w:rsid w:val="5FCA9D3F"/>
    <w:rsid w:val="5FD49200"/>
    <w:rsid w:val="5FDBF7A3"/>
    <w:rsid w:val="5FDFB0DF"/>
    <w:rsid w:val="5FF2C52A"/>
    <w:rsid w:val="5FF64303"/>
    <w:rsid w:val="5FF7BD7B"/>
    <w:rsid w:val="5FFBCED0"/>
    <w:rsid w:val="6010841D"/>
    <w:rsid w:val="60203912"/>
    <w:rsid w:val="605A9681"/>
    <w:rsid w:val="60636C97"/>
    <w:rsid w:val="607181B9"/>
    <w:rsid w:val="6079EB65"/>
    <w:rsid w:val="6083478F"/>
    <w:rsid w:val="60849983"/>
    <w:rsid w:val="609263F3"/>
    <w:rsid w:val="609AAE3A"/>
    <w:rsid w:val="60A2DA9B"/>
    <w:rsid w:val="60A3B8E0"/>
    <w:rsid w:val="60CCA85E"/>
    <w:rsid w:val="60D97510"/>
    <w:rsid w:val="60DC6EF2"/>
    <w:rsid w:val="60EACDB8"/>
    <w:rsid w:val="60FED761"/>
    <w:rsid w:val="6106D38D"/>
    <w:rsid w:val="61115900"/>
    <w:rsid w:val="6118D792"/>
    <w:rsid w:val="612D2EC2"/>
    <w:rsid w:val="612E5DA6"/>
    <w:rsid w:val="61386B50"/>
    <w:rsid w:val="613CD055"/>
    <w:rsid w:val="6155CDAD"/>
    <w:rsid w:val="618DC26E"/>
    <w:rsid w:val="618E888B"/>
    <w:rsid w:val="61906DF5"/>
    <w:rsid w:val="61980D6E"/>
    <w:rsid w:val="61A1BECB"/>
    <w:rsid w:val="61AC2796"/>
    <w:rsid w:val="61CBD6E6"/>
    <w:rsid w:val="61D92DCF"/>
    <w:rsid w:val="61DEF54C"/>
    <w:rsid w:val="61F7E03A"/>
    <w:rsid w:val="61FC21E6"/>
    <w:rsid w:val="620D65A1"/>
    <w:rsid w:val="622BA04E"/>
    <w:rsid w:val="624C6EFC"/>
    <w:rsid w:val="625A98EE"/>
    <w:rsid w:val="6264F37B"/>
    <w:rsid w:val="62690963"/>
    <w:rsid w:val="626FB830"/>
    <w:rsid w:val="62781FCB"/>
    <w:rsid w:val="62A57901"/>
    <w:rsid w:val="62B5432D"/>
    <w:rsid w:val="62CAC727"/>
    <w:rsid w:val="62F37884"/>
    <w:rsid w:val="62F9BF4F"/>
    <w:rsid w:val="6305E7A3"/>
    <w:rsid w:val="6361CDE5"/>
    <w:rsid w:val="6368CB79"/>
    <w:rsid w:val="637DFF44"/>
    <w:rsid w:val="63810170"/>
    <w:rsid w:val="6381163A"/>
    <w:rsid w:val="6381B335"/>
    <w:rsid w:val="6386615C"/>
    <w:rsid w:val="638F5A52"/>
    <w:rsid w:val="63907AD7"/>
    <w:rsid w:val="63AA610A"/>
    <w:rsid w:val="63B38322"/>
    <w:rsid w:val="63C0EC5A"/>
    <w:rsid w:val="63F266CD"/>
    <w:rsid w:val="63F27AAF"/>
    <w:rsid w:val="64049C38"/>
    <w:rsid w:val="640F6DA8"/>
    <w:rsid w:val="641B04C9"/>
    <w:rsid w:val="642D94A0"/>
    <w:rsid w:val="64379CE2"/>
    <w:rsid w:val="643F7652"/>
    <w:rsid w:val="644387CA"/>
    <w:rsid w:val="64466EAB"/>
    <w:rsid w:val="6455E3BF"/>
    <w:rsid w:val="6464F91A"/>
    <w:rsid w:val="6474E813"/>
    <w:rsid w:val="6477829D"/>
    <w:rsid w:val="6478B7F6"/>
    <w:rsid w:val="647C76C5"/>
    <w:rsid w:val="64A17D08"/>
    <w:rsid w:val="64A3656F"/>
    <w:rsid w:val="64A80668"/>
    <w:rsid w:val="64BE1658"/>
    <w:rsid w:val="64D0E65E"/>
    <w:rsid w:val="64D2C756"/>
    <w:rsid w:val="64DEFAE7"/>
    <w:rsid w:val="64EF33BE"/>
    <w:rsid w:val="64F378BF"/>
    <w:rsid w:val="64FA7512"/>
    <w:rsid w:val="65024469"/>
    <w:rsid w:val="651A9A65"/>
    <w:rsid w:val="65227579"/>
    <w:rsid w:val="65247CAE"/>
    <w:rsid w:val="652ED0AA"/>
    <w:rsid w:val="653984A4"/>
    <w:rsid w:val="6542CB21"/>
    <w:rsid w:val="654CF4A8"/>
    <w:rsid w:val="6557C36B"/>
    <w:rsid w:val="656EAC9E"/>
    <w:rsid w:val="6579A47D"/>
    <w:rsid w:val="657ACF60"/>
    <w:rsid w:val="65A0288D"/>
    <w:rsid w:val="65BCFB3E"/>
    <w:rsid w:val="65CD094C"/>
    <w:rsid w:val="65D22167"/>
    <w:rsid w:val="65E603CB"/>
    <w:rsid w:val="66045D1B"/>
    <w:rsid w:val="661E5D3B"/>
    <w:rsid w:val="662006E6"/>
    <w:rsid w:val="6625F9C0"/>
    <w:rsid w:val="663C943E"/>
    <w:rsid w:val="663CBF8A"/>
    <w:rsid w:val="66514630"/>
    <w:rsid w:val="6655E87A"/>
    <w:rsid w:val="6678AE14"/>
    <w:rsid w:val="6687D433"/>
    <w:rsid w:val="66A6B861"/>
    <w:rsid w:val="66B577D3"/>
    <w:rsid w:val="66D4B595"/>
    <w:rsid w:val="66DA4ACD"/>
    <w:rsid w:val="66EADC4B"/>
    <w:rsid w:val="66FA2222"/>
    <w:rsid w:val="670E618A"/>
    <w:rsid w:val="671371BC"/>
    <w:rsid w:val="6716ED27"/>
    <w:rsid w:val="67247E4C"/>
    <w:rsid w:val="67253485"/>
    <w:rsid w:val="672C180D"/>
    <w:rsid w:val="672DBEF6"/>
    <w:rsid w:val="67342105"/>
    <w:rsid w:val="67467D36"/>
    <w:rsid w:val="67537E08"/>
    <w:rsid w:val="675D5BD2"/>
    <w:rsid w:val="676C8B16"/>
    <w:rsid w:val="677CAF94"/>
    <w:rsid w:val="678958E8"/>
    <w:rsid w:val="678ED364"/>
    <w:rsid w:val="679C067E"/>
    <w:rsid w:val="67B0AF5A"/>
    <w:rsid w:val="67B2EB4E"/>
    <w:rsid w:val="67B43B42"/>
    <w:rsid w:val="67C26563"/>
    <w:rsid w:val="67C81FF2"/>
    <w:rsid w:val="67D4930D"/>
    <w:rsid w:val="67F54DA9"/>
    <w:rsid w:val="67F79E97"/>
    <w:rsid w:val="67F9CE11"/>
    <w:rsid w:val="680C1BD4"/>
    <w:rsid w:val="6851398D"/>
    <w:rsid w:val="6859CEDF"/>
    <w:rsid w:val="685BF5DA"/>
    <w:rsid w:val="68931B92"/>
    <w:rsid w:val="68987356"/>
    <w:rsid w:val="68A2B1A8"/>
    <w:rsid w:val="68ACECC0"/>
    <w:rsid w:val="68B8C696"/>
    <w:rsid w:val="68C0A1FB"/>
    <w:rsid w:val="68C591B0"/>
    <w:rsid w:val="68E5895E"/>
    <w:rsid w:val="68E95F05"/>
    <w:rsid w:val="68FBC4A1"/>
    <w:rsid w:val="6900B849"/>
    <w:rsid w:val="690B51BB"/>
    <w:rsid w:val="69109D9B"/>
    <w:rsid w:val="691DF3D0"/>
    <w:rsid w:val="69263745"/>
    <w:rsid w:val="69308F80"/>
    <w:rsid w:val="69337F8C"/>
    <w:rsid w:val="6939C565"/>
    <w:rsid w:val="69477AC8"/>
    <w:rsid w:val="695558E1"/>
    <w:rsid w:val="6959F0B9"/>
    <w:rsid w:val="6976CD6D"/>
    <w:rsid w:val="697B059E"/>
    <w:rsid w:val="69806AB0"/>
    <w:rsid w:val="698125CC"/>
    <w:rsid w:val="699B484C"/>
    <w:rsid w:val="69AC5390"/>
    <w:rsid w:val="69B27F27"/>
    <w:rsid w:val="69BB24D0"/>
    <w:rsid w:val="69D67ABA"/>
    <w:rsid w:val="69DA64CC"/>
    <w:rsid w:val="69EED4D5"/>
    <w:rsid w:val="69F8C711"/>
    <w:rsid w:val="6A05A8D3"/>
    <w:rsid w:val="6A0F0F9B"/>
    <w:rsid w:val="6A40F56C"/>
    <w:rsid w:val="6A44996F"/>
    <w:rsid w:val="6A4FE985"/>
    <w:rsid w:val="6A51AA0C"/>
    <w:rsid w:val="6A5E8D64"/>
    <w:rsid w:val="6A60E87A"/>
    <w:rsid w:val="6A6533AC"/>
    <w:rsid w:val="6A67E954"/>
    <w:rsid w:val="6A8393A0"/>
    <w:rsid w:val="6A9FE7CE"/>
    <w:rsid w:val="6AAFDCAA"/>
    <w:rsid w:val="6AB9088F"/>
    <w:rsid w:val="6ABF6F40"/>
    <w:rsid w:val="6AC3B1B9"/>
    <w:rsid w:val="6ADBEADD"/>
    <w:rsid w:val="6AEC8EBD"/>
    <w:rsid w:val="6B079443"/>
    <w:rsid w:val="6B08E353"/>
    <w:rsid w:val="6B14934D"/>
    <w:rsid w:val="6B159A21"/>
    <w:rsid w:val="6B22B9FB"/>
    <w:rsid w:val="6B23BEED"/>
    <w:rsid w:val="6B2E6919"/>
    <w:rsid w:val="6B308842"/>
    <w:rsid w:val="6B3E7484"/>
    <w:rsid w:val="6B4F5544"/>
    <w:rsid w:val="6B5226F0"/>
    <w:rsid w:val="6B55A065"/>
    <w:rsid w:val="6B6C3F74"/>
    <w:rsid w:val="6B6EE58B"/>
    <w:rsid w:val="6B789DB6"/>
    <w:rsid w:val="6B975380"/>
    <w:rsid w:val="6B9D81A4"/>
    <w:rsid w:val="6BC9D716"/>
    <w:rsid w:val="6BD24701"/>
    <w:rsid w:val="6BDB5E06"/>
    <w:rsid w:val="6BDC28A1"/>
    <w:rsid w:val="6BDF8E51"/>
    <w:rsid w:val="6BE0E049"/>
    <w:rsid w:val="6BE1A73B"/>
    <w:rsid w:val="6BE24B54"/>
    <w:rsid w:val="6BF14A4B"/>
    <w:rsid w:val="6BF62E69"/>
    <w:rsid w:val="6C0883EF"/>
    <w:rsid w:val="6C2D414C"/>
    <w:rsid w:val="6C310530"/>
    <w:rsid w:val="6C31FA7E"/>
    <w:rsid w:val="6C5A7379"/>
    <w:rsid w:val="6C60EA94"/>
    <w:rsid w:val="6C6FFADD"/>
    <w:rsid w:val="6C766070"/>
    <w:rsid w:val="6C7EC94F"/>
    <w:rsid w:val="6C8F026E"/>
    <w:rsid w:val="6CA18844"/>
    <w:rsid w:val="6CB73DBF"/>
    <w:rsid w:val="6CC2EE45"/>
    <w:rsid w:val="6CC83625"/>
    <w:rsid w:val="6CCE09FD"/>
    <w:rsid w:val="6CE662E9"/>
    <w:rsid w:val="6CEEAED0"/>
    <w:rsid w:val="6D0664F7"/>
    <w:rsid w:val="6D09F607"/>
    <w:rsid w:val="6D1C18A2"/>
    <w:rsid w:val="6D29E54E"/>
    <w:rsid w:val="6D3B7D57"/>
    <w:rsid w:val="6D40DF5C"/>
    <w:rsid w:val="6D47ED15"/>
    <w:rsid w:val="6D585088"/>
    <w:rsid w:val="6D6BB4D5"/>
    <w:rsid w:val="6D7BDF51"/>
    <w:rsid w:val="6D9E4794"/>
    <w:rsid w:val="6DA26C7E"/>
    <w:rsid w:val="6DA40B94"/>
    <w:rsid w:val="6DA5B9CE"/>
    <w:rsid w:val="6DA69C25"/>
    <w:rsid w:val="6DB18E94"/>
    <w:rsid w:val="6DC48386"/>
    <w:rsid w:val="6DC98D13"/>
    <w:rsid w:val="6DF0190E"/>
    <w:rsid w:val="6DF406DC"/>
    <w:rsid w:val="6E145C89"/>
    <w:rsid w:val="6E14EDD4"/>
    <w:rsid w:val="6E1CF939"/>
    <w:rsid w:val="6E2373C6"/>
    <w:rsid w:val="6E262711"/>
    <w:rsid w:val="6E31C9CC"/>
    <w:rsid w:val="6E38F871"/>
    <w:rsid w:val="6E4C1521"/>
    <w:rsid w:val="6E5C4D8B"/>
    <w:rsid w:val="6E6A861E"/>
    <w:rsid w:val="6E8A2CF3"/>
    <w:rsid w:val="6E8C07F5"/>
    <w:rsid w:val="6E92F0DC"/>
    <w:rsid w:val="6E971F93"/>
    <w:rsid w:val="6E9770C3"/>
    <w:rsid w:val="6EBC5066"/>
    <w:rsid w:val="6EBFA9AF"/>
    <w:rsid w:val="6EC6BDF6"/>
    <w:rsid w:val="6ECA23C6"/>
    <w:rsid w:val="6ED37822"/>
    <w:rsid w:val="6F036607"/>
    <w:rsid w:val="6F0714B9"/>
    <w:rsid w:val="6F1C60FC"/>
    <w:rsid w:val="6F24FF94"/>
    <w:rsid w:val="6F2842DB"/>
    <w:rsid w:val="6F32E2D2"/>
    <w:rsid w:val="6F4093EA"/>
    <w:rsid w:val="6F5069DD"/>
    <w:rsid w:val="6F52AB64"/>
    <w:rsid w:val="6F5485C3"/>
    <w:rsid w:val="6F556A1F"/>
    <w:rsid w:val="6F5AC573"/>
    <w:rsid w:val="6F8415FB"/>
    <w:rsid w:val="6F861725"/>
    <w:rsid w:val="6F891143"/>
    <w:rsid w:val="6F992EC5"/>
    <w:rsid w:val="6FA3E8A3"/>
    <w:rsid w:val="6FA4C9B2"/>
    <w:rsid w:val="6FAD987B"/>
    <w:rsid w:val="6FB38384"/>
    <w:rsid w:val="6FB5F4CA"/>
    <w:rsid w:val="6FB9EAD2"/>
    <w:rsid w:val="6FBAB019"/>
    <w:rsid w:val="6FD1EFE8"/>
    <w:rsid w:val="6FD2F732"/>
    <w:rsid w:val="6FD41F96"/>
    <w:rsid w:val="6FE2A663"/>
    <w:rsid w:val="6FEE54ED"/>
    <w:rsid w:val="6FFAB736"/>
    <w:rsid w:val="6FFC84CA"/>
    <w:rsid w:val="70063D29"/>
    <w:rsid w:val="700C22AA"/>
    <w:rsid w:val="701206FF"/>
    <w:rsid w:val="70154B83"/>
    <w:rsid w:val="70295856"/>
    <w:rsid w:val="702C7774"/>
    <w:rsid w:val="70324A34"/>
    <w:rsid w:val="7049A05F"/>
    <w:rsid w:val="7054AF86"/>
    <w:rsid w:val="70593592"/>
    <w:rsid w:val="705CE3DD"/>
    <w:rsid w:val="7093BCCC"/>
    <w:rsid w:val="70A36DCF"/>
    <w:rsid w:val="70A423E4"/>
    <w:rsid w:val="70BE45DD"/>
    <w:rsid w:val="70C00B7F"/>
    <w:rsid w:val="70C4B6E0"/>
    <w:rsid w:val="70D416BC"/>
    <w:rsid w:val="70DCF503"/>
    <w:rsid w:val="70EB8C87"/>
    <w:rsid w:val="70ED0BCF"/>
    <w:rsid w:val="70F1AC22"/>
    <w:rsid w:val="70FD1D7A"/>
    <w:rsid w:val="7123B510"/>
    <w:rsid w:val="713479B9"/>
    <w:rsid w:val="716FCC67"/>
    <w:rsid w:val="71726DA6"/>
    <w:rsid w:val="7181D45B"/>
    <w:rsid w:val="719000D5"/>
    <w:rsid w:val="71A2CCAF"/>
    <w:rsid w:val="71A806AC"/>
    <w:rsid w:val="71AF23AA"/>
    <w:rsid w:val="71B293EB"/>
    <w:rsid w:val="71C0AF1B"/>
    <w:rsid w:val="71CF50C7"/>
    <w:rsid w:val="71D7703C"/>
    <w:rsid w:val="71E07652"/>
    <w:rsid w:val="71E12418"/>
    <w:rsid w:val="71E5A006"/>
    <w:rsid w:val="71F6F46A"/>
    <w:rsid w:val="7206E3A2"/>
    <w:rsid w:val="721B9058"/>
    <w:rsid w:val="721BE0BF"/>
    <w:rsid w:val="721F43D6"/>
    <w:rsid w:val="72385590"/>
    <w:rsid w:val="723DBC2A"/>
    <w:rsid w:val="724D6723"/>
    <w:rsid w:val="724EE85B"/>
    <w:rsid w:val="72582FA4"/>
    <w:rsid w:val="725BE6F0"/>
    <w:rsid w:val="7262143E"/>
    <w:rsid w:val="728DA612"/>
    <w:rsid w:val="729747FB"/>
    <w:rsid w:val="72A6F1DA"/>
    <w:rsid w:val="72B26BD7"/>
    <w:rsid w:val="72B6291D"/>
    <w:rsid w:val="72B9CDBD"/>
    <w:rsid w:val="72B9F42B"/>
    <w:rsid w:val="72D2BB75"/>
    <w:rsid w:val="72D5989D"/>
    <w:rsid w:val="72DADDEF"/>
    <w:rsid w:val="72DB78FC"/>
    <w:rsid w:val="72E2CD8D"/>
    <w:rsid w:val="72EBF29A"/>
    <w:rsid w:val="72F41F51"/>
    <w:rsid w:val="73058F0E"/>
    <w:rsid w:val="7310C9F8"/>
    <w:rsid w:val="73250365"/>
    <w:rsid w:val="732751B5"/>
    <w:rsid w:val="73315DFA"/>
    <w:rsid w:val="73479F12"/>
    <w:rsid w:val="734A1DB8"/>
    <w:rsid w:val="734A2698"/>
    <w:rsid w:val="7356709F"/>
    <w:rsid w:val="73641BAC"/>
    <w:rsid w:val="737708BC"/>
    <w:rsid w:val="737F6385"/>
    <w:rsid w:val="739B3FF5"/>
    <w:rsid w:val="739CB291"/>
    <w:rsid w:val="73A2E1BB"/>
    <w:rsid w:val="73A44FA0"/>
    <w:rsid w:val="73A78EEF"/>
    <w:rsid w:val="73B2DCA5"/>
    <w:rsid w:val="73B60F03"/>
    <w:rsid w:val="73C09880"/>
    <w:rsid w:val="73C1B85A"/>
    <w:rsid w:val="73FFC940"/>
    <w:rsid w:val="7406F334"/>
    <w:rsid w:val="7412686B"/>
    <w:rsid w:val="74129358"/>
    <w:rsid w:val="741A978C"/>
    <w:rsid w:val="7420C081"/>
    <w:rsid w:val="74310CA3"/>
    <w:rsid w:val="74351690"/>
    <w:rsid w:val="74488C00"/>
    <w:rsid w:val="74526C92"/>
    <w:rsid w:val="74565129"/>
    <w:rsid w:val="7460C07C"/>
    <w:rsid w:val="74659F52"/>
    <w:rsid w:val="74BD442B"/>
    <w:rsid w:val="74D4FC1D"/>
    <w:rsid w:val="74E04762"/>
    <w:rsid w:val="74FED195"/>
    <w:rsid w:val="7500501A"/>
    <w:rsid w:val="751779A6"/>
    <w:rsid w:val="75327E61"/>
    <w:rsid w:val="753A8E57"/>
    <w:rsid w:val="7543E1EE"/>
    <w:rsid w:val="7556BD46"/>
    <w:rsid w:val="7562B1C7"/>
    <w:rsid w:val="7565845D"/>
    <w:rsid w:val="7567DD99"/>
    <w:rsid w:val="757D1556"/>
    <w:rsid w:val="75812591"/>
    <w:rsid w:val="758FA636"/>
    <w:rsid w:val="7595AD36"/>
    <w:rsid w:val="759AB5F4"/>
    <w:rsid w:val="759BCD16"/>
    <w:rsid w:val="75A769A2"/>
    <w:rsid w:val="75B0CFD4"/>
    <w:rsid w:val="75B6B480"/>
    <w:rsid w:val="75C7644E"/>
    <w:rsid w:val="75D518F2"/>
    <w:rsid w:val="75DB384A"/>
    <w:rsid w:val="7600636C"/>
    <w:rsid w:val="7601BA3E"/>
    <w:rsid w:val="764FD912"/>
    <w:rsid w:val="7656846B"/>
    <w:rsid w:val="7668B704"/>
    <w:rsid w:val="7670B429"/>
    <w:rsid w:val="76AC4C6E"/>
    <w:rsid w:val="76BCC129"/>
    <w:rsid w:val="76BE7824"/>
    <w:rsid w:val="76BEEA5E"/>
    <w:rsid w:val="76C0241B"/>
    <w:rsid w:val="76C19DBF"/>
    <w:rsid w:val="76D1F65B"/>
    <w:rsid w:val="76F427DB"/>
    <w:rsid w:val="76F7696C"/>
    <w:rsid w:val="76FFB61C"/>
    <w:rsid w:val="7704E4A1"/>
    <w:rsid w:val="7705BC4A"/>
    <w:rsid w:val="7709F095"/>
    <w:rsid w:val="771D20FB"/>
    <w:rsid w:val="771F64A9"/>
    <w:rsid w:val="771FE471"/>
    <w:rsid w:val="772DAA02"/>
    <w:rsid w:val="77389963"/>
    <w:rsid w:val="7739CD92"/>
    <w:rsid w:val="773D5C55"/>
    <w:rsid w:val="7747F830"/>
    <w:rsid w:val="775022DB"/>
    <w:rsid w:val="776A93B2"/>
    <w:rsid w:val="77873180"/>
    <w:rsid w:val="77901D1A"/>
    <w:rsid w:val="7796C215"/>
    <w:rsid w:val="77A59944"/>
    <w:rsid w:val="77B8D729"/>
    <w:rsid w:val="77C2CA62"/>
    <w:rsid w:val="77CD371F"/>
    <w:rsid w:val="77E17D65"/>
    <w:rsid w:val="77E31887"/>
    <w:rsid w:val="77FD0C7A"/>
    <w:rsid w:val="78191783"/>
    <w:rsid w:val="78296885"/>
    <w:rsid w:val="782C28F9"/>
    <w:rsid w:val="785AE52C"/>
    <w:rsid w:val="7861AEA3"/>
    <w:rsid w:val="786EB147"/>
    <w:rsid w:val="787005D2"/>
    <w:rsid w:val="7878BEAB"/>
    <w:rsid w:val="7879D5A8"/>
    <w:rsid w:val="7886B0FE"/>
    <w:rsid w:val="789247BA"/>
    <w:rsid w:val="78A5BF15"/>
    <w:rsid w:val="78A97E2B"/>
    <w:rsid w:val="78ADC684"/>
    <w:rsid w:val="78BB4D3A"/>
    <w:rsid w:val="78C68E7D"/>
    <w:rsid w:val="78D17948"/>
    <w:rsid w:val="78DB02A5"/>
    <w:rsid w:val="78E07E39"/>
    <w:rsid w:val="78EBADB8"/>
    <w:rsid w:val="78F70D43"/>
    <w:rsid w:val="79047279"/>
    <w:rsid w:val="790D9B36"/>
    <w:rsid w:val="791D037B"/>
    <w:rsid w:val="7929B2E0"/>
    <w:rsid w:val="79394810"/>
    <w:rsid w:val="7939B028"/>
    <w:rsid w:val="7941EE77"/>
    <w:rsid w:val="7944119A"/>
    <w:rsid w:val="79654F4B"/>
    <w:rsid w:val="796A024D"/>
    <w:rsid w:val="798D6041"/>
    <w:rsid w:val="799649B2"/>
    <w:rsid w:val="799D4FDF"/>
    <w:rsid w:val="79B5ED56"/>
    <w:rsid w:val="79D10E46"/>
    <w:rsid w:val="79DB7A77"/>
    <w:rsid w:val="7A0B47CF"/>
    <w:rsid w:val="7A0DDE8F"/>
    <w:rsid w:val="7A105562"/>
    <w:rsid w:val="7A114388"/>
    <w:rsid w:val="7A1165B1"/>
    <w:rsid w:val="7A134B76"/>
    <w:rsid w:val="7A1401FC"/>
    <w:rsid w:val="7A2DBD09"/>
    <w:rsid w:val="7A33E396"/>
    <w:rsid w:val="7A67DCD7"/>
    <w:rsid w:val="7A6B58DF"/>
    <w:rsid w:val="7A6D36B7"/>
    <w:rsid w:val="7A7E5F33"/>
    <w:rsid w:val="7A896C37"/>
    <w:rsid w:val="7A8B44E8"/>
    <w:rsid w:val="7ACB5033"/>
    <w:rsid w:val="7AE341A5"/>
    <w:rsid w:val="7AE79F53"/>
    <w:rsid w:val="7AE8DD87"/>
    <w:rsid w:val="7AF5866C"/>
    <w:rsid w:val="7AF74C0E"/>
    <w:rsid w:val="7AF9FBE8"/>
    <w:rsid w:val="7B0DD521"/>
    <w:rsid w:val="7B0F36FB"/>
    <w:rsid w:val="7B1C0D88"/>
    <w:rsid w:val="7B1DFCD1"/>
    <w:rsid w:val="7B333A0D"/>
    <w:rsid w:val="7B355B2C"/>
    <w:rsid w:val="7B668546"/>
    <w:rsid w:val="7B698034"/>
    <w:rsid w:val="7B76DB72"/>
    <w:rsid w:val="7B782E82"/>
    <w:rsid w:val="7B7EC191"/>
    <w:rsid w:val="7B7FE5A0"/>
    <w:rsid w:val="7B80C572"/>
    <w:rsid w:val="7B83B993"/>
    <w:rsid w:val="7B8A65C0"/>
    <w:rsid w:val="7B8E1EB7"/>
    <w:rsid w:val="7B944029"/>
    <w:rsid w:val="7BA9B401"/>
    <w:rsid w:val="7BB8DD8A"/>
    <w:rsid w:val="7BBC8C06"/>
    <w:rsid w:val="7BC7ACC2"/>
    <w:rsid w:val="7BC98427"/>
    <w:rsid w:val="7BC9BB73"/>
    <w:rsid w:val="7BD33782"/>
    <w:rsid w:val="7BD92737"/>
    <w:rsid w:val="7BDA954F"/>
    <w:rsid w:val="7BE7E90A"/>
    <w:rsid w:val="7BF8A972"/>
    <w:rsid w:val="7BFC584F"/>
    <w:rsid w:val="7C067AC6"/>
    <w:rsid w:val="7C0ED655"/>
    <w:rsid w:val="7C1422C9"/>
    <w:rsid w:val="7C148639"/>
    <w:rsid w:val="7C29DBCB"/>
    <w:rsid w:val="7C2F1699"/>
    <w:rsid w:val="7C36D8D9"/>
    <w:rsid w:val="7C55CD8C"/>
    <w:rsid w:val="7C6003E2"/>
    <w:rsid w:val="7C67F853"/>
    <w:rsid w:val="7C8CE7E4"/>
    <w:rsid w:val="7C946892"/>
    <w:rsid w:val="7C98AE93"/>
    <w:rsid w:val="7CB31CFD"/>
    <w:rsid w:val="7CB5D9AB"/>
    <w:rsid w:val="7CBE5666"/>
    <w:rsid w:val="7CCBA76B"/>
    <w:rsid w:val="7CDB0658"/>
    <w:rsid w:val="7CDE6AE9"/>
    <w:rsid w:val="7CEA4739"/>
    <w:rsid w:val="7CFFB2C3"/>
    <w:rsid w:val="7D06D644"/>
    <w:rsid w:val="7D07B4CF"/>
    <w:rsid w:val="7D33A7DD"/>
    <w:rsid w:val="7D38A52D"/>
    <w:rsid w:val="7D390689"/>
    <w:rsid w:val="7D43FDD3"/>
    <w:rsid w:val="7D452FF0"/>
    <w:rsid w:val="7D4A1568"/>
    <w:rsid w:val="7D5181E0"/>
    <w:rsid w:val="7D5B596B"/>
    <w:rsid w:val="7D5D3D3F"/>
    <w:rsid w:val="7D5F06D0"/>
    <w:rsid w:val="7D673C1C"/>
    <w:rsid w:val="7D6834B6"/>
    <w:rsid w:val="7D7604DA"/>
    <w:rsid w:val="7D88C2A0"/>
    <w:rsid w:val="7DA2FDD3"/>
    <w:rsid w:val="7DD1A21B"/>
    <w:rsid w:val="7DD78656"/>
    <w:rsid w:val="7DE7BA9C"/>
    <w:rsid w:val="7E12E999"/>
    <w:rsid w:val="7E2590B3"/>
    <w:rsid w:val="7E34CE53"/>
    <w:rsid w:val="7E49AFEE"/>
    <w:rsid w:val="7E4DF162"/>
    <w:rsid w:val="7E584676"/>
    <w:rsid w:val="7E884F0E"/>
    <w:rsid w:val="7E8E5CA0"/>
    <w:rsid w:val="7E96A25F"/>
    <w:rsid w:val="7E9DE33E"/>
    <w:rsid w:val="7EB4E399"/>
    <w:rsid w:val="7EC5B87F"/>
    <w:rsid w:val="7EC689BD"/>
    <w:rsid w:val="7EC8572D"/>
    <w:rsid w:val="7ED25B72"/>
    <w:rsid w:val="7ED2EAA5"/>
    <w:rsid w:val="7EEFE5E5"/>
    <w:rsid w:val="7EF020F5"/>
    <w:rsid w:val="7F19CE34"/>
    <w:rsid w:val="7F2CEFE6"/>
    <w:rsid w:val="7F32365D"/>
    <w:rsid w:val="7F343F91"/>
    <w:rsid w:val="7F357F3E"/>
    <w:rsid w:val="7F449CD0"/>
    <w:rsid w:val="7F4FF58E"/>
    <w:rsid w:val="7F564C32"/>
    <w:rsid w:val="7F56E993"/>
    <w:rsid w:val="7F5A9C0C"/>
    <w:rsid w:val="7F5C3DBA"/>
    <w:rsid w:val="7F6882A2"/>
    <w:rsid w:val="7F99889D"/>
    <w:rsid w:val="7F9F466E"/>
    <w:rsid w:val="7FA6F769"/>
    <w:rsid w:val="7FA996C3"/>
    <w:rsid w:val="7FB2A360"/>
    <w:rsid w:val="7FD3C61B"/>
    <w:rsid w:val="7FE5F901"/>
    <w:rsid w:val="7FE7381B"/>
    <w:rsid w:val="7FF2A4EB"/>
    <w:rsid w:val="7FF3FEB8"/>
    <w:rsid w:val="7FF5A9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24C5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9D1FEE"/>
    <w:pPr>
      <w:numPr>
        <w:numId w:val="2"/>
      </w:numPr>
      <w:tabs>
        <w:tab w:val="num" w:pos="360"/>
      </w:tabs>
      <w:ind w:left="0" w:firstLine="0"/>
    </w:pPr>
    <w:rPr>
      <w:rFonts w:eastAsia="Times New Roman"/>
      <w:lang w:eastAsia="de-DE"/>
    </w:rPr>
  </w:style>
  <w:style w:type="paragraph" w:styleId="ListNumber">
    <w:name w:val="List Number"/>
    <w:basedOn w:val="Normal"/>
    <w:rsid w:val="009D1FEE"/>
    <w:pPr>
      <w:numPr>
        <w:numId w:val="6"/>
      </w:numPr>
    </w:pPr>
    <w:rPr>
      <w:rFonts w:eastAsia="Times New Roman"/>
      <w:lang w:eastAsia="de-DE"/>
    </w:rPr>
  </w:style>
  <w:style w:type="paragraph" w:customStyle="1" w:styleId="ListBullet1">
    <w:name w:val="List Bullet 1"/>
    <w:basedOn w:val="Normal"/>
    <w:rsid w:val="009D1FEE"/>
    <w:pPr>
      <w:numPr>
        <w:numId w:val="1"/>
      </w:numPr>
    </w:pPr>
    <w:rPr>
      <w:rFonts w:eastAsia="Times New Roman"/>
      <w:lang w:eastAsia="de-DE"/>
    </w:rPr>
  </w:style>
  <w:style w:type="paragraph" w:customStyle="1" w:styleId="ListDash">
    <w:name w:val="List Dash"/>
    <w:basedOn w:val="Normal"/>
    <w:rsid w:val="009D1FEE"/>
    <w:pPr>
      <w:numPr>
        <w:numId w:val="3"/>
      </w:numPr>
    </w:pPr>
    <w:rPr>
      <w:rFonts w:eastAsia="Times New Roman"/>
      <w:lang w:eastAsia="de-DE"/>
    </w:rPr>
  </w:style>
  <w:style w:type="paragraph" w:customStyle="1" w:styleId="ListDash1">
    <w:name w:val="List Dash 1"/>
    <w:basedOn w:val="Normal"/>
    <w:rsid w:val="009D1FEE"/>
    <w:pPr>
      <w:numPr>
        <w:numId w:val="4"/>
      </w:numPr>
    </w:pPr>
    <w:rPr>
      <w:rFonts w:eastAsia="Times New Roman"/>
      <w:lang w:eastAsia="de-DE"/>
    </w:rPr>
  </w:style>
  <w:style w:type="paragraph" w:customStyle="1" w:styleId="ListDash2">
    <w:name w:val="List Dash 2"/>
    <w:basedOn w:val="Normal"/>
    <w:rsid w:val="009D1FEE"/>
    <w:pPr>
      <w:numPr>
        <w:numId w:val="5"/>
      </w:numPr>
    </w:pPr>
    <w:rPr>
      <w:rFonts w:eastAsia="Times New Roman"/>
      <w:lang w:eastAsia="de-DE"/>
    </w:rPr>
  </w:style>
  <w:style w:type="paragraph" w:customStyle="1" w:styleId="ListNumberLevel2">
    <w:name w:val="List Number (Level 2)"/>
    <w:basedOn w:val="Normal"/>
    <w:rsid w:val="009D1FEE"/>
    <w:pPr>
      <w:numPr>
        <w:ilvl w:val="1"/>
        <w:numId w:val="6"/>
      </w:numPr>
      <w:ind w:left="953" w:hanging="477"/>
    </w:pPr>
    <w:rPr>
      <w:rFonts w:eastAsia="Times New Roman"/>
      <w:lang w:eastAsia="de-DE"/>
    </w:rPr>
  </w:style>
  <w:style w:type="paragraph" w:customStyle="1" w:styleId="ListNumberLevel3">
    <w:name w:val="List Number (Level 3)"/>
    <w:basedOn w:val="Normal"/>
    <w:rsid w:val="009D1FEE"/>
    <w:pPr>
      <w:numPr>
        <w:ilvl w:val="2"/>
        <w:numId w:val="6"/>
      </w:numPr>
      <w:ind w:left="1429" w:hanging="476"/>
    </w:pPr>
    <w:rPr>
      <w:rFonts w:eastAsia="Times New Roman"/>
      <w:lang w:eastAsia="de-DE"/>
    </w:rPr>
  </w:style>
  <w:style w:type="paragraph" w:customStyle="1" w:styleId="ListNumberLevel4">
    <w:name w:val="List Number (Level 4)"/>
    <w:basedOn w:val="Normal"/>
    <w:rsid w:val="009D1FEE"/>
    <w:pPr>
      <w:numPr>
        <w:ilvl w:val="3"/>
        <w:numId w:val="6"/>
      </w:numPr>
      <w:ind w:left="2880" w:hanging="360"/>
    </w:pPr>
    <w:rPr>
      <w:rFonts w:eastAsia="Times New Roman"/>
      <w:lang w:eastAsia="de-DE"/>
    </w:rPr>
  </w:style>
  <w:style w:type="table" w:styleId="TableGrid">
    <w:name w:val="Table Grid"/>
    <w:basedOn w:val="TableNormal"/>
    <w:rsid w:val="009D1FEE"/>
    <w:pPr>
      <w:spacing w:before="120" w:after="120" w:line="240" w:lineRule="auto"/>
      <w:jc w:val="both"/>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D1FEE"/>
    <w:rPr>
      <w:color w:val="0000FF"/>
      <w:u w:val="single"/>
    </w:rPr>
  </w:style>
  <w:style w:type="paragraph" w:styleId="ListBullet">
    <w:name w:val="List Bullet"/>
    <w:basedOn w:val="Normal"/>
    <w:rsid w:val="009D1FEE"/>
    <w:pPr>
      <w:numPr>
        <w:numId w:val="7"/>
      </w:numPr>
    </w:pPr>
    <w:rPr>
      <w:rFonts w:eastAsia="Times New Roman"/>
      <w:lang w:val="fr-FR" w:eastAsia="en-GB"/>
    </w:rPr>
  </w:style>
  <w:style w:type="paragraph" w:styleId="ListBullet2">
    <w:name w:val="List Bullet 2"/>
    <w:basedOn w:val="Normal"/>
    <w:rsid w:val="009D1FEE"/>
    <w:pPr>
      <w:numPr>
        <w:numId w:val="8"/>
      </w:numPr>
    </w:pPr>
    <w:rPr>
      <w:rFonts w:eastAsia="Times New Roman"/>
      <w:lang w:val="fr-FR" w:eastAsia="en-GB"/>
    </w:rPr>
  </w:style>
  <w:style w:type="paragraph" w:styleId="ListBullet3">
    <w:name w:val="List Bullet 3"/>
    <w:basedOn w:val="Normal"/>
    <w:rsid w:val="009D1FEE"/>
    <w:pPr>
      <w:numPr>
        <w:numId w:val="9"/>
      </w:numPr>
    </w:pPr>
    <w:rPr>
      <w:rFonts w:eastAsia="Times New Roman"/>
      <w:lang w:val="fr-FR" w:eastAsia="en-GB"/>
    </w:rPr>
  </w:style>
  <w:style w:type="paragraph" w:styleId="ListNumber2">
    <w:name w:val="List Number 2"/>
    <w:basedOn w:val="Normal"/>
    <w:rsid w:val="009D1FEE"/>
    <w:pPr>
      <w:numPr>
        <w:numId w:val="13"/>
      </w:numPr>
    </w:pPr>
    <w:rPr>
      <w:rFonts w:eastAsia="Times New Roman"/>
      <w:lang w:val="fr-FR" w:eastAsia="en-GB"/>
    </w:rPr>
  </w:style>
  <w:style w:type="paragraph" w:styleId="ListNumber3">
    <w:name w:val="List Number 3"/>
    <w:basedOn w:val="Normal"/>
    <w:rsid w:val="009D1FEE"/>
    <w:pPr>
      <w:numPr>
        <w:numId w:val="14"/>
      </w:numPr>
    </w:pPr>
    <w:rPr>
      <w:rFonts w:eastAsia="Times New Roman"/>
      <w:lang w:val="fr-FR" w:eastAsia="en-GB"/>
    </w:rPr>
  </w:style>
  <w:style w:type="paragraph" w:styleId="ListNumber4">
    <w:name w:val="List Number 4"/>
    <w:basedOn w:val="Normal"/>
    <w:rsid w:val="009D1FEE"/>
    <w:pPr>
      <w:numPr>
        <w:numId w:val="15"/>
      </w:numPr>
    </w:pPr>
    <w:rPr>
      <w:rFonts w:eastAsia="Times New Roman"/>
      <w:lang w:val="fr-FR" w:eastAsia="en-GB"/>
    </w:rPr>
  </w:style>
  <w:style w:type="paragraph" w:customStyle="1" w:styleId="ListDash3">
    <w:name w:val="List Dash 3"/>
    <w:basedOn w:val="Normal"/>
    <w:rsid w:val="009D1FEE"/>
    <w:pPr>
      <w:numPr>
        <w:numId w:val="10"/>
      </w:numPr>
    </w:pPr>
    <w:rPr>
      <w:rFonts w:eastAsia="Times New Roman"/>
      <w:lang w:val="fr-FR" w:eastAsia="en-GB"/>
    </w:rPr>
  </w:style>
  <w:style w:type="paragraph" w:customStyle="1" w:styleId="ListDash4">
    <w:name w:val="List Dash 4"/>
    <w:basedOn w:val="Normal"/>
    <w:rsid w:val="009D1FEE"/>
    <w:pPr>
      <w:numPr>
        <w:numId w:val="11"/>
      </w:numPr>
    </w:pPr>
    <w:rPr>
      <w:rFonts w:eastAsia="Times New Roman"/>
      <w:lang w:val="fr-FR" w:eastAsia="en-GB"/>
    </w:rPr>
  </w:style>
  <w:style w:type="paragraph" w:customStyle="1" w:styleId="ListNumber1">
    <w:name w:val="List Number 1"/>
    <w:basedOn w:val="Text1"/>
    <w:rsid w:val="009D1FEE"/>
    <w:pPr>
      <w:numPr>
        <w:numId w:val="12"/>
      </w:numPr>
    </w:pPr>
    <w:rPr>
      <w:rFonts w:eastAsia="Times New Roman"/>
      <w:lang w:val="fr-FR" w:eastAsia="en-GB"/>
    </w:rPr>
  </w:style>
  <w:style w:type="paragraph" w:customStyle="1" w:styleId="ListNumber1Level2">
    <w:name w:val="List Number 1 (Level 2)"/>
    <w:basedOn w:val="Text1"/>
    <w:rsid w:val="009D1FEE"/>
    <w:pPr>
      <w:numPr>
        <w:ilvl w:val="1"/>
        <w:numId w:val="12"/>
      </w:numPr>
      <w:tabs>
        <w:tab w:val="num" w:pos="850"/>
      </w:tabs>
      <w:ind w:left="850" w:hanging="850"/>
    </w:pPr>
    <w:rPr>
      <w:rFonts w:eastAsia="Times New Roman"/>
      <w:lang w:val="fr-FR" w:eastAsia="en-GB"/>
    </w:rPr>
  </w:style>
  <w:style w:type="paragraph" w:customStyle="1" w:styleId="ListNumber2Level2">
    <w:name w:val="List Number 2 (Level 2)"/>
    <w:basedOn w:val="Text2"/>
    <w:rsid w:val="009D1FEE"/>
    <w:pPr>
      <w:numPr>
        <w:ilvl w:val="1"/>
        <w:numId w:val="13"/>
      </w:numPr>
      <w:tabs>
        <w:tab w:val="num" w:pos="850"/>
      </w:tabs>
      <w:ind w:left="850" w:hanging="850"/>
    </w:pPr>
    <w:rPr>
      <w:rFonts w:eastAsia="Times New Roman"/>
      <w:lang w:val="fr-FR" w:eastAsia="en-GB"/>
    </w:rPr>
  </w:style>
  <w:style w:type="paragraph" w:customStyle="1" w:styleId="ListNumber3Level2">
    <w:name w:val="List Number 3 (Level 2)"/>
    <w:basedOn w:val="Text3"/>
    <w:rsid w:val="009D1FEE"/>
    <w:pPr>
      <w:numPr>
        <w:ilvl w:val="1"/>
        <w:numId w:val="14"/>
      </w:numPr>
      <w:tabs>
        <w:tab w:val="num" w:pos="850"/>
      </w:tabs>
      <w:ind w:left="850" w:hanging="850"/>
    </w:pPr>
    <w:rPr>
      <w:rFonts w:eastAsia="Times New Roman"/>
      <w:lang w:val="fr-FR" w:eastAsia="en-GB"/>
    </w:rPr>
  </w:style>
  <w:style w:type="paragraph" w:customStyle="1" w:styleId="ListNumber4Level2">
    <w:name w:val="List Number 4 (Level 2)"/>
    <w:basedOn w:val="Text4"/>
    <w:rsid w:val="009D1FEE"/>
    <w:pPr>
      <w:numPr>
        <w:ilvl w:val="1"/>
        <w:numId w:val="15"/>
      </w:numPr>
      <w:tabs>
        <w:tab w:val="num" w:pos="850"/>
      </w:tabs>
      <w:ind w:left="850" w:hanging="850"/>
    </w:pPr>
    <w:rPr>
      <w:rFonts w:eastAsia="Times New Roman"/>
      <w:lang w:val="fr-FR" w:eastAsia="en-GB"/>
    </w:rPr>
  </w:style>
  <w:style w:type="paragraph" w:customStyle="1" w:styleId="ListNumber1Level3">
    <w:name w:val="List Number 1 (Level 3)"/>
    <w:basedOn w:val="Text1"/>
    <w:rsid w:val="009D1FEE"/>
    <w:pPr>
      <w:numPr>
        <w:ilvl w:val="2"/>
        <w:numId w:val="12"/>
      </w:numPr>
      <w:tabs>
        <w:tab w:val="num" w:pos="1417"/>
      </w:tabs>
      <w:ind w:left="1417" w:hanging="567"/>
    </w:pPr>
    <w:rPr>
      <w:rFonts w:eastAsia="Times New Roman"/>
      <w:lang w:val="fr-FR" w:eastAsia="en-GB"/>
    </w:rPr>
  </w:style>
  <w:style w:type="paragraph" w:customStyle="1" w:styleId="ListNumber2Level3">
    <w:name w:val="List Number 2 (Level 3)"/>
    <w:basedOn w:val="Text2"/>
    <w:rsid w:val="009D1FEE"/>
    <w:pPr>
      <w:numPr>
        <w:ilvl w:val="2"/>
        <w:numId w:val="13"/>
      </w:numPr>
      <w:tabs>
        <w:tab w:val="num" w:pos="1417"/>
      </w:tabs>
      <w:ind w:left="1417" w:hanging="567"/>
    </w:pPr>
    <w:rPr>
      <w:rFonts w:eastAsia="Times New Roman"/>
      <w:lang w:val="fr-FR" w:eastAsia="en-GB"/>
    </w:rPr>
  </w:style>
  <w:style w:type="paragraph" w:customStyle="1" w:styleId="ListNumber3Level3">
    <w:name w:val="List Number 3 (Level 3)"/>
    <w:basedOn w:val="Text3"/>
    <w:rsid w:val="009D1FEE"/>
    <w:pPr>
      <w:numPr>
        <w:ilvl w:val="2"/>
        <w:numId w:val="14"/>
      </w:numPr>
      <w:tabs>
        <w:tab w:val="num" w:pos="1417"/>
      </w:tabs>
      <w:ind w:left="1417" w:hanging="567"/>
    </w:pPr>
    <w:rPr>
      <w:rFonts w:eastAsia="Times New Roman"/>
      <w:lang w:val="fr-FR" w:eastAsia="en-GB"/>
    </w:rPr>
  </w:style>
  <w:style w:type="paragraph" w:customStyle="1" w:styleId="ListNumber4Level3">
    <w:name w:val="List Number 4 (Level 3)"/>
    <w:basedOn w:val="Text4"/>
    <w:rsid w:val="009D1FEE"/>
    <w:pPr>
      <w:numPr>
        <w:ilvl w:val="2"/>
        <w:numId w:val="15"/>
      </w:numPr>
      <w:tabs>
        <w:tab w:val="num" w:pos="1417"/>
      </w:tabs>
      <w:ind w:left="1417" w:hanging="567"/>
    </w:pPr>
    <w:rPr>
      <w:rFonts w:eastAsia="Times New Roman"/>
      <w:lang w:val="fr-FR" w:eastAsia="en-GB"/>
    </w:rPr>
  </w:style>
  <w:style w:type="paragraph" w:customStyle="1" w:styleId="ListNumber1Level4">
    <w:name w:val="List Number 1 (Level 4)"/>
    <w:basedOn w:val="Text1"/>
    <w:rsid w:val="009D1FEE"/>
    <w:pPr>
      <w:numPr>
        <w:ilvl w:val="3"/>
        <w:numId w:val="12"/>
      </w:numPr>
      <w:tabs>
        <w:tab w:val="num" w:pos="1417"/>
      </w:tabs>
      <w:ind w:left="1417" w:hanging="567"/>
    </w:pPr>
    <w:rPr>
      <w:rFonts w:eastAsia="Times New Roman"/>
      <w:lang w:val="fr-FR" w:eastAsia="en-GB"/>
    </w:rPr>
  </w:style>
  <w:style w:type="paragraph" w:customStyle="1" w:styleId="ListNumber2Level4">
    <w:name w:val="List Number 2 (Level 4)"/>
    <w:basedOn w:val="Text2"/>
    <w:rsid w:val="009D1FEE"/>
    <w:pPr>
      <w:numPr>
        <w:ilvl w:val="3"/>
        <w:numId w:val="13"/>
      </w:numPr>
      <w:tabs>
        <w:tab w:val="num" w:pos="1417"/>
      </w:tabs>
      <w:ind w:left="1417" w:hanging="567"/>
    </w:pPr>
    <w:rPr>
      <w:rFonts w:eastAsia="Times New Roman"/>
      <w:lang w:val="fr-FR" w:eastAsia="en-GB"/>
    </w:rPr>
  </w:style>
  <w:style w:type="paragraph" w:customStyle="1" w:styleId="ListNumber3Level4">
    <w:name w:val="List Number 3 (Level 4)"/>
    <w:basedOn w:val="Text3"/>
    <w:rsid w:val="009D1FEE"/>
    <w:pPr>
      <w:numPr>
        <w:ilvl w:val="3"/>
        <w:numId w:val="14"/>
      </w:numPr>
      <w:tabs>
        <w:tab w:val="num" w:pos="1417"/>
      </w:tabs>
      <w:ind w:left="1417" w:hanging="567"/>
    </w:pPr>
    <w:rPr>
      <w:rFonts w:eastAsia="Times New Roman"/>
      <w:lang w:val="fr-FR" w:eastAsia="en-GB"/>
    </w:rPr>
  </w:style>
  <w:style w:type="paragraph" w:customStyle="1" w:styleId="ListNumber4Level4">
    <w:name w:val="List Number 4 (Level 4)"/>
    <w:basedOn w:val="Text4"/>
    <w:rsid w:val="009D1FEE"/>
    <w:pPr>
      <w:numPr>
        <w:ilvl w:val="3"/>
        <w:numId w:val="15"/>
      </w:numPr>
      <w:tabs>
        <w:tab w:val="num" w:pos="1417"/>
      </w:tabs>
      <w:ind w:left="1417" w:hanging="567"/>
    </w:pPr>
    <w:rPr>
      <w:rFonts w:eastAsia="Times New Roman"/>
      <w:lang w:val="fr-FR" w:eastAsia="en-GB"/>
    </w:rPr>
  </w:style>
  <w:style w:type="paragraph" w:customStyle="1" w:styleId="Annexetitreacte">
    <w:name w:val="Annexe titre (acte)"/>
    <w:basedOn w:val="Normal"/>
    <w:next w:val="Normal"/>
    <w:rsid w:val="009D1FEE"/>
    <w:pPr>
      <w:jc w:val="center"/>
    </w:pPr>
    <w:rPr>
      <w:rFonts w:eastAsia="Times New Roman"/>
      <w:b/>
      <w:u w:val="single"/>
      <w:lang w:val="fr-FR" w:eastAsia="en-GB"/>
    </w:rPr>
  </w:style>
  <w:style w:type="paragraph" w:customStyle="1" w:styleId="Annexetitreexposglobal">
    <w:name w:val="Annexe titre (exposé global)"/>
    <w:basedOn w:val="Normal"/>
    <w:next w:val="Normal"/>
    <w:rsid w:val="009D1FEE"/>
    <w:pPr>
      <w:jc w:val="center"/>
    </w:pPr>
    <w:rPr>
      <w:rFonts w:eastAsia="Times New Roman"/>
      <w:b/>
      <w:u w:val="single"/>
      <w:lang w:val="fr-FR" w:eastAsia="en-GB"/>
    </w:rPr>
  </w:style>
  <w:style w:type="paragraph" w:customStyle="1" w:styleId="Annexetitrefichefinacte">
    <w:name w:val="Annexe titre (fiche fin. acte)"/>
    <w:basedOn w:val="Normal"/>
    <w:next w:val="Normal"/>
    <w:rsid w:val="009D1FEE"/>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9D1FEE"/>
    <w:pPr>
      <w:jc w:val="center"/>
    </w:pPr>
    <w:rPr>
      <w:rFonts w:eastAsia="Times New Roman"/>
      <w:b/>
      <w:u w:val="single"/>
      <w:lang w:val="fr-FR" w:eastAsia="en-GB"/>
    </w:rPr>
  </w:style>
  <w:style w:type="paragraph" w:customStyle="1" w:styleId="Annexetitreglobale">
    <w:name w:val="Annexe titre (globale)"/>
    <w:basedOn w:val="Normal"/>
    <w:next w:val="Normal"/>
    <w:rsid w:val="009D1FEE"/>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9D1FEE"/>
    <w:pPr>
      <w:jc w:val="center"/>
    </w:pPr>
    <w:rPr>
      <w:rFonts w:eastAsia="Times New Roman"/>
      <w:b/>
      <w:u w:val="single"/>
      <w:lang w:val="fr-FR" w:eastAsia="en-GB"/>
    </w:rPr>
  </w:style>
  <w:style w:type="paragraph" w:customStyle="1" w:styleId="Langueoriginale">
    <w:name w:val="Langue originale"/>
    <w:basedOn w:val="Normal"/>
    <w:rsid w:val="009D1FEE"/>
    <w:pPr>
      <w:spacing w:before="360"/>
      <w:jc w:val="center"/>
    </w:pPr>
    <w:rPr>
      <w:rFonts w:eastAsia="Times New Roman"/>
      <w:caps/>
      <w:lang w:val="fr-FR" w:eastAsia="en-GB"/>
    </w:rPr>
  </w:style>
  <w:style w:type="paragraph" w:customStyle="1" w:styleId="Phrasefinale">
    <w:name w:val="Phrase finale"/>
    <w:basedOn w:val="Normal"/>
    <w:next w:val="Normal"/>
    <w:rsid w:val="009D1FEE"/>
    <w:pPr>
      <w:spacing w:before="360" w:after="0"/>
      <w:jc w:val="center"/>
    </w:pPr>
    <w:rPr>
      <w:rFonts w:eastAsia="Times New Roman"/>
      <w:lang w:val="fr-FR" w:eastAsia="en-GB"/>
    </w:rPr>
  </w:style>
  <w:style w:type="paragraph" w:customStyle="1" w:styleId="Prliminairetitre">
    <w:name w:val="Préliminaire titre"/>
    <w:basedOn w:val="Normal"/>
    <w:next w:val="Normal"/>
    <w:rsid w:val="009D1FEE"/>
    <w:pPr>
      <w:spacing w:before="360" w:after="360"/>
      <w:jc w:val="center"/>
    </w:pPr>
    <w:rPr>
      <w:rFonts w:eastAsia="Times New Roman"/>
      <w:b/>
      <w:lang w:val="fr-FR" w:eastAsia="en-GB"/>
    </w:rPr>
  </w:style>
  <w:style w:type="paragraph" w:customStyle="1" w:styleId="Prliminairetype">
    <w:name w:val="Préliminaire type"/>
    <w:basedOn w:val="Normal"/>
    <w:next w:val="Normal"/>
    <w:rsid w:val="009D1FEE"/>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9D1FEE"/>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9D1FEE"/>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9D1FEE"/>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9D1FEE"/>
    <w:pPr>
      <w:spacing w:before="0" w:after="0"/>
      <w:jc w:val="center"/>
    </w:pPr>
    <w:rPr>
      <w:rFonts w:eastAsia="Times New Roman"/>
      <w:b/>
      <w:lang w:val="fr-FR" w:eastAsia="en-GB"/>
    </w:rPr>
  </w:style>
  <w:style w:type="paragraph" w:customStyle="1" w:styleId="Statutprliminaire">
    <w:name w:val="Statut (préliminaire)"/>
    <w:basedOn w:val="Normal"/>
    <w:next w:val="Normal"/>
    <w:rsid w:val="009D1FEE"/>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9D1FEE"/>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9D1FEE"/>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9D1FEE"/>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9D1FEE"/>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9D1FEE"/>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9D1FEE"/>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9D1FEE"/>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9D1FEE"/>
    <w:pPr>
      <w:jc w:val="center"/>
    </w:pPr>
    <w:rPr>
      <w:rFonts w:eastAsia="Times New Roman"/>
      <w:b/>
      <w:u w:val="single"/>
      <w:lang w:val="fr-FR" w:eastAsia="en-GB"/>
    </w:rPr>
  </w:style>
  <w:style w:type="character" w:styleId="CommentReference">
    <w:name w:val="annotation reference"/>
    <w:rsid w:val="009D1FEE"/>
    <w:rPr>
      <w:rFonts w:cs="Times New Roman"/>
      <w:sz w:val="16"/>
      <w:szCs w:val="16"/>
    </w:rPr>
  </w:style>
  <w:style w:type="paragraph" w:styleId="CommentText">
    <w:name w:val="annotation text"/>
    <w:basedOn w:val="Normal"/>
    <w:link w:val="CommentTextChar"/>
    <w:rsid w:val="009D1FEE"/>
    <w:rPr>
      <w:rFonts w:eastAsia="Times New Roman"/>
      <w:sz w:val="20"/>
      <w:szCs w:val="20"/>
      <w:lang w:val="fr-FR" w:eastAsia="en-GB"/>
    </w:rPr>
  </w:style>
  <w:style w:type="character" w:customStyle="1" w:styleId="CommentTextChar">
    <w:name w:val="Comment Text Char"/>
    <w:basedOn w:val="DefaultParagraphFont"/>
    <w:link w:val="CommentText"/>
    <w:rsid w:val="009D1FEE"/>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9D1FEE"/>
    <w:rPr>
      <w:b/>
      <w:bCs/>
    </w:rPr>
  </w:style>
  <w:style w:type="character" w:customStyle="1" w:styleId="CommentSubjectChar">
    <w:name w:val="Comment Subject Char"/>
    <w:basedOn w:val="CommentTextChar"/>
    <w:link w:val="CommentSubject"/>
    <w:rsid w:val="009D1FEE"/>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9D1FEE"/>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9D1FEE"/>
    <w:rPr>
      <w:rFonts w:ascii="Tahoma" w:eastAsia="Times New Roman" w:hAnsi="Tahoma" w:cs="Tahoma"/>
      <w:sz w:val="16"/>
      <w:szCs w:val="16"/>
      <w:lang w:val="fr-FR" w:eastAsia="en-GB"/>
    </w:rPr>
  </w:style>
  <w:style w:type="paragraph" w:styleId="Caption">
    <w:name w:val="caption"/>
    <w:basedOn w:val="Normal"/>
    <w:next w:val="Normal"/>
    <w:qFormat/>
    <w:rsid w:val="009D1FEE"/>
    <w:rPr>
      <w:rFonts w:eastAsia="Times New Roman"/>
      <w:b/>
      <w:bCs/>
      <w:sz w:val="20"/>
      <w:szCs w:val="20"/>
      <w:lang w:val="fr-FR" w:eastAsia="en-GB"/>
    </w:rPr>
  </w:style>
  <w:style w:type="paragraph" w:styleId="TableofFigures">
    <w:name w:val="table of figures"/>
    <w:basedOn w:val="Normal"/>
    <w:next w:val="Normal"/>
    <w:rsid w:val="009D1FEE"/>
    <w:rPr>
      <w:rFonts w:eastAsia="Times New Roman"/>
      <w:lang w:val="fr-FR" w:eastAsia="en-GB"/>
    </w:rPr>
  </w:style>
  <w:style w:type="character" w:styleId="PageNumber">
    <w:name w:val="page number"/>
    <w:rsid w:val="009D1FEE"/>
  </w:style>
  <w:style w:type="character" w:customStyle="1" w:styleId="tw4winMark">
    <w:name w:val="tw4winMark"/>
    <w:rsid w:val="009D1FEE"/>
    <w:rPr>
      <w:vanish/>
      <w:color w:val="800080"/>
      <w:vertAlign w:val="subscript"/>
    </w:rPr>
  </w:style>
  <w:style w:type="character" w:styleId="FollowedHyperlink">
    <w:name w:val="FollowedHyperlink"/>
    <w:rsid w:val="009D1FEE"/>
    <w:rPr>
      <w:color w:val="800080"/>
      <w:u w:val="single"/>
    </w:rPr>
  </w:style>
  <w:style w:type="paragraph" w:customStyle="1" w:styleId="Sous-titreobjet">
    <w:name w:val="Sous-titre objet"/>
    <w:basedOn w:val="Normal"/>
    <w:rsid w:val="009D1FEE"/>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D1FEE"/>
  </w:style>
  <w:style w:type="paragraph" w:styleId="Revision">
    <w:name w:val="Revision"/>
    <w:hidden/>
    <w:uiPriority w:val="99"/>
    <w:semiHidden/>
    <w:rsid w:val="009D1FEE"/>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9D1FEE"/>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D1FEE"/>
    <w:rPr>
      <w:rFonts w:ascii="Times New Roman" w:hAnsi="Times New Roman" w:cs="Times New Roman"/>
      <w:b/>
      <w:sz w:val="28"/>
      <w:lang w:val="en-GB"/>
    </w:rPr>
  </w:style>
  <w:style w:type="character" w:customStyle="1" w:styleId="FooterCoverPageChar">
    <w:name w:val="Footer Cover Page Char"/>
    <w:link w:val="FooterCoverPage"/>
    <w:rsid w:val="009D1FEE"/>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9D1FEE"/>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D1FEE"/>
    <w:rPr>
      <w:rFonts w:ascii="Times New Roman" w:eastAsia="Calibri" w:hAnsi="Times New Roman" w:cs="Times New Roman"/>
      <w:sz w:val="24"/>
      <w:lang w:val="en-GB" w:eastAsia="en-GB"/>
    </w:rPr>
  </w:style>
  <w:style w:type="character" w:customStyle="1" w:styleId="FooterSensitivityChar">
    <w:name w:val="Footer Sensitivity Char"/>
    <w:rsid w:val="009D1FEE"/>
    <w:rPr>
      <w:rFonts w:ascii="Times New Roman" w:hAnsi="Times New Roman" w:cs="Times New Roman"/>
      <w:b/>
      <w:sz w:val="32"/>
      <w:lang w:val="en-GB"/>
    </w:rPr>
  </w:style>
  <w:style w:type="character" w:customStyle="1" w:styleId="HeaderSensitivityChar">
    <w:name w:val="Header Sensitivity Char"/>
    <w:rsid w:val="009D1FEE"/>
    <w:rPr>
      <w:rFonts w:ascii="Times New Roman" w:hAnsi="Times New Roman" w:cs="Times New Roman"/>
      <w:b/>
      <w:sz w:val="32"/>
      <w:lang w:val="en-GB"/>
    </w:rPr>
  </w:style>
  <w:style w:type="character" w:customStyle="1" w:styleId="HeaderSensitivityRightChar">
    <w:name w:val="Header Sensitivity Right Char"/>
    <w:rsid w:val="009D1FEE"/>
    <w:rPr>
      <w:rFonts w:ascii="Times New Roman" w:hAnsi="Times New Roman" w:cs="Times New Roman"/>
      <w:sz w:val="28"/>
      <w:lang w:val="en-GB"/>
    </w:rPr>
  </w:style>
  <w:style w:type="paragraph" w:customStyle="1" w:styleId="LegalNumPar">
    <w:name w:val="LegalNumPar"/>
    <w:basedOn w:val="Normal"/>
    <w:rsid w:val="009D1FEE"/>
    <w:pPr>
      <w:numPr>
        <w:numId w:val="16"/>
      </w:numPr>
      <w:spacing w:line="360" w:lineRule="auto"/>
    </w:pPr>
    <w:rPr>
      <w:rFonts w:eastAsia="Times New Roman"/>
      <w:lang w:eastAsia="en-GB"/>
    </w:rPr>
  </w:style>
  <w:style w:type="paragraph" w:customStyle="1" w:styleId="LegalNumPar2">
    <w:name w:val="LegalNumPar2"/>
    <w:basedOn w:val="Normal"/>
    <w:rsid w:val="009D1FEE"/>
    <w:pPr>
      <w:numPr>
        <w:ilvl w:val="1"/>
        <w:numId w:val="16"/>
      </w:numPr>
      <w:tabs>
        <w:tab w:val="num" w:pos="850"/>
      </w:tabs>
      <w:spacing w:line="360" w:lineRule="auto"/>
      <w:ind w:left="850" w:hanging="850"/>
    </w:pPr>
    <w:rPr>
      <w:rFonts w:eastAsia="Times New Roman"/>
      <w:lang w:eastAsia="en-GB"/>
    </w:rPr>
  </w:style>
  <w:style w:type="paragraph" w:customStyle="1" w:styleId="LegalNumPar3">
    <w:name w:val="LegalNumPar3"/>
    <w:basedOn w:val="Normal"/>
    <w:rsid w:val="009D1FEE"/>
    <w:pPr>
      <w:numPr>
        <w:ilvl w:val="2"/>
        <w:numId w:val="16"/>
      </w:numPr>
      <w:tabs>
        <w:tab w:val="num" w:pos="1417"/>
      </w:tabs>
      <w:spacing w:line="360" w:lineRule="auto"/>
      <w:ind w:left="1417" w:hanging="567"/>
    </w:pPr>
    <w:rPr>
      <w:rFonts w:eastAsia="Times New Roman"/>
      <w:lang w:eastAsia="en-GB"/>
    </w:rPr>
  </w:style>
  <w:style w:type="paragraph" w:styleId="ListParagraph">
    <w:name w:val="List Paragraph"/>
    <w:basedOn w:val="Normal"/>
    <w:uiPriority w:val="34"/>
    <w:qFormat/>
    <w:rsid w:val="009D1FEE"/>
    <w:pPr>
      <w:ind w:left="720"/>
      <w:contextualSpacing/>
    </w:pPr>
    <w:rPr>
      <w:rFonts w:eastAsia="Times New Roman"/>
      <w:lang w:eastAsia="en-GB"/>
    </w:rPr>
  </w:style>
  <w:style w:type="character" w:styleId="UnresolvedMention">
    <w:name w:val="Unresolved Mention"/>
    <w:basedOn w:val="DefaultParagraphFont"/>
    <w:uiPriority w:val="99"/>
    <w:semiHidden/>
    <w:unhideWhenUsed/>
    <w:rsid w:val="009D1FEE"/>
    <w:rPr>
      <w:color w:val="605E5C"/>
      <w:shd w:val="clear" w:color="auto" w:fill="E1DFDD"/>
    </w:rPr>
  </w:style>
  <w:style w:type="character" w:styleId="Strong">
    <w:name w:val="Strong"/>
    <w:basedOn w:val="DefaultParagraphFont"/>
    <w:qFormat/>
    <w:rsid w:val="009D1FEE"/>
    <w:rPr>
      <w:b/>
      <w:bCs/>
    </w:rPr>
  </w:style>
  <w:style w:type="character" w:styleId="Emphasis">
    <w:name w:val="Emphasis"/>
    <w:basedOn w:val="DefaultParagraphFont"/>
    <w:qFormat/>
    <w:rsid w:val="009D1FEE"/>
    <w:rPr>
      <w:i/>
      <w:iCs/>
    </w:rPr>
  </w:style>
  <w:style w:type="character" w:styleId="Mention">
    <w:name w:val="Mention"/>
    <w:basedOn w:val="DefaultParagraphFont"/>
    <w:uiPriority w:val="99"/>
    <w:unhideWhenUsed/>
    <w:rsid w:val="009D1FEE"/>
    <w:rPr>
      <w:color w:val="2B579A"/>
      <w:shd w:val="clear" w:color="auto" w:fill="E1DFDD"/>
    </w:rPr>
  </w:style>
  <w:style w:type="character" w:customStyle="1" w:styleId="normaltextrun">
    <w:name w:val="normaltextrun"/>
    <w:basedOn w:val="DefaultParagraphFont"/>
    <w:rsid w:val="009D1FEE"/>
  </w:style>
  <w:style w:type="character" w:customStyle="1" w:styleId="eop">
    <w:name w:val="eop"/>
    <w:basedOn w:val="DefaultParagraphFont"/>
    <w:rsid w:val="009D1FEE"/>
  </w:style>
  <w:style w:type="paragraph" w:customStyle="1" w:styleId="NormalPara">
    <w:name w:val="Normal # Para"/>
    <w:basedOn w:val="Normal"/>
    <w:qFormat/>
    <w:rsid w:val="00E340EF"/>
    <w:pPr>
      <w:numPr>
        <w:numId w:val="17"/>
      </w:numPr>
      <w:spacing w:before="0" w:after="240" w:line="288" w:lineRule="auto"/>
    </w:pPr>
    <w:rPr>
      <w:szCs w:val="24"/>
      <w:lang w:val="en-IE"/>
    </w:rPr>
  </w:style>
  <w:style w:type="paragraph" w:customStyle="1" w:styleId="CharCharChar1">
    <w:name w:val="Char Char Char1"/>
    <w:basedOn w:val="Normal"/>
    <w:link w:val="FootnoteReference"/>
    <w:uiPriority w:val="99"/>
    <w:rsid w:val="00E340EF"/>
    <w:pPr>
      <w:spacing w:before="0" w:after="160" w:line="240" w:lineRule="exact"/>
    </w:pPr>
    <w:rPr>
      <w:rFonts w:asciiTheme="minorHAnsi" w:hAnsiTheme="minorHAnsi" w:cstheme="minorBidi"/>
      <w:sz w:val="22"/>
      <w:vertAlign w:val="superscript"/>
      <w:lang w:val="en-US"/>
    </w:rPr>
  </w:style>
  <w:style w:type="character" w:customStyle="1" w:styleId="superscript">
    <w:name w:val="superscript"/>
    <w:basedOn w:val="DefaultParagraphFont"/>
    <w:rsid w:val="00F2690B"/>
  </w:style>
  <w:style w:type="paragraph" w:customStyle="1" w:styleId="paragraph">
    <w:name w:val="paragraph"/>
    <w:basedOn w:val="Normal"/>
    <w:rsid w:val="008D6236"/>
    <w:pPr>
      <w:spacing w:before="100" w:beforeAutospacing="1" w:after="100" w:afterAutospacing="1"/>
      <w:jc w:val="left"/>
    </w:pPr>
    <w:rPr>
      <w:rFonts w:eastAsia="Times New Roman"/>
      <w:szCs w:val="24"/>
      <w:lang w:val="en-IE" w:eastAsia="en-IE"/>
    </w:rPr>
  </w:style>
  <w:style w:type="paragraph" w:styleId="Header">
    <w:name w:val="header"/>
    <w:basedOn w:val="Normal"/>
    <w:link w:val="HeaderChar"/>
    <w:uiPriority w:val="99"/>
    <w:unhideWhenUsed/>
    <w:rsid w:val="00D6173F"/>
    <w:pPr>
      <w:tabs>
        <w:tab w:val="center" w:pos="4535"/>
        <w:tab w:val="right" w:pos="9071"/>
      </w:tabs>
      <w:spacing w:before="0"/>
    </w:pPr>
  </w:style>
  <w:style w:type="character" w:customStyle="1" w:styleId="HeaderChar">
    <w:name w:val="Header Char"/>
    <w:basedOn w:val="DefaultParagraphFont"/>
    <w:link w:val="Header"/>
    <w:uiPriority w:val="99"/>
    <w:rsid w:val="00D6173F"/>
    <w:rPr>
      <w:rFonts w:ascii="Times New Roman" w:hAnsi="Times New Roman" w:cs="Times New Roman"/>
      <w:sz w:val="24"/>
      <w:lang w:val="en-GB"/>
    </w:rPr>
  </w:style>
  <w:style w:type="paragraph" w:styleId="Footer">
    <w:name w:val="footer"/>
    <w:basedOn w:val="Normal"/>
    <w:link w:val="FooterChar"/>
    <w:uiPriority w:val="99"/>
    <w:unhideWhenUsed/>
    <w:rsid w:val="00D6173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6173F"/>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6173F"/>
    <w:pPr>
      <w:tabs>
        <w:tab w:val="center" w:pos="7285"/>
        <w:tab w:val="right" w:pos="14003"/>
      </w:tabs>
      <w:spacing w:before="0"/>
    </w:pPr>
  </w:style>
  <w:style w:type="paragraph" w:customStyle="1" w:styleId="FooterLandscape">
    <w:name w:val="FooterLandscape"/>
    <w:basedOn w:val="Normal"/>
    <w:rsid w:val="00D6173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D6173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6173F"/>
    <w:pPr>
      <w:spacing w:before="0"/>
      <w:jc w:val="right"/>
    </w:pPr>
    <w:rPr>
      <w:sz w:val="28"/>
    </w:rPr>
  </w:style>
  <w:style w:type="paragraph" w:customStyle="1" w:styleId="FooterSensitivity">
    <w:name w:val="Footer Sensitivity"/>
    <w:basedOn w:val="Normal"/>
    <w:rsid w:val="00D6173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Tiret5">
    <w:name w:val="Tiret 5"/>
    <w:basedOn w:val="Point5"/>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NumPar5">
    <w:name w:val="NumPar 5"/>
    <w:basedOn w:val="Normal"/>
    <w:next w:val="Text2"/>
    <w:pPr>
      <w:numPr>
        <w:ilvl w:val="4"/>
        <w:numId w:val="35"/>
      </w:numPr>
    </w:pPr>
  </w:style>
  <w:style w:type="paragraph" w:customStyle="1" w:styleId="NumPar6">
    <w:name w:val="NumPar 6"/>
    <w:basedOn w:val="Normal"/>
    <w:next w:val="Text2"/>
    <w:pPr>
      <w:numPr>
        <w:ilvl w:val="5"/>
        <w:numId w:val="35"/>
      </w:numPr>
    </w:pPr>
  </w:style>
  <w:style w:type="paragraph" w:customStyle="1" w:styleId="NumPar7">
    <w:name w:val="NumPar 7"/>
    <w:basedOn w:val="Normal"/>
    <w:next w:val="Text2"/>
    <w:pPr>
      <w:numPr>
        <w:ilvl w:val="6"/>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6424">
      <w:bodyDiv w:val="1"/>
      <w:marLeft w:val="0"/>
      <w:marRight w:val="0"/>
      <w:marTop w:val="0"/>
      <w:marBottom w:val="0"/>
      <w:divBdr>
        <w:top w:val="none" w:sz="0" w:space="0" w:color="auto"/>
        <w:left w:val="none" w:sz="0" w:space="0" w:color="auto"/>
        <w:bottom w:val="none" w:sz="0" w:space="0" w:color="auto"/>
        <w:right w:val="none" w:sz="0" w:space="0" w:color="auto"/>
      </w:divBdr>
    </w:div>
    <w:div w:id="123231214">
      <w:bodyDiv w:val="1"/>
      <w:marLeft w:val="0"/>
      <w:marRight w:val="0"/>
      <w:marTop w:val="0"/>
      <w:marBottom w:val="0"/>
      <w:divBdr>
        <w:top w:val="none" w:sz="0" w:space="0" w:color="auto"/>
        <w:left w:val="none" w:sz="0" w:space="0" w:color="auto"/>
        <w:bottom w:val="none" w:sz="0" w:space="0" w:color="auto"/>
        <w:right w:val="none" w:sz="0" w:space="0" w:color="auto"/>
      </w:divBdr>
    </w:div>
    <w:div w:id="151141209">
      <w:bodyDiv w:val="1"/>
      <w:marLeft w:val="0"/>
      <w:marRight w:val="0"/>
      <w:marTop w:val="0"/>
      <w:marBottom w:val="0"/>
      <w:divBdr>
        <w:top w:val="none" w:sz="0" w:space="0" w:color="auto"/>
        <w:left w:val="none" w:sz="0" w:space="0" w:color="auto"/>
        <w:bottom w:val="none" w:sz="0" w:space="0" w:color="auto"/>
        <w:right w:val="none" w:sz="0" w:space="0" w:color="auto"/>
      </w:divBdr>
    </w:div>
    <w:div w:id="178858535">
      <w:bodyDiv w:val="1"/>
      <w:marLeft w:val="0"/>
      <w:marRight w:val="0"/>
      <w:marTop w:val="0"/>
      <w:marBottom w:val="0"/>
      <w:divBdr>
        <w:top w:val="none" w:sz="0" w:space="0" w:color="auto"/>
        <w:left w:val="none" w:sz="0" w:space="0" w:color="auto"/>
        <w:bottom w:val="none" w:sz="0" w:space="0" w:color="auto"/>
        <w:right w:val="none" w:sz="0" w:space="0" w:color="auto"/>
      </w:divBdr>
    </w:div>
    <w:div w:id="243148410">
      <w:bodyDiv w:val="1"/>
      <w:marLeft w:val="0"/>
      <w:marRight w:val="0"/>
      <w:marTop w:val="0"/>
      <w:marBottom w:val="0"/>
      <w:divBdr>
        <w:top w:val="none" w:sz="0" w:space="0" w:color="auto"/>
        <w:left w:val="none" w:sz="0" w:space="0" w:color="auto"/>
        <w:bottom w:val="none" w:sz="0" w:space="0" w:color="auto"/>
        <w:right w:val="none" w:sz="0" w:space="0" w:color="auto"/>
      </w:divBdr>
    </w:div>
    <w:div w:id="246965651">
      <w:bodyDiv w:val="1"/>
      <w:marLeft w:val="0"/>
      <w:marRight w:val="0"/>
      <w:marTop w:val="0"/>
      <w:marBottom w:val="0"/>
      <w:divBdr>
        <w:top w:val="none" w:sz="0" w:space="0" w:color="auto"/>
        <w:left w:val="none" w:sz="0" w:space="0" w:color="auto"/>
        <w:bottom w:val="none" w:sz="0" w:space="0" w:color="auto"/>
        <w:right w:val="none" w:sz="0" w:space="0" w:color="auto"/>
      </w:divBdr>
    </w:div>
    <w:div w:id="339502979">
      <w:bodyDiv w:val="1"/>
      <w:marLeft w:val="0"/>
      <w:marRight w:val="0"/>
      <w:marTop w:val="0"/>
      <w:marBottom w:val="0"/>
      <w:divBdr>
        <w:top w:val="none" w:sz="0" w:space="0" w:color="auto"/>
        <w:left w:val="none" w:sz="0" w:space="0" w:color="auto"/>
        <w:bottom w:val="none" w:sz="0" w:space="0" w:color="auto"/>
        <w:right w:val="none" w:sz="0" w:space="0" w:color="auto"/>
      </w:divBdr>
    </w:div>
    <w:div w:id="466630138">
      <w:bodyDiv w:val="1"/>
      <w:marLeft w:val="0"/>
      <w:marRight w:val="0"/>
      <w:marTop w:val="0"/>
      <w:marBottom w:val="0"/>
      <w:divBdr>
        <w:top w:val="none" w:sz="0" w:space="0" w:color="auto"/>
        <w:left w:val="none" w:sz="0" w:space="0" w:color="auto"/>
        <w:bottom w:val="none" w:sz="0" w:space="0" w:color="auto"/>
        <w:right w:val="none" w:sz="0" w:space="0" w:color="auto"/>
      </w:divBdr>
    </w:div>
    <w:div w:id="481390627">
      <w:bodyDiv w:val="1"/>
      <w:marLeft w:val="0"/>
      <w:marRight w:val="0"/>
      <w:marTop w:val="0"/>
      <w:marBottom w:val="0"/>
      <w:divBdr>
        <w:top w:val="none" w:sz="0" w:space="0" w:color="auto"/>
        <w:left w:val="none" w:sz="0" w:space="0" w:color="auto"/>
        <w:bottom w:val="none" w:sz="0" w:space="0" w:color="auto"/>
        <w:right w:val="none" w:sz="0" w:space="0" w:color="auto"/>
      </w:divBdr>
    </w:div>
    <w:div w:id="597056115">
      <w:bodyDiv w:val="1"/>
      <w:marLeft w:val="0"/>
      <w:marRight w:val="0"/>
      <w:marTop w:val="0"/>
      <w:marBottom w:val="0"/>
      <w:divBdr>
        <w:top w:val="none" w:sz="0" w:space="0" w:color="auto"/>
        <w:left w:val="none" w:sz="0" w:space="0" w:color="auto"/>
        <w:bottom w:val="none" w:sz="0" w:space="0" w:color="auto"/>
        <w:right w:val="none" w:sz="0" w:space="0" w:color="auto"/>
      </w:divBdr>
    </w:div>
    <w:div w:id="809984680">
      <w:bodyDiv w:val="1"/>
      <w:marLeft w:val="0"/>
      <w:marRight w:val="0"/>
      <w:marTop w:val="0"/>
      <w:marBottom w:val="0"/>
      <w:divBdr>
        <w:top w:val="none" w:sz="0" w:space="0" w:color="auto"/>
        <w:left w:val="none" w:sz="0" w:space="0" w:color="auto"/>
        <w:bottom w:val="none" w:sz="0" w:space="0" w:color="auto"/>
        <w:right w:val="none" w:sz="0" w:space="0" w:color="auto"/>
      </w:divBdr>
    </w:div>
    <w:div w:id="992490293">
      <w:bodyDiv w:val="1"/>
      <w:marLeft w:val="0"/>
      <w:marRight w:val="0"/>
      <w:marTop w:val="0"/>
      <w:marBottom w:val="0"/>
      <w:divBdr>
        <w:top w:val="none" w:sz="0" w:space="0" w:color="auto"/>
        <w:left w:val="none" w:sz="0" w:space="0" w:color="auto"/>
        <w:bottom w:val="none" w:sz="0" w:space="0" w:color="auto"/>
        <w:right w:val="none" w:sz="0" w:space="0" w:color="auto"/>
      </w:divBdr>
    </w:div>
    <w:div w:id="1005404872">
      <w:bodyDiv w:val="1"/>
      <w:marLeft w:val="0"/>
      <w:marRight w:val="0"/>
      <w:marTop w:val="0"/>
      <w:marBottom w:val="0"/>
      <w:divBdr>
        <w:top w:val="none" w:sz="0" w:space="0" w:color="auto"/>
        <w:left w:val="none" w:sz="0" w:space="0" w:color="auto"/>
        <w:bottom w:val="none" w:sz="0" w:space="0" w:color="auto"/>
        <w:right w:val="none" w:sz="0" w:space="0" w:color="auto"/>
      </w:divBdr>
    </w:div>
    <w:div w:id="1212838422">
      <w:bodyDiv w:val="1"/>
      <w:marLeft w:val="0"/>
      <w:marRight w:val="0"/>
      <w:marTop w:val="0"/>
      <w:marBottom w:val="0"/>
      <w:divBdr>
        <w:top w:val="none" w:sz="0" w:space="0" w:color="auto"/>
        <w:left w:val="none" w:sz="0" w:space="0" w:color="auto"/>
        <w:bottom w:val="none" w:sz="0" w:space="0" w:color="auto"/>
        <w:right w:val="none" w:sz="0" w:space="0" w:color="auto"/>
      </w:divBdr>
    </w:div>
    <w:div w:id="1376811876">
      <w:bodyDiv w:val="1"/>
      <w:marLeft w:val="0"/>
      <w:marRight w:val="0"/>
      <w:marTop w:val="0"/>
      <w:marBottom w:val="0"/>
      <w:divBdr>
        <w:top w:val="none" w:sz="0" w:space="0" w:color="auto"/>
        <w:left w:val="none" w:sz="0" w:space="0" w:color="auto"/>
        <w:bottom w:val="none" w:sz="0" w:space="0" w:color="auto"/>
        <w:right w:val="none" w:sz="0" w:space="0" w:color="auto"/>
      </w:divBdr>
    </w:div>
    <w:div w:id="1398433000">
      <w:bodyDiv w:val="1"/>
      <w:marLeft w:val="0"/>
      <w:marRight w:val="0"/>
      <w:marTop w:val="0"/>
      <w:marBottom w:val="0"/>
      <w:divBdr>
        <w:top w:val="none" w:sz="0" w:space="0" w:color="auto"/>
        <w:left w:val="none" w:sz="0" w:space="0" w:color="auto"/>
        <w:bottom w:val="none" w:sz="0" w:space="0" w:color="auto"/>
        <w:right w:val="none" w:sz="0" w:space="0" w:color="auto"/>
      </w:divBdr>
    </w:div>
    <w:div w:id="1502507941">
      <w:bodyDiv w:val="1"/>
      <w:marLeft w:val="0"/>
      <w:marRight w:val="0"/>
      <w:marTop w:val="0"/>
      <w:marBottom w:val="0"/>
      <w:divBdr>
        <w:top w:val="none" w:sz="0" w:space="0" w:color="auto"/>
        <w:left w:val="none" w:sz="0" w:space="0" w:color="auto"/>
        <w:bottom w:val="none" w:sz="0" w:space="0" w:color="auto"/>
        <w:right w:val="none" w:sz="0" w:space="0" w:color="auto"/>
      </w:divBdr>
    </w:div>
    <w:div w:id="1520268138">
      <w:bodyDiv w:val="1"/>
      <w:marLeft w:val="0"/>
      <w:marRight w:val="0"/>
      <w:marTop w:val="0"/>
      <w:marBottom w:val="0"/>
      <w:divBdr>
        <w:top w:val="none" w:sz="0" w:space="0" w:color="auto"/>
        <w:left w:val="none" w:sz="0" w:space="0" w:color="auto"/>
        <w:bottom w:val="none" w:sz="0" w:space="0" w:color="auto"/>
        <w:right w:val="none" w:sz="0" w:space="0" w:color="auto"/>
      </w:divBdr>
    </w:div>
    <w:div w:id="1644120672">
      <w:bodyDiv w:val="1"/>
      <w:marLeft w:val="0"/>
      <w:marRight w:val="0"/>
      <w:marTop w:val="0"/>
      <w:marBottom w:val="0"/>
      <w:divBdr>
        <w:top w:val="none" w:sz="0" w:space="0" w:color="auto"/>
        <w:left w:val="none" w:sz="0" w:space="0" w:color="auto"/>
        <w:bottom w:val="none" w:sz="0" w:space="0" w:color="auto"/>
        <w:right w:val="none" w:sz="0" w:space="0" w:color="auto"/>
      </w:divBdr>
    </w:div>
    <w:div w:id="1696032237">
      <w:bodyDiv w:val="1"/>
      <w:marLeft w:val="0"/>
      <w:marRight w:val="0"/>
      <w:marTop w:val="0"/>
      <w:marBottom w:val="0"/>
      <w:divBdr>
        <w:top w:val="none" w:sz="0" w:space="0" w:color="auto"/>
        <w:left w:val="none" w:sz="0" w:space="0" w:color="auto"/>
        <w:bottom w:val="none" w:sz="0" w:space="0" w:color="auto"/>
        <w:right w:val="none" w:sz="0" w:space="0" w:color="auto"/>
      </w:divBdr>
    </w:div>
    <w:div w:id="1807311260">
      <w:bodyDiv w:val="1"/>
      <w:marLeft w:val="0"/>
      <w:marRight w:val="0"/>
      <w:marTop w:val="0"/>
      <w:marBottom w:val="0"/>
      <w:divBdr>
        <w:top w:val="none" w:sz="0" w:space="0" w:color="auto"/>
        <w:left w:val="none" w:sz="0" w:space="0" w:color="auto"/>
        <w:bottom w:val="none" w:sz="0" w:space="0" w:color="auto"/>
        <w:right w:val="none" w:sz="0" w:space="0" w:color="auto"/>
      </w:divBdr>
      <w:divsChild>
        <w:div w:id="1627740603">
          <w:marLeft w:val="0"/>
          <w:marRight w:val="0"/>
          <w:marTop w:val="0"/>
          <w:marBottom w:val="0"/>
          <w:divBdr>
            <w:top w:val="none" w:sz="0" w:space="0" w:color="auto"/>
            <w:left w:val="none" w:sz="0" w:space="0" w:color="auto"/>
            <w:bottom w:val="none" w:sz="0" w:space="0" w:color="auto"/>
            <w:right w:val="none" w:sz="0" w:space="0" w:color="auto"/>
          </w:divBdr>
        </w:div>
        <w:div w:id="1874879534">
          <w:marLeft w:val="0"/>
          <w:marRight w:val="0"/>
          <w:marTop w:val="0"/>
          <w:marBottom w:val="0"/>
          <w:divBdr>
            <w:top w:val="none" w:sz="0" w:space="0" w:color="auto"/>
            <w:left w:val="none" w:sz="0" w:space="0" w:color="auto"/>
            <w:bottom w:val="none" w:sz="0" w:space="0" w:color="auto"/>
            <w:right w:val="none" w:sz="0" w:space="0" w:color="auto"/>
          </w:divBdr>
        </w:div>
      </w:divsChild>
    </w:div>
    <w:div w:id="1883590517">
      <w:bodyDiv w:val="1"/>
      <w:marLeft w:val="0"/>
      <w:marRight w:val="0"/>
      <w:marTop w:val="0"/>
      <w:marBottom w:val="0"/>
      <w:divBdr>
        <w:top w:val="none" w:sz="0" w:space="0" w:color="auto"/>
        <w:left w:val="none" w:sz="0" w:space="0" w:color="auto"/>
        <w:bottom w:val="none" w:sz="0" w:space="0" w:color="auto"/>
        <w:right w:val="none" w:sz="0" w:space="0" w:color="auto"/>
      </w:divBdr>
    </w:div>
    <w:div w:id="2077315351">
      <w:bodyDiv w:val="1"/>
      <w:marLeft w:val="0"/>
      <w:marRight w:val="0"/>
      <w:marTop w:val="0"/>
      <w:marBottom w:val="0"/>
      <w:divBdr>
        <w:top w:val="none" w:sz="0" w:space="0" w:color="auto"/>
        <w:left w:val="none" w:sz="0" w:space="0" w:color="auto"/>
        <w:bottom w:val="none" w:sz="0" w:space="0" w:color="auto"/>
        <w:right w:val="none" w:sz="0" w:space="0" w:color="auto"/>
      </w:divBdr>
    </w:div>
    <w:div w:id="210888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data.europa.eu/eli/reg_del/2019/815/oj" TargetMode="Externa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0.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0/852/oj" TargetMode="External"/><Relationship Id="rId2" Type="http://schemas.openxmlformats.org/officeDocument/2006/relationships/hyperlink" Target="http://data.europa.eu/eli/dir/2006/43/oj" TargetMode="External"/><Relationship Id="rId1" Type="http://schemas.openxmlformats.org/officeDocument/2006/relationships/hyperlink" Target="https://ec.europa.eu/info/law/better-regulation/have-your-say/initiatives/13990-Administrative-burden-rationalisation-of-reporting-requirement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7" ma:contentTypeDescription="Create a new document." ma:contentTypeScope="" ma:versionID="f73c37285628b2366a89f641e7689f71">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d0c70d7dd3deae9a87ba71169aedc48e"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E42AD-9ED4-4A6D-A2B3-52E1A9CBEEF9}">
  <ds:schemaRefs>
    <ds:schemaRef ds:uri="http://schemas.openxmlformats.org/officeDocument/2006/bibliography"/>
  </ds:schemaRefs>
</ds:datastoreItem>
</file>

<file path=customXml/itemProps2.xml><?xml version="1.0" encoding="utf-8"?>
<ds:datastoreItem xmlns:ds="http://schemas.openxmlformats.org/officeDocument/2006/customXml" ds:itemID="{838575CD-3B7A-4854-85F9-3863316A43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7815CF-4C0B-4227-A363-A8DE019A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58359-CF73-43E7-9AC2-400FF56E8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52</Pages>
  <Words>22666</Words>
  <Characters>128976</Characters>
  <Application>Microsoft Office Word</Application>
  <DocSecurity>0</DocSecurity>
  <Lines>1984</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151123</CharactersWithSpaces>
  <SharedDoc>false</SharedDoc>
  <HLinks>
    <vt:vector size="288" baseType="variant">
      <vt:variant>
        <vt:i4>1441853</vt:i4>
      </vt:variant>
      <vt:variant>
        <vt:i4>263</vt:i4>
      </vt:variant>
      <vt:variant>
        <vt:i4>0</vt:i4>
      </vt:variant>
      <vt:variant>
        <vt:i4>5</vt:i4>
      </vt:variant>
      <vt:variant>
        <vt:lpwstr/>
      </vt:variant>
      <vt:variant>
        <vt:lpwstr>_Toc191189509</vt:lpwstr>
      </vt:variant>
      <vt:variant>
        <vt:i4>1441853</vt:i4>
      </vt:variant>
      <vt:variant>
        <vt:i4>257</vt:i4>
      </vt:variant>
      <vt:variant>
        <vt:i4>0</vt:i4>
      </vt:variant>
      <vt:variant>
        <vt:i4>5</vt:i4>
      </vt:variant>
      <vt:variant>
        <vt:lpwstr/>
      </vt:variant>
      <vt:variant>
        <vt:lpwstr>_Toc191189508</vt:lpwstr>
      </vt:variant>
      <vt:variant>
        <vt:i4>1441853</vt:i4>
      </vt:variant>
      <vt:variant>
        <vt:i4>251</vt:i4>
      </vt:variant>
      <vt:variant>
        <vt:i4>0</vt:i4>
      </vt:variant>
      <vt:variant>
        <vt:i4>5</vt:i4>
      </vt:variant>
      <vt:variant>
        <vt:lpwstr/>
      </vt:variant>
      <vt:variant>
        <vt:lpwstr>_Toc191189507</vt:lpwstr>
      </vt:variant>
      <vt:variant>
        <vt:i4>1441853</vt:i4>
      </vt:variant>
      <vt:variant>
        <vt:i4>245</vt:i4>
      </vt:variant>
      <vt:variant>
        <vt:i4>0</vt:i4>
      </vt:variant>
      <vt:variant>
        <vt:i4>5</vt:i4>
      </vt:variant>
      <vt:variant>
        <vt:lpwstr/>
      </vt:variant>
      <vt:variant>
        <vt:lpwstr>_Toc191189506</vt:lpwstr>
      </vt:variant>
      <vt:variant>
        <vt:i4>1441853</vt:i4>
      </vt:variant>
      <vt:variant>
        <vt:i4>239</vt:i4>
      </vt:variant>
      <vt:variant>
        <vt:i4>0</vt:i4>
      </vt:variant>
      <vt:variant>
        <vt:i4>5</vt:i4>
      </vt:variant>
      <vt:variant>
        <vt:lpwstr/>
      </vt:variant>
      <vt:variant>
        <vt:lpwstr>_Toc191189505</vt:lpwstr>
      </vt:variant>
      <vt:variant>
        <vt:i4>1441853</vt:i4>
      </vt:variant>
      <vt:variant>
        <vt:i4>233</vt:i4>
      </vt:variant>
      <vt:variant>
        <vt:i4>0</vt:i4>
      </vt:variant>
      <vt:variant>
        <vt:i4>5</vt:i4>
      </vt:variant>
      <vt:variant>
        <vt:lpwstr/>
      </vt:variant>
      <vt:variant>
        <vt:lpwstr>_Toc191189504</vt:lpwstr>
      </vt:variant>
      <vt:variant>
        <vt:i4>1441853</vt:i4>
      </vt:variant>
      <vt:variant>
        <vt:i4>227</vt:i4>
      </vt:variant>
      <vt:variant>
        <vt:i4>0</vt:i4>
      </vt:variant>
      <vt:variant>
        <vt:i4>5</vt:i4>
      </vt:variant>
      <vt:variant>
        <vt:lpwstr/>
      </vt:variant>
      <vt:variant>
        <vt:lpwstr>_Toc191189503</vt:lpwstr>
      </vt:variant>
      <vt:variant>
        <vt:i4>1441853</vt:i4>
      </vt:variant>
      <vt:variant>
        <vt:i4>221</vt:i4>
      </vt:variant>
      <vt:variant>
        <vt:i4>0</vt:i4>
      </vt:variant>
      <vt:variant>
        <vt:i4>5</vt:i4>
      </vt:variant>
      <vt:variant>
        <vt:lpwstr/>
      </vt:variant>
      <vt:variant>
        <vt:lpwstr>_Toc191189502</vt:lpwstr>
      </vt:variant>
      <vt:variant>
        <vt:i4>1441853</vt:i4>
      </vt:variant>
      <vt:variant>
        <vt:i4>215</vt:i4>
      </vt:variant>
      <vt:variant>
        <vt:i4>0</vt:i4>
      </vt:variant>
      <vt:variant>
        <vt:i4>5</vt:i4>
      </vt:variant>
      <vt:variant>
        <vt:lpwstr/>
      </vt:variant>
      <vt:variant>
        <vt:lpwstr>_Toc191189501</vt:lpwstr>
      </vt:variant>
      <vt:variant>
        <vt:i4>1441853</vt:i4>
      </vt:variant>
      <vt:variant>
        <vt:i4>209</vt:i4>
      </vt:variant>
      <vt:variant>
        <vt:i4>0</vt:i4>
      </vt:variant>
      <vt:variant>
        <vt:i4>5</vt:i4>
      </vt:variant>
      <vt:variant>
        <vt:lpwstr/>
      </vt:variant>
      <vt:variant>
        <vt:lpwstr>_Toc191189500</vt:lpwstr>
      </vt:variant>
      <vt:variant>
        <vt:i4>2031676</vt:i4>
      </vt:variant>
      <vt:variant>
        <vt:i4>203</vt:i4>
      </vt:variant>
      <vt:variant>
        <vt:i4>0</vt:i4>
      </vt:variant>
      <vt:variant>
        <vt:i4>5</vt:i4>
      </vt:variant>
      <vt:variant>
        <vt:lpwstr/>
      </vt:variant>
      <vt:variant>
        <vt:lpwstr>_Toc191189499</vt:lpwstr>
      </vt:variant>
      <vt:variant>
        <vt:i4>2031676</vt:i4>
      </vt:variant>
      <vt:variant>
        <vt:i4>197</vt:i4>
      </vt:variant>
      <vt:variant>
        <vt:i4>0</vt:i4>
      </vt:variant>
      <vt:variant>
        <vt:i4>5</vt:i4>
      </vt:variant>
      <vt:variant>
        <vt:lpwstr/>
      </vt:variant>
      <vt:variant>
        <vt:lpwstr>_Toc191189498</vt:lpwstr>
      </vt:variant>
      <vt:variant>
        <vt:i4>2031676</vt:i4>
      </vt:variant>
      <vt:variant>
        <vt:i4>191</vt:i4>
      </vt:variant>
      <vt:variant>
        <vt:i4>0</vt:i4>
      </vt:variant>
      <vt:variant>
        <vt:i4>5</vt:i4>
      </vt:variant>
      <vt:variant>
        <vt:lpwstr/>
      </vt:variant>
      <vt:variant>
        <vt:lpwstr>_Toc191189497</vt:lpwstr>
      </vt:variant>
      <vt:variant>
        <vt:i4>2031676</vt:i4>
      </vt:variant>
      <vt:variant>
        <vt:i4>185</vt:i4>
      </vt:variant>
      <vt:variant>
        <vt:i4>0</vt:i4>
      </vt:variant>
      <vt:variant>
        <vt:i4>5</vt:i4>
      </vt:variant>
      <vt:variant>
        <vt:lpwstr/>
      </vt:variant>
      <vt:variant>
        <vt:lpwstr>_Toc191189496</vt:lpwstr>
      </vt:variant>
      <vt:variant>
        <vt:i4>2031676</vt:i4>
      </vt:variant>
      <vt:variant>
        <vt:i4>179</vt:i4>
      </vt:variant>
      <vt:variant>
        <vt:i4>0</vt:i4>
      </vt:variant>
      <vt:variant>
        <vt:i4>5</vt:i4>
      </vt:variant>
      <vt:variant>
        <vt:lpwstr/>
      </vt:variant>
      <vt:variant>
        <vt:lpwstr>_Toc191189495</vt:lpwstr>
      </vt:variant>
      <vt:variant>
        <vt:i4>2031676</vt:i4>
      </vt:variant>
      <vt:variant>
        <vt:i4>173</vt:i4>
      </vt:variant>
      <vt:variant>
        <vt:i4>0</vt:i4>
      </vt:variant>
      <vt:variant>
        <vt:i4>5</vt:i4>
      </vt:variant>
      <vt:variant>
        <vt:lpwstr/>
      </vt:variant>
      <vt:variant>
        <vt:lpwstr>_Toc191189494</vt:lpwstr>
      </vt:variant>
      <vt:variant>
        <vt:i4>2031676</vt:i4>
      </vt:variant>
      <vt:variant>
        <vt:i4>167</vt:i4>
      </vt:variant>
      <vt:variant>
        <vt:i4>0</vt:i4>
      </vt:variant>
      <vt:variant>
        <vt:i4>5</vt:i4>
      </vt:variant>
      <vt:variant>
        <vt:lpwstr/>
      </vt:variant>
      <vt:variant>
        <vt:lpwstr>_Toc191189493</vt:lpwstr>
      </vt:variant>
      <vt:variant>
        <vt:i4>2031676</vt:i4>
      </vt:variant>
      <vt:variant>
        <vt:i4>161</vt:i4>
      </vt:variant>
      <vt:variant>
        <vt:i4>0</vt:i4>
      </vt:variant>
      <vt:variant>
        <vt:i4>5</vt:i4>
      </vt:variant>
      <vt:variant>
        <vt:lpwstr/>
      </vt:variant>
      <vt:variant>
        <vt:lpwstr>_Toc191189492</vt:lpwstr>
      </vt:variant>
      <vt:variant>
        <vt:i4>2031676</vt:i4>
      </vt:variant>
      <vt:variant>
        <vt:i4>155</vt:i4>
      </vt:variant>
      <vt:variant>
        <vt:i4>0</vt:i4>
      </vt:variant>
      <vt:variant>
        <vt:i4>5</vt:i4>
      </vt:variant>
      <vt:variant>
        <vt:lpwstr/>
      </vt:variant>
      <vt:variant>
        <vt:lpwstr>_Toc191189491</vt:lpwstr>
      </vt:variant>
      <vt:variant>
        <vt:i4>2031676</vt:i4>
      </vt:variant>
      <vt:variant>
        <vt:i4>149</vt:i4>
      </vt:variant>
      <vt:variant>
        <vt:i4>0</vt:i4>
      </vt:variant>
      <vt:variant>
        <vt:i4>5</vt:i4>
      </vt:variant>
      <vt:variant>
        <vt:lpwstr/>
      </vt:variant>
      <vt:variant>
        <vt:lpwstr>_Toc191189490</vt:lpwstr>
      </vt:variant>
      <vt:variant>
        <vt:i4>1966140</vt:i4>
      </vt:variant>
      <vt:variant>
        <vt:i4>143</vt:i4>
      </vt:variant>
      <vt:variant>
        <vt:i4>0</vt:i4>
      </vt:variant>
      <vt:variant>
        <vt:i4>5</vt:i4>
      </vt:variant>
      <vt:variant>
        <vt:lpwstr/>
      </vt:variant>
      <vt:variant>
        <vt:lpwstr>_Toc191189489</vt:lpwstr>
      </vt:variant>
      <vt:variant>
        <vt:i4>1966140</vt:i4>
      </vt:variant>
      <vt:variant>
        <vt:i4>137</vt:i4>
      </vt:variant>
      <vt:variant>
        <vt:i4>0</vt:i4>
      </vt:variant>
      <vt:variant>
        <vt:i4>5</vt:i4>
      </vt:variant>
      <vt:variant>
        <vt:lpwstr/>
      </vt:variant>
      <vt:variant>
        <vt:lpwstr>_Toc191189488</vt:lpwstr>
      </vt:variant>
      <vt:variant>
        <vt:i4>1966140</vt:i4>
      </vt:variant>
      <vt:variant>
        <vt:i4>131</vt:i4>
      </vt:variant>
      <vt:variant>
        <vt:i4>0</vt:i4>
      </vt:variant>
      <vt:variant>
        <vt:i4>5</vt:i4>
      </vt:variant>
      <vt:variant>
        <vt:lpwstr/>
      </vt:variant>
      <vt:variant>
        <vt:lpwstr>_Toc191189487</vt:lpwstr>
      </vt:variant>
      <vt:variant>
        <vt:i4>1966140</vt:i4>
      </vt:variant>
      <vt:variant>
        <vt:i4>125</vt:i4>
      </vt:variant>
      <vt:variant>
        <vt:i4>0</vt:i4>
      </vt:variant>
      <vt:variant>
        <vt:i4>5</vt:i4>
      </vt:variant>
      <vt:variant>
        <vt:lpwstr/>
      </vt:variant>
      <vt:variant>
        <vt:lpwstr>_Toc191189486</vt:lpwstr>
      </vt:variant>
      <vt:variant>
        <vt:i4>1966140</vt:i4>
      </vt:variant>
      <vt:variant>
        <vt:i4>119</vt:i4>
      </vt:variant>
      <vt:variant>
        <vt:i4>0</vt:i4>
      </vt:variant>
      <vt:variant>
        <vt:i4>5</vt:i4>
      </vt:variant>
      <vt:variant>
        <vt:lpwstr/>
      </vt:variant>
      <vt:variant>
        <vt:lpwstr>_Toc191189485</vt:lpwstr>
      </vt:variant>
      <vt:variant>
        <vt:i4>1966140</vt:i4>
      </vt:variant>
      <vt:variant>
        <vt:i4>113</vt:i4>
      </vt:variant>
      <vt:variant>
        <vt:i4>0</vt:i4>
      </vt:variant>
      <vt:variant>
        <vt:i4>5</vt:i4>
      </vt:variant>
      <vt:variant>
        <vt:lpwstr/>
      </vt:variant>
      <vt:variant>
        <vt:lpwstr>_Toc191189484</vt:lpwstr>
      </vt:variant>
      <vt:variant>
        <vt:i4>1966140</vt:i4>
      </vt:variant>
      <vt:variant>
        <vt:i4>107</vt:i4>
      </vt:variant>
      <vt:variant>
        <vt:i4>0</vt:i4>
      </vt:variant>
      <vt:variant>
        <vt:i4>5</vt:i4>
      </vt:variant>
      <vt:variant>
        <vt:lpwstr/>
      </vt:variant>
      <vt:variant>
        <vt:lpwstr>_Toc191189483</vt:lpwstr>
      </vt:variant>
      <vt:variant>
        <vt:i4>1966140</vt:i4>
      </vt:variant>
      <vt:variant>
        <vt:i4>101</vt:i4>
      </vt:variant>
      <vt:variant>
        <vt:i4>0</vt:i4>
      </vt:variant>
      <vt:variant>
        <vt:i4>5</vt:i4>
      </vt:variant>
      <vt:variant>
        <vt:lpwstr/>
      </vt:variant>
      <vt:variant>
        <vt:lpwstr>_Toc191189482</vt:lpwstr>
      </vt:variant>
      <vt:variant>
        <vt:i4>1966140</vt:i4>
      </vt:variant>
      <vt:variant>
        <vt:i4>95</vt:i4>
      </vt:variant>
      <vt:variant>
        <vt:i4>0</vt:i4>
      </vt:variant>
      <vt:variant>
        <vt:i4>5</vt:i4>
      </vt:variant>
      <vt:variant>
        <vt:lpwstr/>
      </vt:variant>
      <vt:variant>
        <vt:lpwstr>_Toc191189481</vt:lpwstr>
      </vt:variant>
      <vt:variant>
        <vt:i4>1966140</vt:i4>
      </vt:variant>
      <vt:variant>
        <vt:i4>89</vt:i4>
      </vt:variant>
      <vt:variant>
        <vt:i4>0</vt:i4>
      </vt:variant>
      <vt:variant>
        <vt:i4>5</vt:i4>
      </vt:variant>
      <vt:variant>
        <vt:lpwstr/>
      </vt:variant>
      <vt:variant>
        <vt:lpwstr>_Toc191189480</vt:lpwstr>
      </vt:variant>
      <vt:variant>
        <vt:i4>1114172</vt:i4>
      </vt:variant>
      <vt:variant>
        <vt:i4>83</vt:i4>
      </vt:variant>
      <vt:variant>
        <vt:i4>0</vt:i4>
      </vt:variant>
      <vt:variant>
        <vt:i4>5</vt:i4>
      </vt:variant>
      <vt:variant>
        <vt:lpwstr/>
      </vt:variant>
      <vt:variant>
        <vt:lpwstr>_Toc191189479</vt:lpwstr>
      </vt:variant>
      <vt:variant>
        <vt:i4>1114172</vt:i4>
      </vt:variant>
      <vt:variant>
        <vt:i4>77</vt:i4>
      </vt:variant>
      <vt:variant>
        <vt:i4>0</vt:i4>
      </vt:variant>
      <vt:variant>
        <vt:i4>5</vt:i4>
      </vt:variant>
      <vt:variant>
        <vt:lpwstr/>
      </vt:variant>
      <vt:variant>
        <vt:lpwstr>_Toc191189478</vt:lpwstr>
      </vt:variant>
      <vt:variant>
        <vt:i4>1114172</vt:i4>
      </vt:variant>
      <vt:variant>
        <vt:i4>71</vt:i4>
      </vt:variant>
      <vt:variant>
        <vt:i4>0</vt:i4>
      </vt:variant>
      <vt:variant>
        <vt:i4>5</vt:i4>
      </vt:variant>
      <vt:variant>
        <vt:lpwstr/>
      </vt:variant>
      <vt:variant>
        <vt:lpwstr>_Toc191189477</vt:lpwstr>
      </vt:variant>
      <vt:variant>
        <vt:i4>1114172</vt:i4>
      </vt:variant>
      <vt:variant>
        <vt:i4>65</vt:i4>
      </vt:variant>
      <vt:variant>
        <vt:i4>0</vt:i4>
      </vt:variant>
      <vt:variant>
        <vt:i4>5</vt:i4>
      </vt:variant>
      <vt:variant>
        <vt:lpwstr/>
      </vt:variant>
      <vt:variant>
        <vt:lpwstr>_Toc191189476</vt:lpwstr>
      </vt:variant>
      <vt:variant>
        <vt:i4>1114172</vt:i4>
      </vt:variant>
      <vt:variant>
        <vt:i4>59</vt:i4>
      </vt:variant>
      <vt:variant>
        <vt:i4>0</vt:i4>
      </vt:variant>
      <vt:variant>
        <vt:i4>5</vt:i4>
      </vt:variant>
      <vt:variant>
        <vt:lpwstr/>
      </vt:variant>
      <vt:variant>
        <vt:lpwstr>_Toc191189475</vt:lpwstr>
      </vt:variant>
      <vt:variant>
        <vt:i4>1114172</vt:i4>
      </vt:variant>
      <vt:variant>
        <vt:i4>53</vt:i4>
      </vt:variant>
      <vt:variant>
        <vt:i4>0</vt:i4>
      </vt:variant>
      <vt:variant>
        <vt:i4>5</vt:i4>
      </vt:variant>
      <vt:variant>
        <vt:lpwstr/>
      </vt:variant>
      <vt:variant>
        <vt:lpwstr>_Toc191189474</vt:lpwstr>
      </vt:variant>
      <vt:variant>
        <vt:i4>1114172</vt:i4>
      </vt:variant>
      <vt:variant>
        <vt:i4>47</vt:i4>
      </vt:variant>
      <vt:variant>
        <vt:i4>0</vt:i4>
      </vt:variant>
      <vt:variant>
        <vt:i4>5</vt:i4>
      </vt:variant>
      <vt:variant>
        <vt:lpwstr/>
      </vt:variant>
      <vt:variant>
        <vt:lpwstr>_Toc191189473</vt:lpwstr>
      </vt:variant>
      <vt:variant>
        <vt:i4>1114172</vt:i4>
      </vt:variant>
      <vt:variant>
        <vt:i4>41</vt:i4>
      </vt:variant>
      <vt:variant>
        <vt:i4>0</vt:i4>
      </vt:variant>
      <vt:variant>
        <vt:i4>5</vt:i4>
      </vt:variant>
      <vt:variant>
        <vt:lpwstr/>
      </vt:variant>
      <vt:variant>
        <vt:lpwstr>_Toc191189472</vt:lpwstr>
      </vt:variant>
      <vt:variant>
        <vt:i4>1114172</vt:i4>
      </vt:variant>
      <vt:variant>
        <vt:i4>35</vt:i4>
      </vt:variant>
      <vt:variant>
        <vt:i4>0</vt:i4>
      </vt:variant>
      <vt:variant>
        <vt:i4>5</vt:i4>
      </vt:variant>
      <vt:variant>
        <vt:lpwstr/>
      </vt:variant>
      <vt:variant>
        <vt:lpwstr>_Toc191189471</vt:lpwstr>
      </vt:variant>
      <vt:variant>
        <vt:i4>1114172</vt:i4>
      </vt:variant>
      <vt:variant>
        <vt:i4>29</vt:i4>
      </vt:variant>
      <vt:variant>
        <vt:i4>0</vt:i4>
      </vt:variant>
      <vt:variant>
        <vt:i4>5</vt:i4>
      </vt:variant>
      <vt:variant>
        <vt:lpwstr/>
      </vt:variant>
      <vt:variant>
        <vt:lpwstr>_Toc191189470</vt:lpwstr>
      </vt:variant>
      <vt:variant>
        <vt:i4>1048636</vt:i4>
      </vt:variant>
      <vt:variant>
        <vt:i4>23</vt:i4>
      </vt:variant>
      <vt:variant>
        <vt:i4>0</vt:i4>
      </vt:variant>
      <vt:variant>
        <vt:i4>5</vt:i4>
      </vt:variant>
      <vt:variant>
        <vt:lpwstr/>
      </vt:variant>
      <vt:variant>
        <vt:lpwstr>_Toc191189469</vt:lpwstr>
      </vt:variant>
      <vt:variant>
        <vt:i4>1048636</vt:i4>
      </vt:variant>
      <vt:variant>
        <vt:i4>17</vt:i4>
      </vt:variant>
      <vt:variant>
        <vt:i4>0</vt:i4>
      </vt:variant>
      <vt:variant>
        <vt:i4>5</vt:i4>
      </vt:variant>
      <vt:variant>
        <vt:lpwstr/>
      </vt:variant>
      <vt:variant>
        <vt:lpwstr>_Toc191189468</vt:lpwstr>
      </vt:variant>
      <vt:variant>
        <vt:i4>1048636</vt:i4>
      </vt:variant>
      <vt:variant>
        <vt:i4>11</vt:i4>
      </vt:variant>
      <vt:variant>
        <vt:i4>0</vt:i4>
      </vt:variant>
      <vt:variant>
        <vt:i4>5</vt:i4>
      </vt:variant>
      <vt:variant>
        <vt:lpwstr/>
      </vt:variant>
      <vt:variant>
        <vt:lpwstr>_Toc191189467</vt:lpwstr>
      </vt:variant>
      <vt:variant>
        <vt:i4>1048636</vt:i4>
      </vt:variant>
      <vt:variant>
        <vt:i4>5</vt:i4>
      </vt:variant>
      <vt:variant>
        <vt:i4>0</vt:i4>
      </vt:variant>
      <vt:variant>
        <vt:i4>5</vt:i4>
      </vt:variant>
      <vt:variant>
        <vt:lpwstr/>
      </vt:variant>
      <vt:variant>
        <vt:lpwstr>_Toc191189466</vt:lpwstr>
      </vt:variant>
      <vt:variant>
        <vt:i4>8126486</vt:i4>
      </vt:variant>
      <vt:variant>
        <vt:i4>0</vt:i4>
      </vt:variant>
      <vt:variant>
        <vt:i4>0</vt:i4>
      </vt:variant>
      <vt:variant>
        <vt:i4>5</vt:i4>
      </vt:variant>
      <vt:variant>
        <vt:lpwstr>http://data.europa.eu/eli/reg_del/2019/815/oj</vt:lpwstr>
      </vt:variant>
      <vt:variant>
        <vt:lpwstr/>
      </vt:variant>
      <vt:variant>
        <vt:i4>4718617</vt:i4>
      </vt:variant>
      <vt:variant>
        <vt:i4>6</vt:i4>
      </vt:variant>
      <vt:variant>
        <vt:i4>0</vt:i4>
      </vt:variant>
      <vt:variant>
        <vt:i4>5</vt:i4>
      </vt:variant>
      <vt:variant>
        <vt:lpwstr>http://data.europa.eu/eli/reg/2020/852/oj</vt:lpwstr>
      </vt:variant>
      <vt:variant>
        <vt:lpwstr/>
      </vt:variant>
      <vt:variant>
        <vt:i4>5636190</vt:i4>
      </vt:variant>
      <vt:variant>
        <vt:i4>3</vt:i4>
      </vt:variant>
      <vt:variant>
        <vt:i4>0</vt:i4>
      </vt:variant>
      <vt:variant>
        <vt:i4>5</vt:i4>
      </vt:variant>
      <vt:variant>
        <vt:lpwstr>http://data.europa.eu/eli/dir/2006/43/oj</vt:lpwstr>
      </vt:variant>
      <vt:variant>
        <vt:lpwstr/>
      </vt:variant>
      <vt:variant>
        <vt:i4>4653104</vt:i4>
      </vt:variant>
      <vt:variant>
        <vt:i4>0</vt:i4>
      </vt:variant>
      <vt:variant>
        <vt:i4>0</vt:i4>
      </vt:variant>
      <vt:variant>
        <vt:i4>5</vt:i4>
      </vt:variant>
      <vt:variant>
        <vt:lpwstr>https://ec.europa.eu/info/law/better-regulation/have-your-say/initiatives/13990-Administrative-burden-rationalisation-of-reporting-requirements_en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2025-02-25T21:01:00Z</dcterms:created>
  <dcterms:modified xsi:type="dcterms:W3CDTF">2025-02-26T07:21:00Z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2025-02-20T09:55:26Z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8e6b5331-eda9-4570-9da4-e27cbaf4eea2</vt:lpwstr>
  </property>
  <property fmtid="{D5CDD505-2E9C-101B-9397-08002B2CF9AE}" pid="8" name="MSIP_Label_6bd9ddd1-4d20-43f6-abfa-fc3c07406f94_ContentBits">
    <vt:lpwstr>0</vt:lpwstr>
  </property>
  <property fmtid="{D5CDD505-2E9C-101B-9397-08002B2CF9AE}" pid="9" name="ContentTypeId">
    <vt:lpwstr>0x0101007697B7BFF882854783B2AFEB81A9CCE9</vt:lpwstr>
  </property>
  <property fmtid="{D5CDD505-2E9C-101B-9397-08002B2CF9AE}" pid="10" name="Level of sensitivity">
    <vt:lpwstr>Standard treatment</vt:lpwstr>
  </property>
  <property fmtid="{D5CDD505-2E9C-101B-9397-08002B2CF9AE}" pid="11" name="Category">
    <vt:lpwstr>COM/PL/ORG</vt:lpwstr>
  </property>
  <property fmtid="{D5CDD505-2E9C-101B-9397-08002B2CF9AE}" pid="12" name="Last edited using">
    <vt:lpwstr>LW 9.1, Build 20240808</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y fmtid="{D5CDD505-2E9C-101B-9397-08002B2CF9AE}" pid="16" name="DQCStatus">
    <vt:lpwstr>Yellow (DQC version 03)</vt:lpwstr>
  </property>
</Properties>
</file>