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2BF1" w14:textId="080885A8" w:rsidR="00B56542" w:rsidRDefault="00932EE1" w:rsidP="00932EE1">
      <w:pPr>
        <w:pStyle w:val="Pagedecouverture"/>
        <w:rPr>
          <w:noProof/>
        </w:rPr>
      </w:pPr>
      <w:bookmarkStart w:id="0" w:name="LW_BM_COVERPAGE"/>
      <w:r>
        <w:rPr>
          <w:noProof/>
        </w:rPr>
        <w:pict w14:anchorId="50329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43407C9-F32E-4B48-8278-CB79EE6EF945" style="width:455.25pt;height:336.75pt">
            <v:imagedata r:id="rId11" o:title=""/>
          </v:shape>
        </w:pict>
      </w:r>
    </w:p>
    <w:bookmarkEnd w:id="0"/>
    <w:p w14:paraId="0C959FDA" w14:textId="77777777" w:rsidR="00B56542" w:rsidRDefault="00B56542" w:rsidP="00B56542">
      <w:pPr>
        <w:rPr>
          <w:noProof/>
        </w:rPr>
        <w:sectPr w:rsidR="00B56542" w:rsidSect="00932EE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A7CA732" w14:textId="785DF97B" w:rsidR="00B56542" w:rsidRPr="003E5AB0" w:rsidRDefault="00B56542" w:rsidP="00995B83">
      <w:pPr>
        <w:pStyle w:val="Heading1"/>
        <w:rPr>
          <w:rFonts w:hint="eastAsia"/>
          <w:noProof/>
        </w:rPr>
      </w:pPr>
      <w:bookmarkStart w:id="1" w:name="_GoBack"/>
      <w:bookmarkEnd w:id="1"/>
      <w:r w:rsidRPr="003E5AB0">
        <w:rPr>
          <w:noProof/>
        </w:rPr>
        <w:lastRenderedPageBreak/>
        <w:t>Introduction and executive summary</w:t>
      </w:r>
    </w:p>
    <w:p w14:paraId="32084009" w14:textId="383874F5" w:rsidR="009D1241" w:rsidRPr="009D1241" w:rsidRDefault="0090620A" w:rsidP="009D1241">
      <w:pPr>
        <w:pStyle w:val="paragraph"/>
        <w:spacing w:before="120" w:beforeAutospacing="0" w:after="120" w:afterAutospacing="0"/>
        <w:textAlignment w:val="baseline"/>
        <w:rPr>
          <w:noProof/>
        </w:rPr>
      </w:pPr>
      <w:r w:rsidRPr="00967D72">
        <w:rPr>
          <w:noProof/>
        </w:rPr>
        <w:t>Anthropogenic global warming continues at an accelerated pace and is impacting all the regions of the world, with Europe warming twice the rate of the global average</w:t>
      </w:r>
      <w:r w:rsidRPr="00967D72">
        <w:rPr>
          <w:rStyle w:val="FootnoteReference"/>
          <w:rFonts w:eastAsiaTheme="majorEastAsia"/>
          <w:noProof/>
        </w:rPr>
        <w:footnoteReference w:id="2"/>
      </w:r>
      <w:r w:rsidRPr="00967D72">
        <w:rPr>
          <w:noProof/>
        </w:rPr>
        <w:t>. To limit warming to the 1.5 °C Paris Agreement temperature target requires global greenhouse gas emissions to peak before 2025 at the latest and be reduced by 43% by 2030</w:t>
      </w:r>
      <w:r w:rsidRPr="00967D72">
        <w:rPr>
          <w:rStyle w:val="FootnoteReference"/>
          <w:rFonts w:eastAsiaTheme="majorEastAsia"/>
          <w:noProof/>
        </w:rPr>
        <w:footnoteReference w:id="3"/>
      </w:r>
      <w:r w:rsidRPr="00967D72">
        <w:rPr>
          <w:noProof/>
        </w:rPr>
        <w:t>. Climate change has caused widespread adverse impacts. Europe is facing the risk of more intense and frequent heatwaves, prolonged droughts, more intensive precipitation, lower average wind speeds and less snow.</w:t>
      </w:r>
    </w:p>
    <w:p w14:paraId="64BBABDF" w14:textId="415D3395" w:rsidR="00B56542" w:rsidRPr="00967D72" w:rsidRDefault="00B56542" w:rsidP="009D1241">
      <w:pPr>
        <w:rPr>
          <w:noProof/>
        </w:rPr>
      </w:pPr>
      <w:r w:rsidRPr="11C222F8">
        <w:rPr>
          <w:rStyle w:val="normaltextrun"/>
          <w:rFonts w:eastAsiaTheme="majorEastAsia"/>
          <w:noProof/>
        </w:rPr>
        <w:t>The European Union (EU) and its Member States are committed to ambitious action in response to the threats posed by climate change.</w:t>
      </w:r>
      <w:r w:rsidRPr="11C222F8">
        <w:rPr>
          <w:rStyle w:val="normaltextrun"/>
          <w:noProof/>
        </w:rPr>
        <w:t xml:space="preserve"> </w:t>
      </w:r>
      <w:r w:rsidRPr="11C222F8">
        <w:rPr>
          <w:rStyle w:val="normaltextrun"/>
          <w:rFonts w:eastAsiaTheme="majorEastAsia"/>
          <w:noProof/>
        </w:rPr>
        <w:t>All 27 EU Member States are committed to achieving a climate-neutral EU by 2050, in line with the Paris Agreement. They ratified the Paris Agreement in October</w:t>
      </w:r>
      <w:r w:rsidR="00603ED4" w:rsidRPr="11C222F8">
        <w:rPr>
          <w:rStyle w:val="normaltextrun"/>
          <w:rFonts w:eastAsiaTheme="majorEastAsia"/>
          <w:noProof/>
        </w:rPr>
        <w:t xml:space="preserve"> </w:t>
      </w:r>
      <w:r w:rsidRPr="11C222F8">
        <w:rPr>
          <w:rStyle w:val="normaltextrun"/>
          <w:rFonts w:eastAsiaTheme="majorEastAsia"/>
          <w:noProof/>
        </w:rPr>
        <w:t>2016 with a joint and binding target of an economy-wide reduction of</w:t>
      </w:r>
      <w:r w:rsidR="00C71584">
        <w:rPr>
          <w:rStyle w:val="normaltextrun"/>
          <w:rFonts w:eastAsiaTheme="majorEastAsia"/>
          <w:noProof/>
        </w:rPr>
        <w:t xml:space="preserve"> greenhouse gas (</w:t>
      </w:r>
      <w:r w:rsidRPr="11C222F8">
        <w:rPr>
          <w:rStyle w:val="normaltextrun"/>
          <w:rFonts w:eastAsiaTheme="majorEastAsia"/>
          <w:noProof/>
        </w:rPr>
        <w:t>GHG emissions</w:t>
      </w:r>
      <w:r w:rsidR="00C71584">
        <w:rPr>
          <w:rStyle w:val="normaltextrun"/>
          <w:rFonts w:eastAsiaTheme="majorEastAsia"/>
          <w:noProof/>
        </w:rPr>
        <w:t>)</w:t>
      </w:r>
      <w:r w:rsidRPr="11C222F8">
        <w:rPr>
          <w:rStyle w:val="normaltextrun"/>
          <w:rFonts w:eastAsiaTheme="majorEastAsia"/>
          <w:noProof/>
        </w:rPr>
        <w:t xml:space="preserve"> by at least 40% by 2030, compared to 1990 levels. </w:t>
      </w:r>
      <w:r w:rsidR="00C71584">
        <w:rPr>
          <w:rStyle w:val="normaltextrun"/>
          <w:rFonts w:eastAsiaTheme="majorEastAsia"/>
          <w:noProof/>
        </w:rPr>
        <w:t>Following the guidance by</w:t>
      </w:r>
      <w:r w:rsidRPr="11C222F8">
        <w:rPr>
          <w:rStyle w:val="normaltextrun"/>
          <w:rFonts w:eastAsiaTheme="majorEastAsia"/>
          <w:noProof/>
        </w:rPr>
        <w:t xml:space="preserve"> the European Council</w:t>
      </w:r>
      <w:r w:rsidR="00C71584">
        <w:rPr>
          <w:rStyle w:val="normaltextrun"/>
          <w:rFonts w:eastAsiaTheme="majorEastAsia"/>
          <w:noProof/>
        </w:rPr>
        <w:t xml:space="preserve">, </w:t>
      </w:r>
      <w:r w:rsidR="009D5A35">
        <w:rPr>
          <w:rStyle w:val="normaltextrun"/>
          <w:rFonts w:eastAsiaTheme="majorEastAsia"/>
          <w:noProof/>
        </w:rPr>
        <w:t xml:space="preserve">in December 2022 </w:t>
      </w:r>
      <w:r w:rsidR="00C71584">
        <w:rPr>
          <w:rStyle w:val="normaltextrun"/>
          <w:rFonts w:eastAsiaTheme="majorEastAsia"/>
          <w:noProof/>
        </w:rPr>
        <w:t xml:space="preserve">the EU submitted </w:t>
      </w:r>
      <w:r w:rsidRPr="11C222F8">
        <w:rPr>
          <w:rStyle w:val="normaltextrun"/>
          <w:rFonts w:eastAsiaTheme="majorEastAsia"/>
          <w:noProof/>
        </w:rPr>
        <w:t xml:space="preserve">a new and more ambitious climate target for the EU and its 27 Member States of a net domestic reduction of at least 55% in greenhouse gas emissions by 2030 compared to 1990, demonstrating greater </w:t>
      </w:r>
      <w:r>
        <w:rPr>
          <w:noProof/>
        </w:rPr>
        <w:t>ambition and commitment to delivering on the Paris Agreement.</w:t>
      </w:r>
    </w:p>
    <w:p w14:paraId="13F9E4DE" w14:textId="1B200AAE" w:rsidR="00B56542" w:rsidRPr="00B56542" w:rsidRDefault="00B56542" w:rsidP="003E5AB0">
      <w:pPr>
        <w:rPr>
          <w:rFonts w:cs="Times New Roman"/>
          <w:noProof/>
          <w:sz w:val="22"/>
          <w:szCs w:val="24"/>
        </w:rPr>
      </w:pPr>
      <w:r w:rsidRPr="00967D72">
        <w:rPr>
          <w:noProof/>
        </w:rPr>
        <w:t>This report and its accompanying Staff Working Document (SWD) constitute the first Biennial</w:t>
      </w:r>
      <w:r w:rsidRPr="11C222F8">
        <w:rPr>
          <w:rStyle w:val="eop"/>
          <w:rFonts w:eastAsiaTheme="majorEastAsia"/>
          <w:noProof/>
        </w:rPr>
        <w:t xml:space="preserve"> Transparency Report of the European Union. The </w:t>
      </w:r>
      <w:r w:rsidR="004D3364" w:rsidRPr="11C222F8">
        <w:rPr>
          <w:rStyle w:val="eop"/>
          <w:rFonts w:eastAsiaTheme="majorEastAsia"/>
          <w:noProof/>
        </w:rPr>
        <w:t xml:space="preserve">Commission </w:t>
      </w:r>
      <w:r w:rsidRPr="00967D72">
        <w:rPr>
          <w:noProof/>
        </w:rPr>
        <w:t xml:space="preserve">has prepared this report </w:t>
      </w:r>
      <w:r>
        <w:rPr>
          <w:noProof/>
        </w:rPr>
        <w:t>based on</w:t>
      </w:r>
      <w:r w:rsidRPr="00967D72">
        <w:rPr>
          <w:noProof/>
        </w:rPr>
        <w:t xml:space="preserve"> </w:t>
      </w:r>
      <w:r>
        <w:rPr>
          <w:noProof/>
        </w:rPr>
        <w:t xml:space="preserve">the </w:t>
      </w:r>
      <w:r w:rsidRPr="00967D72">
        <w:rPr>
          <w:noProof/>
        </w:rPr>
        <w:t>guidelines</w:t>
      </w:r>
      <w:r w:rsidRPr="11C222F8">
        <w:rPr>
          <w:rStyle w:val="eop"/>
          <w:rFonts w:eastAsiaTheme="majorEastAsia"/>
          <w:noProof/>
        </w:rPr>
        <w:t xml:space="preserve"> </w:t>
      </w:r>
      <w:r w:rsidRPr="00967D72">
        <w:rPr>
          <w:noProof/>
        </w:rPr>
        <w:t xml:space="preserve">adopted </w:t>
      </w:r>
      <w:r w:rsidRPr="11C222F8">
        <w:rPr>
          <w:rStyle w:val="eop"/>
          <w:rFonts w:eastAsiaTheme="majorEastAsia"/>
          <w:noProof/>
        </w:rPr>
        <w:t>by the United Nations Framework Convention on Climate Change (UNFCCC), the Paris Agreement, and</w:t>
      </w:r>
      <w:r w:rsidRPr="00967D72">
        <w:rPr>
          <w:noProof/>
        </w:rPr>
        <w:t xml:space="preserve"> Article 29.5(a) of Regulation (EU) 2018/1999 on the Governance of the Energy Union and Climate Action</w:t>
      </w:r>
      <w:r>
        <w:rPr>
          <w:rStyle w:val="FootnoteReference"/>
          <w:noProof/>
        </w:rPr>
        <w:footnoteReference w:id="4"/>
      </w:r>
      <w:r w:rsidRPr="00967D72">
        <w:rPr>
          <w:noProof/>
        </w:rPr>
        <w:t>.</w:t>
      </w:r>
      <w:r w:rsidRPr="11C222F8">
        <w:rPr>
          <w:rStyle w:val="eop"/>
          <w:rFonts w:eastAsiaTheme="majorEastAsia"/>
          <w:noProof/>
          <w:lang w:val="en-US"/>
        </w:rPr>
        <w:t>The EU has opted to submit its 2024 national greenhouse gas inventory as a stand-alone report.</w:t>
      </w:r>
    </w:p>
    <w:p w14:paraId="1924D662" w14:textId="4343E192" w:rsidR="00B56542" w:rsidRDefault="00B56542" w:rsidP="11C222F8">
      <w:pPr>
        <w:rPr>
          <w:rStyle w:val="normaltextrun"/>
          <w:rFonts w:eastAsiaTheme="majorEastAsia"/>
          <w:noProof/>
        </w:rPr>
      </w:pPr>
      <w:r w:rsidRPr="11C222F8">
        <w:rPr>
          <w:rStyle w:val="normaltextrun"/>
          <w:rFonts w:eastAsiaTheme="majorEastAsia"/>
          <w:noProof/>
        </w:rPr>
        <w:t xml:space="preserve">The </w:t>
      </w:r>
      <w:r w:rsidR="00A730F9" w:rsidRPr="11C222F8">
        <w:rPr>
          <w:rStyle w:val="normaltextrun"/>
          <w:rFonts w:eastAsiaTheme="majorEastAsia"/>
          <w:noProof/>
        </w:rPr>
        <w:t xml:space="preserve">latest inventory figures show that the </w:t>
      </w:r>
      <w:r w:rsidRPr="11C222F8">
        <w:rPr>
          <w:rStyle w:val="normaltextrun"/>
          <w:rFonts w:eastAsiaTheme="majorEastAsia"/>
          <w:noProof/>
        </w:rPr>
        <w:t>EU’s GHG emissions have continued to fall, with a net reduction of 32.</w:t>
      </w:r>
      <w:r w:rsidR="576082FA" w:rsidRPr="11C222F8">
        <w:rPr>
          <w:rStyle w:val="normaltextrun"/>
          <w:rFonts w:eastAsiaTheme="majorEastAsia"/>
          <w:noProof/>
        </w:rPr>
        <w:t>6</w:t>
      </w:r>
      <w:r w:rsidRPr="11C222F8">
        <w:rPr>
          <w:rStyle w:val="normaltextrun"/>
          <w:rFonts w:eastAsiaTheme="majorEastAsia"/>
          <w:noProof/>
        </w:rPr>
        <w:t xml:space="preserve">% by 2022 compared to1990, demonstrating progress towards its targets. </w:t>
      </w:r>
      <w:r w:rsidR="1050330A" w:rsidRPr="11C222F8">
        <w:rPr>
          <w:rStyle w:val="normaltextrun"/>
          <w:rFonts w:eastAsiaTheme="majorEastAsia"/>
          <w:noProof/>
        </w:rPr>
        <w:t>Th</w:t>
      </w:r>
      <w:r w:rsidR="3E1FD396" w:rsidRPr="11C222F8">
        <w:rPr>
          <w:rStyle w:val="normaltextrun"/>
          <w:rFonts w:eastAsiaTheme="majorEastAsia"/>
          <w:noProof/>
        </w:rPr>
        <w:t>is</w:t>
      </w:r>
      <w:r w:rsidRPr="11C222F8">
        <w:rPr>
          <w:rStyle w:val="normaltextrun"/>
          <w:rFonts w:eastAsiaTheme="majorEastAsia"/>
          <w:noProof/>
        </w:rPr>
        <w:t xml:space="preserve"> report provides detailed information on the emissions and removals of greenhouse gases in 2022</w:t>
      </w:r>
      <w:r w:rsidRPr="11C222F8">
        <w:rPr>
          <w:rStyle w:val="normaltextrun"/>
          <w:noProof/>
        </w:rPr>
        <w:t xml:space="preserve"> </w:t>
      </w:r>
      <w:r w:rsidRPr="11C222F8">
        <w:rPr>
          <w:rStyle w:val="normaltextrun"/>
          <w:rFonts w:eastAsiaTheme="majorEastAsia"/>
          <w:noProof/>
        </w:rPr>
        <w:t>and shows the EU’s progress in implementing and achieving its Nationally Determined Contribution (NDC) under the Paris Agreement. I</w:t>
      </w:r>
      <w:r w:rsidR="37443D8D" w:rsidRPr="11C222F8">
        <w:rPr>
          <w:rStyle w:val="normaltextrun"/>
          <w:rFonts w:eastAsiaTheme="majorEastAsia"/>
          <w:noProof/>
        </w:rPr>
        <w:t>n</w:t>
      </w:r>
      <w:r w:rsidR="1050330A" w:rsidRPr="11C222F8">
        <w:rPr>
          <w:rStyle w:val="normaltextrun"/>
          <w:rFonts w:eastAsiaTheme="majorEastAsia"/>
          <w:noProof/>
        </w:rPr>
        <w:t xml:space="preserve"> </w:t>
      </w:r>
      <w:r w:rsidR="2CD45659" w:rsidRPr="11C222F8">
        <w:rPr>
          <w:rStyle w:val="normaltextrun"/>
          <w:rFonts w:eastAsiaTheme="majorEastAsia"/>
          <w:noProof/>
        </w:rPr>
        <w:t>Chapter 3</w:t>
      </w:r>
      <w:r w:rsidRPr="11C222F8">
        <w:rPr>
          <w:rStyle w:val="normaltextrun"/>
          <w:rFonts w:eastAsiaTheme="majorEastAsia"/>
          <w:noProof/>
        </w:rPr>
        <w:t xml:space="preserve"> </w:t>
      </w:r>
      <w:r w:rsidR="62A3C4F1" w:rsidRPr="11C222F8">
        <w:rPr>
          <w:rStyle w:val="normaltextrun"/>
          <w:rFonts w:eastAsiaTheme="majorEastAsia"/>
          <w:noProof/>
        </w:rPr>
        <w:t xml:space="preserve">it </w:t>
      </w:r>
      <w:r w:rsidRPr="11C222F8">
        <w:rPr>
          <w:rStyle w:val="normaltextrun"/>
          <w:rFonts w:eastAsiaTheme="majorEastAsia"/>
          <w:noProof/>
        </w:rPr>
        <w:t xml:space="preserve">presents the </w:t>
      </w:r>
      <w:r w:rsidR="135F1A13" w:rsidRPr="11C222F8">
        <w:rPr>
          <w:rStyle w:val="normaltextrun"/>
          <w:rFonts w:eastAsiaTheme="majorEastAsia"/>
          <w:noProof/>
        </w:rPr>
        <w:t xml:space="preserve">EU’s mitigation policies and measures, including the </w:t>
      </w:r>
      <w:r w:rsidRPr="11C222F8">
        <w:rPr>
          <w:rStyle w:val="normaltextrun"/>
          <w:rFonts w:eastAsiaTheme="majorEastAsia"/>
          <w:noProof/>
        </w:rPr>
        <w:t>‘Fit For 55’ package of legislation adopted in 2023 which strengthen</w:t>
      </w:r>
      <w:r w:rsidR="00056FC9" w:rsidRPr="11C222F8">
        <w:rPr>
          <w:rStyle w:val="normaltextrun"/>
          <w:rFonts w:eastAsiaTheme="majorEastAsia"/>
          <w:noProof/>
        </w:rPr>
        <w:t>s</w:t>
      </w:r>
      <w:r w:rsidRPr="11C222F8">
        <w:rPr>
          <w:rStyle w:val="normaltextrun"/>
          <w:rFonts w:eastAsiaTheme="majorEastAsia"/>
          <w:noProof/>
        </w:rPr>
        <w:t xml:space="preserve"> policies and measures to </w:t>
      </w:r>
      <w:r w:rsidR="00E064C5" w:rsidRPr="11C222F8">
        <w:rPr>
          <w:rStyle w:val="normaltextrun"/>
          <w:rFonts w:eastAsiaTheme="majorEastAsia"/>
          <w:noProof/>
        </w:rPr>
        <w:t xml:space="preserve">allow the EU to </w:t>
      </w:r>
      <w:r w:rsidR="269B63A5" w:rsidRPr="11C222F8">
        <w:rPr>
          <w:rStyle w:val="normaltextrun"/>
          <w:rFonts w:eastAsiaTheme="majorEastAsia"/>
          <w:noProof/>
        </w:rPr>
        <w:t>meet</w:t>
      </w:r>
      <w:r w:rsidR="00614266" w:rsidRPr="11C222F8">
        <w:rPr>
          <w:rStyle w:val="normaltextrun"/>
          <w:rFonts w:eastAsiaTheme="majorEastAsia"/>
          <w:noProof/>
        </w:rPr>
        <w:t xml:space="preserve"> </w:t>
      </w:r>
      <w:r w:rsidR="007E2C6B" w:rsidRPr="11C222F8">
        <w:rPr>
          <w:rStyle w:val="normaltextrun"/>
          <w:rFonts w:eastAsiaTheme="majorEastAsia"/>
          <w:noProof/>
        </w:rPr>
        <w:t xml:space="preserve">the updated </w:t>
      </w:r>
      <w:r w:rsidRPr="11C222F8">
        <w:rPr>
          <w:rStyle w:val="normaltextrun"/>
          <w:rFonts w:eastAsiaTheme="majorEastAsia"/>
          <w:noProof/>
        </w:rPr>
        <w:t xml:space="preserve">2030 target </w:t>
      </w:r>
      <w:r w:rsidR="00E064C5" w:rsidRPr="11C222F8">
        <w:rPr>
          <w:rStyle w:val="normaltextrun"/>
          <w:rFonts w:eastAsiaTheme="majorEastAsia"/>
          <w:noProof/>
        </w:rPr>
        <w:t>and</w:t>
      </w:r>
      <w:r w:rsidRPr="11C222F8">
        <w:rPr>
          <w:rStyle w:val="normaltextrun"/>
          <w:rFonts w:eastAsiaTheme="majorEastAsia"/>
          <w:noProof/>
        </w:rPr>
        <w:t xml:space="preserve"> shows projections of greenhouse gas emissions and removals</w:t>
      </w:r>
      <w:r w:rsidR="1050330A" w:rsidRPr="11C222F8">
        <w:rPr>
          <w:rStyle w:val="normaltextrun"/>
          <w:rFonts w:eastAsiaTheme="majorEastAsia"/>
          <w:noProof/>
        </w:rPr>
        <w:t xml:space="preserve">. </w:t>
      </w:r>
      <w:r w:rsidR="005C7E96">
        <w:rPr>
          <w:rStyle w:val="normaltextrun"/>
          <w:rFonts w:eastAsiaTheme="majorEastAsia"/>
          <w:noProof/>
        </w:rPr>
        <w:t>Then in Chapter 4</w:t>
      </w:r>
      <w:r w:rsidR="009C0C2F">
        <w:rPr>
          <w:rStyle w:val="normaltextrun"/>
          <w:rFonts w:eastAsiaTheme="majorEastAsia"/>
          <w:noProof/>
        </w:rPr>
        <w:t>,</w:t>
      </w:r>
      <w:r w:rsidR="005C7E96">
        <w:rPr>
          <w:rStyle w:val="normaltextrun"/>
          <w:rFonts w:eastAsiaTheme="majorEastAsia"/>
          <w:noProof/>
        </w:rPr>
        <w:t xml:space="preserve"> it</w:t>
      </w:r>
      <w:r w:rsidR="00A439B9">
        <w:rPr>
          <w:rStyle w:val="normaltextrun"/>
          <w:rFonts w:eastAsiaTheme="majorEastAsia"/>
          <w:noProof/>
        </w:rPr>
        <w:t xml:space="preserve"> outlines </w:t>
      </w:r>
      <w:r w:rsidRPr="11C222F8">
        <w:rPr>
          <w:rStyle w:val="normaltextrun"/>
          <w:rFonts w:eastAsiaTheme="majorEastAsia"/>
          <w:noProof/>
        </w:rPr>
        <w:t xml:space="preserve">the EU’s strategy </w:t>
      </w:r>
      <w:r w:rsidR="42271938" w:rsidRPr="11C222F8">
        <w:rPr>
          <w:rStyle w:val="normaltextrun"/>
          <w:rFonts w:eastAsiaTheme="majorEastAsia"/>
          <w:noProof/>
        </w:rPr>
        <w:t>for</w:t>
      </w:r>
      <w:r w:rsidRPr="11C222F8">
        <w:rPr>
          <w:rStyle w:val="normaltextrun"/>
          <w:rFonts w:eastAsiaTheme="majorEastAsia"/>
          <w:noProof/>
        </w:rPr>
        <w:t xml:space="preserve"> adapting to the impacts of climate change and building resilience. </w:t>
      </w:r>
      <w:r w:rsidR="00A439B9">
        <w:rPr>
          <w:rStyle w:val="normaltextrun"/>
          <w:rFonts w:eastAsiaTheme="majorEastAsia"/>
          <w:noProof/>
        </w:rPr>
        <w:t>While i</w:t>
      </w:r>
      <w:r w:rsidR="199B6435" w:rsidRPr="11C222F8">
        <w:rPr>
          <w:rStyle w:val="normaltextrun"/>
          <w:rFonts w:eastAsiaTheme="majorEastAsia"/>
          <w:noProof/>
        </w:rPr>
        <w:t xml:space="preserve">n </w:t>
      </w:r>
      <w:r w:rsidR="12B519E9" w:rsidRPr="11C222F8">
        <w:rPr>
          <w:rStyle w:val="normaltextrun"/>
          <w:rFonts w:eastAsiaTheme="majorEastAsia"/>
          <w:noProof/>
        </w:rPr>
        <w:t>Chapter</w:t>
      </w:r>
      <w:r w:rsidR="199B6435" w:rsidRPr="11C222F8">
        <w:rPr>
          <w:rStyle w:val="normaltextrun"/>
          <w:rFonts w:eastAsiaTheme="majorEastAsia"/>
          <w:noProof/>
        </w:rPr>
        <w:t xml:space="preserve"> 5 </w:t>
      </w:r>
      <w:r w:rsidRPr="11C222F8">
        <w:rPr>
          <w:rStyle w:val="normaltextrun"/>
          <w:rFonts w:eastAsiaTheme="majorEastAsia"/>
          <w:noProof/>
        </w:rPr>
        <w:t xml:space="preserve">the report presents </w:t>
      </w:r>
      <w:r w:rsidR="003C6243" w:rsidRPr="11C222F8">
        <w:rPr>
          <w:rStyle w:val="normaltextrun"/>
          <w:rFonts w:eastAsiaTheme="majorEastAsia"/>
          <w:noProof/>
        </w:rPr>
        <w:t xml:space="preserve">the </w:t>
      </w:r>
      <w:r w:rsidRPr="11C222F8">
        <w:rPr>
          <w:rStyle w:val="normaltextrun"/>
          <w:rFonts w:eastAsiaTheme="majorEastAsia"/>
          <w:noProof/>
        </w:rPr>
        <w:t>support provided by EU institutions to developing countries.</w:t>
      </w:r>
      <w:r w:rsidR="06FCECEE" w:rsidRPr="11C222F8">
        <w:rPr>
          <w:rStyle w:val="normaltextrun"/>
          <w:rFonts w:eastAsiaTheme="majorEastAsia"/>
          <w:noProof/>
        </w:rPr>
        <w:t xml:space="preserve"> </w:t>
      </w:r>
      <w:r w:rsidR="00EA3011">
        <w:rPr>
          <w:rStyle w:val="normaltextrun"/>
          <w:rFonts w:eastAsiaTheme="majorEastAsia"/>
          <w:noProof/>
        </w:rPr>
        <w:t>Finally</w:t>
      </w:r>
      <w:r w:rsidR="004F29D3">
        <w:rPr>
          <w:rStyle w:val="normaltextrun"/>
          <w:rFonts w:eastAsiaTheme="majorEastAsia"/>
          <w:noProof/>
        </w:rPr>
        <w:t xml:space="preserve"> in</w:t>
      </w:r>
      <w:r w:rsidR="06FCECEE" w:rsidRPr="11C222F8">
        <w:rPr>
          <w:rStyle w:val="normaltextrun"/>
          <w:rFonts w:eastAsiaTheme="majorEastAsia"/>
          <w:noProof/>
        </w:rPr>
        <w:t xml:space="preserve"> </w:t>
      </w:r>
      <w:r w:rsidR="004F29D3">
        <w:rPr>
          <w:rStyle w:val="normaltextrun"/>
          <w:rFonts w:eastAsiaTheme="majorEastAsia"/>
          <w:noProof/>
        </w:rPr>
        <w:t>C</w:t>
      </w:r>
      <w:r w:rsidR="06FCECEE" w:rsidRPr="11C222F8">
        <w:rPr>
          <w:rStyle w:val="normaltextrun"/>
          <w:rFonts w:eastAsiaTheme="majorEastAsia"/>
          <w:noProof/>
        </w:rPr>
        <w:t>ha</w:t>
      </w:r>
      <w:r w:rsidR="06FCECEE" w:rsidRPr="00CF7AA1">
        <w:rPr>
          <w:rStyle w:val="normaltextrun"/>
          <w:rFonts w:eastAsiaTheme="majorEastAsia"/>
          <w:noProof/>
        </w:rPr>
        <w:t>pter</w:t>
      </w:r>
      <w:r w:rsidR="004F29D3" w:rsidRPr="00CF7AA1">
        <w:rPr>
          <w:rStyle w:val="normaltextrun"/>
          <w:rFonts w:eastAsiaTheme="majorEastAsia"/>
          <w:noProof/>
        </w:rPr>
        <w:t xml:space="preserve"> 6</w:t>
      </w:r>
      <w:r w:rsidR="06FCECEE" w:rsidRPr="00CF7AA1">
        <w:rPr>
          <w:rStyle w:val="normaltextrun"/>
          <w:rFonts w:eastAsiaTheme="majorEastAsia"/>
          <w:noProof/>
        </w:rPr>
        <w:t>, there is</w:t>
      </w:r>
      <w:r w:rsidR="004F29D3">
        <w:rPr>
          <w:rStyle w:val="normaltextrun"/>
          <w:rFonts w:eastAsiaTheme="majorEastAsia"/>
          <w:noProof/>
        </w:rPr>
        <w:t xml:space="preserve"> information on how </w:t>
      </w:r>
      <w:r w:rsidR="00975067">
        <w:rPr>
          <w:rStyle w:val="normaltextrun"/>
          <w:rFonts w:eastAsiaTheme="majorEastAsia"/>
          <w:noProof/>
        </w:rPr>
        <w:t xml:space="preserve">the EU </w:t>
      </w:r>
      <w:r w:rsidR="00AD4465">
        <w:rPr>
          <w:rStyle w:val="normaltextrun"/>
          <w:rFonts w:eastAsiaTheme="majorEastAsia"/>
          <w:noProof/>
        </w:rPr>
        <w:t xml:space="preserve">is </w:t>
      </w:r>
      <w:r w:rsidR="00AD4465" w:rsidRPr="00967D72">
        <w:rPr>
          <w:rFonts w:cs="Times New Roman"/>
          <w:noProof/>
          <w:lang w:val="en-GB"/>
        </w:rPr>
        <w:t xml:space="preserve">enhancing the consistency of finance flows </w:t>
      </w:r>
      <w:r w:rsidR="00CD0D0F" w:rsidRPr="00967D72">
        <w:rPr>
          <w:noProof/>
        </w:rPr>
        <w:t>with a pathway towards low GHG emissions and climate-resilient development</w:t>
      </w:r>
      <w:r w:rsidR="00CD0D0F">
        <w:rPr>
          <w:noProof/>
        </w:rPr>
        <w:t>.</w:t>
      </w:r>
    </w:p>
    <w:p w14:paraId="31BD1F60" w14:textId="71C605BD" w:rsidR="003E5AB0" w:rsidRPr="00770944" w:rsidRDefault="003E5AB0" w:rsidP="00770944">
      <w:pPr>
        <w:pStyle w:val="Heading2"/>
        <w:rPr>
          <w:rFonts w:hint="eastAsia"/>
          <w:noProof/>
        </w:rPr>
      </w:pPr>
      <w:r w:rsidRPr="1D92D964">
        <w:rPr>
          <w:rStyle w:val="Style10Char"/>
          <w:rFonts w:ascii="Times New Roman Bold" w:hAnsi="Times New Roman Bold"/>
          <w:b/>
          <w:noProof/>
          <w:color w:val="auto"/>
        </w:rPr>
        <w:t>Emissions and removals of greenhouse gases</w:t>
      </w:r>
    </w:p>
    <w:p w14:paraId="594EAC13" w14:textId="72E9F618" w:rsidR="003E5AB0" w:rsidRDefault="003E5AB0" w:rsidP="003E5AB0">
      <w:pPr>
        <w:rPr>
          <w:noProof/>
          <w:lang w:val="en-GB"/>
        </w:rPr>
      </w:pPr>
      <w:r w:rsidRPr="32B50093">
        <w:rPr>
          <w:noProof/>
          <w:lang w:val="en-GB"/>
        </w:rPr>
        <w:t xml:space="preserve">Total GHG emissions in the EU have fallen in recent decades due to the decrease in the use of coal, the </w:t>
      </w:r>
      <w:r w:rsidR="00F477B2">
        <w:rPr>
          <w:noProof/>
          <w:lang w:val="en-GB"/>
        </w:rPr>
        <w:t xml:space="preserve">increasing </w:t>
      </w:r>
      <w:r w:rsidRPr="32B50093">
        <w:rPr>
          <w:noProof/>
          <w:lang w:val="en-GB"/>
        </w:rPr>
        <w:t xml:space="preserve">decarbonisation of the EU economy </w:t>
      </w:r>
      <w:r w:rsidR="447B2BBF" w:rsidRPr="516F3317">
        <w:rPr>
          <w:noProof/>
          <w:lang w:val="en-GB"/>
        </w:rPr>
        <w:t>through</w:t>
      </w:r>
      <w:r w:rsidRPr="32B50093" w:rsidDel="00F11E08">
        <w:rPr>
          <w:noProof/>
          <w:lang w:val="en-GB"/>
        </w:rPr>
        <w:t xml:space="preserve"> </w:t>
      </w:r>
      <w:r w:rsidR="00E074C2" w:rsidRPr="32B50093">
        <w:rPr>
          <w:noProof/>
          <w:lang w:val="en-GB"/>
        </w:rPr>
        <w:t>the rapid expansion of renewable energy</w:t>
      </w:r>
      <w:r w:rsidR="00E074C2">
        <w:rPr>
          <w:noProof/>
          <w:lang w:val="en-GB"/>
        </w:rPr>
        <w:t xml:space="preserve">, </w:t>
      </w:r>
      <w:r w:rsidRPr="32B50093">
        <w:rPr>
          <w:noProof/>
          <w:lang w:val="en-GB"/>
        </w:rPr>
        <w:t>progress on energy efficiency and ambitious climate change mitigation policies</w:t>
      </w:r>
      <w:r w:rsidR="27F7E53A" w:rsidRPr="516F3317">
        <w:rPr>
          <w:noProof/>
          <w:lang w:val="en-GB"/>
        </w:rPr>
        <w:t>.</w:t>
      </w:r>
      <w:r w:rsidRPr="32B50093">
        <w:rPr>
          <w:noProof/>
          <w:lang w:val="en-GB"/>
        </w:rPr>
        <w:t xml:space="preserve"> Between 1990 and 2022, net greenhouse gas emissions decreased by 32.</w:t>
      </w:r>
      <w:r w:rsidR="063A4D0E" w:rsidRPr="32B50093">
        <w:rPr>
          <w:noProof/>
          <w:lang w:val="en-GB"/>
        </w:rPr>
        <w:t>6</w:t>
      </w:r>
      <w:r w:rsidRPr="32B50093">
        <w:rPr>
          <w:noProof/>
          <w:lang w:val="en-GB"/>
        </w:rPr>
        <w:t>%. These net emissions exclude emissions from international aviation and navigation (‘international bunkers’) and include emissions and removals from the Land Use, Land-use Change and Forestry (LULUCF) sector, which comprises a net sink, but decreasing, for GHG emissions in the EU.</w:t>
      </w:r>
    </w:p>
    <w:p w14:paraId="611ED95F" w14:textId="574DB801" w:rsidR="003E5AB0" w:rsidRPr="003E5AB0" w:rsidRDefault="003E5AB0" w:rsidP="003E5AB0">
      <w:pPr>
        <w:pStyle w:val="Caption"/>
        <w:rPr>
          <w:noProof/>
        </w:rPr>
      </w:pPr>
      <w:r w:rsidRPr="003E5AB0">
        <w:rPr>
          <w:noProof/>
        </w:rPr>
        <w:t xml:space="preserve">Figure </w:t>
      </w:r>
      <w:r w:rsidR="008D43FC">
        <w:rPr>
          <w:noProof/>
        </w:rPr>
        <w:fldChar w:fldCharType="begin"/>
      </w:r>
      <w:r w:rsidR="008D43FC">
        <w:rPr>
          <w:noProof/>
        </w:rPr>
        <w:instrText xml:space="preserve"> SEQ Figure \* ARABIC </w:instrText>
      </w:r>
      <w:r w:rsidR="008D43FC">
        <w:rPr>
          <w:noProof/>
        </w:rPr>
        <w:fldChar w:fldCharType="separate"/>
      </w:r>
      <w:r w:rsidR="008D43FC">
        <w:rPr>
          <w:noProof/>
        </w:rPr>
        <w:t>1</w:t>
      </w:r>
      <w:r w:rsidR="008D43FC">
        <w:rPr>
          <w:noProof/>
        </w:rPr>
        <w:fldChar w:fldCharType="end"/>
      </w:r>
      <w:r w:rsidRPr="003E5AB0">
        <w:rPr>
          <w:noProof/>
        </w:rPr>
        <w:t>: GHG emissions/removals in the EU by sector, 1990 to 2022</w:t>
      </w:r>
    </w:p>
    <w:p w14:paraId="1F68C646" w14:textId="398189A5" w:rsidR="003E5AB0" w:rsidRPr="003E5AB0" w:rsidRDefault="00440807" w:rsidP="003E5AB0">
      <w:pPr>
        <w:rPr>
          <w:noProof/>
          <w:lang w:val="en-GB"/>
        </w:rPr>
      </w:pPr>
      <w:r>
        <w:rPr>
          <w:noProof/>
          <w:lang w:val="en-GB" w:eastAsia="en-GB"/>
        </w:rPr>
        <w:drawing>
          <wp:inline distT="0" distB="0" distL="0" distR="0" wp14:anchorId="6C214EC0" wp14:editId="4287703B">
            <wp:extent cx="5753100" cy="3531108"/>
            <wp:effectExtent l="0" t="0" r="0" b="0"/>
            <wp:docPr id="1384892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70384" cy="3541717"/>
                    </a:xfrm>
                    <a:prstGeom prst="rect">
                      <a:avLst/>
                    </a:prstGeom>
                    <a:noFill/>
                  </pic:spPr>
                </pic:pic>
              </a:graphicData>
            </a:graphic>
          </wp:inline>
        </w:drawing>
      </w:r>
    </w:p>
    <w:p w14:paraId="1C424B6A" w14:textId="77777777" w:rsidR="003E5AB0" w:rsidRPr="003E5AB0" w:rsidRDefault="003E5AB0" w:rsidP="003E5AB0">
      <w:pPr>
        <w:pStyle w:val="Source"/>
        <w:rPr>
          <w:noProof/>
        </w:rPr>
      </w:pPr>
      <w:r w:rsidRPr="003E5AB0">
        <w:rPr>
          <w:noProof/>
        </w:rPr>
        <w:t>Source: Annual European Union GHG inventory 1990-2022</w:t>
      </w:r>
    </w:p>
    <w:p w14:paraId="02D28C01" w14:textId="77777777" w:rsidR="003E5AB0" w:rsidRPr="000852ED" w:rsidRDefault="003E5AB0" w:rsidP="009051C3">
      <w:pPr>
        <w:rPr>
          <w:noProof/>
        </w:rPr>
      </w:pPr>
      <w:r w:rsidRPr="000852ED">
        <w:rPr>
          <w:noProof/>
        </w:rPr>
        <w:t>In 2022, the energy sector accounted for 77% of GHG emissions (excluding LULUCF), followed by agriculture (11%), industrial processes and product use (9%) and the waste sector (3%). Carbon dioxide is the principal GHG, contributing 81% of emissions. Methane accounts for 12%, nitrous oxide for 5% and fluorinated gases for 2% of emissions.</w:t>
      </w:r>
    </w:p>
    <w:p w14:paraId="221ACC0E" w14:textId="0D2D7766" w:rsidR="003E5AB0" w:rsidRPr="00EE0390" w:rsidRDefault="003E5AB0" w:rsidP="00770944">
      <w:pPr>
        <w:pStyle w:val="Heading2"/>
        <w:rPr>
          <w:rStyle w:val="Style10Char"/>
          <w:rFonts w:ascii="Times New Roman Bold" w:hAnsi="Times New Roman Bold" w:hint="eastAsia"/>
          <w:b/>
          <w:noProof/>
          <w:color w:val="auto"/>
        </w:rPr>
      </w:pPr>
      <w:r w:rsidRPr="00EE0390">
        <w:rPr>
          <w:rStyle w:val="Style10Char"/>
          <w:rFonts w:ascii="Times New Roman Bold" w:hAnsi="Times New Roman Bold"/>
          <w:b/>
          <w:noProof/>
          <w:color w:val="auto"/>
        </w:rPr>
        <w:t xml:space="preserve">Progress towards the target of the </w:t>
      </w:r>
      <w:r w:rsidR="00BD3F2F">
        <w:rPr>
          <w:rStyle w:val="Style10Char"/>
          <w:rFonts w:ascii="Times New Roman Bold" w:hAnsi="Times New Roman Bold"/>
          <w:b/>
          <w:noProof/>
          <w:color w:val="auto"/>
        </w:rPr>
        <w:t xml:space="preserve">EU </w:t>
      </w:r>
      <w:r w:rsidRPr="00EE0390">
        <w:rPr>
          <w:rStyle w:val="Style10Char"/>
          <w:rFonts w:ascii="Times New Roman Bold" w:hAnsi="Times New Roman Bold"/>
          <w:b/>
          <w:noProof/>
          <w:color w:val="auto"/>
        </w:rPr>
        <w:t>nationally determined contribution</w:t>
      </w:r>
      <w:r w:rsidR="00BD3F2F">
        <w:rPr>
          <w:rStyle w:val="Style10Char"/>
          <w:rFonts w:ascii="Times New Roman Bold" w:hAnsi="Times New Roman Bold"/>
          <w:b/>
          <w:noProof/>
          <w:color w:val="auto"/>
        </w:rPr>
        <w:t xml:space="preserve"> (NDC)</w:t>
      </w:r>
    </w:p>
    <w:p w14:paraId="21EB8777" w14:textId="60585E8C" w:rsidR="00655B43" w:rsidRDefault="003E5AB0" w:rsidP="003E5AB0">
      <w:pPr>
        <w:rPr>
          <w:noProof/>
          <w:lang w:val="en-GB"/>
        </w:rPr>
      </w:pPr>
      <w:r w:rsidRPr="003E5AB0">
        <w:rPr>
          <w:noProof/>
          <w:lang w:val="en-GB"/>
        </w:rPr>
        <w:t xml:space="preserve">Under the Paris Agreement, the European Union and its Member States have committed to an ambitious target of reducing net GHG emissions by at least 55% by 2030 compared to 1990. </w:t>
      </w:r>
      <w:r w:rsidR="00FC4141">
        <w:rPr>
          <w:noProof/>
          <w:lang w:val="en-GB"/>
        </w:rPr>
        <w:t xml:space="preserve">The </w:t>
      </w:r>
      <w:r w:rsidR="00655B43">
        <w:rPr>
          <w:rStyle w:val="normaltextrun"/>
          <w:noProof/>
          <w:color w:val="000000"/>
          <w:shd w:val="clear" w:color="auto" w:fill="FFFFFF"/>
        </w:rPr>
        <w:t>European Climate Law</w:t>
      </w:r>
      <w:r w:rsidR="00655B43">
        <w:rPr>
          <w:rStyle w:val="superscript"/>
          <w:noProof/>
          <w:color w:val="000000"/>
          <w:sz w:val="19"/>
          <w:szCs w:val="19"/>
          <w:shd w:val="clear" w:color="auto" w:fill="FFFFFF"/>
          <w:vertAlign w:val="superscript"/>
        </w:rPr>
        <w:t>46</w:t>
      </w:r>
      <w:r w:rsidR="00655B43">
        <w:rPr>
          <w:rStyle w:val="normaltextrun"/>
          <w:noProof/>
          <w:color w:val="000000"/>
          <w:shd w:val="clear" w:color="auto" w:fill="FFFFFF"/>
        </w:rPr>
        <w:t xml:space="preserve"> sets the goal of climate neutrality by 2050 and the intermediate target of reducing net greenhouse gas emissions by at least 55% by 2030 compared to 1990 levels</w:t>
      </w:r>
      <w:r w:rsidR="00655B43" w:rsidRPr="00160B63">
        <w:rPr>
          <w:rStyle w:val="normaltextrun"/>
          <w:noProof/>
          <w:shd w:val="clear" w:color="auto" w:fill="FFFFFF"/>
        </w:rPr>
        <w:t xml:space="preserve">. </w:t>
      </w:r>
      <w:r w:rsidR="00BF6B02" w:rsidRPr="00160B63">
        <w:rPr>
          <w:rStyle w:val="normaltextrun"/>
          <w:noProof/>
          <w:shd w:val="clear" w:color="auto" w:fill="FFFFFF"/>
        </w:rPr>
        <w:t>Th</w:t>
      </w:r>
      <w:r w:rsidR="00092B70" w:rsidRPr="00160B63">
        <w:rPr>
          <w:rStyle w:val="normaltextrun"/>
          <w:noProof/>
          <w:shd w:val="clear" w:color="auto" w:fill="FFFFFF"/>
        </w:rPr>
        <w:t>es</w:t>
      </w:r>
      <w:r w:rsidR="00BF6B02" w:rsidRPr="00160B63">
        <w:rPr>
          <w:rStyle w:val="normaltextrun"/>
          <w:noProof/>
          <w:shd w:val="clear" w:color="auto" w:fill="FFFFFF"/>
        </w:rPr>
        <w:t>e</w:t>
      </w:r>
      <w:r w:rsidR="00655B43" w:rsidRPr="00160B63">
        <w:rPr>
          <w:rStyle w:val="normaltextrun"/>
          <w:noProof/>
          <w:shd w:val="clear" w:color="auto" w:fill="FFFFFF"/>
        </w:rPr>
        <w:t xml:space="preserve"> targets cover emissions and removals that are regulated in Union law</w:t>
      </w:r>
      <w:r w:rsidR="009D1241">
        <w:rPr>
          <w:rStyle w:val="normaltextrun"/>
          <w:noProof/>
          <w:shd w:val="clear" w:color="auto" w:fill="FFFFFF"/>
        </w:rPr>
        <w:t>.</w:t>
      </w:r>
    </w:p>
    <w:p w14:paraId="33B13AF0" w14:textId="670DD0C2" w:rsidR="003E5AB0" w:rsidRPr="003E5AB0" w:rsidRDefault="003E5AB0" w:rsidP="003E5AB0">
      <w:pPr>
        <w:rPr>
          <w:noProof/>
          <w:lang w:val="en-GB"/>
        </w:rPr>
      </w:pPr>
      <w:r w:rsidRPr="003E5AB0">
        <w:rPr>
          <w:noProof/>
          <w:lang w:val="en-GB"/>
        </w:rPr>
        <w:t xml:space="preserve">The EU NDC </w:t>
      </w:r>
      <w:r w:rsidR="00DF48EB">
        <w:rPr>
          <w:noProof/>
          <w:lang w:val="en-GB"/>
        </w:rPr>
        <w:t xml:space="preserve">is </w:t>
      </w:r>
      <w:r w:rsidR="00B66FEB">
        <w:rPr>
          <w:noProof/>
          <w:lang w:val="en-GB"/>
        </w:rPr>
        <w:t>described</w:t>
      </w:r>
      <w:r w:rsidR="00DF48EB">
        <w:rPr>
          <w:noProof/>
          <w:lang w:val="en-GB"/>
        </w:rPr>
        <w:t xml:space="preserve"> in the EU </w:t>
      </w:r>
      <w:r w:rsidR="001A201C">
        <w:rPr>
          <w:noProof/>
          <w:lang w:val="en-GB"/>
        </w:rPr>
        <w:t xml:space="preserve">submission of 17 </w:t>
      </w:r>
      <w:r w:rsidR="00B66FEB">
        <w:rPr>
          <w:noProof/>
          <w:lang w:val="en-GB"/>
        </w:rPr>
        <w:t>October</w:t>
      </w:r>
      <w:r w:rsidR="001A201C">
        <w:rPr>
          <w:noProof/>
          <w:lang w:val="en-GB"/>
        </w:rPr>
        <w:t xml:space="preserve"> 2023</w:t>
      </w:r>
      <w:r w:rsidR="00B66FEB">
        <w:rPr>
          <w:noProof/>
          <w:lang w:val="en-GB"/>
        </w:rPr>
        <w:t xml:space="preserve"> to the UNFCCC</w:t>
      </w:r>
      <w:r w:rsidR="001A201C">
        <w:rPr>
          <w:noProof/>
          <w:lang w:val="en-GB"/>
        </w:rPr>
        <w:t>.</w:t>
      </w:r>
      <w:r w:rsidR="00B66FEB">
        <w:rPr>
          <w:noProof/>
          <w:lang w:val="en-GB"/>
        </w:rPr>
        <w:t xml:space="preserve"> The EU NDC</w:t>
      </w:r>
      <w:r w:rsidR="001A201C">
        <w:rPr>
          <w:noProof/>
          <w:lang w:val="en-GB"/>
        </w:rPr>
        <w:t xml:space="preserve"> </w:t>
      </w:r>
      <w:r w:rsidRPr="003E5AB0">
        <w:rPr>
          <w:noProof/>
          <w:lang w:val="en-GB"/>
        </w:rPr>
        <w:t>is an economy-wide net reduction target which includes net removals from the LULUCF sector and emissions from international aviation and maritime transport activities regulated as set out for 2030 in Annex I to the EU ETS Directive. Therefore, the EU NDC includes emissions from international aviation and international maritime transport. This target is to be achieved domestically (i.e. within the EU), without the use of international credits.</w:t>
      </w:r>
    </w:p>
    <w:p w14:paraId="26C82784" w14:textId="7A7B69AB" w:rsidR="516F3317" w:rsidRDefault="003E5AB0" w:rsidP="516F3317">
      <w:pPr>
        <w:rPr>
          <w:noProof/>
          <w:lang w:val="en-GB"/>
        </w:rPr>
      </w:pPr>
      <w:r w:rsidRPr="3A3711FD">
        <w:rPr>
          <w:noProof/>
          <w:lang w:val="en-GB"/>
        </w:rPr>
        <w:t xml:space="preserve">In this first Biennial Transparency Report (BTR), the EU reports on its progress towards achieving its NDC target. </w:t>
      </w:r>
      <w:r w:rsidR="00AC4BB0">
        <w:rPr>
          <w:noProof/>
          <w:lang w:val="en-GB"/>
        </w:rPr>
        <w:t xml:space="preserve">As </w:t>
      </w:r>
      <w:r w:rsidRPr="3A3711FD">
        <w:rPr>
          <w:noProof/>
          <w:lang w:val="en-GB"/>
        </w:rPr>
        <w:t xml:space="preserve">this NDC target </w:t>
      </w:r>
      <w:r w:rsidR="11575E52" w:rsidRPr="19F780DD">
        <w:rPr>
          <w:noProof/>
          <w:lang w:val="en-GB"/>
        </w:rPr>
        <w:t>include</w:t>
      </w:r>
      <w:r w:rsidR="11575E52" w:rsidRPr="00EF5B99">
        <w:rPr>
          <w:noProof/>
          <w:lang w:val="en-GB"/>
        </w:rPr>
        <w:t>s specific emissions from international aviation and international maritime transport</w:t>
      </w:r>
      <w:r w:rsidR="00AC4BB0">
        <w:rPr>
          <w:noProof/>
          <w:lang w:val="en-GB"/>
        </w:rPr>
        <w:t>,</w:t>
      </w:r>
      <w:r w:rsidR="11575E52" w:rsidRPr="00EF5B99">
        <w:rPr>
          <w:noProof/>
          <w:lang w:val="en-GB"/>
        </w:rPr>
        <w:t xml:space="preserve"> it</w:t>
      </w:r>
      <w:r w:rsidR="45D23730" w:rsidRPr="00EF5B99">
        <w:rPr>
          <w:noProof/>
          <w:lang w:val="en-GB"/>
        </w:rPr>
        <w:t xml:space="preserve">s scope </w:t>
      </w:r>
      <w:r w:rsidRPr="3A3711FD">
        <w:rPr>
          <w:noProof/>
          <w:lang w:val="en-GB"/>
        </w:rPr>
        <w:t xml:space="preserve">is wider </w:t>
      </w:r>
      <w:r w:rsidR="27F7E53A" w:rsidRPr="19F780DD">
        <w:rPr>
          <w:noProof/>
          <w:lang w:val="en-GB"/>
        </w:rPr>
        <w:t xml:space="preserve">than </w:t>
      </w:r>
      <w:r w:rsidR="599AD20F" w:rsidRPr="19F780DD">
        <w:rPr>
          <w:noProof/>
          <w:lang w:val="en-GB"/>
        </w:rPr>
        <w:t>that of</w:t>
      </w:r>
      <w:r w:rsidRPr="3A3711FD">
        <w:rPr>
          <w:noProof/>
          <w:lang w:val="en-GB"/>
        </w:rPr>
        <w:t xml:space="preserve"> the national GHG emissions inventory </w:t>
      </w:r>
      <w:r w:rsidR="00BD3F2F">
        <w:rPr>
          <w:noProof/>
          <w:lang w:val="en-GB"/>
        </w:rPr>
        <w:t>albeit</w:t>
      </w:r>
      <w:r w:rsidR="00BD3F2F" w:rsidRPr="3A3711FD">
        <w:rPr>
          <w:noProof/>
          <w:lang w:val="en-GB"/>
        </w:rPr>
        <w:t xml:space="preserve"> </w:t>
      </w:r>
      <w:r w:rsidRPr="3A3711FD">
        <w:rPr>
          <w:noProof/>
          <w:lang w:val="en-GB"/>
        </w:rPr>
        <w:t xml:space="preserve">narrower than </w:t>
      </w:r>
      <w:r w:rsidR="7018A5C7" w:rsidRPr="19F780DD">
        <w:rPr>
          <w:noProof/>
          <w:lang w:val="en-GB"/>
        </w:rPr>
        <w:t xml:space="preserve">that of </w:t>
      </w:r>
      <w:r w:rsidRPr="3A3711FD">
        <w:rPr>
          <w:noProof/>
          <w:lang w:val="en-GB"/>
        </w:rPr>
        <w:t xml:space="preserve">the EU 2030 target under the Climate Law as regards </w:t>
      </w:r>
      <w:r w:rsidR="72A8D181" w:rsidRPr="19F780DD">
        <w:rPr>
          <w:noProof/>
          <w:lang w:val="en-GB"/>
        </w:rPr>
        <w:t xml:space="preserve">aviation and </w:t>
      </w:r>
      <w:r w:rsidR="27F7E53A" w:rsidRPr="19F780DD">
        <w:rPr>
          <w:noProof/>
          <w:lang w:val="en-GB"/>
        </w:rPr>
        <w:t xml:space="preserve">maritime transport. </w:t>
      </w:r>
      <w:r w:rsidRPr="3A3711FD">
        <w:rPr>
          <w:noProof/>
          <w:lang w:val="en-GB"/>
        </w:rPr>
        <w:t>Considering th</w:t>
      </w:r>
      <w:r w:rsidR="6B72D765" w:rsidRPr="3A3711FD">
        <w:rPr>
          <w:noProof/>
          <w:lang w:val="en-GB"/>
        </w:rPr>
        <w:t>e NDC’s s</w:t>
      </w:r>
      <w:r w:rsidRPr="3A3711FD">
        <w:rPr>
          <w:noProof/>
          <w:lang w:val="en-GB"/>
        </w:rPr>
        <w:t>cope, emissions have decreased by 31.</w:t>
      </w:r>
      <w:r w:rsidR="4F6180FE" w:rsidRPr="3A3711FD">
        <w:rPr>
          <w:noProof/>
          <w:lang w:val="en-GB"/>
        </w:rPr>
        <w:t>8</w:t>
      </w:r>
      <w:r w:rsidRPr="3A3711FD">
        <w:rPr>
          <w:noProof/>
          <w:lang w:val="en-GB"/>
        </w:rPr>
        <w:t>% between 1990 and 2022.</w:t>
      </w:r>
    </w:p>
    <w:p w14:paraId="4F8E7127" w14:textId="428C6567" w:rsidR="00D54510" w:rsidRPr="008949E2" w:rsidRDefault="00D54510" w:rsidP="3A3711FD">
      <w:pPr>
        <w:pStyle w:val="Caption"/>
        <w:rPr>
          <w:noProof/>
          <w:sz w:val="24"/>
          <w:szCs w:val="24"/>
          <w:lang w:val="en-GB"/>
        </w:rPr>
      </w:pPr>
      <w:r w:rsidRPr="00A63804">
        <w:rPr>
          <w:noProof/>
        </w:rPr>
        <w:t xml:space="preserve">Figure </w:t>
      </w:r>
      <w:r w:rsidRPr="00A63804">
        <w:rPr>
          <w:noProof/>
        </w:rPr>
        <w:fldChar w:fldCharType="begin"/>
      </w:r>
      <w:r w:rsidRPr="00A63804">
        <w:rPr>
          <w:noProof/>
        </w:rPr>
        <w:instrText xml:space="preserve"> SEQ Figure \* ARABIC </w:instrText>
      </w:r>
      <w:r w:rsidRPr="00A63804">
        <w:rPr>
          <w:noProof/>
        </w:rPr>
        <w:fldChar w:fldCharType="separate"/>
      </w:r>
      <w:r w:rsidRPr="00A63804">
        <w:rPr>
          <w:noProof/>
        </w:rPr>
        <w:t>2</w:t>
      </w:r>
      <w:r w:rsidRPr="00A63804">
        <w:rPr>
          <w:noProof/>
        </w:rPr>
        <w:fldChar w:fldCharType="end"/>
      </w:r>
      <w:r w:rsidRPr="00A63804">
        <w:rPr>
          <w:noProof/>
        </w:rPr>
        <w:t xml:space="preserve">: </w:t>
      </w:r>
      <w:r w:rsidR="00D807F5" w:rsidRPr="00A63804">
        <w:rPr>
          <w:noProof/>
        </w:rPr>
        <w:t>Emissions under the NDC scope in 1990 and 2022</w:t>
      </w:r>
    </w:p>
    <w:p w14:paraId="623D8A6F" w14:textId="376B6E4F" w:rsidR="0075406B" w:rsidRPr="003E5AB0" w:rsidRDefault="008A3B98" w:rsidP="003E5AB0">
      <w:pPr>
        <w:rPr>
          <w:noProof/>
          <w:lang w:val="en-GB"/>
        </w:rPr>
      </w:pPr>
      <w:r>
        <w:rPr>
          <w:noProof/>
          <w:lang w:val="en-GB" w:eastAsia="en-GB"/>
        </w:rPr>
        <w:drawing>
          <wp:inline distT="0" distB="0" distL="0" distR="0" wp14:anchorId="5FFB4B4D" wp14:editId="1074EE24">
            <wp:extent cx="3157870" cy="2599915"/>
            <wp:effectExtent l="0" t="0" r="4445" b="0"/>
            <wp:docPr id="12292139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63482" cy="2604535"/>
                    </a:xfrm>
                    <a:prstGeom prst="rect">
                      <a:avLst/>
                    </a:prstGeom>
                    <a:noFill/>
                  </pic:spPr>
                </pic:pic>
              </a:graphicData>
            </a:graphic>
          </wp:inline>
        </w:drawing>
      </w:r>
    </w:p>
    <w:p w14:paraId="12EA3138" w14:textId="1388B902" w:rsidR="003E5AB0" w:rsidRDefault="12AEFCDF" w:rsidP="003E5AB0">
      <w:pPr>
        <w:rPr>
          <w:noProof/>
          <w:lang w:val="en-GB"/>
        </w:rPr>
      </w:pPr>
      <w:r w:rsidRPr="19F780DD">
        <w:rPr>
          <w:noProof/>
          <w:lang w:val="en-GB"/>
        </w:rPr>
        <w:t>To</w:t>
      </w:r>
      <w:r w:rsidR="003E5AB0" w:rsidRPr="003E5AB0">
        <w:rPr>
          <w:noProof/>
          <w:lang w:val="en-GB"/>
        </w:rPr>
        <w:t xml:space="preserve"> achieve the target of </w:t>
      </w:r>
      <w:r w:rsidR="27F7E53A" w:rsidRPr="19F780DD">
        <w:rPr>
          <w:noProof/>
          <w:lang w:val="en-GB"/>
        </w:rPr>
        <w:t>a</w:t>
      </w:r>
      <w:r w:rsidR="7CADD1E1" w:rsidRPr="19F780DD">
        <w:rPr>
          <w:noProof/>
          <w:lang w:val="en-GB"/>
        </w:rPr>
        <w:t>n</w:t>
      </w:r>
      <w:r w:rsidR="003E5AB0" w:rsidRPr="003E5AB0">
        <w:rPr>
          <w:noProof/>
          <w:lang w:val="en-GB"/>
        </w:rPr>
        <w:t xml:space="preserve"> at least 55% reduction by 2030, further reductions in emissions are needed. To this end, the EU and its Member States have put in place a comprehensive framework of new and enhanced policies and measures, known as the “Fit for 55 </w:t>
      </w:r>
      <w:bookmarkStart w:id="2" w:name="_Int_efvXFzDg"/>
      <w:r w:rsidR="003E5AB0" w:rsidRPr="003E5AB0">
        <w:rPr>
          <w:noProof/>
          <w:lang w:val="en-GB"/>
        </w:rPr>
        <w:t>package</w:t>
      </w:r>
      <w:bookmarkEnd w:id="2"/>
      <w:r w:rsidR="66E20F25" w:rsidRPr="19F780DD">
        <w:rPr>
          <w:noProof/>
          <w:lang w:val="en-GB"/>
        </w:rPr>
        <w:t>.</w:t>
      </w:r>
      <w:r w:rsidR="27F7E53A" w:rsidRPr="19F780DD">
        <w:rPr>
          <w:noProof/>
          <w:lang w:val="en-GB"/>
        </w:rPr>
        <w:t>”</w:t>
      </w:r>
      <w:r w:rsidR="003E5AB0" w:rsidRPr="003E5AB0">
        <w:rPr>
          <w:noProof/>
          <w:lang w:val="en-GB"/>
        </w:rPr>
        <w:t xml:space="preserve"> The package seeks to accelerate emissions reductions in the sectors covered by the EU emissions trading system (EU ETS) and those covered by the Effort-sharing Regulation, and to increase carbon removals in the LULUCF sector.</w:t>
      </w:r>
    </w:p>
    <w:p w14:paraId="58C55CFD" w14:textId="77777777" w:rsidR="003E5AB0" w:rsidRPr="00770944" w:rsidRDefault="003E5AB0" w:rsidP="13C03B2D">
      <w:pPr>
        <w:pStyle w:val="Heading2"/>
        <w:ind w:left="431" w:hanging="431"/>
        <w:rPr>
          <w:rStyle w:val="Style10Char"/>
          <w:rFonts w:ascii="Times New Roman Bold" w:hAnsi="Times New Roman Bold" w:hint="eastAsia"/>
          <w:b/>
          <w:noProof/>
          <w:color w:val="auto"/>
        </w:rPr>
      </w:pPr>
      <w:bookmarkStart w:id="3" w:name="_Toc175939352"/>
      <w:r w:rsidRPr="13C03B2D">
        <w:rPr>
          <w:rStyle w:val="Style10Char"/>
          <w:rFonts w:ascii="Times New Roman Bold" w:hAnsi="Times New Roman Bold"/>
          <w:b/>
          <w:noProof/>
          <w:color w:val="auto"/>
        </w:rPr>
        <w:t>Mitigation policies and measures</w:t>
      </w:r>
      <w:bookmarkEnd w:id="3"/>
    </w:p>
    <w:p w14:paraId="73107CC5" w14:textId="579B81B3" w:rsidR="003E5AB0" w:rsidRPr="00967D72" w:rsidRDefault="003E5AB0" w:rsidP="003E5AB0">
      <w:pPr>
        <w:rPr>
          <w:noProof/>
          <w:lang w:val="en-GB"/>
        </w:rPr>
      </w:pPr>
      <w:r w:rsidRPr="4BB77F14">
        <w:rPr>
          <w:noProof/>
          <w:lang w:val="en-GB"/>
        </w:rPr>
        <w:t xml:space="preserve">The European Union’s 2030 climate and energy framework is a set of policies to ensure that the EU and its Member States fulfil their climate change mitigation commitments under the Paris Agreement. This framework is governed by the European Climate Law, which includes </w:t>
      </w:r>
      <w:r w:rsidR="18F6D326" w:rsidRPr="19F780DD">
        <w:rPr>
          <w:noProof/>
          <w:lang w:val="en-GB"/>
        </w:rPr>
        <w:t>the</w:t>
      </w:r>
      <w:r>
        <w:rPr>
          <w:noProof/>
          <w:lang w:val="en-GB"/>
        </w:rPr>
        <w:t xml:space="preserve"> more ambitious </w:t>
      </w:r>
      <w:r w:rsidRPr="4BB77F14">
        <w:rPr>
          <w:noProof/>
          <w:lang w:val="en-GB"/>
        </w:rPr>
        <w:t>2030 climate target, provisions for developing a 2040 climate target, and the target of climate neutrality by 2050.</w:t>
      </w:r>
    </w:p>
    <w:p w14:paraId="5A8F89AD" w14:textId="68C59BF2" w:rsidR="003E5AB0" w:rsidRPr="000852ED" w:rsidRDefault="003E5AB0" w:rsidP="003E5AB0">
      <w:pPr>
        <w:rPr>
          <w:noProof/>
        </w:rPr>
      </w:pPr>
      <w:r w:rsidRPr="000852ED">
        <w:rPr>
          <w:noProof/>
        </w:rPr>
        <w:t>The EU emissions trading system (EU ETS) is a cornerstone of the 2030 climate and energy framework. It puts a price on carbon by setting a cap on the maximum number of emissions allowances in the energy and industrial sectors, and for specific flights and voyages in aviation and maritime transport. GHG emissions from these sectors must be reduced by 62% by 2030 compared to 2005 levels. Furthermore,</w:t>
      </w:r>
      <w:r w:rsidR="009A761A">
        <w:rPr>
          <w:noProof/>
        </w:rPr>
        <w:t xml:space="preserve"> emissions trading</w:t>
      </w:r>
      <w:r w:rsidR="002E0A07">
        <w:rPr>
          <w:noProof/>
        </w:rPr>
        <w:t xml:space="preserve"> in the EU</w:t>
      </w:r>
      <w:r w:rsidRPr="000852ED" w:rsidDel="009A761A">
        <w:rPr>
          <w:noProof/>
        </w:rPr>
        <w:t xml:space="preserve"> </w:t>
      </w:r>
      <w:r w:rsidRPr="000852ED">
        <w:rPr>
          <w:noProof/>
        </w:rPr>
        <w:t>will be extended to cover emissions from fuel combustion in buildings, road transport and additional sectors (mainly small industry not covered by the existing EU ETS) as from 202</w:t>
      </w:r>
      <w:r w:rsidR="00DF01E8">
        <w:rPr>
          <w:noProof/>
        </w:rPr>
        <w:t>7 with the creation of a Social Climate Fund</w:t>
      </w:r>
      <w:r w:rsidR="00953312">
        <w:rPr>
          <w:noProof/>
        </w:rPr>
        <w:t>, financed from the auction of emissions allowances to support the most vulnerable households and micro</w:t>
      </w:r>
      <w:r w:rsidR="0095117A">
        <w:rPr>
          <w:noProof/>
        </w:rPr>
        <w:t>-enterprises</w:t>
      </w:r>
      <w:r w:rsidRPr="000852ED">
        <w:rPr>
          <w:noProof/>
        </w:rPr>
        <w:t xml:space="preserve"> The cap will be set to bring emissions from those sectors </w:t>
      </w:r>
      <w:r w:rsidR="00512534" w:rsidRPr="000852ED">
        <w:rPr>
          <w:noProof/>
        </w:rPr>
        <w:t xml:space="preserve">down </w:t>
      </w:r>
      <w:r w:rsidRPr="000852ED">
        <w:rPr>
          <w:noProof/>
        </w:rPr>
        <w:t>by 42% by 2030 compared to 2005 levels.</w:t>
      </w:r>
    </w:p>
    <w:p w14:paraId="4FA19248" w14:textId="77777777" w:rsidR="003E5AB0" w:rsidRPr="00967D72" w:rsidRDefault="003E5AB0" w:rsidP="003E5AB0">
      <w:pPr>
        <w:rPr>
          <w:noProof/>
          <w:lang w:val="en-GB"/>
        </w:rPr>
      </w:pPr>
      <w:r w:rsidRPr="4BB77F14">
        <w:rPr>
          <w:noProof/>
          <w:lang w:val="en-GB"/>
        </w:rPr>
        <w:t>The Effort-sharing Regulation sets individual, binding reduction targets for EU Member States for emissions in sectors outside the EU ETS and the LULUCF sector, namely domestic transport (except aviation), buildings, agriculture, waste and small industries. In these sectors, GHG emissions must be reduced by 40% by 2030 compared to 2005 levels, with targets for individual Member States of reductions ranging from 10% to 50%.</w:t>
      </w:r>
    </w:p>
    <w:p w14:paraId="0475A53C" w14:textId="57E0BB3B" w:rsidR="003E5AB0" w:rsidRPr="00967D72" w:rsidRDefault="003E5AB0" w:rsidP="003E5AB0">
      <w:pPr>
        <w:rPr>
          <w:noProof/>
          <w:lang w:val="en-GB"/>
        </w:rPr>
      </w:pPr>
      <w:r w:rsidRPr="4BB77F14">
        <w:rPr>
          <w:noProof/>
          <w:lang w:val="en-GB"/>
        </w:rPr>
        <w:t xml:space="preserve">The achievement of </w:t>
      </w:r>
      <w:r w:rsidRPr="47F17861">
        <w:rPr>
          <w:noProof/>
          <w:lang w:val="en-GB"/>
        </w:rPr>
        <w:t>the</w:t>
      </w:r>
      <w:r w:rsidR="00B91A1C" w:rsidRPr="47F17861">
        <w:rPr>
          <w:noProof/>
          <w:lang w:val="en-GB"/>
        </w:rPr>
        <w:t>se</w:t>
      </w:r>
      <w:r w:rsidR="00AF203E">
        <w:rPr>
          <w:noProof/>
          <w:lang w:val="en-GB"/>
        </w:rPr>
        <w:t xml:space="preserve"> </w:t>
      </w:r>
      <w:r w:rsidRPr="4BB77F14">
        <w:rPr>
          <w:noProof/>
          <w:lang w:val="en-GB"/>
        </w:rPr>
        <w:t>targets is supported by several sector-specific policies and measures, including the Energy Efficiency Directive, the Renewable Energy Directive, and CO</w:t>
      </w:r>
      <w:r w:rsidRPr="4BB77F14">
        <w:rPr>
          <w:noProof/>
          <w:vertAlign w:val="subscript"/>
          <w:lang w:val="en-GB"/>
        </w:rPr>
        <w:t>2</w:t>
      </w:r>
      <w:r w:rsidRPr="4BB77F14">
        <w:rPr>
          <w:noProof/>
          <w:lang w:val="en-GB"/>
        </w:rPr>
        <w:t xml:space="preserve"> emissions standards in road transport</w:t>
      </w:r>
      <w:r>
        <w:rPr>
          <w:noProof/>
          <w:lang w:val="en-GB"/>
        </w:rPr>
        <w:t xml:space="preserve"> </w:t>
      </w:r>
      <w:r w:rsidRPr="00752D19">
        <w:rPr>
          <w:noProof/>
          <w:lang w:val="en-GB"/>
        </w:rPr>
        <w:t>as well as supported through EU funding, including the Recovery and Resilience Facility</w:t>
      </w:r>
      <w:r>
        <w:rPr>
          <w:noProof/>
          <w:lang w:val="en-GB"/>
        </w:rPr>
        <w:t>,</w:t>
      </w:r>
      <w:r w:rsidRPr="00752D19">
        <w:rPr>
          <w:noProof/>
          <w:lang w:val="en-GB"/>
        </w:rPr>
        <w:t xml:space="preserve"> Cohesion Funds</w:t>
      </w:r>
      <w:r>
        <w:rPr>
          <w:noProof/>
          <w:lang w:val="en-GB"/>
        </w:rPr>
        <w:t>,</w:t>
      </w:r>
      <w:r w:rsidRPr="00752D19">
        <w:rPr>
          <w:noProof/>
          <w:lang w:val="en-GB"/>
        </w:rPr>
        <w:t xml:space="preserve"> </w:t>
      </w:r>
      <w:r w:rsidR="00BD3F2F">
        <w:rPr>
          <w:noProof/>
          <w:lang w:val="en-GB"/>
        </w:rPr>
        <w:t>C</w:t>
      </w:r>
      <w:r w:rsidR="009E6827" w:rsidRPr="516F3317">
        <w:rPr>
          <w:noProof/>
          <w:lang w:val="en-GB"/>
        </w:rPr>
        <w:t xml:space="preserve">ommon </w:t>
      </w:r>
      <w:r w:rsidR="00BD3F2F">
        <w:rPr>
          <w:noProof/>
          <w:lang w:val="en-GB"/>
        </w:rPr>
        <w:t>A</w:t>
      </w:r>
      <w:r w:rsidR="009E6827" w:rsidRPr="516F3317">
        <w:rPr>
          <w:noProof/>
          <w:lang w:val="en-GB"/>
        </w:rPr>
        <w:t xml:space="preserve">gricultural </w:t>
      </w:r>
      <w:r w:rsidR="00BD3F2F">
        <w:rPr>
          <w:noProof/>
          <w:lang w:val="en-GB"/>
        </w:rPr>
        <w:t>P</w:t>
      </w:r>
      <w:r w:rsidR="009E6827" w:rsidRPr="516F3317">
        <w:rPr>
          <w:noProof/>
          <w:lang w:val="en-GB"/>
        </w:rPr>
        <w:t>olicy</w:t>
      </w:r>
      <w:r>
        <w:rPr>
          <w:noProof/>
          <w:lang w:val="en-GB"/>
        </w:rPr>
        <w:t xml:space="preserve">, Modernisation </w:t>
      </w:r>
      <w:r w:rsidR="25CD227B" w:rsidRPr="516F3317">
        <w:rPr>
          <w:noProof/>
          <w:lang w:val="en-GB"/>
        </w:rPr>
        <w:t>F</w:t>
      </w:r>
      <w:r w:rsidR="27F7E53A" w:rsidRPr="516F3317">
        <w:rPr>
          <w:noProof/>
          <w:lang w:val="en-GB"/>
        </w:rPr>
        <w:t>und</w:t>
      </w:r>
      <w:r>
        <w:rPr>
          <w:noProof/>
          <w:lang w:val="en-GB"/>
        </w:rPr>
        <w:t xml:space="preserve"> or Innovation </w:t>
      </w:r>
      <w:r w:rsidR="25CD227B" w:rsidRPr="516F3317">
        <w:rPr>
          <w:noProof/>
          <w:lang w:val="en-GB"/>
        </w:rPr>
        <w:t>F</w:t>
      </w:r>
      <w:r w:rsidR="27F7E53A" w:rsidRPr="516F3317">
        <w:rPr>
          <w:noProof/>
          <w:lang w:val="en-GB"/>
        </w:rPr>
        <w:t>und</w:t>
      </w:r>
      <w:r w:rsidRPr="4BB77F14">
        <w:rPr>
          <w:noProof/>
          <w:lang w:val="en-GB"/>
        </w:rPr>
        <w:t>.</w:t>
      </w:r>
    </w:p>
    <w:p w14:paraId="30509071" w14:textId="77777777" w:rsidR="003E5AB0" w:rsidRDefault="003E5AB0" w:rsidP="003E5AB0">
      <w:pPr>
        <w:rPr>
          <w:noProof/>
        </w:rPr>
      </w:pPr>
      <w:r w:rsidRPr="004E6D19">
        <w:rPr>
          <w:noProof/>
        </w:rPr>
        <w:t>In the LULUCF sector, the LULUCF Regulation introduced an EU-wide net carbon removal target of 310 million tonnes of CO</w:t>
      </w:r>
      <w:r w:rsidRPr="004E6D19">
        <w:rPr>
          <w:noProof/>
          <w:vertAlign w:val="subscript"/>
        </w:rPr>
        <w:t>2</w:t>
      </w:r>
      <w:r w:rsidRPr="004E6D19">
        <w:rPr>
          <w:noProof/>
        </w:rPr>
        <w:t xml:space="preserve"> equivalent by 2030. Each Member State has an individual binding target, ranging from -47 to +5 million tonnes of CO</w:t>
      </w:r>
      <w:r w:rsidRPr="004E6D19">
        <w:rPr>
          <w:noProof/>
          <w:vertAlign w:val="subscript"/>
        </w:rPr>
        <w:t>2</w:t>
      </w:r>
      <w:r w:rsidRPr="004E6D19">
        <w:rPr>
          <w:noProof/>
        </w:rPr>
        <w:t xml:space="preserve"> equivalent, which taken together will achieve the EU’s collective target.</w:t>
      </w:r>
    </w:p>
    <w:p w14:paraId="5273195D" w14:textId="5027DAB7" w:rsidR="002052DC" w:rsidRPr="004E6D19" w:rsidRDefault="002052DC" w:rsidP="003E5AB0">
      <w:pPr>
        <w:rPr>
          <w:noProof/>
        </w:rPr>
      </w:pPr>
      <w:r>
        <w:rPr>
          <w:noProof/>
        </w:rPr>
        <w:t xml:space="preserve">In 2024, the Commission </w:t>
      </w:r>
      <w:r w:rsidR="001B1947">
        <w:rPr>
          <w:noProof/>
        </w:rPr>
        <w:t xml:space="preserve">issued a Communication and detailed impact assessment on the EU’s 2040 target, </w:t>
      </w:r>
      <w:r w:rsidR="006B441F">
        <w:rPr>
          <w:noProof/>
        </w:rPr>
        <w:t xml:space="preserve">recommending a 90% </w:t>
      </w:r>
      <w:r w:rsidR="00CF777E">
        <w:rPr>
          <w:noProof/>
        </w:rPr>
        <w:t>n</w:t>
      </w:r>
      <w:r w:rsidR="006B441F">
        <w:rPr>
          <w:noProof/>
        </w:rPr>
        <w:t>et greenhouse gas reduction relative to 1990 levels by 2040.</w:t>
      </w:r>
    </w:p>
    <w:p w14:paraId="7AE3BC4C" w14:textId="77777777" w:rsidR="00995B83" w:rsidRPr="00770944" w:rsidRDefault="00995B83" w:rsidP="356C5C8F">
      <w:pPr>
        <w:pStyle w:val="Heading2"/>
        <w:ind w:left="431" w:hanging="431"/>
        <w:rPr>
          <w:rStyle w:val="Style10Char"/>
          <w:rFonts w:ascii="Times New Roman Bold" w:hAnsi="Times New Roman Bold" w:hint="eastAsia"/>
          <w:b/>
          <w:noProof/>
          <w:color w:val="auto"/>
        </w:rPr>
      </w:pPr>
      <w:bookmarkStart w:id="4" w:name="_Toc175939353"/>
      <w:r w:rsidRPr="356C5C8F">
        <w:rPr>
          <w:rStyle w:val="Style10Char"/>
          <w:rFonts w:ascii="Times New Roman Bold" w:hAnsi="Times New Roman Bold"/>
          <w:b/>
          <w:noProof/>
          <w:color w:val="auto"/>
        </w:rPr>
        <w:t>Projections of greenhouse gas emissions and removals</w:t>
      </w:r>
      <w:bookmarkEnd w:id="4"/>
    </w:p>
    <w:p w14:paraId="54CA19C3" w14:textId="65CC1BA5" w:rsidR="0031658E" w:rsidRPr="00995B83" w:rsidRDefault="00995B83">
      <w:pPr>
        <w:rPr>
          <w:noProof/>
        </w:rPr>
      </w:pPr>
      <w:r w:rsidRPr="00995B83">
        <w:rPr>
          <w:noProof/>
        </w:rPr>
        <w:t>The latest projections of GHG emissions and removals show that net emissions in 2030 could be 47% below 1990 levels, in a scenario that includes the ‘with additional measures’ and when emissions from international aviation and navigation are considered. They could be 51%</w:t>
      </w:r>
      <w:r w:rsidR="002D0976">
        <w:rPr>
          <w:noProof/>
        </w:rPr>
        <w:t> </w:t>
      </w:r>
      <w:r w:rsidRPr="00995B83">
        <w:rPr>
          <w:noProof/>
        </w:rPr>
        <w:t>below 1990 levels if emissions from international aviation and navigation are excluded. Additional efforts, therefore, will be needed to achieve the -55% emission reduction target of the EU NDC.</w:t>
      </w:r>
    </w:p>
    <w:p w14:paraId="35A7C468" w14:textId="5E8361D4" w:rsidR="00995B83" w:rsidRDefault="00995B83" w:rsidP="00995B83">
      <w:pPr>
        <w:pStyle w:val="Caption"/>
        <w:rPr>
          <w:noProof/>
        </w:rPr>
      </w:pPr>
      <w:r>
        <w:rPr>
          <w:noProof/>
        </w:rPr>
        <w:t xml:space="preserve">Figure </w:t>
      </w:r>
      <w:r w:rsidR="00B277BF">
        <w:rPr>
          <w:noProof/>
        </w:rPr>
        <w:t>3</w:t>
      </w:r>
      <w:r>
        <w:rPr>
          <w:noProof/>
        </w:rPr>
        <w:t xml:space="preserve">: </w:t>
      </w:r>
      <w:r w:rsidRPr="008820ED">
        <w:rPr>
          <w:noProof/>
        </w:rPr>
        <w:t>Historical and projected total net GHG emissions in the EU</w:t>
      </w:r>
    </w:p>
    <w:p w14:paraId="663247DA" w14:textId="50BC08C0" w:rsidR="00995B83" w:rsidRDefault="00650E65">
      <w:pPr>
        <w:rPr>
          <w:noProof/>
        </w:rPr>
      </w:pPr>
      <w:r>
        <w:rPr>
          <w:noProof/>
          <w:lang w:val="en-GB" w:eastAsia="en-GB"/>
        </w:rPr>
        <w:drawing>
          <wp:inline distT="0" distB="0" distL="0" distR="0" wp14:anchorId="373DAAA5" wp14:editId="79D20EA4">
            <wp:extent cx="5762625" cy="3758703"/>
            <wp:effectExtent l="0" t="0" r="0" b="0"/>
            <wp:docPr id="15959168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76169" cy="3767537"/>
                    </a:xfrm>
                    <a:prstGeom prst="rect">
                      <a:avLst/>
                    </a:prstGeom>
                    <a:noFill/>
                  </pic:spPr>
                </pic:pic>
              </a:graphicData>
            </a:graphic>
          </wp:inline>
        </w:drawing>
      </w:r>
    </w:p>
    <w:p w14:paraId="6C164AB3" w14:textId="7A4D12E8" w:rsidR="00BE1C02" w:rsidRDefault="00995B83" w:rsidP="00995B83">
      <w:pPr>
        <w:pStyle w:val="Source"/>
        <w:rPr>
          <w:noProof/>
        </w:rPr>
      </w:pPr>
      <w:r w:rsidRPr="00995B83">
        <w:rPr>
          <w:noProof/>
        </w:rPr>
        <w:t>Sources: Annual European Union GHG inventory 1990-2022, EU Member States GHG emission projections submitted in 2023 and 2024 under the Governance Regulation</w:t>
      </w:r>
    </w:p>
    <w:p w14:paraId="17CF4869" w14:textId="7B4CF010" w:rsidR="00995B83" w:rsidRPr="00770944" w:rsidRDefault="00CC0037" w:rsidP="0589E006">
      <w:pPr>
        <w:pStyle w:val="Heading2"/>
        <w:ind w:left="431" w:hanging="431"/>
        <w:rPr>
          <w:rStyle w:val="Style10Char"/>
          <w:rFonts w:ascii="Times New Roman Bold" w:hAnsi="Times New Roman Bold" w:hint="eastAsia"/>
          <w:b/>
          <w:noProof/>
          <w:color w:val="auto"/>
        </w:rPr>
      </w:pPr>
      <w:r w:rsidRPr="0589E006">
        <w:rPr>
          <w:rStyle w:val="Style10Char"/>
          <w:rFonts w:ascii="Times New Roman Bold" w:hAnsi="Times New Roman Bold"/>
          <w:b/>
          <w:noProof/>
          <w:color w:val="auto"/>
        </w:rPr>
        <w:t xml:space="preserve">Preparedness </w:t>
      </w:r>
      <w:r w:rsidR="00E25E44" w:rsidRPr="0589E006">
        <w:rPr>
          <w:rStyle w:val="Style10Char"/>
          <w:rFonts w:ascii="Times New Roman Bold" w:hAnsi="Times New Roman Bold"/>
          <w:b/>
          <w:noProof/>
          <w:color w:val="auto"/>
        </w:rPr>
        <w:t xml:space="preserve">for </w:t>
      </w:r>
      <w:r w:rsidRPr="0589E006">
        <w:rPr>
          <w:rStyle w:val="Style10Char"/>
          <w:rFonts w:ascii="Times New Roman Bold" w:hAnsi="Times New Roman Bold"/>
          <w:b/>
          <w:noProof/>
          <w:color w:val="auto"/>
        </w:rPr>
        <w:t>and resilience to climate change impact</w:t>
      </w:r>
      <w:r w:rsidR="00B4529C" w:rsidRPr="0589E006">
        <w:rPr>
          <w:rStyle w:val="Style10Char"/>
          <w:rFonts w:ascii="Times New Roman Bold" w:hAnsi="Times New Roman Bold"/>
          <w:b/>
          <w:noProof/>
          <w:color w:val="auto"/>
        </w:rPr>
        <w:t>s</w:t>
      </w:r>
      <w:r w:rsidRPr="0589E006">
        <w:rPr>
          <w:rStyle w:val="Style10Char"/>
          <w:rFonts w:ascii="Times New Roman Bold" w:hAnsi="Times New Roman Bold"/>
          <w:b/>
          <w:noProof/>
          <w:color w:val="auto"/>
        </w:rPr>
        <w:t xml:space="preserve"> </w:t>
      </w:r>
    </w:p>
    <w:p w14:paraId="01D132E8" w14:textId="25845E24" w:rsidR="00995B83" w:rsidRPr="007B72AE" w:rsidRDefault="00995B83" w:rsidP="00EA1619">
      <w:pPr>
        <w:rPr>
          <w:noProof/>
        </w:rPr>
      </w:pPr>
      <w:r w:rsidRPr="000C1227">
        <w:rPr>
          <w:noProof/>
        </w:rPr>
        <w:t xml:space="preserve">Under the European Climate Law, the </w:t>
      </w:r>
      <w:r w:rsidR="000F7D2D" w:rsidRPr="000C1227">
        <w:rPr>
          <w:noProof/>
        </w:rPr>
        <w:t>European Union</w:t>
      </w:r>
      <w:r w:rsidRPr="000C1227">
        <w:rPr>
          <w:noProof/>
        </w:rPr>
        <w:t xml:space="preserve"> and Member States are required to ensure continuous progress in improving adaptive capacity, strengthening resilience and reducing vulnerability to climate change in accordance with Article 7 of the Paris Agreement.</w:t>
      </w:r>
    </w:p>
    <w:p w14:paraId="31C56D8A" w14:textId="1D60CC25" w:rsidR="00995B83" w:rsidRPr="007B72AE" w:rsidRDefault="000064B1" w:rsidP="00995B83">
      <w:pPr>
        <w:rPr>
          <w:noProof/>
        </w:rPr>
      </w:pPr>
      <w:r>
        <w:rPr>
          <w:noProof/>
        </w:rPr>
        <w:t>As a result, t</w:t>
      </w:r>
      <w:r w:rsidR="00995B83">
        <w:rPr>
          <w:noProof/>
        </w:rPr>
        <w:t xml:space="preserve">he </w:t>
      </w:r>
      <w:r w:rsidR="3CD3C044">
        <w:rPr>
          <w:noProof/>
        </w:rPr>
        <w:t xml:space="preserve">2021 </w:t>
      </w:r>
      <w:r w:rsidR="00995B83">
        <w:rPr>
          <w:noProof/>
        </w:rPr>
        <w:t xml:space="preserve">EU </w:t>
      </w:r>
      <w:r w:rsidR="000C5E58">
        <w:rPr>
          <w:noProof/>
        </w:rPr>
        <w:t>S</w:t>
      </w:r>
      <w:r w:rsidR="00995B83">
        <w:rPr>
          <w:noProof/>
        </w:rPr>
        <w:t xml:space="preserve">trategy on </w:t>
      </w:r>
      <w:r w:rsidR="00B2132E">
        <w:rPr>
          <w:noProof/>
        </w:rPr>
        <w:t>A</w:t>
      </w:r>
      <w:r w:rsidR="00995B83">
        <w:rPr>
          <w:noProof/>
        </w:rPr>
        <w:t xml:space="preserve">daptation to </w:t>
      </w:r>
      <w:r w:rsidR="00B2132E">
        <w:rPr>
          <w:noProof/>
        </w:rPr>
        <w:t>C</w:t>
      </w:r>
      <w:r w:rsidR="00995B83">
        <w:rPr>
          <w:noProof/>
        </w:rPr>
        <w:t xml:space="preserve">limate </w:t>
      </w:r>
      <w:r w:rsidR="00B2132E">
        <w:rPr>
          <w:noProof/>
        </w:rPr>
        <w:t>C</w:t>
      </w:r>
      <w:r w:rsidR="00995B83">
        <w:rPr>
          <w:noProof/>
        </w:rPr>
        <w:t>hange contains a wide range of initiatives and actions that the European Commission is committed to carrying out, and its implementation is in full swing</w:t>
      </w:r>
      <w:r w:rsidR="00A765D7">
        <w:rPr>
          <w:noProof/>
        </w:rPr>
        <w:t> </w:t>
      </w:r>
      <w:r w:rsidR="00FB7D22">
        <w:rPr>
          <w:rStyle w:val="FootnoteReference"/>
          <w:noProof/>
        </w:rPr>
        <w:footnoteReference w:id="5"/>
      </w:r>
      <w:r w:rsidR="00A765D7">
        <w:rPr>
          <w:noProof/>
        </w:rPr>
        <w:t>.</w:t>
      </w:r>
    </w:p>
    <w:p w14:paraId="16FA383F" w14:textId="54CB7BFF" w:rsidR="00995B83" w:rsidRPr="007B72AE" w:rsidRDefault="00617289" w:rsidP="00995B83">
      <w:pPr>
        <w:rPr>
          <w:noProof/>
        </w:rPr>
      </w:pPr>
      <w:r>
        <w:rPr>
          <w:noProof/>
        </w:rPr>
        <w:t>I</w:t>
      </w:r>
      <w:r w:rsidR="00995B83" w:rsidRPr="007B72AE">
        <w:rPr>
          <w:noProof/>
        </w:rPr>
        <w:t>n March 2024, the European Environment Agency (EEA) published the first European Climate Risk Assessment (EUCRA)</w:t>
      </w:r>
      <w:r w:rsidR="00995B83" w:rsidRPr="007B72AE">
        <w:rPr>
          <w:rStyle w:val="FootnoteReference"/>
          <w:noProof/>
        </w:rPr>
        <w:footnoteReference w:id="6"/>
      </w:r>
      <w:r w:rsidR="00995B83" w:rsidRPr="007B72AE">
        <w:rPr>
          <w:noProof/>
        </w:rPr>
        <w:t xml:space="preserve"> </w:t>
      </w:r>
      <w:r w:rsidR="00B93EB6">
        <w:rPr>
          <w:noProof/>
        </w:rPr>
        <w:t>assessing</w:t>
      </w:r>
      <w:r w:rsidR="00FC5F6F">
        <w:rPr>
          <w:noProof/>
        </w:rPr>
        <w:t xml:space="preserve"> climate risks and </w:t>
      </w:r>
      <w:r w:rsidR="00995B83" w:rsidRPr="007B72AE">
        <w:rPr>
          <w:noProof/>
        </w:rPr>
        <w:t>identify</w:t>
      </w:r>
      <w:r w:rsidR="000724A5">
        <w:rPr>
          <w:noProof/>
        </w:rPr>
        <w:t>ing</w:t>
      </w:r>
      <w:r w:rsidR="00995B83" w:rsidRPr="007B72AE">
        <w:rPr>
          <w:noProof/>
        </w:rPr>
        <w:t xml:space="preserve"> policy priorities for climate change adaptation and for climate-sensitive sectors. </w:t>
      </w:r>
      <w:r w:rsidR="000724A5">
        <w:rPr>
          <w:noProof/>
        </w:rPr>
        <w:t>It</w:t>
      </w:r>
      <w:r w:rsidR="00995B83" w:rsidRPr="007B72AE">
        <w:rPr>
          <w:noProof/>
        </w:rPr>
        <w:t xml:space="preserve"> identified 36 major climate risks for Europe within five clusters: ecosystems, food, health, infrastructure, and economy and </w:t>
      </w:r>
      <w:r w:rsidR="00995B83" w:rsidRPr="004454F2">
        <w:rPr>
          <w:noProof/>
        </w:rPr>
        <w:t>finance.</w:t>
      </w:r>
      <w:r w:rsidR="00964DBC" w:rsidRPr="004454F2">
        <w:rPr>
          <w:noProof/>
        </w:rPr>
        <w:t xml:space="preserve"> </w:t>
      </w:r>
      <w:r w:rsidR="00995B83" w:rsidRPr="004454F2">
        <w:rPr>
          <w:noProof/>
        </w:rPr>
        <w:t>More than half of the</w:t>
      </w:r>
      <w:r w:rsidR="009A4BDD" w:rsidRPr="004454F2">
        <w:rPr>
          <w:noProof/>
        </w:rPr>
        <w:t xml:space="preserve">se </w:t>
      </w:r>
      <w:r w:rsidR="00995B83" w:rsidRPr="004454F2">
        <w:rPr>
          <w:noProof/>
        </w:rPr>
        <w:t>climate risks</w:t>
      </w:r>
      <w:r w:rsidR="00995B83" w:rsidRPr="004454F2" w:rsidDel="009A4BDD">
        <w:rPr>
          <w:noProof/>
        </w:rPr>
        <w:t xml:space="preserve"> </w:t>
      </w:r>
      <w:r w:rsidR="00995B83" w:rsidRPr="004454F2">
        <w:rPr>
          <w:noProof/>
        </w:rPr>
        <w:t xml:space="preserve">demand more action now, and eight are particularly urgent. </w:t>
      </w:r>
      <w:r w:rsidR="00964DBC" w:rsidRPr="004454F2">
        <w:rPr>
          <w:noProof/>
        </w:rPr>
        <w:t>The</w:t>
      </w:r>
      <w:r w:rsidR="00964DBC">
        <w:rPr>
          <w:noProof/>
        </w:rPr>
        <w:t xml:space="preserve"> </w:t>
      </w:r>
      <w:r w:rsidR="4CE03A4D">
        <w:rPr>
          <w:noProof/>
        </w:rPr>
        <w:t>same mo</w:t>
      </w:r>
      <w:r w:rsidR="00F56894">
        <w:rPr>
          <w:noProof/>
        </w:rPr>
        <w:t>n</w:t>
      </w:r>
      <w:r w:rsidR="4CE03A4D">
        <w:rPr>
          <w:noProof/>
        </w:rPr>
        <w:t>th,</w:t>
      </w:r>
      <w:r w:rsidR="00995B83">
        <w:rPr>
          <w:noProof/>
        </w:rPr>
        <w:t xml:space="preserve"> the </w:t>
      </w:r>
      <w:r w:rsidR="00995B83" w:rsidRPr="007B72AE">
        <w:rPr>
          <w:noProof/>
        </w:rPr>
        <w:t xml:space="preserve">Commission adopted </w:t>
      </w:r>
      <w:r w:rsidR="007310C2">
        <w:rPr>
          <w:noProof/>
        </w:rPr>
        <w:t>a</w:t>
      </w:r>
      <w:r w:rsidR="00995B83" w:rsidRPr="007B72AE">
        <w:rPr>
          <w:noProof/>
        </w:rPr>
        <w:t xml:space="preserve"> Communication </w:t>
      </w:r>
      <w:r w:rsidR="00FC5F6F">
        <w:rPr>
          <w:noProof/>
        </w:rPr>
        <w:t>on m</w:t>
      </w:r>
      <w:r w:rsidR="00995B83" w:rsidRPr="007B72AE">
        <w:rPr>
          <w:noProof/>
        </w:rPr>
        <w:t>anaging climate risks</w:t>
      </w:r>
      <w:r w:rsidR="00495D59">
        <w:rPr>
          <w:rStyle w:val="FootnoteReference"/>
          <w:rFonts w:eastAsia="Times New Roman"/>
          <w:noProof/>
          <w:lang w:val="en-GB"/>
        </w:rPr>
        <w:footnoteReference w:id="7"/>
      </w:r>
      <w:r w:rsidR="00964DBC">
        <w:rPr>
          <w:noProof/>
        </w:rPr>
        <w:t xml:space="preserve"> setting </w:t>
      </w:r>
      <w:r w:rsidR="005E2CAC">
        <w:rPr>
          <w:noProof/>
        </w:rPr>
        <w:t>out</w:t>
      </w:r>
      <w:r w:rsidR="00995B83" w:rsidRPr="007B72AE" w:rsidDel="005E2CAC">
        <w:rPr>
          <w:noProof/>
        </w:rPr>
        <w:t xml:space="preserve"> </w:t>
      </w:r>
      <w:r w:rsidR="00995B83" w:rsidRPr="007B72AE">
        <w:rPr>
          <w:noProof/>
        </w:rPr>
        <w:t>actions to strengthen resilience and preparedness and to clarify who is responsible for acting</w:t>
      </w:r>
      <w:r w:rsidR="54FE0086">
        <w:rPr>
          <w:noProof/>
        </w:rPr>
        <w:t>.</w:t>
      </w:r>
    </w:p>
    <w:p w14:paraId="4640F77F" w14:textId="01FCB366" w:rsidR="00995B83" w:rsidRDefault="00995B83" w:rsidP="00995B83">
      <w:pPr>
        <w:rPr>
          <w:noProof/>
          <w:lang w:val="en-GB"/>
        </w:rPr>
      </w:pPr>
      <w:r w:rsidRPr="005B6663">
        <w:rPr>
          <w:noProof/>
          <w:lang w:val="en-GB"/>
        </w:rPr>
        <w:t xml:space="preserve">Finally, strengthening adaptation actions and preparedness remains a major priority for the EU, as reflected in </w:t>
      </w:r>
      <w:r w:rsidRPr="005B6663">
        <w:rPr>
          <w:rFonts w:eastAsia="Times New Roman"/>
          <w:noProof/>
          <w:lang w:val="en-GB"/>
        </w:rPr>
        <w:t xml:space="preserve">the March 2024 </w:t>
      </w:r>
      <w:r w:rsidRPr="00B16F0C">
        <w:rPr>
          <w:rFonts w:eastAsia="Times New Roman"/>
          <w:noProof/>
          <w:lang w:val="en-GB"/>
        </w:rPr>
        <w:t>Commission communication</w:t>
      </w:r>
      <w:r>
        <w:rPr>
          <w:rFonts w:eastAsia="Times New Roman"/>
          <w:noProof/>
          <w:lang w:val="en-GB"/>
        </w:rPr>
        <w:t xml:space="preserve"> </w:t>
      </w:r>
      <w:r w:rsidRPr="005B6663">
        <w:rPr>
          <w:rFonts w:eastAsia="Times New Roman"/>
          <w:noProof/>
          <w:lang w:val="en-GB"/>
        </w:rPr>
        <w:t xml:space="preserve">and in President von der Leyen’s </w:t>
      </w:r>
      <w:r w:rsidR="00330895">
        <w:rPr>
          <w:rFonts w:eastAsia="Times New Roman"/>
          <w:noProof/>
          <w:lang w:val="en-GB"/>
        </w:rPr>
        <w:t>P</w:t>
      </w:r>
      <w:r w:rsidRPr="005B6663">
        <w:rPr>
          <w:noProof/>
          <w:lang w:val="en-GB"/>
        </w:rPr>
        <w:t xml:space="preserve">olitical </w:t>
      </w:r>
      <w:r w:rsidR="00330895">
        <w:rPr>
          <w:noProof/>
          <w:lang w:val="en-GB"/>
        </w:rPr>
        <w:t>G</w:t>
      </w:r>
      <w:r w:rsidRPr="005B6663">
        <w:rPr>
          <w:noProof/>
          <w:lang w:val="en-GB"/>
        </w:rPr>
        <w:t>uidelines for the 2024-2029 European Commission</w:t>
      </w:r>
      <w:r w:rsidRPr="6442D1E2">
        <w:rPr>
          <w:rStyle w:val="FootnoteReference"/>
          <w:rFonts w:eastAsia="Arial" w:cs="Times New Roman"/>
          <w:noProof/>
          <w:color w:val="000000" w:themeColor="text1"/>
          <w:lang w:val="en-GB"/>
        </w:rPr>
        <w:footnoteReference w:id="8"/>
      </w:r>
      <w:r w:rsidRPr="005B6663">
        <w:rPr>
          <w:noProof/>
          <w:lang w:val="en-GB"/>
        </w:rPr>
        <w:t>.</w:t>
      </w:r>
    </w:p>
    <w:p w14:paraId="56B41DCF" w14:textId="77777777" w:rsidR="00995B83" w:rsidRPr="00EF75C6" w:rsidRDefault="00995B83" w:rsidP="7BC831FB">
      <w:pPr>
        <w:pStyle w:val="Heading2"/>
        <w:rPr>
          <w:rStyle w:val="Style10Char"/>
          <w:rFonts w:ascii="Times New Roman Bold" w:eastAsia="Times New Roman Bold" w:hAnsi="Times New Roman Bold" w:cs="Times New Roman Bold"/>
          <w:b/>
          <w:bCs/>
          <w:noProof/>
          <w:color w:val="auto"/>
          <w:szCs w:val="28"/>
        </w:rPr>
      </w:pPr>
      <w:bookmarkStart w:id="5" w:name="_Toc175939355"/>
      <w:r w:rsidRPr="7BC831FB">
        <w:rPr>
          <w:rStyle w:val="Style10Char"/>
          <w:rFonts w:ascii="Times New Roman Bold" w:eastAsia="Times New Roman Bold" w:hAnsi="Times New Roman Bold" w:cs="Times New Roman Bold"/>
          <w:b/>
          <w:bCs/>
          <w:noProof/>
          <w:color w:val="auto"/>
          <w:szCs w:val="28"/>
        </w:rPr>
        <w:t>Support to developing countries</w:t>
      </w:r>
      <w:bookmarkEnd w:id="5"/>
    </w:p>
    <w:p w14:paraId="480D6789" w14:textId="02215BCD" w:rsidR="00C64C61" w:rsidRDefault="00C64C61" w:rsidP="00C64C61">
      <w:pPr>
        <w:rPr>
          <w:noProof/>
        </w:rPr>
      </w:pPr>
      <w:r w:rsidRPr="00395069">
        <w:rPr>
          <w:noProof/>
        </w:rPr>
        <w:t>Climate finance contributions from the EU, its Member States, and the European Investment Bank (EIB) have increased over the past 9 years, from EUR 9.5 billion in 2013 to EUR 28.5 billion in 2022. Contributions from the EU budget and the EIB amounted to EUR 6.5 billion in 2022.</w:t>
      </w:r>
    </w:p>
    <w:p w14:paraId="4549DFDD" w14:textId="77777777" w:rsidR="00C64C61" w:rsidRPr="00C17223" w:rsidRDefault="00C64C61" w:rsidP="00C64C61">
      <w:pPr>
        <w:rPr>
          <w:noProof/>
        </w:rPr>
      </w:pPr>
      <w:r w:rsidRPr="00395069">
        <w:rPr>
          <w:noProof/>
        </w:rPr>
        <w:t xml:space="preserve">Of the climate finance provided by </w:t>
      </w:r>
      <w:r w:rsidRPr="00C17223">
        <w:rPr>
          <w:noProof/>
        </w:rPr>
        <w:t>EU institutions to developing countries, 56% was allocated to mitigation purposes, 16% to adaptation purposes, and 29% of this support covered both mitigation and adaptation.</w:t>
      </w:r>
    </w:p>
    <w:p w14:paraId="44DE8693" w14:textId="637BB806" w:rsidR="47BEAF52" w:rsidRDefault="47BEAF52" w:rsidP="00E11EA9">
      <w:pPr>
        <w:spacing w:before="0" w:after="180" w:line="276" w:lineRule="auto"/>
        <w:rPr>
          <w:rFonts w:eastAsia="Times New Roman" w:cs="Times New Roman"/>
          <w:noProof/>
          <w:color w:val="000000" w:themeColor="text1"/>
          <w:szCs w:val="24"/>
        </w:rPr>
      </w:pPr>
      <w:r w:rsidRPr="516F3317">
        <w:rPr>
          <w:rFonts w:eastAsia="Times New Roman" w:cs="Times New Roman"/>
          <w:noProof/>
          <w:color w:val="000000" w:themeColor="text1"/>
          <w:szCs w:val="24"/>
        </w:rPr>
        <w:t>The EU supports capacity building in partner countries through</w:t>
      </w:r>
      <w:r w:rsidR="00C70B48">
        <w:rPr>
          <w:rFonts w:eastAsia="Times New Roman" w:cs="Times New Roman"/>
          <w:noProof/>
          <w:color w:val="000000" w:themeColor="text1"/>
          <w:szCs w:val="24"/>
        </w:rPr>
        <w:t xml:space="preserve"> </w:t>
      </w:r>
      <w:r w:rsidR="00553AD2">
        <w:rPr>
          <w:rFonts w:eastAsia="Times New Roman" w:cs="Times New Roman"/>
          <w:noProof/>
          <w:color w:val="000000" w:themeColor="text1"/>
          <w:szCs w:val="24"/>
        </w:rPr>
        <w:t xml:space="preserve">a number of </w:t>
      </w:r>
      <w:r w:rsidRPr="516F3317">
        <w:rPr>
          <w:rFonts w:eastAsia="Times New Roman" w:cs="Times New Roman"/>
          <w:noProof/>
          <w:color w:val="000000" w:themeColor="text1"/>
          <w:szCs w:val="24"/>
        </w:rPr>
        <w:t>regulations, strategies, policies and programmes.</w:t>
      </w:r>
    </w:p>
    <w:p w14:paraId="7A1FA162" w14:textId="1C4FA61C" w:rsidR="002C4AB2" w:rsidRDefault="002C4AB2" w:rsidP="00BE1C1C">
      <w:pPr>
        <w:rPr>
          <w:rFonts w:eastAsia="Times New Roman" w:cs="Times New Roman"/>
          <w:noProof/>
          <w:color w:val="000000" w:themeColor="text1"/>
        </w:rPr>
      </w:pPr>
      <w:r>
        <w:rPr>
          <w:rFonts w:eastAsia="Times New Roman" w:cs="Times New Roman"/>
          <w:noProof/>
          <w:color w:val="000000" w:themeColor="text1"/>
        </w:rPr>
        <w:t xml:space="preserve">The </w:t>
      </w:r>
      <w:r w:rsidR="3CA577EB" w:rsidRPr="11C222F8">
        <w:rPr>
          <w:rFonts w:eastAsia="Times New Roman" w:cs="Times New Roman"/>
          <w:noProof/>
          <w:color w:val="000000" w:themeColor="text1"/>
        </w:rPr>
        <w:t>Neighbourhood, Development and International Cooperation Instrument – Global Europe (NDICI-Global Europe Regulation)</w:t>
      </w:r>
      <w:r w:rsidR="005457EC" w:rsidRPr="394ED5F3">
        <w:rPr>
          <w:rStyle w:val="FootnoteReference"/>
          <w:rFonts w:eastAsia="Times New Roman" w:cs="Times New Roman"/>
          <w:noProof/>
          <w:color w:val="000000" w:themeColor="text1"/>
        </w:rPr>
        <w:footnoteReference w:id="9"/>
      </w:r>
      <w:r>
        <w:rPr>
          <w:rFonts w:eastAsia="Times New Roman" w:cs="Times New Roman"/>
          <w:noProof/>
          <w:color w:val="000000" w:themeColor="text1"/>
        </w:rPr>
        <w:t>,</w:t>
      </w:r>
      <w:r w:rsidRPr="002C4AB2">
        <w:rPr>
          <w:noProof/>
        </w:rPr>
        <w:t xml:space="preserve"> </w:t>
      </w:r>
      <w:r w:rsidRPr="009B7D23">
        <w:rPr>
          <w:noProof/>
        </w:rPr>
        <w:t>which has a budget of approximately EUR 79 billion for 2021-2027 and a spending target of 30% for climate</w:t>
      </w:r>
      <w:r>
        <w:rPr>
          <w:rFonts w:eastAsia="Times New Roman" w:cs="Times New Roman"/>
          <w:noProof/>
          <w:color w:val="000000" w:themeColor="text1"/>
        </w:rPr>
        <w:t xml:space="preserve">, </w:t>
      </w:r>
      <w:r w:rsidR="43D29E84" w:rsidRPr="11C222F8">
        <w:rPr>
          <w:rFonts w:eastAsia="Times New Roman" w:cs="Times New Roman"/>
          <w:noProof/>
          <w:color w:val="000000" w:themeColor="text1"/>
        </w:rPr>
        <w:t>supports</w:t>
      </w:r>
      <w:r w:rsidR="5CCCD769" w:rsidRPr="11C222F8">
        <w:rPr>
          <w:rFonts w:eastAsia="Times New Roman" w:cs="Times New Roman"/>
          <w:noProof/>
          <w:color w:val="000000" w:themeColor="text1"/>
        </w:rPr>
        <w:t xml:space="preserve"> </w:t>
      </w:r>
      <w:r w:rsidR="49791825" w:rsidRPr="11C222F8">
        <w:rPr>
          <w:rFonts w:eastAsia="Times New Roman" w:cs="Times New Roman"/>
          <w:noProof/>
          <w:color w:val="000000" w:themeColor="text1"/>
        </w:rPr>
        <w:t>sus</w:t>
      </w:r>
      <w:r w:rsidR="0636F4C6" w:rsidRPr="11C222F8">
        <w:rPr>
          <w:rFonts w:eastAsia="Times New Roman" w:cs="Times New Roman"/>
          <w:noProof/>
          <w:color w:val="000000" w:themeColor="text1"/>
        </w:rPr>
        <w:t xml:space="preserve">tainable development and the fight against climate change </w:t>
      </w:r>
      <w:r w:rsidR="32B6B514" w:rsidRPr="11C222F8">
        <w:rPr>
          <w:rFonts w:eastAsia="Times New Roman" w:cs="Times New Roman"/>
          <w:noProof/>
          <w:color w:val="000000" w:themeColor="text1"/>
        </w:rPr>
        <w:t xml:space="preserve">among others </w:t>
      </w:r>
      <w:r w:rsidR="2841776A" w:rsidRPr="11C222F8">
        <w:rPr>
          <w:rFonts w:eastAsia="Times New Roman" w:cs="Times New Roman"/>
          <w:noProof/>
          <w:color w:val="000000" w:themeColor="text1"/>
        </w:rPr>
        <w:t xml:space="preserve">in </w:t>
      </w:r>
      <w:r w:rsidR="3CA577EB" w:rsidRPr="11C222F8">
        <w:rPr>
          <w:rFonts w:eastAsia="Times New Roman" w:cs="Times New Roman"/>
          <w:noProof/>
          <w:color w:val="000000" w:themeColor="text1"/>
        </w:rPr>
        <w:t>Sub-Saharan Africa, Asia and the Pacific and the Americas and Caribbean</w:t>
      </w:r>
      <w:r w:rsidR="59C7630B" w:rsidRPr="11C222F8">
        <w:rPr>
          <w:rFonts w:eastAsia="Times New Roman" w:cs="Times New Roman"/>
          <w:noProof/>
          <w:color w:val="000000" w:themeColor="text1"/>
        </w:rPr>
        <w:t xml:space="preserve"> countries.</w:t>
      </w:r>
    </w:p>
    <w:p w14:paraId="67F9DB65" w14:textId="63A59EB8" w:rsidR="001D76EB" w:rsidRPr="001D76EB" w:rsidRDefault="00C64C61" w:rsidP="00BE1C1C">
      <w:pPr>
        <w:rPr>
          <w:noProof/>
        </w:rPr>
      </w:pPr>
      <w:r>
        <w:rPr>
          <w:rFonts w:eastAsia="Times New Roman" w:cs="Times New Roman"/>
          <w:noProof/>
          <w:color w:val="000000" w:themeColor="text1"/>
        </w:rPr>
        <w:t>This has been used for example in 2024</w:t>
      </w:r>
      <w:r w:rsidR="00F7063F">
        <w:rPr>
          <w:rFonts w:eastAsia="Times New Roman" w:cs="Times New Roman"/>
          <w:noProof/>
          <w:color w:val="000000" w:themeColor="text1"/>
        </w:rPr>
        <w:t xml:space="preserve"> </w:t>
      </w:r>
      <w:r w:rsidR="00014491">
        <w:rPr>
          <w:rFonts w:eastAsia="Times New Roman" w:cs="Times New Roman"/>
          <w:noProof/>
          <w:color w:val="000000" w:themeColor="text1"/>
        </w:rPr>
        <w:t>the</w:t>
      </w:r>
      <w:r w:rsidR="000A2E32">
        <w:rPr>
          <w:rFonts w:eastAsia="Times New Roman" w:cs="Times New Roman"/>
          <w:noProof/>
          <w:color w:val="000000" w:themeColor="text1"/>
        </w:rPr>
        <w:t xml:space="preserve"> EU provided </w:t>
      </w:r>
      <w:r w:rsidR="008270EC">
        <w:rPr>
          <w:rFonts w:eastAsia="Times New Roman" w:cs="Times New Roman"/>
          <w:noProof/>
          <w:color w:val="000000" w:themeColor="text1"/>
        </w:rPr>
        <w:t xml:space="preserve">capacity </w:t>
      </w:r>
      <w:r w:rsidR="00C13695">
        <w:rPr>
          <w:rFonts w:eastAsia="Times New Roman" w:cs="Times New Roman"/>
          <w:noProof/>
          <w:color w:val="000000" w:themeColor="text1"/>
        </w:rPr>
        <w:t>building</w:t>
      </w:r>
      <w:r w:rsidR="00082EC3">
        <w:rPr>
          <w:rFonts w:eastAsia="Times New Roman" w:cs="Times New Roman"/>
          <w:noProof/>
          <w:color w:val="000000" w:themeColor="text1"/>
        </w:rPr>
        <w:t xml:space="preserve"> </w:t>
      </w:r>
      <w:r w:rsidR="00C13695">
        <w:rPr>
          <w:rFonts w:eastAsia="Times New Roman" w:cs="Times New Roman"/>
          <w:noProof/>
          <w:color w:val="000000" w:themeColor="text1"/>
        </w:rPr>
        <w:t>to</w:t>
      </w:r>
      <w:r w:rsidR="00ED22A5">
        <w:rPr>
          <w:rFonts w:eastAsia="Times New Roman" w:cs="Times New Roman"/>
          <w:noProof/>
          <w:color w:val="000000" w:themeColor="text1"/>
        </w:rPr>
        <w:t xml:space="preserve"> </w:t>
      </w:r>
      <w:r w:rsidR="00082EC3">
        <w:rPr>
          <w:rFonts w:eastAsia="Times New Roman" w:cs="Times New Roman"/>
          <w:noProof/>
          <w:color w:val="000000" w:themeColor="text1"/>
        </w:rPr>
        <w:t>dedicated countries</w:t>
      </w:r>
      <w:r w:rsidR="003A3A67">
        <w:rPr>
          <w:rFonts w:eastAsia="Times New Roman" w:cs="Times New Roman"/>
          <w:noProof/>
          <w:color w:val="000000" w:themeColor="text1"/>
        </w:rPr>
        <w:t xml:space="preserve"> </w:t>
      </w:r>
      <w:r w:rsidR="005776A1">
        <w:rPr>
          <w:rFonts w:eastAsia="Times New Roman" w:cs="Times New Roman"/>
          <w:noProof/>
          <w:color w:val="000000" w:themeColor="text1"/>
        </w:rPr>
        <w:t xml:space="preserve">with </w:t>
      </w:r>
      <w:r w:rsidR="00B442E8" w:rsidRPr="00DD6F0E">
        <w:rPr>
          <w:noProof/>
        </w:rPr>
        <w:t xml:space="preserve">expert matching function </w:t>
      </w:r>
      <w:r w:rsidR="00846535">
        <w:rPr>
          <w:noProof/>
        </w:rPr>
        <w:t>to allow quick and</w:t>
      </w:r>
      <w:r w:rsidR="00B442E8" w:rsidRPr="00DD6F0E">
        <w:rPr>
          <w:noProof/>
        </w:rPr>
        <w:t xml:space="preserve"> tailored advice on issues that arise in their BTRs</w:t>
      </w:r>
      <w:r w:rsidR="009730C6">
        <w:rPr>
          <w:noProof/>
        </w:rPr>
        <w:t xml:space="preserve">, in addition to other support for capacity building to help </w:t>
      </w:r>
      <w:r w:rsidR="00B544FD">
        <w:rPr>
          <w:noProof/>
        </w:rPr>
        <w:t>developing countries</w:t>
      </w:r>
      <w:r w:rsidR="00BE1C1C">
        <w:rPr>
          <w:noProof/>
        </w:rPr>
        <w:t xml:space="preserve"> in their </w:t>
      </w:r>
      <w:r w:rsidR="00065FF5">
        <w:rPr>
          <w:noProof/>
        </w:rPr>
        <w:t>GHG inventory and BTR reporting.</w:t>
      </w:r>
    </w:p>
    <w:p w14:paraId="49B9348A" w14:textId="7606B671" w:rsidR="00D33FA8" w:rsidRDefault="00EA5790" w:rsidP="00D33FA8">
      <w:pPr>
        <w:rPr>
          <w:noProof/>
        </w:rPr>
      </w:pPr>
      <w:r w:rsidRPr="00E11EA9">
        <w:rPr>
          <w:noProof/>
        </w:rPr>
        <w:t xml:space="preserve">The </w:t>
      </w:r>
      <w:r w:rsidR="000173EB">
        <w:rPr>
          <w:noProof/>
        </w:rPr>
        <w:t>G</w:t>
      </w:r>
      <w:r w:rsidR="00F361CD" w:rsidRPr="00E11EA9">
        <w:rPr>
          <w:noProof/>
        </w:rPr>
        <w:t xml:space="preserve">lobal </w:t>
      </w:r>
      <w:r w:rsidR="000173EB">
        <w:rPr>
          <w:noProof/>
        </w:rPr>
        <w:t>G</w:t>
      </w:r>
      <w:r w:rsidR="00F361CD" w:rsidRPr="00E11EA9">
        <w:rPr>
          <w:noProof/>
        </w:rPr>
        <w:t>ateway, the new European Strategy</w:t>
      </w:r>
      <w:r w:rsidR="00463053">
        <w:rPr>
          <w:noProof/>
        </w:rPr>
        <w:t xml:space="preserve">, </w:t>
      </w:r>
      <w:r w:rsidR="00F361CD" w:rsidRPr="00E11EA9">
        <w:rPr>
          <w:noProof/>
        </w:rPr>
        <w:t>boost</w:t>
      </w:r>
      <w:r w:rsidR="00463053">
        <w:rPr>
          <w:noProof/>
        </w:rPr>
        <w:t>s</w:t>
      </w:r>
      <w:r w:rsidR="00F361CD" w:rsidRPr="00E11EA9">
        <w:rPr>
          <w:noProof/>
        </w:rPr>
        <w:t xml:space="preserve"> </w:t>
      </w:r>
      <w:r w:rsidR="000173EB">
        <w:rPr>
          <w:noProof/>
        </w:rPr>
        <w:t xml:space="preserve">investment in </w:t>
      </w:r>
      <w:r w:rsidR="00F361CD" w:rsidRPr="00E11EA9">
        <w:rPr>
          <w:noProof/>
        </w:rPr>
        <w:t>smart, clean and secure links in digital, energy and transport and strengthen health, education and research systems across the world. </w:t>
      </w:r>
      <w:r w:rsidR="001E5894">
        <w:rPr>
          <w:noProof/>
        </w:rPr>
        <w:t>It</w:t>
      </w:r>
      <w:r w:rsidR="00613A06" w:rsidRPr="00E11EA9">
        <w:rPr>
          <w:noProof/>
        </w:rPr>
        <w:t xml:space="preserve"> draws on the </w:t>
      </w:r>
      <w:r w:rsidR="00613A06" w:rsidRPr="00E11EA9">
        <w:rPr>
          <w:b/>
          <w:bCs/>
          <w:noProof/>
        </w:rPr>
        <w:t>new financial tools</w:t>
      </w:r>
      <w:r w:rsidR="00613A06" w:rsidRPr="00E11EA9">
        <w:rPr>
          <w:noProof/>
        </w:rPr>
        <w:t> in the EU multi-annual financial framework 2021-2027.</w:t>
      </w:r>
      <w:r w:rsidR="00613A06" w:rsidRPr="00E11EA9">
        <w:rPr>
          <w:rFonts w:ascii="Arial" w:hAnsi="Arial" w:cs="Arial"/>
          <w:noProof/>
        </w:rPr>
        <w:t> </w:t>
      </w:r>
      <w:r w:rsidR="002E6051" w:rsidRPr="00E11EA9">
        <w:rPr>
          <w:noProof/>
        </w:rPr>
        <w:t>The</w:t>
      </w:r>
      <w:r w:rsidR="00896C4E" w:rsidRPr="00E11EA9">
        <w:rPr>
          <w:noProof/>
        </w:rPr>
        <w:t xml:space="preserve"> </w:t>
      </w:r>
      <w:r w:rsidR="00D37679" w:rsidRPr="00E11EA9">
        <w:rPr>
          <w:rFonts w:eastAsia="Times New Roman" w:cs="Times New Roman"/>
          <w:noProof/>
        </w:rPr>
        <w:t xml:space="preserve">European Fund for Sustainable Development Plus </w:t>
      </w:r>
      <w:r w:rsidR="773B37E4" w:rsidRPr="00E11EA9">
        <w:rPr>
          <w:rFonts w:eastAsia="Times New Roman" w:cs="Times New Roman"/>
          <w:noProof/>
        </w:rPr>
        <w:t>(EFSD)</w:t>
      </w:r>
      <w:r w:rsidR="00C75495" w:rsidRPr="00E11EA9">
        <w:rPr>
          <w:rFonts w:eastAsia="Times New Roman" w:cs="Times New Roman"/>
          <w:noProof/>
        </w:rPr>
        <w:t xml:space="preserve"> wh</w:t>
      </w:r>
      <w:r w:rsidR="003B75C3" w:rsidRPr="00E11EA9">
        <w:rPr>
          <w:rFonts w:eastAsia="Times New Roman" w:cs="Times New Roman"/>
          <w:noProof/>
        </w:rPr>
        <w:t>i</w:t>
      </w:r>
      <w:r w:rsidR="00C75495" w:rsidRPr="00E11EA9">
        <w:rPr>
          <w:rFonts w:eastAsia="Times New Roman" w:cs="Times New Roman"/>
          <w:noProof/>
        </w:rPr>
        <w:t>ch</w:t>
      </w:r>
      <w:r w:rsidR="773B37E4" w:rsidRPr="00E11EA9">
        <w:rPr>
          <w:rFonts w:eastAsia="Times New Roman" w:cs="Times New Roman"/>
          <w:noProof/>
        </w:rPr>
        <w:t xml:space="preserve"> </w:t>
      </w:r>
      <w:r w:rsidR="00C54DA8" w:rsidRPr="00E11EA9">
        <w:rPr>
          <w:rFonts w:eastAsia="Times New Roman" w:cs="Times New Roman"/>
          <w:noProof/>
        </w:rPr>
        <w:t xml:space="preserve">is </w:t>
      </w:r>
      <w:r w:rsidR="00C40FC9" w:rsidRPr="00E11EA9">
        <w:rPr>
          <w:rFonts w:eastAsia="Times New Roman" w:cs="Times New Roman"/>
          <w:noProof/>
        </w:rPr>
        <w:t xml:space="preserve">one of </w:t>
      </w:r>
      <w:r w:rsidR="00C40FC9" w:rsidRPr="00D33FA8">
        <w:rPr>
          <w:noProof/>
        </w:rPr>
        <w:t>the</w:t>
      </w:r>
      <w:r w:rsidR="007160C1" w:rsidRPr="00D33FA8">
        <w:rPr>
          <w:noProof/>
        </w:rPr>
        <w:t xml:space="preserve"> financial </w:t>
      </w:r>
      <w:r w:rsidR="3FB5DEDF" w:rsidRPr="00D33FA8">
        <w:rPr>
          <w:noProof/>
        </w:rPr>
        <w:t>tools</w:t>
      </w:r>
      <w:r w:rsidR="007160C1" w:rsidRPr="00D33FA8">
        <w:rPr>
          <w:noProof/>
        </w:rPr>
        <w:t xml:space="preserve"> </w:t>
      </w:r>
      <w:r w:rsidR="001A0F5D" w:rsidRPr="00D33FA8">
        <w:rPr>
          <w:noProof/>
        </w:rPr>
        <w:t xml:space="preserve">under </w:t>
      </w:r>
      <w:r w:rsidR="00357371" w:rsidRPr="00D33FA8">
        <w:rPr>
          <w:noProof/>
        </w:rPr>
        <w:t>the</w:t>
      </w:r>
      <w:r w:rsidR="001A0F5D" w:rsidRPr="00D33FA8">
        <w:rPr>
          <w:noProof/>
        </w:rPr>
        <w:t xml:space="preserve"> globa</w:t>
      </w:r>
      <w:r w:rsidR="00357371" w:rsidRPr="00D33FA8">
        <w:rPr>
          <w:noProof/>
        </w:rPr>
        <w:t>l gateway</w:t>
      </w:r>
      <w:r w:rsidR="00476E37" w:rsidRPr="00D33FA8">
        <w:rPr>
          <w:noProof/>
        </w:rPr>
        <w:t xml:space="preserve"> plays </w:t>
      </w:r>
      <w:r w:rsidR="006A31E7" w:rsidRPr="00D33FA8">
        <w:rPr>
          <w:noProof/>
        </w:rPr>
        <w:t xml:space="preserve">a key role </w:t>
      </w:r>
      <w:r w:rsidR="00B74256" w:rsidRPr="00D33FA8">
        <w:rPr>
          <w:noProof/>
        </w:rPr>
        <w:t xml:space="preserve">for </w:t>
      </w:r>
      <w:r w:rsidR="00AC77B7" w:rsidRPr="00D33FA8">
        <w:rPr>
          <w:noProof/>
        </w:rPr>
        <w:t xml:space="preserve">sustainable </w:t>
      </w:r>
      <w:r w:rsidR="00BD540C" w:rsidRPr="00D33FA8">
        <w:rPr>
          <w:noProof/>
        </w:rPr>
        <w:t>development</w:t>
      </w:r>
      <w:r w:rsidR="00F17E48" w:rsidRPr="00D33FA8">
        <w:rPr>
          <w:noProof/>
        </w:rPr>
        <w:t xml:space="preserve"> in the EU </w:t>
      </w:r>
      <w:r w:rsidR="007169CC" w:rsidRPr="00D33FA8">
        <w:rPr>
          <w:noProof/>
        </w:rPr>
        <w:t>partner countries outside E</w:t>
      </w:r>
      <w:r w:rsidR="00D11B48" w:rsidRPr="00D33FA8">
        <w:rPr>
          <w:noProof/>
        </w:rPr>
        <w:t>urope.</w:t>
      </w:r>
      <w:r w:rsidR="003641DB" w:rsidRPr="00D33FA8">
        <w:rPr>
          <w:noProof/>
        </w:rPr>
        <w:t xml:space="preserve"> </w:t>
      </w:r>
      <w:r w:rsidR="001E67B6" w:rsidRPr="00D33FA8">
        <w:rPr>
          <w:noProof/>
        </w:rPr>
        <w:t xml:space="preserve">Several </w:t>
      </w:r>
      <w:r w:rsidR="007958AA" w:rsidRPr="00D33FA8">
        <w:rPr>
          <w:noProof/>
        </w:rPr>
        <w:t xml:space="preserve">EFSD guarantees scaled </w:t>
      </w:r>
      <w:r w:rsidR="00A435BC" w:rsidRPr="00D33FA8">
        <w:rPr>
          <w:noProof/>
        </w:rPr>
        <w:t xml:space="preserve">financing for </w:t>
      </w:r>
      <w:r w:rsidR="00927E7D" w:rsidRPr="00D33FA8">
        <w:rPr>
          <w:noProof/>
        </w:rPr>
        <w:t>renewable energy</w:t>
      </w:r>
      <w:r w:rsidR="008461AB" w:rsidRPr="00F408D3">
        <w:rPr>
          <w:noProof/>
          <w:vertAlign w:val="superscript"/>
        </w:rPr>
        <w:footnoteReference w:id="10"/>
      </w:r>
      <w:r w:rsidR="00C54C22" w:rsidRPr="00D33FA8">
        <w:rPr>
          <w:noProof/>
        </w:rPr>
        <w:t>.</w:t>
      </w:r>
    </w:p>
    <w:p w14:paraId="1EE70A41" w14:textId="18239CE0" w:rsidR="00BC43F3" w:rsidRDefault="00EF75C6" w:rsidP="00D33FA8">
      <w:pPr>
        <w:rPr>
          <w:noProof/>
        </w:rPr>
      </w:pPr>
      <w:r w:rsidRPr="32B50093">
        <w:rPr>
          <w:noProof/>
          <w:lang w:val="en-US"/>
        </w:rPr>
        <w:t xml:space="preserve">The EU </w:t>
      </w:r>
      <w:r w:rsidRPr="19F780DD">
        <w:rPr>
          <w:noProof/>
          <w:lang w:val="en-US"/>
        </w:rPr>
        <w:t>stimulates</w:t>
      </w:r>
      <w:r w:rsidRPr="32B50093">
        <w:rPr>
          <w:noProof/>
          <w:lang w:val="en-US"/>
        </w:rPr>
        <w:t xml:space="preserve"> technology transfer activities in many development cooperation projects.</w:t>
      </w:r>
      <w:r>
        <w:rPr>
          <w:noProof/>
        </w:rPr>
        <w:t xml:space="preserve"> Similarly, the EU has integrated capacity-building activities into all its development assistance in line with the Paris Declaration on Aid Effectiveness and the Accra Agenda for Action. </w:t>
      </w:r>
      <w:r w:rsidR="00B13763" w:rsidRPr="00D33FA8">
        <w:rPr>
          <w:noProof/>
        </w:rPr>
        <w:t>Furthermore, t</w:t>
      </w:r>
      <w:r w:rsidR="003719B9" w:rsidRPr="00D33FA8">
        <w:rPr>
          <w:noProof/>
        </w:rPr>
        <w:t>he EU Adaptation to Climate Change strategy</w:t>
      </w:r>
      <w:r w:rsidR="00B13763" w:rsidRPr="00D33FA8">
        <w:rPr>
          <w:noProof/>
        </w:rPr>
        <w:t xml:space="preserve"> </w:t>
      </w:r>
      <w:r w:rsidR="002044D5" w:rsidRPr="00D33FA8">
        <w:rPr>
          <w:noProof/>
        </w:rPr>
        <w:t>pave</w:t>
      </w:r>
      <w:r w:rsidR="00A6633A" w:rsidRPr="00D33FA8">
        <w:rPr>
          <w:noProof/>
        </w:rPr>
        <w:t xml:space="preserve">s the way for the EU to step up </w:t>
      </w:r>
      <w:r w:rsidR="00FF335C" w:rsidRPr="00D33FA8">
        <w:rPr>
          <w:noProof/>
        </w:rPr>
        <w:t>its</w:t>
      </w:r>
      <w:r w:rsidR="00A6633A" w:rsidRPr="00D33FA8">
        <w:rPr>
          <w:noProof/>
        </w:rPr>
        <w:t xml:space="preserve"> international action for climate resilience.</w:t>
      </w:r>
    </w:p>
    <w:p w14:paraId="3A1AB029" w14:textId="21C6D411" w:rsidR="00995B83" w:rsidRPr="00770944" w:rsidRDefault="00995B83" w:rsidP="026BEEC1">
      <w:pPr>
        <w:pStyle w:val="Heading2"/>
        <w:ind w:left="431" w:hanging="431"/>
        <w:rPr>
          <w:rStyle w:val="Style10Char"/>
          <w:rFonts w:ascii="Times New Roman Bold" w:hAnsi="Times New Roman Bold" w:hint="eastAsia"/>
          <w:b/>
          <w:noProof/>
          <w:color w:val="auto"/>
        </w:rPr>
      </w:pPr>
      <w:bookmarkStart w:id="6" w:name="_Toc175939356"/>
      <w:r w:rsidRPr="026BEEC1">
        <w:rPr>
          <w:rStyle w:val="Style10Char"/>
          <w:rFonts w:ascii="Times New Roman Bold" w:hAnsi="Times New Roman Bold"/>
          <w:b/>
          <w:noProof/>
          <w:color w:val="auto"/>
        </w:rPr>
        <w:t>Making finance flows consistent with a pathway towards low GHG emissions and climate-resilient development</w:t>
      </w:r>
      <w:bookmarkEnd w:id="6"/>
    </w:p>
    <w:p w14:paraId="7C3D3868" w14:textId="77777777" w:rsidR="00995B83" w:rsidRPr="00967D72" w:rsidRDefault="00995B83" w:rsidP="009051C3">
      <w:pPr>
        <w:rPr>
          <w:rFonts w:eastAsiaTheme="majorEastAsia" w:cstheme="majorBidi"/>
          <w:b/>
          <w:bCs/>
          <w:smallCaps/>
          <w:noProof/>
          <w:lang w:val="en-GB"/>
        </w:rPr>
      </w:pPr>
      <w:r>
        <w:rPr>
          <w:noProof/>
          <w:lang w:val="en-GB"/>
        </w:rPr>
        <w:t>In recent</w:t>
      </w:r>
      <w:r w:rsidRPr="00967D72">
        <w:rPr>
          <w:noProof/>
          <w:lang w:val="en-GB"/>
        </w:rPr>
        <w:t xml:space="preserve"> years the EU has made significant </w:t>
      </w:r>
      <w:r>
        <w:rPr>
          <w:noProof/>
          <w:lang w:val="en-GB"/>
        </w:rPr>
        <w:t>progress</w:t>
      </w:r>
      <w:r w:rsidRPr="00967D72">
        <w:rPr>
          <w:noProof/>
          <w:lang w:val="en-GB"/>
        </w:rPr>
        <w:t xml:space="preserve"> </w:t>
      </w:r>
      <w:r>
        <w:rPr>
          <w:noProof/>
          <w:lang w:val="en-GB"/>
        </w:rPr>
        <w:t>in</w:t>
      </w:r>
      <w:r w:rsidRPr="00967D72">
        <w:rPr>
          <w:noProof/>
          <w:lang w:val="en-GB"/>
        </w:rPr>
        <w:t xml:space="preserve"> </w:t>
      </w:r>
      <w:r>
        <w:rPr>
          <w:noProof/>
          <w:lang w:val="en-GB"/>
        </w:rPr>
        <w:t>improving</w:t>
      </w:r>
      <w:r w:rsidRPr="00967D72">
        <w:rPr>
          <w:noProof/>
          <w:lang w:val="en-GB"/>
        </w:rPr>
        <w:t xml:space="preserve"> the consistency of finance flows with the goals of the Paris Agreement at all levels. In line with Article 2</w:t>
      </w:r>
      <w:r>
        <w:rPr>
          <w:noProof/>
          <w:lang w:val="en-GB"/>
        </w:rPr>
        <w:t>(</w:t>
      </w:r>
      <w:r w:rsidRPr="00967D72">
        <w:rPr>
          <w:noProof/>
          <w:lang w:val="en-GB"/>
        </w:rPr>
        <w:t>1</w:t>
      </w:r>
      <w:r>
        <w:rPr>
          <w:noProof/>
          <w:lang w:val="en-GB"/>
        </w:rPr>
        <w:t>)</w:t>
      </w:r>
      <w:r w:rsidRPr="00967D72">
        <w:rPr>
          <w:noProof/>
          <w:lang w:val="en-GB"/>
        </w:rPr>
        <w:t>(c) of the Paris Agreement, the EU has integrated climate change into the heart of its economic, social and development practices through various domestic and international initiatives.</w:t>
      </w:r>
    </w:p>
    <w:p w14:paraId="53A9F6AD" w14:textId="77777777" w:rsidR="00995B83" w:rsidRPr="002F54DE" w:rsidRDefault="00995B83" w:rsidP="009051C3">
      <w:pPr>
        <w:rPr>
          <w:noProof/>
          <w:lang w:val="en-GB"/>
        </w:rPr>
      </w:pPr>
      <w:r w:rsidRPr="00967D72">
        <w:rPr>
          <w:noProof/>
          <w:lang w:val="en-GB"/>
        </w:rPr>
        <w:t xml:space="preserve">These actions signal a proactive </w:t>
      </w:r>
      <w:r>
        <w:rPr>
          <w:noProof/>
          <w:lang w:val="en-GB"/>
        </w:rPr>
        <w:t>approach</w:t>
      </w:r>
      <w:r w:rsidRPr="00967D72">
        <w:rPr>
          <w:noProof/>
          <w:lang w:val="en-GB"/>
        </w:rPr>
        <w:t xml:space="preserve"> to </w:t>
      </w:r>
      <w:r>
        <w:rPr>
          <w:noProof/>
          <w:lang w:val="en-GB"/>
        </w:rPr>
        <w:t>meeting</w:t>
      </w:r>
      <w:r w:rsidRPr="00967D72">
        <w:rPr>
          <w:noProof/>
          <w:lang w:val="en-GB"/>
        </w:rPr>
        <w:t xml:space="preserve"> </w:t>
      </w:r>
      <w:r>
        <w:rPr>
          <w:noProof/>
          <w:lang w:val="en-GB"/>
        </w:rPr>
        <w:t xml:space="preserve">the </w:t>
      </w:r>
      <w:r w:rsidRPr="00967D72">
        <w:rPr>
          <w:noProof/>
          <w:lang w:val="en-GB"/>
        </w:rPr>
        <w:t>EU</w:t>
      </w:r>
      <w:r>
        <w:rPr>
          <w:noProof/>
          <w:lang w:val="en-GB"/>
        </w:rPr>
        <w:t>’s</w:t>
      </w:r>
      <w:r w:rsidRPr="00967D72">
        <w:rPr>
          <w:noProof/>
          <w:lang w:val="en-GB"/>
        </w:rPr>
        <w:t xml:space="preserve"> climate targets and </w:t>
      </w:r>
      <w:r>
        <w:rPr>
          <w:noProof/>
          <w:lang w:val="en-GB"/>
        </w:rPr>
        <w:t xml:space="preserve">to </w:t>
      </w:r>
      <w:r w:rsidRPr="00967D72">
        <w:rPr>
          <w:noProof/>
          <w:lang w:val="en-GB"/>
        </w:rPr>
        <w:t xml:space="preserve">contribute to the global effort to combat climate change. As part of </w:t>
      </w:r>
      <w:r>
        <w:rPr>
          <w:noProof/>
          <w:lang w:val="en-GB"/>
        </w:rPr>
        <w:t>this</w:t>
      </w:r>
      <w:r w:rsidRPr="00967D72">
        <w:rPr>
          <w:noProof/>
          <w:lang w:val="en-GB"/>
        </w:rPr>
        <w:t xml:space="preserve"> global effort, the </w:t>
      </w:r>
      <w:r w:rsidRPr="00F62F49">
        <w:rPr>
          <w:noProof/>
          <w:lang w:val="en-GB"/>
        </w:rPr>
        <w:t>EU has taken the lead in mobilising climate finance domestically and internationally from a</w:t>
      </w:r>
      <w:r w:rsidRPr="00967D72">
        <w:rPr>
          <w:noProof/>
          <w:lang w:val="en-GB"/>
        </w:rPr>
        <w:t xml:space="preserve"> wide variety of sources, instruments and channels (including instruments to unlock the huge potential of private finance through the targeted use of public finance) and a variety of actions aligning financial flows with the </w:t>
      </w:r>
      <w:r>
        <w:rPr>
          <w:noProof/>
          <w:lang w:val="en-GB"/>
        </w:rPr>
        <w:t xml:space="preserve">aims of the </w:t>
      </w:r>
      <w:r w:rsidRPr="00967D72">
        <w:rPr>
          <w:noProof/>
          <w:lang w:val="en-GB"/>
        </w:rPr>
        <w:t xml:space="preserve">Paris </w:t>
      </w:r>
      <w:r>
        <w:rPr>
          <w:noProof/>
          <w:lang w:val="en-GB"/>
        </w:rPr>
        <w:t>A</w:t>
      </w:r>
      <w:r w:rsidRPr="00967D72">
        <w:rPr>
          <w:noProof/>
          <w:lang w:val="en-GB"/>
        </w:rPr>
        <w:t>greement.</w:t>
      </w:r>
    </w:p>
    <w:p w14:paraId="282F4FF2" w14:textId="2C2C3E8C" w:rsidR="00995B83" w:rsidRPr="00995B83" w:rsidRDefault="00995B83" w:rsidP="009051C3">
      <w:pPr>
        <w:rPr>
          <w:rFonts w:cs="Times New Roman"/>
          <w:noProof/>
          <w:szCs w:val="24"/>
          <w:lang w:val="en-GB"/>
        </w:rPr>
      </w:pPr>
      <w:r w:rsidRPr="11C222F8">
        <w:rPr>
          <w:rFonts w:cs="Times New Roman"/>
          <w:noProof/>
          <w:lang w:val="en-GB"/>
        </w:rPr>
        <w:t>Besides providing and mobilising support to developing countries, the European Union is taking additional steps to make finance flows consistent with a pathway towards low GHG emissions and climate-resilient development, as stipulated in Article 2(1)(c) of the Paris Agreement. These steps include, among other things, the mainstreaming of climate change mitigation and adaptation into all major EU spending programmes</w:t>
      </w:r>
      <w:r w:rsidR="002E7861">
        <w:rPr>
          <w:rFonts w:cs="Times New Roman"/>
          <w:noProof/>
          <w:lang w:val="en-GB"/>
        </w:rPr>
        <w:t>, the use of the ‘do no significant harm’ principle</w:t>
      </w:r>
      <w:r w:rsidRPr="11C222F8">
        <w:rPr>
          <w:rFonts w:cs="Times New Roman"/>
          <w:noProof/>
          <w:lang w:val="en-GB"/>
        </w:rPr>
        <w:t>, the implementation of the EU taxonomy for sustainable activities</w:t>
      </w:r>
      <w:r w:rsidRPr="11C222F8">
        <w:rPr>
          <w:rStyle w:val="FootnoteReference"/>
          <w:rFonts w:cs="Times New Roman"/>
          <w:noProof/>
          <w:lang w:val="en-GB"/>
        </w:rPr>
        <w:footnoteReference w:id="11"/>
      </w:r>
      <w:r w:rsidRPr="11C222F8">
        <w:rPr>
          <w:rFonts w:cs="Times New Roman"/>
          <w:noProof/>
          <w:lang w:val="en-GB"/>
        </w:rPr>
        <w:t xml:space="preserve"> </w:t>
      </w:r>
      <w:r w:rsidRPr="11C222F8">
        <w:rPr>
          <w:rFonts w:eastAsia="Aptos" w:cs="Times New Roman"/>
          <w:noProof/>
        </w:rPr>
        <w:t>a</w:t>
      </w:r>
      <w:r w:rsidRPr="11C222F8">
        <w:rPr>
          <w:rFonts w:eastAsiaTheme="minorEastAsia" w:cs="Times New Roman"/>
          <w:noProof/>
        </w:rPr>
        <w:t>nd a comprehensive set of ESG disclosures requirements applicable to non-financial and financial undertakings,</w:t>
      </w:r>
      <w:r w:rsidRPr="11C222F8">
        <w:rPr>
          <w:rFonts w:eastAsiaTheme="minorEastAsia" w:cs="Times New Roman"/>
          <w:noProof/>
          <w:lang w:val="en-GB"/>
        </w:rPr>
        <w:t xml:space="preserve"> </w:t>
      </w:r>
      <w:r w:rsidRPr="11C222F8">
        <w:rPr>
          <w:rFonts w:cs="Times New Roman"/>
          <w:noProof/>
          <w:lang w:val="en-GB"/>
        </w:rPr>
        <w:t>and the alignment of EIB financing with the principles and goals of the Paris Agreement.</w:t>
      </w:r>
    </w:p>
    <w:sectPr w:rsidR="00995B83" w:rsidRPr="00995B83" w:rsidSect="00B5654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04726" w14:textId="77777777" w:rsidR="00176B2F" w:rsidRDefault="00176B2F" w:rsidP="00B56542">
      <w:pPr>
        <w:spacing w:before="0" w:after="0"/>
      </w:pPr>
      <w:r>
        <w:separator/>
      </w:r>
    </w:p>
  </w:endnote>
  <w:endnote w:type="continuationSeparator" w:id="0">
    <w:p w14:paraId="626322A5" w14:textId="77777777" w:rsidR="00176B2F" w:rsidRDefault="00176B2F" w:rsidP="00B56542">
      <w:pPr>
        <w:spacing w:before="0" w:after="0"/>
      </w:pPr>
      <w:r>
        <w:continuationSeparator/>
      </w:r>
    </w:p>
  </w:endnote>
  <w:endnote w:type="continuationNotice" w:id="1">
    <w:p w14:paraId="5BA98B46" w14:textId="77777777" w:rsidR="00176B2F" w:rsidRDefault="00176B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A4F6" w14:textId="1DE0E381" w:rsidR="00932EE1" w:rsidRPr="00932EE1" w:rsidRDefault="00932EE1" w:rsidP="00932EE1">
    <w:pPr>
      <w:pStyle w:val="FooterCoverPage"/>
      <w:rPr>
        <w:rFonts w:ascii="Arial" w:hAnsi="Arial" w:cs="Arial"/>
        <w:b/>
        <w:sz w:val="48"/>
      </w:rPr>
    </w:pPr>
    <w:r w:rsidRPr="00932EE1">
      <w:rPr>
        <w:rFonts w:ascii="Arial" w:hAnsi="Arial" w:cs="Arial"/>
        <w:b/>
        <w:sz w:val="48"/>
      </w:rPr>
      <w:t>EN</w:t>
    </w:r>
    <w:r w:rsidRPr="00932EE1">
      <w:rPr>
        <w:rFonts w:ascii="Arial" w:hAnsi="Arial" w:cs="Arial"/>
        <w:b/>
        <w:sz w:val="48"/>
      </w:rPr>
      <w:tab/>
    </w:r>
    <w:r w:rsidRPr="00932EE1">
      <w:rPr>
        <w:rFonts w:ascii="Arial" w:hAnsi="Arial" w:cs="Arial"/>
        <w:b/>
        <w:sz w:val="48"/>
      </w:rPr>
      <w:tab/>
    </w:r>
    <w:r w:rsidRPr="00932EE1">
      <w:tab/>
    </w:r>
    <w:r w:rsidRPr="00932EE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DED1E" w14:textId="335C1506" w:rsidR="00932EE1" w:rsidRPr="00932EE1" w:rsidRDefault="00932EE1" w:rsidP="00932EE1">
    <w:pPr>
      <w:pStyle w:val="FooterCoverPage"/>
      <w:rPr>
        <w:rFonts w:ascii="Arial" w:hAnsi="Arial" w:cs="Arial"/>
        <w:b/>
        <w:sz w:val="48"/>
      </w:rPr>
    </w:pPr>
    <w:r w:rsidRPr="00932EE1">
      <w:rPr>
        <w:rFonts w:ascii="Arial" w:hAnsi="Arial" w:cs="Arial"/>
        <w:b/>
        <w:sz w:val="48"/>
      </w:rPr>
      <w:t>EN</w:t>
    </w:r>
    <w:r w:rsidRPr="00932EE1">
      <w:rPr>
        <w:rFonts w:ascii="Arial" w:hAnsi="Arial" w:cs="Arial"/>
        <w:b/>
        <w:sz w:val="48"/>
      </w:rPr>
      <w:tab/>
    </w:r>
    <w:r w:rsidRPr="00932EE1">
      <w:rPr>
        <w:rFonts w:ascii="Arial" w:hAnsi="Arial" w:cs="Arial"/>
        <w:b/>
        <w:sz w:val="48"/>
      </w:rPr>
      <w:tab/>
    </w:r>
    <w:r w:rsidRPr="00932EE1">
      <w:tab/>
    </w:r>
    <w:r w:rsidRPr="00932EE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A035" w14:textId="77777777" w:rsidR="00932EE1" w:rsidRPr="00932EE1" w:rsidRDefault="00932EE1" w:rsidP="00932EE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F7BF" w14:textId="77777777" w:rsidR="00B56542" w:rsidRDefault="00B565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950393"/>
      <w:docPartObj>
        <w:docPartGallery w:val="Page Numbers (Bottom of Page)"/>
        <w:docPartUnique/>
      </w:docPartObj>
    </w:sdtPr>
    <w:sdtEndPr>
      <w:rPr>
        <w:noProof/>
      </w:rPr>
    </w:sdtEndPr>
    <w:sdtContent>
      <w:p w14:paraId="49617582" w14:textId="7234EECE" w:rsidR="00B56542" w:rsidRDefault="003E5AB0" w:rsidP="003E5AB0">
        <w:pPr>
          <w:pStyle w:val="Footer"/>
          <w:jc w:val="center"/>
        </w:pPr>
        <w:r>
          <w:fldChar w:fldCharType="begin"/>
        </w:r>
        <w:r>
          <w:instrText xml:space="preserve"> PAGE   \* MERGEFORMAT </w:instrText>
        </w:r>
        <w:r>
          <w:fldChar w:fldCharType="separate"/>
        </w:r>
        <w:r w:rsidR="00932EE1">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AEDC" w14:textId="77777777" w:rsidR="00B56542" w:rsidRDefault="00B5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79335" w14:textId="77777777" w:rsidR="00176B2F" w:rsidRDefault="00176B2F" w:rsidP="00B56542">
      <w:pPr>
        <w:spacing w:before="0" w:after="0"/>
      </w:pPr>
      <w:r>
        <w:separator/>
      </w:r>
    </w:p>
  </w:footnote>
  <w:footnote w:type="continuationSeparator" w:id="0">
    <w:p w14:paraId="27202788" w14:textId="77777777" w:rsidR="00176B2F" w:rsidRDefault="00176B2F" w:rsidP="00B56542">
      <w:pPr>
        <w:spacing w:before="0" w:after="0"/>
      </w:pPr>
      <w:r>
        <w:continuationSeparator/>
      </w:r>
    </w:p>
  </w:footnote>
  <w:footnote w:type="continuationNotice" w:id="1">
    <w:p w14:paraId="724D980F" w14:textId="77777777" w:rsidR="00176B2F" w:rsidRDefault="00176B2F">
      <w:pPr>
        <w:spacing w:before="0" w:after="0"/>
      </w:pPr>
    </w:p>
  </w:footnote>
  <w:footnote w:id="2">
    <w:p w14:paraId="79B6819E" w14:textId="77777777" w:rsidR="0090620A" w:rsidRPr="00BD3F2F" w:rsidRDefault="0090620A" w:rsidP="0023120F">
      <w:pPr>
        <w:pStyle w:val="FootnoteText"/>
        <w:spacing w:before="0"/>
        <w:ind w:left="-57"/>
        <w:rPr>
          <w:lang w:val="en-IE"/>
        </w:rPr>
      </w:pPr>
      <w:r w:rsidRPr="008023F3">
        <w:footnoteRef/>
      </w:r>
      <w:r w:rsidRPr="00BD3F2F">
        <w:rPr>
          <w:lang w:val="en-IE"/>
        </w:rPr>
        <w:t xml:space="preserve"> Copernicus Climate Change Service (C3S), 2024: European State of the Climate 2023, Summary, p. 23:</w:t>
      </w:r>
    </w:p>
    <w:p w14:paraId="69978295" w14:textId="77777777" w:rsidR="0090620A" w:rsidRPr="00BD3F2F" w:rsidRDefault="0090620A" w:rsidP="0023120F">
      <w:pPr>
        <w:pStyle w:val="FootnoteText"/>
        <w:spacing w:before="0"/>
        <w:ind w:left="-57"/>
        <w:rPr>
          <w:lang w:val="en-IE"/>
        </w:rPr>
      </w:pPr>
      <w:r w:rsidRPr="00BD3F2F">
        <w:rPr>
          <w:lang w:val="en-IE"/>
        </w:rPr>
        <w:t> </w:t>
      </w:r>
      <w:hyperlink r:id="rId1" w:tgtFrame="_blank" w:history="1">
        <w:r w:rsidRPr="00BD3F2F">
          <w:rPr>
            <w:lang w:val="en-IE"/>
          </w:rPr>
          <w:t>https://doi.org/10.24381/bs9v-8c66</w:t>
        </w:r>
      </w:hyperlink>
      <w:r w:rsidRPr="00BD3F2F">
        <w:rPr>
          <w:lang w:val="en-IE"/>
        </w:rPr>
        <w:t xml:space="preserve"> </w:t>
      </w:r>
    </w:p>
  </w:footnote>
  <w:footnote w:id="3">
    <w:p w14:paraId="74797574" w14:textId="77777777" w:rsidR="0090620A" w:rsidRPr="00BD3F2F" w:rsidRDefault="0090620A" w:rsidP="0023120F">
      <w:pPr>
        <w:pStyle w:val="FootnoteText"/>
        <w:spacing w:before="0"/>
        <w:rPr>
          <w:lang w:val="en-IE"/>
        </w:rPr>
      </w:pPr>
      <w:r w:rsidRPr="008023F3">
        <w:footnoteRef/>
      </w:r>
      <w:r w:rsidRPr="00BD3F2F">
        <w:rPr>
          <w:lang w:val="en-IE"/>
        </w:rPr>
        <w:t xml:space="preserve"> IPCC, 2023: Summary for Policymakers. In: Climate Change 2023: Synthesis Report. Contribution of Working Groups I, II and III to the Sixth Assessment Report of the Intergovernmental Panel on Climate Change [Core Writing Team, H. Lee and J. Romero (eds.)]. IPCC, Geneva, Switzerland, pp. 1-34, doi: 10.59327/IPCC/AR6-9789291691647.001</w:t>
      </w:r>
    </w:p>
  </w:footnote>
  <w:footnote w:id="4">
    <w:p w14:paraId="10CD81F7" w14:textId="6473ECB1" w:rsidR="00B56542" w:rsidRPr="00BD3F2F" w:rsidRDefault="00B56542" w:rsidP="0023120F">
      <w:pPr>
        <w:pStyle w:val="FootnoteText"/>
        <w:spacing w:before="0"/>
        <w:rPr>
          <w:rFonts w:cs="Times New Roman"/>
          <w:sz w:val="18"/>
          <w:szCs w:val="18"/>
          <w:lang w:val="en-IE"/>
        </w:rPr>
      </w:pPr>
      <w:r w:rsidRPr="008023F3">
        <w:footnoteRef/>
      </w:r>
      <w:r w:rsidRPr="00BD3F2F">
        <w:rPr>
          <w:lang w:val="en-IE"/>
        </w:rPr>
        <w:t xml:space="preserve"> </w:t>
      </w:r>
      <w:hyperlink r:id="rId2" w:history="1">
        <w:r w:rsidRPr="00BD3F2F">
          <w:rPr>
            <w:lang w:val="en-IE"/>
          </w:rPr>
          <w:t>Regulation - 2018/1999 - EN - EUR-Lex (europa.eu)</w:t>
        </w:r>
      </w:hyperlink>
    </w:p>
  </w:footnote>
  <w:footnote w:id="5">
    <w:p w14:paraId="3AC95D4E" w14:textId="416CDE8F" w:rsidR="00FB7D22" w:rsidRPr="00BD3F2F" w:rsidRDefault="00FB7D22" w:rsidP="008023F3">
      <w:pPr>
        <w:pStyle w:val="FootnoteText"/>
        <w:spacing w:before="0"/>
        <w:rPr>
          <w:lang w:val="en-IE"/>
        </w:rPr>
      </w:pPr>
      <w:r w:rsidRPr="008023F3">
        <w:rPr>
          <w:rStyle w:val="FootnoteReference"/>
        </w:rPr>
        <w:footnoteRef/>
      </w:r>
      <w:r w:rsidR="008023F3" w:rsidRPr="00BD3F2F">
        <w:rPr>
          <w:lang w:val="en-IE"/>
        </w:rPr>
        <w:t xml:space="preserve"> </w:t>
      </w:r>
      <w:r w:rsidR="006B5F9A" w:rsidRPr="00BD3F2F">
        <w:rPr>
          <w:lang w:val="en-IE"/>
        </w:rPr>
        <w:t>Report on the Implementation of the EU Adaptation Strategy on Adaptation to Climate Change,</w:t>
      </w:r>
      <w:r w:rsidR="00D04B01" w:rsidRPr="00BD3F2F">
        <w:rPr>
          <w:lang w:val="en-IE"/>
        </w:rPr>
        <w:t xml:space="preserve"> </w:t>
      </w:r>
      <w:hyperlink r:id="rId3" w:history="1">
        <w:r w:rsidR="00D04B01" w:rsidRPr="00BD3F2F">
          <w:rPr>
            <w:rStyle w:val="Hyperlink"/>
            <w:lang w:val="en-IE"/>
          </w:rPr>
          <w:t>https://climate.ec.europa.eu/document/download/72286a42-61af-4e8a-a51a-29a58c90274e_en?filename=swd_2023_338_en.pdf</w:t>
        </w:r>
      </w:hyperlink>
      <w:r w:rsidR="006B5F9A" w:rsidRPr="00BD3F2F">
        <w:rPr>
          <w:lang w:val="en-IE"/>
        </w:rPr>
        <w:t xml:space="preserve"> </w:t>
      </w:r>
    </w:p>
  </w:footnote>
  <w:footnote w:id="6">
    <w:p w14:paraId="728A0D84" w14:textId="5CEF83A4" w:rsidR="00995B83" w:rsidRPr="00BD3F2F" w:rsidRDefault="00995B83" w:rsidP="008023F3">
      <w:pPr>
        <w:spacing w:before="0" w:after="0"/>
        <w:rPr>
          <w:rFonts w:cs="Times New Roman"/>
          <w:sz w:val="20"/>
          <w:szCs w:val="20"/>
        </w:rPr>
      </w:pPr>
      <w:r w:rsidRPr="000E6B59">
        <w:rPr>
          <w:rStyle w:val="FootnoteReference"/>
          <w:rFonts w:cs="Times New Roman"/>
          <w:sz w:val="20"/>
          <w:szCs w:val="20"/>
        </w:rPr>
        <w:footnoteRef/>
      </w:r>
      <w:r w:rsidRPr="00BD3F2F">
        <w:rPr>
          <w:rFonts w:cs="Times New Roman"/>
          <w:sz w:val="20"/>
          <w:szCs w:val="20"/>
        </w:rPr>
        <w:t xml:space="preserve"> </w:t>
      </w:r>
      <w:hyperlink r:id="rId4" w:history="1">
        <w:r w:rsidRPr="00BD3F2F">
          <w:rPr>
            <w:rStyle w:val="Hyperlink"/>
            <w:sz w:val="20"/>
            <w:szCs w:val="18"/>
          </w:rPr>
          <w:t>European Climate Risk Assessment — European Environment Agency</w:t>
        </w:r>
      </w:hyperlink>
    </w:p>
  </w:footnote>
  <w:footnote w:id="7">
    <w:p w14:paraId="4BF52BAB" w14:textId="77777777" w:rsidR="00495D59" w:rsidRPr="00BD3F2F" w:rsidRDefault="00495D59" w:rsidP="00C17223">
      <w:pPr>
        <w:pStyle w:val="FootnoteText"/>
        <w:spacing w:before="0"/>
        <w:rPr>
          <w:lang w:val="en-IE"/>
        </w:rPr>
      </w:pPr>
      <w:r>
        <w:rPr>
          <w:rStyle w:val="FootnoteReference"/>
        </w:rPr>
        <w:footnoteRef/>
      </w:r>
      <w:r w:rsidRPr="00BD3F2F">
        <w:rPr>
          <w:lang w:val="en-IE"/>
        </w:rPr>
        <w:t xml:space="preserve"> </w:t>
      </w:r>
      <w:hyperlink r:id="rId5" w:history="1">
        <w:r w:rsidRPr="00BD3F2F">
          <w:rPr>
            <w:rStyle w:val="Hyperlink"/>
            <w:lang w:val="en-IE"/>
          </w:rPr>
          <w:t>EUR-Lex - 52024DC0091 - EN - EUR-Lex</w:t>
        </w:r>
      </w:hyperlink>
    </w:p>
  </w:footnote>
  <w:footnote w:id="8">
    <w:p w14:paraId="79611DA0" w14:textId="77777777" w:rsidR="00995B83" w:rsidRPr="00BD3F2F" w:rsidRDefault="00995B83" w:rsidP="00C17223">
      <w:pPr>
        <w:spacing w:before="0" w:after="0"/>
        <w:rPr>
          <w:rFonts w:cs="Times New Roman"/>
          <w:sz w:val="20"/>
          <w:szCs w:val="20"/>
        </w:rPr>
      </w:pPr>
      <w:r w:rsidRPr="000E6B59">
        <w:rPr>
          <w:rStyle w:val="FootnoteReference"/>
          <w:rFonts w:cs="Times New Roman"/>
          <w:sz w:val="20"/>
          <w:szCs w:val="20"/>
        </w:rPr>
        <w:footnoteRef/>
      </w:r>
      <w:r w:rsidRPr="00BD3F2F">
        <w:rPr>
          <w:rFonts w:cs="Times New Roman"/>
          <w:sz w:val="20"/>
          <w:szCs w:val="20"/>
        </w:rPr>
        <w:t xml:space="preserve"> </w:t>
      </w:r>
      <w:hyperlink r:id="rId6" w:history="1">
        <w:r w:rsidRPr="00BD3F2F">
          <w:rPr>
            <w:rStyle w:val="Hyperlink"/>
            <w:rFonts w:cs="Times New Roman"/>
            <w:sz w:val="20"/>
            <w:szCs w:val="20"/>
          </w:rPr>
          <w:t>Political Guidelines 2024-2029 | European Commission (europa.eu)</w:t>
        </w:r>
      </w:hyperlink>
      <w:r w:rsidRPr="00BD3F2F">
        <w:rPr>
          <w:rFonts w:cs="Times New Roman"/>
          <w:sz w:val="20"/>
          <w:szCs w:val="20"/>
        </w:rPr>
        <w:t>.</w:t>
      </w:r>
    </w:p>
  </w:footnote>
  <w:footnote w:id="9">
    <w:p w14:paraId="34013A5A" w14:textId="7A3F6F6F" w:rsidR="005457EC" w:rsidRPr="00BD3F2F" w:rsidRDefault="005457EC" w:rsidP="00E16EFE">
      <w:pPr>
        <w:spacing w:before="0" w:after="0" w:line="276" w:lineRule="auto"/>
        <w:ind w:left="284" w:hanging="284"/>
      </w:pPr>
      <w:r>
        <w:rPr>
          <w:rStyle w:val="FootnoteReference"/>
        </w:rPr>
        <w:footnoteRef/>
      </w:r>
      <w:r w:rsidRPr="00BD3F2F">
        <w:t xml:space="preserve"> </w:t>
      </w:r>
      <w:r w:rsidRPr="00BD3F2F">
        <w:rPr>
          <w:rFonts w:eastAsia="Times New Roman" w:cs="Times New Roman"/>
          <w:sz w:val="20"/>
          <w:szCs w:val="20"/>
        </w:rPr>
        <w:t xml:space="preserve">Regulation (EU) 2021/establishing the Neighbourhood, Development and International Cooperation Instrument – Global Europe, </w:t>
      </w:r>
      <w:hyperlink r:id="rId7" w:history="1">
        <w:r w:rsidRPr="00BD3F2F">
          <w:rPr>
            <w:rStyle w:val="Hyperlink"/>
            <w:rFonts w:eastAsia="Times New Roman" w:cs="Times New Roman"/>
            <w:sz w:val="20"/>
            <w:szCs w:val="20"/>
          </w:rPr>
          <w:t>https://eur-lex.europa.eu/legal-content/EN/TXT/PDF/?uri=CELEX:32021R0947</w:t>
        </w:r>
      </w:hyperlink>
    </w:p>
  </w:footnote>
  <w:footnote w:id="10">
    <w:p w14:paraId="14C2D99C" w14:textId="51FBF568" w:rsidR="008461AB" w:rsidRPr="005860EF" w:rsidRDefault="008461AB">
      <w:pPr>
        <w:pStyle w:val="FootnoteText"/>
        <w:rPr>
          <w:lang w:val="en-GB"/>
        </w:rPr>
      </w:pPr>
      <w:r>
        <w:rPr>
          <w:rStyle w:val="FootnoteReference"/>
        </w:rPr>
        <w:footnoteRef/>
      </w:r>
      <w:r w:rsidR="00E16EFE">
        <w:rPr>
          <w:lang w:val="en-GB"/>
        </w:rPr>
        <w:t xml:space="preserve">The European </w:t>
      </w:r>
      <w:r w:rsidR="003524B7">
        <w:rPr>
          <w:lang w:val="en-GB"/>
        </w:rPr>
        <w:t>fund for sustainable development 202</w:t>
      </w:r>
      <w:r w:rsidR="00044EBE">
        <w:rPr>
          <w:lang w:val="en-GB"/>
        </w:rPr>
        <w:t xml:space="preserve">0 operational report, </w:t>
      </w:r>
      <w:r w:rsidR="00044EBE" w:rsidRPr="00066877">
        <w:rPr>
          <w:lang w:val="en-GB"/>
        </w:rPr>
        <w:t xml:space="preserve">The </w:t>
      </w:r>
      <w:r w:rsidR="00044EBE">
        <w:rPr>
          <w:lang w:val="en-GB"/>
        </w:rPr>
        <w:t xml:space="preserve">European fund for sustainable development, </w:t>
      </w:r>
      <w:r w:rsidR="00044EBE" w:rsidRPr="00A04F00">
        <w:rPr>
          <w:lang w:val="en-GB"/>
        </w:rPr>
        <w:t>https://op.europa.eu/en/publication-detail/-/publication/6c93ad22-d299-11ed-a05c-01aa75ed71a1</w:t>
      </w:r>
    </w:p>
  </w:footnote>
  <w:footnote w:id="11">
    <w:p w14:paraId="6DE24EEB" w14:textId="77777777" w:rsidR="00995B83" w:rsidRPr="005860EF" w:rsidRDefault="00995B83" w:rsidP="00995B83">
      <w:pPr>
        <w:rPr>
          <w:rFonts w:cs="Times New Roman"/>
          <w:sz w:val="20"/>
          <w:szCs w:val="20"/>
          <w:lang w:val="en-GB"/>
        </w:rPr>
      </w:pPr>
      <w:r w:rsidRPr="000E6B59">
        <w:rPr>
          <w:rStyle w:val="FootnoteReference"/>
          <w:rFonts w:cs="Times New Roman"/>
          <w:sz w:val="20"/>
          <w:szCs w:val="20"/>
        </w:rPr>
        <w:footnoteRef/>
      </w:r>
      <w:r w:rsidRPr="005860EF">
        <w:rPr>
          <w:rFonts w:cs="Times New Roman"/>
          <w:sz w:val="20"/>
          <w:szCs w:val="20"/>
          <w:lang w:val="en-GB"/>
        </w:rPr>
        <w:t xml:space="preserve"> </w:t>
      </w:r>
      <w:hyperlink r:id="rId8" w:history="1">
        <w:r w:rsidRPr="005860EF">
          <w:rPr>
            <w:rStyle w:val="Hyperlink"/>
            <w:rFonts w:cs="Times New Roman"/>
            <w:sz w:val="20"/>
            <w:szCs w:val="20"/>
            <w:lang w:val="en-GB"/>
          </w:rPr>
          <w:t>Regulation - 2020/852 - EN - taxonomy regulation - EUR-Lex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B13B" w14:textId="77777777" w:rsidR="00932EE1" w:rsidRPr="00932EE1" w:rsidRDefault="00932EE1" w:rsidP="00932EE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C0BA" w14:textId="77777777" w:rsidR="00932EE1" w:rsidRPr="00932EE1" w:rsidRDefault="00932EE1" w:rsidP="00932EE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A77FC" w14:textId="77777777" w:rsidR="00932EE1" w:rsidRPr="00932EE1" w:rsidRDefault="00932EE1" w:rsidP="00932EE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19350" w14:textId="77777777" w:rsidR="00B56542" w:rsidRDefault="00B565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A562" w14:textId="77777777" w:rsidR="00B56542" w:rsidRDefault="00B565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864C0" w14:textId="77777777" w:rsidR="00B56542" w:rsidRDefault="00B5654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fvXFzDg" int2:invalidationBookmarkName="" int2:hashCode="WCaBwurgKz89OZ" int2:id="yytLaqc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62DDD"/>
    <w:multiLevelType w:val="multilevel"/>
    <w:tmpl w:val="49CC7930"/>
    <w:lvl w:ilvl="0">
      <w:start w:val="1"/>
      <w:numFmt w:val="decimal"/>
      <w:pStyle w:val="Heading1"/>
      <w:lvlText w:val="%1. "/>
      <w:lvlJc w:val="left"/>
      <w:pPr>
        <w:ind w:left="432" w:hanging="432"/>
      </w:pPr>
      <w:rPr>
        <w:rFonts w:hint="default"/>
        <w:lang w:val="en-IE"/>
      </w:rPr>
    </w:lvl>
    <w:lvl w:ilvl="1">
      <w:start w:val="1"/>
      <w:numFmt w:val="decimal"/>
      <w:pStyle w:val="Heading2"/>
      <w:lvlText w:val="%1.%2"/>
      <w:lvlJc w:val="left"/>
      <w:pPr>
        <w:ind w:left="576" w:hanging="576"/>
      </w:pPr>
      <w:rPr>
        <w:rFonts w:hint="default"/>
        <w:b w:val="0"/>
        <w:bCs/>
        <w:lang w:val="en-I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B3E2E91"/>
    <w:multiLevelType w:val="multilevel"/>
    <w:tmpl w:val="88B291D8"/>
    <w:styleLink w:val="Style7"/>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793F3617"/>
    <w:multiLevelType w:val="hybridMultilevel"/>
    <w:tmpl w:val="8696B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43407C9-F32E-4B48-8278-CB79EE6EF945"/>
    <w:docVar w:name="LW_COVERPAGE_TYPE" w:val="1"/>
    <w:docVar w:name="LW_CROSSREFERENCE" w:val="{SWD(2024) 273 final}"/>
    <w:docVar w:name="LW_DocType" w:val="NORMAL"/>
    <w:docVar w:name="LW_EMISSION" w:val="21.11.2024"/>
    <w:docVar w:name="LW_EMISSION_ISODATE" w:val="2024-11-21"/>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5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First Biennial Transparency Report from the European Union to the United Nations Framework Convention on Climate Change (required under the Enhanced Transparency Framework)"/>
    <w:docVar w:name="LW_TYPE.DOC.CP" w:val="REPORT FROM THE COMMISSION"/>
    <w:docVar w:name="LwApiVersions" w:val="LW4CoDe 1.24.5.0; LW 9.0, Build 20240221"/>
  </w:docVars>
  <w:rsids>
    <w:rsidRoot w:val="00B56542"/>
    <w:rsid w:val="000001AD"/>
    <w:rsid w:val="00000BA4"/>
    <w:rsid w:val="000025F0"/>
    <w:rsid w:val="000064B1"/>
    <w:rsid w:val="00006F43"/>
    <w:rsid w:val="00007357"/>
    <w:rsid w:val="00007625"/>
    <w:rsid w:val="00013613"/>
    <w:rsid w:val="000139FE"/>
    <w:rsid w:val="00014491"/>
    <w:rsid w:val="00014E9E"/>
    <w:rsid w:val="00015DB4"/>
    <w:rsid w:val="00016A2E"/>
    <w:rsid w:val="000173EB"/>
    <w:rsid w:val="00017AA5"/>
    <w:rsid w:val="0002067F"/>
    <w:rsid w:val="00021894"/>
    <w:rsid w:val="00022395"/>
    <w:rsid w:val="00022551"/>
    <w:rsid w:val="00024A85"/>
    <w:rsid w:val="00031C4E"/>
    <w:rsid w:val="0003205C"/>
    <w:rsid w:val="000326A7"/>
    <w:rsid w:val="00032A16"/>
    <w:rsid w:val="00035353"/>
    <w:rsid w:val="00035C08"/>
    <w:rsid w:val="00037726"/>
    <w:rsid w:val="00040714"/>
    <w:rsid w:val="0004282E"/>
    <w:rsid w:val="000441C2"/>
    <w:rsid w:val="00044EBE"/>
    <w:rsid w:val="00046B45"/>
    <w:rsid w:val="00047824"/>
    <w:rsid w:val="000513AD"/>
    <w:rsid w:val="00052CC0"/>
    <w:rsid w:val="00055435"/>
    <w:rsid w:val="00055F5E"/>
    <w:rsid w:val="00056FC9"/>
    <w:rsid w:val="00057A2B"/>
    <w:rsid w:val="00065EFA"/>
    <w:rsid w:val="00065FF5"/>
    <w:rsid w:val="0007005E"/>
    <w:rsid w:val="000705AC"/>
    <w:rsid w:val="000724A5"/>
    <w:rsid w:val="00072A3F"/>
    <w:rsid w:val="000730D5"/>
    <w:rsid w:val="0007317E"/>
    <w:rsid w:val="00074A2A"/>
    <w:rsid w:val="000768AD"/>
    <w:rsid w:val="00076A2C"/>
    <w:rsid w:val="00081AD5"/>
    <w:rsid w:val="00082197"/>
    <w:rsid w:val="00082EC3"/>
    <w:rsid w:val="0008574D"/>
    <w:rsid w:val="00090A50"/>
    <w:rsid w:val="00091D41"/>
    <w:rsid w:val="00092990"/>
    <w:rsid w:val="00092B70"/>
    <w:rsid w:val="00093D3A"/>
    <w:rsid w:val="0009473F"/>
    <w:rsid w:val="00095AE5"/>
    <w:rsid w:val="000A1309"/>
    <w:rsid w:val="000A1D81"/>
    <w:rsid w:val="000A1D92"/>
    <w:rsid w:val="000A2E32"/>
    <w:rsid w:val="000A629C"/>
    <w:rsid w:val="000A6683"/>
    <w:rsid w:val="000A6F98"/>
    <w:rsid w:val="000A77C0"/>
    <w:rsid w:val="000B08B3"/>
    <w:rsid w:val="000B1979"/>
    <w:rsid w:val="000B2EE7"/>
    <w:rsid w:val="000C1227"/>
    <w:rsid w:val="000C2B78"/>
    <w:rsid w:val="000C3845"/>
    <w:rsid w:val="000C46C4"/>
    <w:rsid w:val="000C5E58"/>
    <w:rsid w:val="000C7716"/>
    <w:rsid w:val="000D0696"/>
    <w:rsid w:val="000D21AF"/>
    <w:rsid w:val="000D24BF"/>
    <w:rsid w:val="000D4ADE"/>
    <w:rsid w:val="000D6413"/>
    <w:rsid w:val="000D66E9"/>
    <w:rsid w:val="000E001D"/>
    <w:rsid w:val="000E0A70"/>
    <w:rsid w:val="000E0AA6"/>
    <w:rsid w:val="000E283E"/>
    <w:rsid w:val="000E2EA2"/>
    <w:rsid w:val="000E3B27"/>
    <w:rsid w:val="000E4D2A"/>
    <w:rsid w:val="000E5142"/>
    <w:rsid w:val="000E5B85"/>
    <w:rsid w:val="000E5BF0"/>
    <w:rsid w:val="000E5C8B"/>
    <w:rsid w:val="000F00DB"/>
    <w:rsid w:val="000F0E4B"/>
    <w:rsid w:val="000F5258"/>
    <w:rsid w:val="000F7A67"/>
    <w:rsid w:val="000F7D2D"/>
    <w:rsid w:val="00101168"/>
    <w:rsid w:val="001038E0"/>
    <w:rsid w:val="00105FBA"/>
    <w:rsid w:val="0010749F"/>
    <w:rsid w:val="00107CD6"/>
    <w:rsid w:val="00107DFB"/>
    <w:rsid w:val="0011043B"/>
    <w:rsid w:val="00111F81"/>
    <w:rsid w:val="00114E0A"/>
    <w:rsid w:val="001151CE"/>
    <w:rsid w:val="00117D88"/>
    <w:rsid w:val="00120D33"/>
    <w:rsid w:val="00121A99"/>
    <w:rsid w:val="00133A9E"/>
    <w:rsid w:val="001349E1"/>
    <w:rsid w:val="00136BD1"/>
    <w:rsid w:val="00136F01"/>
    <w:rsid w:val="00137968"/>
    <w:rsid w:val="001423E6"/>
    <w:rsid w:val="0014259A"/>
    <w:rsid w:val="00143B6A"/>
    <w:rsid w:val="00144C81"/>
    <w:rsid w:val="00144E69"/>
    <w:rsid w:val="00146899"/>
    <w:rsid w:val="00146C67"/>
    <w:rsid w:val="001504E3"/>
    <w:rsid w:val="001528C5"/>
    <w:rsid w:val="00152C99"/>
    <w:rsid w:val="00156BBF"/>
    <w:rsid w:val="00157BEB"/>
    <w:rsid w:val="00157D8E"/>
    <w:rsid w:val="00157EA5"/>
    <w:rsid w:val="001601DA"/>
    <w:rsid w:val="00160B63"/>
    <w:rsid w:val="0016272E"/>
    <w:rsid w:val="0017068D"/>
    <w:rsid w:val="00172B55"/>
    <w:rsid w:val="00175A80"/>
    <w:rsid w:val="001767A3"/>
    <w:rsid w:val="0017683E"/>
    <w:rsid w:val="00176B2F"/>
    <w:rsid w:val="00176CCB"/>
    <w:rsid w:val="00177B66"/>
    <w:rsid w:val="00183452"/>
    <w:rsid w:val="0018537C"/>
    <w:rsid w:val="00186D4A"/>
    <w:rsid w:val="001926C9"/>
    <w:rsid w:val="001941A8"/>
    <w:rsid w:val="001951FD"/>
    <w:rsid w:val="0019569B"/>
    <w:rsid w:val="001958D8"/>
    <w:rsid w:val="001A0F5D"/>
    <w:rsid w:val="001A201C"/>
    <w:rsid w:val="001A375E"/>
    <w:rsid w:val="001A5C97"/>
    <w:rsid w:val="001A7399"/>
    <w:rsid w:val="001B05BF"/>
    <w:rsid w:val="001B1947"/>
    <w:rsid w:val="001B48B8"/>
    <w:rsid w:val="001B7102"/>
    <w:rsid w:val="001C11B1"/>
    <w:rsid w:val="001C3EEC"/>
    <w:rsid w:val="001C5B5C"/>
    <w:rsid w:val="001D1E97"/>
    <w:rsid w:val="001D4059"/>
    <w:rsid w:val="001D76EB"/>
    <w:rsid w:val="001E0457"/>
    <w:rsid w:val="001E0ECB"/>
    <w:rsid w:val="001E14D6"/>
    <w:rsid w:val="001E380F"/>
    <w:rsid w:val="001E473C"/>
    <w:rsid w:val="001E4C66"/>
    <w:rsid w:val="001E5894"/>
    <w:rsid w:val="001E5BC6"/>
    <w:rsid w:val="001E67B6"/>
    <w:rsid w:val="001E7186"/>
    <w:rsid w:val="001E7231"/>
    <w:rsid w:val="001E7270"/>
    <w:rsid w:val="001F10AA"/>
    <w:rsid w:val="001F20A8"/>
    <w:rsid w:val="001F558F"/>
    <w:rsid w:val="001F6CC7"/>
    <w:rsid w:val="001F7CFC"/>
    <w:rsid w:val="00202D5E"/>
    <w:rsid w:val="00204472"/>
    <w:rsid w:val="002044D5"/>
    <w:rsid w:val="002052DC"/>
    <w:rsid w:val="00205F3D"/>
    <w:rsid w:val="00206EDC"/>
    <w:rsid w:val="002076CE"/>
    <w:rsid w:val="00210D84"/>
    <w:rsid w:val="00211B9A"/>
    <w:rsid w:val="00217464"/>
    <w:rsid w:val="00217B32"/>
    <w:rsid w:val="002201E3"/>
    <w:rsid w:val="00220243"/>
    <w:rsid w:val="00220D80"/>
    <w:rsid w:val="00222028"/>
    <w:rsid w:val="00223AA9"/>
    <w:rsid w:val="00224DD8"/>
    <w:rsid w:val="0022542A"/>
    <w:rsid w:val="00225E47"/>
    <w:rsid w:val="00230287"/>
    <w:rsid w:val="0023120F"/>
    <w:rsid w:val="0023375B"/>
    <w:rsid w:val="00240339"/>
    <w:rsid w:val="00244CA4"/>
    <w:rsid w:val="00245101"/>
    <w:rsid w:val="0024664C"/>
    <w:rsid w:val="00247FB8"/>
    <w:rsid w:val="00251513"/>
    <w:rsid w:val="00252175"/>
    <w:rsid w:val="00252487"/>
    <w:rsid w:val="00252998"/>
    <w:rsid w:val="002534E7"/>
    <w:rsid w:val="002634E2"/>
    <w:rsid w:val="00263990"/>
    <w:rsid w:val="00263B10"/>
    <w:rsid w:val="00264C9B"/>
    <w:rsid w:val="002651E9"/>
    <w:rsid w:val="00270F02"/>
    <w:rsid w:val="002731C1"/>
    <w:rsid w:val="00274B5C"/>
    <w:rsid w:val="00275CA9"/>
    <w:rsid w:val="00281610"/>
    <w:rsid w:val="002831FE"/>
    <w:rsid w:val="002856D2"/>
    <w:rsid w:val="00292486"/>
    <w:rsid w:val="00293AED"/>
    <w:rsid w:val="00295107"/>
    <w:rsid w:val="002A0B77"/>
    <w:rsid w:val="002B1F8B"/>
    <w:rsid w:val="002B26D1"/>
    <w:rsid w:val="002B2EBC"/>
    <w:rsid w:val="002B3DE0"/>
    <w:rsid w:val="002B5332"/>
    <w:rsid w:val="002B5EDE"/>
    <w:rsid w:val="002B646D"/>
    <w:rsid w:val="002B7063"/>
    <w:rsid w:val="002C00CA"/>
    <w:rsid w:val="002C0627"/>
    <w:rsid w:val="002C0CA0"/>
    <w:rsid w:val="002C0CB4"/>
    <w:rsid w:val="002C1D42"/>
    <w:rsid w:val="002C4AB2"/>
    <w:rsid w:val="002C50DD"/>
    <w:rsid w:val="002C5ECB"/>
    <w:rsid w:val="002C67CD"/>
    <w:rsid w:val="002C6F5D"/>
    <w:rsid w:val="002D0976"/>
    <w:rsid w:val="002D12C0"/>
    <w:rsid w:val="002D1AC8"/>
    <w:rsid w:val="002D3200"/>
    <w:rsid w:val="002E0A07"/>
    <w:rsid w:val="002E4D40"/>
    <w:rsid w:val="002E6051"/>
    <w:rsid w:val="002E6586"/>
    <w:rsid w:val="002E7069"/>
    <w:rsid w:val="002E74DC"/>
    <w:rsid w:val="002E7861"/>
    <w:rsid w:val="002E7B65"/>
    <w:rsid w:val="002F08EE"/>
    <w:rsid w:val="002F345E"/>
    <w:rsid w:val="002F44E5"/>
    <w:rsid w:val="002F4576"/>
    <w:rsid w:val="00300319"/>
    <w:rsid w:val="003029DD"/>
    <w:rsid w:val="0030359B"/>
    <w:rsid w:val="003037AA"/>
    <w:rsid w:val="003043C3"/>
    <w:rsid w:val="003047B6"/>
    <w:rsid w:val="00310F2E"/>
    <w:rsid w:val="00311D7B"/>
    <w:rsid w:val="00312B24"/>
    <w:rsid w:val="00313712"/>
    <w:rsid w:val="0031658E"/>
    <w:rsid w:val="00317D6C"/>
    <w:rsid w:val="003204DD"/>
    <w:rsid w:val="00320E9C"/>
    <w:rsid w:val="00321A42"/>
    <w:rsid w:val="00322CA2"/>
    <w:rsid w:val="00325971"/>
    <w:rsid w:val="0032703A"/>
    <w:rsid w:val="00330895"/>
    <w:rsid w:val="00331DAB"/>
    <w:rsid w:val="0033304E"/>
    <w:rsid w:val="003342B3"/>
    <w:rsid w:val="00340352"/>
    <w:rsid w:val="003409EE"/>
    <w:rsid w:val="0034141C"/>
    <w:rsid w:val="0034347C"/>
    <w:rsid w:val="00346ED7"/>
    <w:rsid w:val="003474D2"/>
    <w:rsid w:val="00347F9F"/>
    <w:rsid w:val="00351F2B"/>
    <w:rsid w:val="003524B7"/>
    <w:rsid w:val="003552AF"/>
    <w:rsid w:val="003569C8"/>
    <w:rsid w:val="00356B7F"/>
    <w:rsid w:val="00357371"/>
    <w:rsid w:val="003641DB"/>
    <w:rsid w:val="0036471F"/>
    <w:rsid w:val="00364FFE"/>
    <w:rsid w:val="0036682E"/>
    <w:rsid w:val="00367101"/>
    <w:rsid w:val="00367690"/>
    <w:rsid w:val="003719B9"/>
    <w:rsid w:val="00372300"/>
    <w:rsid w:val="00375D10"/>
    <w:rsid w:val="003776CD"/>
    <w:rsid w:val="00382A4D"/>
    <w:rsid w:val="003839DE"/>
    <w:rsid w:val="003854F7"/>
    <w:rsid w:val="00386777"/>
    <w:rsid w:val="00386A48"/>
    <w:rsid w:val="00387A2F"/>
    <w:rsid w:val="00390A9C"/>
    <w:rsid w:val="00392640"/>
    <w:rsid w:val="00392E77"/>
    <w:rsid w:val="003939C6"/>
    <w:rsid w:val="003942AC"/>
    <w:rsid w:val="00395069"/>
    <w:rsid w:val="0039753A"/>
    <w:rsid w:val="003A030C"/>
    <w:rsid w:val="003A3A67"/>
    <w:rsid w:val="003A4A65"/>
    <w:rsid w:val="003A57A4"/>
    <w:rsid w:val="003A76BE"/>
    <w:rsid w:val="003B3166"/>
    <w:rsid w:val="003B75C3"/>
    <w:rsid w:val="003C0161"/>
    <w:rsid w:val="003C1ACF"/>
    <w:rsid w:val="003C491E"/>
    <w:rsid w:val="003C6243"/>
    <w:rsid w:val="003C68DD"/>
    <w:rsid w:val="003C7CC4"/>
    <w:rsid w:val="003D1B6A"/>
    <w:rsid w:val="003D1C46"/>
    <w:rsid w:val="003D2E84"/>
    <w:rsid w:val="003D3513"/>
    <w:rsid w:val="003D4C52"/>
    <w:rsid w:val="003D4EFA"/>
    <w:rsid w:val="003D56EB"/>
    <w:rsid w:val="003D59AF"/>
    <w:rsid w:val="003E5AB0"/>
    <w:rsid w:val="003E72B2"/>
    <w:rsid w:val="003F033D"/>
    <w:rsid w:val="003F0DFB"/>
    <w:rsid w:val="003F0E19"/>
    <w:rsid w:val="003F1524"/>
    <w:rsid w:val="003F32DA"/>
    <w:rsid w:val="00400784"/>
    <w:rsid w:val="00403F41"/>
    <w:rsid w:val="00406777"/>
    <w:rsid w:val="004071CA"/>
    <w:rsid w:val="00410902"/>
    <w:rsid w:val="00413C15"/>
    <w:rsid w:val="004171BE"/>
    <w:rsid w:val="004177C1"/>
    <w:rsid w:val="00420D19"/>
    <w:rsid w:val="00422792"/>
    <w:rsid w:val="00425693"/>
    <w:rsid w:val="004265FA"/>
    <w:rsid w:val="0042764C"/>
    <w:rsid w:val="00434E82"/>
    <w:rsid w:val="00436104"/>
    <w:rsid w:val="00436B1F"/>
    <w:rsid w:val="00440807"/>
    <w:rsid w:val="00440A33"/>
    <w:rsid w:val="004443ED"/>
    <w:rsid w:val="004451A8"/>
    <w:rsid w:val="004454F2"/>
    <w:rsid w:val="004455C7"/>
    <w:rsid w:val="00446437"/>
    <w:rsid w:val="00450837"/>
    <w:rsid w:val="00452B38"/>
    <w:rsid w:val="004534FE"/>
    <w:rsid w:val="0045528D"/>
    <w:rsid w:val="00455AFA"/>
    <w:rsid w:val="00463053"/>
    <w:rsid w:val="00464649"/>
    <w:rsid w:val="00474DDC"/>
    <w:rsid w:val="00476E37"/>
    <w:rsid w:val="0048005A"/>
    <w:rsid w:val="00480AC1"/>
    <w:rsid w:val="00481120"/>
    <w:rsid w:val="00482346"/>
    <w:rsid w:val="00482DE4"/>
    <w:rsid w:val="00482F71"/>
    <w:rsid w:val="0048794F"/>
    <w:rsid w:val="0049445D"/>
    <w:rsid w:val="00494B34"/>
    <w:rsid w:val="00495D59"/>
    <w:rsid w:val="004A2C7A"/>
    <w:rsid w:val="004A2D0E"/>
    <w:rsid w:val="004A35E0"/>
    <w:rsid w:val="004A3E1C"/>
    <w:rsid w:val="004A7233"/>
    <w:rsid w:val="004A7549"/>
    <w:rsid w:val="004B0AAA"/>
    <w:rsid w:val="004B0D3B"/>
    <w:rsid w:val="004B3343"/>
    <w:rsid w:val="004B6EEF"/>
    <w:rsid w:val="004C4843"/>
    <w:rsid w:val="004C53FA"/>
    <w:rsid w:val="004C6E5E"/>
    <w:rsid w:val="004C72D4"/>
    <w:rsid w:val="004C7A0B"/>
    <w:rsid w:val="004D15E7"/>
    <w:rsid w:val="004D3364"/>
    <w:rsid w:val="004D4D15"/>
    <w:rsid w:val="004D4E37"/>
    <w:rsid w:val="004D502D"/>
    <w:rsid w:val="004D59FA"/>
    <w:rsid w:val="004E08CC"/>
    <w:rsid w:val="004E2083"/>
    <w:rsid w:val="004E2EFB"/>
    <w:rsid w:val="004E42E6"/>
    <w:rsid w:val="004E6A9B"/>
    <w:rsid w:val="004E7ECF"/>
    <w:rsid w:val="004F0B7B"/>
    <w:rsid w:val="004F29D3"/>
    <w:rsid w:val="004F31AC"/>
    <w:rsid w:val="004F470E"/>
    <w:rsid w:val="004F51AA"/>
    <w:rsid w:val="004F60C0"/>
    <w:rsid w:val="004F6DCA"/>
    <w:rsid w:val="004F7417"/>
    <w:rsid w:val="004F78EC"/>
    <w:rsid w:val="005000E0"/>
    <w:rsid w:val="00501878"/>
    <w:rsid w:val="00502A1C"/>
    <w:rsid w:val="00502BE1"/>
    <w:rsid w:val="005041A2"/>
    <w:rsid w:val="00505311"/>
    <w:rsid w:val="0050637A"/>
    <w:rsid w:val="005070F0"/>
    <w:rsid w:val="00507B5E"/>
    <w:rsid w:val="0051126E"/>
    <w:rsid w:val="00512534"/>
    <w:rsid w:val="00513DB6"/>
    <w:rsid w:val="00514F51"/>
    <w:rsid w:val="00516CDD"/>
    <w:rsid w:val="00516D23"/>
    <w:rsid w:val="0051758E"/>
    <w:rsid w:val="005235D8"/>
    <w:rsid w:val="005244FB"/>
    <w:rsid w:val="00525DF8"/>
    <w:rsid w:val="0052622E"/>
    <w:rsid w:val="00532CBE"/>
    <w:rsid w:val="00532F88"/>
    <w:rsid w:val="005366CE"/>
    <w:rsid w:val="00536E8C"/>
    <w:rsid w:val="00537273"/>
    <w:rsid w:val="0054049F"/>
    <w:rsid w:val="005443B0"/>
    <w:rsid w:val="0054466D"/>
    <w:rsid w:val="005457EC"/>
    <w:rsid w:val="00547B9B"/>
    <w:rsid w:val="005520A5"/>
    <w:rsid w:val="00552C36"/>
    <w:rsid w:val="00553AD2"/>
    <w:rsid w:val="00555A35"/>
    <w:rsid w:val="00560671"/>
    <w:rsid w:val="00560D28"/>
    <w:rsid w:val="0056228F"/>
    <w:rsid w:val="005625FA"/>
    <w:rsid w:val="00564667"/>
    <w:rsid w:val="0056716D"/>
    <w:rsid w:val="00567DCF"/>
    <w:rsid w:val="0057012A"/>
    <w:rsid w:val="005707B9"/>
    <w:rsid w:val="00573977"/>
    <w:rsid w:val="00576B32"/>
    <w:rsid w:val="005771B0"/>
    <w:rsid w:val="005776A1"/>
    <w:rsid w:val="00581FCD"/>
    <w:rsid w:val="0058313E"/>
    <w:rsid w:val="005860EF"/>
    <w:rsid w:val="0058613A"/>
    <w:rsid w:val="00586D10"/>
    <w:rsid w:val="00590612"/>
    <w:rsid w:val="005923B2"/>
    <w:rsid w:val="00595862"/>
    <w:rsid w:val="005A5302"/>
    <w:rsid w:val="005A68F4"/>
    <w:rsid w:val="005A71E6"/>
    <w:rsid w:val="005B76A4"/>
    <w:rsid w:val="005C138A"/>
    <w:rsid w:val="005C7426"/>
    <w:rsid w:val="005C7E96"/>
    <w:rsid w:val="005D01B1"/>
    <w:rsid w:val="005D0359"/>
    <w:rsid w:val="005D29D7"/>
    <w:rsid w:val="005D39A9"/>
    <w:rsid w:val="005D5143"/>
    <w:rsid w:val="005D6DFE"/>
    <w:rsid w:val="005D7464"/>
    <w:rsid w:val="005D74F2"/>
    <w:rsid w:val="005E0DD9"/>
    <w:rsid w:val="005E2CAC"/>
    <w:rsid w:val="005E41B8"/>
    <w:rsid w:val="005E473D"/>
    <w:rsid w:val="005E4A5E"/>
    <w:rsid w:val="005E52CA"/>
    <w:rsid w:val="005E6F20"/>
    <w:rsid w:val="005F2A9E"/>
    <w:rsid w:val="005F2E54"/>
    <w:rsid w:val="005F5F5D"/>
    <w:rsid w:val="00601137"/>
    <w:rsid w:val="0060154B"/>
    <w:rsid w:val="0060358D"/>
    <w:rsid w:val="00603EB9"/>
    <w:rsid w:val="00603ED4"/>
    <w:rsid w:val="00604628"/>
    <w:rsid w:val="006047A7"/>
    <w:rsid w:val="006061E4"/>
    <w:rsid w:val="0061084B"/>
    <w:rsid w:val="00610AEF"/>
    <w:rsid w:val="00610C05"/>
    <w:rsid w:val="006124FE"/>
    <w:rsid w:val="00613A06"/>
    <w:rsid w:val="00614266"/>
    <w:rsid w:val="0061434B"/>
    <w:rsid w:val="00615C6D"/>
    <w:rsid w:val="00617289"/>
    <w:rsid w:val="00617344"/>
    <w:rsid w:val="00617FF4"/>
    <w:rsid w:val="00620225"/>
    <w:rsid w:val="00624A76"/>
    <w:rsid w:val="00627B0C"/>
    <w:rsid w:val="00627E07"/>
    <w:rsid w:val="006315AA"/>
    <w:rsid w:val="00632BEC"/>
    <w:rsid w:val="00635581"/>
    <w:rsid w:val="00635D82"/>
    <w:rsid w:val="006365F2"/>
    <w:rsid w:val="006375E6"/>
    <w:rsid w:val="00641D9D"/>
    <w:rsid w:val="00647D29"/>
    <w:rsid w:val="00650E65"/>
    <w:rsid w:val="00653D8B"/>
    <w:rsid w:val="00655B43"/>
    <w:rsid w:val="00656396"/>
    <w:rsid w:val="0065643E"/>
    <w:rsid w:val="006576A4"/>
    <w:rsid w:val="00657A24"/>
    <w:rsid w:val="0066058F"/>
    <w:rsid w:val="00660ED6"/>
    <w:rsid w:val="00662A57"/>
    <w:rsid w:val="00662FE0"/>
    <w:rsid w:val="00664F11"/>
    <w:rsid w:val="00665457"/>
    <w:rsid w:val="00670C78"/>
    <w:rsid w:val="00671E11"/>
    <w:rsid w:val="00677ABF"/>
    <w:rsid w:val="00684952"/>
    <w:rsid w:val="00684C9F"/>
    <w:rsid w:val="00686C82"/>
    <w:rsid w:val="00687862"/>
    <w:rsid w:val="00693999"/>
    <w:rsid w:val="00696410"/>
    <w:rsid w:val="00696C08"/>
    <w:rsid w:val="006A0731"/>
    <w:rsid w:val="006A07CC"/>
    <w:rsid w:val="006A165C"/>
    <w:rsid w:val="006A31E7"/>
    <w:rsid w:val="006A3DB2"/>
    <w:rsid w:val="006A6F74"/>
    <w:rsid w:val="006A799F"/>
    <w:rsid w:val="006A7DC7"/>
    <w:rsid w:val="006B3A46"/>
    <w:rsid w:val="006B441F"/>
    <w:rsid w:val="006B5243"/>
    <w:rsid w:val="006B5F9A"/>
    <w:rsid w:val="006B7335"/>
    <w:rsid w:val="006C0D08"/>
    <w:rsid w:val="006C149A"/>
    <w:rsid w:val="006C24E2"/>
    <w:rsid w:val="006C3F79"/>
    <w:rsid w:val="006C4840"/>
    <w:rsid w:val="006C4D26"/>
    <w:rsid w:val="006C6972"/>
    <w:rsid w:val="006C6E71"/>
    <w:rsid w:val="006D0C58"/>
    <w:rsid w:val="006D2A28"/>
    <w:rsid w:val="006D6220"/>
    <w:rsid w:val="006E0F79"/>
    <w:rsid w:val="006E11E4"/>
    <w:rsid w:val="006E242F"/>
    <w:rsid w:val="006E2BEC"/>
    <w:rsid w:val="006E3F60"/>
    <w:rsid w:val="006E4259"/>
    <w:rsid w:val="006E6139"/>
    <w:rsid w:val="006E6189"/>
    <w:rsid w:val="00700FC3"/>
    <w:rsid w:val="0070110C"/>
    <w:rsid w:val="00701528"/>
    <w:rsid w:val="00706399"/>
    <w:rsid w:val="00706D83"/>
    <w:rsid w:val="007138F0"/>
    <w:rsid w:val="00713F79"/>
    <w:rsid w:val="007160C1"/>
    <w:rsid w:val="007169CC"/>
    <w:rsid w:val="00717C55"/>
    <w:rsid w:val="0072001D"/>
    <w:rsid w:val="00724DE0"/>
    <w:rsid w:val="0072554E"/>
    <w:rsid w:val="007310C2"/>
    <w:rsid w:val="00732F05"/>
    <w:rsid w:val="00734E2B"/>
    <w:rsid w:val="00735977"/>
    <w:rsid w:val="007359FF"/>
    <w:rsid w:val="00737690"/>
    <w:rsid w:val="007418F2"/>
    <w:rsid w:val="00745DC4"/>
    <w:rsid w:val="007465E9"/>
    <w:rsid w:val="007501F6"/>
    <w:rsid w:val="007519A0"/>
    <w:rsid w:val="0075406B"/>
    <w:rsid w:val="00756813"/>
    <w:rsid w:val="0076151F"/>
    <w:rsid w:val="00762183"/>
    <w:rsid w:val="0076229B"/>
    <w:rsid w:val="00763220"/>
    <w:rsid w:val="007669C3"/>
    <w:rsid w:val="00766D06"/>
    <w:rsid w:val="0076762F"/>
    <w:rsid w:val="00767932"/>
    <w:rsid w:val="00770944"/>
    <w:rsid w:val="00770A20"/>
    <w:rsid w:val="007718CC"/>
    <w:rsid w:val="00775246"/>
    <w:rsid w:val="0077557D"/>
    <w:rsid w:val="00775B9E"/>
    <w:rsid w:val="00775BBA"/>
    <w:rsid w:val="007767D9"/>
    <w:rsid w:val="00777551"/>
    <w:rsid w:val="0078041B"/>
    <w:rsid w:val="007805F4"/>
    <w:rsid w:val="0078116F"/>
    <w:rsid w:val="007867C2"/>
    <w:rsid w:val="00790D0E"/>
    <w:rsid w:val="00794A94"/>
    <w:rsid w:val="007958AA"/>
    <w:rsid w:val="007977D2"/>
    <w:rsid w:val="00797E32"/>
    <w:rsid w:val="007A119D"/>
    <w:rsid w:val="007A1EA0"/>
    <w:rsid w:val="007A3525"/>
    <w:rsid w:val="007A75DD"/>
    <w:rsid w:val="007B36C5"/>
    <w:rsid w:val="007C1377"/>
    <w:rsid w:val="007D1675"/>
    <w:rsid w:val="007D1C88"/>
    <w:rsid w:val="007D3A52"/>
    <w:rsid w:val="007D45E3"/>
    <w:rsid w:val="007D4905"/>
    <w:rsid w:val="007D4A28"/>
    <w:rsid w:val="007D60E1"/>
    <w:rsid w:val="007E1AAA"/>
    <w:rsid w:val="007E239B"/>
    <w:rsid w:val="007E2C6B"/>
    <w:rsid w:val="007E5488"/>
    <w:rsid w:val="007E5636"/>
    <w:rsid w:val="007F2A33"/>
    <w:rsid w:val="007F3BB2"/>
    <w:rsid w:val="007F4A28"/>
    <w:rsid w:val="008023F3"/>
    <w:rsid w:val="00805C2B"/>
    <w:rsid w:val="00805CD1"/>
    <w:rsid w:val="008077C5"/>
    <w:rsid w:val="00814444"/>
    <w:rsid w:val="0081566B"/>
    <w:rsid w:val="008172BF"/>
    <w:rsid w:val="00825BE7"/>
    <w:rsid w:val="008270EC"/>
    <w:rsid w:val="00831A85"/>
    <w:rsid w:val="0083411A"/>
    <w:rsid w:val="008358C2"/>
    <w:rsid w:val="00836EE9"/>
    <w:rsid w:val="008376E2"/>
    <w:rsid w:val="00841F91"/>
    <w:rsid w:val="00842F62"/>
    <w:rsid w:val="0084384A"/>
    <w:rsid w:val="00843E63"/>
    <w:rsid w:val="008461AB"/>
    <w:rsid w:val="00846535"/>
    <w:rsid w:val="008465DA"/>
    <w:rsid w:val="00850B56"/>
    <w:rsid w:val="00853943"/>
    <w:rsid w:val="008547A9"/>
    <w:rsid w:val="00855AFC"/>
    <w:rsid w:val="008573FF"/>
    <w:rsid w:val="00860263"/>
    <w:rsid w:val="00865FD0"/>
    <w:rsid w:val="00872A5D"/>
    <w:rsid w:val="00873AB2"/>
    <w:rsid w:val="00874615"/>
    <w:rsid w:val="008766F0"/>
    <w:rsid w:val="008820F7"/>
    <w:rsid w:val="0088439D"/>
    <w:rsid w:val="008857ED"/>
    <w:rsid w:val="00885BBC"/>
    <w:rsid w:val="0088664A"/>
    <w:rsid w:val="008873DA"/>
    <w:rsid w:val="00887FBD"/>
    <w:rsid w:val="00890F61"/>
    <w:rsid w:val="0089468F"/>
    <w:rsid w:val="00895CC4"/>
    <w:rsid w:val="00896C4E"/>
    <w:rsid w:val="008A028B"/>
    <w:rsid w:val="008A2FFD"/>
    <w:rsid w:val="008A3B98"/>
    <w:rsid w:val="008A4AEC"/>
    <w:rsid w:val="008A7313"/>
    <w:rsid w:val="008A732A"/>
    <w:rsid w:val="008B06E2"/>
    <w:rsid w:val="008B0DE3"/>
    <w:rsid w:val="008B4305"/>
    <w:rsid w:val="008B7BDF"/>
    <w:rsid w:val="008C1C28"/>
    <w:rsid w:val="008C2A0E"/>
    <w:rsid w:val="008C41C0"/>
    <w:rsid w:val="008C539B"/>
    <w:rsid w:val="008D1B1C"/>
    <w:rsid w:val="008D2E92"/>
    <w:rsid w:val="008D411E"/>
    <w:rsid w:val="008D43FC"/>
    <w:rsid w:val="008E019D"/>
    <w:rsid w:val="008E0902"/>
    <w:rsid w:val="008E0D43"/>
    <w:rsid w:val="008E401A"/>
    <w:rsid w:val="008E7FE0"/>
    <w:rsid w:val="008F1DC2"/>
    <w:rsid w:val="008F1F61"/>
    <w:rsid w:val="008F5FF4"/>
    <w:rsid w:val="008F69FF"/>
    <w:rsid w:val="008F742C"/>
    <w:rsid w:val="009034E8"/>
    <w:rsid w:val="00903D18"/>
    <w:rsid w:val="009051C3"/>
    <w:rsid w:val="0090605D"/>
    <w:rsid w:val="0090620A"/>
    <w:rsid w:val="00910BB5"/>
    <w:rsid w:val="00911A50"/>
    <w:rsid w:val="00911A5E"/>
    <w:rsid w:val="009132AF"/>
    <w:rsid w:val="00914740"/>
    <w:rsid w:val="00915D91"/>
    <w:rsid w:val="00920C07"/>
    <w:rsid w:val="0092366C"/>
    <w:rsid w:val="009240FF"/>
    <w:rsid w:val="00925B85"/>
    <w:rsid w:val="00927E7D"/>
    <w:rsid w:val="00931537"/>
    <w:rsid w:val="0093177D"/>
    <w:rsid w:val="009320AD"/>
    <w:rsid w:val="00932EE1"/>
    <w:rsid w:val="009335F6"/>
    <w:rsid w:val="00933BC2"/>
    <w:rsid w:val="009377E8"/>
    <w:rsid w:val="00945790"/>
    <w:rsid w:val="00946635"/>
    <w:rsid w:val="0095117A"/>
    <w:rsid w:val="00951AA0"/>
    <w:rsid w:val="00952789"/>
    <w:rsid w:val="00953312"/>
    <w:rsid w:val="00956C2D"/>
    <w:rsid w:val="00961532"/>
    <w:rsid w:val="00961B68"/>
    <w:rsid w:val="00964DBC"/>
    <w:rsid w:val="009700E5"/>
    <w:rsid w:val="009730C6"/>
    <w:rsid w:val="00975067"/>
    <w:rsid w:val="00977D0C"/>
    <w:rsid w:val="009808F4"/>
    <w:rsid w:val="0098423B"/>
    <w:rsid w:val="009850B5"/>
    <w:rsid w:val="00985563"/>
    <w:rsid w:val="009916AC"/>
    <w:rsid w:val="00995B83"/>
    <w:rsid w:val="009A4BDD"/>
    <w:rsid w:val="009A6A1E"/>
    <w:rsid w:val="009A761A"/>
    <w:rsid w:val="009B0592"/>
    <w:rsid w:val="009B30F0"/>
    <w:rsid w:val="009B4D44"/>
    <w:rsid w:val="009B4DF9"/>
    <w:rsid w:val="009B5714"/>
    <w:rsid w:val="009C0C2F"/>
    <w:rsid w:val="009C3386"/>
    <w:rsid w:val="009C4428"/>
    <w:rsid w:val="009C5D9C"/>
    <w:rsid w:val="009D0CE4"/>
    <w:rsid w:val="009D0FCD"/>
    <w:rsid w:val="009D1241"/>
    <w:rsid w:val="009D27C4"/>
    <w:rsid w:val="009D4C65"/>
    <w:rsid w:val="009D56D7"/>
    <w:rsid w:val="009D5A35"/>
    <w:rsid w:val="009D682D"/>
    <w:rsid w:val="009D7A94"/>
    <w:rsid w:val="009E08B6"/>
    <w:rsid w:val="009E40B0"/>
    <w:rsid w:val="009E6528"/>
    <w:rsid w:val="009E6827"/>
    <w:rsid w:val="009E6EF9"/>
    <w:rsid w:val="009E7804"/>
    <w:rsid w:val="009F0BCA"/>
    <w:rsid w:val="009F1F29"/>
    <w:rsid w:val="009F3387"/>
    <w:rsid w:val="009F35C2"/>
    <w:rsid w:val="009F42CF"/>
    <w:rsid w:val="009F4B97"/>
    <w:rsid w:val="009F529B"/>
    <w:rsid w:val="009F546B"/>
    <w:rsid w:val="009F5C11"/>
    <w:rsid w:val="00A01A0B"/>
    <w:rsid w:val="00A04F00"/>
    <w:rsid w:val="00A10723"/>
    <w:rsid w:val="00A11407"/>
    <w:rsid w:val="00A12650"/>
    <w:rsid w:val="00A12789"/>
    <w:rsid w:val="00A139CB"/>
    <w:rsid w:val="00A148F1"/>
    <w:rsid w:val="00A16EFD"/>
    <w:rsid w:val="00A172D3"/>
    <w:rsid w:val="00A20325"/>
    <w:rsid w:val="00A21206"/>
    <w:rsid w:val="00A214D1"/>
    <w:rsid w:val="00A26536"/>
    <w:rsid w:val="00A26BF1"/>
    <w:rsid w:val="00A272E0"/>
    <w:rsid w:val="00A27AB8"/>
    <w:rsid w:val="00A309E6"/>
    <w:rsid w:val="00A33BD6"/>
    <w:rsid w:val="00A36DD5"/>
    <w:rsid w:val="00A3751B"/>
    <w:rsid w:val="00A376A1"/>
    <w:rsid w:val="00A4206D"/>
    <w:rsid w:val="00A42769"/>
    <w:rsid w:val="00A430FB"/>
    <w:rsid w:val="00A435BC"/>
    <w:rsid w:val="00A439B9"/>
    <w:rsid w:val="00A439FB"/>
    <w:rsid w:val="00A43D2E"/>
    <w:rsid w:val="00A502A7"/>
    <w:rsid w:val="00A51DD0"/>
    <w:rsid w:val="00A51E6B"/>
    <w:rsid w:val="00A523DD"/>
    <w:rsid w:val="00A53033"/>
    <w:rsid w:val="00A531EF"/>
    <w:rsid w:val="00A546D9"/>
    <w:rsid w:val="00A560E9"/>
    <w:rsid w:val="00A56301"/>
    <w:rsid w:val="00A60939"/>
    <w:rsid w:val="00A63804"/>
    <w:rsid w:val="00A64750"/>
    <w:rsid w:val="00A6633A"/>
    <w:rsid w:val="00A663D8"/>
    <w:rsid w:val="00A6736F"/>
    <w:rsid w:val="00A67D3C"/>
    <w:rsid w:val="00A71130"/>
    <w:rsid w:val="00A7144E"/>
    <w:rsid w:val="00A72314"/>
    <w:rsid w:val="00A730F9"/>
    <w:rsid w:val="00A7405F"/>
    <w:rsid w:val="00A75CBC"/>
    <w:rsid w:val="00A765D7"/>
    <w:rsid w:val="00A76B05"/>
    <w:rsid w:val="00A76D10"/>
    <w:rsid w:val="00A7751B"/>
    <w:rsid w:val="00A84C27"/>
    <w:rsid w:val="00A87242"/>
    <w:rsid w:val="00A90264"/>
    <w:rsid w:val="00A92CB7"/>
    <w:rsid w:val="00A93631"/>
    <w:rsid w:val="00A93A0D"/>
    <w:rsid w:val="00AA099A"/>
    <w:rsid w:val="00AA0EBA"/>
    <w:rsid w:val="00AA32E3"/>
    <w:rsid w:val="00AA6CFB"/>
    <w:rsid w:val="00AA7C56"/>
    <w:rsid w:val="00AB4F67"/>
    <w:rsid w:val="00AB6BBF"/>
    <w:rsid w:val="00AB7A2C"/>
    <w:rsid w:val="00AC289D"/>
    <w:rsid w:val="00AC4929"/>
    <w:rsid w:val="00AC4A47"/>
    <w:rsid w:val="00AC4BB0"/>
    <w:rsid w:val="00AC5CF0"/>
    <w:rsid w:val="00AC7550"/>
    <w:rsid w:val="00AC77B7"/>
    <w:rsid w:val="00AD05C7"/>
    <w:rsid w:val="00AD05DB"/>
    <w:rsid w:val="00AD330D"/>
    <w:rsid w:val="00AD4465"/>
    <w:rsid w:val="00AD57A4"/>
    <w:rsid w:val="00AD5A09"/>
    <w:rsid w:val="00AE012E"/>
    <w:rsid w:val="00AE0AE0"/>
    <w:rsid w:val="00AE13CE"/>
    <w:rsid w:val="00AE4375"/>
    <w:rsid w:val="00AE6EFF"/>
    <w:rsid w:val="00AF1974"/>
    <w:rsid w:val="00AF203E"/>
    <w:rsid w:val="00AF2264"/>
    <w:rsid w:val="00AF28EC"/>
    <w:rsid w:val="00AF3D39"/>
    <w:rsid w:val="00AF4B26"/>
    <w:rsid w:val="00AF578F"/>
    <w:rsid w:val="00AF6B61"/>
    <w:rsid w:val="00AF7716"/>
    <w:rsid w:val="00B014F8"/>
    <w:rsid w:val="00B04710"/>
    <w:rsid w:val="00B0584A"/>
    <w:rsid w:val="00B06F72"/>
    <w:rsid w:val="00B07475"/>
    <w:rsid w:val="00B10724"/>
    <w:rsid w:val="00B12904"/>
    <w:rsid w:val="00B13763"/>
    <w:rsid w:val="00B13B97"/>
    <w:rsid w:val="00B13BB0"/>
    <w:rsid w:val="00B15AAD"/>
    <w:rsid w:val="00B172CC"/>
    <w:rsid w:val="00B20A18"/>
    <w:rsid w:val="00B2132E"/>
    <w:rsid w:val="00B215AE"/>
    <w:rsid w:val="00B21AFD"/>
    <w:rsid w:val="00B2203F"/>
    <w:rsid w:val="00B2258A"/>
    <w:rsid w:val="00B24D9E"/>
    <w:rsid w:val="00B2568C"/>
    <w:rsid w:val="00B25789"/>
    <w:rsid w:val="00B277BF"/>
    <w:rsid w:val="00B30FCE"/>
    <w:rsid w:val="00B329FD"/>
    <w:rsid w:val="00B344AB"/>
    <w:rsid w:val="00B35138"/>
    <w:rsid w:val="00B351E2"/>
    <w:rsid w:val="00B375B0"/>
    <w:rsid w:val="00B37D57"/>
    <w:rsid w:val="00B427F9"/>
    <w:rsid w:val="00B442E8"/>
    <w:rsid w:val="00B4529C"/>
    <w:rsid w:val="00B4538E"/>
    <w:rsid w:val="00B453D3"/>
    <w:rsid w:val="00B46383"/>
    <w:rsid w:val="00B50911"/>
    <w:rsid w:val="00B544FD"/>
    <w:rsid w:val="00B55861"/>
    <w:rsid w:val="00B56542"/>
    <w:rsid w:val="00B57AC1"/>
    <w:rsid w:val="00B66FEB"/>
    <w:rsid w:val="00B723BE"/>
    <w:rsid w:val="00B723CC"/>
    <w:rsid w:val="00B72926"/>
    <w:rsid w:val="00B7345C"/>
    <w:rsid w:val="00B74256"/>
    <w:rsid w:val="00B7477B"/>
    <w:rsid w:val="00B7591D"/>
    <w:rsid w:val="00B75E2F"/>
    <w:rsid w:val="00B82B85"/>
    <w:rsid w:val="00B83243"/>
    <w:rsid w:val="00B855D1"/>
    <w:rsid w:val="00B906E2"/>
    <w:rsid w:val="00B90F91"/>
    <w:rsid w:val="00B91A1C"/>
    <w:rsid w:val="00B91DB5"/>
    <w:rsid w:val="00B92283"/>
    <w:rsid w:val="00B92DDE"/>
    <w:rsid w:val="00B92F5D"/>
    <w:rsid w:val="00B93EB6"/>
    <w:rsid w:val="00B95190"/>
    <w:rsid w:val="00BA0793"/>
    <w:rsid w:val="00BA2177"/>
    <w:rsid w:val="00BA365A"/>
    <w:rsid w:val="00BB01B1"/>
    <w:rsid w:val="00BB085B"/>
    <w:rsid w:val="00BB3A2F"/>
    <w:rsid w:val="00BB510A"/>
    <w:rsid w:val="00BB62F1"/>
    <w:rsid w:val="00BC18AB"/>
    <w:rsid w:val="00BC24AF"/>
    <w:rsid w:val="00BC43F3"/>
    <w:rsid w:val="00BC5CAA"/>
    <w:rsid w:val="00BC66F5"/>
    <w:rsid w:val="00BC7E18"/>
    <w:rsid w:val="00BD094E"/>
    <w:rsid w:val="00BD20FA"/>
    <w:rsid w:val="00BD3A81"/>
    <w:rsid w:val="00BD3E69"/>
    <w:rsid w:val="00BD3F2F"/>
    <w:rsid w:val="00BD4BA5"/>
    <w:rsid w:val="00BD540C"/>
    <w:rsid w:val="00BD726D"/>
    <w:rsid w:val="00BE0AA6"/>
    <w:rsid w:val="00BE0B70"/>
    <w:rsid w:val="00BE1C02"/>
    <w:rsid w:val="00BE1C1C"/>
    <w:rsid w:val="00BE4C80"/>
    <w:rsid w:val="00BE4E95"/>
    <w:rsid w:val="00BE50B6"/>
    <w:rsid w:val="00BE6D30"/>
    <w:rsid w:val="00BE736D"/>
    <w:rsid w:val="00BF0397"/>
    <w:rsid w:val="00BF1CAF"/>
    <w:rsid w:val="00BF24D3"/>
    <w:rsid w:val="00BF2F0C"/>
    <w:rsid w:val="00BF2FDF"/>
    <w:rsid w:val="00BF3F3B"/>
    <w:rsid w:val="00BF44A8"/>
    <w:rsid w:val="00BF4DC3"/>
    <w:rsid w:val="00BF5BF3"/>
    <w:rsid w:val="00BF5E3F"/>
    <w:rsid w:val="00BF6B02"/>
    <w:rsid w:val="00C04E82"/>
    <w:rsid w:val="00C054EF"/>
    <w:rsid w:val="00C05EBC"/>
    <w:rsid w:val="00C05FA9"/>
    <w:rsid w:val="00C06F0C"/>
    <w:rsid w:val="00C10AD3"/>
    <w:rsid w:val="00C12BC1"/>
    <w:rsid w:val="00C135F2"/>
    <w:rsid w:val="00C13695"/>
    <w:rsid w:val="00C13E77"/>
    <w:rsid w:val="00C14A1A"/>
    <w:rsid w:val="00C17223"/>
    <w:rsid w:val="00C17B73"/>
    <w:rsid w:val="00C21886"/>
    <w:rsid w:val="00C22BE0"/>
    <w:rsid w:val="00C23433"/>
    <w:rsid w:val="00C25D96"/>
    <w:rsid w:val="00C3593C"/>
    <w:rsid w:val="00C405DC"/>
    <w:rsid w:val="00C40FC9"/>
    <w:rsid w:val="00C43908"/>
    <w:rsid w:val="00C444C0"/>
    <w:rsid w:val="00C44D91"/>
    <w:rsid w:val="00C503BD"/>
    <w:rsid w:val="00C50A5B"/>
    <w:rsid w:val="00C52266"/>
    <w:rsid w:val="00C52B19"/>
    <w:rsid w:val="00C53895"/>
    <w:rsid w:val="00C53C98"/>
    <w:rsid w:val="00C5461C"/>
    <w:rsid w:val="00C54729"/>
    <w:rsid w:val="00C54C22"/>
    <w:rsid w:val="00C54DA8"/>
    <w:rsid w:val="00C54F67"/>
    <w:rsid w:val="00C56D6E"/>
    <w:rsid w:val="00C6250E"/>
    <w:rsid w:val="00C64C61"/>
    <w:rsid w:val="00C658B0"/>
    <w:rsid w:val="00C65D06"/>
    <w:rsid w:val="00C66392"/>
    <w:rsid w:val="00C66750"/>
    <w:rsid w:val="00C7008C"/>
    <w:rsid w:val="00C70B48"/>
    <w:rsid w:val="00C70BF4"/>
    <w:rsid w:val="00C71584"/>
    <w:rsid w:val="00C75495"/>
    <w:rsid w:val="00C75FDB"/>
    <w:rsid w:val="00C7614A"/>
    <w:rsid w:val="00C77033"/>
    <w:rsid w:val="00C82023"/>
    <w:rsid w:val="00C8445E"/>
    <w:rsid w:val="00C84CD9"/>
    <w:rsid w:val="00C863F1"/>
    <w:rsid w:val="00CA08F7"/>
    <w:rsid w:val="00CA5C55"/>
    <w:rsid w:val="00CB1529"/>
    <w:rsid w:val="00CB20C2"/>
    <w:rsid w:val="00CB2FE7"/>
    <w:rsid w:val="00CB3720"/>
    <w:rsid w:val="00CB3816"/>
    <w:rsid w:val="00CB6C2E"/>
    <w:rsid w:val="00CC0037"/>
    <w:rsid w:val="00CC0F5B"/>
    <w:rsid w:val="00CC1377"/>
    <w:rsid w:val="00CC1E35"/>
    <w:rsid w:val="00CC323C"/>
    <w:rsid w:val="00CD0D0F"/>
    <w:rsid w:val="00CD1861"/>
    <w:rsid w:val="00CD22E3"/>
    <w:rsid w:val="00CD40CD"/>
    <w:rsid w:val="00CE4586"/>
    <w:rsid w:val="00CE46A3"/>
    <w:rsid w:val="00CE6429"/>
    <w:rsid w:val="00CE6B3D"/>
    <w:rsid w:val="00CF06F1"/>
    <w:rsid w:val="00CF17AB"/>
    <w:rsid w:val="00CF777E"/>
    <w:rsid w:val="00CF7AA1"/>
    <w:rsid w:val="00D0014E"/>
    <w:rsid w:val="00D010EC"/>
    <w:rsid w:val="00D040FD"/>
    <w:rsid w:val="00D04B01"/>
    <w:rsid w:val="00D052EE"/>
    <w:rsid w:val="00D11B48"/>
    <w:rsid w:val="00D136F7"/>
    <w:rsid w:val="00D15397"/>
    <w:rsid w:val="00D1631E"/>
    <w:rsid w:val="00D20C3C"/>
    <w:rsid w:val="00D2194A"/>
    <w:rsid w:val="00D249FF"/>
    <w:rsid w:val="00D27526"/>
    <w:rsid w:val="00D30051"/>
    <w:rsid w:val="00D303D4"/>
    <w:rsid w:val="00D31605"/>
    <w:rsid w:val="00D33634"/>
    <w:rsid w:val="00D33FA8"/>
    <w:rsid w:val="00D34E7D"/>
    <w:rsid w:val="00D36633"/>
    <w:rsid w:val="00D37679"/>
    <w:rsid w:val="00D41386"/>
    <w:rsid w:val="00D419F5"/>
    <w:rsid w:val="00D44502"/>
    <w:rsid w:val="00D453C7"/>
    <w:rsid w:val="00D538BD"/>
    <w:rsid w:val="00D54510"/>
    <w:rsid w:val="00D578F1"/>
    <w:rsid w:val="00D60D48"/>
    <w:rsid w:val="00D60F5A"/>
    <w:rsid w:val="00D62B12"/>
    <w:rsid w:val="00D63E1E"/>
    <w:rsid w:val="00D647A4"/>
    <w:rsid w:val="00D70BB6"/>
    <w:rsid w:val="00D727F4"/>
    <w:rsid w:val="00D72B41"/>
    <w:rsid w:val="00D72D8F"/>
    <w:rsid w:val="00D7680C"/>
    <w:rsid w:val="00D807F5"/>
    <w:rsid w:val="00D83934"/>
    <w:rsid w:val="00D85557"/>
    <w:rsid w:val="00D857E3"/>
    <w:rsid w:val="00D8790D"/>
    <w:rsid w:val="00D9290E"/>
    <w:rsid w:val="00DA0523"/>
    <w:rsid w:val="00DA197C"/>
    <w:rsid w:val="00DA7A5B"/>
    <w:rsid w:val="00DB21D1"/>
    <w:rsid w:val="00DB23A5"/>
    <w:rsid w:val="00DB74B3"/>
    <w:rsid w:val="00DC07C0"/>
    <w:rsid w:val="00DC087F"/>
    <w:rsid w:val="00DC0CAA"/>
    <w:rsid w:val="00DC3552"/>
    <w:rsid w:val="00DC45B5"/>
    <w:rsid w:val="00DD02C9"/>
    <w:rsid w:val="00DD44A8"/>
    <w:rsid w:val="00DD48B1"/>
    <w:rsid w:val="00DD4C2C"/>
    <w:rsid w:val="00DD6BF6"/>
    <w:rsid w:val="00DE0077"/>
    <w:rsid w:val="00DE3816"/>
    <w:rsid w:val="00DF01E8"/>
    <w:rsid w:val="00DF125B"/>
    <w:rsid w:val="00DF3F49"/>
    <w:rsid w:val="00DF4715"/>
    <w:rsid w:val="00DF48EB"/>
    <w:rsid w:val="00E0399E"/>
    <w:rsid w:val="00E05767"/>
    <w:rsid w:val="00E058B9"/>
    <w:rsid w:val="00E05C49"/>
    <w:rsid w:val="00E06314"/>
    <w:rsid w:val="00E064C5"/>
    <w:rsid w:val="00E074C2"/>
    <w:rsid w:val="00E11EA9"/>
    <w:rsid w:val="00E12795"/>
    <w:rsid w:val="00E14543"/>
    <w:rsid w:val="00E16EFE"/>
    <w:rsid w:val="00E2016D"/>
    <w:rsid w:val="00E21015"/>
    <w:rsid w:val="00E22CAD"/>
    <w:rsid w:val="00E232C7"/>
    <w:rsid w:val="00E2383F"/>
    <w:rsid w:val="00E24C5B"/>
    <w:rsid w:val="00E25E44"/>
    <w:rsid w:val="00E266EF"/>
    <w:rsid w:val="00E3080C"/>
    <w:rsid w:val="00E30877"/>
    <w:rsid w:val="00E30D73"/>
    <w:rsid w:val="00E30F08"/>
    <w:rsid w:val="00E31583"/>
    <w:rsid w:val="00E32FF3"/>
    <w:rsid w:val="00E37313"/>
    <w:rsid w:val="00E3763D"/>
    <w:rsid w:val="00E407E1"/>
    <w:rsid w:val="00E408B1"/>
    <w:rsid w:val="00E40BBB"/>
    <w:rsid w:val="00E4529D"/>
    <w:rsid w:val="00E45699"/>
    <w:rsid w:val="00E4609B"/>
    <w:rsid w:val="00E47BB2"/>
    <w:rsid w:val="00E51955"/>
    <w:rsid w:val="00E51B54"/>
    <w:rsid w:val="00E5213D"/>
    <w:rsid w:val="00E52B2C"/>
    <w:rsid w:val="00E5405D"/>
    <w:rsid w:val="00E5496F"/>
    <w:rsid w:val="00E5499A"/>
    <w:rsid w:val="00E559B1"/>
    <w:rsid w:val="00E56CB3"/>
    <w:rsid w:val="00E57C24"/>
    <w:rsid w:val="00E62557"/>
    <w:rsid w:val="00E643F5"/>
    <w:rsid w:val="00E6510A"/>
    <w:rsid w:val="00E6549B"/>
    <w:rsid w:val="00E663C7"/>
    <w:rsid w:val="00E666AE"/>
    <w:rsid w:val="00E71ECD"/>
    <w:rsid w:val="00E7270B"/>
    <w:rsid w:val="00E72969"/>
    <w:rsid w:val="00E734AF"/>
    <w:rsid w:val="00E74EB7"/>
    <w:rsid w:val="00E77211"/>
    <w:rsid w:val="00E77251"/>
    <w:rsid w:val="00E77288"/>
    <w:rsid w:val="00E849AE"/>
    <w:rsid w:val="00E84B7F"/>
    <w:rsid w:val="00E85F22"/>
    <w:rsid w:val="00E9099E"/>
    <w:rsid w:val="00E92C77"/>
    <w:rsid w:val="00E95ED1"/>
    <w:rsid w:val="00E96028"/>
    <w:rsid w:val="00EA0A10"/>
    <w:rsid w:val="00EA1619"/>
    <w:rsid w:val="00EA3011"/>
    <w:rsid w:val="00EA353D"/>
    <w:rsid w:val="00EA3A32"/>
    <w:rsid w:val="00EA5790"/>
    <w:rsid w:val="00EA7523"/>
    <w:rsid w:val="00EB4EA2"/>
    <w:rsid w:val="00EB5BFD"/>
    <w:rsid w:val="00EB7304"/>
    <w:rsid w:val="00EC07E0"/>
    <w:rsid w:val="00EC2B60"/>
    <w:rsid w:val="00EC3C59"/>
    <w:rsid w:val="00EC4565"/>
    <w:rsid w:val="00EC7C2B"/>
    <w:rsid w:val="00ED1C87"/>
    <w:rsid w:val="00ED1D84"/>
    <w:rsid w:val="00ED22A5"/>
    <w:rsid w:val="00ED2F18"/>
    <w:rsid w:val="00ED4643"/>
    <w:rsid w:val="00EE0390"/>
    <w:rsid w:val="00EE106A"/>
    <w:rsid w:val="00EE3A4A"/>
    <w:rsid w:val="00EE4760"/>
    <w:rsid w:val="00EE4C53"/>
    <w:rsid w:val="00EE4D49"/>
    <w:rsid w:val="00EF15CB"/>
    <w:rsid w:val="00EF2219"/>
    <w:rsid w:val="00EF5B99"/>
    <w:rsid w:val="00EF6677"/>
    <w:rsid w:val="00EF709C"/>
    <w:rsid w:val="00EF75C6"/>
    <w:rsid w:val="00EF7CCF"/>
    <w:rsid w:val="00F01CCE"/>
    <w:rsid w:val="00F03886"/>
    <w:rsid w:val="00F04B55"/>
    <w:rsid w:val="00F04BBD"/>
    <w:rsid w:val="00F05751"/>
    <w:rsid w:val="00F06C18"/>
    <w:rsid w:val="00F105B9"/>
    <w:rsid w:val="00F11E08"/>
    <w:rsid w:val="00F12ADD"/>
    <w:rsid w:val="00F14D64"/>
    <w:rsid w:val="00F15059"/>
    <w:rsid w:val="00F15AD5"/>
    <w:rsid w:val="00F15C3F"/>
    <w:rsid w:val="00F16B85"/>
    <w:rsid w:val="00F16D40"/>
    <w:rsid w:val="00F17E48"/>
    <w:rsid w:val="00F20E7C"/>
    <w:rsid w:val="00F218B7"/>
    <w:rsid w:val="00F23E9D"/>
    <w:rsid w:val="00F2483E"/>
    <w:rsid w:val="00F25E51"/>
    <w:rsid w:val="00F2682C"/>
    <w:rsid w:val="00F32564"/>
    <w:rsid w:val="00F32D2B"/>
    <w:rsid w:val="00F361CD"/>
    <w:rsid w:val="00F37917"/>
    <w:rsid w:val="00F37A5D"/>
    <w:rsid w:val="00F37AEF"/>
    <w:rsid w:val="00F37B05"/>
    <w:rsid w:val="00F402E7"/>
    <w:rsid w:val="00F408D3"/>
    <w:rsid w:val="00F42543"/>
    <w:rsid w:val="00F42C58"/>
    <w:rsid w:val="00F4338F"/>
    <w:rsid w:val="00F43D5A"/>
    <w:rsid w:val="00F477B2"/>
    <w:rsid w:val="00F4798C"/>
    <w:rsid w:val="00F47CA9"/>
    <w:rsid w:val="00F50128"/>
    <w:rsid w:val="00F5179F"/>
    <w:rsid w:val="00F56894"/>
    <w:rsid w:val="00F56D7E"/>
    <w:rsid w:val="00F572C7"/>
    <w:rsid w:val="00F57D10"/>
    <w:rsid w:val="00F606AF"/>
    <w:rsid w:val="00F62067"/>
    <w:rsid w:val="00F6453B"/>
    <w:rsid w:val="00F65060"/>
    <w:rsid w:val="00F6586E"/>
    <w:rsid w:val="00F7063F"/>
    <w:rsid w:val="00F70C47"/>
    <w:rsid w:val="00F723EC"/>
    <w:rsid w:val="00F75FE6"/>
    <w:rsid w:val="00F7690E"/>
    <w:rsid w:val="00F77540"/>
    <w:rsid w:val="00F77800"/>
    <w:rsid w:val="00F77A3C"/>
    <w:rsid w:val="00F8456D"/>
    <w:rsid w:val="00F86393"/>
    <w:rsid w:val="00F9189F"/>
    <w:rsid w:val="00F92D6C"/>
    <w:rsid w:val="00F93698"/>
    <w:rsid w:val="00F946AB"/>
    <w:rsid w:val="00FA00DB"/>
    <w:rsid w:val="00FA1260"/>
    <w:rsid w:val="00FA2413"/>
    <w:rsid w:val="00FB021E"/>
    <w:rsid w:val="00FB0D7A"/>
    <w:rsid w:val="00FB3D98"/>
    <w:rsid w:val="00FB5D3D"/>
    <w:rsid w:val="00FB7D22"/>
    <w:rsid w:val="00FC0E9E"/>
    <w:rsid w:val="00FC24B8"/>
    <w:rsid w:val="00FC4141"/>
    <w:rsid w:val="00FC57B0"/>
    <w:rsid w:val="00FC5F6F"/>
    <w:rsid w:val="00FC792A"/>
    <w:rsid w:val="00FC7BD3"/>
    <w:rsid w:val="00FD1A7B"/>
    <w:rsid w:val="00FD3F12"/>
    <w:rsid w:val="00FD565A"/>
    <w:rsid w:val="00FD6623"/>
    <w:rsid w:val="00FD79F5"/>
    <w:rsid w:val="00FE1404"/>
    <w:rsid w:val="00FE161C"/>
    <w:rsid w:val="00FE35CE"/>
    <w:rsid w:val="00FE495D"/>
    <w:rsid w:val="00FE4E97"/>
    <w:rsid w:val="00FE6BBB"/>
    <w:rsid w:val="00FF08B7"/>
    <w:rsid w:val="00FF1BCD"/>
    <w:rsid w:val="00FF2210"/>
    <w:rsid w:val="00FF335C"/>
    <w:rsid w:val="00FF6267"/>
    <w:rsid w:val="01255DFF"/>
    <w:rsid w:val="01496543"/>
    <w:rsid w:val="0181A4FF"/>
    <w:rsid w:val="018EAD61"/>
    <w:rsid w:val="023ACE26"/>
    <w:rsid w:val="026BEEC1"/>
    <w:rsid w:val="02819FD3"/>
    <w:rsid w:val="03322C50"/>
    <w:rsid w:val="040054A1"/>
    <w:rsid w:val="0456084A"/>
    <w:rsid w:val="047EC4F4"/>
    <w:rsid w:val="05235735"/>
    <w:rsid w:val="05243A72"/>
    <w:rsid w:val="0560BC63"/>
    <w:rsid w:val="056A4B1F"/>
    <w:rsid w:val="0589E006"/>
    <w:rsid w:val="0613A05C"/>
    <w:rsid w:val="0636F4C6"/>
    <w:rsid w:val="063A4D0E"/>
    <w:rsid w:val="06812FCE"/>
    <w:rsid w:val="06922282"/>
    <w:rsid w:val="06FCECEE"/>
    <w:rsid w:val="0711A011"/>
    <w:rsid w:val="0723A040"/>
    <w:rsid w:val="083B07BE"/>
    <w:rsid w:val="0865912E"/>
    <w:rsid w:val="087A79A5"/>
    <w:rsid w:val="08C44C84"/>
    <w:rsid w:val="091496F2"/>
    <w:rsid w:val="09B3CCED"/>
    <w:rsid w:val="0A18740C"/>
    <w:rsid w:val="0A9545F6"/>
    <w:rsid w:val="0B0D0684"/>
    <w:rsid w:val="0B7692B5"/>
    <w:rsid w:val="0B8708CD"/>
    <w:rsid w:val="0C0DB232"/>
    <w:rsid w:val="0C3CE5BC"/>
    <w:rsid w:val="0C92AAAE"/>
    <w:rsid w:val="0CF6F7AF"/>
    <w:rsid w:val="0D175AA1"/>
    <w:rsid w:val="0DA8159E"/>
    <w:rsid w:val="0E35EA91"/>
    <w:rsid w:val="1050330A"/>
    <w:rsid w:val="108E95CD"/>
    <w:rsid w:val="11429730"/>
    <w:rsid w:val="11575E52"/>
    <w:rsid w:val="11996E6B"/>
    <w:rsid w:val="11C222F8"/>
    <w:rsid w:val="11F4E83F"/>
    <w:rsid w:val="12AEFCDF"/>
    <w:rsid w:val="12B519E9"/>
    <w:rsid w:val="12E9F690"/>
    <w:rsid w:val="1311516D"/>
    <w:rsid w:val="135F1A13"/>
    <w:rsid w:val="13A08831"/>
    <w:rsid w:val="13C03B2D"/>
    <w:rsid w:val="1506258D"/>
    <w:rsid w:val="159EE1F2"/>
    <w:rsid w:val="166D82DA"/>
    <w:rsid w:val="179F29C8"/>
    <w:rsid w:val="18F6D326"/>
    <w:rsid w:val="194ABA5C"/>
    <w:rsid w:val="199B6435"/>
    <w:rsid w:val="19F780DD"/>
    <w:rsid w:val="1A16A217"/>
    <w:rsid w:val="1A4BD0C8"/>
    <w:rsid w:val="1A5C6893"/>
    <w:rsid w:val="1BC837C5"/>
    <w:rsid w:val="1C27EFA3"/>
    <w:rsid w:val="1CAB6D3E"/>
    <w:rsid w:val="1CB2E7F3"/>
    <w:rsid w:val="1D3202B2"/>
    <w:rsid w:val="1D92D964"/>
    <w:rsid w:val="1DCBA894"/>
    <w:rsid w:val="1E38DD9F"/>
    <w:rsid w:val="1E397DB0"/>
    <w:rsid w:val="1EC9EA53"/>
    <w:rsid w:val="1F1373AA"/>
    <w:rsid w:val="1F475FBB"/>
    <w:rsid w:val="1FD7A55F"/>
    <w:rsid w:val="201D01F1"/>
    <w:rsid w:val="20ADB957"/>
    <w:rsid w:val="20FD5ED1"/>
    <w:rsid w:val="21791827"/>
    <w:rsid w:val="21BF5BDD"/>
    <w:rsid w:val="2262D0F6"/>
    <w:rsid w:val="22D9BFA0"/>
    <w:rsid w:val="239BEAB6"/>
    <w:rsid w:val="23F6B9AF"/>
    <w:rsid w:val="245CECD1"/>
    <w:rsid w:val="250C61FE"/>
    <w:rsid w:val="2591CBA4"/>
    <w:rsid w:val="25CD227B"/>
    <w:rsid w:val="25D0767F"/>
    <w:rsid w:val="269B63A5"/>
    <w:rsid w:val="26D0632D"/>
    <w:rsid w:val="27734682"/>
    <w:rsid w:val="2780C7DF"/>
    <w:rsid w:val="27BAE921"/>
    <w:rsid w:val="27F7E53A"/>
    <w:rsid w:val="2841776A"/>
    <w:rsid w:val="28B536DB"/>
    <w:rsid w:val="28F5803A"/>
    <w:rsid w:val="2911063B"/>
    <w:rsid w:val="2A0FD2C8"/>
    <w:rsid w:val="2A7C6C49"/>
    <w:rsid w:val="2AFBBFF1"/>
    <w:rsid w:val="2B71B5F4"/>
    <w:rsid w:val="2CB8C4E4"/>
    <w:rsid w:val="2CD45659"/>
    <w:rsid w:val="2E2A12B7"/>
    <w:rsid w:val="2E97508D"/>
    <w:rsid w:val="2FCAD210"/>
    <w:rsid w:val="2FFDA362"/>
    <w:rsid w:val="306646FB"/>
    <w:rsid w:val="30DA41C7"/>
    <w:rsid w:val="315FF7CD"/>
    <w:rsid w:val="32B50093"/>
    <w:rsid w:val="32B6B514"/>
    <w:rsid w:val="346B42F6"/>
    <w:rsid w:val="356C5C8F"/>
    <w:rsid w:val="3589FE46"/>
    <w:rsid w:val="35A19564"/>
    <w:rsid w:val="36092D66"/>
    <w:rsid w:val="37443D8D"/>
    <w:rsid w:val="3762C86B"/>
    <w:rsid w:val="37DD74C6"/>
    <w:rsid w:val="394ED5F3"/>
    <w:rsid w:val="3954E95A"/>
    <w:rsid w:val="3A31CF57"/>
    <w:rsid w:val="3A3711FD"/>
    <w:rsid w:val="3B0654D8"/>
    <w:rsid w:val="3C38340F"/>
    <w:rsid w:val="3CA577EB"/>
    <w:rsid w:val="3CD3C044"/>
    <w:rsid w:val="3DDD4134"/>
    <w:rsid w:val="3E0C5E53"/>
    <w:rsid w:val="3E1FD396"/>
    <w:rsid w:val="3E51F893"/>
    <w:rsid w:val="3FA05849"/>
    <w:rsid w:val="3FB5DEDF"/>
    <w:rsid w:val="406F48E1"/>
    <w:rsid w:val="40C8922F"/>
    <w:rsid w:val="41FA942B"/>
    <w:rsid w:val="42271938"/>
    <w:rsid w:val="425723CB"/>
    <w:rsid w:val="426BFAB3"/>
    <w:rsid w:val="43BE1D4E"/>
    <w:rsid w:val="43C82DD2"/>
    <w:rsid w:val="43D29E84"/>
    <w:rsid w:val="441F0D71"/>
    <w:rsid w:val="447B2BBF"/>
    <w:rsid w:val="4489A992"/>
    <w:rsid w:val="454CDCA9"/>
    <w:rsid w:val="45957761"/>
    <w:rsid w:val="45D23730"/>
    <w:rsid w:val="4691D19D"/>
    <w:rsid w:val="46BB9204"/>
    <w:rsid w:val="46C41762"/>
    <w:rsid w:val="4716E688"/>
    <w:rsid w:val="47BEAF52"/>
    <w:rsid w:val="47F17861"/>
    <w:rsid w:val="480CA902"/>
    <w:rsid w:val="480ED160"/>
    <w:rsid w:val="49791825"/>
    <w:rsid w:val="4B561C27"/>
    <w:rsid w:val="4BE2B453"/>
    <w:rsid w:val="4C711A40"/>
    <w:rsid w:val="4CE03A4D"/>
    <w:rsid w:val="4CF0267D"/>
    <w:rsid w:val="4D0DA63E"/>
    <w:rsid w:val="4DA7E434"/>
    <w:rsid w:val="4F6180FE"/>
    <w:rsid w:val="4F7FE6F7"/>
    <w:rsid w:val="4FE2CB1D"/>
    <w:rsid w:val="50203D0E"/>
    <w:rsid w:val="50583C12"/>
    <w:rsid w:val="50BA9545"/>
    <w:rsid w:val="516F3317"/>
    <w:rsid w:val="51B16C04"/>
    <w:rsid w:val="529E620F"/>
    <w:rsid w:val="5372B7B2"/>
    <w:rsid w:val="5393DABC"/>
    <w:rsid w:val="545D004A"/>
    <w:rsid w:val="547BBE8D"/>
    <w:rsid w:val="54B93B15"/>
    <w:rsid w:val="54FE0086"/>
    <w:rsid w:val="558E77BB"/>
    <w:rsid w:val="55B34286"/>
    <w:rsid w:val="55E8B7DA"/>
    <w:rsid w:val="5620E0C7"/>
    <w:rsid w:val="56E589F7"/>
    <w:rsid w:val="56FCF3BD"/>
    <w:rsid w:val="570647CE"/>
    <w:rsid w:val="575B8C95"/>
    <w:rsid w:val="576082FA"/>
    <w:rsid w:val="57FBE19B"/>
    <w:rsid w:val="58F69317"/>
    <w:rsid w:val="599AD20F"/>
    <w:rsid w:val="59C7630B"/>
    <w:rsid w:val="5A481F95"/>
    <w:rsid w:val="5A889637"/>
    <w:rsid w:val="5AF6AB59"/>
    <w:rsid w:val="5B5AC3DF"/>
    <w:rsid w:val="5B9E111A"/>
    <w:rsid w:val="5C295E6B"/>
    <w:rsid w:val="5C7674CE"/>
    <w:rsid w:val="5CA83779"/>
    <w:rsid w:val="5CC553B2"/>
    <w:rsid w:val="5CCCD769"/>
    <w:rsid w:val="5D2EAC1C"/>
    <w:rsid w:val="5E54077A"/>
    <w:rsid w:val="601D0276"/>
    <w:rsid w:val="60E96D2D"/>
    <w:rsid w:val="610A8E0B"/>
    <w:rsid w:val="62A3C4F1"/>
    <w:rsid w:val="62AF82D2"/>
    <w:rsid w:val="632054F6"/>
    <w:rsid w:val="6442D1E2"/>
    <w:rsid w:val="647E5D9B"/>
    <w:rsid w:val="6500ED1A"/>
    <w:rsid w:val="6559D92D"/>
    <w:rsid w:val="65A3F6F3"/>
    <w:rsid w:val="65FB7224"/>
    <w:rsid w:val="66289A8A"/>
    <w:rsid w:val="66C10695"/>
    <w:rsid w:val="66E20F25"/>
    <w:rsid w:val="677FAE06"/>
    <w:rsid w:val="678A0DC5"/>
    <w:rsid w:val="67BE7033"/>
    <w:rsid w:val="67ECFEBE"/>
    <w:rsid w:val="681C612C"/>
    <w:rsid w:val="68468BBF"/>
    <w:rsid w:val="685CFAE8"/>
    <w:rsid w:val="687039E0"/>
    <w:rsid w:val="69EB2E48"/>
    <w:rsid w:val="6B72D765"/>
    <w:rsid w:val="6CA5DFCE"/>
    <w:rsid w:val="6CAABEDC"/>
    <w:rsid w:val="6CF0B138"/>
    <w:rsid w:val="6D8120EC"/>
    <w:rsid w:val="6E34BD06"/>
    <w:rsid w:val="6F6C2AE5"/>
    <w:rsid w:val="7018A5C7"/>
    <w:rsid w:val="70DAB431"/>
    <w:rsid w:val="71D3FB51"/>
    <w:rsid w:val="72A8D181"/>
    <w:rsid w:val="740260DE"/>
    <w:rsid w:val="74C35C7B"/>
    <w:rsid w:val="7592E08B"/>
    <w:rsid w:val="75DB5CC5"/>
    <w:rsid w:val="773B37E4"/>
    <w:rsid w:val="7852313E"/>
    <w:rsid w:val="7AA930F2"/>
    <w:rsid w:val="7B69E270"/>
    <w:rsid w:val="7BC831FB"/>
    <w:rsid w:val="7C71FA2F"/>
    <w:rsid w:val="7C84B1C0"/>
    <w:rsid w:val="7C8D3FD0"/>
    <w:rsid w:val="7CADD1E1"/>
    <w:rsid w:val="7CEF0934"/>
    <w:rsid w:val="7D007DA4"/>
    <w:rsid w:val="7D648F04"/>
    <w:rsid w:val="7E0E07D8"/>
    <w:rsid w:val="7F163BC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374D58"/>
  <w15:chartTrackingRefBased/>
  <w15:docId w15:val="{87BB4B5F-733A-4798-8BC6-5AB05247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9" w:qFormat="1"/>
    <w:lsdException w:name="heading 2" w:semiHidden="1" w:uiPriority="19" w:unhideWhenUsed="1" w:qFormat="1"/>
    <w:lsdException w:name="heading 3" w:semiHidden="1" w:uiPriority="19" w:unhideWhenUsed="1"/>
    <w:lsdException w:name="heading 4" w:semiHidden="1" w:uiPriority="19" w:unhideWhenUsed="1"/>
    <w:lsdException w:name="heading 5" w:semiHidden="1" w:uiPriority="9" w:unhideWhenUsed="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AB0"/>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19"/>
    <w:qFormat/>
    <w:rsid w:val="00995B83"/>
    <w:pPr>
      <w:keepNext/>
      <w:keepLines/>
      <w:numPr>
        <w:numId w:val="1"/>
      </w:numPr>
      <w:spacing w:before="240" w:after="240"/>
      <w:ind w:left="431" w:hanging="431"/>
      <w:jc w:val="left"/>
      <w:outlineLvl w:val="0"/>
    </w:pPr>
    <w:rPr>
      <w:rFonts w:ascii="Times New Roman Bold" w:eastAsiaTheme="majorEastAsia" w:hAnsi="Times New Roman Bold" w:cstheme="majorBidi"/>
      <w:b/>
      <w:kern w:val="0"/>
      <w:sz w:val="28"/>
      <w:szCs w:val="28"/>
      <w:lang w:val="en-GB"/>
      <w14:ligatures w14:val="none"/>
    </w:rPr>
  </w:style>
  <w:style w:type="paragraph" w:styleId="Heading2">
    <w:name w:val="heading 2"/>
    <w:basedOn w:val="Heading1"/>
    <w:next w:val="Normal"/>
    <w:link w:val="Heading2Char"/>
    <w:uiPriority w:val="19"/>
    <w:unhideWhenUsed/>
    <w:qFormat/>
    <w:rsid w:val="009051C3"/>
    <w:pPr>
      <w:numPr>
        <w:ilvl w:val="1"/>
      </w:numPr>
      <w:outlineLvl w:val="1"/>
    </w:pPr>
    <w:rPr>
      <w:sz w:val="24"/>
      <w:szCs w:val="22"/>
    </w:rPr>
  </w:style>
  <w:style w:type="paragraph" w:styleId="Heading3">
    <w:name w:val="heading 3"/>
    <w:next w:val="Normal"/>
    <w:link w:val="Heading3Char"/>
    <w:uiPriority w:val="19"/>
    <w:rsid w:val="00B56542"/>
    <w:pPr>
      <w:keepNext/>
      <w:keepLines/>
      <w:numPr>
        <w:ilvl w:val="2"/>
        <w:numId w:val="1"/>
      </w:numPr>
      <w:spacing w:before="360" w:after="200" w:line="276" w:lineRule="auto"/>
      <w:jc w:val="both"/>
      <w:outlineLvl w:val="2"/>
    </w:pPr>
    <w:rPr>
      <w:rFonts w:ascii="Times New Roman" w:eastAsiaTheme="majorEastAsia" w:hAnsi="Times New Roman" w:cstheme="majorBidi"/>
      <w:i/>
      <w:kern w:val="0"/>
      <w:sz w:val="24"/>
      <w:szCs w:val="24"/>
      <w:lang w:val="en-GB"/>
      <w14:ligatures w14:val="none"/>
    </w:rPr>
  </w:style>
  <w:style w:type="paragraph" w:styleId="Heading4">
    <w:name w:val="heading 4"/>
    <w:next w:val="Normal"/>
    <w:link w:val="Heading4Char"/>
    <w:uiPriority w:val="19"/>
    <w:unhideWhenUsed/>
    <w:rsid w:val="00B56542"/>
    <w:pPr>
      <w:keepNext/>
      <w:keepLines/>
      <w:numPr>
        <w:ilvl w:val="3"/>
        <w:numId w:val="1"/>
      </w:numPr>
      <w:spacing w:before="360" w:after="200" w:line="276" w:lineRule="auto"/>
      <w:jc w:val="both"/>
      <w:outlineLvl w:val="3"/>
    </w:pPr>
    <w:rPr>
      <w:rFonts w:ascii="Times New Roman" w:eastAsiaTheme="majorEastAsia" w:hAnsi="Times New Roman" w:cstheme="majorBidi"/>
      <w:iCs/>
      <w:kern w:val="0"/>
      <w:sz w:val="24"/>
      <w:lang w:val="en-GB"/>
      <w14:ligatures w14:val="none"/>
    </w:rPr>
  </w:style>
  <w:style w:type="paragraph" w:styleId="Heading5">
    <w:name w:val="heading 5"/>
    <w:basedOn w:val="Normal"/>
    <w:next w:val="Normal"/>
    <w:link w:val="Heading5Char"/>
    <w:uiPriority w:val="9"/>
    <w:semiHidden/>
    <w:unhideWhenUsed/>
    <w:rsid w:val="00B56542"/>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kern w:val="0"/>
      <w:lang w:val="de-DE"/>
      <w14:ligatures w14:val="none"/>
    </w:rPr>
  </w:style>
  <w:style w:type="paragraph" w:styleId="Heading6">
    <w:name w:val="heading 6"/>
    <w:basedOn w:val="Normal"/>
    <w:next w:val="Normal"/>
    <w:link w:val="Heading6Char"/>
    <w:uiPriority w:val="19"/>
    <w:semiHidden/>
    <w:qFormat/>
    <w:rsid w:val="00B56542"/>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kern w:val="0"/>
      <w:lang w:val="de-DE"/>
      <w14:ligatures w14:val="none"/>
    </w:rPr>
  </w:style>
  <w:style w:type="paragraph" w:styleId="Heading7">
    <w:name w:val="heading 7"/>
    <w:basedOn w:val="Normal"/>
    <w:next w:val="Normal"/>
    <w:link w:val="Heading7Char"/>
    <w:uiPriority w:val="19"/>
    <w:semiHidden/>
    <w:qFormat/>
    <w:rsid w:val="00B56542"/>
    <w:pPr>
      <w:keepNext/>
      <w:keepLines/>
      <w:numPr>
        <w:ilvl w:val="6"/>
        <w:numId w:val="1"/>
      </w:numPr>
      <w:spacing w:before="40" w:after="0" w:line="276" w:lineRule="auto"/>
      <w:outlineLvl w:val="6"/>
    </w:pPr>
    <w:rPr>
      <w:rFonts w:asciiTheme="majorHAnsi" w:eastAsiaTheme="majorEastAsia" w:hAnsiTheme="majorHAnsi" w:cstheme="majorBidi"/>
      <w:iCs/>
      <w:color w:val="1F3763" w:themeColor="accent1" w:themeShade="7F"/>
      <w:kern w:val="0"/>
      <w:lang w:val="de-DE"/>
      <w14:ligatures w14:val="none"/>
    </w:rPr>
  </w:style>
  <w:style w:type="paragraph" w:styleId="Heading8">
    <w:name w:val="heading 8"/>
    <w:basedOn w:val="Normal"/>
    <w:next w:val="Normal"/>
    <w:link w:val="Heading8Char"/>
    <w:uiPriority w:val="19"/>
    <w:semiHidden/>
    <w:qFormat/>
    <w:rsid w:val="00B56542"/>
    <w:pPr>
      <w:keepNext/>
      <w:keepLines/>
      <w:numPr>
        <w:ilvl w:val="7"/>
        <w:numId w:val="1"/>
      </w:numPr>
      <w:spacing w:before="40" w:after="0" w:line="276" w:lineRule="auto"/>
      <w:outlineLvl w:val="7"/>
    </w:pPr>
    <w:rPr>
      <w:rFonts w:asciiTheme="majorHAnsi" w:eastAsiaTheme="majorEastAsia" w:hAnsiTheme="majorHAnsi" w:cstheme="majorBidi"/>
      <w:color w:val="2F5496" w:themeColor="accent1" w:themeShade="BF"/>
      <w:kern w:val="0"/>
      <w:szCs w:val="21"/>
      <w:lang w:val="de-DE"/>
      <w14:ligatures w14:val="none"/>
    </w:rPr>
  </w:style>
  <w:style w:type="paragraph" w:styleId="Heading9">
    <w:name w:val="heading 9"/>
    <w:basedOn w:val="Normal"/>
    <w:next w:val="Normal"/>
    <w:link w:val="Heading9Char"/>
    <w:uiPriority w:val="19"/>
    <w:semiHidden/>
    <w:qFormat/>
    <w:rsid w:val="00B56542"/>
    <w:pPr>
      <w:keepNext/>
      <w:keepLines/>
      <w:numPr>
        <w:ilvl w:val="8"/>
        <w:numId w:val="1"/>
      </w:numPr>
      <w:spacing w:before="40" w:after="0" w:line="276" w:lineRule="auto"/>
      <w:outlineLvl w:val="8"/>
    </w:pPr>
    <w:rPr>
      <w:rFonts w:asciiTheme="majorHAnsi" w:eastAsiaTheme="majorEastAsia" w:hAnsiTheme="majorHAnsi" w:cstheme="majorBidi"/>
      <w:iCs/>
      <w:color w:val="2F5496" w:themeColor="accent1" w:themeShade="BF"/>
      <w:kern w:val="0"/>
      <w:szCs w:val="21"/>
      <w:lang w:val="de-D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56542"/>
    <w:rPr>
      <w:color w:val="0000FF"/>
      <w:shd w:val="clear" w:color="auto" w:fill="auto"/>
    </w:rPr>
  </w:style>
  <w:style w:type="paragraph" w:styleId="Header">
    <w:name w:val="header"/>
    <w:basedOn w:val="Normal"/>
    <w:link w:val="HeaderChar"/>
    <w:uiPriority w:val="99"/>
    <w:unhideWhenUsed/>
    <w:rsid w:val="00B56542"/>
    <w:pPr>
      <w:tabs>
        <w:tab w:val="center" w:pos="4513"/>
        <w:tab w:val="right" w:pos="9026"/>
      </w:tabs>
      <w:spacing w:after="0"/>
    </w:pPr>
  </w:style>
  <w:style w:type="character" w:customStyle="1" w:styleId="HeaderChar">
    <w:name w:val="Header Char"/>
    <w:basedOn w:val="DefaultParagraphFont"/>
    <w:link w:val="Header"/>
    <w:uiPriority w:val="99"/>
    <w:rsid w:val="00B56542"/>
  </w:style>
  <w:style w:type="paragraph" w:styleId="Footer">
    <w:name w:val="footer"/>
    <w:basedOn w:val="Normal"/>
    <w:link w:val="FooterChar"/>
    <w:uiPriority w:val="99"/>
    <w:unhideWhenUsed/>
    <w:rsid w:val="00B56542"/>
    <w:pPr>
      <w:tabs>
        <w:tab w:val="center" w:pos="4513"/>
        <w:tab w:val="right" w:pos="9026"/>
      </w:tabs>
      <w:spacing w:after="0"/>
    </w:pPr>
  </w:style>
  <w:style w:type="character" w:customStyle="1" w:styleId="FooterChar">
    <w:name w:val="Footer Char"/>
    <w:basedOn w:val="DefaultParagraphFont"/>
    <w:link w:val="Footer"/>
    <w:uiPriority w:val="99"/>
    <w:rsid w:val="00B56542"/>
  </w:style>
  <w:style w:type="paragraph" w:customStyle="1" w:styleId="Pagedecouverture">
    <w:name w:val="Page de couverture"/>
    <w:basedOn w:val="Normal"/>
    <w:next w:val="Normal"/>
    <w:rsid w:val="00B56542"/>
    <w:pPr>
      <w:spacing w:after="0"/>
    </w:pPr>
    <w:rPr>
      <w:rFonts w:cs="Times New Roman"/>
      <w:kern w:val="0"/>
      <w14:ligatures w14:val="none"/>
    </w:rPr>
  </w:style>
  <w:style w:type="paragraph" w:customStyle="1" w:styleId="FooterCoverPage">
    <w:name w:val="Footer Cover Page"/>
    <w:basedOn w:val="Normal"/>
    <w:link w:val="FooterCoverPageChar"/>
    <w:rsid w:val="00B56542"/>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B56542"/>
    <w:rPr>
      <w:rFonts w:ascii="Times New Roman" w:hAnsi="Times New Roman"/>
      <w:sz w:val="24"/>
    </w:rPr>
  </w:style>
  <w:style w:type="paragraph" w:customStyle="1" w:styleId="FooterSensitivity">
    <w:name w:val="Footer Sensitivity"/>
    <w:basedOn w:val="Normal"/>
    <w:link w:val="FooterSensitivityChar"/>
    <w:rsid w:val="00B5654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B56542"/>
    <w:rPr>
      <w:rFonts w:ascii="Times New Roman" w:hAnsi="Times New Roman"/>
      <w:b/>
      <w:sz w:val="32"/>
    </w:rPr>
  </w:style>
  <w:style w:type="paragraph" w:customStyle="1" w:styleId="HeaderCoverPage">
    <w:name w:val="Header Cover Page"/>
    <w:basedOn w:val="Normal"/>
    <w:link w:val="HeaderCoverPageChar"/>
    <w:rsid w:val="00B56542"/>
    <w:pPr>
      <w:tabs>
        <w:tab w:val="center" w:pos="4535"/>
        <w:tab w:val="right" w:pos="9071"/>
      </w:tabs>
      <w:spacing w:before="0"/>
    </w:pPr>
  </w:style>
  <w:style w:type="character" w:customStyle="1" w:styleId="HeaderCoverPageChar">
    <w:name w:val="Header Cover Page Char"/>
    <w:basedOn w:val="DefaultParagraphFont"/>
    <w:link w:val="HeaderCoverPage"/>
    <w:rsid w:val="00B56542"/>
    <w:rPr>
      <w:rFonts w:ascii="Times New Roman" w:hAnsi="Times New Roman"/>
      <w:sz w:val="24"/>
    </w:rPr>
  </w:style>
  <w:style w:type="paragraph" w:customStyle="1" w:styleId="HeaderSensitivity">
    <w:name w:val="Header Sensitivity"/>
    <w:basedOn w:val="Normal"/>
    <w:link w:val="HeaderSensitivityChar"/>
    <w:rsid w:val="00B5654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sid w:val="00B56542"/>
    <w:rPr>
      <w:rFonts w:ascii="Times New Roman" w:hAnsi="Times New Roman"/>
      <w:b/>
      <w:sz w:val="32"/>
    </w:rPr>
  </w:style>
  <w:style w:type="paragraph" w:customStyle="1" w:styleId="HeaderSensitivityRight">
    <w:name w:val="Header Sensitivity Right"/>
    <w:basedOn w:val="Normal"/>
    <w:link w:val="HeaderSensitivityRightChar"/>
    <w:rsid w:val="00B56542"/>
    <w:pPr>
      <w:spacing w:before="0"/>
      <w:jc w:val="right"/>
    </w:pPr>
    <w:rPr>
      <w:sz w:val="28"/>
    </w:rPr>
  </w:style>
  <w:style w:type="character" w:customStyle="1" w:styleId="HeaderSensitivityRightChar">
    <w:name w:val="Header Sensitivity Right Char"/>
    <w:basedOn w:val="DefaultParagraphFont"/>
    <w:link w:val="HeaderSensitivityRight"/>
    <w:rsid w:val="00B56542"/>
    <w:rPr>
      <w:rFonts w:ascii="Times New Roman" w:hAnsi="Times New Roman"/>
      <w:sz w:val="28"/>
    </w:rPr>
  </w:style>
  <w:style w:type="character" w:customStyle="1" w:styleId="Heading1Char">
    <w:name w:val="Heading 1 Char"/>
    <w:basedOn w:val="DefaultParagraphFont"/>
    <w:link w:val="Heading1"/>
    <w:uiPriority w:val="19"/>
    <w:rsid w:val="00995B83"/>
    <w:rPr>
      <w:rFonts w:ascii="Times New Roman Bold" w:eastAsiaTheme="majorEastAsia" w:hAnsi="Times New Roman Bold" w:cstheme="majorBidi"/>
      <w:b/>
      <w:kern w:val="0"/>
      <w:sz w:val="28"/>
      <w:szCs w:val="28"/>
      <w:lang w:val="en-GB"/>
      <w14:ligatures w14:val="none"/>
    </w:rPr>
  </w:style>
  <w:style w:type="character" w:customStyle="1" w:styleId="Heading3Char">
    <w:name w:val="Heading 3 Char"/>
    <w:basedOn w:val="DefaultParagraphFont"/>
    <w:link w:val="Heading3"/>
    <w:uiPriority w:val="19"/>
    <w:rsid w:val="00B56542"/>
    <w:rPr>
      <w:rFonts w:ascii="Times New Roman" w:eastAsiaTheme="majorEastAsia" w:hAnsi="Times New Roman" w:cstheme="majorBidi"/>
      <w:i/>
      <w:kern w:val="0"/>
      <w:sz w:val="24"/>
      <w:szCs w:val="24"/>
      <w:lang w:val="en-GB"/>
      <w14:ligatures w14:val="none"/>
    </w:rPr>
  </w:style>
  <w:style w:type="character" w:customStyle="1" w:styleId="Heading4Char">
    <w:name w:val="Heading 4 Char"/>
    <w:basedOn w:val="DefaultParagraphFont"/>
    <w:link w:val="Heading4"/>
    <w:uiPriority w:val="19"/>
    <w:rsid w:val="00B56542"/>
    <w:rPr>
      <w:rFonts w:ascii="Times New Roman" w:eastAsiaTheme="majorEastAsia" w:hAnsi="Times New Roman" w:cstheme="majorBidi"/>
      <w:iCs/>
      <w:kern w:val="0"/>
      <w:sz w:val="24"/>
      <w:lang w:val="en-GB"/>
      <w14:ligatures w14:val="none"/>
    </w:rPr>
  </w:style>
  <w:style w:type="character" w:customStyle="1" w:styleId="Heading5Char">
    <w:name w:val="Heading 5 Char"/>
    <w:basedOn w:val="DefaultParagraphFont"/>
    <w:link w:val="Heading5"/>
    <w:uiPriority w:val="9"/>
    <w:semiHidden/>
    <w:rsid w:val="00B56542"/>
    <w:rPr>
      <w:rFonts w:asciiTheme="majorHAnsi" w:eastAsiaTheme="majorEastAsia" w:hAnsiTheme="majorHAnsi" w:cstheme="majorBidi"/>
      <w:color w:val="2F5496" w:themeColor="accent1" w:themeShade="BF"/>
      <w:kern w:val="0"/>
      <w:lang w:val="de-DE"/>
      <w14:ligatures w14:val="none"/>
    </w:rPr>
  </w:style>
  <w:style w:type="character" w:customStyle="1" w:styleId="Heading6Char">
    <w:name w:val="Heading 6 Char"/>
    <w:basedOn w:val="DefaultParagraphFont"/>
    <w:link w:val="Heading6"/>
    <w:uiPriority w:val="19"/>
    <w:semiHidden/>
    <w:rsid w:val="00B56542"/>
    <w:rPr>
      <w:rFonts w:asciiTheme="majorHAnsi" w:eastAsiaTheme="majorEastAsia" w:hAnsiTheme="majorHAnsi" w:cstheme="majorBidi"/>
      <w:color w:val="1F3763" w:themeColor="accent1" w:themeShade="7F"/>
      <w:kern w:val="0"/>
      <w:lang w:val="de-DE"/>
      <w14:ligatures w14:val="none"/>
    </w:rPr>
  </w:style>
  <w:style w:type="character" w:customStyle="1" w:styleId="Heading7Char">
    <w:name w:val="Heading 7 Char"/>
    <w:basedOn w:val="DefaultParagraphFont"/>
    <w:link w:val="Heading7"/>
    <w:uiPriority w:val="19"/>
    <w:semiHidden/>
    <w:rsid w:val="00B56542"/>
    <w:rPr>
      <w:rFonts w:asciiTheme="majorHAnsi" w:eastAsiaTheme="majorEastAsia" w:hAnsiTheme="majorHAnsi" w:cstheme="majorBidi"/>
      <w:iCs/>
      <w:color w:val="1F3763" w:themeColor="accent1" w:themeShade="7F"/>
      <w:kern w:val="0"/>
      <w:lang w:val="de-DE"/>
      <w14:ligatures w14:val="none"/>
    </w:rPr>
  </w:style>
  <w:style w:type="character" w:customStyle="1" w:styleId="Heading8Char">
    <w:name w:val="Heading 8 Char"/>
    <w:basedOn w:val="DefaultParagraphFont"/>
    <w:link w:val="Heading8"/>
    <w:uiPriority w:val="19"/>
    <w:semiHidden/>
    <w:rsid w:val="00B56542"/>
    <w:rPr>
      <w:rFonts w:asciiTheme="majorHAnsi" w:eastAsiaTheme="majorEastAsia" w:hAnsiTheme="majorHAnsi" w:cstheme="majorBidi"/>
      <w:color w:val="2F5496" w:themeColor="accent1" w:themeShade="BF"/>
      <w:kern w:val="0"/>
      <w:szCs w:val="21"/>
      <w:lang w:val="de-DE"/>
      <w14:ligatures w14:val="none"/>
    </w:rPr>
  </w:style>
  <w:style w:type="character" w:customStyle="1" w:styleId="Heading9Char">
    <w:name w:val="Heading 9 Char"/>
    <w:basedOn w:val="DefaultParagraphFont"/>
    <w:link w:val="Heading9"/>
    <w:uiPriority w:val="19"/>
    <w:semiHidden/>
    <w:rsid w:val="00B56542"/>
    <w:rPr>
      <w:rFonts w:asciiTheme="majorHAnsi" w:eastAsiaTheme="majorEastAsia" w:hAnsiTheme="majorHAnsi" w:cstheme="majorBidi"/>
      <w:iCs/>
      <w:color w:val="2F5496" w:themeColor="accent1" w:themeShade="BF"/>
      <w:kern w:val="0"/>
      <w:szCs w:val="21"/>
      <w:lang w:val="de-DE"/>
      <w14:ligatures w14:val="none"/>
    </w:rPr>
  </w:style>
  <w:style w:type="character" w:customStyle="1" w:styleId="normaltextrun">
    <w:name w:val="normaltextrun"/>
    <w:basedOn w:val="DefaultParagraphFont"/>
    <w:rsid w:val="00B56542"/>
  </w:style>
  <w:style w:type="paragraph" w:customStyle="1" w:styleId="paragraph">
    <w:name w:val="paragraph"/>
    <w:basedOn w:val="Normal"/>
    <w:rsid w:val="00B56542"/>
    <w:pPr>
      <w:spacing w:before="100" w:beforeAutospacing="1" w:after="100" w:afterAutospacing="1"/>
    </w:pPr>
    <w:rPr>
      <w:rFonts w:eastAsia="Times New Roman" w:cs="Times New Roman"/>
      <w:kern w:val="0"/>
      <w:szCs w:val="24"/>
      <w:lang w:val="en-GB" w:eastAsia="en-GB"/>
      <w14:ligatures w14:val="none"/>
    </w:rPr>
  </w:style>
  <w:style w:type="character" w:customStyle="1" w:styleId="eop">
    <w:name w:val="eop"/>
    <w:basedOn w:val="DefaultParagraphFont"/>
    <w:rsid w:val="00B56542"/>
  </w:style>
  <w:style w:type="paragraph" w:styleId="FootnoteText">
    <w:name w:val="footnote text"/>
    <w:aliases w:val="-E Fußnotentext,footnote text,Fußnotentext Ursprung,Footnote Text Char1,Footnote1,-E Fußnotentext1,footnote text1,Fußnotentext Ursprung1,Footnote Text Char2,Footnote2,-E Fußnotentext2,footnote text2,Footnote3,Char,Fußnot"/>
    <w:basedOn w:val="Normal"/>
    <w:link w:val="FootnoteTextChar"/>
    <w:uiPriority w:val="99"/>
    <w:unhideWhenUsed/>
    <w:qFormat/>
    <w:rsid w:val="00B56542"/>
    <w:pPr>
      <w:spacing w:after="0"/>
    </w:pPr>
    <w:rPr>
      <w:kern w:val="0"/>
      <w:sz w:val="20"/>
      <w:szCs w:val="20"/>
      <w:lang w:val="de-DE"/>
      <w14:ligatures w14:val="none"/>
    </w:rPr>
  </w:style>
  <w:style w:type="character" w:customStyle="1" w:styleId="FootnoteTextChar">
    <w:name w:val="Footnote Text Char"/>
    <w:aliases w:val="-E Fußnotentext Char,footnote text Char,Fußnotentext Ursprung Char,Footnote Text Char1 Char,Footnote1 Char,-E Fußnotentext1 Char,footnote text1 Char,Fußnotentext Ursprung1 Char,Footnote Text Char2 Char,Footnote2 Char,Footnote3 Char"/>
    <w:basedOn w:val="DefaultParagraphFont"/>
    <w:link w:val="FootnoteText"/>
    <w:uiPriority w:val="99"/>
    <w:qFormat/>
    <w:rsid w:val="00B56542"/>
    <w:rPr>
      <w:kern w:val="0"/>
      <w:sz w:val="20"/>
      <w:szCs w:val="20"/>
      <w:lang w:val="de-DE"/>
      <w14:ligatures w14:val="none"/>
    </w:rPr>
  </w:style>
  <w:style w:type="character" w:styleId="FootnoteReference">
    <w:name w:val="footnote reference"/>
    <w:aliases w:val="-E Fußnotenzeichen,-E Fußnotenzeichen1,-E Fußnotenzeichen2,-E Fußnotenzeichen3,-E Fußnotenzeichen4,-E Fußnotenzeichen5,-E Fußnotenzeichen6,-E Fußnotenzeichen7,-E Fußnotenzeichen8,-E Fußnotenzeichen9,-E Fußnotenzeichen10,number,SUPERS"/>
    <w:basedOn w:val="DefaultParagraphFont"/>
    <w:link w:val="FootnoteReferenceCharCarCharCharCarCharCarCharCarCharCarCharCharCarCarCharCharCharCharCharCarCharCarCharCharCarCharCar"/>
    <w:uiPriority w:val="99"/>
    <w:unhideWhenUsed/>
    <w:qFormat/>
    <w:rsid w:val="00B56542"/>
    <w:rPr>
      <w:vertAlign w:val="superscript"/>
    </w:rPr>
  </w:style>
  <w:style w:type="character" w:styleId="Hyperlink">
    <w:name w:val="Hyperlink"/>
    <w:basedOn w:val="DefaultParagraphFont"/>
    <w:uiPriority w:val="99"/>
    <w:unhideWhenUsed/>
    <w:rsid w:val="00B56542"/>
    <w:rPr>
      <w:color w:val="0000FF"/>
      <w:u w:val="single"/>
    </w:rPr>
  </w:style>
  <w:style w:type="paragraph" w:customStyle="1" w:styleId="Style8">
    <w:name w:val="Style8"/>
    <w:basedOn w:val="Heading1"/>
    <w:link w:val="Style8Char"/>
    <w:uiPriority w:val="4"/>
    <w:rsid w:val="00B56542"/>
  </w:style>
  <w:style w:type="character" w:customStyle="1" w:styleId="Style8Char">
    <w:name w:val="Style8 Char"/>
    <w:basedOn w:val="Heading1Char"/>
    <w:link w:val="Style8"/>
    <w:uiPriority w:val="4"/>
    <w:rsid w:val="00B56542"/>
    <w:rPr>
      <w:rFonts w:ascii="Times New Roman Bold" w:eastAsiaTheme="majorEastAsia" w:hAnsi="Times New Roman Bold" w:cstheme="majorBidi"/>
      <w:b/>
      <w:kern w:val="0"/>
      <w:sz w:val="28"/>
      <w:szCs w:val="28"/>
      <w:lang w:val="en-GB"/>
      <w14:ligatures w14:val="none"/>
    </w:rPr>
  </w:style>
  <w:style w:type="character" w:styleId="CommentReference">
    <w:name w:val="annotation reference"/>
    <w:basedOn w:val="DefaultParagraphFont"/>
    <w:uiPriority w:val="99"/>
    <w:semiHidden/>
    <w:unhideWhenUsed/>
    <w:rsid w:val="00B56542"/>
    <w:rPr>
      <w:sz w:val="16"/>
      <w:szCs w:val="16"/>
    </w:rPr>
  </w:style>
  <w:style w:type="paragraph" w:styleId="CommentText">
    <w:name w:val="annotation text"/>
    <w:basedOn w:val="Normal"/>
    <w:link w:val="CommentTextChar"/>
    <w:uiPriority w:val="99"/>
    <w:unhideWhenUsed/>
    <w:rsid w:val="00B56542"/>
    <w:pPr>
      <w:spacing w:after="200"/>
    </w:pPr>
    <w:rPr>
      <w:kern w:val="0"/>
      <w:sz w:val="20"/>
      <w:szCs w:val="20"/>
      <w:lang w:val="de-DE"/>
      <w14:ligatures w14:val="none"/>
    </w:rPr>
  </w:style>
  <w:style w:type="character" w:customStyle="1" w:styleId="CommentTextChar">
    <w:name w:val="Comment Text Char"/>
    <w:basedOn w:val="DefaultParagraphFont"/>
    <w:link w:val="CommentText"/>
    <w:uiPriority w:val="99"/>
    <w:rsid w:val="00B56542"/>
    <w:rPr>
      <w:kern w:val="0"/>
      <w:sz w:val="20"/>
      <w:szCs w:val="20"/>
      <w:lang w:val="de-DE"/>
      <w14:ligatures w14:val="non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B56542"/>
    <w:pPr>
      <w:spacing w:line="240" w:lineRule="exact"/>
    </w:pPr>
    <w:rPr>
      <w:vertAlign w:val="superscript"/>
    </w:rPr>
  </w:style>
  <w:style w:type="character" w:customStyle="1" w:styleId="UnresolvedMention">
    <w:name w:val="Unresolved Mention"/>
    <w:basedOn w:val="DefaultParagraphFont"/>
    <w:uiPriority w:val="99"/>
    <w:semiHidden/>
    <w:unhideWhenUsed/>
    <w:rsid w:val="003E5AB0"/>
    <w:rPr>
      <w:color w:val="605E5C"/>
      <w:shd w:val="clear" w:color="auto" w:fill="E1DFDD"/>
    </w:rPr>
  </w:style>
  <w:style w:type="character" w:customStyle="1" w:styleId="Heading2Char">
    <w:name w:val="Heading 2 Char"/>
    <w:basedOn w:val="DefaultParagraphFont"/>
    <w:link w:val="Heading2"/>
    <w:uiPriority w:val="19"/>
    <w:rsid w:val="009051C3"/>
    <w:rPr>
      <w:rFonts w:ascii="Times New Roman Bold" w:eastAsiaTheme="majorEastAsia" w:hAnsi="Times New Roman Bold" w:cstheme="majorBidi"/>
      <w:b/>
      <w:kern w:val="0"/>
      <w:sz w:val="24"/>
      <w:lang w:val="en-GB"/>
      <w14:ligatures w14:val="none"/>
    </w:rPr>
  </w:style>
  <w:style w:type="paragraph" w:styleId="Caption">
    <w:name w:val="caption"/>
    <w:basedOn w:val="Normal"/>
    <w:next w:val="Normal"/>
    <w:uiPriority w:val="35"/>
    <w:qFormat/>
    <w:rsid w:val="003E5AB0"/>
    <w:pPr>
      <w:keepNext/>
      <w:spacing w:before="0" w:after="200"/>
    </w:pPr>
    <w:rPr>
      <w:b/>
      <w:bCs/>
      <w:sz w:val="22"/>
    </w:rPr>
  </w:style>
  <w:style w:type="paragraph" w:customStyle="1" w:styleId="Source">
    <w:name w:val="Source"/>
    <w:basedOn w:val="Normal"/>
    <w:uiPriority w:val="27"/>
    <w:qFormat/>
    <w:rsid w:val="003E5AB0"/>
    <w:rPr>
      <w:i/>
      <w:iCs/>
      <w:kern w:val="0"/>
      <w:sz w:val="22"/>
      <w:szCs w:val="20"/>
      <w:lang w:val="en-GB"/>
      <w14:ligatures w14:val="none"/>
    </w:rPr>
  </w:style>
  <w:style w:type="paragraph" w:styleId="CommentSubject">
    <w:name w:val="annotation subject"/>
    <w:basedOn w:val="CommentText"/>
    <w:next w:val="CommentText"/>
    <w:link w:val="CommentSubjectChar"/>
    <w:uiPriority w:val="99"/>
    <w:semiHidden/>
    <w:unhideWhenUsed/>
    <w:rsid w:val="003E5AB0"/>
    <w:pPr>
      <w:spacing w:after="120"/>
    </w:pPr>
    <w:rPr>
      <w:b/>
      <w:bCs/>
      <w:kern w:val="2"/>
      <w:lang w:val="en-IE"/>
      <w14:ligatures w14:val="standardContextual"/>
    </w:rPr>
  </w:style>
  <w:style w:type="character" w:customStyle="1" w:styleId="CommentSubjectChar">
    <w:name w:val="Comment Subject Char"/>
    <w:basedOn w:val="CommentTextChar"/>
    <w:link w:val="CommentSubject"/>
    <w:uiPriority w:val="99"/>
    <w:semiHidden/>
    <w:rsid w:val="003E5AB0"/>
    <w:rPr>
      <w:rFonts w:ascii="Times New Roman" w:hAnsi="Times New Roman"/>
      <w:b/>
      <w:bCs/>
      <w:kern w:val="0"/>
      <w:sz w:val="20"/>
      <w:szCs w:val="20"/>
      <w:lang w:val="de-DE"/>
      <w14:ligatures w14:val="none"/>
    </w:rPr>
  </w:style>
  <w:style w:type="paragraph" w:customStyle="1" w:styleId="Standardtext">
    <w:name w:val="Standard text"/>
    <w:basedOn w:val="Normal"/>
    <w:link w:val="StandardtextChar"/>
    <w:qFormat/>
    <w:rsid w:val="003E5AB0"/>
    <w:rPr>
      <w:kern w:val="0"/>
      <w:lang w:val="de-DE"/>
      <w14:ligatures w14:val="none"/>
    </w:rPr>
  </w:style>
  <w:style w:type="character" w:customStyle="1" w:styleId="StandardtextChar">
    <w:name w:val="Standard text Char"/>
    <w:basedOn w:val="DefaultParagraphFont"/>
    <w:link w:val="Standardtext"/>
    <w:rsid w:val="003E5AB0"/>
    <w:rPr>
      <w:rFonts w:ascii="Times New Roman" w:hAnsi="Times New Roman"/>
      <w:kern w:val="0"/>
      <w:sz w:val="24"/>
      <w:lang w:val="de-DE"/>
      <w14:ligatures w14:val="none"/>
    </w:rPr>
  </w:style>
  <w:style w:type="numbering" w:customStyle="1" w:styleId="Style7">
    <w:name w:val="Style7"/>
    <w:uiPriority w:val="99"/>
    <w:rsid w:val="003E5AB0"/>
    <w:pPr>
      <w:numPr>
        <w:numId w:val="2"/>
      </w:numPr>
    </w:pPr>
  </w:style>
  <w:style w:type="paragraph" w:customStyle="1" w:styleId="Style10">
    <w:name w:val="Style10"/>
    <w:basedOn w:val="Heading2"/>
    <w:link w:val="Style10Char"/>
    <w:uiPriority w:val="4"/>
    <w:rsid w:val="003E5AB0"/>
    <w:pPr>
      <w:keepLines w:val="0"/>
      <w:numPr>
        <w:numId w:val="0"/>
      </w:numPr>
      <w:ind w:left="576" w:hanging="576"/>
    </w:pPr>
    <w:rPr>
      <w:rFonts w:ascii="Times New Roman" w:hAnsi="Times New Roman"/>
      <w:color w:val="000000" w:themeColor="text1"/>
      <w:sz w:val="28"/>
    </w:rPr>
  </w:style>
  <w:style w:type="character" w:customStyle="1" w:styleId="Style10Char">
    <w:name w:val="Style10 Char"/>
    <w:basedOn w:val="Heading2Char"/>
    <w:link w:val="Style10"/>
    <w:uiPriority w:val="4"/>
    <w:rsid w:val="003E5AB0"/>
    <w:rPr>
      <w:rFonts w:ascii="Times New Roman" w:eastAsiaTheme="majorEastAsia" w:hAnsi="Times New Roman" w:cstheme="majorBidi"/>
      <w:b/>
      <w:color w:val="000000" w:themeColor="text1"/>
      <w:kern w:val="0"/>
      <w:sz w:val="28"/>
      <w:lang w:val="en-GB"/>
      <w14:ligatures w14:val="none"/>
    </w:rPr>
  </w:style>
  <w:style w:type="character" w:styleId="FollowedHyperlink">
    <w:name w:val="FollowedHyperlink"/>
    <w:basedOn w:val="DefaultParagraphFont"/>
    <w:uiPriority w:val="99"/>
    <w:semiHidden/>
    <w:unhideWhenUsed/>
    <w:rsid w:val="00995B83"/>
    <w:rPr>
      <w:color w:val="954F72" w:themeColor="followedHyperlink"/>
      <w:u w:val="single"/>
    </w:rPr>
  </w:style>
  <w:style w:type="paragraph" w:styleId="Revision">
    <w:name w:val="Revision"/>
    <w:hidden/>
    <w:uiPriority w:val="99"/>
    <w:semiHidden/>
    <w:rsid w:val="00230287"/>
    <w:pPr>
      <w:spacing w:after="0" w:line="240" w:lineRule="auto"/>
    </w:pPr>
    <w:rPr>
      <w:rFonts w:ascii="Times New Roman" w:hAnsi="Times New Roman"/>
      <w:sz w:val="24"/>
    </w:rPr>
  </w:style>
  <w:style w:type="character" w:customStyle="1" w:styleId="Mention">
    <w:name w:val="Mention"/>
    <w:basedOn w:val="DefaultParagraphFont"/>
    <w:uiPriority w:val="99"/>
    <w:unhideWhenUsed/>
    <w:rsid w:val="00F9189F"/>
    <w:rPr>
      <w:color w:val="2B579A"/>
      <w:shd w:val="clear" w:color="auto" w:fill="E1DFDD"/>
    </w:rPr>
  </w:style>
  <w:style w:type="character" w:styleId="Strong">
    <w:name w:val="Strong"/>
    <w:basedOn w:val="DefaultParagraphFont"/>
    <w:uiPriority w:val="22"/>
    <w:qFormat/>
    <w:rsid w:val="00613A06"/>
    <w:rPr>
      <w:b/>
      <w:bCs/>
    </w:rPr>
  </w:style>
  <w:style w:type="character" w:customStyle="1" w:styleId="superscript">
    <w:name w:val="superscript"/>
    <w:basedOn w:val="DefaultParagraphFont"/>
    <w:rsid w:val="00655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2020R0852" TargetMode="External"/><Relationship Id="rId3" Type="http://schemas.openxmlformats.org/officeDocument/2006/relationships/hyperlink" Target="https://climate.ec.europa.eu/document/download/72286a42-61af-4e8a-a51a-29a58c90274e_en?filename=swd_2023_338_en.pdf" TargetMode="External"/><Relationship Id="rId7" Type="http://schemas.openxmlformats.org/officeDocument/2006/relationships/hyperlink" Target="https://eur-lex.europa.eu/legal-content/EN/TXT/PDF/?uri=CELEX:32021R0947" TargetMode="External"/><Relationship Id="rId2" Type="http://schemas.openxmlformats.org/officeDocument/2006/relationships/hyperlink" Target="https://eur-lex.europa.eu/legal-content/EN/TXT/?uri=uriserv:OJ.L_.2018.328.01.0001.01.ENG" TargetMode="External"/><Relationship Id="rId1" Type="http://schemas.openxmlformats.org/officeDocument/2006/relationships/hyperlink" Target="https://doi.org/10.24381/bs9v-8c66" TargetMode="External"/><Relationship Id="rId6" Type="http://schemas.openxmlformats.org/officeDocument/2006/relationships/hyperlink" Target="https://commission.europa.eu/document/e6cd4328-673c-4e7a-8683-f63ffb2cf648_en" TargetMode="External"/><Relationship Id="rId5" Type="http://schemas.openxmlformats.org/officeDocument/2006/relationships/hyperlink" Target="https://eur-lex.europa.eu/legal-content/EN/TXT/?uri=CELEX:52024DC0091" TargetMode="External"/><Relationship Id="rId4" Type="http://schemas.openxmlformats.org/officeDocument/2006/relationships/hyperlink" Target="https://www.eea.europa.eu/publications/european-climate-risk-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195177B60C64096702F86A45F3814" ma:contentTypeVersion="13" ma:contentTypeDescription="Create a new document." ma:contentTypeScope="" ma:versionID="817e464307736b34debd57aeb417a54d">
  <xsd:schema xmlns:xsd="http://www.w3.org/2001/XMLSchema" xmlns:xs="http://www.w3.org/2001/XMLSchema" xmlns:p="http://schemas.microsoft.com/office/2006/metadata/properties" xmlns:ns2="a8522064-1c52-4531-b908-dbb417679439" xmlns:ns3="94c34300-9c81-4544-a5e6-51f954ed307d" targetNamespace="http://schemas.microsoft.com/office/2006/metadata/properties" ma:root="true" ma:fieldsID="aadd68f604491a5535915ca56315b055" ns2:_="" ns3:_="">
    <xsd:import namespace="a8522064-1c52-4531-b908-dbb417679439"/>
    <xsd:import namespace="94c34300-9c81-4544-a5e6-51f954ed3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22064-1c52-4531-b908-dbb417679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34300-9c81-4544-a5e6-51f954ed30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c661fc-423d-4aab-ad09-648d49989341}" ma:internalName="TaxCatchAll" ma:showField="CatchAllData" ma:web="94c34300-9c81-4544-a5e6-51f954ed3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22064-1c52-4531-b908-dbb4176794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94c34300-9c81-4544-a5e6-51f954ed30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E5141-30FD-4FC8-B1C3-DEB106A25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22064-1c52-4531-b908-dbb417679439"/>
    <ds:schemaRef ds:uri="94c34300-9c81-4544-a5e6-51f954ed3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E31EC-F59A-4D1D-BD9A-7AB3E7D69D59}">
  <ds:schemaRefs>
    <ds:schemaRef ds:uri="http://schemas.microsoft.com/sharepoint/v3/contenttype/forms"/>
  </ds:schemaRefs>
</ds:datastoreItem>
</file>

<file path=customXml/itemProps3.xml><?xml version="1.0" encoding="utf-8"?>
<ds:datastoreItem xmlns:ds="http://schemas.openxmlformats.org/officeDocument/2006/customXml" ds:itemID="{6CF16A74-0582-4696-A164-5C49DAB6F034}">
  <ds:schemaRefs>
    <ds:schemaRef ds:uri="http://schemas.microsoft.com/office/2006/metadata/properties"/>
    <ds:schemaRef ds:uri="http://schemas.microsoft.com/office/infopath/2007/PartnerControls"/>
    <ds:schemaRef ds:uri="a8522064-1c52-4531-b908-dbb417679439"/>
    <ds:schemaRef ds:uri="94c34300-9c81-4544-a5e6-51f954ed307d"/>
  </ds:schemaRefs>
</ds:datastoreItem>
</file>

<file path=customXml/itemProps4.xml><?xml version="1.0" encoding="utf-8"?>
<ds:datastoreItem xmlns:ds="http://schemas.openxmlformats.org/officeDocument/2006/customXml" ds:itemID="{FBED249B-1014-4139-97DB-8A5709F9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15143</CharactersWithSpaces>
  <SharedDoc>false</SharedDoc>
  <HLinks>
    <vt:vector size="54" baseType="variant">
      <vt:variant>
        <vt:i4>1835076</vt:i4>
      </vt:variant>
      <vt:variant>
        <vt:i4>21</vt:i4>
      </vt:variant>
      <vt:variant>
        <vt:i4>0</vt:i4>
      </vt:variant>
      <vt:variant>
        <vt:i4>5</vt:i4>
      </vt:variant>
      <vt:variant>
        <vt:lpwstr>https://eur-lex.europa.eu/legal-content/EN/TXT/?uri=CELEX:32020R0852</vt:lpwstr>
      </vt:variant>
      <vt:variant>
        <vt:lpwstr/>
      </vt:variant>
      <vt:variant>
        <vt:i4>917519</vt:i4>
      </vt:variant>
      <vt:variant>
        <vt:i4>18</vt:i4>
      </vt:variant>
      <vt:variant>
        <vt:i4>0</vt:i4>
      </vt:variant>
      <vt:variant>
        <vt:i4>5</vt:i4>
      </vt:variant>
      <vt:variant>
        <vt:lpwstr>https://eur-lex.europa.eu/legal-content/EN/TXT/PDF/?uri=CELEX:32021R0947</vt:lpwstr>
      </vt:variant>
      <vt:variant>
        <vt:lpwstr/>
      </vt:variant>
      <vt:variant>
        <vt:i4>1179761</vt:i4>
      </vt:variant>
      <vt:variant>
        <vt:i4>15</vt:i4>
      </vt:variant>
      <vt:variant>
        <vt:i4>0</vt:i4>
      </vt:variant>
      <vt:variant>
        <vt:i4>5</vt:i4>
      </vt:variant>
      <vt:variant>
        <vt:lpwstr>https://commission.europa.eu/document/e6cd4328-673c-4e7a-8683-f63ffb2cf648_en</vt:lpwstr>
      </vt:variant>
      <vt:variant>
        <vt:lpwstr/>
      </vt:variant>
      <vt:variant>
        <vt:i4>589840</vt:i4>
      </vt:variant>
      <vt:variant>
        <vt:i4>12</vt:i4>
      </vt:variant>
      <vt:variant>
        <vt:i4>0</vt:i4>
      </vt:variant>
      <vt:variant>
        <vt:i4>5</vt:i4>
      </vt:variant>
      <vt:variant>
        <vt:lpwstr>https://eur-lex.europa.eu/legal-content/EN/TXT/?uri=CELEX:52024DC0091</vt:lpwstr>
      </vt:variant>
      <vt:variant>
        <vt:lpwstr/>
      </vt:variant>
      <vt:variant>
        <vt:i4>3342457</vt:i4>
      </vt:variant>
      <vt:variant>
        <vt:i4>9</vt:i4>
      </vt:variant>
      <vt:variant>
        <vt:i4>0</vt:i4>
      </vt:variant>
      <vt:variant>
        <vt:i4>5</vt:i4>
      </vt:variant>
      <vt:variant>
        <vt:lpwstr>https://www.eea.europa.eu/publications/european-climate-risk-assessment</vt:lpwstr>
      </vt:variant>
      <vt:variant>
        <vt:lpwstr/>
      </vt:variant>
      <vt:variant>
        <vt:i4>6422577</vt:i4>
      </vt:variant>
      <vt:variant>
        <vt:i4>6</vt:i4>
      </vt:variant>
      <vt:variant>
        <vt:i4>0</vt:i4>
      </vt:variant>
      <vt:variant>
        <vt:i4>5</vt:i4>
      </vt:variant>
      <vt:variant>
        <vt:lpwstr>https://climate.ec.europa.eu/document/download/72286a42-61af-4e8a-a51a-29a58c90274e_en?filename=swd_2023_338_en.pdf</vt:lpwstr>
      </vt:variant>
      <vt:variant>
        <vt:lpwstr/>
      </vt:variant>
      <vt:variant>
        <vt:i4>5439598</vt:i4>
      </vt:variant>
      <vt:variant>
        <vt:i4>3</vt:i4>
      </vt:variant>
      <vt:variant>
        <vt:i4>0</vt:i4>
      </vt:variant>
      <vt:variant>
        <vt:i4>5</vt:i4>
      </vt:variant>
      <vt:variant>
        <vt:lpwstr>https://eur-lex.europa.eu/legal-content/EN/TXT/?uri=uriserv:OJ.L_.2018.328.01.0001.01.ENG</vt:lpwstr>
      </vt:variant>
      <vt:variant>
        <vt:lpwstr/>
      </vt:variant>
      <vt:variant>
        <vt:i4>3014770</vt:i4>
      </vt:variant>
      <vt:variant>
        <vt:i4>0</vt:i4>
      </vt:variant>
      <vt:variant>
        <vt:i4>0</vt:i4>
      </vt:variant>
      <vt:variant>
        <vt:i4>5</vt:i4>
      </vt:variant>
      <vt:variant>
        <vt:lpwstr>https://doi.org/10.24381/bs9v-8c66</vt:lpwstr>
      </vt:variant>
      <vt:variant>
        <vt:lpwstr/>
      </vt:variant>
      <vt:variant>
        <vt:i4>4325501</vt:i4>
      </vt:variant>
      <vt:variant>
        <vt:i4>0</vt:i4>
      </vt:variant>
      <vt:variant>
        <vt:i4>0</vt:i4>
      </vt:variant>
      <vt:variant>
        <vt:i4>5</vt:i4>
      </vt:variant>
      <vt:variant>
        <vt:lpwstr>mailto:Vicky.POLLARD@ec.europa.eu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2024-11-15T08:07:00Z</dcterms:created>
  <dcterms:modified xsi:type="dcterms:W3CDTF">2024-11-19T08:46:00Z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CP-003</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2024-10-28T22:17:21Z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d4abacc8-fa19-4b27-b5e5-53c0659e4953</vt:lpwstr>
  </property>
  <property fmtid="{D5CDD505-2E9C-101B-9397-08002B2CF9AE}" pid="15" name="MSIP_Label_6bd9ddd1-4d20-43f6-abfa-fc3c07406f94_ContentBits">
    <vt:lpwstr>0</vt:lpwstr>
  </property>
  <property fmtid="{D5CDD505-2E9C-101B-9397-08002B2CF9AE}" pid="16" name="ContentTypeId">
    <vt:lpwstr>0x010100860195177B60C64096702F86A45F3814</vt:lpwstr>
  </property>
  <property fmtid="{D5CDD505-2E9C-101B-9397-08002B2CF9AE}" pid="17" name="MediaServiceImageTags">
    <vt:lpwstr/>
  </property>
  <property name="OP_sanitized" fmtid="{D5CDD505-2E9C-101B-9397-08002B2CF9AE}" pid="18">
    <vt:lpwstr>True</vt:lpwstr>
  </property>
</Properties>
</file>