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49696" w14:textId="2171B78C" w:rsidR="0026613F" w:rsidRPr="000938AB" w:rsidRDefault="009B593A" w:rsidP="009B593A">
      <w:pPr>
        <w:pStyle w:val="Pagedecouverture"/>
        <w:rPr>
          <w:noProof/>
        </w:rPr>
      </w:pPr>
      <w:bookmarkStart w:id="0" w:name="LW_BM_COVERPAGE"/>
      <w:r>
        <w:rPr>
          <w:noProof/>
        </w:rPr>
        <w:pict w14:anchorId="6EB9D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3EFD575-DF02-418C-A40E-61516A571C43" style="width:455.25pt;height:399pt">
            <v:imagedata r:id="rId7" o:title=""/>
          </v:shape>
        </w:pict>
      </w:r>
    </w:p>
    <w:bookmarkEnd w:id="0"/>
    <w:p w14:paraId="25A1E19E" w14:textId="77777777" w:rsidR="0026613F" w:rsidRPr="000938AB" w:rsidRDefault="0026613F" w:rsidP="0026613F">
      <w:pPr>
        <w:rPr>
          <w:noProof/>
        </w:rPr>
        <w:sectPr w:rsidR="0026613F" w:rsidRPr="000938AB" w:rsidSect="009B593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50504726" w14:textId="77777777" w:rsidR="00897858" w:rsidRPr="000938AB" w:rsidRDefault="00897858" w:rsidP="00897858">
      <w:pPr>
        <w:jc w:val="both"/>
        <w:rPr>
          <w:rFonts w:ascii="Times New Roman" w:hAnsi="Times New Roman" w:cs="Times New Roman"/>
          <w:b/>
          <w:noProof/>
          <w:sz w:val="24"/>
          <w:szCs w:val="24"/>
        </w:rPr>
      </w:pPr>
      <w:bookmarkStart w:id="1" w:name="_GoBack"/>
      <w:bookmarkEnd w:id="1"/>
      <w:r w:rsidRPr="000938AB">
        <w:rPr>
          <w:rFonts w:ascii="Times New Roman" w:hAnsi="Times New Roman" w:cs="Times New Roman"/>
          <w:b/>
          <w:noProof/>
          <w:sz w:val="24"/>
          <w:szCs w:val="24"/>
        </w:rPr>
        <w:lastRenderedPageBreak/>
        <w:t>Need for action</w:t>
      </w:r>
    </w:p>
    <w:p w14:paraId="32C66242" w14:textId="53777B5B"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In the financial sector and beyond, there is a technology-driven trend towards greater use of data and data sharing. In accordance with the </w:t>
      </w:r>
      <w:r w:rsidR="00FA1ED0">
        <w:rPr>
          <w:rFonts w:ascii="Times New Roman" w:hAnsi="Times New Roman" w:cs="Times New Roman"/>
          <w:noProof/>
          <w:sz w:val="24"/>
          <w:szCs w:val="24"/>
        </w:rPr>
        <w:t>digital finance strategy</w:t>
      </w:r>
      <w:r w:rsidRPr="000938AB">
        <w:rPr>
          <w:rFonts w:ascii="Times New Roman" w:hAnsi="Times New Roman" w:cs="Times New Roman"/>
          <w:noProof/>
          <w:sz w:val="24"/>
          <w:szCs w:val="24"/>
        </w:rPr>
        <w:t xml:space="preserve"> published in 2020, the promotion of data-driven finance is also high on the Commission's agenda. The data economy, driven by the production and use of data, has significant growth potential. Among the various sectors, financial services are the biggest user of data in the EU</w:t>
      </w:r>
      <w:r w:rsidR="000938AB" w:rsidRPr="000938AB">
        <w:rPr>
          <w:rFonts w:ascii="Times New Roman" w:hAnsi="Times New Roman" w:cs="Times New Roman"/>
          <w:noProof/>
          <w:sz w:val="24"/>
          <w:szCs w:val="24"/>
        </w:rPr>
        <w:t>,</w:t>
      </w:r>
      <w:r w:rsidRPr="000938AB">
        <w:rPr>
          <w:rFonts w:ascii="Times New Roman" w:hAnsi="Times New Roman" w:cs="Times New Roman"/>
          <w:noProof/>
          <w:sz w:val="24"/>
          <w:szCs w:val="24"/>
        </w:rPr>
        <w:t xml:space="preserve"> with wide links to other sectors. Unlocking further innovative potential in this sector is therefore key for the success of the Commission’s wider data strategy. </w:t>
      </w:r>
    </w:p>
    <w:p w14:paraId="7FB45590" w14:textId="5BA83B95" w:rsidR="00897858" w:rsidRPr="000938AB" w:rsidRDefault="00897858" w:rsidP="00897858">
      <w:pPr>
        <w:jc w:val="both"/>
        <w:rPr>
          <w:noProof/>
          <w:u w:val="wave"/>
        </w:rPr>
      </w:pPr>
      <w:r w:rsidRPr="000938AB">
        <w:rPr>
          <w:rFonts w:ascii="Times New Roman" w:hAnsi="Times New Roman" w:cs="Times New Roman"/>
          <w:noProof/>
          <w:sz w:val="24"/>
          <w:szCs w:val="24"/>
        </w:rPr>
        <w:t>In spite of the significant potential, many innovations are hindered by the fact that, beyond payment accounts covered by the revised Payment Services Directive, financial services customers do not have effective control over their data. This makes it difficult for them to share the data with other providers who could have used it to provide data-driven financial and information services to customers. Th</w:t>
      </w:r>
      <w:r w:rsidR="00EC0B54">
        <w:rPr>
          <w:rFonts w:ascii="Times New Roman" w:hAnsi="Times New Roman" w:cs="Times New Roman"/>
          <w:noProof/>
          <w:sz w:val="24"/>
          <w:szCs w:val="24"/>
        </w:rPr>
        <w:t>ere are a number of reasons for this:</w:t>
      </w:r>
      <w:r w:rsidR="00EC0B54" w:rsidRPr="000938AB">
        <w:rPr>
          <w:rFonts w:ascii="Times New Roman" w:hAnsi="Times New Roman" w:cs="Times New Roman"/>
          <w:noProof/>
          <w:sz w:val="24"/>
          <w:szCs w:val="24"/>
        </w:rPr>
        <w:t xml:space="preserve"> </w:t>
      </w:r>
      <w:r w:rsidRPr="000938AB">
        <w:rPr>
          <w:rFonts w:ascii="Times New Roman" w:hAnsi="Times New Roman" w:cs="Times New Roman"/>
          <w:noProof/>
          <w:sz w:val="24"/>
          <w:szCs w:val="24"/>
        </w:rPr>
        <w:t>first, customers lack trust and therefore hesitate to share their data. Second, even if customers would like to share their data, this is difficult in practice</w:t>
      </w:r>
      <w:r w:rsidR="000938AB" w:rsidRPr="000938AB">
        <w:rPr>
          <w:rFonts w:ascii="Times New Roman" w:hAnsi="Times New Roman" w:cs="Times New Roman"/>
          <w:noProof/>
          <w:sz w:val="24"/>
          <w:szCs w:val="24"/>
        </w:rPr>
        <w:t>,</w:t>
      </w:r>
      <w:r w:rsidRPr="000938AB">
        <w:rPr>
          <w:rFonts w:ascii="Times New Roman" w:hAnsi="Times New Roman" w:cs="Times New Roman"/>
          <w:noProof/>
          <w:sz w:val="24"/>
          <w:szCs w:val="24"/>
        </w:rPr>
        <w:t xml:space="preserve"> notably due to </w:t>
      </w:r>
      <w:r w:rsidR="000938AB" w:rsidRPr="000938AB">
        <w:rPr>
          <w:rFonts w:ascii="Times New Roman" w:hAnsi="Times New Roman" w:cs="Times New Roman"/>
          <w:noProof/>
          <w:sz w:val="24"/>
          <w:szCs w:val="24"/>
        </w:rPr>
        <w:t xml:space="preserve">the </w:t>
      </w:r>
      <w:r w:rsidRPr="000938AB">
        <w:rPr>
          <w:rFonts w:ascii="Times New Roman" w:hAnsi="Times New Roman" w:cs="Times New Roman"/>
          <w:noProof/>
          <w:sz w:val="24"/>
          <w:szCs w:val="24"/>
        </w:rPr>
        <w:t xml:space="preserve">unclear legal situation </w:t>
      </w:r>
      <w:r w:rsidR="000938AB" w:rsidRPr="000938AB">
        <w:rPr>
          <w:rFonts w:ascii="Times New Roman" w:hAnsi="Times New Roman" w:cs="Times New Roman"/>
          <w:noProof/>
          <w:sz w:val="24"/>
          <w:szCs w:val="24"/>
        </w:rPr>
        <w:t xml:space="preserve">over </w:t>
      </w:r>
      <w:r w:rsidRPr="000938AB">
        <w:rPr>
          <w:rFonts w:ascii="Times New Roman" w:hAnsi="Times New Roman" w:cs="Times New Roman"/>
          <w:noProof/>
          <w:sz w:val="24"/>
          <w:szCs w:val="24"/>
        </w:rPr>
        <w:t xml:space="preserve">data users’ access to such data. Third, customer data and data interfaces in the financial sector beyond payment accounts are rarely accessible and if they are, they are largely not standardised, rendering data processing more costly. </w:t>
      </w:r>
      <w:r w:rsidR="000938AB" w:rsidRPr="000938AB">
        <w:rPr>
          <w:rFonts w:ascii="Times New Roman" w:hAnsi="Times New Roman" w:cs="Times New Roman"/>
          <w:noProof/>
          <w:sz w:val="24"/>
          <w:szCs w:val="24"/>
        </w:rPr>
        <w:t>F</w:t>
      </w:r>
      <w:r w:rsidRPr="000938AB">
        <w:rPr>
          <w:rFonts w:ascii="Times New Roman" w:hAnsi="Times New Roman" w:cs="Times New Roman"/>
          <w:noProof/>
          <w:sz w:val="24"/>
          <w:szCs w:val="24"/>
        </w:rPr>
        <w:t xml:space="preserve">inally, data owners lack incentives to develop high-quality interfaces that meet </w:t>
      </w:r>
      <w:r w:rsidR="003C385F">
        <w:rPr>
          <w:rFonts w:ascii="Times New Roman" w:hAnsi="Times New Roman" w:cs="Times New Roman"/>
          <w:noProof/>
          <w:sz w:val="24"/>
          <w:szCs w:val="24"/>
        </w:rPr>
        <w:t>data users’</w:t>
      </w:r>
      <w:r w:rsidR="003C385F" w:rsidRPr="000938AB">
        <w:rPr>
          <w:rFonts w:ascii="Times New Roman" w:hAnsi="Times New Roman" w:cs="Times New Roman"/>
          <w:noProof/>
          <w:sz w:val="24"/>
          <w:szCs w:val="24"/>
        </w:rPr>
        <w:t xml:space="preserve"> </w:t>
      </w:r>
      <w:r w:rsidRPr="000938AB">
        <w:rPr>
          <w:rFonts w:ascii="Times New Roman" w:hAnsi="Times New Roman" w:cs="Times New Roman"/>
          <w:noProof/>
          <w:sz w:val="24"/>
          <w:szCs w:val="24"/>
        </w:rPr>
        <w:t>operational business requirements.</w:t>
      </w:r>
      <w:r w:rsidRPr="000938AB">
        <w:rPr>
          <w:noProof/>
          <w:u w:val="wave"/>
        </w:rPr>
        <w:t xml:space="preserve"> </w:t>
      </w:r>
    </w:p>
    <w:p w14:paraId="4443827A" w14:textId="67750F4E"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As a consequence, it is more difficult for new market entrants and smaller innovative service providers to offer tailored products and services that could better fit specific customer needs, while consumers cannot access these innovative services and will pay higher fees for services due to </w:t>
      </w:r>
      <w:r w:rsidR="000938AB" w:rsidRPr="000938AB">
        <w:rPr>
          <w:rFonts w:ascii="Times New Roman" w:hAnsi="Times New Roman" w:cs="Times New Roman"/>
          <w:noProof/>
          <w:sz w:val="24"/>
          <w:szCs w:val="24"/>
        </w:rPr>
        <w:t xml:space="preserve">limited </w:t>
      </w:r>
      <w:r w:rsidRPr="000938AB">
        <w:rPr>
          <w:rFonts w:ascii="Times New Roman" w:hAnsi="Times New Roman" w:cs="Times New Roman"/>
          <w:noProof/>
          <w:sz w:val="24"/>
          <w:szCs w:val="24"/>
        </w:rPr>
        <w:t>competition. In addition, existing barriers prevent firms, especially small and medium</w:t>
      </w:r>
      <w:r w:rsidR="008B7E68">
        <w:rPr>
          <w:rFonts w:ascii="Times New Roman" w:hAnsi="Times New Roman" w:cs="Times New Roman"/>
          <w:noProof/>
          <w:sz w:val="24"/>
          <w:szCs w:val="24"/>
        </w:rPr>
        <w:t>-sized</w:t>
      </w:r>
      <w:r w:rsidRPr="000938AB">
        <w:rPr>
          <w:rFonts w:ascii="Times New Roman" w:hAnsi="Times New Roman" w:cs="Times New Roman"/>
          <w:noProof/>
          <w:sz w:val="24"/>
          <w:szCs w:val="24"/>
        </w:rPr>
        <w:t xml:space="preserve"> enterprises (SMEs), from benefiting from better, more convenient and automated financial services</w:t>
      </w:r>
      <w:r w:rsidR="003C385F">
        <w:rPr>
          <w:rFonts w:ascii="Times New Roman" w:hAnsi="Times New Roman" w:cs="Times New Roman"/>
          <w:noProof/>
          <w:sz w:val="24"/>
          <w:szCs w:val="24"/>
        </w:rPr>
        <w:t>. These barriers also</w:t>
      </w:r>
      <w:r w:rsidR="003C385F" w:rsidRPr="000938AB">
        <w:rPr>
          <w:rFonts w:ascii="Times New Roman" w:hAnsi="Times New Roman" w:cs="Times New Roman"/>
          <w:noProof/>
          <w:sz w:val="24"/>
          <w:szCs w:val="24"/>
        </w:rPr>
        <w:t xml:space="preserve"> </w:t>
      </w:r>
      <w:r w:rsidRPr="000938AB">
        <w:rPr>
          <w:rFonts w:ascii="Times New Roman" w:hAnsi="Times New Roman" w:cs="Times New Roman"/>
          <w:noProof/>
          <w:sz w:val="24"/>
          <w:szCs w:val="24"/>
        </w:rPr>
        <w:t xml:space="preserve">perpetuate suboptimal customer experience at financial institutions by slowing down their digital transformation, and face third-party data users with lost business opportunities. For the economy as a whole, this puts a break on the adoption of data-driven business models, resulting in lower private investments, lower take-up innovative services, </w:t>
      </w:r>
      <w:r w:rsidR="000938AB" w:rsidRPr="000938AB">
        <w:rPr>
          <w:rFonts w:ascii="Times New Roman" w:hAnsi="Times New Roman" w:cs="Times New Roman"/>
          <w:noProof/>
          <w:sz w:val="24"/>
          <w:szCs w:val="24"/>
        </w:rPr>
        <w:t>and</w:t>
      </w:r>
      <w:r w:rsidRPr="000938AB">
        <w:rPr>
          <w:rFonts w:ascii="Times New Roman" w:hAnsi="Times New Roman" w:cs="Times New Roman"/>
          <w:noProof/>
          <w:sz w:val="24"/>
          <w:szCs w:val="24"/>
        </w:rPr>
        <w:t xml:space="preserve"> a general lack of trust and confidence in data sharing.</w:t>
      </w:r>
    </w:p>
    <w:p w14:paraId="6CF16440" w14:textId="1D881C88"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The problems are common to all EU Member States, and since the holders and potential users of financial data in the internal market for financial services often operate in several Member States, it is unlikely that the problems can be solved by Member States alone. </w:t>
      </w:r>
      <w:r w:rsidR="003F78DA">
        <w:rPr>
          <w:rFonts w:ascii="Times New Roman" w:hAnsi="Times New Roman" w:cs="Times New Roman"/>
          <w:noProof/>
          <w:sz w:val="24"/>
          <w:szCs w:val="24"/>
        </w:rPr>
        <w:t>Moreover, t</w:t>
      </w:r>
      <w:r w:rsidRPr="000938AB">
        <w:rPr>
          <w:rFonts w:ascii="Times New Roman" w:hAnsi="Times New Roman" w:cs="Times New Roman"/>
          <w:noProof/>
          <w:sz w:val="24"/>
          <w:szCs w:val="24"/>
        </w:rPr>
        <w:t xml:space="preserve">he current EU legal framework insufficiently addresses the challenges outlined above. While the EU has adopted several pieces of legislation that apply across all sectors of the economy in the context of the European data strategy, these still need to be complemented at sectoral level in order to reach their full effect. New sectoral rules in EU financial services are needed to enable scalable and more efficient business models that can take full advantage of the EU single market, with the aim of giving customers </w:t>
      </w:r>
      <w:r w:rsidR="000938AB" w:rsidRPr="000938AB">
        <w:rPr>
          <w:rFonts w:ascii="Times New Roman" w:hAnsi="Times New Roman" w:cs="Times New Roman"/>
          <w:noProof/>
          <w:sz w:val="24"/>
          <w:szCs w:val="24"/>
        </w:rPr>
        <w:t>–</w:t>
      </w:r>
      <w:r w:rsidRPr="000938AB">
        <w:rPr>
          <w:rFonts w:ascii="Times New Roman" w:hAnsi="Times New Roman" w:cs="Times New Roman"/>
          <w:noProof/>
          <w:sz w:val="24"/>
          <w:szCs w:val="24"/>
        </w:rPr>
        <w:t xml:space="preserve"> whether consumers or businesses </w:t>
      </w:r>
      <w:r w:rsidR="000938AB" w:rsidRPr="000938AB">
        <w:rPr>
          <w:rFonts w:ascii="Times New Roman" w:hAnsi="Times New Roman" w:cs="Times New Roman"/>
          <w:noProof/>
          <w:sz w:val="24"/>
          <w:szCs w:val="24"/>
        </w:rPr>
        <w:t>–</w:t>
      </w:r>
      <w:r w:rsidRPr="000938AB">
        <w:rPr>
          <w:rFonts w:ascii="Times New Roman" w:hAnsi="Times New Roman" w:cs="Times New Roman"/>
          <w:noProof/>
          <w:sz w:val="24"/>
          <w:szCs w:val="24"/>
        </w:rPr>
        <w:t xml:space="preserve"> greater control over how their financial data is accessed and used.</w:t>
      </w:r>
    </w:p>
    <w:p w14:paraId="039FD49A" w14:textId="77777777" w:rsidR="00897858" w:rsidRPr="000938AB" w:rsidRDefault="00897858" w:rsidP="00897858">
      <w:pPr>
        <w:keepNext/>
        <w:jc w:val="both"/>
        <w:rPr>
          <w:rFonts w:ascii="Times New Roman" w:hAnsi="Times New Roman" w:cs="Times New Roman"/>
          <w:b/>
          <w:noProof/>
          <w:sz w:val="24"/>
          <w:szCs w:val="24"/>
        </w:rPr>
      </w:pPr>
      <w:r w:rsidRPr="000938AB">
        <w:rPr>
          <w:rFonts w:ascii="Times New Roman" w:hAnsi="Times New Roman" w:cs="Times New Roman"/>
          <w:b/>
          <w:noProof/>
          <w:sz w:val="24"/>
          <w:szCs w:val="24"/>
        </w:rPr>
        <w:t>Policy options</w:t>
      </w:r>
    </w:p>
    <w:p w14:paraId="1C652282" w14:textId="2738BD63" w:rsidR="000938AB" w:rsidRPr="00FA1ED0" w:rsidRDefault="00FA1ED0" w:rsidP="00FA1ED0">
      <w:pPr>
        <w:jc w:val="both"/>
        <w:rPr>
          <w:rFonts w:ascii="Times New Roman" w:hAnsi="Times New Roman" w:cs="Times New Roman"/>
          <w:noProof/>
          <w:sz w:val="24"/>
          <w:szCs w:val="24"/>
        </w:rPr>
      </w:pPr>
      <w:r w:rsidRPr="00FA1ED0">
        <w:rPr>
          <w:rFonts w:ascii="Times New Roman" w:hAnsi="Times New Roman" w:cs="Times New Roman"/>
          <w:noProof/>
          <w:sz w:val="24"/>
          <w:szCs w:val="24"/>
        </w:rPr>
        <w:t>Various policy options emerged during the preparation of this impact assessment</w:t>
      </w:r>
      <w:r w:rsidRPr="00FA1ED0">
        <w:rPr>
          <w:rFonts w:ascii="Times New Roman" w:hAnsi="Times New Roman" w:cs="Times New Roman"/>
          <w:bCs/>
          <w:noProof/>
          <w:sz w:val="24"/>
          <w:szCs w:val="24"/>
        </w:rPr>
        <w:t>. The policy options also took account</w:t>
      </w:r>
      <w:r w:rsidRPr="00FA1ED0">
        <w:rPr>
          <w:rFonts w:ascii="Times New Roman" w:hAnsi="Times New Roman" w:cs="Times New Roman"/>
          <w:noProof/>
          <w:sz w:val="24"/>
          <w:szCs w:val="24"/>
        </w:rPr>
        <w:t xml:space="preserve"> of the work of the Commission Expert Group on the European Financial Data Space and of stakeholder feedback received during the public and targeted consultations on open finance.</w:t>
      </w:r>
      <w:r w:rsidR="00897858" w:rsidRPr="000938AB">
        <w:rPr>
          <w:rFonts w:ascii="Times New Roman" w:hAnsi="Times New Roman" w:cs="Times New Roman"/>
          <w:noProof/>
          <w:sz w:val="24"/>
          <w:szCs w:val="24"/>
        </w:rPr>
        <w:t xml:space="preserve"> The analysed policy options are grouped by specific objectives, which were formulated in response to the identified problem drivers, as follows: </w:t>
      </w:r>
      <w:r w:rsidR="006E75B6">
        <w:rPr>
          <w:rFonts w:ascii="Times New Roman" w:hAnsi="Times New Roman" w:cs="Times New Roman"/>
          <w:noProof/>
          <w:sz w:val="24"/>
          <w:szCs w:val="24"/>
        </w:rPr>
        <w:t>(</w:t>
      </w:r>
      <w:r w:rsidR="00897858" w:rsidRPr="00FA1ED0">
        <w:rPr>
          <w:rFonts w:ascii="Times New Roman" w:hAnsi="Times New Roman" w:cs="Times New Roman"/>
          <w:noProof/>
          <w:sz w:val="24"/>
          <w:szCs w:val="24"/>
        </w:rPr>
        <w:t xml:space="preserve">A) enhance customer trust in data sharing in the financial sector; </w:t>
      </w:r>
      <w:r w:rsidR="006E75B6">
        <w:rPr>
          <w:rFonts w:ascii="Times New Roman" w:hAnsi="Times New Roman" w:cs="Times New Roman"/>
          <w:noProof/>
          <w:sz w:val="24"/>
          <w:szCs w:val="24"/>
        </w:rPr>
        <w:t>(</w:t>
      </w:r>
      <w:r w:rsidR="00897858" w:rsidRPr="00FA1ED0">
        <w:rPr>
          <w:rFonts w:ascii="Times New Roman" w:hAnsi="Times New Roman" w:cs="Times New Roman"/>
          <w:noProof/>
          <w:sz w:val="24"/>
          <w:szCs w:val="24"/>
        </w:rPr>
        <w:t xml:space="preserve">B) oblige data holders to share customer data with data users; </w:t>
      </w:r>
      <w:r w:rsidR="006E75B6">
        <w:rPr>
          <w:rFonts w:ascii="Times New Roman" w:hAnsi="Times New Roman" w:cs="Times New Roman"/>
          <w:noProof/>
          <w:sz w:val="24"/>
          <w:szCs w:val="24"/>
        </w:rPr>
        <w:t>(</w:t>
      </w:r>
      <w:r w:rsidR="00897858" w:rsidRPr="00FA1ED0">
        <w:rPr>
          <w:rFonts w:ascii="Times New Roman" w:hAnsi="Times New Roman" w:cs="Times New Roman"/>
          <w:noProof/>
          <w:sz w:val="24"/>
          <w:szCs w:val="24"/>
        </w:rPr>
        <w:t xml:space="preserve">C) promote standardisation of customer data and interfaces; and </w:t>
      </w:r>
      <w:r w:rsidR="006E75B6">
        <w:rPr>
          <w:rFonts w:ascii="Times New Roman" w:hAnsi="Times New Roman" w:cs="Times New Roman"/>
          <w:noProof/>
          <w:sz w:val="24"/>
          <w:szCs w:val="24"/>
        </w:rPr>
        <w:t>(</w:t>
      </w:r>
      <w:r w:rsidR="00897858" w:rsidRPr="00FA1ED0">
        <w:rPr>
          <w:rFonts w:ascii="Times New Roman" w:hAnsi="Times New Roman" w:cs="Times New Roman"/>
          <w:noProof/>
          <w:sz w:val="24"/>
          <w:szCs w:val="24"/>
        </w:rPr>
        <w:t xml:space="preserve">D) promote implementation of high-quality interfaces for customer data sharing. </w:t>
      </w:r>
    </w:p>
    <w:p w14:paraId="25ABDA69" w14:textId="5C6DF91E"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The options were analysed in </w:t>
      </w:r>
      <w:r w:rsidR="00032541">
        <w:rPr>
          <w:rFonts w:ascii="Times New Roman" w:hAnsi="Times New Roman" w:cs="Times New Roman"/>
          <w:noProof/>
          <w:sz w:val="24"/>
          <w:szCs w:val="24"/>
        </w:rPr>
        <w:t>the light</w:t>
      </w:r>
      <w:r w:rsidR="00032541" w:rsidRPr="000938AB">
        <w:rPr>
          <w:rFonts w:ascii="Times New Roman" w:hAnsi="Times New Roman" w:cs="Times New Roman"/>
          <w:noProof/>
          <w:sz w:val="24"/>
          <w:szCs w:val="24"/>
        </w:rPr>
        <w:t xml:space="preserve"> </w:t>
      </w:r>
      <w:r w:rsidRPr="000938AB">
        <w:rPr>
          <w:rFonts w:ascii="Times New Roman" w:hAnsi="Times New Roman" w:cs="Times New Roman"/>
          <w:noProof/>
          <w:sz w:val="24"/>
          <w:szCs w:val="24"/>
        </w:rPr>
        <w:t>of their effectiveness in achieving the specific objectives, their efficiency in terms of the associated cost</w:t>
      </w:r>
      <w:r w:rsidR="00032541">
        <w:rPr>
          <w:rFonts w:ascii="Times New Roman" w:hAnsi="Times New Roman" w:cs="Times New Roman"/>
          <w:noProof/>
          <w:sz w:val="24"/>
          <w:szCs w:val="24"/>
        </w:rPr>
        <w:t>,</w:t>
      </w:r>
      <w:r w:rsidRPr="000938AB">
        <w:rPr>
          <w:rFonts w:ascii="Times New Roman" w:hAnsi="Times New Roman" w:cs="Times New Roman"/>
          <w:noProof/>
          <w:sz w:val="24"/>
          <w:szCs w:val="24"/>
        </w:rPr>
        <w:t xml:space="preserve"> and their coherence with the existing EU regulatory framework in the area of data sharing. </w:t>
      </w:r>
    </w:p>
    <w:p w14:paraId="4CE6A60A" w14:textId="77777777" w:rsidR="00897858" w:rsidRPr="000938AB" w:rsidRDefault="00897858" w:rsidP="00897858">
      <w:pPr>
        <w:keepNext/>
        <w:jc w:val="both"/>
        <w:rPr>
          <w:rFonts w:ascii="Times New Roman" w:hAnsi="Times New Roman" w:cs="Times New Roman"/>
          <w:b/>
          <w:noProof/>
          <w:sz w:val="24"/>
          <w:szCs w:val="24"/>
        </w:rPr>
      </w:pPr>
      <w:r w:rsidRPr="000938AB">
        <w:rPr>
          <w:rFonts w:ascii="Times New Roman" w:hAnsi="Times New Roman" w:cs="Times New Roman"/>
          <w:b/>
          <w:noProof/>
          <w:sz w:val="24"/>
          <w:szCs w:val="24"/>
        </w:rPr>
        <w:t>Impacts of the preferred option</w:t>
      </w:r>
    </w:p>
    <w:p w14:paraId="477CBACE" w14:textId="77777777"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As a result of a thorough analysis, the following policy option bundle was found to be preferable:</w:t>
      </w:r>
    </w:p>
    <w:p w14:paraId="17173D44" w14:textId="371BA3C0" w:rsidR="00897858" w:rsidRPr="000938AB" w:rsidRDefault="00897858" w:rsidP="00897858">
      <w:pPr>
        <w:pStyle w:val="ListParagraph"/>
        <w:numPr>
          <w:ilvl w:val="0"/>
          <w:numId w:val="1"/>
        </w:numPr>
        <w:jc w:val="both"/>
        <w:rPr>
          <w:rFonts w:ascii="Times New Roman" w:hAnsi="Times New Roman" w:cs="Times New Roman"/>
          <w:noProof/>
          <w:sz w:val="24"/>
          <w:szCs w:val="24"/>
          <w:lang w:val="en-GB"/>
        </w:rPr>
      </w:pPr>
      <w:r w:rsidRPr="000938AB">
        <w:rPr>
          <w:rFonts w:ascii="Times New Roman" w:hAnsi="Times New Roman" w:cs="Times New Roman"/>
          <w:noProof/>
          <w:sz w:val="24"/>
          <w:szCs w:val="24"/>
          <w:lang w:val="en-GB"/>
        </w:rPr>
        <w:t xml:space="preserve">Require market participants to provide customers with open finance permission dashboards, set eligibility rules on access to customer data and empower the European </w:t>
      </w:r>
      <w:r w:rsidR="00032541">
        <w:rPr>
          <w:rFonts w:ascii="Times New Roman" w:hAnsi="Times New Roman" w:cs="Times New Roman"/>
          <w:noProof/>
          <w:sz w:val="24"/>
          <w:szCs w:val="24"/>
          <w:lang w:val="en-GB"/>
        </w:rPr>
        <w:t>s</w:t>
      </w:r>
      <w:r w:rsidRPr="000938AB">
        <w:rPr>
          <w:rFonts w:ascii="Times New Roman" w:hAnsi="Times New Roman" w:cs="Times New Roman"/>
          <w:noProof/>
          <w:sz w:val="24"/>
          <w:szCs w:val="24"/>
          <w:lang w:val="en-GB"/>
        </w:rPr>
        <w:t xml:space="preserve">upervisory </w:t>
      </w:r>
      <w:r w:rsidR="00032541">
        <w:rPr>
          <w:rFonts w:ascii="Times New Roman" w:hAnsi="Times New Roman" w:cs="Times New Roman"/>
          <w:noProof/>
          <w:sz w:val="24"/>
          <w:szCs w:val="24"/>
          <w:lang w:val="en-GB"/>
        </w:rPr>
        <w:t>a</w:t>
      </w:r>
      <w:r w:rsidRPr="000938AB">
        <w:rPr>
          <w:rFonts w:ascii="Times New Roman" w:hAnsi="Times New Roman" w:cs="Times New Roman"/>
          <w:noProof/>
          <w:sz w:val="24"/>
          <w:szCs w:val="24"/>
          <w:lang w:val="en-GB"/>
        </w:rPr>
        <w:t>uthorities to issue guidelines on personal data use perimeters (Option A.3)</w:t>
      </w:r>
    </w:p>
    <w:p w14:paraId="719617AB" w14:textId="77777777" w:rsidR="00897858" w:rsidRPr="000938AB" w:rsidRDefault="00897858" w:rsidP="00897858">
      <w:pPr>
        <w:pStyle w:val="ListParagraph"/>
        <w:numPr>
          <w:ilvl w:val="0"/>
          <w:numId w:val="1"/>
        </w:numPr>
        <w:jc w:val="both"/>
        <w:rPr>
          <w:rFonts w:ascii="Times New Roman" w:hAnsi="Times New Roman" w:cs="Times New Roman"/>
          <w:noProof/>
          <w:sz w:val="24"/>
          <w:szCs w:val="24"/>
          <w:lang w:val="en-GB"/>
        </w:rPr>
      </w:pPr>
      <w:r w:rsidRPr="000938AB">
        <w:rPr>
          <w:rFonts w:ascii="Times New Roman" w:hAnsi="Times New Roman" w:cs="Times New Roman"/>
          <w:noProof/>
          <w:sz w:val="24"/>
          <w:szCs w:val="24"/>
          <w:lang w:val="en-GB"/>
        </w:rPr>
        <w:t>Mandate access for data users to selected customer data sets across the financial sector (Option B.2)</w:t>
      </w:r>
    </w:p>
    <w:p w14:paraId="2616DD47" w14:textId="1C6F0C62" w:rsidR="00897858" w:rsidRPr="000938AB" w:rsidRDefault="00897858" w:rsidP="00897858">
      <w:pPr>
        <w:pStyle w:val="ListParagraph"/>
        <w:numPr>
          <w:ilvl w:val="0"/>
          <w:numId w:val="1"/>
        </w:numPr>
        <w:jc w:val="both"/>
        <w:rPr>
          <w:rFonts w:ascii="Times New Roman" w:hAnsi="Times New Roman" w:cs="Times New Roman"/>
          <w:noProof/>
          <w:sz w:val="24"/>
          <w:szCs w:val="24"/>
          <w:lang w:val="en-GB"/>
        </w:rPr>
      </w:pPr>
      <w:r w:rsidRPr="000938AB">
        <w:rPr>
          <w:rFonts w:ascii="Times New Roman" w:hAnsi="Times New Roman" w:cs="Times New Roman"/>
          <w:noProof/>
          <w:sz w:val="24"/>
          <w:szCs w:val="24"/>
          <w:lang w:val="en-GB"/>
        </w:rPr>
        <w:t xml:space="preserve">Require market participants to develop common standards for customer data and interfaces concerning data that are subject to mandatory access under the specific objective B, as part of </w:t>
      </w:r>
      <w:r w:rsidR="00FA1ED0">
        <w:rPr>
          <w:rFonts w:ascii="Times New Roman" w:hAnsi="Times New Roman" w:cs="Times New Roman"/>
          <w:noProof/>
          <w:sz w:val="24"/>
          <w:szCs w:val="24"/>
          <w:lang w:val="en-GB"/>
        </w:rPr>
        <w:t xml:space="preserve">financial data sharing </w:t>
      </w:r>
      <w:r w:rsidRPr="000938AB">
        <w:rPr>
          <w:rFonts w:ascii="Times New Roman" w:hAnsi="Times New Roman" w:cs="Times New Roman"/>
          <w:noProof/>
          <w:sz w:val="24"/>
          <w:szCs w:val="24"/>
          <w:lang w:val="en-GB"/>
        </w:rPr>
        <w:t>schemes (Option C.1)</w:t>
      </w:r>
    </w:p>
    <w:p w14:paraId="5633C4D5" w14:textId="71F9EAEF" w:rsidR="00897858" w:rsidRPr="000938AB" w:rsidRDefault="00897858" w:rsidP="00897858">
      <w:pPr>
        <w:pStyle w:val="ListParagraph"/>
        <w:numPr>
          <w:ilvl w:val="0"/>
          <w:numId w:val="1"/>
        </w:numPr>
        <w:jc w:val="both"/>
        <w:rPr>
          <w:rFonts w:ascii="Times New Roman" w:hAnsi="Times New Roman" w:cs="Times New Roman"/>
          <w:noProof/>
          <w:sz w:val="24"/>
          <w:szCs w:val="24"/>
          <w:lang w:val="en-GB"/>
        </w:rPr>
      </w:pPr>
      <w:r w:rsidRPr="000938AB">
        <w:rPr>
          <w:rFonts w:ascii="Times New Roman" w:hAnsi="Times New Roman" w:cs="Times New Roman"/>
          <w:noProof/>
          <w:sz w:val="24"/>
          <w:szCs w:val="24"/>
          <w:lang w:val="en-GB"/>
        </w:rPr>
        <w:t xml:space="preserve">Require data holders to put in place </w:t>
      </w:r>
      <w:r w:rsidR="00032541">
        <w:rPr>
          <w:rFonts w:ascii="Times New Roman" w:hAnsi="Times New Roman" w:cs="Times New Roman"/>
          <w:noProof/>
          <w:sz w:val="24"/>
          <w:szCs w:val="24"/>
          <w:lang w:val="en-GB"/>
        </w:rPr>
        <w:t>application programming interfaces (</w:t>
      </w:r>
      <w:r w:rsidRPr="000938AB">
        <w:rPr>
          <w:rFonts w:ascii="Times New Roman" w:hAnsi="Times New Roman" w:cs="Times New Roman"/>
          <w:noProof/>
          <w:sz w:val="24"/>
          <w:szCs w:val="24"/>
          <w:lang w:val="en-GB"/>
        </w:rPr>
        <w:t>APIs</w:t>
      </w:r>
      <w:r w:rsidR="00032541">
        <w:rPr>
          <w:rFonts w:ascii="Times New Roman" w:hAnsi="Times New Roman" w:cs="Times New Roman"/>
          <w:noProof/>
          <w:sz w:val="24"/>
          <w:szCs w:val="24"/>
          <w:lang w:val="en-GB"/>
        </w:rPr>
        <w:t>)</w:t>
      </w:r>
      <w:r w:rsidRPr="000938AB">
        <w:rPr>
          <w:rFonts w:ascii="Times New Roman" w:hAnsi="Times New Roman" w:cs="Times New Roman"/>
          <w:noProof/>
          <w:sz w:val="24"/>
          <w:szCs w:val="24"/>
          <w:lang w:val="en-GB"/>
        </w:rPr>
        <w:t xml:space="preserve"> </w:t>
      </w:r>
      <w:r w:rsidR="00FA1ED0">
        <w:rPr>
          <w:rFonts w:ascii="Times New Roman" w:hAnsi="Times New Roman" w:cs="Times New Roman"/>
          <w:noProof/>
          <w:sz w:val="24"/>
          <w:szCs w:val="24"/>
          <w:lang w:val="en-GB"/>
        </w:rPr>
        <w:t>in exchange for</w:t>
      </w:r>
      <w:r w:rsidR="00FA1ED0" w:rsidRPr="000938AB">
        <w:rPr>
          <w:rFonts w:ascii="Times New Roman" w:hAnsi="Times New Roman" w:cs="Times New Roman"/>
          <w:noProof/>
          <w:sz w:val="24"/>
          <w:szCs w:val="24"/>
          <w:lang w:val="en-GB"/>
        </w:rPr>
        <w:t xml:space="preserve"> </w:t>
      </w:r>
      <w:r w:rsidRPr="000938AB">
        <w:rPr>
          <w:rFonts w:ascii="Times New Roman" w:hAnsi="Times New Roman" w:cs="Times New Roman"/>
          <w:noProof/>
          <w:sz w:val="24"/>
          <w:szCs w:val="24"/>
          <w:lang w:val="en-GB"/>
        </w:rPr>
        <w:t>compensation, implementing the common standards for customer data and interfaces developed as part of</w:t>
      </w:r>
      <w:r w:rsidR="00FA1ED0">
        <w:rPr>
          <w:rFonts w:ascii="Times New Roman" w:hAnsi="Times New Roman" w:cs="Times New Roman"/>
          <w:noProof/>
          <w:sz w:val="24"/>
          <w:szCs w:val="24"/>
          <w:lang w:val="en-GB"/>
        </w:rPr>
        <w:t xml:space="preserve"> financial data sharing</w:t>
      </w:r>
      <w:r w:rsidRPr="000938AB">
        <w:rPr>
          <w:rFonts w:ascii="Times New Roman" w:hAnsi="Times New Roman" w:cs="Times New Roman"/>
          <w:noProof/>
          <w:sz w:val="24"/>
          <w:szCs w:val="24"/>
          <w:lang w:val="en-GB"/>
        </w:rPr>
        <w:t xml:space="preserve"> schemes under objective C and require scheme members to agree on contractual liability (Option D.3) </w:t>
      </w:r>
    </w:p>
    <w:p w14:paraId="3CDECCF3" w14:textId="77777777" w:rsidR="00032541"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The open finance policy would have a positive impact on society and the environment, as well as on fundamental rights and SMEs. Customers willing to share their data would benefit from new products and services that would improve their economic outcomes. At the same time, the carefully defined scope of this initiative would exclude data sets with the highest risk of financial exclusion of vulnerable consumers outright. Furthermore, open finance permission dashboards, combined with eligibility rules and personal data use perimeters, would protect customers from any other potential negative impacts on data protection and privacy rights. </w:t>
      </w:r>
    </w:p>
    <w:p w14:paraId="328683F1" w14:textId="06D8FBD0" w:rsidR="00032541"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Customer data would only be shared at the request of the customer and in accordance with the EU General Data Protection Regulation (GDPR) in case of personal data, thus increasing overall customer confidence in data sharing. </w:t>
      </w:r>
      <w:r w:rsidR="006B7663">
        <w:rPr>
          <w:rFonts w:ascii="Times New Roman" w:hAnsi="Times New Roman" w:cs="Times New Roman"/>
          <w:noProof/>
          <w:sz w:val="24"/>
          <w:szCs w:val="24"/>
        </w:rPr>
        <w:t>D</w:t>
      </w:r>
      <w:r w:rsidRPr="000938AB">
        <w:rPr>
          <w:rFonts w:ascii="Times New Roman" w:hAnsi="Times New Roman" w:cs="Times New Roman"/>
          <w:noProof/>
          <w:sz w:val="24"/>
          <w:szCs w:val="24"/>
        </w:rPr>
        <w:t>ata holders</w:t>
      </w:r>
      <w:r w:rsidR="006B7663">
        <w:rPr>
          <w:rFonts w:ascii="Times New Roman" w:hAnsi="Times New Roman" w:cs="Times New Roman"/>
          <w:noProof/>
          <w:sz w:val="24"/>
          <w:szCs w:val="24"/>
        </w:rPr>
        <w:t xml:space="preserve"> would be required</w:t>
      </w:r>
      <w:r w:rsidRPr="000938AB">
        <w:rPr>
          <w:rFonts w:ascii="Times New Roman" w:hAnsi="Times New Roman" w:cs="Times New Roman"/>
          <w:noProof/>
          <w:sz w:val="24"/>
          <w:szCs w:val="24"/>
        </w:rPr>
        <w:t xml:space="preserve"> to provide</w:t>
      </w:r>
      <w:r w:rsidR="006B7663">
        <w:rPr>
          <w:rFonts w:ascii="Times New Roman" w:hAnsi="Times New Roman" w:cs="Times New Roman"/>
          <w:noProof/>
          <w:sz w:val="24"/>
          <w:szCs w:val="24"/>
        </w:rPr>
        <w:t xml:space="preserve"> access to</w:t>
      </w:r>
      <w:r w:rsidRPr="000938AB">
        <w:rPr>
          <w:rFonts w:ascii="Times New Roman" w:hAnsi="Times New Roman" w:cs="Times New Roman"/>
          <w:noProof/>
          <w:sz w:val="24"/>
          <w:szCs w:val="24"/>
        </w:rPr>
        <w:t xml:space="preserve"> customer data sets from across the financial sector that have high added value for </w:t>
      </w:r>
      <w:r w:rsidR="006B7663">
        <w:rPr>
          <w:rFonts w:ascii="Times New Roman" w:hAnsi="Times New Roman" w:cs="Times New Roman"/>
          <w:noProof/>
          <w:sz w:val="24"/>
          <w:szCs w:val="24"/>
        </w:rPr>
        <w:t>data users</w:t>
      </w:r>
      <w:r w:rsidR="006B7663" w:rsidRPr="000938AB">
        <w:rPr>
          <w:rFonts w:ascii="Times New Roman" w:hAnsi="Times New Roman" w:cs="Times New Roman"/>
          <w:noProof/>
          <w:sz w:val="24"/>
          <w:szCs w:val="24"/>
        </w:rPr>
        <w:t xml:space="preserve"> </w:t>
      </w:r>
      <w:r w:rsidRPr="000938AB">
        <w:rPr>
          <w:rFonts w:ascii="Times New Roman" w:hAnsi="Times New Roman" w:cs="Times New Roman"/>
          <w:noProof/>
          <w:sz w:val="24"/>
          <w:szCs w:val="24"/>
        </w:rPr>
        <w:t xml:space="preserve">and </w:t>
      </w:r>
      <w:r w:rsidR="006B7663">
        <w:rPr>
          <w:rFonts w:ascii="Times New Roman" w:hAnsi="Times New Roman" w:cs="Times New Roman"/>
          <w:noProof/>
          <w:sz w:val="24"/>
          <w:szCs w:val="24"/>
        </w:rPr>
        <w:t xml:space="preserve">pose </w:t>
      </w:r>
      <w:r w:rsidRPr="000938AB">
        <w:rPr>
          <w:rFonts w:ascii="Times New Roman" w:hAnsi="Times New Roman" w:cs="Times New Roman"/>
          <w:noProof/>
          <w:sz w:val="24"/>
          <w:szCs w:val="24"/>
        </w:rPr>
        <w:t xml:space="preserve">low risk </w:t>
      </w:r>
      <w:r w:rsidR="006B7663">
        <w:rPr>
          <w:rFonts w:ascii="Times New Roman" w:hAnsi="Times New Roman" w:cs="Times New Roman"/>
          <w:noProof/>
          <w:sz w:val="24"/>
          <w:szCs w:val="24"/>
        </w:rPr>
        <w:t>to customers</w:t>
      </w:r>
      <w:r w:rsidRPr="000938AB">
        <w:rPr>
          <w:rFonts w:ascii="Times New Roman" w:hAnsi="Times New Roman" w:cs="Times New Roman"/>
          <w:noProof/>
          <w:sz w:val="24"/>
          <w:szCs w:val="24"/>
        </w:rPr>
        <w:t xml:space="preserve"> in</w:t>
      </w:r>
      <w:r w:rsidR="006B7663">
        <w:rPr>
          <w:rFonts w:ascii="Times New Roman" w:hAnsi="Times New Roman" w:cs="Times New Roman"/>
          <w:noProof/>
          <w:sz w:val="24"/>
          <w:szCs w:val="24"/>
        </w:rPr>
        <w:t xml:space="preserve"> terms of financial exclusion. This</w:t>
      </w:r>
      <w:r w:rsidRPr="000938AB">
        <w:rPr>
          <w:rFonts w:ascii="Times New Roman" w:hAnsi="Times New Roman" w:cs="Times New Roman"/>
          <w:noProof/>
          <w:sz w:val="24"/>
          <w:szCs w:val="24"/>
        </w:rPr>
        <w:t xml:space="preserve"> would enable greater competition, better access to financial services, and a better customer experience through automation. Requiring market participants to adhere to a system for developing common data and interface standards will affect data holders, data users and customers alike, and facilitate direct connectivity between data holders and users, thereby reducing the cost of data access and processing. </w:t>
      </w:r>
    </w:p>
    <w:p w14:paraId="1B1309A1" w14:textId="1328B1B9"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The right of the data holders to demand reasonable compensation for providing standardised technical interfaces would provide them with clear incentives to make the necessary investment in good quality interfaces and speed up industry adoption. While data holders will have to invest in technical interfaces, the cost of setting them up will be passed on to data users over time. By limiting the level of this compensation in line with the provisions set out in the Data Act proposal, which cap it at cost in </w:t>
      </w:r>
      <w:r w:rsidR="000F0E57">
        <w:rPr>
          <w:rFonts w:ascii="Times New Roman" w:hAnsi="Times New Roman" w:cs="Times New Roman"/>
          <w:noProof/>
          <w:sz w:val="24"/>
          <w:szCs w:val="24"/>
        </w:rPr>
        <w:t xml:space="preserve">the </w:t>
      </w:r>
      <w:r w:rsidRPr="000938AB">
        <w:rPr>
          <w:rFonts w:ascii="Times New Roman" w:hAnsi="Times New Roman" w:cs="Times New Roman"/>
          <w:noProof/>
          <w:sz w:val="24"/>
          <w:szCs w:val="24"/>
        </w:rPr>
        <w:t>case of data users that are SMEs, the risk of undesirable anticompetitive effects is kept in check.</w:t>
      </w:r>
    </w:p>
    <w:p w14:paraId="44652EB1" w14:textId="39ECFA3E" w:rsidR="00897858" w:rsidRPr="000938AB" w:rsidRDefault="00897858"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 xml:space="preserve">SMEs, which </w:t>
      </w:r>
      <w:r w:rsidR="00FA1ED0">
        <w:rPr>
          <w:rFonts w:ascii="Times New Roman" w:hAnsi="Times New Roman" w:cs="Times New Roman"/>
          <w:noProof/>
          <w:sz w:val="24"/>
          <w:szCs w:val="24"/>
        </w:rPr>
        <w:t xml:space="preserve">can be either </w:t>
      </w:r>
      <w:r w:rsidRPr="000938AB">
        <w:rPr>
          <w:rFonts w:ascii="Times New Roman" w:hAnsi="Times New Roman" w:cs="Times New Roman"/>
          <w:noProof/>
          <w:sz w:val="24"/>
          <w:szCs w:val="24"/>
        </w:rPr>
        <w:t xml:space="preserve">data users or customers, would benefit from the open finance framework in both those capacities. </w:t>
      </w:r>
      <w:r w:rsidR="00032541">
        <w:rPr>
          <w:rFonts w:ascii="Times New Roman" w:hAnsi="Times New Roman" w:cs="Times New Roman"/>
          <w:noProof/>
          <w:sz w:val="24"/>
          <w:szCs w:val="24"/>
        </w:rPr>
        <w:t>A</w:t>
      </w:r>
      <w:r w:rsidRPr="000938AB">
        <w:rPr>
          <w:rFonts w:ascii="Times New Roman" w:hAnsi="Times New Roman" w:cs="Times New Roman"/>
          <w:noProof/>
          <w:sz w:val="24"/>
          <w:szCs w:val="24"/>
        </w:rPr>
        <w:t xml:space="preserve">s customers, their security and confidence in data exchange would be strengthened and they would be able to access more innovative services, which could reduce their costs and contribute to their competitiveness. </w:t>
      </w:r>
      <w:r w:rsidR="00032541">
        <w:rPr>
          <w:rFonts w:ascii="Times New Roman" w:hAnsi="Times New Roman" w:cs="Times New Roman"/>
          <w:noProof/>
          <w:sz w:val="24"/>
          <w:szCs w:val="24"/>
        </w:rPr>
        <w:t>A</w:t>
      </w:r>
      <w:r w:rsidRPr="000938AB">
        <w:rPr>
          <w:rFonts w:ascii="Times New Roman" w:hAnsi="Times New Roman" w:cs="Times New Roman"/>
          <w:noProof/>
          <w:sz w:val="24"/>
          <w:szCs w:val="24"/>
        </w:rPr>
        <w:t xml:space="preserve">s data users, SMEs would bear the cost of providing open finance permission dashboards and licensing for access to customer data, </w:t>
      </w:r>
      <w:r w:rsidR="002557AE">
        <w:rPr>
          <w:rFonts w:ascii="Times New Roman" w:hAnsi="Times New Roman" w:cs="Times New Roman"/>
          <w:noProof/>
          <w:sz w:val="24"/>
          <w:szCs w:val="24"/>
        </w:rPr>
        <w:t>while</w:t>
      </w:r>
      <w:r w:rsidRPr="000938AB">
        <w:rPr>
          <w:rFonts w:ascii="Times New Roman" w:hAnsi="Times New Roman" w:cs="Times New Roman"/>
          <w:noProof/>
          <w:sz w:val="24"/>
          <w:szCs w:val="24"/>
        </w:rPr>
        <w:t xml:space="preserve"> innovative services could increase their efficiency and standardisation of data would open up new business opportunities. The initiative is expected to facilitate market entry of innovative start-ups that offer new types of services involving new business models.  </w:t>
      </w:r>
    </w:p>
    <w:p w14:paraId="50B5B42D" w14:textId="596CD4A5" w:rsidR="00F31280" w:rsidRPr="000938AB" w:rsidRDefault="00032541" w:rsidP="00897858">
      <w:pPr>
        <w:jc w:val="both"/>
        <w:rPr>
          <w:rFonts w:ascii="Times New Roman" w:hAnsi="Times New Roman" w:cs="Times New Roman"/>
          <w:noProof/>
          <w:sz w:val="24"/>
          <w:szCs w:val="24"/>
        </w:rPr>
      </w:pPr>
      <w:r w:rsidRPr="000938AB">
        <w:rPr>
          <w:rFonts w:ascii="Times New Roman" w:hAnsi="Times New Roman" w:cs="Times New Roman"/>
          <w:noProof/>
          <w:sz w:val="24"/>
          <w:szCs w:val="24"/>
        </w:rPr>
        <w:t>Whil</w:t>
      </w:r>
      <w:r>
        <w:rPr>
          <w:rFonts w:ascii="Times New Roman" w:hAnsi="Times New Roman" w:cs="Times New Roman"/>
          <w:noProof/>
          <w:sz w:val="24"/>
          <w:szCs w:val="24"/>
        </w:rPr>
        <w:t>e</w:t>
      </w:r>
      <w:r w:rsidRPr="000938AB">
        <w:rPr>
          <w:rFonts w:ascii="Times New Roman" w:hAnsi="Times New Roman" w:cs="Times New Roman"/>
          <w:noProof/>
          <w:sz w:val="24"/>
          <w:szCs w:val="24"/>
        </w:rPr>
        <w:t xml:space="preserve"> </w:t>
      </w:r>
      <w:r w:rsidR="00897858" w:rsidRPr="000938AB">
        <w:rPr>
          <w:rFonts w:ascii="Times New Roman" w:hAnsi="Times New Roman" w:cs="Times New Roman"/>
          <w:noProof/>
          <w:sz w:val="24"/>
          <w:szCs w:val="24"/>
        </w:rPr>
        <w:t xml:space="preserve">the impact of the initiative will be monitored as of its entry into force, an evaluation should be carried out no earlier than </w:t>
      </w:r>
      <w:r>
        <w:rPr>
          <w:rFonts w:ascii="Times New Roman" w:hAnsi="Times New Roman" w:cs="Times New Roman"/>
          <w:noProof/>
          <w:sz w:val="24"/>
          <w:szCs w:val="24"/>
        </w:rPr>
        <w:t>3</w:t>
      </w:r>
      <w:r w:rsidRPr="000938AB">
        <w:rPr>
          <w:rFonts w:ascii="Times New Roman" w:hAnsi="Times New Roman" w:cs="Times New Roman"/>
          <w:noProof/>
          <w:sz w:val="24"/>
          <w:szCs w:val="24"/>
        </w:rPr>
        <w:t xml:space="preserve"> </w:t>
      </w:r>
      <w:r w:rsidR="00897858" w:rsidRPr="000938AB">
        <w:rPr>
          <w:rFonts w:ascii="Times New Roman" w:hAnsi="Times New Roman" w:cs="Times New Roman"/>
          <w:noProof/>
          <w:sz w:val="24"/>
          <w:szCs w:val="24"/>
        </w:rPr>
        <w:t>years after its implementation</w:t>
      </w:r>
      <w:r>
        <w:rPr>
          <w:noProof/>
        </w:rPr>
        <w:t>.</w:t>
      </w:r>
      <w:r w:rsidRPr="000938AB">
        <w:rPr>
          <w:noProof/>
        </w:rPr>
        <w:t xml:space="preserve"> </w:t>
      </w:r>
      <w:r>
        <w:rPr>
          <w:rFonts w:ascii="Times New Roman" w:hAnsi="Times New Roman" w:cs="Times New Roman"/>
          <w:noProof/>
          <w:sz w:val="24"/>
          <w:szCs w:val="24"/>
        </w:rPr>
        <w:t xml:space="preserve">In this way, </w:t>
      </w:r>
      <w:r w:rsidR="00897858" w:rsidRPr="000938AB">
        <w:rPr>
          <w:rFonts w:ascii="Times New Roman" w:hAnsi="Times New Roman" w:cs="Times New Roman"/>
          <w:noProof/>
          <w:sz w:val="24"/>
          <w:szCs w:val="24"/>
        </w:rPr>
        <w:t xml:space="preserve">the results </w:t>
      </w:r>
      <w:r>
        <w:rPr>
          <w:rFonts w:ascii="Times New Roman" w:hAnsi="Times New Roman" w:cs="Times New Roman"/>
          <w:noProof/>
          <w:sz w:val="24"/>
          <w:szCs w:val="24"/>
        </w:rPr>
        <w:t>will be</w:t>
      </w:r>
      <w:r w:rsidRPr="000938AB">
        <w:rPr>
          <w:rFonts w:ascii="Times New Roman" w:hAnsi="Times New Roman" w:cs="Times New Roman"/>
          <w:noProof/>
          <w:sz w:val="24"/>
          <w:szCs w:val="24"/>
        </w:rPr>
        <w:t xml:space="preserve"> </w:t>
      </w:r>
      <w:r w:rsidR="00897858" w:rsidRPr="000938AB">
        <w:rPr>
          <w:rFonts w:ascii="Times New Roman" w:hAnsi="Times New Roman" w:cs="Times New Roman"/>
          <w:noProof/>
          <w:sz w:val="24"/>
          <w:szCs w:val="24"/>
        </w:rPr>
        <w:t>based on a sufficient period of observation.</w:t>
      </w:r>
    </w:p>
    <w:sectPr w:rsidR="00F31280" w:rsidRPr="000938AB" w:rsidSect="0026613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9C53B" w14:textId="77777777" w:rsidR="00595C96" w:rsidRDefault="00595C96" w:rsidP="0026613F">
      <w:pPr>
        <w:spacing w:after="0" w:line="240" w:lineRule="auto"/>
      </w:pPr>
      <w:r>
        <w:separator/>
      </w:r>
    </w:p>
  </w:endnote>
  <w:endnote w:type="continuationSeparator" w:id="0">
    <w:p w14:paraId="21EB7AC4" w14:textId="77777777" w:rsidR="00595C96" w:rsidRDefault="00595C96"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54E8" w14:textId="77777777" w:rsidR="009B593A" w:rsidRPr="009B593A" w:rsidRDefault="009B593A" w:rsidP="009B5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B3E9" w14:textId="6018C386" w:rsidR="00157D3C" w:rsidRPr="009B593A" w:rsidRDefault="009B593A" w:rsidP="009B593A">
    <w:pPr>
      <w:pStyle w:val="FooterCoverPage"/>
      <w:rPr>
        <w:rFonts w:ascii="Arial" w:hAnsi="Arial" w:cs="Arial"/>
        <w:b/>
        <w:sz w:val="48"/>
      </w:rPr>
    </w:pPr>
    <w:r w:rsidRPr="009B593A">
      <w:rPr>
        <w:rFonts w:ascii="Arial" w:hAnsi="Arial" w:cs="Arial"/>
        <w:b/>
        <w:sz w:val="48"/>
      </w:rPr>
      <w:t>EN</w:t>
    </w:r>
    <w:r w:rsidRPr="009B593A">
      <w:rPr>
        <w:rFonts w:ascii="Arial" w:hAnsi="Arial" w:cs="Arial"/>
        <w:b/>
        <w:sz w:val="48"/>
      </w:rPr>
      <w:tab/>
    </w:r>
    <w:r w:rsidRPr="009B593A">
      <w:rPr>
        <w:rFonts w:ascii="Arial" w:hAnsi="Arial" w:cs="Arial"/>
        <w:b/>
        <w:sz w:val="48"/>
      </w:rPr>
      <w:tab/>
    </w:r>
    <w:r w:rsidRPr="009B593A">
      <w:tab/>
    </w:r>
    <w:r w:rsidRPr="009B593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FA85" w14:textId="77777777" w:rsidR="009B593A" w:rsidRPr="009B593A" w:rsidRDefault="009B593A" w:rsidP="009B593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255D" w14:textId="77777777" w:rsidR="00595C96" w:rsidRDefault="00595C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rPr>
        <w:noProof/>
      </w:rPr>
    </w:sdtEndPr>
    <w:sdtContent>
      <w:p w14:paraId="3731740B" w14:textId="197855EE" w:rsidR="00595C96" w:rsidRDefault="00C15247">
        <w:pPr>
          <w:pStyle w:val="Footer"/>
          <w:jc w:val="center"/>
        </w:pPr>
        <w:r>
          <w:fldChar w:fldCharType="begin"/>
        </w:r>
        <w:r>
          <w:instrText xml:space="preserve"> PAGE   \* MERGEFORMAT </w:instrText>
        </w:r>
        <w:r>
          <w:fldChar w:fldCharType="separate"/>
        </w:r>
        <w:r w:rsidR="009B593A">
          <w:rPr>
            <w:noProof/>
          </w:rPr>
          <w:t>1</w:t>
        </w:r>
        <w:r>
          <w:rPr>
            <w:noProof/>
          </w:rPr>
          <w:fldChar w:fldCharType="end"/>
        </w:r>
      </w:p>
    </w:sdtContent>
  </w:sdt>
  <w:p w14:paraId="7F3D8F4D" w14:textId="77777777" w:rsidR="00595C96" w:rsidRDefault="00595C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872D" w14:textId="77777777" w:rsidR="00595C96" w:rsidRDefault="0059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2A8C" w14:textId="77777777" w:rsidR="00595C96" w:rsidRDefault="00595C96" w:rsidP="0026613F">
      <w:pPr>
        <w:spacing w:after="0" w:line="240" w:lineRule="auto"/>
      </w:pPr>
      <w:r>
        <w:separator/>
      </w:r>
    </w:p>
  </w:footnote>
  <w:footnote w:type="continuationSeparator" w:id="0">
    <w:p w14:paraId="76748CEA" w14:textId="77777777" w:rsidR="00595C96" w:rsidRDefault="00595C96"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2E187" w14:textId="77777777" w:rsidR="009B593A" w:rsidRPr="009B593A" w:rsidRDefault="009B593A" w:rsidP="009B5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D2AF" w14:textId="77777777" w:rsidR="009B593A" w:rsidRPr="009B593A" w:rsidRDefault="009B593A" w:rsidP="009B593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E7B2" w14:textId="77777777" w:rsidR="009B593A" w:rsidRPr="009B593A" w:rsidRDefault="009B593A" w:rsidP="009B593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761A" w14:textId="77777777" w:rsidR="00595C96" w:rsidRDefault="00595C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EA3A" w14:textId="77777777" w:rsidR="00595C96" w:rsidRDefault="00595C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D7DC" w14:textId="77777777" w:rsidR="00595C96" w:rsidRDefault="00595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107DD"/>
    <w:multiLevelType w:val="hybridMultilevel"/>
    <w:tmpl w:val="9D5A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05F7F"/>
    <w:multiLevelType w:val="hybridMultilevel"/>
    <w:tmpl w:val="E6F6019C"/>
    <w:lvl w:ilvl="0" w:tplc="C56A2760">
      <w:start w:val="1"/>
      <w:numFmt w:val="upp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C26E90"/>
    <w:multiLevelType w:val="hybridMultilevel"/>
    <w:tmpl w:val="94B6A0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F1522"/>
    <w:multiLevelType w:val="hybridMultilevel"/>
    <w:tmpl w:val="E2160F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33EFD575-DF02-418C-A40E-61516A571C43"/>
    <w:docVar w:name="LW_COVERPAGE_TYPE" w:val="1"/>
    <w:docVar w:name="LW_CROSSREFERENCE" w:val="{COM(2023) 360 final} - {SEC(2023) 255 final} - {SWD(2023) 224 final}"/>
    <w:docVar w:name="LW_DATE.ADOPT.CP_ISODATE" w:val="&lt;EMPTY&gt;"/>
    <w:docVar w:name="LW_DocType" w:val="NORMAL"/>
    <w:docVar w:name="LW_EMISSION" w:val="28.6.2023"/>
    <w:docVar w:name="LW_EMISSION_ISODATE" w:val="2023-06-28"/>
    <w:docVar w:name="LW_EMISSION_LOCATION" w:val="BRX"/>
    <w:docVar w:name="LW_EMISSION_PREFIX" w:val="Brussels, "/>
    <w:docVar w:name="LW_EMISSION_SUFFIX" w:val=" "/>
    <w:docVar w:name="LW_ID_DOCTYPE_NONLW" w:val="CP-027"/>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on a framework for Financial Data Access and amending Regulations (EU) No 1093/2010, (EU) No 1094/2010, (EU) No 1095/2010 and (EU) 2022/2554"/>
    <w:docVar w:name="LW_PART_NBR" w:val="1"/>
    <w:docVar w:name="LW_PART_NBR_TOTAL" w:val="1"/>
    <w:docVar w:name="LW_REF.II.NEW.CP" w:val="&lt;UNUSED&gt;"/>
    <w:docVar w:name="LW_REF.II.NEW.CP_NUMBER" w:val="&lt;UNUSED&gt;"/>
    <w:docVar w:name="LW_REF.II.NEW.CP_YEAR" w:val="2023"/>
    <w:docVar w:name="LW_REF.INST.NEW" w:val="SWD"/>
    <w:docVar w:name="LW_REF.INST.NEW_ADOPTED" w:val="final"/>
    <w:docVar w:name="LW_REF.INST.NEW_TEXT" w:val="(2023) 2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 REPORT_x000b_"/>
    <w:docVar w:name="LW_TYPEACTEPRINCIPAL.CP" w:val="Proposal for a Regulation of the European Parliament and of the Council "/>
    <w:docVar w:name="LwApiVersions" w:val="LW4CoDe 1.23.2.0; LW 8.0, Build 20211117"/>
  </w:docVars>
  <w:rsids>
    <w:rsidRoot w:val="0026613F"/>
    <w:rsid w:val="00016302"/>
    <w:rsid w:val="00032541"/>
    <w:rsid w:val="00086CB2"/>
    <w:rsid w:val="0009178F"/>
    <w:rsid w:val="000938AB"/>
    <w:rsid w:val="000F0E57"/>
    <w:rsid w:val="000F5C3E"/>
    <w:rsid w:val="001522D8"/>
    <w:rsid w:val="00157D3C"/>
    <w:rsid w:val="0016628F"/>
    <w:rsid w:val="00197973"/>
    <w:rsid w:val="001D13C7"/>
    <w:rsid w:val="002008DD"/>
    <w:rsid w:val="00223A84"/>
    <w:rsid w:val="00250FD1"/>
    <w:rsid w:val="002529A1"/>
    <w:rsid w:val="00254438"/>
    <w:rsid w:val="002557AE"/>
    <w:rsid w:val="0026613F"/>
    <w:rsid w:val="00270934"/>
    <w:rsid w:val="003A0DF2"/>
    <w:rsid w:val="003C385F"/>
    <w:rsid w:val="003C7713"/>
    <w:rsid w:val="003F78DA"/>
    <w:rsid w:val="004A3979"/>
    <w:rsid w:val="00515E15"/>
    <w:rsid w:val="00595C96"/>
    <w:rsid w:val="00624693"/>
    <w:rsid w:val="006B7663"/>
    <w:rsid w:val="006D26F4"/>
    <w:rsid w:val="006E75B6"/>
    <w:rsid w:val="0070778E"/>
    <w:rsid w:val="007A458B"/>
    <w:rsid w:val="007C2BC8"/>
    <w:rsid w:val="007F622C"/>
    <w:rsid w:val="00881689"/>
    <w:rsid w:val="00897858"/>
    <w:rsid w:val="008B7E68"/>
    <w:rsid w:val="0090572C"/>
    <w:rsid w:val="009B593A"/>
    <w:rsid w:val="00A0303D"/>
    <w:rsid w:val="00A76666"/>
    <w:rsid w:val="00A949C4"/>
    <w:rsid w:val="00AA2D3D"/>
    <w:rsid w:val="00B1119D"/>
    <w:rsid w:val="00B1566B"/>
    <w:rsid w:val="00B472C7"/>
    <w:rsid w:val="00B974C5"/>
    <w:rsid w:val="00C02019"/>
    <w:rsid w:val="00C11460"/>
    <w:rsid w:val="00C15247"/>
    <w:rsid w:val="00D00FEF"/>
    <w:rsid w:val="00D20FD1"/>
    <w:rsid w:val="00DC1BDE"/>
    <w:rsid w:val="00E26F03"/>
    <w:rsid w:val="00EA5DD5"/>
    <w:rsid w:val="00EC0B54"/>
    <w:rsid w:val="00F03786"/>
    <w:rsid w:val="00F31280"/>
    <w:rsid w:val="00FA1ED0"/>
    <w:rsid w:val="00FA2138"/>
    <w:rsid w:val="00FB3D77"/>
    <w:rsid w:val="00FE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36829B6"/>
  <w15:chartTrackingRefBased/>
  <w15:docId w15:val="{FBF794B3-F85B-4F75-89A5-05B98C52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paragraph" w:styleId="ListParagraph">
    <w:name w:val="List Paragraph"/>
    <w:aliases w:val="3,Bullet 1,Bullet Points,Colorful List - Accent 11,Dot pt,F5 List Paragraph,Indicator Text,Issue Action POC,List Paragraph Char Char Char,List Paragraph2,MAIN CONTENT,Normal numbered,Numbered Para 1,POCG Table Text,Bullet layer,Bulle,列出段落"/>
    <w:basedOn w:val="Normal"/>
    <w:link w:val="ListParagraphChar"/>
    <w:uiPriority w:val="34"/>
    <w:qFormat/>
    <w:rsid w:val="00897858"/>
    <w:pPr>
      <w:spacing w:after="160" w:line="259" w:lineRule="auto"/>
      <w:ind w:left="720"/>
      <w:contextualSpacing/>
    </w:pPr>
    <w:rPr>
      <w:lang w:val="en-US"/>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2 Char,MAIN CONTENT Char,Bulle Char"/>
    <w:link w:val="ListParagraph"/>
    <w:uiPriority w:val="34"/>
    <w:qFormat/>
    <w:locked/>
    <w:rsid w:val="00897858"/>
    <w:rPr>
      <w:lang w:val="en-US"/>
    </w:rPr>
  </w:style>
  <w:style w:type="character" w:styleId="CommentReference">
    <w:name w:val="annotation reference"/>
    <w:basedOn w:val="DefaultParagraphFont"/>
    <w:uiPriority w:val="99"/>
    <w:semiHidden/>
    <w:unhideWhenUsed/>
    <w:rsid w:val="000938AB"/>
    <w:rPr>
      <w:sz w:val="16"/>
      <w:szCs w:val="16"/>
    </w:rPr>
  </w:style>
  <w:style w:type="paragraph" w:styleId="CommentText">
    <w:name w:val="annotation text"/>
    <w:aliases w:val="Char2"/>
    <w:basedOn w:val="Normal"/>
    <w:link w:val="CommentTextChar"/>
    <w:unhideWhenUsed/>
    <w:qFormat/>
    <w:rsid w:val="000938AB"/>
    <w:pPr>
      <w:spacing w:line="240" w:lineRule="auto"/>
    </w:pPr>
    <w:rPr>
      <w:sz w:val="20"/>
      <w:szCs w:val="20"/>
    </w:rPr>
  </w:style>
  <w:style w:type="character" w:customStyle="1" w:styleId="CommentTextChar">
    <w:name w:val="Comment Text Char"/>
    <w:aliases w:val="Char2 Char"/>
    <w:basedOn w:val="DefaultParagraphFont"/>
    <w:link w:val="CommentText"/>
    <w:rsid w:val="000938AB"/>
    <w:rPr>
      <w:sz w:val="20"/>
      <w:szCs w:val="20"/>
    </w:rPr>
  </w:style>
  <w:style w:type="paragraph" w:styleId="CommentSubject">
    <w:name w:val="annotation subject"/>
    <w:basedOn w:val="CommentText"/>
    <w:next w:val="CommentText"/>
    <w:link w:val="CommentSubjectChar"/>
    <w:uiPriority w:val="99"/>
    <w:semiHidden/>
    <w:unhideWhenUsed/>
    <w:rsid w:val="000938AB"/>
    <w:rPr>
      <w:b/>
      <w:bCs/>
    </w:rPr>
  </w:style>
  <w:style w:type="character" w:customStyle="1" w:styleId="CommentSubjectChar">
    <w:name w:val="Comment Subject Char"/>
    <w:basedOn w:val="CommentTextChar"/>
    <w:link w:val="CommentSubject"/>
    <w:uiPriority w:val="99"/>
    <w:semiHidden/>
    <w:rsid w:val="000938AB"/>
    <w:rPr>
      <w:b/>
      <w:bCs/>
      <w:sz w:val="20"/>
      <w:szCs w:val="20"/>
    </w:rPr>
  </w:style>
  <w:style w:type="paragraph" w:styleId="BalloonText">
    <w:name w:val="Balloon Text"/>
    <w:basedOn w:val="Normal"/>
    <w:link w:val="BalloonTextChar"/>
    <w:uiPriority w:val="99"/>
    <w:semiHidden/>
    <w:unhideWhenUsed/>
    <w:rsid w:val="00093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AB"/>
    <w:rPr>
      <w:rFonts w:ascii="Segoe UI" w:hAnsi="Segoe UI" w:cs="Segoe UI"/>
      <w:sz w:val="18"/>
      <w:szCs w:val="18"/>
    </w:rPr>
  </w:style>
  <w:style w:type="character" w:styleId="Hyperlink">
    <w:name w:val="Hyperlink"/>
    <w:basedOn w:val="DefaultParagraphFont"/>
    <w:uiPriority w:val="99"/>
    <w:unhideWhenUsed/>
    <w:rsid w:val="000938AB"/>
    <w:rPr>
      <w:color w:val="0000FF" w:themeColor="hyperlink"/>
      <w:u w:val="single"/>
    </w:rPr>
  </w:style>
  <w:style w:type="paragraph" w:styleId="Revision">
    <w:name w:val="Revision"/>
    <w:hidden/>
    <w:uiPriority w:val="99"/>
    <w:semiHidden/>
    <w:rsid w:val="00FE3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1318</Words>
  <Characters>7252</Characters>
  <Application>Microsoft Office Word</Application>
  <DocSecurity>0</DocSecurity>
  <Lines>106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64</cp:revision>
  <cp:lastPrinted>2023-06-21T14:13:00Z</cp:lastPrinted>
  <dcterms:created xsi:type="dcterms:W3CDTF">2023-06-16T10:09:00Z</dcterms:created>
  <dcterms:modified xsi:type="dcterms:W3CDTF">2023-06-27T22:11:00Z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2023-05-17T06:33:51Z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9f6f175f-a6b8-4975-a464-eb661ea57601</vt:lpwstr>
  </property>
  <property fmtid="{D5CDD505-2E9C-101B-9397-08002B2CF9AE}" pid="15" name="MSIP_Label_6bd9ddd1-4d20-43f6-abfa-fc3c07406f94_ContentBits">
    <vt:lpwstr>0</vt:lpwstr>
  </property>
  <property name="OP_sanitized" fmtid="{D5CDD505-2E9C-101B-9397-08002B2CF9AE}" pid="16">
    <vt:lpwstr>True</vt:lpwstr>
  </property>
</Properties>
</file>