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2918D9" w14:textId="7E20BE60" w:rsidR="00700DA6" w:rsidRDefault="00B115DD" w:rsidP="00B115DD">
      <w:pPr>
        <w:pStyle w:val="Pagedecouverture"/>
        <w:rPr>
          <w:noProof/>
        </w:rPr>
      </w:pPr>
      <w:r>
        <w:rPr>
          <w:noProof/>
        </w:rPr>
        <w:pict w14:anchorId="2BAEC3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3ECAE106-849A-478E-985B-0791238579DB" style="width:455.25pt;height:383.25pt">
            <v:imagedata r:id="rId8" o:title=""/>
          </v:shape>
        </w:pict>
      </w:r>
    </w:p>
    <w:p w14:paraId="26AB13C0" w14:textId="77777777" w:rsidR="00700DA6" w:rsidRDefault="00700DA6" w:rsidP="007A5BAA">
      <w:pPr>
        <w:rPr>
          <w:noProof/>
        </w:rPr>
        <w:sectPr w:rsidR="00700DA6" w:rsidSect="00B115DD">
          <w:footerReference w:type="default" r:id="rId9"/>
          <w:pgSz w:w="11907" w:h="16839"/>
          <w:pgMar w:top="1134" w:right="1417" w:bottom="1134" w:left="1417" w:header="709" w:footer="709" w:gutter="0"/>
          <w:pgNumType w:start="0"/>
          <w:cols w:space="720"/>
          <w:docGrid w:linePitch="360"/>
        </w:sectPr>
      </w:pPr>
    </w:p>
    <w:p w14:paraId="0C217B34" w14:textId="77777777" w:rsidR="00700DA6" w:rsidRDefault="00700DA6" w:rsidP="007A5BAA">
      <w:pPr>
        <w:pStyle w:val="Exposdesmotifstitre"/>
        <w:rPr>
          <w:noProof/>
        </w:rPr>
      </w:pPr>
      <w:bookmarkStart w:id="0" w:name="_GoBack"/>
      <w:bookmarkEnd w:id="0"/>
      <w:r w:rsidRPr="006F770D">
        <w:rPr>
          <w:noProof/>
        </w:rPr>
        <w:lastRenderedPageBreak/>
        <w:t>EXPLANATORY MEMORANDUM</w:t>
      </w:r>
    </w:p>
    <w:p w14:paraId="7B80342E" w14:textId="2984C036" w:rsidR="00700DA6" w:rsidRPr="00E34F04" w:rsidRDefault="00AB02A9" w:rsidP="00AB02A9">
      <w:pPr>
        <w:pStyle w:val="ManualHeading1"/>
        <w:rPr>
          <w:noProof/>
        </w:rPr>
      </w:pPr>
      <w:r w:rsidRPr="00AB02A9">
        <w:t>1.</w:t>
      </w:r>
      <w:r w:rsidRPr="00AB02A9">
        <w:tab/>
      </w:r>
      <w:r w:rsidR="00700DA6" w:rsidRPr="00E34F04">
        <w:rPr>
          <w:noProof/>
        </w:rPr>
        <w:t>Subject matter of the proposal</w:t>
      </w:r>
    </w:p>
    <w:p w14:paraId="005ED50E" w14:textId="77777777" w:rsidR="00700DA6" w:rsidRPr="00E34F04" w:rsidRDefault="00700DA6" w:rsidP="007A5BAA">
      <w:pPr>
        <w:rPr>
          <w:rFonts w:eastAsia="Arial Unicode MS"/>
          <w:noProof/>
        </w:rPr>
      </w:pPr>
      <w:r w:rsidRPr="00E34F04">
        <w:rPr>
          <w:rFonts w:eastAsia="Arial Unicode MS"/>
          <w:noProof/>
        </w:rPr>
        <w:t>This proposal concerns the decision establishing the position to be taken on the Union's behalf in the</w:t>
      </w:r>
      <w:r w:rsidR="00F52E4A">
        <w:rPr>
          <w:rFonts w:eastAsia="Arial Unicode MS"/>
          <w:noProof/>
        </w:rPr>
        <w:t xml:space="preserve"> </w:t>
      </w:r>
      <w:r w:rsidR="00394345">
        <w:rPr>
          <w:rFonts w:eastAsia="Arial Unicode MS"/>
          <w:noProof/>
        </w:rPr>
        <w:t>14</w:t>
      </w:r>
      <w:r w:rsidR="00394345" w:rsidRPr="00394345">
        <w:rPr>
          <w:rFonts w:eastAsia="Arial Unicode MS"/>
          <w:noProof/>
          <w:vertAlign w:val="superscript"/>
        </w:rPr>
        <w:t>th</w:t>
      </w:r>
      <w:r w:rsidR="00394345">
        <w:rPr>
          <w:rFonts w:eastAsia="Arial Unicode MS"/>
          <w:noProof/>
        </w:rPr>
        <w:t xml:space="preserve"> </w:t>
      </w:r>
      <w:r w:rsidR="00F52E4A">
        <w:rPr>
          <w:rFonts w:eastAsia="Arial Unicode MS"/>
          <w:noProof/>
        </w:rPr>
        <w:t xml:space="preserve">meeting of the Conference of the Parties </w:t>
      </w:r>
      <w:r w:rsidR="00064A71">
        <w:rPr>
          <w:rFonts w:eastAsia="Arial Unicode MS"/>
          <w:noProof/>
        </w:rPr>
        <w:t>to</w:t>
      </w:r>
      <w:r w:rsidR="00F52E4A">
        <w:rPr>
          <w:rFonts w:eastAsia="Arial Unicode MS"/>
          <w:noProof/>
        </w:rPr>
        <w:t xml:space="preserve"> the Convention on the </w:t>
      </w:r>
      <w:r w:rsidR="00394345">
        <w:rPr>
          <w:rFonts w:eastAsia="Arial Unicode MS"/>
          <w:noProof/>
        </w:rPr>
        <w:t>C</w:t>
      </w:r>
      <w:r w:rsidR="00F52E4A">
        <w:rPr>
          <w:rFonts w:eastAsia="Arial Unicode MS"/>
          <w:noProof/>
        </w:rPr>
        <w:t xml:space="preserve">onservation of </w:t>
      </w:r>
      <w:r w:rsidR="00394345">
        <w:rPr>
          <w:rFonts w:eastAsia="Arial Unicode MS"/>
          <w:noProof/>
        </w:rPr>
        <w:t>M</w:t>
      </w:r>
      <w:r w:rsidR="00F52E4A">
        <w:rPr>
          <w:rFonts w:eastAsia="Arial Unicode MS"/>
          <w:noProof/>
        </w:rPr>
        <w:t xml:space="preserve">igratory </w:t>
      </w:r>
      <w:r w:rsidR="00394345">
        <w:rPr>
          <w:rFonts w:eastAsia="Arial Unicode MS"/>
          <w:noProof/>
        </w:rPr>
        <w:t>S</w:t>
      </w:r>
      <w:r w:rsidR="00F52E4A">
        <w:rPr>
          <w:rFonts w:eastAsia="Arial Unicode MS"/>
          <w:noProof/>
        </w:rPr>
        <w:t xml:space="preserve">pecies of </w:t>
      </w:r>
      <w:r w:rsidR="00394345">
        <w:rPr>
          <w:rFonts w:eastAsia="Arial Unicode MS"/>
          <w:noProof/>
        </w:rPr>
        <w:t>W</w:t>
      </w:r>
      <w:r w:rsidR="00F52E4A">
        <w:rPr>
          <w:rFonts w:eastAsia="Arial Unicode MS"/>
          <w:noProof/>
        </w:rPr>
        <w:t xml:space="preserve">ild </w:t>
      </w:r>
      <w:r w:rsidR="00394345">
        <w:rPr>
          <w:rFonts w:eastAsia="Arial Unicode MS"/>
          <w:noProof/>
        </w:rPr>
        <w:t>A</w:t>
      </w:r>
      <w:r w:rsidR="00F52E4A">
        <w:rPr>
          <w:rFonts w:eastAsia="Arial Unicode MS"/>
          <w:noProof/>
        </w:rPr>
        <w:t xml:space="preserve">nimals ('the Convention') </w:t>
      </w:r>
      <w:r w:rsidRPr="00E34F04">
        <w:rPr>
          <w:rFonts w:eastAsia="Arial Unicode MS"/>
          <w:noProof/>
        </w:rPr>
        <w:t>in connection with the envisaged adoption of</w:t>
      </w:r>
      <w:r w:rsidR="00F52E4A">
        <w:rPr>
          <w:rFonts w:eastAsia="Arial Unicode MS"/>
          <w:noProof/>
        </w:rPr>
        <w:t xml:space="preserve"> decisio</w:t>
      </w:r>
      <w:r w:rsidR="00644BD4">
        <w:rPr>
          <w:rFonts w:eastAsia="Arial Unicode MS"/>
          <w:noProof/>
        </w:rPr>
        <w:t xml:space="preserve">ns concerning </w:t>
      </w:r>
      <w:r w:rsidR="00064A71">
        <w:rPr>
          <w:rFonts w:eastAsia="Arial Unicode MS"/>
          <w:noProof/>
        </w:rPr>
        <w:t xml:space="preserve">the </w:t>
      </w:r>
      <w:r w:rsidR="00644BD4">
        <w:rPr>
          <w:rFonts w:eastAsia="Arial Unicode MS"/>
          <w:noProof/>
        </w:rPr>
        <w:t>amendment of the A</w:t>
      </w:r>
      <w:r w:rsidR="00F52E4A">
        <w:rPr>
          <w:rFonts w:eastAsia="Arial Unicode MS"/>
          <w:noProof/>
        </w:rPr>
        <w:t xml:space="preserve">ppendices </w:t>
      </w:r>
      <w:r w:rsidR="00394345">
        <w:rPr>
          <w:rFonts w:eastAsia="Arial Unicode MS"/>
          <w:noProof/>
        </w:rPr>
        <w:t>to</w:t>
      </w:r>
      <w:r w:rsidR="00F52E4A">
        <w:rPr>
          <w:rFonts w:eastAsia="Arial Unicode MS"/>
          <w:noProof/>
        </w:rPr>
        <w:t xml:space="preserve"> the Convention</w:t>
      </w:r>
      <w:r w:rsidR="006669CD">
        <w:rPr>
          <w:rFonts w:eastAsia="Arial Unicode MS"/>
          <w:noProof/>
        </w:rPr>
        <w:t>.</w:t>
      </w:r>
    </w:p>
    <w:p w14:paraId="512035CE" w14:textId="133313A1" w:rsidR="00700DA6" w:rsidRPr="00E34F04" w:rsidRDefault="00AB02A9" w:rsidP="00AB02A9">
      <w:pPr>
        <w:pStyle w:val="ManualHeading1"/>
        <w:rPr>
          <w:noProof/>
        </w:rPr>
      </w:pPr>
      <w:r w:rsidRPr="00AB02A9">
        <w:t>2.</w:t>
      </w:r>
      <w:r w:rsidRPr="00AB02A9">
        <w:tab/>
      </w:r>
      <w:r w:rsidR="00700DA6" w:rsidRPr="00E34F04">
        <w:rPr>
          <w:noProof/>
        </w:rPr>
        <w:t>Context of the proposal</w:t>
      </w:r>
    </w:p>
    <w:p w14:paraId="5BBCF0C2" w14:textId="07744977" w:rsidR="00700DA6" w:rsidRPr="00E34F04" w:rsidRDefault="00AB02A9" w:rsidP="00AB02A9">
      <w:pPr>
        <w:pStyle w:val="ManualHeading2"/>
        <w:rPr>
          <w:noProof/>
        </w:rPr>
      </w:pPr>
      <w:r w:rsidRPr="00AB02A9">
        <w:t>2.1.</w:t>
      </w:r>
      <w:r w:rsidRPr="00AB02A9">
        <w:tab/>
      </w:r>
      <w:r w:rsidR="00700DA6" w:rsidRPr="00E34F04">
        <w:rPr>
          <w:noProof/>
        </w:rPr>
        <w:t>The</w:t>
      </w:r>
      <w:r w:rsidR="00F52E4A">
        <w:rPr>
          <w:noProof/>
        </w:rPr>
        <w:t xml:space="preserve"> Convention on the </w:t>
      </w:r>
      <w:r w:rsidR="00064A71">
        <w:rPr>
          <w:noProof/>
        </w:rPr>
        <w:t>C</w:t>
      </w:r>
      <w:r w:rsidR="00F52E4A">
        <w:rPr>
          <w:noProof/>
        </w:rPr>
        <w:t xml:space="preserve">onservation of </w:t>
      </w:r>
      <w:r w:rsidR="00064A71">
        <w:rPr>
          <w:noProof/>
        </w:rPr>
        <w:t>M</w:t>
      </w:r>
      <w:r w:rsidR="00F52E4A">
        <w:rPr>
          <w:noProof/>
        </w:rPr>
        <w:t xml:space="preserve">igratory </w:t>
      </w:r>
      <w:r w:rsidR="00064A71">
        <w:rPr>
          <w:noProof/>
        </w:rPr>
        <w:t>S</w:t>
      </w:r>
      <w:r w:rsidR="00F52E4A">
        <w:rPr>
          <w:noProof/>
        </w:rPr>
        <w:t xml:space="preserve">pecies of </w:t>
      </w:r>
      <w:r w:rsidR="00064A71">
        <w:rPr>
          <w:noProof/>
        </w:rPr>
        <w:t>W</w:t>
      </w:r>
      <w:r w:rsidR="00F52E4A">
        <w:rPr>
          <w:noProof/>
        </w:rPr>
        <w:t xml:space="preserve">ild </w:t>
      </w:r>
      <w:r w:rsidR="00064A71">
        <w:rPr>
          <w:noProof/>
        </w:rPr>
        <w:t>A</w:t>
      </w:r>
      <w:r w:rsidR="00F52E4A">
        <w:rPr>
          <w:noProof/>
        </w:rPr>
        <w:t>nimals</w:t>
      </w:r>
      <w:r w:rsidR="00064A71">
        <w:rPr>
          <w:noProof/>
        </w:rPr>
        <w:t xml:space="preserve"> (CMS)</w:t>
      </w:r>
    </w:p>
    <w:p w14:paraId="7A6D314B" w14:textId="77777777" w:rsidR="00700DA6" w:rsidRPr="00E34F04" w:rsidRDefault="00700DA6" w:rsidP="007A5BAA">
      <w:pPr>
        <w:rPr>
          <w:rFonts w:eastAsia="Arial Unicode MS"/>
          <w:noProof/>
        </w:rPr>
      </w:pPr>
      <w:r w:rsidRPr="00E34F04">
        <w:rPr>
          <w:rFonts w:eastAsia="Arial Unicode MS"/>
          <w:noProof/>
        </w:rPr>
        <w:t xml:space="preserve">The </w:t>
      </w:r>
      <w:r w:rsidR="00F52E4A">
        <w:rPr>
          <w:rFonts w:eastAsia="Arial Unicode MS"/>
          <w:noProof/>
        </w:rPr>
        <w:t xml:space="preserve">Convention on the </w:t>
      </w:r>
      <w:r w:rsidR="00064A71">
        <w:rPr>
          <w:rFonts w:eastAsia="Arial Unicode MS"/>
          <w:noProof/>
        </w:rPr>
        <w:t>C</w:t>
      </w:r>
      <w:r w:rsidR="00F52E4A">
        <w:rPr>
          <w:rFonts w:eastAsia="Arial Unicode MS"/>
          <w:noProof/>
        </w:rPr>
        <w:t xml:space="preserve">onservation of </w:t>
      </w:r>
      <w:r w:rsidR="00064A71">
        <w:rPr>
          <w:rFonts w:eastAsia="Arial Unicode MS"/>
          <w:noProof/>
        </w:rPr>
        <w:t>M</w:t>
      </w:r>
      <w:r w:rsidR="00F52E4A">
        <w:rPr>
          <w:rFonts w:eastAsia="Arial Unicode MS"/>
          <w:noProof/>
        </w:rPr>
        <w:t xml:space="preserve">igratory </w:t>
      </w:r>
      <w:r w:rsidR="00064A71">
        <w:rPr>
          <w:rFonts w:eastAsia="Arial Unicode MS"/>
          <w:noProof/>
        </w:rPr>
        <w:t>S</w:t>
      </w:r>
      <w:r w:rsidR="00F52E4A">
        <w:rPr>
          <w:rFonts w:eastAsia="Arial Unicode MS"/>
          <w:noProof/>
        </w:rPr>
        <w:t xml:space="preserve">pecies of </w:t>
      </w:r>
      <w:r w:rsidR="00064A71">
        <w:rPr>
          <w:rFonts w:eastAsia="Arial Unicode MS"/>
          <w:noProof/>
        </w:rPr>
        <w:t>W</w:t>
      </w:r>
      <w:r w:rsidR="00F52E4A">
        <w:rPr>
          <w:rFonts w:eastAsia="Arial Unicode MS"/>
          <w:noProof/>
        </w:rPr>
        <w:t xml:space="preserve">ild </w:t>
      </w:r>
      <w:r w:rsidR="00064A71">
        <w:rPr>
          <w:rFonts w:eastAsia="Arial Unicode MS"/>
          <w:noProof/>
        </w:rPr>
        <w:t>A</w:t>
      </w:r>
      <w:r w:rsidR="00F52E4A">
        <w:rPr>
          <w:rFonts w:eastAsia="Arial Unicode MS"/>
          <w:noProof/>
        </w:rPr>
        <w:t xml:space="preserve">nimals </w:t>
      </w:r>
      <w:r w:rsidR="00F52E4A" w:rsidRPr="00CD5FE8">
        <w:rPr>
          <w:rFonts w:eastAsia="Arial Unicode MS"/>
          <w:noProof/>
        </w:rPr>
        <w:t xml:space="preserve">aims to conserve terrestrial, marine and avian migratory species </w:t>
      </w:r>
      <w:r w:rsidR="00281375" w:rsidRPr="00CD5FE8">
        <w:rPr>
          <w:rFonts w:eastAsia="Arial Unicode MS"/>
          <w:noProof/>
        </w:rPr>
        <w:t>through</w:t>
      </w:r>
      <w:r w:rsidR="00281375">
        <w:rPr>
          <w:rFonts w:eastAsia="Arial Unicode MS"/>
          <w:noProof/>
        </w:rPr>
        <w:t>out</w:t>
      </w:r>
      <w:r w:rsidR="00F52E4A" w:rsidRPr="00CD5FE8">
        <w:rPr>
          <w:rFonts w:eastAsia="Arial Unicode MS"/>
          <w:noProof/>
        </w:rPr>
        <w:t xml:space="preserve"> their range.</w:t>
      </w:r>
      <w:r w:rsidR="00064A71">
        <w:rPr>
          <w:rFonts w:eastAsia="Arial Unicode MS"/>
          <w:noProof/>
        </w:rPr>
        <w:t xml:space="preserve"> </w:t>
      </w:r>
      <w:r w:rsidR="00F52E4A" w:rsidRPr="00CD5FE8">
        <w:rPr>
          <w:rFonts w:eastAsia="Arial Unicode MS"/>
          <w:noProof/>
        </w:rPr>
        <w:t>It is an intergovernmental treaty, concluded under the aegis of the United Nation</w:t>
      </w:r>
      <w:r w:rsidR="00F52E4A">
        <w:rPr>
          <w:rFonts w:eastAsia="Arial Unicode MS"/>
          <w:noProof/>
        </w:rPr>
        <w:t>s</w:t>
      </w:r>
      <w:r w:rsidR="00F52E4A" w:rsidRPr="00CD5FE8">
        <w:rPr>
          <w:rFonts w:eastAsia="Arial Unicode MS"/>
          <w:noProof/>
        </w:rPr>
        <w:t xml:space="preserve"> Environment Programme, concerned with the conservation of wildlife and habitats on a global scale. </w:t>
      </w:r>
      <w:r w:rsidR="00F52E4A" w:rsidRPr="00CD5FE8">
        <w:rPr>
          <w:noProof/>
        </w:rPr>
        <w:t xml:space="preserve">The migratory species to be conserved are </w:t>
      </w:r>
      <w:r w:rsidR="00F52E4A" w:rsidRPr="00CD5FE8">
        <w:rPr>
          <w:noProof/>
          <w:lang w:eastAsia="da-DK" w:bidi="da-DK"/>
        </w:rPr>
        <w:t xml:space="preserve">listed </w:t>
      </w:r>
      <w:r w:rsidR="00F52E4A" w:rsidRPr="00CD5FE8">
        <w:rPr>
          <w:noProof/>
        </w:rPr>
        <w:t xml:space="preserve">in Appendices I (endangered species) and II (species to be the subjects of agreements) to the </w:t>
      </w:r>
      <w:r w:rsidR="006B50CD">
        <w:rPr>
          <w:noProof/>
        </w:rPr>
        <w:t>Convention</w:t>
      </w:r>
      <w:r w:rsidR="00F52E4A" w:rsidRPr="00CD5FE8">
        <w:rPr>
          <w:noProof/>
        </w:rPr>
        <w:t>.</w:t>
      </w:r>
      <w:r w:rsidR="00F52E4A" w:rsidRPr="00CD5FE8">
        <w:rPr>
          <w:rFonts w:eastAsia="Arial Unicode MS"/>
          <w:noProof/>
        </w:rPr>
        <w:t xml:space="preserve"> The </w:t>
      </w:r>
      <w:r w:rsidR="006B50CD">
        <w:rPr>
          <w:rFonts w:eastAsia="Arial Unicode MS"/>
          <w:noProof/>
        </w:rPr>
        <w:t>Convention</w:t>
      </w:r>
      <w:r w:rsidR="00F52E4A" w:rsidRPr="00CD5FE8">
        <w:rPr>
          <w:rFonts w:eastAsia="Arial Unicode MS"/>
          <w:noProof/>
        </w:rPr>
        <w:t xml:space="preserve"> entered into force on 1 November 1983</w:t>
      </w:r>
      <w:r w:rsidR="00F52E4A">
        <w:rPr>
          <w:rFonts w:eastAsia="Arial Unicode MS"/>
          <w:noProof/>
        </w:rPr>
        <w:t>.</w:t>
      </w:r>
      <w:r w:rsidR="00CB2DA2">
        <w:rPr>
          <w:rFonts w:eastAsia="Arial Unicode MS"/>
          <w:noProof/>
        </w:rPr>
        <w:t xml:space="preserve">  </w:t>
      </w:r>
    </w:p>
    <w:p w14:paraId="4A08FCE3" w14:textId="77777777" w:rsidR="00700DA6" w:rsidRPr="00E34F04" w:rsidRDefault="00F52E4A" w:rsidP="007A5BAA">
      <w:pPr>
        <w:rPr>
          <w:rFonts w:eastAsia="Arial Unicode MS"/>
          <w:noProof/>
        </w:rPr>
      </w:pPr>
      <w:r w:rsidRPr="00CD5FE8">
        <w:rPr>
          <w:rFonts w:eastAsia="Arial Unicode MS"/>
          <w:noProof/>
        </w:rPr>
        <w:t xml:space="preserve">The European Union is a party to the </w:t>
      </w:r>
      <w:r w:rsidR="006B50CD">
        <w:rPr>
          <w:rFonts w:eastAsia="Arial Unicode MS"/>
          <w:noProof/>
        </w:rPr>
        <w:t>Convention</w:t>
      </w:r>
      <w:r w:rsidRPr="00CD5FE8">
        <w:rPr>
          <w:rStyle w:val="FootnoteReference"/>
          <w:rFonts w:eastAsia="Arial Unicode MS"/>
          <w:noProof/>
        </w:rPr>
        <w:footnoteReference w:id="1"/>
      </w:r>
      <w:r w:rsidR="00700DA6">
        <w:rPr>
          <w:rFonts w:eastAsia="Arial Unicode MS"/>
          <w:noProof/>
        </w:rPr>
        <w:t>.</w:t>
      </w:r>
      <w:r w:rsidR="000E65AF">
        <w:rPr>
          <w:rFonts w:eastAsia="Arial Unicode MS"/>
          <w:noProof/>
        </w:rPr>
        <w:t xml:space="preserve"> </w:t>
      </w:r>
      <w:r w:rsidR="000E65AF" w:rsidRPr="003B5522">
        <w:rPr>
          <w:rFonts w:eastAsia="Arial Unicode MS"/>
          <w:noProof/>
        </w:rPr>
        <w:t>All</w:t>
      </w:r>
      <w:r w:rsidR="000E65AF" w:rsidRPr="003B5522">
        <w:rPr>
          <w:rFonts w:eastAsia="Arial Unicode MS"/>
          <w:noProof/>
          <w:color w:val="000000"/>
        </w:rPr>
        <w:t xml:space="preserve"> </w:t>
      </w:r>
      <w:r w:rsidR="000E65AF" w:rsidRPr="003B5522">
        <w:rPr>
          <w:rFonts w:eastAsia="Arial Unicode MS"/>
          <w:noProof/>
        </w:rPr>
        <w:t xml:space="preserve">Member States are parties to the </w:t>
      </w:r>
      <w:r w:rsidR="006B50CD" w:rsidRPr="003B5522">
        <w:rPr>
          <w:rFonts w:eastAsia="Arial Unicode MS"/>
          <w:noProof/>
        </w:rPr>
        <w:t>Convention</w:t>
      </w:r>
      <w:r w:rsidR="000E65AF" w:rsidRPr="003B5522">
        <w:rPr>
          <w:rFonts w:eastAsia="Arial Unicode MS"/>
          <w:noProof/>
        </w:rPr>
        <w:t>.</w:t>
      </w:r>
    </w:p>
    <w:p w14:paraId="55DA6702" w14:textId="04E605AC" w:rsidR="00700DA6" w:rsidRPr="00E34F04" w:rsidRDefault="00AB02A9" w:rsidP="00AB02A9">
      <w:pPr>
        <w:pStyle w:val="ManualHeading2"/>
        <w:rPr>
          <w:noProof/>
        </w:rPr>
      </w:pPr>
      <w:r w:rsidRPr="00AB02A9">
        <w:t>2.2.</w:t>
      </w:r>
      <w:r w:rsidRPr="00AB02A9">
        <w:tab/>
      </w:r>
      <w:r w:rsidR="00700DA6" w:rsidRPr="00E34F04">
        <w:rPr>
          <w:noProof/>
        </w:rPr>
        <w:t xml:space="preserve">The </w:t>
      </w:r>
      <w:r w:rsidR="00B47B74" w:rsidRPr="00CD5FE8">
        <w:rPr>
          <w:noProof/>
        </w:rPr>
        <w:t>Conference of the Parties</w:t>
      </w:r>
    </w:p>
    <w:p w14:paraId="36AE89B3" w14:textId="77777777" w:rsidR="000E65AF" w:rsidRDefault="00B47B74" w:rsidP="007A5BAA">
      <w:pPr>
        <w:rPr>
          <w:bCs/>
          <w:noProof/>
          <w:color w:val="333333"/>
          <w:szCs w:val="24"/>
          <w:shd w:val="clear" w:color="auto" w:fill="FFFFFF"/>
        </w:rPr>
      </w:pPr>
      <w:r w:rsidRPr="00CD5FE8">
        <w:rPr>
          <w:rFonts w:eastAsia="Arial Unicode MS"/>
          <w:noProof/>
        </w:rPr>
        <w:t xml:space="preserve">The Conference of the Parties </w:t>
      </w:r>
      <w:r w:rsidRPr="00CD5FE8">
        <w:rPr>
          <w:noProof/>
        </w:rPr>
        <w:t xml:space="preserve">is the </w:t>
      </w:r>
      <w:r w:rsidR="000E65AF">
        <w:rPr>
          <w:noProof/>
        </w:rPr>
        <w:t xml:space="preserve">principal </w:t>
      </w:r>
      <w:r w:rsidRPr="00CD5FE8">
        <w:rPr>
          <w:noProof/>
        </w:rPr>
        <w:t xml:space="preserve">decision-making body of the </w:t>
      </w:r>
      <w:r w:rsidR="00FB313A">
        <w:rPr>
          <w:noProof/>
        </w:rPr>
        <w:t>Convention</w:t>
      </w:r>
      <w:r w:rsidR="000E65AF">
        <w:rPr>
          <w:noProof/>
        </w:rPr>
        <w:t xml:space="preserve">. </w:t>
      </w:r>
      <w:r w:rsidR="000E65AF" w:rsidRPr="009F209B">
        <w:rPr>
          <w:noProof/>
          <w:color w:val="222222"/>
          <w:szCs w:val="24"/>
          <w:shd w:val="clear" w:color="auto" w:fill="FFFFFF"/>
        </w:rPr>
        <w:t xml:space="preserve">Its functions are enumerated in Article VII of the </w:t>
      </w:r>
      <w:r w:rsidR="00FB313A">
        <w:rPr>
          <w:noProof/>
          <w:color w:val="222222"/>
          <w:szCs w:val="24"/>
          <w:shd w:val="clear" w:color="auto" w:fill="FFFFFF"/>
        </w:rPr>
        <w:t>Convention</w:t>
      </w:r>
      <w:r w:rsidR="000E65AF">
        <w:rPr>
          <w:noProof/>
          <w:color w:val="222222"/>
          <w:szCs w:val="24"/>
          <w:shd w:val="clear" w:color="auto" w:fill="FFFFFF"/>
        </w:rPr>
        <w:t>, including</w:t>
      </w:r>
      <w:r w:rsidR="000E65AF">
        <w:rPr>
          <w:noProof/>
        </w:rPr>
        <w:t xml:space="preserve"> </w:t>
      </w:r>
      <w:r w:rsidR="000E65AF" w:rsidRPr="0057499A">
        <w:rPr>
          <w:noProof/>
        </w:rPr>
        <w:t>powers</w:t>
      </w:r>
      <w:r w:rsidRPr="00CD5FE8">
        <w:rPr>
          <w:noProof/>
        </w:rPr>
        <w:t xml:space="preserve"> to assess </w:t>
      </w:r>
      <w:r w:rsidRPr="00CD5FE8">
        <w:rPr>
          <w:noProof/>
          <w:lang w:eastAsia="nl-NL" w:bidi="nl-NL"/>
        </w:rPr>
        <w:t xml:space="preserve">the </w:t>
      </w:r>
      <w:r w:rsidRPr="00CD5FE8">
        <w:rPr>
          <w:noProof/>
        </w:rPr>
        <w:t xml:space="preserve">conservation status of migratory </w:t>
      </w:r>
      <w:r w:rsidRPr="00CD5FE8">
        <w:rPr>
          <w:noProof/>
          <w:lang w:val="cs-CZ" w:eastAsia="cs-CZ" w:bidi="cs-CZ"/>
        </w:rPr>
        <w:t xml:space="preserve">species </w:t>
      </w:r>
      <w:r w:rsidRPr="00CD5FE8">
        <w:rPr>
          <w:noProof/>
        </w:rPr>
        <w:t xml:space="preserve">and, subsequently, to amend Appendices </w:t>
      </w:r>
      <w:r w:rsidR="00064A71">
        <w:rPr>
          <w:noProof/>
        </w:rPr>
        <w:t xml:space="preserve">I and II </w:t>
      </w:r>
      <w:r w:rsidRPr="00CD5FE8">
        <w:rPr>
          <w:noProof/>
        </w:rPr>
        <w:t xml:space="preserve">to the </w:t>
      </w:r>
      <w:r>
        <w:rPr>
          <w:noProof/>
        </w:rPr>
        <w:t>Convention</w:t>
      </w:r>
      <w:r w:rsidRPr="00CD5FE8">
        <w:rPr>
          <w:noProof/>
        </w:rPr>
        <w:t xml:space="preserve">. </w:t>
      </w:r>
      <w:r w:rsidR="000E65AF" w:rsidRPr="004A52D9">
        <w:rPr>
          <w:bCs/>
          <w:noProof/>
          <w:color w:val="333333"/>
          <w:szCs w:val="24"/>
          <w:shd w:val="clear" w:color="auto" w:fill="FFFFFF"/>
        </w:rPr>
        <w:t>Decisions at a meeting of the Conference of the Parties require a two-thirds majority of the Parties present and voting, except where otherwise provided for by th</w:t>
      </w:r>
      <w:r w:rsidR="006669CD">
        <w:rPr>
          <w:bCs/>
          <w:noProof/>
          <w:color w:val="333333"/>
          <w:szCs w:val="24"/>
          <w:shd w:val="clear" w:color="auto" w:fill="FFFFFF"/>
        </w:rPr>
        <w:t>e</w:t>
      </w:r>
      <w:r w:rsidR="000E65AF" w:rsidRPr="004A52D9">
        <w:rPr>
          <w:bCs/>
          <w:noProof/>
          <w:color w:val="333333"/>
          <w:szCs w:val="24"/>
          <w:shd w:val="clear" w:color="auto" w:fill="FFFFFF"/>
        </w:rPr>
        <w:t xml:space="preserve"> </w:t>
      </w:r>
      <w:r w:rsidR="00FB313A">
        <w:rPr>
          <w:bCs/>
          <w:noProof/>
          <w:color w:val="333333"/>
          <w:szCs w:val="24"/>
          <w:shd w:val="clear" w:color="auto" w:fill="FFFFFF"/>
        </w:rPr>
        <w:t>Convention</w:t>
      </w:r>
      <w:r w:rsidR="000E65AF">
        <w:rPr>
          <w:bCs/>
          <w:noProof/>
          <w:color w:val="333333"/>
          <w:szCs w:val="24"/>
          <w:shd w:val="clear" w:color="auto" w:fill="FFFFFF"/>
        </w:rPr>
        <w:t>.</w:t>
      </w:r>
    </w:p>
    <w:p w14:paraId="60E566ED" w14:textId="03BD3F34" w:rsidR="00700DA6" w:rsidRDefault="00B47B74" w:rsidP="007A5BAA">
      <w:pPr>
        <w:rPr>
          <w:noProof/>
        </w:rPr>
      </w:pPr>
      <w:r w:rsidRPr="00CD5FE8">
        <w:rPr>
          <w:noProof/>
        </w:rPr>
        <w:t xml:space="preserve">The </w:t>
      </w:r>
      <w:r w:rsidR="00064A71">
        <w:rPr>
          <w:noProof/>
        </w:rPr>
        <w:t>14</w:t>
      </w:r>
      <w:r w:rsidR="00064A71" w:rsidRPr="00064A71">
        <w:rPr>
          <w:noProof/>
          <w:vertAlign w:val="superscript"/>
        </w:rPr>
        <w:t>th</w:t>
      </w:r>
      <w:r w:rsidR="00064A71">
        <w:rPr>
          <w:noProof/>
        </w:rPr>
        <w:t xml:space="preserve"> </w:t>
      </w:r>
      <w:r w:rsidRPr="00CD5FE8">
        <w:rPr>
          <w:noProof/>
          <w:lang w:val="cs-CZ" w:eastAsia="cs-CZ" w:bidi="cs-CZ"/>
        </w:rPr>
        <w:t xml:space="preserve">meeting </w:t>
      </w:r>
      <w:r w:rsidRPr="00CD5FE8">
        <w:rPr>
          <w:noProof/>
        </w:rPr>
        <w:t xml:space="preserve">of the Conference of the </w:t>
      </w:r>
      <w:r w:rsidRPr="00CD5FE8">
        <w:rPr>
          <w:noProof/>
          <w:lang w:eastAsia="da-DK" w:bidi="da-DK"/>
        </w:rPr>
        <w:t xml:space="preserve">Parties </w:t>
      </w:r>
      <w:r w:rsidRPr="00CD5FE8">
        <w:rPr>
          <w:noProof/>
        </w:rPr>
        <w:t xml:space="preserve">will take place in </w:t>
      </w:r>
      <w:r w:rsidR="006669CD">
        <w:rPr>
          <w:noProof/>
        </w:rPr>
        <w:t>Samarkand</w:t>
      </w:r>
      <w:r w:rsidRPr="00CD5FE8">
        <w:rPr>
          <w:noProof/>
        </w:rPr>
        <w:t xml:space="preserve"> (</w:t>
      </w:r>
      <w:r w:rsidR="006669CD">
        <w:rPr>
          <w:noProof/>
        </w:rPr>
        <w:t>Uzbekistan</w:t>
      </w:r>
      <w:r w:rsidRPr="00CD5FE8">
        <w:rPr>
          <w:noProof/>
        </w:rPr>
        <w:t xml:space="preserve">) </w:t>
      </w:r>
      <w:r w:rsidR="007C07F2">
        <w:rPr>
          <w:noProof/>
        </w:rPr>
        <w:t>in early 2024</w:t>
      </w:r>
      <w:r w:rsidRPr="00CD5FE8">
        <w:rPr>
          <w:noProof/>
        </w:rPr>
        <w:t>.</w:t>
      </w:r>
    </w:p>
    <w:p w14:paraId="5BAA7633" w14:textId="7C41D71A" w:rsidR="00700DA6" w:rsidRPr="00E34F04" w:rsidRDefault="00AB02A9" w:rsidP="00AB02A9">
      <w:pPr>
        <w:pStyle w:val="ManualHeading2"/>
        <w:rPr>
          <w:noProof/>
        </w:rPr>
      </w:pPr>
      <w:r w:rsidRPr="00AB02A9">
        <w:t>2.3.</w:t>
      </w:r>
      <w:r w:rsidRPr="00AB02A9">
        <w:tab/>
      </w:r>
      <w:r w:rsidR="00700DA6" w:rsidRPr="00E34F04">
        <w:rPr>
          <w:noProof/>
        </w:rPr>
        <w:t>The envisaged act</w:t>
      </w:r>
      <w:r w:rsidR="0065173D">
        <w:rPr>
          <w:noProof/>
        </w:rPr>
        <w:t>s</w:t>
      </w:r>
      <w:r w:rsidR="00700DA6" w:rsidRPr="00E34F04">
        <w:rPr>
          <w:noProof/>
        </w:rPr>
        <w:t xml:space="preserve"> of the </w:t>
      </w:r>
      <w:r w:rsidR="00B47B74" w:rsidRPr="00CD5FE8">
        <w:rPr>
          <w:noProof/>
        </w:rPr>
        <w:t>Conference of the Parties</w:t>
      </w:r>
    </w:p>
    <w:p w14:paraId="35857625" w14:textId="77777777" w:rsidR="00B47B74" w:rsidRPr="00E34F04" w:rsidRDefault="00064A71" w:rsidP="007A5BAA">
      <w:pPr>
        <w:rPr>
          <w:rFonts w:eastAsia="Arial Unicode MS"/>
          <w:noProof/>
        </w:rPr>
      </w:pPr>
      <w:r>
        <w:rPr>
          <w:rFonts w:eastAsia="Arial Unicode MS"/>
          <w:noProof/>
        </w:rPr>
        <w:t>D</w:t>
      </w:r>
      <w:r w:rsidR="00700DA6" w:rsidRPr="00E34F04">
        <w:rPr>
          <w:rFonts w:eastAsia="Arial Unicode MS"/>
          <w:noProof/>
        </w:rPr>
        <w:t>uring its</w:t>
      </w:r>
      <w:r w:rsidR="00700DA6" w:rsidRPr="00B47B74">
        <w:rPr>
          <w:noProof/>
        </w:rPr>
        <w:t xml:space="preserve"> </w:t>
      </w:r>
      <w:r>
        <w:rPr>
          <w:noProof/>
        </w:rPr>
        <w:t>14</w:t>
      </w:r>
      <w:r w:rsidRPr="00064A71">
        <w:rPr>
          <w:noProof/>
          <w:vertAlign w:val="superscript"/>
        </w:rPr>
        <w:t>th</w:t>
      </w:r>
      <w:r>
        <w:rPr>
          <w:noProof/>
        </w:rPr>
        <w:t xml:space="preserve"> </w:t>
      </w:r>
      <w:r w:rsidR="00700DA6" w:rsidRPr="00E34F04">
        <w:rPr>
          <w:rFonts w:eastAsia="Arial Unicode MS"/>
          <w:noProof/>
        </w:rPr>
        <w:t>meeting, the</w:t>
      </w:r>
      <w:r w:rsidR="00700DA6" w:rsidRPr="00B47B74">
        <w:rPr>
          <w:noProof/>
        </w:rPr>
        <w:t xml:space="preserve"> </w:t>
      </w:r>
      <w:r w:rsidR="00B47B74" w:rsidRPr="00B47B74">
        <w:rPr>
          <w:noProof/>
        </w:rPr>
        <w:t>Conference of the Parties</w:t>
      </w:r>
      <w:r w:rsidR="00700DA6" w:rsidRPr="00E34F04">
        <w:rPr>
          <w:rFonts w:eastAsia="Arial Unicode MS"/>
          <w:noProof/>
        </w:rPr>
        <w:t xml:space="preserve"> </w:t>
      </w:r>
      <w:r w:rsidR="00B47B74">
        <w:rPr>
          <w:rFonts w:eastAsia="Arial Unicode MS"/>
          <w:noProof/>
        </w:rPr>
        <w:t>is to adopt decisio</w:t>
      </w:r>
      <w:r w:rsidR="002A0372">
        <w:rPr>
          <w:rFonts w:eastAsia="Arial Unicode MS"/>
          <w:noProof/>
        </w:rPr>
        <w:t>ns regarding amendments of the A</w:t>
      </w:r>
      <w:r w:rsidR="00B47B74">
        <w:rPr>
          <w:rFonts w:eastAsia="Arial Unicode MS"/>
          <w:noProof/>
        </w:rPr>
        <w:t xml:space="preserve">ppendices </w:t>
      </w:r>
      <w:r>
        <w:rPr>
          <w:rFonts w:eastAsia="Arial Unicode MS"/>
          <w:noProof/>
        </w:rPr>
        <w:t>to</w:t>
      </w:r>
      <w:r w:rsidR="00B47B74">
        <w:rPr>
          <w:rFonts w:eastAsia="Arial Unicode MS"/>
          <w:noProof/>
        </w:rPr>
        <w:t xml:space="preserve"> the Convention</w:t>
      </w:r>
      <w:r w:rsidR="00700DA6" w:rsidRPr="00E34F04">
        <w:rPr>
          <w:rFonts w:eastAsia="Arial Unicode MS"/>
          <w:noProof/>
        </w:rPr>
        <w:t xml:space="preserve"> (‘the envisaged act</w:t>
      </w:r>
      <w:r w:rsidR="00B47B74">
        <w:rPr>
          <w:rFonts w:eastAsia="Arial Unicode MS"/>
          <w:noProof/>
        </w:rPr>
        <w:t>s</w:t>
      </w:r>
      <w:r w:rsidR="00700DA6" w:rsidRPr="00E34F04">
        <w:rPr>
          <w:rFonts w:eastAsia="Arial Unicode MS"/>
          <w:noProof/>
        </w:rPr>
        <w:t>’).</w:t>
      </w:r>
    </w:p>
    <w:p w14:paraId="5C122755" w14:textId="77777777" w:rsidR="00B47B74" w:rsidRDefault="00700DA6" w:rsidP="007A5BAA">
      <w:pPr>
        <w:rPr>
          <w:noProof/>
        </w:rPr>
      </w:pPr>
      <w:r w:rsidRPr="00E34F04">
        <w:rPr>
          <w:rFonts w:eastAsia="Arial Unicode MS"/>
          <w:noProof/>
        </w:rPr>
        <w:t>The purpose of the envisaged act</w:t>
      </w:r>
      <w:r w:rsidR="00B47B74">
        <w:rPr>
          <w:rFonts w:eastAsia="Arial Unicode MS"/>
          <w:noProof/>
        </w:rPr>
        <w:t>s</w:t>
      </w:r>
      <w:r w:rsidRPr="00E34F04">
        <w:rPr>
          <w:rFonts w:eastAsia="Arial Unicode MS"/>
          <w:noProof/>
        </w:rPr>
        <w:t xml:space="preserve"> is to</w:t>
      </w:r>
      <w:r w:rsidR="00B47B74">
        <w:rPr>
          <w:rFonts w:eastAsia="Arial Unicode MS"/>
          <w:noProof/>
        </w:rPr>
        <w:t xml:space="preserve"> amend Appendix I and Appendix II </w:t>
      </w:r>
      <w:r w:rsidR="00064A71">
        <w:rPr>
          <w:rFonts w:eastAsia="Arial Unicode MS"/>
          <w:noProof/>
        </w:rPr>
        <w:t>to</w:t>
      </w:r>
      <w:r w:rsidR="00B47B74">
        <w:rPr>
          <w:rFonts w:eastAsia="Arial Unicode MS"/>
          <w:noProof/>
        </w:rPr>
        <w:t xml:space="preserve"> the Convention, as provided for in Article XI of the </w:t>
      </w:r>
      <w:r w:rsidR="00FB313A">
        <w:rPr>
          <w:rFonts w:eastAsia="Arial Unicode MS"/>
          <w:noProof/>
        </w:rPr>
        <w:t>Convention</w:t>
      </w:r>
      <w:r w:rsidR="00B47B74">
        <w:rPr>
          <w:rFonts w:eastAsia="Arial Unicode MS"/>
          <w:noProof/>
        </w:rPr>
        <w:t xml:space="preserve">.  </w:t>
      </w:r>
    </w:p>
    <w:p w14:paraId="3F7BC311" w14:textId="77777777" w:rsidR="0025449C" w:rsidRDefault="00B47B74" w:rsidP="007A5BAA">
      <w:pPr>
        <w:rPr>
          <w:noProof/>
        </w:rPr>
      </w:pPr>
      <w:r>
        <w:rPr>
          <w:noProof/>
        </w:rPr>
        <w:t xml:space="preserve">In accordance with Article III of the Convention, Appendix I </w:t>
      </w:r>
      <w:r w:rsidR="00064A71">
        <w:rPr>
          <w:noProof/>
        </w:rPr>
        <w:t>to</w:t>
      </w:r>
      <w:r>
        <w:rPr>
          <w:noProof/>
        </w:rPr>
        <w:t xml:space="preserve"> the Convention shall list migratory species which are endangered and </w:t>
      </w:r>
      <w:r w:rsidR="002A0372">
        <w:rPr>
          <w:noProof/>
        </w:rPr>
        <w:t>for which</w:t>
      </w:r>
      <w:r>
        <w:rPr>
          <w:noProof/>
        </w:rPr>
        <w:t xml:space="preserve"> Parties that are Range States of the species concerned shall endeavour to take various conservation measures and shall prohibit the taking of animals belonging to such species.</w:t>
      </w:r>
    </w:p>
    <w:p w14:paraId="09F73F31" w14:textId="77777777" w:rsidR="000E65AF" w:rsidRPr="0057499A" w:rsidRDefault="000E65AF" w:rsidP="007A5BAA">
      <w:pPr>
        <w:rPr>
          <w:noProof/>
          <w:szCs w:val="24"/>
        </w:rPr>
      </w:pPr>
      <w:r>
        <w:rPr>
          <w:noProof/>
          <w:szCs w:val="24"/>
        </w:rPr>
        <w:t xml:space="preserve">Article IV to the </w:t>
      </w:r>
      <w:r w:rsidR="00FB313A">
        <w:rPr>
          <w:noProof/>
          <w:szCs w:val="24"/>
        </w:rPr>
        <w:t>Convention</w:t>
      </w:r>
      <w:r>
        <w:rPr>
          <w:noProof/>
          <w:szCs w:val="24"/>
        </w:rPr>
        <w:t xml:space="preserve"> stipulates that </w:t>
      </w:r>
      <w:r w:rsidRPr="00450BAE">
        <w:rPr>
          <w:noProof/>
          <w:szCs w:val="24"/>
        </w:rPr>
        <w:t xml:space="preserve">Appendix II shall list migratory species which have an unfavourable conservation status and which require international agreements for their conservation and management, as well as those which have a conservation status which would significantly benefit from the international cooperation that could be achieved by an </w:t>
      </w:r>
      <w:r w:rsidRPr="00450BAE">
        <w:rPr>
          <w:noProof/>
          <w:szCs w:val="24"/>
        </w:rPr>
        <w:lastRenderedPageBreak/>
        <w:t xml:space="preserve">international </w:t>
      </w:r>
      <w:r w:rsidRPr="00064A71">
        <w:rPr>
          <w:noProof/>
          <w:szCs w:val="24"/>
        </w:rPr>
        <w:t>agreement.</w:t>
      </w:r>
      <w:r w:rsidRPr="00064A71">
        <w:rPr>
          <w:rFonts w:ascii="Arial" w:hAnsi="Arial" w:cs="Arial"/>
          <w:b/>
          <w:bCs/>
          <w:noProof/>
          <w:sz w:val="23"/>
          <w:szCs w:val="23"/>
          <w:shd w:val="clear" w:color="auto" w:fill="FFFFFF"/>
        </w:rPr>
        <w:t xml:space="preserve"> </w:t>
      </w:r>
      <w:r w:rsidRPr="00064A71">
        <w:rPr>
          <w:rStyle w:val="apple-converted-space"/>
          <w:rFonts w:ascii="Arial" w:hAnsi="Arial" w:cs="Arial"/>
          <w:b/>
          <w:bCs/>
          <w:noProof/>
          <w:sz w:val="23"/>
          <w:szCs w:val="23"/>
          <w:shd w:val="clear" w:color="auto" w:fill="FFFFFF"/>
        </w:rPr>
        <w:t> </w:t>
      </w:r>
      <w:r w:rsidRPr="00064A71">
        <w:rPr>
          <w:bCs/>
          <w:noProof/>
          <w:szCs w:val="24"/>
          <w:shd w:val="clear" w:color="auto" w:fill="FFFFFF"/>
        </w:rPr>
        <w:t>If the circumstances so warrant, a migratory species may be listed both in Appendix I and Appendix II.</w:t>
      </w:r>
    </w:p>
    <w:p w14:paraId="6D3FF05F" w14:textId="77777777" w:rsidR="0005114C" w:rsidRPr="0057499A" w:rsidRDefault="000E65AF" w:rsidP="007A5BAA">
      <w:pPr>
        <w:rPr>
          <w:noProof/>
          <w:szCs w:val="24"/>
        </w:rPr>
      </w:pPr>
      <w:r w:rsidRPr="0057499A">
        <w:rPr>
          <w:noProof/>
        </w:rPr>
        <w:t xml:space="preserve">In accordance with Article XI of the </w:t>
      </w:r>
      <w:r w:rsidR="00FB313A">
        <w:rPr>
          <w:noProof/>
        </w:rPr>
        <w:t>Convention</w:t>
      </w:r>
      <w:r w:rsidRPr="0057499A">
        <w:rPr>
          <w:noProof/>
        </w:rPr>
        <w:t>, proposals for amendment</w:t>
      </w:r>
      <w:r w:rsidR="00064A71">
        <w:rPr>
          <w:noProof/>
        </w:rPr>
        <w:t>s</w:t>
      </w:r>
      <w:r w:rsidRPr="0057499A">
        <w:rPr>
          <w:noProof/>
        </w:rPr>
        <w:t xml:space="preserve"> may be made by any Party. </w:t>
      </w:r>
      <w:r w:rsidR="0025449C">
        <w:rPr>
          <w:rFonts w:eastAsia="Arial Unicode MS"/>
          <w:noProof/>
        </w:rPr>
        <w:t xml:space="preserve">An amendment to the </w:t>
      </w:r>
      <w:r w:rsidR="00064A71">
        <w:rPr>
          <w:rFonts w:eastAsia="Arial Unicode MS"/>
          <w:noProof/>
        </w:rPr>
        <w:t>A</w:t>
      </w:r>
      <w:r w:rsidR="0025449C">
        <w:rPr>
          <w:rFonts w:eastAsia="Arial Unicode MS"/>
          <w:noProof/>
        </w:rPr>
        <w:t xml:space="preserve">ppendices </w:t>
      </w:r>
      <w:r w:rsidR="0025449C" w:rsidRPr="00CD5FE8">
        <w:rPr>
          <w:noProof/>
        </w:rPr>
        <w:t xml:space="preserve">enters into force for all Parties ninety days after the meeting of the Conference of the </w:t>
      </w:r>
      <w:r w:rsidR="0025449C" w:rsidRPr="00CD5FE8">
        <w:rPr>
          <w:noProof/>
          <w:lang w:eastAsia="da-DK" w:bidi="da-DK"/>
        </w:rPr>
        <w:t xml:space="preserve">Parties </w:t>
      </w:r>
      <w:r w:rsidR="0025449C" w:rsidRPr="00CD5FE8">
        <w:rPr>
          <w:noProof/>
        </w:rPr>
        <w:t xml:space="preserve">at which it is adopted, except for those </w:t>
      </w:r>
      <w:r w:rsidR="0025449C" w:rsidRPr="00CD5FE8">
        <w:rPr>
          <w:noProof/>
          <w:lang w:eastAsia="da-DK" w:bidi="da-DK"/>
        </w:rPr>
        <w:t xml:space="preserve">Parties </w:t>
      </w:r>
      <w:r w:rsidR="0025449C" w:rsidRPr="00CD5FE8">
        <w:rPr>
          <w:noProof/>
        </w:rPr>
        <w:t>which make a reservation</w:t>
      </w:r>
      <w:r w:rsidR="0005114C">
        <w:rPr>
          <w:noProof/>
        </w:rPr>
        <w:t>.</w:t>
      </w:r>
    </w:p>
    <w:p w14:paraId="48F567D8" w14:textId="17F3BA61" w:rsidR="00700DA6" w:rsidRPr="00E34F04" w:rsidRDefault="00AB02A9" w:rsidP="00AB02A9">
      <w:pPr>
        <w:pStyle w:val="ManualHeading1"/>
        <w:rPr>
          <w:noProof/>
        </w:rPr>
      </w:pPr>
      <w:r w:rsidRPr="00AB02A9">
        <w:t>3.</w:t>
      </w:r>
      <w:r w:rsidRPr="00AB02A9">
        <w:tab/>
      </w:r>
      <w:r w:rsidR="00700DA6" w:rsidRPr="00E34F04">
        <w:rPr>
          <w:noProof/>
        </w:rPr>
        <w:t>Position to be taken on the Union's behalf</w:t>
      </w:r>
    </w:p>
    <w:p w14:paraId="099DA2B6" w14:textId="77777777" w:rsidR="007550DF" w:rsidRPr="007550DF" w:rsidRDefault="007550DF" w:rsidP="007A5BAA">
      <w:pPr>
        <w:rPr>
          <w:noProof/>
        </w:rPr>
      </w:pPr>
      <w:r w:rsidRPr="007550DF">
        <w:rPr>
          <w:noProof/>
        </w:rPr>
        <w:t xml:space="preserve">With regard to the </w:t>
      </w:r>
      <w:r w:rsidR="00064A71">
        <w:rPr>
          <w:noProof/>
        </w:rPr>
        <w:t>14</w:t>
      </w:r>
      <w:r w:rsidR="00064A71" w:rsidRPr="00064A71">
        <w:rPr>
          <w:noProof/>
          <w:vertAlign w:val="superscript"/>
        </w:rPr>
        <w:t>th</w:t>
      </w:r>
      <w:r w:rsidR="00064A71">
        <w:rPr>
          <w:noProof/>
        </w:rPr>
        <w:t xml:space="preserve"> </w:t>
      </w:r>
      <w:r w:rsidRPr="007550DF">
        <w:rPr>
          <w:noProof/>
        </w:rPr>
        <w:t xml:space="preserve">meeting of the Conference of the Parties </w:t>
      </w:r>
      <w:r w:rsidR="00064A71">
        <w:rPr>
          <w:noProof/>
        </w:rPr>
        <w:t>to</w:t>
      </w:r>
      <w:r w:rsidRPr="007550DF">
        <w:rPr>
          <w:noProof/>
        </w:rPr>
        <w:t xml:space="preserve"> the Convention, and in line with Council Decision</w:t>
      </w:r>
      <w:r w:rsidR="00BE39E5">
        <w:rPr>
          <w:noProof/>
        </w:rPr>
        <w:t xml:space="preserve"> (EU)</w:t>
      </w:r>
      <w:r w:rsidRPr="007550DF">
        <w:rPr>
          <w:noProof/>
        </w:rPr>
        <w:t xml:space="preserve"> </w:t>
      </w:r>
      <w:r w:rsidR="00F26150" w:rsidRPr="00F26150">
        <w:rPr>
          <w:noProof/>
        </w:rPr>
        <w:t>2023/1034 of 22 May 2023</w:t>
      </w:r>
      <w:r w:rsidR="006F7CE8">
        <w:rPr>
          <w:rStyle w:val="FootnoteReference"/>
          <w:noProof/>
        </w:rPr>
        <w:footnoteReference w:id="2"/>
      </w:r>
      <w:r w:rsidRPr="007550DF">
        <w:rPr>
          <w:noProof/>
        </w:rPr>
        <w:t>, the Union has proposed to amend the Convention as follows:</w:t>
      </w:r>
    </w:p>
    <w:p w14:paraId="7F77E067" w14:textId="77777777" w:rsidR="006669CD" w:rsidRPr="003E01C7" w:rsidRDefault="007550DF" w:rsidP="007A5BAA">
      <w:pPr>
        <w:pStyle w:val="Text1"/>
        <w:rPr>
          <w:noProof/>
          <w:szCs w:val="24"/>
        </w:rPr>
      </w:pPr>
      <w:r w:rsidRPr="00CD5FE8">
        <w:rPr>
          <w:noProof/>
        </w:rPr>
        <w:t xml:space="preserve">an amendment to Appendix I to the </w:t>
      </w:r>
      <w:r w:rsidR="00B35BCE">
        <w:rPr>
          <w:noProof/>
        </w:rPr>
        <w:t>Convention</w:t>
      </w:r>
      <w:r w:rsidRPr="00CD5FE8">
        <w:rPr>
          <w:noProof/>
        </w:rPr>
        <w:t xml:space="preserve"> to include the </w:t>
      </w:r>
      <w:r w:rsidR="006669CD" w:rsidRPr="006669CD">
        <w:rPr>
          <w:noProof/>
        </w:rPr>
        <w:t xml:space="preserve">Baltic Proper </w:t>
      </w:r>
      <w:r w:rsidR="0092750B">
        <w:rPr>
          <w:noProof/>
        </w:rPr>
        <w:t xml:space="preserve">population of the </w:t>
      </w:r>
      <w:r w:rsidR="006669CD" w:rsidRPr="006669CD">
        <w:rPr>
          <w:noProof/>
        </w:rPr>
        <w:t xml:space="preserve">harbour porpoise, </w:t>
      </w:r>
      <w:r w:rsidR="006669CD" w:rsidRPr="003E01C7">
        <w:rPr>
          <w:i/>
          <w:iCs/>
          <w:noProof/>
        </w:rPr>
        <w:t>Phocoena phocoena</w:t>
      </w:r>
      <w:r w:rsidR="0092750B" w:rsidRPr="003E01C7">
        <w:rPr>
          <w:i/>
          <w:iCs/>
          <w:noProof/>
        </w:rPr>
        <w:t>.</w:t>
      </w:r>
      <w:r w:rsidR="006669CD" w:rsidRPr="006669CD">
        <w:rPr>
          <w:noProof/>
        </w:rPr>
        <w:t xml:space="preserve"> </w:t>
      </w:r>
      <w:r w:rsidR="0092750B">
        <w:rPr>
          <w:noProof/>
        </w:rPr>
        <w:t xml:space="preserve"> </w:t>
      </w:r>
    </w:p>
    <w:p w14:paraId="34E8C9C7" w14:textId="77777777" w:rsidR="0005114C" w:rsidRPr="004A0CCD" w:rsidRDefault="007550DF" w:rsidP="007A5BAA">
      <w:pPr>
        <w:rPr>
          <w:noProof/>
          <w:szCs w:val="24"/>
        </w:rPr>
      </w:pPr>
      <w:r w:rsidRPr="004A0CCD">
        <w:rPr>
          <w:noProof/>
          <w:szCs w:val="24"/>
        </w:rPr>
        <w:t>Other Parties to the Convention have submitt</w:t>
      </w:r>
      <w:r w:rsidR="00B35BCE" w:rsidRPr="004A0CCD">
        <w:rPr>
          <w:noProof/>
          <w:szCs w:val="24"/>
        </w:rPr>
        <w:t>ed proposals to amend Appendix</w:t>
      </w:r>
      <w:r w:rsidRPr="004A0CCD">
        <w:rPr>
          <w:noProof/>
          <w:szCs w:val="24"/>
        </w:rPr>
        <w:t xml:space="preserve"> I </w:t>
      </w:r>
      <w:r w:rsidR="00B35BCE" w:rsidRPr="004A0CCD">
        <w:rPr>
          <w:noProof/>
          <w:szCs w:val="24"/>
        </w:rPr>
        <w:t>to include the following species</w:t>
      </w:r>
      <w:r w:rsidR="004A0CCD">
        <w:rPr>
          <w:noProof/>
          <w:szCs w:val="24"/>
        </w:rPr>
        <w:t xml:space="preserve"> and subspecies</w:t>
      </w:r>
      <w:r w:rsidR="00B35BCE" w:rsidRPr="004A0CCD">
        <w:rPr>
          <w:noProof/>
          <w:szCs w:val="24"/>
        </w:rPr>
        <w:t xml:space="preserve">: </w:t>
      </w:r>
      <w:r w:rsidR="006E691E" w:rsidRPr="004A0CCD">
        <w:rPr>
          <w:i/>
          <w:iCs/>
          <w:noProof/>
          <w:szCs w:val="24"/>
        </w:rPr>
        <w:t xml:space="preserve">Lynx lynx balcanicus, Tursiops truncatus gephyreus, Pelecanus thagus, Pluvianellus socialis, </w:t>
      </w:r>
      <w:r w:rsidR="005A0877">
        <w:rPr>
          <w:noProof/>
          <w:szCs w:val="24"/>
        </w:rPr>
        <w:t>Southern</w:t>
      </w:r>
      <w:r w:rsidR="006F4BF0">
        <w:rPr>
          <w:noProof/>
          <w:szCs w:val="24"/>
        </w:rPr>
        <w:t xml:space="preserve"> African population of </w:t>
      </w:r>
      <w:r w:rsidR="006E691E" w:rsidRPr="004A0CCD">
        <w:rPr>
          <w:i/>
          <w:iCs/>
          <w:noProof/>
          <w:szCs w:val="24"/>
        </w:rPr>
        <w:t>Gypaetus barbatus meridionalis,</w:t>
      </w:r>
      <w:r w:rsidR="006E691E" w:rsidRPr="004A0CCD">
        <w:rPr>
          <w:i/>
          <w:noProof/>
          <w:szCs w:val="24"/>
        </w:rPr>
        <w:t xml:space="preserve"> </w:t>
      </w:r>
      <w:r w:rsidR="006E691E" w:rsidRPr="006B50CD">
        <w:rPr>
          <w:i/>
          <w:iCs/>
          <w:noProof/>
          <w:szCs w:val="24"/>
        </w:rPr>
        <w:t xml:space="preserve">Carcharias taurus, </w:t>
      </w:r>
      <w:r w:rsidR="006E691E" w:rsidRPr="006B50CD">
        <w:rPr>
          <w:noProof/>
          <w:szCs w:val="24"/>
        </w:rPr>
        <w:t xml:space="preserve">Mediterranean Sea population of </w:t>
      </w:r>
      <w:r w:rsidR="006E691E" w:rsidRPr="006B50CD">
        <w:rPr>
          <w:i/>
          <w:iCs/>
          <w:noProof/>
          <w:szCs w:val="24"/>
        </w:rPr>
        <w:t>Glaucostegus cemiculus</w:t>
      </w:r>
      <w:r w:rsidR="004A0CCD" w:rsidRPr="006B50CD">
        <w:rPr>
          <w:i/>
          <w:iCs/>
          <w:noProof/>
          <w:szCs w:val="24"/>
        </w:rPr>
        <w:t xml:space="preserve">, </w:t>
      </w:r>
      <w:r w:rsidR="004A0CCD" w:rsidRPr="006B50CD">
        <w:rPr>
          <w:noProof/>
          <w:szCs w:val="24"/>
        </w:rPr>
        <w:t xml:space="preserve">Mediterranean Sea population of </w:t>
      </w:r>
      <w:r w:rsidR="004A0CCD" w:rsidRPr="006B50CD">
        <w:rPr>
          <w:i/>
          <w:iCs/>
          <w:noProof/>
          <w:szCs w:val="24"/>
        </w:rPr>
        <w:t xml:space="preserve">Aetomylaeus bovinus, </w:t>
      </w:r>
      <w:r w:rsidR="004A0CCD" w:rsidRPr="006B50CD">
        <w:rPr>
          <w:noProof/>
          <w:szCs w:val="24"/>
        </w:rPr>
        <w:t xml:space="preserve">Mediterranean Sea population of </w:t>
      </w:r>
      <w:r w:rsidR="004A0CCD" w:rsidRPr="006B50CD">
        <w:rPr>
          <w:i/>
          <w:iCs/>
          <w:noProof/>
          <w:szCs w:val="24"/>
        </w:rPr>
        <w:t>Rhinoptera</w:t>
      </w:r>
      <w:r w:rsidR="004A0CCD" w:rsidRPr="006B50CD">
        <w:rPr>
          <w:i/>
          <w:noProof/>
          <w:szCs w:val="24"/>
        </w:rPr>
        <w:t xml:space="preserve"> marginata</w:t>
      </w:r>
      <w:r w:rsidR="0005114C" w:rsidRPr="006B50CD">
        <w:rPr>
          <w:noProof/>
          <w:szCs w:val="24"/>
        </w:rPr>
        <w:t>.</w:t>
      </w:r>
    </w:p>
    <w:p w14:paraId="6191A298" w14:textId="77777777" w:rsidR="0005114C" w:rsidRPr="004A0CCD" w:rsidRDefault="00B35BCE" w:rsidP="007A5BAA">
      <w:pPr>
        <w:rPr>
          <w:noProof/>
          <w:szCs w:val="24"/>
        </w:rPr>
      </w:pPr>
      <w:r w:rsidRPr="004A0CCD">
        <w:rPr>
          <w:noProof/>
          <w:szCs w:val="24"/>
        </w:rPr>
        <w:t xml:space="preserve">Other Parties to the Convention have submitted proposals to amend Appendix II to include the following species: </w:t>
      </w:r>
      <w:r w:rsidR="006E691E" w:rsidRPr="004A0CCD">
        <w:rPr>
          <w:i/>
          <w:iCs/>
          <w:noProof/>
          <w:szCs w:val="24"/>
        </w:rPr>
        <w:t xml:space="preserve">Lynx lynx, Felis manul, Lama guanicoe, Tursiops truncatus gephyreus, Pelecanus thagus, </w:t>
      </w:r>
      <w:r w:rsidR="006E691E" w:rsidRPr="006B50CD">
        <w:rPr>
          <w:i/>
          <w:iCs/>
          <w:noProof/>
          <w:szCs w:val="24"/>
        </w:rPr>
        <w:t>Carcharias taurus, Glaucostegus cemiculus</w:t>
      </w:r>
      <w:r w:rsidR="004A0CCD" w:rsidRPr="006B50CD">
        <w:rPr>
          <w:i/>
          <w:iCs/>
          <w:noProof/>
          <w:szCs w:val="24"/>
        </w:rPr>
        <w:t>,</w:t>
      </w:r>
      <w:r w:rsidR="006E691E" w:rsidRPr="006B50CD">
        <w:rPr>
          <w:i/>
          <w:iCs/>
          <w:noProof/>
          <w:szCs w:val="24"/>
        </w:rPr>
        <w:t xml:space="preserve"> </w:t>
      </w:r>
      <w:r w:rsidR="004A0CCD" w:rsidRPr="006B50CD">
        <w:rPr>
          <w:i/>
          <w:iCs/>
          <w:noProof/>
          <w:szCs w:val="24"/>
        </w:rPr>
        <w:t xml:space="preserve">Aetomylaeus bovinus, Rhinoptera marginata, </w:t>
      </w:r>
      <w:r w:rsidR="006E691E" w:rsidRPr="006B50CD">
        <w:rPr>
          <w:i/>
          <w:iCs/>
          <w:noProof/>
          <w:szCs w:val="24"/>
        </w:rPr>
        <w:t xml:space="preserve">Brachyplatystoma </w:t>
      </w:r>
      <w:r w:rsidR="004A0CCD" w:rsidRPr="006B50CD">
        <w:rPr>
          <w:i/>
          <w:iCs/>
          <w:noProof/>
          <w:szCs w:val="24"/>
        </w:rPr>
        <w:t xml:space="preserve">rousseauxii, </w:t>
      </w:r>
      <w:r w:rsidR="004A0CCD" w:rsidRPr="006B50CD">
        <w:rPr>
          <w:i/>
          <w:noProof/>
          <w:szCs w:val="24"/>
        </w:rPr>
        <w:t>Brachyplatystoma</w:t>
      </w:r>
      <w:r w:rsidR="006E691E" w:rsidRPr="006B50CD">
        <w:rPr>
          <w:i/>
          <w:noProof/>
          <w:szCs w:val="24"/>
        </w:rPr>
        <w:t xml:space="preserve"> vaillantii</w:t>
      </w:r>
      <w:r w:rsidR="0092750B" w:rsidRPr="006B50CD">
        <w:rPr>
          <w:i/>
          <w:noProof/>
          <w:szCs w:val="24"/>
        </w:rPr>
        <w:t>.</w:t>
      </w:r>
      <w:r w:rsidR="0092750B" w:rsidRPr="004A0CCD">
        <w:rPr>
          <w:i/>
          <w:noProof/>
          <w:szCs w:val="24"/>
        </w:rPr>
        <w:t xml:space="preserve"> </w:t>
      </w:r>
    </w:p>
    <w:p w14:paraId="2B17901D" w14:textId="77777777" w:rsidR="002A0372" w:rsidRPr="00DC18A9" w:rsidRDefault="002A0372" w:rsidP="007A5BAA">
      <w:pPr>
        <w:rPr>
          <w:noProof/>
        </w:rPr>
      </w:pPr>
      <w:r>
        <w:rPr>
          <w:noProof/>
        </w:rPr>
        <w:t xml:space="preserve">It is therefore necessary for the Council to take a decision for the purpose of establishing the position to be adopted on behalf of the Union with a view to the </w:t>
      </w:r>
      <w:r w:rsidR="00064A71">
        <w:rPr>
          <w:noProof/>
        </w:rPr>
        <w:t>14</w:t>
      </w:r>
      <w:r w:rsidR="00064A71" w:rsidRPr="00064A71">
        <w:rPr>
          <w:noProof/>
          <w:vertAlign w:val="superscript"/>
        </w:rPr>
        <w:t>th</w:t>
      </w:r>
      <w:r w:rsidR="00064A71">
        <w:rPr>
          <w:noProof/>
        </w:rPr>
        <w:t xml:space="preserve"> </w:t>
      </w:r>
      <w:r>
        <w:rPr>
          <w:noProof/>
        </w:rPr>
        <w:t>meeting of the Conference of the Parties with regard to all proposals for amendment</w:t>
      </w:r>
      <w:r w:rsidR="00064A71">
        <w:rPr>
          <w:noProof/>
        </w:rPr>
        <w:t>s</w:t>
      </w:r>
      <w:r>
        <w:rPr>
          <w:noProof/>
        </w:rPr>
        <w:t>.</w:t>
      </w:r>
    </w:p>
    <w:p w14:paraId="42007BC8" w14:textId="77777777" w:rsidR="00DC18A9" w:rsidRDefault="00DC18A9" w:rsidP="007A5BAA">
      <w:pPr>
        <w:rPr>
          <w:noProof/>
        </w:rPr>
      </w:pPr>
      <w:r w:rsidRPr="00DC18A9">
        <w:rPr>
          <w:noProof/>
        </w:rPr>
        <w:t xml:space="preserve">The Union should support all </w:t>
      </w:r>
      <w:r w:rsidR="0092750B">
        <w:rPr>
          <w:noProof/>
        </w:rPr>
        <w:t xml:space="preserve">the above-mentioned </w:t>
      </w:r>
      <w:r w:rsidRPr="00DC18A9">
        <w:rPr>
          <w:noProof/>
        </w:rPr>
        <w:t xml:space="preserve">proposals because they are science-based and </w:t>
      </w:r>
      <w:r w:rsidR="004C5393">
        <w:rPr>
          <w:noProof/>
        </w:rPr>
        <w:t xml:space="preserve">in line </w:t>
      </w:r>
      <w:r w:rsidRPr="00DC18A9">
        <w:rPr>
          <w:noProof/>
        </w:rPr>
        <w:t>with the Union's commitment to international cooperation for the protection of biodiversity</w:t>
      </w:r>
      <w:r>
        <w:rPr>
          <w:noProof/>
        </w:rPr>
        <w:t xml:space="preserve">, including consideration of how to make best use of scientific information </w:t>
      </w:r>
      <w:r w:rsidRPr="00240EB7">
        <w:rPr>
          <w:noProof/>
        </w:rPr>
        <w:t>concerning both biological features and fisheries biological reference points</w:t>
      </w:r>
      <w:r w:rsidR="0005114C" w:rsidRPr="00240EB7">
        <w:rPr>
          <w:noProof/>
        </w:rPr>
        <w:t>.</w:t>
      </w:r>
    </w:p>
    <w:p w14:paraId="279979EE" w14:textId="77777777" w:rsidR="006A2D36" w:rsidRDefault="00DC18A9" w:rsidP="007A5BAA">
      <w:pPr>
        <w:rPr>
          <w:iCs/>
          <w:noProof/>
        </w:rPr>
      </w:pPr>
      <w:r w:rsidRPr="00EB221D">
        <w:rPr>
          <w:noProof/>
        </w:rPr>
        <w:t>Adding these species to Appendix I or II to the Convention, as proposed, would not require any change in Union law</w:t>
      </w:r>
      <w:r w:rsidR="004D7B3C" w:rsidRPr="00EB221D">
        <w:rPr>
          <w:noProof/>
        </w:rPr>
        <w:t>,</w:t>
      </w:r>
      <w:r w:rsidR="004D7B3C">
        <w:rPr>
          <w:noProof/>
        </w:rPr>
        <w:t xml:space="preserve"> except for the inclusion of </w:t>
      </w:r>
      <w:r w:rsidR="00BE39E5" w:rsidRPr="005A0877">
        <w:rPr>
          <w:i/>
          <w:iCs/>
          <w:noProof/>
        </w:rPr>
        <w:t>Carcharias taurus</w:t>
      </w:r>
      <w:r w:rsidR="00BE39E5">
        <w:rPr>
          <w:noProof/>
        </w:rPr>
        <w:t xml:space="preserve"> in Appendix I, </w:t>
      </w:r>
      <w:r w:rsidR="004D7B3C">
        <w:rPr>
          <w:noProof/>
        </w:rPr>
        <w:t xml:space="preserve">the </w:t>
      </w:r>
      <w:r w:rsidR="004D7B3C" w:rsidRPr="004D7B3C">
        <w:rPr>
          <w:noProof/>
        </w:rPr>
        <w:t xml:space="preserve">Mediterranean Sea population of </w:t>
      </w:r>
      <w:r w:rsidR="004D7B3C" w:rsidRPr="004D7B3C">
        <w:rPr>
          <w:i/>
          <w:iCs/>
          <w:noProof/>
        </w:rPr>
        <w:t>Aetomylaeus bovinus</w:t>
      </w:r>
      <w:r w:rsidR="004D7B3C" w:rsidRPr="004D7B3C">
        <w:rPr>
          <w:noProof/>
        </w:rPr>
        <w:t xml:space="preserve"> </w:t>
      </w:r>
      <w:r w:rsidR="005A0877">
        <w:rPr>
          <w:noProof/>
        </w:rPr>
        <w:t>in Appendix I,</w:t>
      </w:r>
      <w:r w:rsidR="00BE39E5">
        <w:rPr>
          <w:noProof/>
        </w:rPr>
        <w:t xml:space="preserve"> and</w:t>
      </w:r>
      <w:r w:rsidR="005A0877">
        <w:rPr>
          <w:noProof/>
        </w:rPr>
        <w:t xml:space="preserve"> </w:t>
      </w:r>
      <w:r w:rsidR="004D7B3C">
        <w:rPr>
          <w:noProof/>
        </w:rPr>
        <w:t xml:space="preserve">the </w:t>
      </w:r>
      <w:r w:rsidR="004D7B3C" w:rsidRPr="004D7B3C">
        <w:rPr>
          <w:noProof/>
        </w:rPr>
        <w:t xml:space="preserve">Mediterranean Sea population of </w:t>
      </w:r>
      <w:r w:rsidR="004D7B3C" w:rsidRPr="004D7B3C">
        <w:rPr>
          <w:i/>
          <w:iCs/>
          <w:noProof/>
        </w:rPr>
        <w:t>Rhinoptera marginata</w:t>
      </w:r>
      <w:r w:rsidR="00E72202">
        <w:rPr>
          <w:noProof/>
        </w:rPr>
        <w:t xml:space="preserve"> in Appendix I</w:t>
      </w:r>
      <w:r w:rsidR="007065FF">
        <w:rPr>
          <w:noProof/>
        </w:rPr>
        <w:t xml:space="preserve">, </w:t>
      </w:r>
      <w:r w:rsidR="007065FF">
        <w:rPr>
          <w:iCs/>
          <w:noProof/>
        </w:rPr>
        <w:t xml:space="preserve">since the current level of protection in the Union </w:t>
      </w:r>
      <w:r w:rsidR="008376BD">
        <w:rPr>
          <w:iCs/>
          <w:noProof/>
        </w:rPr>
        <w:t xml:space="preserve">for these species </w:t>
      </w:r>
      <w:r w:rsidR="007065FF">
        <w:rPr>
          <w:iCs/>
          <w:noProof/>
        </w:rPr>
        <w:t xml:space="preserve">does not satisfy the requirements of </w:t>
      </w:r>
      <w:r w:rsidR="005A0877">
        <w:rPr>
          <w:iCs/>
          <w:noProof/>
        </w:rPr>
        <w:t>Article</w:t>
      </w:r>
      <w:r w:rsidR="007065FF">
        <w:rPr>
          <w:iCs/>
          <w:noProof/>
        </w:rPr>
        <w:t xml:space="preserve"> III(5) of the Convention. </w:t>
      </w:r>
    </w:p>
    <w:p w14:paraId="45E763DF" w14:textId="77777777" w:rsidR="00FC5170" w:rsidRPr="00307772" w:rsidRDefault="00FC5170" w:rsidP="003D3D80">
      <w:pPr>
        <w:rPr>
          <w:noProof/>
        </w:rPr>
      </w:pPr>
      <w:r>
        <w:rPr>
          <w:noProof/>
        </w:rPr>
        <w:t xml:space="preserve">The Eurasian lynx, </w:t>
      </w:r>
      <w:r w:rsidRPr="006B06B8">
        <w:rPr>
          <w:i/>
          <w:iCs/>
          <w:noProof/>
        </w:rPr>
        <w:t>Lynx lynx</w:t>
      </w:r>
      <w:r>
        <w:rPr>
          <w:noProof/>
        </w:rPr>
        <w:t xml:space="preserve">, is covered by </w:t>
      </w:r>
      <w:r w:rsidRPr="00902D88">
        <w:rPr>
          <w:noProof/>
        </w:rPr>
        <w:t>the EU Habitats Directive</w:t>
      </w:r>
      <w:r w:rsidRPr="00B11921">
        <w:rPr>
          <w:rStyle w:val="FootnoteReference"/>
          <w:noProof/>
        </w:rPr>
        <w:footnoteReference w:id="3"/>
      </w:r>
      <w:r>
        <w:rPr>
          <w:noProof/>
        </w:rPr>
        <w:t xml:space="preserve">. Adding this species to Appendix II, and the subspecies </w:t>
      </w:r>
      <w:r w:rsidRPr="00307772">
        <w:rPr>
          <w:i/>
          <w:iCs/>
          <w:noProof/>
        </w:rPr>
        <w:t xml:space="preserve">Lynx lynx balcanicus </w:t>
      </w:r>
      <w:r>
        <w:rPr>
          <w:noProof/>
        </w:rPr>
        <w:t xml:space="preserve">to Appendix I to the Convention, should be supported. </w:t>
      </w:r>
    </w:p>
    <w:p w14:paraId="58EF35A1" w14:textId="77777777" w:rsidR="00FC5170" w:rsidRPr="00417E73" w:rsidRDefault="00FC5170" w:rsidP="003D3D80">
      <w:pPr>
        <w:rPr>
          <w:noProof/>
        </w:rPr>
      </w:pPr>
      <w:r w:rsidRPr="00417E73">
        <w:rPr>
          <w:noProof/>
        </w:rPr>
        <w:lastRenderedPageBreak/>
        <w:t xml:space="preserve">The </w:t>
      </w:r>
      <w:r>
        <w:rPr>
          <w:noProof/>
        </w:rPr>
        <w:t xml:space="preserve">Union is not a range state for the </w:t>
      </w:r>
      <w:r w:rsidRPr="00417E73">
        <w:rPr>
          <w:noProof/>
        </w:rPr>
        <w:t>species</w:t>
      </w:r>
      <w:r>
        <w:rPr>
          <w:noProof/>
        </w:rPr>
        <w:t xml:space="preserve"> and subspecies</w:t>
      </w:r>
      <w:r w:rsidRPr="00417E73">
        <w:rPr>
          <w:noProof/>
        </w:rPr>
        <w:t xml:space="preserve"> </w:t>
      </w:r>
      <w:r w:rsidRPr="00126611">
        <w:rPr>
          <w:i/>
          <w:iCs/>
          <w:noProof/>
        </w:rPr>
        <w:t>Tursiops truncatus gephyreus, Pelecanus thagus, Pluvianellus socialis, Gypaetus barbatus meridionalis</w:t>
      </w:r>
      <w:r>
        <w:rPr>
          <w:i/>
          <w:iCs/>
          <w:noProof/>
        </w:rPr>
        <w:t xml:space="preserve">, </w:t>
      </w:r>
      <w:r w:rsidRPr="00D21D87">
        <w:rPr>
          <w:noProof/>
        </w:rPr>
        <w:t>hence adding</w:t>
      </w:r>
      <w:r w:rsidRPr="00417E73">
        <w:rPr>
          <w:noProof/>
        </w:rPr>
        <w:t xml:space="preserve"> </w:t>
      </w:r>
      <w:r w:rsidRPr="00126611">
        <w:rPr>
          <w:noProof/>
        </w:rPr>
        <w:t>these</w:t>
      </w:r>
      <w:r w:rsidRPr="00417E73">
        <w:rPr>
          <w:noProof/>
        </w:rPr>
        <w:t xml:space="preserve"> species </w:t>
      </w:r>
      <w:r>
        <w:rPr>
          <w:noProof/>
        </w:rPr>
        <w:t xml:space="preserve">and subspecies </w:t>
      </w:r>
      <w:r w:rsidRPr="00417E73">
        <w:rPr>
          <w:noProof/>
        </w:rPr>
        <w:t>to Appendix I to the Convention would not require any change in Union law.</w:t>
      </w:r>
    </w:p>
    <w:p w14:paraId="6BE95699" w14:textId="77777777" w:rsidR="00FC5170" w:rsidRPr="00417E73" w:rsidRDefault="00FC5170" w:rsidP="003D3D80">
      <w:pPr>
        <w:rPr>
          <w:noProof/>
        </w:rPr>
      </w:pPr>
      <w:r w:rsidRPr="00417E73">
        <w:rPr>
          <w:noProof/>
        </w:rPr>
        <w:t>The</w:t>
      </w:r>
      <w:r>
        <w:rPr>
          <w:noProof/>
        </w:rPr>
        <w:t xml:space="preserve"> Union is not a range state for the</w:t>
      </w:r>
      <w:r w:rsidRPr="00417E73">
        <w:rPr>
          <w:noProof/>
        </w:rPr>
        <w:t xml:space="preserve"> species </w:t>
      </w:r>
      <w:r w:rsidRPr="001C28B3">
        <w:rPr>
          <w:i/>
          <w:noProof/>
        </w:rPr>
        <w:t>Felis manul, Lama guanicoe, Tursiops truncatus gephyreus, Pelecanus thagus</w:t>
      </w:r>
      <w:r>
        <w:rPr>
          <w:i/>
          <w:noProof/>
        </w:rPr>
        <w:t>,</w:t>
      </w:r>
      <w:r w:rsidRPr="00DC18A9">
        <w:rPr>
          <w:i/>
          <w:noProof/>
        </w:rPr>
        <w:t xml:space="preserve"> </w:t>
      </w:r>
      <w:r>
        <w:rPr>
          <w:noProof/>
        </w:rPr>
        <w:t>hence</w:t>
      </w:r>
      <w:r w:rsidRPr="00417E73">
        <w:rPr>
          <w:noProof/>
        </w:rPr>
        <w:t xml:space="preserve"> adding </w:t>
      </w:r>
      <w:r w:rsidRPr="00126611">
        <w:rPr>
          <w:noProof/>
        </w:rPr>
        <w:t>these</w:t>
      </w:r>
      <w:r w:rsidRPr="00417E73">
        <w:rPr>
          <w:noProof/>
        </w:rPr>
        <w:t xml:space="preserve"> species to Appendix II to the Convention would not require any </w:t>
      </w:r>
      <w:r>
        <w:rPr>
          <w:noProof/>
        </w:rPr>
        <w:t xml:space="preserve">action by the </w:t>
      </w:r>
      <w:r w:rsidRPr="00417E73">
        <w:rPr>
          <w:noProof/>
        </w:rPr>
        <w:t>Union.</w:t>
      </w:r>
    </w:p>
    <w:p w14:paraId="71AC281C" w14:textId="2F1F1B47" w:rsidR="00FC5170" w:rsidRDefault="00FC5170" w:rsidP="003D3D80">
      <w:pPr>
        <w:rPr>
          <w:noProof/>
        </w:rPr>
      </w:pPr>
      <w:r w:rsidRPr="00DC038D">
        <w:rPr>
          <w:noProof/>
        </w:rPr>
        <w:t xml:space="preserve">The species </w:t>
      </w:r>
      <w:r>
        <w:rPr>
          <w:i/>
          <w:noProof/>
        </w:rPr>
        <w:t xml:space="preserve">Glaucostegus cemiculus </w:t>
      </w:r>
      <w:r>
        <w:rPr>
          <w:iCs/>
          <w:noProof/>
        </w:rPr>
        <w:t>is strictly protected under the Barcelona Convention</w:t>
      </w:r>
      <w:r>
        <w:rPr>
          <w:rStyle w:val="FootnoteReference"/>
          <w:iCs/>
          <w:noProof/>
        </w:rPr>
        <w:footnoteReference w:id="4"/>
      </w:r>
      <w:r>
        <w:rPr>
          <w:iCs/>
          <w:noProof/>
        </w:rPr>
        <w:t xml:space="preserve">. Furthermore, </w:t>
      </w:r>
      <w:r w:rsidRPr="00D05FE8">
        <w:rPr>
          <w:iCs/>
          <w:noProof/>
        </w:rPr>
        <w:t xml:space="preserve">retention </w:t>
      </w:r>
      <w:r>
        <w:rPr>
          <w:iCs/>
          <w:noProof/>
        </w:rPr>
        <w:t xml:space="preserve">on board </w:t>
      </w:r>
      <w:r w:rsidR="006359C5">
        <w:rPr>
          <w:iCs/>
          <w:noProof/>
        </w:rPr>
        <w:t xml:space="preserve">of fishing vessels </w:t>
      </w:r>
      <w:r w:rsidRPr="00D05FE8">
        <w:rPr>
          <w:iCs/>
          <w:noProof/>
        </w:rPr>
        <w:t>of th</w:t>
      </w:r>
      <w:r>
        <w:rPr>
          <w:iCs/>
          <w:noProof/>
        </w:rPr>
        <w:t>is</w:t>
      </w:r>
      <w:r w:rsidRPr="00D05FE8">
        <w:rPr>
          <w:iCs/>
          <w:noProof/>
        </w:rPr>
        <w:t xml:space="preserve"> species </w:t>
      </w:r>
      <w:r>
        <w:rPr>
          <w:iCs/>
          <w:noProof/>
        </w:rPr>
        <w:t>is</w:t>
      </w:r>
      <w:r w:rsidRPr="00D05FE8">
        <w:rPr>
          <w:iCs/>
          <w:noProof/>
        </w:rPr>
        <w:t xml:space="preserve"> prohibited under Regulation (EU) </w:t>
      </w:r>
      <w:r>
        <w:rPr>
          <w:iCs/>
          <w:noProof/>
        </w:rPr>
        <w:t>1343</w:t>
      </w:r>
      <w:r w:rsidRPr="00D05FE8">
        <w:rPr>
          <w:iCs/>
          <w:noProof/>
        </w:rPr>
        <w:t>/</w:t>
      </w:r>
      <w:r>
        <w:rPr>
          <w:iCs/>
          <w:noProof/>
        </w:rPr>
        <w:t>2011</w:t>
      </w:r>
      <w:r>
        <w:rPr>
          <w:rStyle w:val="FootnoteReference"/>
          <w:iCs/>
          <w:noProof/>
        </w:rPr>
        <w:footnoteReference w:id="5"/>
      </w:r>
      <w:r>
        <w:rPr>
          <w:iCs/>
          <w:noProof/>
        </w:rPr>
        <w:t>.</w:t>
      </w:r>
      <w:r w:rsidRPr="00D05FE8">
        <w:rPr>
          <w:iCs/>
          <w:noProof/>
        </w:rPr>
        <w:t xml:space="preserve"> </w:t>
      </w:r>
      <w:r>
        <w:rPr>
          <w:iCs/>
          <w:noProof/>
        </w:rPr>
        <w:t>Therefore, a</w:t>
      </w:r>
      <w:r w:rsidRPr="00DC038D">
        <w:rPr>
          <w:noProof/>
        </w:rPr>
        <w:t xml:space="preserve">dding </w:t>
      </w:r>
      <w:r w:rsidR="00D660DA">
        <w:rPr>
          <w:noProof/>
        </w:rPr>
        <w:t xml:space="preserve">this species to Appendix II to the Convention and adding </w:t>
      </w:r>
      <w:r w:rsidR="00604350">
        <w:rPr>
          <w:noProof/>
        </w:rPr>
        <w:t xml:space="preserve">the Mediterranean Sea population of </w:t>
      </w:r>
      <w:r w:rsidRPr="00DC038D">
        <w:rPr>
          <w:noProof/>
        </w:rPr>
        <w:t>th</w:t>
      </w:r>
      <w:r>
        <w:rPr>
          <w:noProof/>
        </w:rPr>
        <w:t>is</w:t>
      </w:r>
      <w:r w:rsidRPr="00DC038D">
        <w:rPr>
          <w:noProof/>
        </w:rPr>
        <w:t xml:space="preserve"> species </w:t>
      </w:r>
      <w:r w:rsidR="00604350">
        <w:rPr>
          <w:noProof/>
        </w:rPr>
        <w:t>to Appendix I to the Convention</w:t>
      </w:r>
      <w:r w:rsidR="00604350" w:rsidRPr="00DC038D">
        <w:rPr>
          <w:noProof/>
        </w:rPr>
        <w:t xml:space="preserve"> </w:t>
      </w:r>
      <w:r w:rsidR="00D660DA">
        <w:rPr>
          <w:noProof/>
        </w:rPr>
        <w:t>should be supported</w:t>
      </w:r>
      <w:r w:rsidR="00604350">
        <w:rPr>
          <w:noProof/>
        </w:rPr>
        <w:t>.</w:t>
      </w:r>
    </w:p>
    <w:p w14:paraId="748BB62D" w14:textId="6CBB9F0D" w:rsidR="00FC5170" w:rsidRDefault="00FC5170" w:rsidP="003D3D80">
      <w:pPr>
        <w:rPr>
          <w:noProof/>
        </w:rPr>
      </w:pPr>
      <w:bookmarkStart w:id="1" w:name="_Hlk140215975"/>
      <w:r w:rsidRPr="00417E73">
        <w:rPr>
          <w:noProof/>
        </w:rPr>
        <w:t>The species</w:t>
      </w:r>
      <w:r w:rsidRPr="00C15517">
        <w:rPr>
          <w:i/>
          <w:noProof/>
        </w:rPr>
        <w:t xml:space="preserve"> </w:t>
      </w:r>
      <w:r w:rsidRPr="00240EB7">
        <w:rPr>
          <w:i/>
          <w:noProof/>
        </w:rPr>
        <w:t>Brachyplatystoma rousseauxii</w:t>
      </w:r>
      <w:r>
        <w:rPr>
          <w:i/>
          <w:noProof/>
        </w:rPr>
        <w:t xml:space="preserve"> </w:t>
      </w:r>
      <w:r>
        <w:rPr>
          <w:iCs/>
          <w:noProof/>
        </w:rPr>
        <w:t>and</w:t>
      </w:r>
      <w:r w:rsidRPr="00240EB7">
        <w:rPr>
          <w:i/>
          <w:noProof/>
        </w:rPr>
        <w:t xml:space="preserve"> Brachyplatystoma vaillantii</w:t>
      </w:r>
      <w:r w:rsidRPr="00417E73">
        <w:rPr>
          <w:noProof/>
        </w:rPr>
        <w:t xml:space="preserve"> occur in the </w:t>
      </w:r>
      <w:r>
        <w:rPr>
          <w:noProof/>
        </w:rPr>
        <w:t>Union</w:t>
      </w:r>
      <w:r w:rsidRPr="00417E73">
        <w:rPr>
          <w:noProof/>
        </w:rPr>
        <w:t xml:space="preserve"> only in </w:t>
      </w:r>
      <w:r w:rsidRPr="00126611">
        <w:rPr>
          <w:noProof/>
        </w:rPr>
        <w:t>French Guiana</w:t>
      </w:r>
      <w:r w:rsidRPr="00417E73">
        <w:rPr>
          <w:noProof/>
        </w:rPr>
        <w:t xml:space="preserve">, </w:t>
      </w:r>
      <w:r w:rsidR="004C5393">
        <w:rPr>
          <w:noProof/>
        </w:rPr>
        <w:t>where Union</w:t>
      </w:r>
      <w:r w:rsidR="007D53CE">
        <w:rPr>
          <w:noProof/>
        </w:rPr>
        <w:t xml:space="preserve"> nature</w:t>
      </w:r>
      <w:r w:rsidR="004C5393">
        <w:rPr>
          <w:noProof/>
        </w:rPr>
        <w:t xml:space="preserve"> legislation</w:t>
      </w:r>
      <w:r w:rsidR="00A46D29">
        <w:rPr>
          <w:noProof/>
        </w:rPr>
        <w:t xml:space="preserve"> </w:t>
      </w:r>
      <w:r w:rsidR="004C5393">
        <w:rPr>
          <w:noProof/>
        </w:rPr>
        <w:t xml:space="preserve">does not apply. </w:t>
      </w:r>
      <w:r w:rsidR="00D660DA">
        <w:rPr>
          <w:noProof/>
        </w:rPr>
        <w:t xml:space="preserve">Adding these species to Appendix II to the Convention should be supported. </w:t>
      </w:r>
    </w:p>
    <w:bookmarkEnd w:id="1"/>
    <w:p w14:paraId="2ED8CDDE" w14:textId="1057A5DF" w:rsidR="00700DA6" w:rsidRPr="00E34F04" w:rsidRDefault="00AB02A9" w:rsidP="00AB02A9">
      <w:pPr>
        <w:pStyle w:val="ManualHeading1"/>
        <w:rPr>
          <w:noProof/>
        </w:rPr>
      </w:pPr>
      <w:r w:rsidRPr="00AB02A9">
        <w:t>4.</w:t>
      </w:r>
      <w:r w:rsidRPr="00AB02A9">
        <w:tab/>
      </w:r>
      <w:r w:rsidR="00700DA6" w:rsidRPr="00E34F04">
        <w:rPr>
          <w:noProof/>
        </w:rPr>
        <w:t>Legal basis</w:t>
      </w:r>
    </w:p>
    <w:p w14:paraId="4E5E7851" w14:textId="27B2C5B6" w:rsidR="00700DA6" w:rsidRPr="00E34F04" w:rsidRDefault="00AB02A9" w:rsidP="00AB02A9">
      <w:pPr>
        <w:pStyle w:val="ManualHeading2"/>
        <w:rPr>
          <w:noProof/>
        </w:rPr>
      </w:pPr>
      <w:r w:rsidRPr="00AB02A9">
        <w:t>4.1.</w:t>
      </w:r>
      <w:r w:rsidRPr="00AB02A9">
        <w:tab/>
      </w:r>
      <w:r w:rsidR="00700DA6" w:rsidRPr="00E34F04">
        <w:rPr>
          <w:noProof/>
        </w:rPr>
        <w:t>Procedural legal basis</w:t>
      </w:r>
    </w:p>
    <w:p w14:paraId="193A9DE2" w14:textId="74DB9A13" w:rsidR="00700DA6" w:rsidRPr="00E34F04" w:rsidRDefault="00AB02A9" w:rsidP="00AB02A9">
      <w:pPr>
        <w:pStyle w:val="ManualHeading3"/>
        <w:rPr>
          <w:noProof/>
        </w:rPr>
      </w:pPr>
      <w:r w:rsidRPr="00AB02A9">
        <w:t>4.1.1.</w:t>
      </w:r>
      <w:r w:rsidRPr="00AB02A9">
        <w:tab/>
      </w:r>
      <w:r w:rsidR="00700DA6" w:rsidRPr="00E34F04">
        <w:rPr>
          <w:noProof/>
        </w:rPr>
        <w:t>Principles</w:t>
      </w:r>
    </w:p>
    <w:p w14:paraId="78C7B480" w14:textId="77777777" w:rsidR="00700DA6" w:rsidRPr="00E34F04" w:rsidRDefault="00700DA6" w:rsidP="007A5BAA">
      <w:pPr>
        <w:rPr>
          <w:noProof/>
        </w:rPr>
      </w:pPr>
      <w:r w:rsidRPr="00E34F04">
        <w:rPr>
          <w:noProof/>
        </w:rPr>
        <w:t>Article 218(9) of the Treaty on the Functioning of the European Union (TFEU) provides for decisions establishing ‘</w:t>
      </w:r>
      <w:r w:rsidRPr="00E34F04">
        <w:rPr>
          <w:i/>
          <w:noProof/>
        </w:rPr>
        <w:t>the positions to be adopted on the Union’s behalf in a body set up by an agreement, when that body is called upon to adopt acts having legal effects, with the exception of acts supplementing or amending the institutional framework of the agreement</w:t>
      </w:r>
      <w:r w:rsidRPr="00E34F04">
        <w:rPr>
          <w:noProof/>
        </w:rPr>
        <w:t>.’</w:t>
      </w:r>
    </w:p>
    <w:p w14:paraId="206484B1" w14:textId="77777777" w:rsidR="00700DA6" w:rsidRPr="00E34F04" w:rsidRDefault="00700DA6" w:rsidP="007A5BAA">
      <w:pPr>
        <w:rPr>
          <w:noProof/>
        </w:rPr>
      </w:pPr>
      <w:r w:rsidRPr="00E34F04">
        <w:rPr>
          <w:noProof/>
        </w:rPr>
        <w:t>The concept of ‘</w:t>
      </w:r>
      <w:r w:rsidRPr="00E34F04">
        <w:rPr>
          <w:i/>
          <w:noProof/>
        </w:rPr>
        <w:t>acts having legal effects</w:t>
      </w:r>
      <w:r w:rsidRPr="00E34F04">
        <w:rPr>
          <w:noProof/>
        </w:rPr>
        <w:t>’ includes acts that have legal effects by virtue of the rules of international law governing the body in question. It also includes instruments that do not have a binding effect under international law, but that are ‘</w:t>
      </w:r>
      <w:r w:rsidRPr="00E34F04">
        <w:rPr>
          <w:i/>
          <w:noProof/>
        </w:rPr>
        <w:t>capable of decisively influencing the content of the legislation adopted by the EU legislature</w:t>
      </w:r>
      <w:r w:rsidRPr="00E34F04">
        <w:rPr>
          <w:noProof/>
        </w:rPr>
        <w:t>’</w:t>
      </w:r>
      <w:r w:rsidRPr="00E34F04">
        <w:rPr>
          <w:rStyle w:val="FootnoteReference"/>
          <w:noProof/>
        </w:rPr>
        <w:footnoteReference w:id="6"/>
      </w:r>
      <w:r w:rsidRPr="00E34F04">
        <w:rPr>
          <w:noProof/>
        </w:rPr>
        <w:t>.</w:t>
      </w:r>
    </w:p>
    <w:p w14:paraId="4B434D3F" w14:textId="7A2B940C" w:rsidR="00700DA6" w:rsidRPr="00E34F04" w:rsidRDefault="00AB02A9" w:rsidP="00AB02A9">
      <w:pPr>
        <w:pStyle w:val="ManualHeading3"/>
        <w:rPr>
          <w:noProof/>
        </w:rPr>
      </w:pPr>
      <w:r w:rsidRPr="00AB02A9">
        <w:t>4.1.2.</w:t>
      </w:r>
      <w:r w:rsidRPr="00AB02A9">
        <w:tab/>
      </w:r>
      <w:r w:rsidR="00700DA6" w:rsidRPr="00E34F04">
        <w:rPr>
          <w:noProof/>
        </w:rPr>
        <w:t>Application to the present case</w:t>
      </w:r>
    </w:p>
    <w:p w14:paraId="6FF746A5" w14:textId="77777777" w:rsidR="00700DA6" w:rsidRPr="00E34F04" w:rsidRDefault="00700DA6" w:rsidP="007A5BAA">
      <w:pPr>
        <w:rPr>
          <w:noProof/>
        </w:rPr>
      </w:pPr>
      <w:r w:rsidRPr="00E34F04">
        <w:rPr>
          <w:noProof/>
        </w:rPr>
        <w:t>The</w:t>
      </w:r>
      <w:r w:rsidR="004B22C1">
        <w:rPr>
          <w:noProof/>
        </w:rPr>
        <w:t xml:space="preserve"> Conference of the Parties</w:t>
      </w:r>
      <w:r w:rsidRPr="00E34F04">
        <w:rPr>
          <w:noProof/>
        </w:rPr>
        <w:t xml:space="preserve"> is a body set up by an agreement, namely the</w:t>
      </w:r>
      <w:r w:rsidR="004B22C1">
        <w:rPr>
          <w:noProof/>
        </w:rPr>
        <w:t xml:space="preserve"> </w:t>
      </w:r>
      <w:r w:rsidR="004B22C1">
        <w:rPr>
          <w:rFonts w:eastAsia="Arial Unicode MS"/>
          <w:noProof/>
        </w:rPr>
        <w:t xml:space="preserve">Convention on the </w:t>
      </w:r>
      <w:r w:rsidR="006F7CE8" w:rsidRPr="00CD5FE8">
        <w:rPr>
          <w:rFonts w:eastAsia="Arial Unicode MS"/>
          <w:noProof/>
        </w:rPr>
        <w:t>Conservation of Migratory Species of Wild Animals</w:t>
      </w:r>
      <w:r w:rsidR="004B22C1">
        <w:rPr>
          <w:rFonts w:eastAsia="Arial Unicode MS"/>
          <w:noProof/>
        </w:rPr>
        <w:t>.</w:t>
      </w:r>
    </w:p>
    <w:p w14:paraId="7C5E2332" w14:textId="77777777" w:rsidR="00700DA6" w:rsidRPr="00417E73" w:rsidRDefault="00700DA6" w:rsidP="007A5BAA">
      <w:pPr>
        <w:rPr>
          <w:noProof/>
        </w:rPr>
      </w:pPr>
      <w:r w:rsidRPr="00E34F04">
        <w:rPr>
          <w:noProof/>
        </w:rPr>
        <w:t>The act</w:t>
      </w:r>
      <w:r w:rsidR="0065173D">
        <w:rPr>
          <w:noProof/>
        </w:rPr>
        <w:t>s</w:t>
      </w:r>
      <w:r w:rsidRPr="00E34F04">
        <w:rPr>
          <w:noProof/>
        </w:rPr>
        <w:t xml:space="preserve"> which the</w:t>
      </w:r>
      <w:r w:rsidR="004B22C1">
        <w:rPr>
          <w:noProof/>
        </w:rPr>
        <w:t xml:space="preserve"> Conference of the Parties</w:t>
      </w:r>
      <w:r w:rsidRPr="00E34F04">
        <w:rPr>
          <w:noProof/>
        </w:rPr>
        <w:t xml:space="preserve"> is called upon to adopt constitut</w:t>
      </w:r>
      <w:r w:rsidR="0065173D">
        <w:rPr>
          <w:noProof/>
        </w:rPr>
        <w:t>e</w:t>
      </w:r>
      <w:r w:rsidRPr="00E34F04">
        <w:rPr>
          <w:noProof/>
        </w:rPr>
        <w:t xml:space="preserve"> act</w:t>
      </w:r>
      <w:r w:rsidR="0065173D">
        <w:rPr>
          <w:noProof/>
        </w:rPr>
        <w:t>s</w:t>
      </w:r>
      <w:r w:rsidRPr="00E34F04">
        <w:rPr>
          <w:noProof/>
        </w:rPr>
        <w:t xml:space="preserve"> having legal effects. The envisaged act</w:t>
      </w:r>
      <w:r w:rsidR="0065173D">
        <w:rPr>
          <w:noProof/>
        </w:rPr>
        <w:t>s</w:t>
      </w:r>
      <w:r w:rsidRPr="00E34F04">
        <w:rPr>
          <w:noProof/>
        </w:rPr>
        <w:t xml:space="preserve"> will be binding under international law in accordance with Article</w:t>
      </w:r>
      <w:r w:rsidR="004B22C1">
        <w:rPr>
          <w:noProof/>
        </w:rPr>
        <w:t xml:space="preserve"> XI </w:t>
      </w:r>
      <w:r w:rsidRPr="00E34F04">
        <w:rPr>
          <w:noProof/>
        </w:rPr>
        <w:t xml:space="preserve">of the </w:t>
      </w:r>
      <w:r w:rsidR="004B22C1">
        <w:rPr>
          <w:rFonts w:eastAsia="Arial Unicode MS"/>
          <w:noProof/>
        </w:rPr>
        <w:t xml:space="preserve">Convention on </w:t>
      </w:r>
      <w:r w:rsidR="006F7CE8">
        <w:rPr>
          <w:rFonts w:eastAsia="Arial Unicode MS"/>
          <w:noProof/>
        </w:rPr>
        <w:t xml:space="preserve">the </w:t>
      </w:r>
      <w:r w:rsidR="006F7CE8" w:rsidRPr="00CD5FE8">
        <w:rPr>
          <w:rFonts w:eastAsia="Arial Unicode MS"/>
          <w:noProof/>
        </w:rPr>
        <w:t>Conservation of Migratory Species of Wild Animals</w:t>
      </w:r>
      <w:r w:rsidR="004B22C1">
        <w:rPr>
          <w:rFonts w:eastAsia="Arial Unicode MS"/>
          <w:noProof/>
        </w:rPr>
        <w:t>.</w:t>
      </w:r>
    </w:p>
    <w:p w14:paraId="42792DB9" w14:textId="77777777" w:rsidR="00700DA6" w:rsidRPr="00E34F04" w:rsidRDefault="00700DA6" w:rsidP="007A5BAA">
      <w:pPr>
        <w:rPr>
          <w:noProof/>
        </w:rPr>
      </w:pPr>
      <w:r w:rsidRPr="00E34F04">
        <w:rPr>
          <w:noProof/>
        </w:rPr>
        <w:t>The envisaged act</w:t>
      </w:r>
      <w:r w:rsidR="0065173D">
        <w:rPr>
          <w:noProof/>
        </w:rPr>
        <w:t>s do</w:t>
      </w:r>
      <w:r w:rsidRPr="00E34F04">
        <w:rPr>
          <w:noProof/>
        </w:rPr>
        <w:t xml:space="preserve"> not supplement or amend the institutional framework of the </w:t>
      </w:r>
      <w:r w:rsidR="00FB313A">
        <w:rPr>
          <w:noProof/>
        </w:rPr>
        <w:t>Convention</w:t>
      </w:r>
      <w:r w:rsidRPr="00E34F04">
        <w:rPr>
          <w:noProof/>
        </w:rPr>
        <w:t>.</w:t>
      </w:r>
    </w:p>
    <w:p w14:paraId="3DDBF616" w14:textId="77777777" w:rsidR="00700DA6" w:rsidRPr="00E34F04" w:rsidRDefault="00700DA6" w:rsidP="007A5BAA">
      <w:pPr>
        <w:rPr>
          <w:noProof/>
        </w:rPr>
      </w:pPr>
      <w:r w:rsidRPr="00E34F04">
        <w:rPr>
          <w:noProof/>
        </w:rPr>
        <w:t>Therefore, the procedural legal basis for the proposed decision is Article 218(9) TFEU.</w:t>
      </w:r>
    </w:p>
    <w:p w14:paraId="3A7C88B4" w14:textId="2548EFFD" w:rsidR="00700DA6" w:rsidRPr="00E34F04" w:rsidRDefault="00AB02A9" w:rsidP="00AB02A9">
      <w:pPr>
        <w:pStyle w:val="ManualHeading2"/>
        <w:rPr>
          <w:noProof/>
        </w:rPr>
      </w:pPr>
      <w:r w:rsidRPr="00AB02A9">
        <w:lastRenderedPageBreak/>
        <w:t>4.2.</w:t>
      </w:r>
      <w:r w:rsidRPr="00AB02A9">
        <w:tab/>
      </w:r>
      <w:r w:rsidR="00700DA6" w:rsidRPr="00E34F04">
        <w:rPr>
          <w:noProof/>
        </w:rPr>
        <w:t>Substantive legal basis</w:t>
      </w:r>
    </w:p>
    <w:p w14:paraId="56952BA5" w14:textId="7AFBB483" w:rsidR="00700DA6" w:rsidRPr="00E34F04" w:rsidRDefault="00AB02A9" w:rsidP="00AB02A9">
      <w:pPr>
        <w:pStyle w:val="ManualHeading3"/>
        <w:rPr>
          <w:noProof/>
        </w:rPr>
      </w:pPr>
      <w:r w:rsidRPr="00AB02A9">
        <w:t>4.2.1.</w:t>
      </w:r>
      <w:r w:rsidRPr="00AB02A9">
        <w:tab/>
      </w:r>
      <w:r w:rsidR="00700DA6" w:rsidRPr="00E34F04">
        <w:rPr>
          <w:noProof/>
        </w:rPr>
        <w:t>Principles</w:t>
      </w:r>
    </w:p>
    <w:p w14:paraId="33B83302" w14:textId="77777777" w:rsidR="00700DA6" w:rsidRPr="00E34F04" w:rsidRDefault="00700DA6" w:rsidP="007A5BAA">
      <w:pPr>
        <w:rPr>
          <w:noProof/>
        </w:rPr>
      </w:pPr>
      <w:r w:rsidRPr="00E34F04">
        <w:rPr>
          <w:noProof/>
        </w:rPr>
        <w:t>The substantive legal basis for a decision under Article 218(9) TFEU depends primarily on the objective and content of the envisaged act in respect of which a position is taken on the Union's behalf. If the envisaged act pursues two aims or has two components and if one of those aims or components is identifiable as the main one, whereas the other is merely incidental, the decision under Article 218(9) TFEU must be founded on a single substantive legal basis, namely that required by the main or predominant aim or component.</w:t>
      </w:r>
    </w:p>
    <w:p w14:paraId="3C8993F1" w14:textId="4B9A56AB" w:rsidR="00700DA6" w:rsidRPr="00E34F04" w:rsidRDefault="00AB02A9" w:rsidP="00AB02A9">
      <w:pPr>
        <w:pStyle w:val="ManualHeading3"/>
        <w:rPr>
          <w:noProof/>
        </w:rPr>
      </w:pPr>
      <w:r w:rsidRPr="00AB02A9">
        <w:t>4.2.2.</w:t>
      </w:r>
      <w:r w:rsidRPr="00AB02A9">
        <w:tab/>
      </w:r>
      <w:r w:rsidR="00700DA6" w:rsidRPr="00E34F04">
        <w:rPr>
          <w:noProof/>
        </w:rPr>
        <w:t>Application to the present case</w:t>
      </w:r>
    </w:p>
    <w:p w14:paraId="04FD5195" w14:textId="77777777" w:rsidR="0005114C" w:rsidRPr="0057499A" w:rsidRDefault="00700DA6" w:rsidP="007A5BAA">
      <w:pPr>
        <w:rPr>
          <w:noProof/>
          <w:szCs w:val="24"/>
        </w:rPr>
      </w:pPr>
      <w:r w:rsidRPr="00E34F04">
        <w:rPr>
          <w:noProof/>
        </w:rPr>
        <w:t>The main objective and content of the envisaged act</w:t>
      </w:r>
      <w:r w:rsidR="0065173D">
        <w:rPr>
          <w:noProof/>
        </w:rPr>
        <w:t>s</w:t>
      </w:r>
      <w:r w:rsidRPr="00E34F04">
        <w:rPr>
          <w:noProof/>
        </w:rPr>
        <w:t xml:space="preserve"> relate to </w:t>
      </w:r>
      <w:r w:rsidR="006632D2" w:rsidRPr="006632D2">
        <w:rPr>
          <w:noProof/>
        </w:rPr>
        <w:t>environment</w:t>
      </w:r>
      <w:r w:rsidR="007065FF">
        <w:rPr>
          <w:noProof/>
        </w:rPr>
        <w:t>al protection.</w:t>
      </w:r>
    </w:p>
    <w:p w14:paraId="052F6A1E" w14:textId="77777777" w:rsidR="006632D2" w:rsidRPr="00E34F04" w:rsidRDefault="00700DA6" w:rsidP="007A5BAA">
      <w:pPr>
        <w:rPr>
          <w:noProof/>
        </w:rPr>
      </w:pPr>
      <w:r w:rsidRPr="00E34F04">
        <w:rPr>
          <w:noProof/>
        </w:rPr>
        <w:t>Therefore, the substantive legal basis of the proposed decision is</w:t>
      </w:r>
      <w:r w:rsidR="006632D2">
        <w:rPr>
          <w:noProof/>
        </w:rPr>
        <w:t xml:space="preserve"> Article 192(1)</w:t>
      </w:r>
      <w:r w:rsidR="00DC038D">
        <w:rPr>
          <w:noProof/>
        </w:rPr>
        <w:t xml:space="preserve"> TFEU</w:t>
      </w:r>
      <w:r w:rsidR="006632D2">
        <w:rPr>
          <w:noProof/>
        </w:rPr>
        <w:t>.</w:t>
      </w:r>
    </w:p>
    <w:p w14:paraId="0706C217" w14:textId="35D1C5B4" w:rsidR="00700DA6" w:rsidRPr="00E34F04" w:rsidRDefault="00AB02A9" w:rsidP="00AB02A9">
      <w:pPr>
        <w:pStyle w:val="ManualHeading2"/>
        <w:rPr>
          <w:noProof/>
        </w:rPr>
      </w:pPr>
      <w:r w:rsidRPr="00AB02A9">
        <w:t>4.3.</w:t>
      </w:r>
      <w:r w:rsidRPr="00AB02A9">
        <w:tab/>
      </w:r>
      <w:r w:rsidR="00700DA6" w:rsidRPr="00E34F04">
        <w:rPr>
          <w:noProof/>
        </w:rPr>
        <w:t>Conclusion</w:t>
      </w:r>
    </w:p>
    <w:p w14:paraId="2950A0E2" w14:textId="77777777" w:rsidR="00700DA6" w:rsidRPr="00E34F04" w:rsidRDefault="00700DA6" w:rsidP="007A5BAA">
      <w:pPr>
        <w:rPr>
          <w:noProof/>
        </w:rPr>
      </w:pPr>
      <w:r w:rsidRPr="00E34F04">
        <w:rPr>
          <w:noProof/>
        </w:rPr>
        <w:t>The legal basis of the proposed decision should be</w:t>
      </w:r>
      <w:r w:rsidR="006632D2">
        <w:rPr>
          <w:noProof/>
        </w:rPr>
        <w:t xml:space="preserve"> Article 192(1)</w:t>
      </w:r>
      <w:r w:rsidR="00DC038D">
        <w:rPr>
          <w:noProof/>
        </w:rPr>
        <w:t xml:space="preserve"> TFEU</w:t>
      </w:r>
      <w:r w:rsidR="006632D2">
        <w:rPr>
          <w:noProof/>
        </w:rPr>
        <w:t>,</w:t>
      </w:r>
      <w:r w:rsidRPr="00E34F04">
        <w:rPr>
          <w:noProof/>
        </w:rPr>
        <w:t xml:space="preserve"> in conjunction with Article 218(9) TFEU.</w:t>
      </w:r>
    </w:p>
    <w:p w14:paraId="1538BE3E" w14:textId="2E84C04B" w:rsidR="00700DA6" w:rsidRPr="00E34F04" w:rsidRDefault="00AB02A9" w:rsidP="00AB02A9">
      <w:pPr>
        <w:pStyle w:val="ManualHeading1"/>
        <w:rPr>
          <w:noProof/>
        </w:rPr>
      </w:pPr>
      <w:r w:rsidRPr="00AB02A9">
        <w:t>5.</w:t>
      </w:r>
      <w:r w:rsidRPr="00AB02A9">
        <w:tab/>
      </w:r>
      <w:r w:rsidR="00700DA6" w:rsidRPr="00E34F04">
        <w:rPr>
          <w:noProof/>
        </w:rPr>
        <w:t>Publication of the envisaged act</w:t>
      </w:r>
    </w:p>
    <w:p w14:paraId="3CE71695" w14:textId="77777777" w:rsidR="00700DA6" w:rsidRDefault="00700DA6" w:rsidP="007A5BAA">
      <w:pPr>
        <w:rPr>
          <w:b/>
          <w:noProof/>
          <w:u w:val="single"/>
        </w:rPr>
      </w:pPr>
      <w:r w:rsidRPr="00E34F04">
        <w:rPr>
          <w:noProof/>
        </w:rPr>
        <w:t>As the act</w:t>
      </w:r>
      <w:r w:rsidR="0065173D">
        <w:rPr>
          <w:noProof/>
        </w:rPr>
        <w:t>s</w:t>
      </w:r>
      <w:r w:rsidRPr="00E34F04">
        <w:rPr>
          <w:noProof/>
        </w:rPr>
        <w:t xml:space="preserve"> of the</w:t>
      </w:r>
      <w:r w:rsidR="006632D2">
        <w:rPr>
          <w:noProof/>
        </w:rPr>
        <w:t xml:space="preserve"> Conference of the Parties</w:t>
      </w:r>
      <w:r w:rsidRPr="00E34F04">
        <w:rPr>
          <w:noProof/>
        </w:rPr>
        <w:t xml:space="preserve"> will amend</w:t>
      </w:r>
      <w:r w:rsidR="0005114C">
        <w:rPr>
          <w:noProof/>
        </w:rPr>
        <w:t xml:space="preserve"> Appendices I and II </w:t>
      </w:r>
      <w:r w:rsidR="006F7CE8">
        <w:rPr>
          <w:noProof/>
        </w:rPr>
        <w:t>to</w:t>
      </w:r>
      <w:r w:rsidR="0005114C">
        <w:rPr>
          <w:noProof/>
        </w:rPr>
        <w:t xml:space="preserve"> the</w:t>
      </w:r>
      <w:r w:rsidRPr="00E34F04">
        <w:rPr>
          <w:noProof/>
        </w:rPr>
        <w:t xml:space="preserve"> </w:t>
      </w:r>
      <w:r w:rsidR="006632D2">
        <w:rPr>
          <w:rFonts w:eastAsia="Arial Unicode MS"/>
          <w:noProof/>
        </w:rPr>
        <w:t xml:space="preserve">Convention on the </w:t>
      </w:r>
      <w:r w:rsidR="006F7CE8">
        <w:rPr>
          <w:rFonts w:eastAsia="Arial Unicode MS"/>
          <w:noProof/>
        </w:rPr>
        <w:t>C</w:t>
      </w:r>
      <w:r w:rsidR="006632D2">
        <w:rPr>
          <w:rFonts w:eastAsia="Arial Unicode MS"/>
          <w:noProof/>
        </w:rPr>
        <w:t xml:space="preserve">onservation of </w:t>
      </w:r>
      <w:r w:rsidR="006F7CE8">
        <w:rPr>
          <w:rFonts w:eastAsia="Arial Unicode MS"/>
          <w:noProof/>
        </w:rPr>
        <w:t>M</w:t>
      </w:r>
      <w:r w:rsidR="006632D2">
        <w:rPr>
          <w:rFonts w:eastAsia="Arial Unicode MS"/>
          <w:noProof/>
        </w:rPr>
        <w:t>i</w:t>
      </w:r>
      <w:r w:rsidR="0065173D">
        <w:rPr>
          <w:rFonts w:eastAsia="Arial Unicode MS"/>
          <w:noProof/>
        </w:rPr>
        <w:t xml:space="preserve">gratory </w:t>
      </w:r>
      <w:r w:rsidR="006F7CE8">
        <w:rPr>
          <w:rFonts w:eastAsia="Arial Unicode MS"/>
          <w:noProof/>
        </w:rPr>
        <w:t>S</w:t>
      </w:r>
      <w:r w:rsidR="0065173D">
        <w:rPr>
          <w:rFonts w:eastAsia="Arial Unicode MS"/>
          <w:noProof/>
        </w:rPr>
        <w:t xml:space="preserve">pecies of </w:t>
      </w:r>
      <w:r w:rsidR="006F7CE8">
        <w:rPr>
          <w:rFonts w:eastAsia="Arial Unicode MS"/>
          <w:noProof/>
        </w:rPr>
        <w:t>W</w:t>
      </w:r>
      <w:r w:rsidR="0065173D">
        <w:rPr>
          <w:rFonts w:eastAsia="Arial Unicode MS"/>
          <w:noProof/>
        </w:rPr>
        <w:t xml:space="preserve">ild </w:t>
      </w:r>
      <w:r w:rsidR="006F7CE8">
        <w:rPr>
          <w:rFonts w:eastAsia="Arial Unicode MS"/>
          <w:noProof/>
        </w:rPr>
        <w:t>A</w:t>
      </w:r>
      <w:r w:rsidR="0065173D">
        <w:rPr>
          <w:rFonts w:eastAsia="Arial Unicode MS"/>
          <w:noProof/>
        </w:rPr>
        <w:t>nimals,</w:t>
      </w:r>
      <w:r w:rsidRPr="00E34F04">
        <w:rPr>
          <w:noProof/>
        </w:rPr>
        <w:t xml:space="preserve"> </w:t>
      </w:r>
      <w:r w:rsidR="00B515C0">
        <w:rPr>
          <w:noProof/>
        </w:rPr>
        <w:t>it is appropriate to publish them</w:t>
      </w:r>
      <w:r w:rsidRPr="00E34F04">
        <w:rPr>
          <w:noProof/>
        </w:rPr>
        <w:t xml:space="preserve"> in the </w:t>
      </w:r>
      <w:r w:rsidRPr="00E34F04">
        <w:rPr>
          <w:i/>
          <w:noProof/>
        </w:rPr>
        <w:t xml:space="preserve">Official Journal of the European Union </w:t>
      </w:r>
      <w:r w:rsidR="00B515C0">
        <w:rPr>
          <w:noProof/>
        </w:rPr>
        <w:t>after their</w:t>
      </w:r>
      <w:r w:rsidRPr="00E34F04">
        <w:rPr>
          <w:noProof/>
        </w:rPr>
        <w:t xml:space="preserve"> adoption.</w:t>
      </w:r>
    </w:p>
    <w:p w14:paraId="085A259A" w14:textId="77777777" w:rsidR="00700DA6" w:rsidRPr="00FD40BA" w:rsidRDefault="00700DA6" w:rsidP="007A5BAA">
      <w:pPr>
        <w:rPr>
          <w:noProof/>
        </w:rPr>
        <w:sectPr w:rsidR="00700DA6" w:rsidRPr="00FD40BA" w:rsidSect="00B115DD">
          <w:footerReference w:type="default" r:id="rId10"/>
          <w:footerReference w:type="first" r:id="rId11"/>
          <w:pgSz w:w="11907" w:h="16839"/>
          <w:pgMar w:top="1134" w:right="1417" w:bottom="1134" w:left="1417" w:header="709" w:footer="709" w:gutter="0"/>
          <w:cols w:space="708"/>
          <w:docGrid w:linePitch="360"/>
        </w:sectPr>
      </w:pPr>
    </w:p>
    <w:p w14:paraId="32B1F8D2" w14:textId="2B891475" w:rsidR="00CB253B" w:rsidRDefault="00CB253B" w:rsidP="00CB253B">
      <w:pPr>
        <w:pStyle w:val="Rfrenceinterinstitutionnelle"/>
        <w:rPr>
          <w:noProof/>
        </w:rPr>
      </w:pPr>
      <w:r w:rsidRPr="00CB253B">
        <w:lastRenderedPageBreak/>
        <w:t>2023/0298 (NLE)</w:t>
      </w:r>
    </w:p>
    <w:p w14:paraId="056145C3" w14:textId="1152DB41" w:rsidR="00700DA6" w:rsidRPr="00E34F04" w:rsidRDefault="000B737E" w:rsidP="007A5BAA">
      <w:pPr>
        <w:pStyle w:val="Statut"/>
        <w:rPr>
          <w:noProof/>
        </w:rPr>
      </w:pPr>
      <w:r w:rsidRPr="000B737E">
        <w:rPr>
          <w:noProof/>
        </w:rPr>
        <w:t>Proposal for a</w:t>
      </w:r>
    </w:p>
    <w:p w14:paraId="7FBE01E2" w14:textId="77777777" w:rsidR="00700DA6" w:rsidRPr="00E34F04" w:rsidRDefault="000B737E" w:rsidP="007A5BAA">
      <w:pPr>
        <w:pStyle w:val="Typedudocument"/>
        <w:rPr>
          <w:noProof/>
        </w:rPr>
      </w:pPr>
      <w:r w:rsidRPr="000B737E">
        <w:rPr>
          <w:noProof/>
        </w:rPr>
        <w:t>COUNCIL DECISION</w:t>
      </w:r>
    </w:p>
    <w:p w14:paraId="375B3636" w14:textId="77777777" w:rsidR="00700DA6" w:rsidRPr="00E34F04" w:rsidRDefault="000B737E" w:rsidP="007A5BAA">
      <w:pPr>
        <w:pStyle w:val="Titreobjet"/>
        <w:rPr>
          <w:noProof/>
        </w:rPr>
      </w:pPr>
      <w:r w:rsidRPr="000B737E">
        <w:rPr>
          <w:noProof/>
        </w:rPr>
        <w:t>on the position to be taken on behalf of the European Union in the fourteenth meeting of the Conference of the Parties to the Convention on the Conservation of Migratory Species of Wild Animals (CMS) as regards proposals from various parties to amend the Appendices to that Convention</w:t>
      </w:r>
    </w:p>
    <w:p w14:paraId="413B79E1" w14:textId="77777777" w:rsidR="00700DA6" w:rsidRPr="00E34F04" w:rsidRDefault="00700DA6" w:rsidP="007A5BAA">
      <w:pPr>
        <w:pStyle w:val="Institutionquiagit"/>
        <w:rPr>
          <w:b/>
          <w:noProof/>
        </w:rPr>
      </w:pPr>
      <w:r w:rsidRPr="00E34F04">
        <w:rPr>
          <w:b/>
          <w:noProof/>
        </w:rPr>
        <w:t>THE COUNCIL OF THE EUROPEAN UNION,</w:t>
      </w:r>
    </w:p>
    <w:p w14:paraId="21BF726C" w14:textId="77777777" w:rsidR="00700DA6" w:rsidRPr="00E34F04" w:rsidRDefault="00700DA6" w:rsidP="007A5BAA">
      <w:pPr>
        <w:rPr>
          <w:noProof/>
        </w:rPr>
      </w:pPr>
      <w:r w:rsidRPr="00E34F04">
        <w:rPr>
          <w:noProof/>
        </w:rPr>
        <w:t>Having regard to the Treaty on the Functioning of the European Uni</w:t>
      </w:r>
      <w:r w:rsidR="006632D2">
        <w:rPr>
          <w:noProof/>
        </w:rPr>
        <w:t xml:space="preserve">on, and in particular </w:t>
      </w:r>
      <w:r w:rsidR="006632D2" w:rsidRPr="00DC038D">
        <w:rPr>
          <w:noProof/>
        </w:rPr>
        <w:t>Article 192(1),</w:t>
      </w:r>
      <w:r w:rsidRPr="0057686D">
        <w:rPr>
          <w:noProof/>
        </w:rPr>
        <w:t xml:space="preserve"> in</w:t>
      </w:r>
      <w:r w:rsidRPr="00E34F04">
        <w:rPr>
          <w:noProof/>
        </w:rPr>
        <w:t xml:space="preserve"> conjunction with Article 218(9) thereof,</w:t>
      </w:r>
    </w:p>
    <w:p w14:paraId="4895703A" w14:textId="77777777" w:rsidR="00700DA6" w:rsidRPr="00E34F04" w:rsidRDefault="00700DA6" w:rsidP="007A5BAA">
      <w:pPr>
        <w:rPr>
          <w:noProof/>
        </w:rPr>
      </w:pPr>
      <w:r w:rsidRPr="00E34F04">
        <w:rPr>
          <w:noProof/>
        </w:rPr>
        <w:t>Having regard to the proposal from the European Commission,</w:t>
      </w:r>
    </w:p>
    <w:p w14:paraId="27FF367E" w14:textId="77777777" w:rsidR="00700DA6" w:rsidRPr="00E34F04" w:rsidRDefault="00700DA6" w:rsidP="007A5BAA">
      <w:pPr>
        <w:rPr>
          <w:noProof/>
        </w:rPr>
      </w:pPr>
      <w:r w:rsidRPr="00E34F04">
        <w:rPr>
          <w:noProof/>
        </w:rPr>
        <w:t>Whereas:</w:t>
      </w:r>
    </w:p>
    <w:p w14:paraId="04DA35F3" w14:textId="667EEE31" w:rsidR="00700DA6" w:rsidRDefault="00AB02A9" w:rsidP="00AB02A9">
      <w:pPr>
        <w:pStyle w:val="ManualConsidrant"/>
        <w:rPr>
          <w:noProof/>
        </w:rPr>
      </w:pPr>
      <w:r w:rsidRPr="00AB02A9">
        <w:t>(1)</w:t>
      </w:r>
      <w:r w:rsidRPr="00AB02A9">
        <w:tab/>
      </w:r>
      <w:r w:rsidR="006632D2">
        <w:rPr>
          <w:rFonts w:eastAsia="Arial Unicode MS"/>
          <w:noProof/>
        </w:rPr>
        <w:t xml:space="preserve">The Convention on the </w:t>
      </w:r>
      <w:r w:rsidR="00D21D87">
        <w:rPr>
          <w:rFonts w:eastAsia="Arial Unicode MS"/>
          <w:noProof/>
        </w:rPr>
        <w:t>C</w:t>
      </w:r>
      <w:r w:rsidR="006632D2">
        <w:rPr>
          <w:rFonts w:eastAsia="Arial Unicode MS"/>
          <w:noProof/>
        </w:rPr>
        <w:t xml:space="preserve">onservation of </w:t>
      </w:r>
      <w:r w:rsidR="00D21D87">
        <w:rPr>
          <w:rFonts w:eastAsia="Arial Unicode MS"/>
          <w:noProof/>
        </w:rPr>
        <w:t>M</w:t>
      </w:r>
      <w:r w:rsidR="006632D2">
        <w:rPr>
          <w:rFonts w:eastAsia="Arial Unicode MS"/>
          <w:noProof/>
        </w:rPr>
        <w:t xml:space="preserve">igratory </w:t>
      </w:r>
      <w:r w:rsidR="00D21D87">
        <w:rPr>
          <w:rFonts w:eastAsia="Arial Unicode MS"/>
          <w:noProof/>
        </w:rPr>
        <w:t>S</w:t>
      </w:r>
      <w:r w:rsidR="006632D2">
        <w:rPr>
          <w:rFonts w:eastAsia="Arial Unicode MS"/>
          <w:noProof/>
        </w:rPr>
        <w:t xml:space="preserve">pecies of </w:t>
      </w:r>
      <w:r w:rsidR="00D21D87">
        <w:rPr>
          <w:rFonts w:eastAsia="Arial Unicode MS"/>
          <w:noProof/>
        </w:rPr>
        <w:t>W</w:t>
      </w:r>
      <w:r w:rsidR="006632D2">
        <w:rPr>
          <w:rFonts w:eastAsia="Arial Unicode MS"/>
          <w:noProof/>
        </w:rPr>
        <w:t xml:space="preserve">ild </w:t>
      </w:r>
      <w:r w:rsidR="00D21D87">
        <w:rPr>
          <w:rFonts w:eastAsia="Arial Unicode MS"/>
          <w:noProof/>
        </w:rPr>
        <w:t>A</w:t>
      </w:r>
      <w:r w:rsidR="006632D2">
        <w:rPr>
          <w:rFonts w:eastAsia="Arial Unicode MS"/>
          <w:noProof/>
        </w:rPr>
        <w:t>nimals</w:t>
      </w:r>
      <w:r w:rsidR="00700DA6" w:rsidRPr="00E34F04">
        <w:rPr>
          <w:noProof/>
        </w:rPr>
        <w:t xml:space="preserve"> (</w:t>
      </w:r>
      <w:r w:rsidR="009309E2">
        <w:rPr>
          <w:noProof/>
        </w:rPr>
        <w:t xml:space="preserve">the </w:t>
      </w:r>
      <w:r w:rsidR="00700DA6" w:rsidRPr="00E34F04">
        <w:rPr>
          <w:noProof/>
        </w:rPr>
        <w:t>‘</w:t>
      </w:r>
      <w:r w:rsidR="00D11A06">
        <w:rPr>
          <w:noProof/>
        </w:rPr>
        <w:t>Convention</w:t>
      </w:r>
      <w:r w:rsidR="00700DA6" w:rsidRPr="00E34F04">
        <w:rPr>
          <w:noProof/>
        </w:rPr>
        <w:t>’) was concluded by the Union by Council Decision</w:t>
      </w:r>
      <w:r w:rsidR="006632D2">
        <w:rPr>
          <w:noProof/>
        </w:rPr>
        <w:t xml:space="preserve"> 82/461/EEC</w:t>
      </w:r>
      <w:r w:rsidR="00700DA6" w:rsidRPr="00E34F04">
        <w:rPr>
          <w:rStyle w:val="FootnoteReference"/>
          <w:noProof/>
        </w:rPr>
        <w:footnoteReference w:id="7"/>
      </w:r>
      <w:r w:rsidR="00700DA6" w:rsidRPr="00E34F04">
        <w:rPr>
          <w:noProof/>
        </w:rPr>
        <w:t xml:space="preserve"> and entered into force on</w:t>
      </w:r>
      <w:r w:rsidR="006632D2">
        <w:rPr>
          <w:noProof/>
        </w:rPr>
        <w:t xml:space="preserve"> 1 November 19</w:t>
      </w:r>
      <w:r w:rsidR="00CB2DA2">
        <w:rPr>
          <w:noProof/>
        </w:rPr>
        <w:t>83.</w:t>
      </w:r>
    </w:p>
    <w:p w14:paraId="42546B44" w14:textId="6A9B6502" w:rsidR="00700DA6" w:rsidRPr="00E34F04" w:rsidRDefault="00AB02A9" w:rsidP="00AB02A9">
      <w:pPr>
        <w:pStyle w:val="ManualConsidrant"/>
        <w:rPr>
          <w:noProof/>
        </w:rPr>
      </w:pPr>
      <w:r w:rsidRPr="00AB02A9">
        <w:t>(2)</w:t>
      </w:r>
      <w:r w:rsidRPr="00AB02A9">
        <w:tab/>
      </w:r>
      <w:r w:rsidR="00700DA6" w:rsidRPr="00E34F04">
        <w:rPr>
          <w:noProof/>
        </w:rPr>
        <w:t>Pursuant to Article</w:t>
      </w:r>
      <w:r w:rsidR="006632D2">
        <w:rPr>
          <w:noProof/>
        </w:rPr>
        <w:t xml:space="preserve"> XI </w:t>
      </w:r>
      <w:r w:rsidR="00700DA6" w:rsidRPr="00E34F04">
        <w:rPr>
          <w:noProof/>
        </w:rPr>
        <w:t xml:space="preserve">of the </w:t>
      </w:r>
      <w:r w:rsidR="00FB313A">
        <w:rPr>
          <w:noProof/>
        </w:rPr>
        <w:t>Convention</w:t>
      </w:r>
      <w:r w:rsidR="00700DA6" w:rsidRPr="00E34F04">
        <w:rPr>
          <w:noProof/>
        </w:rPr>
        <w:t xml:space="preserve">, </w:t>
      </w:r>
      <w:r w:rsidR="00700DA6" w:rsidRPr="00D11A06">
        <w:rPr>
          <w:noProof/>
        </w:rPr>
        <w:t xml:space="preserve">the </w:t>
      </w:r>
      <w:r w:rsidR="006632D2" w:rsidRPr="00417E73">
        <w:rPr>
          <w:noProof/>
        </w:rPr>
        <w:t>Conference of the Parties</w:t>
      </w:r>
      <w:r w:rsidR="009309E2">
        <w:rPr>
          <w:noProof/>
        </w:rPr>
        <w:t xml:space="preserve"> to the Convention (the </w:t>
      </w:r>
      <w:r w:rsidR="009309E2" w:rsidRPr="00E34F04">
        <w:rPr>
          <w:noProof/>
        </w:rPr>
        <w:t>‘</w:t>
      </w:r>
      <w:r w:rsidR="009309E2">
        <w:rPr>
          <w:noProof/>
        </w:rPr>
        <w:t>Conference of the Parties</w:t>
      </w:r>
      <w:r w:rsidR="009309E2" w:rsidRPr="00E34F04">
        <w:rPr>
          <w:noProof/>
        </w:rPr>
        <w:t>’</w:t>
      </w:r>
      <w:r w:rsidR="009309E2">
        <w:rPr>
          <w:noProof/>
        </w:rPr>
        <w:t>)</w:t>
      </w:r>
      <w:r w:rsidR="00700DA6" w:rsidRPr="00D11A06">
        <w:rPr>
          <w:noProof/>
        </w:rPr>
        <w:t xml:space="preserve"> </w:t>
      </w:r>
      <w:r w:rsidR="00700DA6" w:rsidRPr="00E34F04">
        <w:rPr>
          <w:noProof/>
        </w:rPr>
        <w:t>may adopt</w:t>
      </w:r>
      <w:r w:rsidR="0077267A">
        <w:rPr>
          <w:noProof/>
        </w:rPr>
        <w:t xml:space="preserve"> decisions to amend the A</w:t>
      </w:r>
      <w:r w:rsidR="006632D2">
        <w:rPr>
          <w:noProof/>
        </w:rPr>
        <w:t xml:space="preserve">ppendices </w:t>
      </w:r>
      <w:r w:rsidR="009309E2">
        <w:rPr>
          <w:noProof/>
        </w:rPr>
        <w:t>to</w:t>
      </w:r>
      <w:r w:rsidR="006632D2">
        <w:rPr>
          <w:noProof/>
        </w:rPr>
        <w:t xml:space="preserve"> the</w:t>
      </w:r>
      <w:r w:rsidR="00D11A06">
        <w:rPr>
          <w:noProof/>
        </w:rPr>
        <w:t xml:space="preserve"> Convention</w:t>
      </w:r>
      <w:r w:rsidR="00CB2DA2">
        <w:rPr>
          <w:noProof/>
        </w:rPr>
        <w:t>.</w:t>
      </w:r>
    </w:p>
    <w:p w14:paraId="3BA3EE30" w14:textId="67B01ED3" w:rsidR="00700DA6" w:rsidRPr="00C15517" w:rsidRDefault="00AB02A9" w:rsidP="00AB02A9">
      <w:pPr>
        <w:pStyle w:val="ManualConsidrant"/>
        <w:rPr>
          <w:noProof/>
        </w:rPr>
      </w:pPr>
      <w:r w:rsidRPr="00AB02A9">
        <w:t>(3)</w:t>
      </w:r>
      <w:r w:rsidRPr="00AB02A9">
        <w:tab/>
      </w:r>
      <w:r w:rsidR="00D11A06" w:rsidRPr="00C15517">
        <w:rPr>
          <w:noProof/>
        </w:rPr>
        <w:t xml:space="preserve">The </w:t>
      </w:r>
      <w:r w:rsidR="00D11A06" w:rsidRPr="00417E73">
        <w:rPr>
          <w:noProof/>
        </w:rPr>
        <w:t>Conference of the Parties,</w:t>
      </w:r>
      <w:r w:rsidR="00700DA6" w:rsidRPr="00C15517">
        <w:rPr>
          <w:noProof/>
        </w:rPr>
        <w:t xml:space="preserve"> during its</w:t>
      </w:r>
      <w:r w:rsidR="00D11A06" w:rsidRPr="00C15517">
        <w:rPr>
          <w:noProof/>
        </w:rPr>
        <w:t xml:space="preserve"> </w:t>
      </w:r>
      <w:r w:rsidR="009309E2">
        <w:rPr>
          <w:noProof/>
        </w:rPr>
        <w:t>four</w:t>
      </w:r>
      <w:r w:rsidR="00D11A06" w:rsidRPr="00C15517">
        <w:rPr>
          <w:noProof/>
        </w:rPr>
        <w:t xml:space="preserve">teenth </w:t>
      </w:r>
      <w:r w:rsidR="00700DA6" w:rsidRPr="00C15517">
        <w:rPr>
          <w:noProof/>
        </w:rPr>
        <w:t xml:space="preserve">meeting </w:t>
      </w:r>
      <w:r w:rsidR="001B34AD">
        <w:rPr>
          <w:noProof/>
        </w:rPr>
        <w:t>in early 2024</w:t>
      </w:r>
      <w:r w:rsidR="00700DA6" w:rsidRPr="00C15517">
        <w:rPr>
          <w:noProof/>
        </w:rPr>
        <w:t>, is to adopt</w:t>
      </w:r>
      <w:r w:rsidR="0077267A">
        <w:rPr>
          <w:noProof/>
        </w:rPr>
        <w:t xml:space="preserve"> decisions to amend the A</w:t>
      </w:r>
      <w:r w:rsidR="00D11A06" w:rsidRPr="00C15517">
        <w:rPr>
          <w:noProof/>
        </w:rPr>
        <w:t xml:space="preserve">ppendices </w:t>
      </w:r>
      <w:r w:rsidR="00D21D87">
        <w:rPr>
          <w:noProof/>
        </w:rPr>
        <w:t>to</w:t>
      </w:r>
      <w:r w:rsidR="00D11A06" w:rsidRPr="00C15517">
        <w:rPr>
          <w:noProof/>
        </w:rPr>
        <w:t xml:space="preserve"> the Convention</w:t>
      </w:r>
      <w:r w:rsidR="00CB2DA2">
        <w:rPr>
          <w:noProof/>
        </w:rPr>
        <w:t>.</w:t>
      </w:r>
    </w:p>
    <w:p w14:paraId="1AF58327" w14:textId="0C670825" w:rsidR="00700DA6" w:rsidRPr="00C15517" w:rsidRDefault="00AB02A9" w:rsidP="00AB02A9">
      <w:pPr>
        <w:pStyle w:val="ManualConsidrant"/>
        <w:rPr>
          <w:noProof/>
        </w:rPr>
      </w:pPr>
      <w:r w:rsidRPr="00AB02A9">
        <w:t>(4)</w:t>
      </w:r>
      <w:r w:rsidRPr="00AB02A9">
        <w:tab/>
      </w:r>
      <w:r w:rsidR="00700DA6" w:rsidRPr="00C15517">
        <w:rPr>
          <w:noProof/>
        </w:rPr>
        <w:t xml:space="preserve">It is appropriate to establish the position to be taken on the Union's behalf </w:t>
      </w:r>
      <w:r w:rsidR="00E63C47">
        <w:rPr>
          <w:noProof/>
        </w:rPr>
        <w:t>at</w:t>
      </w:r>
      <w:r w:rsidR="00700DA6" w:rsidRPr="00C15517">
        <w:rPr>
          <w:noProof/>
        </w:rPr>
        <w:t xml:space="preserve"> the</w:t>
      </w:r>
      <w:r w:rsidR="00D11A06" w:rsidRPr="00C15517">
        <w:rPr>
          <w:noProof/>
        </w:rPr>
        <w:t xml:space="preserve"> </w:t>
      </w:r>
      <w:r w:rsidR="008C4458">
        <w:rPr>
          <w:noProof/>
        </w:rPr>
        <w:t xml:space="preserve">meeting of the </w:t>
      </w:r>
      <w:r w:rsidR="00D11A06" w:rsidRPr="00C15517">
        <w:rPr>
          <w:noProof/>
        </w:rPr>
        <w:t>Conference of the Parties,</w:t>
      </w:r>
      <w:r w:rsidR="00700DA6" w:rsidRPr="00C15517">
        <w:rPr>
          <w:noProof/>
        </w:rPr>
        <w:t xml:space="preserve"> as the</w:t>
      </w:r>
      <w:r w:rsidR="00D11A06" w:rsidRPr="00C15517">
        <w:rPr>
          <w:noProof/>
        </w:rPr>
        <w:t xml:space="preserve"> decisions </w:t>
      </w:r>
      <w:r w:rsidR="009309E2">
        <w:rPr>
          <w:noProof/>
        </w:rPr>
        <w:t xml:space="preserve">amending the Appendices to the Convention </w:t>
      </w:r>
      <w:r w:rsidR="00CB2DA2">
        <w:rPr>
          <w:noProof/>
        </w:rPr>
        <w:t>will be binding on the Union.</w:t>
      </w:r>
    </w:p>
    <w:p w14:paraId="57B52F3B" w14:textId="211DB9A1" w:rsidR="00FD7C3E" w:rsidRDefault="00AB02A9" w:rsidP="00AB02A9">
      <w:pPr>
        <w:pStyle w:val="ManualConsidrant"/>
        <w:rPr>
          <w:noProof/>
        </w:rPr>
      </w:pPr>
      <w:r w:rsidRPr="00AB02A9">
        <w:t>(5)</w:t>
      </w:r>
      <w:r w:rsidRPr="00AB02A9">
        <w:tab/>
      </w:r>
      <w:r w:rsidR="00FB313A" w:rsidRPr="00417E73">
        <w:rPr>
          <w:noProof/>
        </w:rPr>
        <w:t xml:space="preserve">The Union submitted </w:t>
      </w:r>
      <w:r w:rsidR="00F42BC7">
        <w:rPr>
          <w:noProof/>
        </w:rPr>
        <w:t xml:space="preserve">a </w:t>
      </w:r>
      <w:r w:rsidR="00FB313A" w:rsidRPr="00417E73">
        <w:rPr>
          <w:noProof/>
        </w:rPr>
        <w:t xml:space="preserve">proposal for inclusion of the </w:t>
      </w:r>
      <w:r w:rsidR="00F42BC7" w:rsidRPr="006669CD">
        <w:rPr>
          <w:noProof/>
        </w:rPr>
        <w:t xml:space="preserve">Baltic Proper </w:t>
      </w:r>
      <w:r w:rsidR="00F42BC7">
        <w:rPr>
          <w:noProof/>
        </w:rPr>
        <w:t xml:space="preserve">population of the </w:t>
      </w:r>
      <w:r w:rsidR="00F42BC7" w:rsidRPr="006669CD">
        <w:rPr>
          <w:noProof/>
        </w:rPr>
        <w:t xml:space="preserve">harbour porpoise, </w:t>
      </w:r>
      <w:r w:rsidR="00F42BC7" w:rsidRPr="006669CD">
        <w:rPr>
          <w:i/>
          <w:iCs/>
          <w:noProof/>
        </w:rPr>
        <w:t>Phocoena</w:t>
      </w:r>
      <w:r w:rsidR="007F505A">
        <w:rPr>
          <w:i/>
          <w:iCs/>
          <w:noProof/>
        </w:rPr>
        <w:t xml:space="preserve"> phocoena</w:t>
      </w:r>
      <w:r w:rsidR="00D21D87">
        <w:rPr>
          <w:i/>
          <w:iCs/>
          <w:noProof/>
        </w:rPr>
        <w:t>,</w:t>
      </w:r>
      <w:r w:rsidR="00F42BC7" w:rsidRPr="00C15517">
        <w:rPr>
          <w:noProof/>
          <w:szCs w:val="24"/>
        </w:rPr>
        <w:t xml:space="preserve"> </w:t>
      </w:r>
      <w:r w:rsidR="00FB313A" w:rsidRPr="00C15517">
        <w:rPr>
          <w:noProof/>
          <w:szCs w:val="24"/>
        </w:rPr>
        <w:t>to Appendix I to the Convention</w:t>
      </w:r>
      <w:r w:rsidR="009309E2">
        <w:rPr>
          <w:noProof/>
          <w:szCs w:val="24"/>
        </w:rPr>
        <w:t xml:space="preserve">. </w:t>
      </w:r>
      <w:r w:rsidR="00442D23">
        <w:rPr>
          <w:noProof/>
          <w:szCs w:val="24"/>
        </w:rPr>
        <w:t xml:space="preserve">The Union should support its own proposal. </w:t>
      </w:r>
      <w:r w:rsidR="009309E2">
        <w:rPr>
          <w:noProof/>
          <w:szCs w:val="24"/>
        </w:rPr>
        <w:t xml:space="preserve">This proposed amendment would </w:t>
      </w:r>
      <w:r w:rsidR="00F42BC7">
        <w:rPr>
          <w:noProof/>
        </w:rPr>
        <w:t>not</w:t>
      </w:r>
      <w:r w:rsidR="00FB313A" w:rsidRPr="00417E73">
        <w:rPr>
          <w:noProof/>
        </w:rPr>
        <w:t xml:space="preserve"> require any change in </w:t>
      </w:r>
      <w:r w:rsidR="009309E2">
        <w:rPr>
          <w:noProof/>
        </w:rPr>
        <w:t>Union</w:t>
      </w:r>
      <w:r w:rsidR="00FB313A" w:rsidRPr="00417E73">
        <w:rPr>
          <w:noProof/>
        </w:rPr>
        <w:t xml:space="preserve"> law.</w:t>
      </w:r>
    </w:p>
    <w:p w14:paraId="5CE1CFE3" w14:textId="300DEBD9" w:rsidR="00FB313A" w:rsidRPr="00C15517" w:rsidRDefault="00AB02A9" w:rsidP="00AB02A9">
      <w:pPr>
        <w:pStyle w:val="ManualConsidrant"/>
        <w:rPr>
          <w:noProof/>
        </w:rPr>
      </w:pPr>
      <w:r w:rsidRPr="00AB02A9">
        <w:t>(6)</w:t>
      </w:r>
      <w:r w:rsidRPr="00AB02A9">
        <w:tab/>
      </w:r>
      <w:r w:rsidR="00FD7C3E">
        <w:rPr>
          <w:noProof/>
        </w:rPr>
        <w:t xml:space="preserve">Other parties submitted proposals regarding the inclusion of </w:t>
      </w:r>
      <w:r w:rsidR="001C28B3" w:rsidRPr="001C28B3">
        <w:rPr>
          <w:noProof/>
        </w:rPr>
        <w:t xml:space="preserve">Lynx </w:t>
      </w:r>
      <w:r w:rsidR="00DB10CF">
        <w:rPr>
          <w:noProof/>
        </w:rPr>
        <w:t xml:space="preserve">lynx </w:t>
      </w:r>
      <w:r w:rsidR="001C28B3" w:rsidRPr="001C28B3">
        <w:rPr>
          <w:noProof/>
        </w:rPr>
        <w:t xml:space="preserve">balcanicus, Tursiops truncatus gephyreus, Pelecanus thagus, Pluvianellus socialis, </w:t>
      </w:r>
      <w:r w:rsidR="005A0877">
        <w:rPr>
          <w:iCs/>
          <w:noProof/>
        </w:rPr>
        <w:t>Southern</w:t>
      </w:r>
      <w:r w:rsidR="006F4BF0" w:rsidRPr="006F4BF0">
        <w:rPr>
          <w:iCs/>
          <w:noProof/>
        </w:rPr>
        <w:t xml:space="preserve"> African population of</w:t>
      </w:r>
      <w:r w:rsidR="006F4BF0">
        <w:rPr>
          <w:noProof/>
        </w:rPr>
        <w:t xml:space="preserve"> </w:t>
      </w:r>
      <w:r w:rsidR="001C28B3" w:rsidRPr="001C28B3">
        <w:rPr>
          <w:noProof/>
        </w:rPr>
        <w:t xml:space="preserve">Gypaetus barbatus meridionalis, Carcharias taurus, </w:t>
      </w:r>
      <w:r w:rsidR="001C28B3" w:rsidRPr="00FA0318">
        <w:rPr>
          <w:iCs/>
          <w:noProof/>
        </w:rPr>
        <w:t>Mediterranean Sea population of</w:t>
      </w:r>
      <w:r w:rsidR="001C28B3" w:rsidRPr="001C28B3">
        <w:rPr>
          <w:noProof/>
        </w:rPr>
        <w:t xml:space="preserve"> Glaucostegus cemiculus, </w:t>
      </w:r>
      <w:r w:rsidR="001C28B3" w:rsidRPr="00FA0318">
        <w:rPr>
          <w:iCs/>
          <w:noProof/>
        </w:rPr>
        <w:t xml:space="preserve">Mediterranean Sea population of </w:t>
      </w:r>
      <w:r w:rsidR="001C28B3" w:rsidRPr="001C28B3">
        <w:rPr>
          <w:noProof/>
        </w:rPr>
        <w:t xml:space="preserve">Aetomylaeus bovinus, </w:t>
      </w:r>
      <w:r w:rsidR="001C28B3" w:rsidRPr="00FA0318">
        <w:rPr>
          <w:iCs/>
          <w:noProof/>
        </w:rPr>
        <w:t>Mediterranean Sea population of</w:t>
      </w:r>
      <w:r w:rsidR="001C28B3" w:rsidRPr="001C28B3">
        <w:rPr>
          <w:noProof/>
        </w:rPr>
        <w:t xml:space="preserve"> Rhinoptera marginata</w:t>
      </w:r>
      <w:r w:rsidR="001C28B3">
        <w:rPr>
          <w:noProof/>
        </w:rPr>
        <w:t xml:space="preserve"> </w:t>
      </w:r>
      <w:r w:rsidR="00F9209E">
        <w:rPr>
          <w:noProof/>
        </w:rPr>
        <w:t>in</w:t>
      </w:r>
      <w:r w:rsidR="00FD7C3E">
        <w:rPr>
          <w:noProof/>
        </w:rPr>
        <w:t xml:space="preserve"> Appendix I and regarding the inclusion of</w:t>
      </w:r>
      <w:r w:rsidR="00FB313A" w:rsidRPr="00C15517">
        <w:rPr>
          <w:noProof/>
          <w:szCs w:val="24"/>
        </w:rPr>
        <w:t xml:space="preserve"> </w:t>
      </w:r>
      <w:r w:rsidR="001C28B3" w:rsidRPr="001C28B3">
        <w:rPr>
          <w:noProof/>
        </w:rPr>
        <w:t>Lynx</w:t>
      </w:r>
      <w:r w:rsidR="00DB10CF">
        <w:rPr>
          <w:noProof/>
        </w:rPr>
        <w:t xml:space="preserve"> lynx</w:t>
      </w:r>
      <w:r w:rsidR="001C28B3" w:rsidRPr="001C28B3">
        <w:rPr>
          <w:noProof/>
        </w:rPr>
        <w:t>, Felis manul, Lama guanicoe, Tursiops truncatus gephyreus, Pelecanus thagus, Carcharias taurus, Glaucostegus cemiculus, Aetomylaeus bovinus, Rhinoptera marginata, Brachyplatystoma rousseauxii, Brachyplatystoma vaillantii</w:t>
      </w:r>
      <w:r w:rsidR="00686C32" w:rsidRPr="00DC18A9">
        <w:rPr>
          <w:noProof/>
        </w:rPr>
        <w:t xml:space="preserve"> </w:t>
      </w:r>
      <w:r w:rsidR="00F9209E">
        <w:rPr>
          <w:noProof/>
        </w:rPr>
        <w:t>in</w:t>
      </w:r>
      <w:r w:rsidR="00FD7C3E">
        <w:rPr>
          <w:noProof/>
        </w:rPr>
        <w:t xml:space="preserve"> Appendix II</w:t>
      </w:r>
      <w:r w:rsidR="009309E2">
        <w:rPr>
          <w:noProof/>
        </w:rPr>
        <w:t xml:space="preserve"> to the Convention</w:t>
      </w:r>
      <w:r w:rsidR="00FD7C3E">
        <w:rPr>
          <w:noProof/>
        </w:rPr>
        <w:t>.</w:t>
      </w:r>
    </w:p>
    <w:p w14:paraId="5DF10F0E" w14:textId="6B2CC852" w:rsidR="00D11A06" w:rsidRDefault="00AB02A9" w:rsidP="00AB02A9">
      <w:pPr>
        <w:pStyle w:val="ManualConsidrant"/>
        <w:rPr>
          <w:noProof/>
        </w:rPr>
      </w:pPr>
      <w:r w:rsidRPr="00AB02A9">
        <w:lastRenderedPageBreak/>
        <w:t>(7)</w:t>
      </w:r>
      <w:r w:rsidRPr="00AB02A9">
        <w:tab/>
      </w:r>
      <w:r w:rsidR="00D11A06" w:rsidRPr="007065FF">
        <w:rPr>
          <w:noProof/>
        </w:rPr>
        <w:t xml:space="preserve">The Union should support all </w:t>
      </w:r>
      <w:r w:rsidR="00686C32" w:rsidRPr="007065FF">
        <w:rPr>
          <w:noProof/>
        </w:rPr>
        <w:t>the above-mentioned</w:t>
      </w:r>
      <w:r w:rsidR="00D11A06" w:rsidRPr="007065FF">
        <w:rPr>
          <w:noProof/>
        </w:rPr>
        <w:t xml:space="preserve"> proposals</w:t>
      </w:r>
      <w:r w:rsidR="00E72202" w:rsidRPr="007065FF">
        <w:rPr>
          <w:noProof/>
        </w:rPr>
        <w:t>,</w:t>
      </w:r>
      <w:r w:rsidR="00132F23">
        <w:rPr>
          <w:noProof/>
        </w:rPr>
        <w:t xml:space="preserve"> </w:t>
      </w:r>
      <w:r w:rsidR="00D11A06" w:rsidRPr="00417E73">
        <w:rPr>
          <w:noProof/>
        </w:rPr>
        <w:t>because they are science-based, in line with the Union's commitment to international cooperation for the protection of biodiversity in accordance with Article 5 of the UN Convention on Biological Diversity</w:t>
      </w:r>
      <w:r w:rsidR="009309E2">
        <w:rPr>
          <w:noProof/>
        </w:rPr>
        <w:t>,</w:t>
      </w:r>
      <w:r w:rsidR="00D11A06" w:rsidRPr="00417E73">
        <w:rPr>
          <w:noProof/>
        </w:rPr>
        <w:t xml:space="preserve"> and </w:t>
      </w:r>
      <w:r w:rsidR="009309E2">
        <w:rPr>
          <w:noProof/>
        </w:rPr>
        <w:t xml:space="preserve">in line with </w:t>
      </w:r>
      <w:r w:rsidR="00D11A06" w:rsidRPr="00417E73">
        <w:rPr>
          <w:noProof/>
        </w:rPr>
        <w:t xml:space="preserve">decisions taken at the Conference of the Parties </w:t>
      </w:r>
      <w:r w:rsidR="009309E2">
        <w:rPr>
          <w:noProof/>
        </w:rPr>
        <w:t>to</w:t>
      </w:r>
      <w:r w:rsidR="00D11A06" w:rsidRPr="00417E73">
        <w:rPr>
          <w:noProof/>
        </w:rPr>
        <w:t xml:space="preserve"> that Convention</w:t>
      </w:r>
      <w:r w:rsidR="00CB2DA2" w:rsidRPr="00417E73">
        <w:rPr>
          <w:noProof/>
        </w:rPr>
        <w:t>.</w:t>
      </w:r>
    </w:p>
    <w:p w14:paraId="03DB72E4" w14:textId="43D8B1E0" w:rsidR="00DA4B19" w:rsidRDefault="00AB02A9" w:rsidP="00AB02A9">
      <w:pPr>
        <w:pStyle w:val="ManualConsidrant"/>
        <w:rPr>
          <w:noProof/>
        </w:rPr>
      </w:pPr>
      <w:r w:rsidRPr="00AB02A9">
        <w:t>(8)</w:t>
      </w:r>
      <w:r w:rsidRPr="00AB02A9">
        <w:tab/>
      </w:r>
      <w:r w:rsidR="003E5DFB">
        <w:rPr>
          <w:noProof/>
        </w:rPr>
        <w:t>The proposal</w:t>
      </w:r>
      <w:r w:rsidR="002704F1">
        <w:rPr>
          <w:noProof/>
        </w:rPr>
        <w:t>s</w:t>
      </w:r>
      <w:r w:rsidR="003E5DFB">
        <w:rPr>
          <w:noProof/>
        </w:rPr>
        <w:t xml:space="preserve"> to include the species </w:t>
      </w:r>
      <w:r w:rsidR="003E5DFB">
        <w:rPr>
          <w:i/>
          <w:noProof/>
        </w:rPr>
        <w:t>Carcharias taurus</w:t>
      </w:r>
      <w:r w:rsidR="00DA4B19" w:rsidRPr="0007378A">
        <w:rPr>
          <w:noProof/>
        </w:rPr>
        <w:t xml:space="preserve"> </w:t>
      </w:r>
      <w:r w:rsidR="002704F1">
        <w:rPr>
          <w:noProof/>
        </w:rPr>
        <w:t xml:space="preserve">and </w:t>
      </w:r>
      <w:r w:rsidR="00DA4B19" w:rsidRPr="0007378A">
        <w:rPr>
          <w:noProof/>
        </w:rPr>
        <w:t xml:space="preserve">the Mediterranean Sea populations of </w:t>
      </w:r>
      <w:r w:rsidR="00DA4B19" w:rsidRPr="00DA4B19">
        <w:rPr>
          <w:i/>
          <w:iCs/>
          <w:noProof/>
        </w:rPr>
        <w:t>Aetomylaeus bovinus</w:t>
      </w:r>
      <w:r w:rsidR="00DA4B19" w:rsidRPr="0007378A">
        <w:rPr>
          <w:noProof/>
        </w:rPr>
        <w:t xml:space="preserve"> and </w:t>
      </w:r>
      <w:r w:rsidR="00DA4B19" w:rsidRPr="00DA4B19">
        <w:rPr>
          <w:i/>
          <w:iCs/>
          <w:noProof/>
        </w:rPr>
        <w:t>Rhinoptera marginata</w:t>
      </w:r>
      <w:r w:rsidR="00DA4B19" w:rsidRPr="0007378A">
        <w:rPr>
          <w:noProof/>
        </w:rPr>
        <w:t xml:space="preserve"> in Appendix I of the Convention would require a change to Union law, since the current level of protection in the Union does not satisfy the requirements of Article III(5) of the Convention. Therefore, the Commission, on behalf of the Union, is to enter a reservation pursuant to Article XI(6) of the Convention with regard to the inclusion of these species in Appendix I.</w:t>
      </w:r>
    </w:p>
    <w:p w14:paraId="14D35066" w14:textId="77777777" w:rsidR="00700DA6" w:rsidRPr="00E34F04" w:rsidRDefault="00700DA6" w:rsidP="007A5BAA">
      <w:pPr>
        <w:pStyle w:val="Formuledadoption"/>
        <w:rPr>
          <w:noProof/>
        </w:rPr>
      </w:pPr>
      <w:r w:rsidRPr="00E34F04">
        <w:rPr>
          <w:noProof/>
        </w:rPr>
        <w:t>HAS ADOPTED THIS DECISION:</w:t>
      </w:r>
    </w:p>
    <w:p w14:paraId="09C01C0B" w14:textId="77777777" w:rsidR="00700DA6" w:rsidRPr="00E34F04" w:rsidRDefault="00700DA6" w:rsidP="007A5BAA">
      <w:pPr>
        <w:pStyle w:val="Titrearticle"/>
        <w:rPr>
          <w:noProof/>
        </w:rPr>
      </w:pPr>
      <w:r w:rsidRPr="00E34F04">
        <w:rPr>
          <w:noProof/>
        </w:rPr>
        <w:t>Article 1</w:t>
      </w:r>
    </w:p>
    <w:p w14:paraId="2A00944F" w14:textId="77777777" w:rsidR="00700DA6" w:rsidRDefault="00700DA6" w:rsidP="007A5BAA">
      <w:pPr>
        <w:rPr>
          <w:noProof/>
        </w:rPr>
      </w:pPr>
      <w:r w:rsidRPr="00E34F04">
        <w:rPr>
          <w:noProof/>
        </w:rPr>
        <w:t>The position to be taken on the Union's behalf in the</w:t>
      </w:r>
      <w:r w:rsidR="00CB2DA2">
        <w:rPr>
          <w:noProof/>
        </w:rPr>
        <w:t xml:space="preserve"> </w:t>
      </w:r>
      <w:r w:rsidR="00B327FC">
        <w:rPr>
          <w:noProof/>
        </w:rPr>
        <w:t>four</w:t>
      </w:r>
      <w:r w:rsidR="00CB2DA2">
        <w:rPr>
          <w:noProof/>
        </w:rPr>
        <w:t xml:space="preserve">teenth </w:t>
      </w:r>
      <w:r w:rsidRPr="00E34F04">
        <w:rPr>
          <w:noProof/>
        </w:rPr>
        <w:t xml:space="preserve">meeting of </w:t>
      </w:r>
      <w:r w:rsidR="006B2505">
        <w:rPr>
          <w:noProof/>
        </w:rPr>
        <w:t xml:space="preserve">the </w:t>
      </w:r>
      <w:r w:rsidR="00CB2DA2" w:rsidRPr="003B39F8">
        <w:rPr>
          <w:noProof/>
        </w:rPr>
        <w:t>Conference of the Parties</w:t>
      </w:r>
      <w:r w:rsidR="00CB2DA2" w:rsidRPr="00D27479">
        <w:rPr>
          <w:noProof/>
        </w:rPr>
        <w:t xml:space="preserve"> shall be the following</w:t>
      </w:r>
      <w:r w:rsidRPr="00E34F04">
        <w:rPr>
          <w:noProof/>
        </w:rPr>
        <w:t>:</w:t>
      </w:r>
    </w:p>
    <w:p w14:paraId="73466B05" w14:textId="50937412" w:rsidR="00CB2DA2" w:rsidRDefault="00AB02A9" w:rsidP="00AB02A9">
      <w:pPr>
        <w:pStyle w:val="Point0"/>
        <w:rPr>
          <w:noProof/>
        </w:rPr>
      </w:pPr>
      <w:r w:rsidRPr="00AB02A9">
        <w:t>(1)</w:t>
      </w:r>
      <w:r w:rsidRPr="00AB02A9">
        <w:tab/>
      </w:r>
      <w:r w:rsidR="00CB2DA2" w:rsidRPr="00552FF7">
        <w:rPr>
          <w:noProof/>
        </w:rPr>
        <w:t>to support the addition to Appendix I of the following species</w:t>
      </w:r>
      <w:r w:rsidR="00126611">
        <w:rPr>
          <w:noProof/>
        </w:rPr>
        <w:t xml:space="preserve"> or subspecies</w:t>
      </w:r>
      <w:r w:rsidR="00CB2DA2" w:rsidRPr="00552FF7">
        <w:rPr>
          <w:noProof/>
        </w:rPr>
        <w:t>:</w:t>
      </w:r>
    </w:p>
    <w:p w14:paraId="6F84943A" w14:textId="53F3F1E3" w:rsidR="00CB2DA2" w:rsidRPr="005C22A6" w:rsidRDefault="00AB02A9" w:rsidP="00AB02A9">
      <w:pPr>
        <w:pStyle w:val="Point1"/>
        <w:rPr>
          <w:noProof/>
          <w:lang w:val="it-IT"/>
        </w:rPr>
      </w:pPr>
      <w:r w:rsidRPr="00AB02A9">
        <w:t>(1)</w:t>
      </w:r>
      <w:r w:rsidRPr="00AB02A9">
        <w:tab/>
      </w:r>
      <w:r w:rsidR="00126611" w:rsidRPr="001C28B3">
        <w:rPr>
          <w:noProof/>
        </w:rPr>
        <w:t>Lynx lynx balcanicus</w:t>
      </w:r>
      <w:r w:rsidR="00126611">
        <w:rPr>
          <w:noProof/>
          <w:lang w:val="it-IT"/>
        </w:rPr>
        <w:t xml:space="preserve"> </w:t>
      </w:r>
    </w:p>
    <w:p w14:paraId="4C376730" w14:textId="067F1276" w:rsidR="00BE1C6F" w:rsidRPr="00BE1C6F" w:rsidRDefault="00AB02A9" w:rsidP="00AB02A9">
      <w:pPr>
        <w:pStyle w:val="Point1"/>
        <w:rPr>
          <w:noProof/>
        </w:rPr>
      </w:pPr>
      <w:r w:rsidRPr="00AB02A9">
        <w:t>(2)</w:t>
      </w:r>
      <w:r w:rsidRPr="00AB02A9">
        <w:tab/>
      </w:r>
      <w:r w:rsidR="00BE1C6F" w:rsidRPr="001C28B3">
        <w:rPr>
          <w:noProof/>
        </w:rPr>
        <w:t>Pelecanus thagus</w:t>
      </w:r>
    </w:p>
    <w:p w14:paraId="047E687E" w14:textId="0F09D00C" w:rsidR="00BE1C6F" w:rsidRPr="00BE1C6F" w:rsidRDefault="00AB02A9" w:rsidP="00AB02A9">
      <w:pPr>
        <w:pStyle w:val="Point1"/>
        <w:rPr>
          <w:noProof/>
        </w:rPr>
      </w:pPr>
      <w:r w:rsidRPr="00AB02A9">
        <w:t>(3)</w:t>
      </w:r>
      <w:r w:rsidRPr="00AB02A9">
        <w:tab/>
      </w:r>
      <w:r w:rsidR="00BE1C6F" w:rsidRPr="001C28B3">
        <w:rPr>
          <w:noProof/>
        </w:rPr>
        <w:t>Pluvianellus socialis</w:t>
      </w:r>
    </w:p>
    <w:p w14:paraId="007B6B44" w14:textId="68EE0A30" w:rsidR="00A360BB" w:rsidRPr="00FA0318" w:rsidRDefault="00AB02A9" w:rsidP="00AB02A9">
      <w:pPr>
        <w:pStyle w:val="Point1"/>
        <w:rPr>
          <w:noProof/>
        </w:rPr>
      </w:pPr>
      <w:r w:rsidRPr="00AB02A9">
        <w:t>(4)</w:t>
      </w:r>
      <w:r w:rsidRPr="00AB02A9">
        <w:tab/>
      </w:r>
      <w:r w:rsidR="006F4BF0">
        <w:rPr>
          <w:iCs/>
          <w:noProof/>
        </w:rPr>
        <w:t xml:space="preserve">Southern African population of </w:t>
      </w:r>
      <w:r w:rsidR="00BE1C6F" w:rsidRPr="001C28B3">
        <w:rPr>
          <w:i/>
          <w:noProof/>
        </w:rPr>
        <w:t>Gypaetus barbatus meridionalis</w:t>
      </w:r>
    </w:p>
    <w:p w14:paraId="19CEB9BE" w14:textId="7D596113" w:rsidR="00442D23" w:rsidRDefault="00AB02A9" w:rsidP="00AB02A9">
      <w:pPr>
        <w:pStyle w:val="Point1"/>
        <w:rPr>
          <w:noProof/>
        </w:rPr>
      </w:pPr>
      <w:r w:rsidRPr="00AB02A9">
        <w:t>(5)</w:t>
      </w:r>
      <w:r w:rsidRPr="00AB02A9">
        <w:tab/>
      </w:r>
      <w:r w:rsidR="00442D23" w:rsidRPr="006669CD">
        <w:rPr>
          <w:noProof/>
        </w:rPr>
        <w:t xml:space="preserve">Baltic Proper </w:t>
      </w:r>
      <w:r w:rsidR="00442D23">
        <w:rPr>
          <w:noProof/>
        </w:rPr>
        <w:t xml:space="preserve">population of </w:t>
      </w:r>
      <w:r w:rsidR="00442D23" w:rsidRPr="006669CD">
        <w:rPr>
          <w:i/>
          <w:iCs/>
          <w:noProof/>
        </w:rPr>
        <w:t>Phocoena phocoena</w:t>
      </w:r>
      <w:r w:rsidR="00442D23" w:rsidRPr="006669CD">
        <w:rPr>
          <w:noProof/>
        </w:rPr>
        <w:t xml:space="preserve"> </w:t>
      </w:r>
    </w:p>
    <w:p w14:paraId="2AB85DAE" w14:textId="696907B4" w:rsidR="00442D23" w:rsidRPr="00A360BB" w:rsidRDefault="00AB02A9" w:rsidP="00AB02A9">
      <w:pPr>
        <w:pStyle w:val="Point1"/>
        <w:rPr>
          <w:noProof/>
          <w:lang w:val="it-IT"/>
        </w:rPr>
      </w:pPr>
      <w:r w:rsidRPr="00AB02A9">
        <w:t>(6)</w:t>
      </w:r>
      <w:r w:rsidRPr="00AB02A9">
        <w:tab/>
      </w:r>
      <w:r w:rsidR="00442D23" w:rsidRPr="001C28B3">
        <w:rPr>
          <w:noProof/>
        </w:rPr>
        <w:t>Tursiops truncatus gephyreus</w:t>
      </w:r>
    </w:p>
    <w:p w14:paraId="7DEEAF44" w14:textId="392206BB" w:rsidR="000C18A9" w:rsidRDefault="00AB02A9" w:rsidP="00AB02A9">
      <w:pPr>
        <w:pStyle w:val="Point1"/>
        <w:rPr>
          <w:noProof/>
        </w:rPr>
      </w:pPr>
      <w:r w:rsidRPr="00AB02A9">
        <w:t>(7)</w:t>
      </w:r>
      <w:r w:rsidRPr="00AB02A9">
        <w:tab/>
      </w:r>
      <w:r w:rsidR="00FA0318" w:rsidRPr="009F28AE">
        <w:rPr>
          <w:noProof/>
        </w:rPr>
        <w:t>Mediterranean Sea population of</w:t>
      </w:r>
      <w:r w:rsidR="00FA0318" w:rsidRPr="009F28AE">
        <w:rPr>
          <w:i/>
          <w:noProof/>
        </w:rPr>
        <w:t xml:space="preserve"> Glaucostegus cemiculus</w:t>
      </w:r>
      <w:r w:rsidR="00FA0318" w:rsidRPr="009F28AE">
        <w:rPr>
          <w:noProof/>
        </w:rPr>
        <w:t xml:space="preserve"> </w:t>
      </w:r>
    </w:p>
    <w:p w14:paraId="48C6BE19" w14:textId="4AFF2457" w:rsidR="009579AE" w:rsidRDefault="00AB02A9" w:rsidP="00AB02A9">
      <w:pPr>
        <w:pStyle w:val="Point0"/>
        <w:rPr>
          <w:noProof/>
        </w:rPr>
      </w:pPr>
      <w:r w:rsidRPr="00AB02A9">
        <w:t>(2)</w:t>
      </w:r>
      <w:r w:rsidRPr="00AB02A9">
        <w:tab/>
      </w:r>
      <w:r w:rsidR="009579AE" w:rsidRPr="00E8358F">
        <w:rPr>
          <w:noProof/>
        </w:rPr>
        <w:t>to support the addition to Appendix I of the following species, subject to the entry of a reservation by the Commission on behalf of the Union:</w:t>
      </w:r>
    </w:p>
    <w:p w14:paraId="0B77A704" w14:textId="05F960B1" w:rsidR="009579AE" w:rsidRPr="009579AE" w:rsidRDefault="00AB02A9" w:rsidP="00AB02A9">
      <w:pPr>
        <w:pStyle w:val="Point1"/>
        <w:rPr>
          <w:noProof/>
        </w:rPr>
      </w:pPr>
      <w:r w:rsidRPr="00AB02A9">
        <w:t>(1)</w:t>
      </w:r>
      <w:r w:rsidRPr="00AB02A9">
        <w:tab/>
      </w:r>
      <w:r w:rsidR="009579AE" w:rsidRPr="009579AE">
        <w:rPr>
          <w:noProof/>
        </w:rPr>
        <w:t>Carcharias taurus</w:t>
      </w:r>
    </w:p>
    <w:p w14:paraId="084F0771" w14:textId="3B74AC0E" w:rsidR="00257CAC" w:rsidRPr="00E8358F" w:rsidRDefault="00AB02A9" w:rsidP="00AB02A9">
      <w:pPr>
        <w:pStyle w:val="Point1"/>
        <w:rPr>
          <w:i/>
          <w:noProof/>
        </w:rPr>
      </w:pPr>
      <w:r w:rsidRPr="00AB02A9">
        <w:t>(2)</w:t>
      </w:r>
      <w:r w:rsidRPr="00AB02A9">
        <w:tab/>
      </w:r>
      <w:r w:rsidR="002704F1">
        <w:rPr>
          <w:i/>
          <w:noProof/>
        </w:rPr>
        <w:t xml:space="preserve"> </w:t>
      </w:r>
      <w:r w:rsidR="002704F1" w:rsidRPr="009F28AE">
        <w:rPr>
          <w:noProof/>
        </w:rPr>
        <w:t>Mediterranean Sea population of</w:t>
      </w:r>
      <w:r w:rsidR="002704F1" w:rsidRPr="00E8358F">
        <w:rPr>
          <w:i/>
          <w:noProof/>
        </w:rPr>
        <w:t xml:space="preserve"> </w:t>
      </w:r>
      <w:r w:rsidR="0097285F" w:rsidRPr="00E8358F">
        <w:rPr>
          <w:i/>
          <w:noProof/>
        </w:rPr>
        <w:t>Aetomylaeus bovinus</w:t>
      </w:r>
    </w:p>
    <w:p w14:paraId="5ADD3C5C" w14:textId="1AE76E06" w:rsidR="0097285F" w:rsidRPr="00E8358F" w:rsidRDefault="00AB02A9" w:rsidP="00AB02A9">
      <w:pPr>
        <w:pStyle w:val="Point1"/>
        <w:rPr>
          <w:i/>
          <w:noProof/>
        </w:rPr>
      </w:pPr>
      <w:r w:rsidRPr="00AB02A9">
        <w:t>(3)</w:t>
      </w:r>
      <w:r w:rsidRPr="00AB02A9">
        <w:tab/>
      </w:r>
      <w:r w:rsidR="002704F1">
        <w:rPr>
          <w:i/>
          <w:noProof/>
        </w:rPr>
        <w:t xml:space="preserve"> </w:t>
      </w:r>
      <w:r w:rsidR="002704F1" w:rsidRPr="009F28AE">
        <w:rPr>
          <w:noProof/>
        </w:rPr>
        <w:t>Mediterranean Sea population of</w:t>
      </w:r>
      <w:r w:rsidR="002704F1" w:rsidRPr="00E8358F">
        <w:rPr>
          <w:i/>
          <w:noProof/>
        </w:rPr>
        <w:t xml:space="preserve"> </w:t>
      </w:r>
      <w:r w:rsidR="0097285F" w:rsidRPr="00E8358F">
        <w:rPr>
          <w:i/>
          <w:noProof/>
        </w:rPr>
        <w:t>Rhinoptera marginata</w:t>
      </w:r>
    </w:p>
    <w:p w14:paraId="74618C1B" w14:textId="3C7CCD94" w:rsidR="00CB2DA2" w:rsidRPr="00854B89" w:rsidRDefault="00AB02A9" w:rsidP="00AB02A9">
      <w:pPr>
        <w:pStyle w:val="Point0"/>
        <w:rPr>
          <w:noProof/>
        </w:rPr>
      </w:pPr>
      <w:r w:rsidRPr="00AB02A9">
        <w:t>(3)</w:t>
      </w:r>
      <w:r w:rsidRPr="00AB02A9">
        <w:tab/>
      </w:r>
      <w:r w:rsidR="00CB2DA2" w:rsidRPr="00DB5A2B">
        <w:rPr>
          <w:noProof/>
        </w:rPr>
        <w:t>to support the addition to Appendix II of the following species</w:t>
      </w:r>
      <w:r w:rsidR="0077267A">
        <w:rPr>
          <w:noProof/>
        </w:rPr>
        <w:t>:</w:t>
      </w:r>
    </w:p>
    <w:p w14:paraId="5D48DD38" w14:textId="0DE59B20" w:rsidR="005C22A6" w:rsidRDefault="00AB02A9" w:rsidP="00AB02A9">
      <w:pPr>
        <w:pStyle w:val="Point1"/>
        <w:rPr>
          <w:noProof/>
        </w:rPr>
      </w:pPr>
      <w:r w:rsidRPr="00AB02A9">
        <w:t>(1)</w:t>
      </w:r>
      <w:r w:rsidRPr="00AB02A9">
        <w:tab/>
      </w:r>
      <w:r w:rsidR="00BE1C6F" w:rsidRPr="001C28B3">
        <w:rPr>
          <w:noProof/>
        </w:rPr>
        <w:t>Lynx lynx</w:t>
      </w:r>
      <w:r w:rsidR="00BE1C6F">
        <w:rPr>
          <w:noProof/>
        </w:rPr>
        <w:t xml:space="preserve"> </w:t>
      </w:r>
    </w:p>
    <w:p w14:paraId="4F5B9F75" w14:textId="434A2120" w:rsidR="00BE1C6F" w:rsidRPr="00BE1C6F" w:rsidRDefault="00AB02A9" w:rsidP="00AB02A9">
      <w:pPr>
        <w:pStyle w:val="Point1"/>
        <w:rPr>
          <w:noProof/>
        </w:rPr>
      </w:pPr>
      <w:r w:rsidRPr="00AB02A9">
        <w:t>(2)</w:t>
      </w:r>
      <w:r w:rsidRPr="00AB02A9">
        <w:tab/>
      </w:r>
      <w:r w:rsidR="00BE1C6F" w:rsidRPr="001C28B3">
        <w:rPr>
          <w:noProof/>
        </w:rPr>
        <w:t>Felis manul</w:t>
      </w:r>
      <w:r w:rsidR="00BE1C6F">
        <w:rPr>
          <w:noProof/>
        </w:rPr>
        <w:t xml:space="preserve"> </w:t>
      </w:r>
    </w:p>
    <w:p w14:paraId="09013DD9" w14:textId="3E259822" w:rsidR="00BE1C6F" w:rsidRPr="00BE1C6F" w:rsidRDefault="00AB02A9" w:rsidP="00AB02A9">
      <w:pPr>
        <w:pStyle w:val="Point1"/>
        <w:rPr>
          <w:noProof/>
        </w:rPr>
      </w:pPr>
      <w:r w:rsidRPr="00AB02A9">
        <w:t>(3)</w:t>
      </w:r>
      <w:r w:rsidRPr="00AB02A9">
        <w:tab/>
      </w:r>
      <w:r w:rsidR="00BE1C6F" w:rsidRPr="001C28B3">
        <w:rPr>
          <w:noProof/>
        </w:rPr>
        <w:t>Lama guanicoe</w:t>
      </w:r>
      <w:r w:rsidR="00BE1C6F">
        <w:rPr>
          <w:noProof/>
        </w:rPr>
        <w:t xml:space="preserve"> </w:t>
      </w:r>
    </w:p>
    <w:p w14:paraId="0FAE685B" w14:textId="5DE89193" w:rsidR="00137129" w:rsidRPr="00BE1C6F" w:rsidRDefault="00AB02A9" w:rsidP="00AB02A9">
      <w:pPr>
        <w:pStyle w:val="Point1"/>
        <w:rPr>
          <w:noProof/>
        </w:rPr>
      </w:pPr>
      <w:r w:rsidRPr="00AB02A9">
        <w:t>(4)</w:t>
      </w:r>
      <w:r w:rsidRPr="00AB02A9">
        <w:tab/>
      </w:r>
      <w:r w:rsidR="00BE1C6F" w:rsidRPr="001C28B3">
        <w:rPr>
          <w:noProof/>
        </w:rPr>
        <w:t>Tursiops truncatus gephyreus</w:t>
      </w:r>
    </w:p>
    <w:p w14:paraId="30E61937" w14:textId="349BF3E6" w:rsidR="00BE1C6F" w:rsidRPr="00BE1C6F" w:rsidRDefault="00AB02A9" w:rsidP="00AB02A9">
      <w:pPr>
        <w:pStyle w:val="Point1"/>
        <w:rPr>
          <w:noProof/>
        </w:rPr>
      </w:pPr>
      <w:r w:rsidRPr="00AB02A9">
        <w:t>(5)</w:t>
      </w:r>
      <w:r w:rsidRPr="00AB02A9">
        <w:tab/>
      </w:r>
      <w:r w:rsidR="00BE1C6F" w:rsidRPr="001C28B3">
        <w:rPr>
          <w:noProof/>
        </w:rPr>
        <w:t>Pelecanus thagus</w:t>
      </w:r>
    </w:p>
    <w:p w14:paraId="066228A1" w14:textId="3C94D429" w:rsidR="00BE1C6F" w:rsidRPr="009F28AE" w:rsidRDefault="00AB02A9" w:rsidP="00AB02A9">
      <w:pPr>
        <w:pStyle w:val="Point1"/>
        <w:rPr>
          <w:noProof/>
        </w:rPr>
      </w:pPr>
      <w:r w:rsidRPr="00AB02A9">
        <w:t>(6)</w:t>
      </w:r>
      <w:r w:rsidRPr="00AB02A9">
        <w:tab/>
      </w:r>
      <w:r w:rsidR="00BE1C6F" w:rsidRPr="009F28AE">
        <w:rPr>
          <w:noProof/>
        </w:rPr>
        <w:t>Carcharias taurus</w:t>
      </w:r>
    </w:p>
    <w:p w14:paraId="7EBD4D33" w14:textId="58B89765" w:rsidR="00FA0318" w:rsidRPr="009F28AE" w:rsidRDefault="00AB02A9" w:rsidP="00AB02A9">
      <w:pPr>
        <w:pStyle w:val="Point1"/>
        <w:rPr>
          <w:noProof/>
        </w:rPr>
      </w:pPr>
      <w:r w:rsidRPr="00AB02A9">
        <w:t>(7)</w:t>
      </w:r>
      <w:r w:rsidRPr="00AB02A9">
        <w:tab/>
      </w:r>
      <w:r w:rsidR="00FA0318" w:rsidRPr="009F28AE">
        <w:rPr>
          <w:noProof/>
        </w:rPr>
        <w:t>Glaucostegus cemiculus</w:t>
      </w:r>
    </w:p>
    <w:p w14:paraId="3F479DE1" w14:textId="364A3AA5" w:rsidR="00FA0318" w:rsidRPr="009F28AE" w:rsidRDefault="00AB02A9" w:rsidP="00AB02A9">
      <w:pPr>
        <w:pStyle w:val="Point1"/>
        <w:rPr>
          <w:noProof/>
        </w:rPr>
      </w:pPr>
      <w:r w:rsidRPr="00AB02A9">
        <w:t>(8)</w:t>
      </w:r>
      <w:r w:rsidRPr="00AB02A9">
        <w:tab/>
      </w:r>
      <w:r w:rsidR="00FA0318" w:rsidRPr="009F28AE">
        <w:rPr>
          <w:noProof/>
        </w:rPr>
        <w:t>Aetomylaeus bovinus</w:t>
      </w:r>
    </w:p>
    <w:p w14:paraId="3980A06C" w14:textId="06C45DAC" w:rsidR="00FA0318" w:rsidRPr="009F28AE" w:rsidRDefault="00AB02A9" w:rsidP="00AB02A9">
      <w:pPr>
        <w:pStyle w:val="Point1"/>
        <w:rPr>
          <w:noProof/>
        </w:rPr>
      </w:pPr>
      <w:r w:rsidRPr="00AB02A9">
        <w:lastRenderedPageBreak/>
        <w:t>(9)</w:t>
      </w:r>
      <w:r w:rsidRPr="00AB02A9">
        <w:tab/>
      </w:r>
      <w:r w:rsidR="00FA0318" w:rsidRPr="009F28AE">
        <w:rPr>
          <w:noProof/>
        </w:rPr>
        <w:t>Rhinoptera marginata</w:t>
      </w:r>
    </w:p>
    <w:p w14:paraId="1697275A" w14:textId="566F4C06" w:rsidR="00BE1C6F" w:rsidRPr="005D4778" w:rsidRDefault="00AB02A9" w:rsidP="00AB02A9">
      <w:pPr>
        <w:pStyle w:val="Point1"/>
        <w:rPr>
          <w:noProof/>
        </w:rPr>
      </w:pPr>
      <w:r w:rsidRPr="00AB02A9">
        <w:t>(10)</w:t>
      </w:r>
      <w:r w:rsidRPr="00AB02A9">
        <w:tab/>
      </w:r>
      <w:r w:rsidR="00BE1C6F" w:rsidRPr="005D4778">
        <w:rPr>
          <w:noProof/>
        </w:rPr>
        <w:t>Brachyplatystoma rousseauxii</w:t>
      </w:r>
    </w:p>
    <w:p w14:paraId="3FCD728D" w14:textId="3D4335AF" w:rsidR="00BE1C6F" w:rsidRPr="005D4778" w:rsidRDefault="00AB02A9" w:rsidP="00AB02A9">
      <w:pPr>
        <w:pStyle w:val="Point1"/>
        <w:rPr>
          <w:noProof/>
        </w:rPr>
      </w:pPr>
      <w:r w:rsidRPr="00AB02A9">
        <w:t>(11)</w:t>
      </w:r>
      <w:r w:rsidRPr="00AB02A9">
        <w:tab/>
      </w:r>
      <w:r w:rsidR="00BE1C6F" w:rsidRPr="005D4778">
        <w:rPr>
          <w:noProof/>
        </w:rPr>
        <w:t>Brachyplatystoma vaillantii</w:t>
      </w:r>
    </w:p>
    <w:p w14:paraId="47B0504E" w14:textId="77777777" w:rsidR="009F3306" w:rsidRDefault="00700DA6" w:rsidP="007A5BAA">
      <w:pPr>
        <w:pStyle w:val="Titrearticle"/>
        <w:rPr>
          <w:noProof/>
        </w:rPr>
      </w:pPr>
      <w:r w:rsidRPr="00E34F04">
        <w:rPr>
          <w:noProof/>
        </w:rPr>
        <w:t xml:space="preserve">Article </w:t>
      </w:r>
      <w:r w:rsidR="00637B5C">
        <w:rPr>
          <w:noProof/>
        </w:rPr>
        <w:t>2</w:t>
      </w:r>
    </w:p>
    <w:p w14:paraId="5205AC4F" w14:textId="77777777" w:rsidR="009F3306" w:rsidRDefault="009F3306" w:rsidP="007A5BAA">
      <w:pPr>
        <w:rPr>
          <w:noProof/>
        </w:rPr>
      </w:pPr>
      <w:r>
        <w:rPr>
          <w:noProof/>
        </w:rPr>
        <w:t xml:space="preserve">Refinement of the position referred to in Article 1 may be agreed to, in the light of developments at the </w:t>
      </w:r>
      <w:r w:rsidR="00C0063C">
        <w:rPr>
          <w:noProof/>
        </w:rPr>
        <w:t>four</w:t>
      </w:r>
      <w:r w:rsidR="00C0063C" w:rsidRPr="00C15517">
        <w:rPr>
          <w:noProof/>
        </w:rPr>
        <w:t>teenth</w:t>
      </w:r>
      <w:r>
        <w:rPr>
          <w:noProof/>
        </w:rPr>
        <w:t xml:space="preserve"> </w:t>
      </w:r>
      <w:r w:rsidRPr="009F3306">
        <w:rPr>
          <w:noProof/>
        </w:rPr>
        <w:t xml:space="preserve">meeting </w:t>
      </w:r>
      <w:r w:rsidRPr="00CD5FE8">
        <w:rPr>
          <w:noProof/>
        </w:rPr>
        <w:t>of the Conference of the Parties</w:t>
      </w:r>
      <w:r>
        <w:rPr>
          <w:noProof/>
        </w:rPr>
        <w:t xml:space="preserve"> </w:t>
      </w:r>
      <w:r w:rsidRPr="009F3306">
        <w:rPr>
          <w:noProof/>
        </w:rPr>
        <w:t>on the Conservation of Migratory Species of Wild Animals</w:t>
      </w:r>
      <w:r>
        <w:rPr>
          <w:noProof/>
        </w:rPr>
        <w:t>, by the representatives of the Union, in consultation with Member States during on-the-spot coordination meetings, without a further decision of the Council.</w:t>
      </w:r>
    </w:p>
    <w:p w14:paraId="3EB022B9" w14:textId="77777777" w:rsidR="009F3306" w:rsidRDefault="009F3306" w:rsidP="0005420C">
      <w:pPr>
        <w:pStyle w:val="Titrearticle"/>
        <w:rPr>
          <w:noProof/>
        </w:rPr>
      </w:pPr>
      <w:r w:rsidRPr="00E34F04">
        <w:rPr>
          <w:noProof/>
        </w:rPr>
        <w:t xml:space="preserve">Article </w:t>
      </w:r>
      <w:r>
        <w:rPr>
          <w:noProof/>
        </w:rPr>
        <w:t>3</w:t>
      </w:r>
    </w:p>
    <w:p w14:paraId="0630ECC0" w14:textId="77777777" w:rsidR="00700DA6" w:rsidRPr="00E34F04" w:rsidRDefault="00700DA6" w:rsidP="007A5BAA">
      <w:pPr>
        <w:rPr>
          <w:noProof/>
        </w:rPr>
      </w:pPr>
      <w:r w:rsidRPr="00E34F04">
        <w:rPr>
          <w:noProof/>
        </w:rPr>
        <w:t>This Decision is addressed to the Commission.</w:t>
      </w:r>
    </w:p>
    <w:p w14:paraId="1DF7378D" w14:textId="5CA41D1F" w:rsidR="00700DA6" w:rsidRDefault="008A6CB1" w:rsidP="0005420C">
      <w:pPr>
        <w:pStyle w:val="Fait"/>
        <w:rPr>
          <w:noProof/>
        </w:rPr>
      </w:pPr>
      <w:r w:rsidRPr="008A6CB1">
        <w:t>Done at Brussels,</w:t>
      </w:r>
    </w:p>
    <w:p w14:paraId="301ADFBC" w14:textId="77777777" w:rsidR="00700DA6" w:rsidRDefault="00700DA6" w:rsidP="0005420C">
      <w:pPr>
        <w:pStyle w:val="Institutionquisigne"/>
        <w:rPr>
          <w:noProof/>
        </w:rPr>
      </w:pPr>
      <w:r w:rsidRPr="00700DA6">
        <w:rPr>
          <w:noProof/>
        </w:rPr>
        <w:tab/>
        <w:t>For the Council</w:t>
      </w:r>
    </w:p>
    <w:p w14:paraId="1205FC07" w14:textId="77777777" w:rsidR="00700DA6" w:rsidRPr="00700DA6" w:rsidRDefault="00700DA6" w:rsidP="007A5BAA">
      <w:pPr>
        <w:pStyle w:val="Personnequisigne"/>
        <w:rPr>
          <w:noProof/>
        </w:rPr>
      </w:pPr>
      <w:r w:rsidRPr="00700DA6">
        <w:rPr>
          <w:noProof/>
        </w:rPr>
        <w:tab/>
        <w:t>The President</w:t>
      </w:r>
    </w:p>
    <w:sectPr w:rsidR="00700DA6" w:rsidRPr="00700DA6" w:rsidSect="00B115DD">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B7902" w14:textId="77777777" w:rsidR="00E75211" w:rsidRDefault="00E75211" w:rsidP="00700DA6">
      <w:pPr>
        <w:spacing w:before="0" w:after="0"/>
      </w:pPr>
      <w:r>
        <w:separator/>
      </w:r>
    </w:p>
  </w:endnote>
  <w:endnote w:type="continuationSeparator" w:id="0">
    <w:p w14:paraId="6BE14FF7" w14:textId="77777777" w:rsidR="00E75211" w:rsidRDefault="00E75211" w:rsidP="00700DA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55FE6" w14:textId="1D39309E" w:rsidR="00700DA6" w:rsidRPr="00B115DD" w:rsidRDefault="00B115DD" w:rsidP="00B115DD">
    <w:pPr>
      <w:pStyle w:val="Footer"/>
      <w:rPr>
        <w:rFonts w:ascii="Arial" w:hAnsi="Arial" w:cs="Arial"/>
        <w:b/>
        <w:sz w:val="48"/>
      </w:rPr>
    </w:pPr>
    <w:r w:rsidRPr="00B115DD">
      <w:rPr>
        <w:rFonts w:ascii="Arial" w:hAnsi="Arial" w:cs="Arial"/>
        <w:b/>
        <w:sz w:val="48"/>
      </w:rPr>
      <w:t>EN</w:t>
    </w:r>
    <w:r w:rsidRPr="00B115DD">
      <w:rPr>
        <w:rFonts w:ascii="Arial" w:hAnsi="Arial" w:cs="Arial"/>
        <w:b/>
        <w:sz w:val="48"/>
      </w:rPr>
      <w:tab/>
    </w:r>
    <w:r w:rsidRPr="00B115DD">
      <w:rPr>
        <w:rFonts w:ascii="Arial" w:hAnsi="Arial" w:cs="Arial"/>
        <w:b/>
        <w:sz w:val="48"/>
      </w:rPr>
      <w:tab/>
    </w:r>
    <w:r w:rsidRPr="00B115DD">
      <w:tab/>
    </w:r>
    <w:r w:rsidRPr="00B115DD">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407A5" w14:textId="53BCA7D7" w:rsidR="00B115DD" w:rsidRPr="00B115DD" w:rsidRDefault="00B115DD" w:rsidP="00B115DD">
    <w:pPr>
      <w:pStyle w:val="Footer"/>
      <w:rPr>
        <w:rFonts w:ascii="Arial" w:hAnsi="Arial" w:cs="Arial"/>
        <w:b/>
        <w:sz w:val="48"/>
      </w:rPr>
    </w:pPr>
    <w:r w:rsidRPr="00B115DD">
      <w:rPr>
        <w:rFonts w:ascii="Arial" w:hAnsi="Arial" w:cs="Arial"/>
        <w:b/>
        <w:sz w:val="48"/>
      </w:rPr>
      <w:t>EN</w:t>
    </w:r>
    <w:r w:rsidRPr="00B115DD">
      <w:rPr>
        <w:rFonts w:ascii="Arial" w:hAnsi="Arial" w:cs="Arial"/>
        <w:b/>
        <w:sz w:val="48"/>
      </w:rPr>
      <w:tab/>
    </w:r>
    <w:r>
      <w:fldChar w:fldCharType="begin"/>
    </w:r>
    <w:r>
      <w:instrText xml:space="preserve"> PAGE  \* MERGEFORMAT </w:instrText>
    </w:r>
    <w:r>
      <w:fldChar w:fldCharType="separate"/>
    </w:r>
    <w:r w:rsidR="0005420C">
      <w:rPr>
        <w:noProof/>
      </w:rPr>
      <w:t>7</w:t>
    </w:r>
    <w:r>
      <w:fldChar w:fldCharType="end"/>
    </w:r>
    <w:r>
      <w:tab/>
    </w:r>
    <w:r w:rsidRPr="00B115DD">
      <w:tab/>
    </w:r>
    <w:r w:rsidRPr="00B115DD">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72B7C" w14:textId="77777777" w:rsidR="00B115DD" w:rsidRPr="00B115DD" w:rsidRDefault="00B115DD" w:rsidP="00B115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95CEA" w14:textId="77777777" w:rsidR="00E75211" w:rsidRDefault="00E75211" w:rsidP="00700DA6">
      <w:pPr>
        <w:spacing w:before="0" w:after="0"/>
      </w:pPr>
      <w:r>
        <w:separator/>
      </w:r>
    </w:p>
  </w:footnote>
  <w:footnote w:type="continuationSeparator" w:id="0">
    <w:p w14:paraId="65983B4D" w14:textId="77777777" w:rsidR="00E75211" w:rsidRDefault="00E75211" w:rsidP="00700DA6">
      <w:pPr>
        <w:spacing w:before="0" w:after="0"/>
      </w:pPr>
      <w:r>
        <w:continuationSeparator/>
      </w:r>
    </w:p>
  </w:footnote>
  <w:footnote w:id="1">
    <w:p w14:paraId="06C84D3D" w14:textId="77777777" w:rsidR="00F52E4A" w:rsidRPr="00CD5FE8" w:rsidRDefault="00F52E4A" w:rsidP="00F52E4A">
      <w:pPr>
        <w:pStyle w:val="FootnoteText"/>
      </w:pPr>
      <w:r w:rsidRPr="00CD5FE8">
        <w:rPr>
          <w:rStyle w:val="FootnoteReference"/>
        </w:rPr>
        <w:footnoteRef/>
      </w:r>
      <w:r w:rsidRPr="00CD5FE8">
        <w:tab/>
        <w:t xml:space="preserve">Council Decision 82/461/EEC of 24 June 1982 on the conclusion of the Convention on the conservation of migratory species of wild animals, OJ L 210, </w:t>
      </w:r>
      <w:r w:rsidR="0067156F">
        <w:t>19</w:t>
      </w:r>
      <w:r w:rsidRPr="00CD5FE8">
        <w:t>.</w:t>
      </w:r>
      <w:r w:rsidR="0067156F">
        <w:t>7</w:t>
      </w:r>
      <w:r w:rsidRPr="00CD5FE8">
        <w:t>.1982, p. 10.</w:t>
      </w:r>
    </w:p>
  </w:footnote>
  <w:footnote w:id="2">
    <w:p w14:paraId="4D47D4D5" w14:textId="77777777" w:rsidR="006F7CE8" w:rsidRPr="006F7CE8" w:rsidRDefault="006F7CE8" w:rsidP="006F7CE8">
      <w:pPr>
        <w:pStyle w:val="FootnoteText"/>
        <w:rPr>
          <w:lang w:val="en-IE"/>
        </w:rPr>
      </w:pPr>
      <w:r w:rsidRPr="0015577B">
        <w:rPr>
          <w:rStyle w:val="FootnoteReference"/>
        </w:rPr>
        <w:footnoteRef/>
      </w:r>
      <w:r w:rsidR="0015577B">
        <w:tab/>
      </w:r>
      <w:r w:rsidRPr="006F7CE8">
        <w:t>Council Decision (EU) 2023/1034 of 22 May 2023 on the submission, on behalf of the European Union, of a proposal to amend Appendix I to the Convention on the Conservation of Migratory Species of Wild Animals with a view to the fourteenth meeting of the Conference of the Parties, OJ L 139, 26.5.2023, p.47</w:t>
      </w:r>
      <w:r>
        <w:t>.</w:t>
      </w:r>
    </w:p>
  </w:footnote>
  <w:footnote w:id="3">
    <w:p w14:paraId="03C6D84E" w14:textId="77777777" w:rsidR="00FC5170" w:rsidRPr="002214ED" w:rsidRDefault="00FC5170" w:rsidP="00FC5170">
      <w:pPr>
        <w:pStyle w:val="FootnoteText"/>
        <w:rPr>
          <w:lang w:val="en-IE"/>
        </w:rPr>
      </w:pPr>
      <w:r w:rsidRPr="00B11921">
        <w:rPr>
          <w:rStyle w:val="FootnoteReference"/>
        </w:rPr>
        <w:footnoteRef/>
      </w:r>
      <w:r>
        <w:tab/>
      </w:r>
      <w:r w:rsidRPr="002214ED">
        <w:t>Council Directive 92/43/EEC of 21 May 1992 on the conservation of natural habitats and of wild fauna and flora</w:t>
      </w:r>
      <w:r>
        <w:t xml:space="preserve">, OJ </w:t>
      </w:r>
      <w:r w:rsidRPr="002214ED">
        <w:t xml:space="preserve">L 206, 22/07/1992 </w:t>
      </w:r>
      <w:r>
        <w:t>p</w:t>
      </w:r>
      <w:r w:rsidRPr="002214ED">
        <w:t xml:space="preserve">. 0007 </w:t>
      </w:r>
      <w:r>
        <w:t>–</w:t>
      </w:r>
      <w:r w:rsidRPr="002214ED">
        <w:t xml:space="preserve"> 0050</w:t>
      </w:r>
      <w:r>
        <w:t>.</w:t>
      </w:r>
    </w:p>
  </w:footnote>
  <w:footnote w:id="4">
    <w:p w14:paraId="7E64D118" w14:textId="77777777" w:rsidR="00FC5170" w:rsidRPr="00E70FB9" w:rsidRDefault="00FC5170" w:rsidP="00FC5170">
      <w:pPr>
        <w:pStyle w:val="FootnoteText"/>
        <w:rPr>
          <w:lang w:val="en-IE"/>
        </w:rPr>
      </w:pPr>
      <w:r w:rsidRPr="0015577B">
        <w:rPr>
          <w:rStyle w:val="FootnoteReference"/>
        </w:rPr>
        <w:footnoteRef/>
      </w:r>
      <w:r>
        <w:tab/>
      </w:r>
      <w:r w:rsidRPr="00E70FB9">
        <w:t>The Convention for the Protection of the Mediterranean Sea Against Pollution</w:t>
      </w:r>
      <w:r>
        <w:t>.</w:t>
      </w:r>
    </w:p>
  </w:footnote>
  <w:footnote w:id="5">
    <w:p w14:paraId="7CB67EB9" w14:textId="77777777" w:rsidR="00FC5170" w:rsidRPr="00D05FE8" w:rsidRDefault="00FC5170" w:rsidP="00FC5170">
      <w:pPr>
        <w:pStyle w:val="FootnoteText"/>
        <w:rPr>
          <w:lang w:val="en-IE"/>
        </w:rPr>
      </w:pPr>
      <w:r w:rsidRPr="0015577B">
        <w:rPr>
          <w:rStyle w:val="FootnoteReference"/>
        </w:rPr>
        <w:footnoteRef/>
      </w:r>
      <w:r>
        <w:tab/>
      </w:r>
      <w:r w:rsidRPr="00D05FE8">
        <w:t>Regulation (EU) No 1343/2011 of the European Parliament and of the Council of 13 December 2011 on certain provisions for fishing in the GFCM (General Fisheries Commission for the Mediterranean) Agreement area and amending Council Regulation (EC) No 1967/2006 concerning management measures for the sustainable exploitation of fishery resources in the Mediterranean Sea</w:t>
      </w:r>
      <w:r>
        <w:t>.</w:t>
      </w:r>
      <w:r w:rsidRPr="008C4458">
        <w:t xml:space="preserve"> OJ L 347</w:t>
      </w:r>
      <w:r>
        <w:t>,</w:t>
      </w:r>
      <w:r w:rsidRPr="008C4458">
        <w:t xml:space="preserve"> 30</w:t>
      </w:r>
      <w:r>
        <w:t>/</w:t>
      </w:r>
      <w:r w:rsidRPr="008C4458">
        <w:t>12</w:t>
      </w:r>
      <w:r>
        <w:t>/</w:t>
      </w:r>
      <w:r w:rsidRPr="008C4458">
        <w:t>2011, p. 44</w:t>
      </w:r>
      <w:r>
        <w:t xml:space="preserve">, Consolidated version of </w:t>
      </w:r>
      <w:r w:rsidRPr="008C4458">
        <w:t>10/07/2019</w:t>
      </w:r>
      <w:r>
        <w:t xml:space="preserve">. </w:t>
      </w:r>
    </w:p>
  </w:footnote>
  <w:footnote w:id="6">
    <w:p w14:paraId="3DF65570" w14:textId="77777777" w:rsidR="00700DA6" w:rsidRPr="00B035F8" w:rsidRDefault="00700DA6" w:rsidP="00736AA9">
      <w:pPr>
        <w:pStyle w:val="FootnoteText"/>
      </w:pPr>
      <w:r w:rsidRPr="00B035F8">
        <w:rPr>
          <w:rStyle w:val="FootnoteReference"/>
        </w:rPr>
        <w:footnoteRef/>
      </w:r>
      <w:r w:rsidRPr="00B035F8">
        <w:tab/>
        <w:t>Judgment of the Court of Justice of 7 October 2014, Germany v Council, C-399/12, ECLI:EU:C:2014:2258, paragraphs 61</w:t>
      </w:r>
      <w:r>
        <w:t xml:space="preserve"> </w:t>
      </w:r>
      <w:r w:rsidRPr="00B035F8">
        <w:t xml:space="preserve">to 64. </w:t>
      </w:r>
    </w:p>
  </w:footnote>
  <w:footnote w:id="7">
    <w:p w14:paraId="2E38810E" w14:textId="77777777" w:rsidR="00700DA6" w:rsidRPr="009309E2" w:rsidRDefault="00700DA6" w:rsidP="00BE7CB9">
      <w:pPr>
        <w:pStyle w:val="FootnoteText"/>
        <w:rPr>
          <w:lang w:val="en-IE"/>
        </w:rPr>
      </w:pPr>
      <w:r w:rsidRPr="00B035F8">
        <w:rPr>
          <w:rStyle w:val="FootnoteReference"/>
        </w:rPr>
        <w:footnoteRef/>
      </w:r>
      <w:r w:rsidRPr="00B035F8">
        <w:tab/>
      </w:r>
      <w:r w:rsidR="009309E2" w:rsidRPr="009309E2">
        <w:t>Council Decision 82/461/EEC of 24 June 1982 on the conclusion of the Convention on the conservation of migratory species of wild animals (OJ L 210, 19.7.1982, p. 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1250C32A"/>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CD86433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BD088146"/>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9230B23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AD72A1E6"/>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9569E92"/>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0A0E584"/>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B5889BFC"/>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num>
  <w:num w:numId="4">
    <w:abstractNumId w:val="7"/>
  </w:num>
  <w:num w:numId="5">
    <w:abstractNumId w:val="5"/>
  </w:num>
  <w:num w:numId="6">
    <w:abstractNumId w:val="4"/>
  </w:num>
  <w:num w:numId="7">
    <w:abstractNumId w:val="3"/>
  </w:num>
  <w:num w:numId="8">
    <w:abstractNumId w:val="6"/>
  </w:num>
  <w:num w:numId="9">
    <w:abstractNumId w:val="2"/>
  </w:num>
  <w:num w:numId="10">
    <w:abstractNumId w:val="1"/>
  </w:num>
  <w:num w:numId="11">
    <w:abstractNumId w:val="0"/>
  </w:num>
  <w:num w:numId="12">
    <w:abstractNumId w:val="19"/>
  </w:num>
  <w:num w:numId="13">
    <w:abstractNumId w:val="12"/>
  </w:num>
  <w:num w:numId="14">
    <w:abstractNumId w:val="21"/>
  </w:num>
  <w:num w:numId="15">
    <w:abstractNumId w:val="11"/>
  </w:num>
  <w:num w:numId="16">
    <w:abstractNumId w:val="13"/>
  </w:num>
  <w:num w:numId="17">
    <w:abstractNumId w:val="14"/>
  </w:num>
  <w:num w:numId="18">
    <w:abstractNumId w:val="9"/>
  </w:num>
  <w:num w:numId="19">
    <w:abstractNumId w:val="20"/>
  </w:num>
  <w:num w:numId="20">
    <w:abstractNumId w:val="8"/>
  </w:num>
  <w:num w:numId="21">
    <w:abstractNumId w:val="15"/>
  </w:num>
  <w:num w:numId="22">
    <w:abstractNumId w:val="17"/>
  </w:num>
  <w:num w:numId="23">
    <w:abstractNumId w:val="18"/>
  </w:num>
  <w:num w:numId="24">
    <w:abstractNumId w:val="10"/>
  </w:num>
  <w:num w:numId="25">
    <w:abstractNumId w:val="16"/>
  </w:num>
  <w:num w:numId="26">
    <w:abstractNumId w:val="22"/>
  </w:num>
  <w:num w:numId="27">
    <w:abstractNumId w:val="19"/>
  </w:num>
  <w:num w:numId="28">
    <w:abstractNumId w:val="12"/>
  </w:num>
  <w:num w:numId="29">
    <w:abstractNumId w:val="21"/>
  </w:num>
  <w:num w:numId="30">
    <w:abstractNumId w:val="11"/>
  </w:num>
  <w:num w:numId="31">
    <w:abstractNumId w:val="13"/>
  </w:num>
  <w:num w:numId="32">
    <w:abstractNumId w:val="14"/>
  </w:num>
  <w:num w:numId="33">
    <w:abstractNumId w:val="9"/>
  </w:num>
  <w:num w:numId="34">
    <w:abstractNumId w:val="20"/>
  </w:num>
  <w:num w:numId="35">
    <w:abstractNumId w:val="8"/>
  </w:num>
  <w:num w:numId="36">
    <w:abstractNumId w:val="15"/>
  </w:num>
  <w:num w:numId="37">
    <w:abstractNumId w:val="17"/>
  </w:num>
  <w:num w:numId="38">
    <w:abstractNumId w:val="18"/>
  </w:num>
  <w:num w:numId="39">
    <w:abstractNumId w:val="10"/>
  </w:num>
  <w:num w:numId="40">
    <w:abstractNumId w:val="16"/>
  </w:num>
  <w:num w:numId="41">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8-03 12:21:03"/>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3ECAE106-849A-478E-985B-0791238579DB"/>
    <w:docVar w:name="LW_COVERPAGE_TYPE" w:val="1"/>
    <w:docVar w:name="LW_CROSSREFERENCE" w:val="&lt;UNUSED&gt;"/>
    <w:docVar w:name="LW_DocType" w:val="COM"/>
    <w:docVar w:name="LW_EMISSION" w:val="14.8.2023"/>
    <w:docVar w:name="LW_EMISSION_ISODATE" w:val="2023-08-14"/>
    <w:docVar w:name="LW_EMISSION_LOCATION" w:val="BRX"/>
    <w:docVar w:name="LW_EMISSION_PREFIX" w:val="Brussels, "/>
    <w:docVar w:name="LW_EMISSION_SUFFIX" w:val=" "/>
    <w:docVar w:name="LW_ID_DOCMODEL" w:val="SJ-043"/>
    <w:docVar w:name="LW_ID_DOCSIGNATURE" w:val="SJ-019"/>
    <w:docVar w:name="LW_ID_DOCSTRUCTURE" w:val="COM/PL/ORG"/>
    <w:docVar w:name="LW_ID_DOCTYPE" w:val="SJ-043"/>
    <w:docVar w:name="LW_ID_EXP.MOTIFS.NEW" w:val="EM_PL2_"/>
    <w:docVar w:name="LW_ID_STATUT" w:val="SJ-019"/>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NLE"/>
    <w:docVar w:name="LW_REF.II.NEW.CP_NUMBER" w:val="0298"/>
    <w:docVar w:name="LW_REF.II.NEW.CP_YEAR" w:val="2023"/>
    <w:docVar w:name="LW_REF.INST.NEW" w:val="COM"/>
    <w:docVar w:name="LW_REF.INST.NEW_ADOPTED" w:val="final"/>
    <w:docVar w:name="LW_REF.INST.NEW_TEXT" w:val="(2023) 486"/>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on the position to be taken on behalf of the European Union in the fourteenth meeting of the Conference of the Parties to the Convention on the Conservation of Migratory Species of Wild Animals (CMS) as regards proposals from various parties to amend the Appendices to that Convention"/>
    <w:docVar w:name="LW_TYPE.DOC.CP" w:val="COUNCIL DECISION"/>
    <w:docVar w:name="LwApiVersions" w:val="LW4CoDe 1.23.2.0; LW 8.0, Build 20211117"/>
  </w:docVars>
  <w:rsids>
    <w:rsidRoot w:val="00700DA6"/>
    <w:rsid w:val="0001394F"/>
    <w:rsid w:val="000164A9"/>
    <w:rsid w:val="000212F4"/>
    <w:rsid w:val="0003093F"/>
    <w:rsid w:val="000330FE"/>
    <w:rsid w:val="00034257"/>
    <w:rsid w:val="0005114C"/>
    <w:rsid w:val="0005420C"/>
    <w:rsid w:val="00064A71"/>
    <w:rsid w:val="000716BB"/>
    <w:rsid w:val="00077571"/>
    <w:rsid w:val="00090307"/>
    <w:rsid w:val="00094F37"/>
    <w:rsid w:val="000A4F1A"/>
    <w:rsid w:val="000A7517"/>
    <w:rsid w:val="000B737E"/>
    <w:rsid w:val="000C029E"/>
    <w:rsid w:val="000C18A9"/>
    <w:rsid w:val="000E198E"/>
    <w:rsid w:val="000E25E8"/>
    <w:rsid w:val="000E65AF"/>
    <w:rsid w:val="000F035C"/>
    <w:rsid w:val="00103874"/>
    <w:rsid w:val="00126611"/>
    <w:rsid w:val="00132F23"/>
    <w:rsid w:val="00136F36"/>
    <w:rsid w:val="00137129"/>
    <w:rsid w:val="0015577B"/>
    <w:rsid w:val="00191367"/>
    <w:rsid w:val="001B34AD"/>
    <w:rsid w:val="001C2816"/>
    <w:rsid w:val="001C28B3"/>
    <w:rsid w:val="001C7493"/>
    <w:rsid w:val="00205940"/>
    <w:rsid w:val="00205F5B"/>
    <w:rsid w:val="00240EB7"/>
    <w:rsid w:val="0025449C"/>
    <w:rsid w:val="00257CAC"/>
    <w:rsid w:val="00270344"/>
    <w:rsid w:val="002704F1"/>
    <w:rsid w:val="00281375"/>
    <w:rsid w:val="00284D4A"/>
    <w:rsid w:val="00285ED0"/>
    <w:rsid w:val="00293021"/>
    <w:rsid w:val="002A0372"/>
    <w:rsid w:val="002A4A09"/>
    <w:rsid w:val="002B0E1A"/>
    <w:rsid w:val="002C3B55"/>
    <w:rsid w:val="002D30EA"/>
    <w:rsid w:val="003007CE"/>
    <w:rsid w:val="00305322"/>
    <w:rsid w:val="00305CFC"/>
    <w:rsid w:val="00307772"/>
    <w:rsid w:val="00314EEC"/>
    <w:rsid w:val="00316B05"/>
    <w:rsid w:val="00344C52"/>
    <w:rsid w:val="00361234"/>
    <w:rsid w:val="00394345"/>
    <w:rsid w:val="003A0551"/>
    <w:rsid w:val="003B3B48"/>
    <w:rsid w:val="003B3FF7"/>
    <w:rsid w:val="003B5522"/>
    <w:rsid w:val="003D3D80"/>
    <w:rsid w:val="003D71EA"/>
    <w:rsid w:val="003E01C7"/>
    <w:rsid w:val="003E5DFB"/>
    <w:rsid w:val="003F0221"/>
    <w:rsid w:val="003F0BB8"/>
    <w:rsid w:val="003F4120"/>
    <w:rsid w:val="00417E73"/>
    <w:rsid w:val="004239F4"/>
    <w:rsid w:val="00442D23"/>
    <w:rsid w:val="00444443"/>
    <w:rsid w:val="0044449B"/>
    <w:rsid w:val="00444CD0"/>
    <w:rsid w:val="00465881"/>
    <w:rsid w:val="00473482"/>
    <w:rsid w:val="0047353C"/>
    <w:rsid w:val="00484525"/>
    <w:rsid w:val="004A0005"/>
    <w:rsid w:val="004A0CCD"/>
    <w:rsid w:val="004A3F30"/>
    <w:rsid w:val="004A78C0"/>
    <w:rsid w:val="004B22C1"/>
    <w:rsid w:val="004C5393"/>
    <w:rsid w:val="004D7B3C"/>
    <w:rsid w:val="004F76C4"/>
    <w:rsid w:val="005103A8"/>
    <w:rsid w:val="005306B6"/>
    <w:rsid w:val="00553984"/>
    <w:rsid w:val="00562191"/>
    <w:rsid w:val="00574364"/>
    <w:rsid w:val="0057686D"/>
    <w:rsid w:val="005856CE"/>
    <w:rsid w:val="00585868"/>
    <w:rsid w:val="00592E1B"/>
    <w:rsid w:val="00597A10"/>
    <w:rsid w:val="005A0877"/>
    <w:rsid w:val="005A7F92"/>
    <w:rsid w:val="005C22A6"/>
    <w:rsid w:val="005D4778"/>
    <w:rsid w:val="005D6A11"/>
    <w:rsid w:val="00604350"/>
    <w:rsid w:val="00617D54"/>
    <w:rsid w:val="006359C5"/>
    <w:rsid w:val="00637B5C"/>
    <w:rsid w:val="00643DF8"/>
    <w:rsid w:val="00644BD4"/>
    <w:rsid w:val="0065173D"/>
    <w:rsid w:val="006632D2"/>
    <w:rsid w:val="006669CD"/>
    <w:rsid w:val="0067156F"/>
    <w:rsid w:val="00686C32"/>
    <w:rsid w:val="006942E4"/>
    <w:rsid w:val="006A2D36"/>
    <w:rsid w:val="006B06B8"/>
    <w:rsid w:val="006B2505"/>
    <w:rsid w:val="006B35B3"/>
    <w:rsid w:val="006B50CD"/>
    <w:rsid w:val="006C3361"/>
    <w:rsid w:val="006C3852"/>
    <w:rsid w:val="006C5F31"/>
    <w:rsid w:val="006C72D6"/>
    <w:rsid w:val="006E691E"/>
    <w:rsid w:val="006F4BF0"/>
    <w:rsid w:val="006F7CE8"/>
    <w:rsid w:val="00700581"/>
    <w:rsid w:val="00700DA6"/>
    <w:rsid w:val="0070128F"/>
    <w:rsid w:val="007065FF"/>
    <w:rsid w:val="00724B73"/>
    <w:rsid w:val="0073598C"/>
    <w:rsid w:val="007420BA"/>
    <w:rsid w:val="007550DF"/>
    <w:rsid w:val="0077267A"/>
    <w:rsid w:val="007A5BAA"/>
    <w:rsid w:val="007C06F6"/>
    <w:rsid w:val="007C07F2"/>
    <w:rsid w:val="007D53CE"/>
    <w:rsid w:val="007E054F"/>
    <w:rsid w:val="007F3302"/>
    <w:rsid w:val="007F505A"/>
    <w:rsid w:val="00810DAE"/>
    <w:rsid w:val="0081368C"/>
    <w:rsid w:val="0083208E"/>
    <w:rsid w:val="008376BD"/>
    <w:rsid w:val="00876C1A"/>
    <w:rsid w:val="008A2F2F"/>
    <w:rsid w:val="008A6CB1"/>
    <w:rsid w:val="008C2F3B"/>
    <w:rsid w:val="008C4458"/>
    <w:rsid w:val="008D231E"/>
    <w:rsid w:val="008E17D0"/>
    <w:rsid w:val="008E6A69"/>
    <w:rsid w:val="00901857"/>
    <w:rsid w:val="00922355"/>
    <w:rsid w:val="0092518A"/>
    <w:rsid w:val="0092750B"/>
    <w:rsid w:val="009309E2"/>
    <w:rsid w:val="00931EA4"/>
    <w:rsid w:val="0093757E"/>
    <w:rsid w:val="00940952"/>
    <w:rsid w:val="00952558"/>
    <w:rsid w:val="009579AE"/>
    <w:rsid w:val="0097285F"/>
    <w:rsid w:val="00986B33"/>
    <w:rsid w:val="00987AD5"/>
    <w:rsid w:val="009B7138"/>
    <w:rsid w:val="009B7E03"/>
    <w:rsid w:val="009E1E63"/>
    <w:rsid w:val="009F0B9B"/>
    <w:rsid w:val="009F28AE"/>
    <w:rsid w:val="009F3306"/>
    <w:rsid w:val="009F4960"/>
    <w:rsid w:val="009F7846"/>
    <w:rsid w:val="00A05DBC"/>
    <w:rsid w:val="00A27902"/>
    <w:rsid w:val="00A360BB"/>
    <w:rsid w:val="00A46D29"/>
    <w:rsid w:val="00A57CD6"/>
    <w:rsid w:val="00A630A6"/>
    <w:rsid w:val="00A823AD"/>
    <w:rsid w:val="00AB02A9"/>
    <w:rsid w:val="00AB7B70"/>
    <w:rsid w:val="00AD31F1"/>
    <w:rsid w:val="00AD5D90"/>
    <w:rsid w:val="00AE03DB"/>
    <w:rsid w:val="00AF1E91"/>
    <w:rsid w:val="00B115DD"/>
    <w:rsid w:val="00B327FC"/>
    <w:rsid w:val="00B35BCE"/>
    <w:rsid w:val="00B37076"/>
    <w:rsid w:val="00B47B74"/>
    <w:rsid w:val="00B515C0"/>
    <w:rsid w:val="00B63580"/>
    <w:rsid w:val="00B836B1"/>
    <w:rsid w:val="00BA5B34"/>
    <w:rsid w:val="00BD3225"/>
    <w:rsid w:val="00BE1C6F"/>
    <w:rsid w:val="00BE246D"/>
    <w:rsid w:val="00BE298B"/>
    <w:rsid w:val="00BE39E5"/>
    <w:rsid w:val="00BE7B53"/>
    <w:rsid w:val="00BF17AA"/>
    <w:rsid w:val="00C0063C"/>
    <w:rsid w:val="00C00C79"/>
    <w:rsid w:val="00C15517"/>
    <w:rsid w:val="00C162A1"/>
    <w:rsid w:val="00C16CA6"/>
    <w:rsid w:val="00C24556"/>
    <w:rsid w:val="00C25278"/>
    <w:rsid w:val="00C40AD1"/>
    <w:rsid w:val="00C52031"/>
    <w:rsid w:val="00C55B67"/>
    <w:rsid w:val="00C64331"/>
    <w:rsid w:val="00CB253B"/>
    <w:rsid w:val="00CB2DA2"/>
    <w:rsid w:val="00CE39D7"/>
    <w:rsid w:val="00CF6CC7"/>
    <w:rsid w:val="00D011BB"/>
    <w:rsid w:val="00D05FE8"/>
    <w:rsid w:val="00D0664D"/>
    <w:rsid w:val="00D11A06"/>
    <w:rsid w:val="00D21D87"/>
    <w:rsid w:val="00D46544"/>
    <w:rsid w:val="00D5270A"/>
    <w:rsid w:val="00D63ADD"/>
    <w:rsid w:val="00D660DA"/>
    <w:rsid w:val="00D67DF7"/>
    <w:rsid w:val="00DA0952"/>
    <w:rsid w:val="00DA4B19"/>
    <w:rsid w:val="00DB10CF"/>
    <w:rsid w:val="00DC0378"/>
    <w:rsid w:val="00DC038D"/>
    <w:rsid w:val="00DC18A9"/>
    <w:rsid w:val="00DC261C"/>
    <w:rsid w:val="00DD2EA2"/>
    <w:rsid w:val="00DE0742"/>
    <w:rsid w:val="00E25ADB"/>
    <w:rsid w:val="00E46575"/>
    <w:rsid w:val="00E63C47"/>
    <w:rsid w:val="00E66497"/>
    <w:rsid w:val="00E70FB9"/>
    <w:rsid w:val="00E72202"/>
    <w:rsid w:val="00E74F9D"/>
    <w:rsid w:val="00E75211"/>
    <w:rsid w:val="00E8358F"/>
    <w:rsid w:val="00E92673"/>
    <w:rsid w:val="00EA7266"/>
    <w:rsid w:val="00EB0586"/>
    <w:rsid w:val="00EB221D"/>
    <w:rsid w:val="00EC0E36"/>
    <w:rsid w:val="00EC453E"/>
    <w:rsid w:val="00EE4BB6"/>
    <w:rsid w:val="00F01CD6"/>
    <w:rsid w:val="00F138E5"/>
    <w:rsid w:val="00F20062"/>
    <w:rsid w:val="00F244E6"/>
    <w:rsid w:val="00F26150"/>
    <w:rsid w:val="00F32B8A"/>
    <w:rsid w:val="00F42BC7"/>
    <w:rsid w:val="00F52E4A"/>
    <w:rsid w:val="00F54230"/>
    <w:rsid w:val="00F81E67"/>
    <w:rsid w:val="00F9209E"/>
    <w:rsid w:val="00FA0318"/>
    <w:rsid w:val="00FA70A7"/>
    <w:rsid w:val="00FB313A"/>
    <w:rsid w:val="00FC5170"/>
    <w:rsid w:val="00FD4058"/>
    <w:rsid w:val="00FD7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81CCFAC"/>
  <w15:docId w15:val="{20A671B6-C108-4ED5-8B46-2C79E66F6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4"/>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4"/>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4"/>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4"/>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0E65AF"/>
  </w:style>
  <w:style w:type="paragraph" w:styleId="Caption">
    <w:name w:val="caption"/>
    <w:basedOn w:val="Normal"/>
    <w:next w:val="Normal"/>
    <w:uiPriority w:val="35"/>
    <w:semiHidden/>
    <w:unhideWhenUsed/>
    <w:qFormat/>
    <w:rsid w:val="00090307"/>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rsid w:val="00090307"/>
    <w:pPr>
      <w:spacing w:after="0"/>
    </w:pPr>
  </w:style>
  <w:style w:type="paragraph" w:styleId="ListBullet">
    <w:name w:val="List Bullet"/>
    <w:basedOn w:val="Normal"/>
    <w:uiPriority w:val="99"/>
    <w:semiHidden/>
    <w:unhideWhenUsed/>
    <w:rsid w:val="00090307"/>
    <w:pPr>
      <w:numPr>
        <w:numId w:val="4"/>
      </w:numPr>
      <w:contextualSpacing/>
    </w:pPr>
  </w:style>
  <w:style w:type="paragraph" w:styleId="ListBullet2">
    <w:name w:val="List Bullet 2"/>
    <w:basedOn w:val="Normal"/>
    <w:uiPriority w:val="99"/>
    <w:semiHidden/>
    <w:unhideWhenUsed/>
    <w:rsid w:val="00090307"/>
    <w:pPr>
      <w:numPr>
        <w:numId w:val="5"/>
      </w:numPr>
      <w:contextualSpacing/>
    </w:pPr>
  </w:style>
  <w:style w:type="paragraph" w:styleId="ListBullet3">
    <w:name w:val="List Bullet 3"/>
    <w:basedOn w:val="Normal"/>
    <w:uiPriority w:val="99"/>
    <w:semiHidden/>
    <w:unhideWhenUsed/>
    <w:rsid w:val="00090307"/>
    <w:pPr>
      <w:numPr>
        <w:numId w:val="6"/>
      </w:numPr>
      <w:contextualSpacing/>
    </w:pPr>
  </w:style>
  <w:style w:type="paragraph" w:styleId="ListBullet4">
    <w:name w:val="List Bullet 4"/>
    <w:basedOn w:val="Normal"/>
    <w:uiPriority w:val="99"/>
    <w:semiHidden/>
    <w:unhideWhenUsed/>
    <w:rsid w:val="00090307"/>
    <w:pPr>
      <w:numPr>
        <w:numId w:val="7"/>
      </w:numPr>
      <w:contextualSpacing/>
    </w:pPr>
  </w:style>
  <w:style w:type="paragraph" w:styleId="ListNumber">
    <w:name w:val="List Number"/>
    <w:basedOn w:val="Normal"/>
    <w:uiPriority w:val="99"/>
    <w:semiHidden/>
    <w:unhideWhenUsed/>
    <w:rsid w:val="00090307"/>
    <w:pPr>
      <w:numPr>
        <w:numId w:val="8"/>
      </w:numPr>
      <w:contextualSpacing/>
    </w:pPr>
  </w:style>
  <w:style w:type="paragraph" w:styleId="ListNumber2">
    <w:name w:val="List Number 2"/>
    <w:basedOn w:val="Normal"/>
    <w:uiPriority w:val="99"/>
    <w:semiHidden/>
    <w:unhideWhenUsed/>
    <w:rsid w:val="00090307"/>
    <w:pPr>
      <w:numPr>
        <w:numId w:val="9"/>
      </w:numPr>
      <w:contextualSpacing/>
    </w:pPr>
  </w:style>
  <w:style w:type="paragraph" w:styleId="ListNumber3">
    <w:name w:val="List Number 3"/>
    <w:basedOn w:val="Normal"/>
    <w:uiPriority w:val="99"/>
    <w:semiHidden/>
    <w:unhideWhenUsed/>
    <w:rsid w:val="00090307"/>
    <w:pPr>
      <w:numPr>
        <w:numId w:val="10"/>
      </w:numPr>
      <w:contextualSpacing/>
    </w:pPr>
  </w:style>
  <w:style w:type="paragraph" w:styleId="ListNumber4">
    <w:name w:val="List Number 4"/>
    <w:basedOn w:val="Normal"/>
    <w:uiPriority w:val="99"/>
    <w:semiHidden/>
    <w:unhideWhenUsed/>
    <w:rsid w:val="00090307"/>
    <w:pPr>
      <w:numPr>
        <w:numId w:val="11"/>
      </w:numPr>
      <w:contextualSpacing/>
    </w:pPr>
  </w:style>
  <w:style w:type="character" w:styleId="CommentReference">
    <w:name w:val="annotation reference"/>
    <w:basedOn w:val="DefaultParagraphFont"/>
    <w:uiPriority w:val="99"/>
    <w:semiHidden/>
    <w:unhideWhenUsed/>
    <w:rsid w:val="003F0221"/>
    <w:rPr>
      <w:sz w:val="16"/>
      <w:szCs w:val="16"/>
    </w:rPr>
  </w:style>
  <w:style w:type="paragraph" w:styleId="CommentText">
    <w:name w:val="annotation text"/>
    <w:basedOn w:val="Normal"/>
    <w:link w:val="CommentTextChar"/>
    <w:uiPriority w:val="99"/>
    <w:semiHidden/>
    <w:unhideWhenUsed/>
    <w:rsid w:val="003F0221"/>
    <w:rPr>
      <w:sz w:val="20"/>
      <w:szCs w:val="20"/>
    </w:rPr>
  </w:style>
  <w:style w:type="character" w:customStyle="1" w:styleId="CommentTextChar">
    <w:name w:val="Comment Text Char"/>
    <w:basedOn w:val="DefaultParagraphFont"/>
    <w:link w:val="CommentText"/>
    <w:uiPriority w:val="99"/>
    <w:semiHidden/>
    <w:rsid w:val="003F0221"/>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F0221"/>
    <w:rPr>
      <w:b/>
      <w:bCs/>
    </w:rPr>
  </w:style>
  <w:style w:type="character" w:customStyle="1" w:styleId="CommentSubjectChar">
    <w:name w:val="Comment Subject Char"/>
    <w:basedOn w:val="CommentTextChar"/>
    <w:link w:val="CommentSubject"/>
    <w:uiPriority w:val="99"/>
    <w:semiHidden/>
    <w:rsid w:val="003F0221"/>
    <w:rPr>
      <w:rFonts w:ascii="Times New Roman" w:hAnsi="Times New Roman" w:cs="Times New Roman"/>
      <w:b/>
      <w:bCs/>
      <w:sz w:val="20"/>
      <w:szCs w:val="20"/>
      <w:lang w:val="en-GB"/>
    </w:rPr>
  </w:style>
  <w:style w:type="character" w:styleId="Hyperlink">
    <w:name w:val="Hyperlink"/>
    <w:basedOn w:val="DefaultParagraphFont"/>
    <w:uiPriority w:val="99"/>
    <w:unhideWhenUsed/>
    <w:rsid w:val="003F0221"/>
    <w:rPr>
      <w:color w:val="0000FF" w:themeColor="hyperlink"/>
      <w:u w:val="single"/>
    </w:rPr>
  </w:style>
  <w:style w:type="paragraph" w:styleId="BalloonText">
    <w:name w:val="Balloon Text"/>
    <w:basedOn w:val="Normal"/>
    <w:link w:val="BalloonTextChar"/>
    <w:uiPriority w:val="99"/>
    <w:semiHidden/>
    <w:unhideWhenUsed/>
    <w:rsid w:val="003F022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221"/>
    <w:rPr>
      <w:rFonts w:ascii="Tahoma" w:hAnsi="Tahoma" w:cs="Tahoma"/>
      <w:sz w:val="16"/>
      <w:szCs w:val="16"/>
      <w:lang w:val="en-GB"/>
    </w:rPr>
  </w:style>
  <w:style w:type="paragraph" w:styleId="Revision">
    <w:name w:val="Revision"/>
    <w:hidden/>
    <w:uiPriority w:val="99"/>
    <w:semiHidden/>
    <w:rsid w:val="0057686D"/>
    <w:pPr>
      <w:spacing w:after="0" w:line="240" w:lineRule="auto"/>
    </w:pPr>
    <w:rPr>
      <w:rFonts w:ascii="Times New Roman" w:hAnsi="Times New Roman" w:cs="Times New Roman"/>
      <w:sz w:val="24"/>
      <w:lang w:val="en-GB"/>
    </w:rPr>
  </w:style>
  <w:style w:type="paragraph" w:styleId="ListParagraph">
    <w:name w:val="List Paragraph"/>
    <w:basedOn w:val="Normal"/>
    <w:uiPriority w:val="34"/>
    <w:qFormat/>
    <w:rsid w:val="006669CD"/>
    <w:pPr>
      <w:ind w:left="720"/>
      <w:contextualSpacing/>
    </w:pPr>
  </w:style>
  <w:style w:type="character" w:customStyle="1" w:styleId="UnresolvedMention">
    <w:name w:val="Unresolved Mention"/>
    <w:basedOn w:val="DefaultParagraphFont"/>
    <w:uiPriority w:val="99"/>
    <w:semiHidden/>
    <w:unhideWhenUsed/>
    <w:rsid w:val="009309E2"/>
    <w:rPr>
      <w:color w:val="605E5C"/>
      <w:shd w:val="clear" w:color="auto" w:fill="E1DFDD"/>
    </w:rPr>
  </w:style>
  <w:style w:type="paragraph" w:styleId="Header">
    <w:name w:val="header"/>
    <w:basedOn w:val="Normal"/>
    <w:link w:val="HeaderChar"/>
    <w:uiPriority w:val="99"/>
    <w:unhideWhenUsed/>
    <w:rsid w:val="00B115DD"/>
    <w:pPr>
      <w:tabs>
        <w:tab w:val="center" w:pos="4535"/>
        <w:tab w:val="right" w:pos="9071"/>
      </w:tabs>
      <w:spacing w:before="0"/>
    </w:pPr>
  </w:style>
  <w:style w:type="character" w:customStyle="1" w:styleId="HeaderChar">
    <w:name w:val="Header Char"/>
    <w:basedOn w:val="DefaultParagraphFont"/>
    <w:link w:val="Header"/>
    <w:uiPriority w:val="99"/>
    <w:rsid w:val="00B115DD"/>
    <w:rPr>
      <w:rFonts w:ascii="Times New Roman" w:hAnsi="Times New Roman" w:cs="Times New Roman"/>
      <w:sz w:val="24"/>
      <w:lang w:val="en-GB"/>
    </w:rPr>
  </w:style>
  <w:style w:type="paragraph" w:styleId="Footer">
    <w:name w:val="footer"/>
    <w:basedOn w:val="Normal"/>
    <w:link w:val="FooterChar"/>
    <w:uiPriority w:val="99"/>
    <w:unhideWhenUsed/>
    <w:rsid w:val="00B115D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B115DD"/>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B115DD"/>
    <w:pPr>
      <w:tabs>
        <w:tab w:val="center" w:pos="7285"/>
        <w:tab w:val="right" w:pos="14003"/>
      </w:tabs>
      <w:spacing w:before="0"/>
    </w:pPr>
  </w:style>
  <w:style w:type="paragraph" w:customStyle="1" w:styleId="FooterLandscape">
    <w:name w:val="FooterLandscape"/>
    <w:basedOn w:val="Normal"/>
    <w:rsid w:val="00B115DD"/>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B115DD"/>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B115DD"/>
    <w:pPr>
      <w:spacing w:before="0"/>
      <w:jc w:val="right"/>
    </w:pPr>
    <w:rPr>
      <w:sz w:val="28"/>
    </w:rPr>
  </w:style>
  <w:style w:type="paragraph" w:customStyle="1" w:styleId="FooterSensitivity">
    <w:name w:val="Footer Sensitivity"/>
    <w:basedOn w:val="Normal"/>
    <w:rsid w:val="00B115DD"/>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Tiret5">
    <w:name w:val="Tiret 5"/>
    <w:basedOn w:val="Point5"/>
    <w:pPr>
      <w:numPr>
        <w:numId w:val="3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3"/>
      </w:numPr>
    </w:pPr>
  </w:style>
  <w:style w:type="paragraph" w:customStyle="1" w:styleId="NumPar2">
    <w:name w:val="NumPar 2"/>
    <w:basedOn w:val="Normal"/>
    <w:next w:val="Text1"/>
    <w:pPr>
      <w:numPr>
        <w:ilvl w:val="1"/>
        <w:numId w:val="33"/>
      </w:numPr>
    </w:pPr>
  </w:style>
  <w:style w:type="paragraph" w:customStyle="1" w:styleId="NumPar3">
    <w:name w:val="NumPar 3"/>
    <w:basedOn w:val="Normal"/>
    <w:next w:val="Text1"/>
    <w:pPr>
      <w:numPr>
        <w:ilvl w:val="2"/>
        <w:numId w:val="33"/>
      </w:numPr>
    </w:pPr>
  </w:style>
  <w:style w:type="paragraph" w:customStyle="1" w:styleId="NumPar4">
    <w:name w:val="NumPar 4"/>
    <w:basedOn w:val="Normal"/>
    <w:next w:val="Text1"/>
    <w:pPr>
      <w:numPr>
        <w:ilvl w:val="3"/>
        <w:numId w:val="33"/>
      </w:numPr>
    </w:pPr>
  </w:style>
  <w:style w:type="paragraph" w:customStyle="1" w:styleId="NumPar5">
    <w:name w:val="NumPar 5"/>
    <w:basedOn w:val="Normal"/>
    <w:next w:val="Text2"/>
    <w:pPr>
      <w:numPr>
        <w:ilvl w:val="4"/>
        <w:numId w:val="33"/>
      </w:numPr>
    </w:pPr>
  </w:style>
  <w:style w:type="paragraph" w:customStyle="1" w:styleId="NumPar6">
    <w:name w:val="NumPar 6"/>
    <w:basedOn w:val="Normal"/>
    <w:next w:val="Text2"/>
    <w:pPr>
      <w:numPr>
        <w:ilvl w:val="5"/>
        <w:numId w:val="33"/>
      </w:numPr>
    </w:pPr>
  </w:style>
  <w:style w:type="paragraph" w:customStyle="1" w:styleId="NumPar7">
    <w:name w:val="NumPar 7"/>
    <w:basedOn w:val="Normal"/>
    <w:next w:val="Text2"/>
    <w:pPr>
      <w:numPr>
        <w:ilvl w:val="6"/>
        <w:numId w:val="3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83208E"/>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5"/>
      </w:numPr>
    </w:pPr>
  </w:style>
  <w:style w:type="paragraph" w:customStyle="1" w:styleId="Point1number">
    <w:name w:val="Point 1 (number)"/>
    <w:basedOn w:val="Normal"/>
    <w:pPr>
      <w:numPr>
        <w:ilvl w:val="2"/>
        <w:numId w:val="35"/>
      </w:numPr>
    </w:pPr>
  </w:style>
  <w:style w:type="paragraph" w:customStyle="1" w:styleId="Point2number">
    <w:name w:val="Point 2 (number)"/>
    <w:basedOn w:val="Normal"/>
    <w:pPr>
      <w:numPr>
        <w:ilvl w:val="4"/>
        <w:numId w:val="35"/>
      </w:numPr>
    </w:pPr>
  </w:style>
  <w:style w:type="paragraph" w:customStyle="1" w:styleId="Point3number">
    <w:name w:val="Point 3 (number)"/>
    <w:basedOn w:val="Normal"/>
    <w:pPr>
      <w:numPr>
        <w:ilvl w:val="6"/>
        <w:numId w:val="35"/>
      </w:numPr>
    </w:pPr>
  </w:style>
  <w:style w:type="paragraph" w:customStyle="1" w:styleId="Point0letter">
    <w:name w:val="Point 0 (letter)"/>
    <w:basedOn w:val="Normal"/>
    <w:pPr>
      <w:numPr>
        <w:ilvl w:val="1"/>
        <w:numId w:val="35"/>
      </w:numPr>
    </w:pPr>
  </w:style>
  <w:style w:type="paragraph" w:customStyle="1" w:styleId="Point1letter">
    <w:name w:val="Point 1 (letter)"/>
    <w:basedOn w:val="Normal"/>
    <w:pPr>
      <w:numPr>
        <w:ilvl w:val="3"/>
        <w:numId w:val="35"/>
      </w:numPr>
    </w:pPr>
  </w:style>
  <w:style w:type="paragraph" w:customStyle="1" w:styleId="Point2letter">
    <w:name w:val="Point 2 (letter)"/>
    <w:basedOn w:val="Normal"/>
    <w:pPr>
      <w:numPr>
        <w:ilvl w:val="5"/>
        <w:numId w:val="35"/>
      </w:numPr>
    </w:pPr>
  </w:style>
  <w:style w:type="paragraph" w:customStyle="1" w:styleId="Point3letter">
    <w:name w:val="Point 3 (letter)"/>
    <w:basedOn w:val="Normal"/>
    <w:pPr>
      <w:numPr>
        <w:ilvl w:val="7"/>
        <w:numId w:val="35"/>
      </w:numPr>
    </w:pPr>
  </w:style>
  <w:style w:type="paragraph" w:customStyle="1" w:styleId="Point4letter">
    <w:name w:val="Point 4 (letter)"/>
    <w:basedOn w:val="Normal"/>
    <w:pPr>
      <w:numPr>
        <w:ilvl w:val="8"/>
        <w:numId w:val="35"/>
      </w:numPr>
    </w:pPr>
  </w:style>
  <w:style w:type="paragraph" w:customStyle="1" w:styleId="Bullet0">
    <w:name w:val="Bullet 0"/>
    <w:basedOn w:val="Normal"/>
    <w:pPr>
      <w:numPr>
        <w:numId w:val="36"/>
      </w:numPr>
    </w:pPr>
  </w:style>
  <w:style w:type="paragraph" w:customStyle="1" w:styleId="Bullet1">
    <w:name w:val="Bullet 1"/>
    <w:basedOn w:val="Normal"/>
    <w:pPr>
      <w:numPr>
        <w:numId w:val="37"/>
      </w:numPr>
    </w:pPr>
  </w:style>
  <w:style w:type="paragraph" w:customStyle="1" w:styleId="Bullet2">
    <w:name w:val="Bullet 2"/>
    <w:basedOn w:val="Normal"/>
    <w:pPr>
      <w:numPr>
        <w:numId w:val="38"/>
      </w:numPr>
    </w:pPr>
  </w:style>
  <w:style w:type="paragraph" w:customStyle="1" w:styleId="Bullet3">
    <w:name w:val="Bullet 3"/>
    <w:basedOn w:val="Normal"/>
    <w:pPr>
      <w:numPr>
        <w:numId w:val="39"/>
      </w:numPr>
    </w:pPr>
  </w:style>
  <w:style w:type="paragraph" w:customStyle="1" w:styleId="Bullet4">
    <w:name w:val="Bullet 4"/>
    <w:basedOn w:val="Normal"/>
    <w:pPr>
      <w:numPr>
        <w:numId w:val="4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9655369">
      <w:bodyDiv w:val="1"/>
      <w:marLeft w:val="0"/>
      <w:marRight w:val="0"/>
      <w:marTop w:val="0"/>
      <w:marBottom w:val="0"/>
      <w:divBdr>
        <w:top w:val="none" w:sz="0" w:space="0" w:color="auto"/>
        <w:left w:val="none" w:sz="0" w:space="0" w:color="auto"/>
        <w:bottom w:val="none" w:sz="0" w:space="0" w:color="auto"/>
        <w:right w:val="none" w:sz="0" w:space="0" w:color="auto"/>
      </w:divBdr>
    </w:div>
    <w:div w:id="1632783417">
      <w:bodyDiv w:val="1"/>
      <w:marLeft w:val="0"/>
      <w:marRight w:val="0"/>
      <w:marTop w:val="0"/>
      <w:marBottom w:val="0"/>
      <w:divBdr>
        <w:top w:val="none" w:sz="0" w:space="0" w:color="auto"/>
        <w:left w:val="none" w:sz="0" w:space="0" w:color="auto"/>
        <w:bottom w:val="none" w:sz="0" w:space="0" w:color="auto"/>
        <w:right w:val="none" w:sz="0" w:space="0" w:color="auto"/>
      </w:divBdr>
    </w:div>
    <w:div w:id="1855724986">
      <w:bodyDiv w:val="1"/>
      <w:marLeft w:val="0"/>
      <w:marRight w:val="0"/>
      <w:marTop w:val="0"/>
      <w:marBottom w:val="0"/>
      <w:divBdr>
        <w:top w:val="none" w:sz="0" w:space="0" w:color="auto"/>
        <w:left w:val="none" w:sz="0" w:space="0" w:color="auto"/>
        <w:bottom w:val="none" w:sz="0" w:space="0" w:color="auto"/>
        <w:right w:val="none" w:sz="0" w:space="0" w:color="auto"/>
      </w:divBdr>
    </w:div>
    <w:div w:id="199525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8AC7B-EB13-46F8-868C-88217582F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4</TotalTime>
  <Pages>8</Pages>
  <Words>2210</Words>
  <Characters>12114</Characters>
  <Application>Microsoft Office Word</Application>
  <DocSecurity>0</DocSecurity>
  <Lines>224</Lines>
  <Paragraphs>116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38</cp:revision>
  <cp:lastPrinted>2023-07-13T13:04:00Z</cp:lastPrinted>
  <dcterms:created xsi:type="dcterms:W3CDTF">2023-07-27T13:22:00Z</dcterms:created>
  <dcterms:modified xsi:type="dcterms:W3CDTF">2023-08-03T10:21:00Z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7.0.8.0</vt:lpwstr>
  </property>
  <property fmtid="{D5CDD505-2E9C-101B-9397-08002B2CF9AE}" pid="4" name="Last edited using">
    <vt:lpwstr>LW 9.0, Build 20230317</vt:lpwstr>
  </property>
  <property fmtid="{D5CDD505-2E9C-101B-9397-08002B2CF9AE}" pid="5" name="Created using">
    <vt:lpwstr>LW 7.0, Build 20190717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SJ-043</vt:lpwstr>
  </property>
  <property fmtid="{D5CDD505-2E9C-101B-9397-08002B2CF9AE}" pid="10" name="MSIP_Label_6bd9ddd1-4d20-43f6-abfa-fc3c07406f94_Enabled">
    <vt:lpwstr>true</vt:lpwstr>
  </property>
  <property fmtid="{D5CDD505-2E9C-101B-9397-08002B2CF9AE}" pid="11" name="MSIP_Label_6bd9ddd1-4d20-43f6-abfa-fc3c07406f94_SetDate">
    <vt:lpwstr>2023-05-16T08:08:32Z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fad2531d-ab01-495e-8dd7-a413cbdd1865</vt:lpwstr>
  </property>
  <property fmtid="{D5CDD505-2E9C-101B-9397-08002B2CF9AE}" pid="16" name="MSIP_Label_6bd9ddd1-4d20-43f6-abfa-fc3c07406f94_ContentBits">
    <vt:lpwstr>0</vt:lpwstr>
  </property>
  <property fmtid="{D5CDD505-2E9C-101B-9397-08002B2CF9AE}" pid="17" name="DQCStatus">
    <vt:lpwstr>Green (DQC version 03)</vt:lpwstr>
  </property>
  <property name="OP_sanitized" fmtid="{D5CDD505-2E9C-101B-9397-08002B2CF9AE}" pid="18">
    <vt:lpwstr>True</vt:lpwstr>
  </property>
</Properties>
</file>