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99B77" w14:textId="39C274E9" w:rsidR="00467B39" w:rsidRPr="00327DC3" w:rsidRDefault="00584804" w:rsidP="00584804">
      <w:pPr>
        <w:pStyle w:val="Pagedecouverture"/>
        <w:rPr>
          <w:noProof/>
        </w:rPr>
      </w:pPr>
      <w:r>
        <w:rPr>
          <w:noProof/>
        </w:rPr>
        <w:pict w14:anchorId="6C577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C9DD5CD-2857-4EBA-8A43-EC32A652A0F3" style="width:455.25pt;height:383.25pt">
            <v:imagedata r:id="rId8" o:title=""/>
          </v:shape>
        </w:pict>
      </w:r>
    </w:p>
    <w:p w14:paraId="01199B78" w14:textId="77777777" w:rsidR="00467B39" w:rsidRPr="00327DC3" w:rsidRDefault="00467B39" w:rsidP="00467B39">
      <w:pPr>
        <w:rPr>
          <w:noProof/>
        </w:rPr>
        <w:sectPr w:rsidR="00467B39" w:rsidRPr="00327DC3" w:rsidSect="00584804">
          <w:footerReference w:type="default" r:id="rId9"/>
          <w:pgSz w:w="11907" w:h="16839"/>
          <w:pgMar w:top="1134" w:right="1417" w:bottom="1134" w:left="1417" w:header="709" w:footer="709" w:gutter="0"/>
          <w:pgNumType w:start="0"/>
          <w:cols w:space="720"/>
          <w:docGrid w:linePitch="360"/>
        </w:sectPr>
      </w:pPr>
    </w:p>
    <w:p w14:paraId="01199B79" w14:textId="77777777" w:rsidR="00467B39" w:rsidRPr="00327DC3" w:rsidRDefault="00467B39" w:rsidP="00BB6B30">
      <w:pPr>
        <w:pStyle w:val="Exposdesmotifstitre"/>
        <w:rPr>
          <w:noProof/>
        </w:rPr>
      </w:pPr>
      <w:bookmarkStart w:id="0" w:name="_GoBack"/>
      <w:bookmarkEnd w:id="0"/>
      <w:r w:rsidRPr="00327DC3">
        <w:rPr>
          <w:noProof/>
        </w:rPr>
        <w:lastRenderedPageBreak/>
        <w:t>EXPLANATORY MEMORANDUM</w:t>
      </w:r>
    </w:p>
    <w:p w14:paraId="01199B7A" w14:textId="7476FE30" w:rsidR="00467B39" w:rsidRPr="00327DC3" w:rsidRDefault="00AC5722" w:rsidP="00AC5722">
      <w:pPr>
        <w:pStyle w:val="ManualHeading1"/>
        <w:rPr>
          <w:noProof/>
        </w:rPr>
      </w:pPr>
      <w:r w:rsidRPr="00AC5722">
        <w:t>1.</w:t>
      </w:r>
      <w:r w:rsidRPr="00AC5722">
        <w:tab/>
      </w:r>
      <w:r w:rsidR="00467B39" w:rsidRPr="00327DC3">
        <w:rPr>
          <w:noProof/>
        </w:rPr>
        <w:t>Subject matter of the proposal</w:t>
      </w:r>
    </w:p>
    <w:p w14:paraId="01199B7B" w14:textId="0619221D" w:rsidR="00467B39" w:rsidRPr="00327DC3" w:rsidRDefault="00467B39" w:rsidP="00736AA9">
      <w:pPr>
        <w:rPr>
          <w:rFonts w:eastAsia="Arial Unicode MS"/>
          <w:noProof/>
        </w:rPr>
      </w:pPr>
      <w:r w:rsidRPr="00327DC3">
        <w:rPr>
          <w:rFonts w:eastAsia="Arial Unicode MS"/>
          <w:noProof/>
        </w:rPr>
        <w:t xml:space="preserve">This proposal concerns the decision establishing the position to be taken on the Union's behalf in the </w:t>
      </w:r>
      <w:r w:rsidRPr="005B024E">
        <w:rPr>
          <w:noProof/>
        </w:rPr>
        <w:t xml:space="preserve">North-East Atlantic Marine Environment Protection Commission </w:t>
      </w:r>
      <w:r w:rsidRPr="00327DC3">
        <w:rPr>
          <w:rFonts w:eastAsia="Arial Unicode MS"/>
          <w:noProof/>
        </w:rPr>
        <w:t>in connection with the envisaged adoption of</w:t>
      </w:r>
      <w:r w:rsidRPr="005B024E">
        <w:rPr>
          <w:noProof/>
        </w:rPr>
        <w:t xml:space="preserve"> </w:t>
      </w:r>
      <w:r w:rsidR="00520763">
        <w:rPr>
          <w:rFonts w:eastAsia="Arial Unicode MS"/>
          <w:noProof/>
        </w:rPr>
        <w:t>a</w:t>
      </w:r>
      <w:r w:rsidR="00680BD2">
        <w:rPr>
          <w:rFonts w:eastAsia="Arial Unicode MS"/>
          <w:noProof/>
        </w:rPr>
        <w:t xml:space="preserve"> </w:t>
      </w:r>
      <w:r w:rsidRPr="00327DC3">
        <w:rPr>
          <w:rFonts w:eastAsia="Arial Unicode MS"/>
          <w:noProof/>
        </w:rPr>
        <w:t xml:space="preserve">Decision </w:t>
      </w:r>
      <w:r w:rsidR="00520763">
        <w:rPr>
          <w:rFonts w:eastAsia="Arial Unicode MS"/>
          <w:noProof/>
        </w:rPr>
        <w:t xml:space="preserve">amending </w:t>
      </w:r>
      <w:r w:rsidR="00520763" w:rsidRPr="00520763">
        <w:rPr>
          <w:rFonts w:eastAsia="Arial Unicode MS"/>
          <w:noProof/>
        </w:rPr>
        <w:t>Decision 2021/01 on the establishment of the North Atlantic Current and Evlanov Sea basin Marine Protected Area</w:t>
      </w:r>
      <w:r w:rsidR="00050C06">
        <w:rPr>
          <w:rFonts w:eastAsia="Arial Unicode MS"/>
          <w:noProof/>
        </w:rPr>
        <w:t xml:space="preserve"> (NACES MPA)</w:t>
      </w:r>
      <w:r w:rsidR="00520763">
        <w:rPr>
          <w:rFonts w:eastAsia="Arial Unicode MS"/>
          <w:noProof/>
        </w:rPr>
        <w:t xml:space="preserve"> to extend its conservation scope </w:t>
      </w:r>
      <w:r w:rsidRPr="00327DC3">
        <w:rPr>
          <w:rFonts w:eastAsia="Arial Unicode MS"/>
          <w:noProof/>
        </w:rPr>
        <w:t xml:space="preserve">and </w:t>
      </w:r>
      <w:r w:rsidR="00520763">
        <w:rPr>
          <w:rFonts w:eastAsia="Arial Unicode MS"/>
          <w:noProof/>
        </w:rPr>
        <w:t>a</w:t>
      </w:r>
      <w:r w:rsidRPr="00327DC3">
        <w:rPr>
          <w:rFonts w:eastAsia="Arial Unicode MS"/>
          <w:noProof/>
        </w:rPr>
        <w:t xml:space="preserve"> Recommendation </w:t>
      </w:r>
      <w:r w:rsidR="00520763">
        <w:rPr>
          <w:rFonts w:eastAsia="Arial Unicode MS"/>
          <w:noProof/>
        </w:rPr>
        <w:t xml:space="preserve">amending </w:t>
      </w:r>
      <w:r w:rsidR="00520763" w:rsidRPr="00520763">
        <w:rPr>
          <w:rFonts w:eastAsia="Arial Unicode MS"/>
          <w:noProof/>
        </w:rPr>
        <w:t>Recommendation 2021/01</w:t>
      </w:r>
      <w:r w:rsidR="00520763">
        <w:rPr>
          <w:rFonts w:eastAsia="Arial Unicode MS"/>
          <w:noProof/>
        </w:rPr>
        <w:t xml:space="preserve"> </w:t>
      </w:r>
      <w:r w:rsidRPr="00327DC3">
        <w:rPr>
          <w:rFonts w:eastAsia="Arial Unicode MS"/>
          <w:noProof/>
        </w:rPr>
        <w:t xml:space="preserve">on the management </w:t>
      </w:r>
      <w:r w:rsidR="003C055A">
        <w:rPr>
          <w:rFonts w:eastAsia="Arial Unicode MS"/>
          <w:noProof/>
        </w:rPr>
        <w:t xml:space="preserve">of the NACES MPA </w:t>
      </w:r>
      <w:r w:rsidR="009D2555">
        <w:rPr>
          <w:rFonts w:eastAsia="Arial Unicode MS"/>
          <w:noProof/>
        </w:rPr>
        <w:t>under</w:t>
      </w:r>
      <w:r w:rsidR="009D2555" w:rsidRPr="00327DC3">
        <w:rPr>
          <w:rFonts w:eastAsia="Arial Unicode MS"/>
          <w:noProof/>
        </w:rPr>
        <w:t xml:space="preserve"> </w:t>
      </w:r>
      <w:r w:rsidRPr="00327DC3">
        <w:rPr>
          <w:rFonts w:eastAsia="Arial Unicode MS"/>
          <w:noProof/>
        </w:rPr>
        <w:t>the Convention for the protection of the marine environment of the North-East Atlantic (the ‘OSPAR Convention’)</w:t>
      </w:r>
      <w:r w:rsidRPr="005B024E">
        <w:rPr>
          <w:noProof/>
        </w:rPr>
        <w:t>.</w:t>
      </w:r>
    </w:p>
    <w:p w14:paraId="01199B7C" w14:textId="5F0240A6" w:rsidR="00467B39" w:rsidRPr="00327DC3" w:rsidRDefault="00AC5722" w:rsidP="00AC5722">
      <w:pPr>
        <w:pStyle w:val="ManualHeading1"/>
        <w:rPr>
          <w:noProof/>
        </w:rPr>
      </w:pPr>
      <w:r w:rsidRPr="00AC5722">
        <w:t>2.</w:t>
      </w:r>
      <w:r w:rsidRPr="00AC5722">
        <w:tab/>
      </w:r>
      <w:r w:rsidR="00467B39" w:rsidRPr="00327DC3">
        <w:rPr>
          <w:noProof/>
        </w:rPr>
        <w:t>Context of the proposal</w:t>
      </w:r>
    </w:p>
    <w:p w14:paraId="01199B7D" w14:textId="403F7F45" w:rsidR="00467B39" w:rsidRPr="00327DC3" w:rsidRDefault="00AC5722" w:rsidP="00AC5722">
      <w:pPr>
        <w:pStyle w:val="ManualHeading2"/>
        <w:rPr>
          <w:noProof/>
        </w:rPr>
      </w:pPr>
      <w:r w:rsidRPr="00AC5722">
        <w:t>2.1.</w:t>
      </w:r>
      <w:r w:rsidRPr="00AC5722">
        <w:tab/>
      </w:r>
      <w:r w:rsidR="00467B39" w:rsidRPr="00327DC3">
        <w:rPr>
          <w:noProof/>
        </w:rPr>
        <w:t xml:space="preserve">The </w:t>
      </w:r>
      <w:r w:rsidR="00467B39" w:rsidRPr="005B024E">
        <w:rPr>
          <w:noProof/>
        </w:rPr>
        <w:t>OSPAR Convention</w:t>
      </w:r>
    </w:p>
    <w:p w14:paraId="01199B7E" w14:textId="30DBB43E" w:rsidR="00467B39" w:rsidRPr="00327DC3" w:rsidRDefault="00467B39" w:rsidP="00467B39">
      <w:pPr>
        <w:rPr>
          <w:rFonts w:eastAsia="Arial Unicode MS"/>
          <w:noProof/>
        </w:rPr>
      </w:pPr>
      <w:r w:rsidRPr="00327DC3">
        <w:rPr>
          <w:rFonts w:eastAsia="Arial Unicode MS"/>
          <w:noProof/>
        </w:rPr>
        <w:t xml:space="preserve">The </w:t>
      </w:r>
      <w:r w:rsidRPr="00327DC3">
        <w:rPr>
          <w:noProof/>
        </w:rPr>
        <w:t xml:space="preserve">OSPAR Convention </w:t>
      </w:r>
      <w:r w:rsidRPr="00327DC3">
        <w:rPr>
          <w:rFonts w:eastAsia="Arial Unicode MS"/>
          <w:noProof/>
        </w:rPr>
        <w:t xml:space="preserve">aims to protect the North-East Atlantic maritime area against the adverse effects of human activities </w:t>
      </w:r>
      <w:r w:rsidR="007108D8" w:rsidRPr="00327DC3">
        <w:rPr>
          <w:rFonts w:eastAsia="Arial Unicode MS"/>
          <w:noProof/>
        </w:rPr>
        <w:t>to</w:t>
      </w:r>
      <w:r w:rsidRPr="00327DC3">
        <w:rPr>
          <w:rFonts w:eastAsia="Arial Unicode MS"/>
          <w:noProof/>
        </w:rPr>
        <w:t xml:space="preserve"> safeguard human health and to conserve marine ecosystems and, when practicable, restore marine areas, which have been adversely affected. It has 16 Contracting Parties: Belgium, Denmark, the EU</w:t>
      </w:r>
      <w:r w:rsidRPr="00327DC3">
        <w:rPr>
          <w:rStyle w:val="FootnoteReference"/>
          <w:rFonts w:eastAsia="Arial Unicode MS"/>
          <w:noProof/>
        </w:rPr>
        <w:footnoteReference w:id="1"/>
      </w:r>
      <w:r w:rsidRPr="00327DC3">
        <w:rPr>
          <w:rFonts w:eastAsia="Arial Unicode MS"/>
          <w:noProof/>
        </w:rPr>
        <w:t xml:space="preserve">, Finland, France, Germany, Iceland, Ireland, the Netherlands, Norway, Portugal, Spain, Sweden, United Kingdom, Luxembourg and Switzerland. The Convention </w:t>
      </w:r>
      <w:r w:rsidRPr="00327DC3">
        <w:rPr>
          <w:noProof/>
        </w:rPr>
        <w:t xml:space="preserve">was open for signature at the Ministerial Meeting of the Oslo and Paris Commissions in Paris on 22 September 1992 and </w:t>
      </w:r>
      <w:r w:rsidRPr="00327DC3">
        <w:rPr>
          <w:rFonts w:eastAsia="Arial Unicode MS"/>
          <w:noProof/>
        </w:rPr>
        <w:t>entered into force on 25 March 1998.</w:t>
      </w:r>
    </w:p>
    <w:p w14:paraId="01199B7F" w14:textId="0DB6FE1E" w:rsidR="00467B39" w:rsidRPr="005B024E" w:rsidRDefault="00AC5722" w:rsidP="00AC5722">
      <w:pPr>
        <w:pStyle w:val="ManualHeading2"/>
        <w:rPr>
          <w:noProof/>
        </w:rPr>
      </w:pPr>
      <w:r w:rsidRPr="00AC5722">
        <w:t>2.2.</w:t>
      </w:r>
      <w:r w:rsidRPr="00AC5722">
        <w:tab/>
      </w:r>
      <w:r w:rsidR="00467B39" w:rsidRPr="00327DC3">
        <w:rPr>
          <w:noProof/>
        </w:rPr>
        <w:t xml:space="preserve">The </w:t>
      </w:r>
      <w:r w:rsidR="00467B39" w:rsidRPr="005B024E">
        <w:rPr>
          <w:noProof/>
        </w:rPr>
        <w:t>OSPAR Commission</w:t>
      </w:r>
    </w:p>
    <w:p w14:paraId="01199B80" w14:textId="5B691456" w:rsidR="00467B39" w:rsidRPr="00327DC3" w:rsidRDefault="00050C06" w:rsidP="00467B39">
      <w:pPr>
        <w:rPr>
          <w:noProof/>
        </w:rPr>
      </w:pPr>
      <w:r>
        <w:rPr>
          <w:noProof/>
        </w:rPr>
        <w:t xml:space="preserve">The OSPAR Commission, </w:t>
      </w:r>
      <w:r w:rsidR="00467B39" w:rsidRPr="00327DC3">
        <w:rPr>
          <w:noProof/>
        </w:rPr>
        <w:t xml:space="preserve">established according </w:t>
      </w:r>
      <w:r>
        <w:rPr>
          <w:noProof/>
        </w:rPr>
        <w:t>to Article 10 of the Convention,</w:t>
      </w:r>
      <w:r w:rsidR="00467B39" w:rsidRPr="00327DC3">
        <w:rPr>
          <w:noProof/>
        </w:rPr>
        <w:t xml:space="preserve"> is made up of representatives of each of the Contracting Parties; it meets at regular intervals and at any time, due to special circumstances. Its duties include supervising the implementation of the Convention and reviewing the condition of the maritime area, the effectiveness of the measures being adopted, the priorities and the need for any additional or different measures.</w:t>
      </w:r>
    </w:p>
    <w:p w14:paraId="01199B81" w14:textId="1E7201A5" w:rsidR="00467B39" w:rsidRPr="00327DC3" w:rsidRDefault="00467B39" w:rsidP="00467B39">
      <w:pPr>
        <w:rPr>
          <w:noProof/>
        </w:rPr>
      </w:pPr>
      <w:r w:rsidRPr="00327DC3">
        <w:rPr>
          <w:noProof/>
        </w:rPr>
        <w:t xml:space="preserve">According to Article 20 of the Convention, each Contracting Party has one vote in the Commission. The EU is entitled to </w:t>
      </w:r>
      <w:r w:rsidR="007108D8">
        <w:rPr>
          <w:noProof/>
        </w:rPr>
        <w:t xml:space="preserve">a number of </w:t>
      </w:r>
      <w:r w:rsidRPr="00327DC3">
        <w:rPr>
          <w:noProof/>
        </w:rPr>
        <w:t xml:space="preserve">votes equal to the number of its Member States, which are Contracting Parties to the Convention. The EU shall not exercise its right to vote when its Member States exercise theirs and conversely. </w:t>
      </w:r>
    </w:p>
    <w:p w14:paraId="01199B82" w14:textId="77777777" w:rsidR="00467B39" w:rsidRPr="00327DC3" w:rsidRDefault="00467B39" w:rsidP="00467B39">
      <w:pPr>
        <w:rPr>
          <w:noProof/>
        </w:rPr>
      </w:pPr>
      <w:r w:rsidRPr="00327DC3">
        <w:rPr>
          <w:noProof/>
        </w:rPr>
        <w:t>According to Article 15(3) of the Convention, the Commission shall adopt amendments of the Convention by unanimous vote of the Contracting Parties.</w:t>
      </w:r>
    </w:p>
    <w:p w14:paraId="01199B83" w14:textId="4D9950A1" w:rsidR="00467B39" w:rsidRPr="005B024E" w:rsidRDefault="00AC5722" w:rsidP="00AC5722">
      <w:pPr>
        <w:pStyle w:val="ManualHeading2"/>
        <w:rPr>
          <w:noProof/>
        </w:rPr>
      </w:pPr>
      <w:r w:rsidRPr="00AC5722">
        <w:t>2.3.</w:t>
      </w:r>
      <w:r w:rsidRPr="00AC5722">
        <w:tab/>
      </w:r>
      <w:r w:rsidR="00467B39" w:rsidRPr="00327DC3">
        <w:rPr>
          <w:noProof/>
        </w:rPr>
        <w:t>The envisaged act</w:t>
      </w:r>
      <w:r w:rsidR="00D37A39">
        <w:rPr>
          <w:noProof/>
        </w:rPr>
        <w:t>s</w:t>
      </w:r>
      <w:r w:rsidR="00467B39" w:rsidRPr="00327DC3">
        <w:rPr>
          <w:noProof/>
        </w:rPr>
        <w:t xml:space="preserve"> of the</w:t>
      </w:r>
      <w:r w:rsidR="00467B39" w:rsidRPr="005B024E">
        <w:rPr>
          <w:noProof/>
        </w:rPr>
        <w:t xml:space="preserve"> OSPAR Commission</w:t>
      </w:r>
    </w:p>
    <w:p w14:paraId="01199B84" w14:textId="013974C4" w:rsidR="00AF7B28" w:rsidRDefault="00AF7B28" w:rsidP="00AF7B28">
      <w:pPr>
        <w:rPr>
          <w:rFonts w:eastAsia="Arial Unicode MS"/>
          <w:noProof/>
        </w:rPr>
      </w:pPr>
      <w:r w:rsidRPr="00327DC3">
        <w:rPr>
          <w:rFonts w:eastAsia="Arial Unicode MS"/>
          <w:noProof/>
        </w:rPr>
        <w:t xml:space="preserve">On </w:t>
      </w:r>
      <w:r w:rsidR="00770BE9">
        <w:rPr>
          <w:noProof/>
        </w:rPr>
        <w:t>1</w:t>
      </w:r>
      <w:r w:rsidRPr="00327DC3">
        <w:rPr>
          <w:noProof/>
        </w:rPr>
        <w:t xml:space="preserve"> October 2021 </w:t>
      </w:r>
      <w:r w:rsidRPr="00327DC3">
        <w:rPr>
          <w:rFonts w:eastAsia="Arial Unicode MS"/>
          <w:noProof/>
        </w:rPr>
        <w:t xml:space="preserve">during the ministerial segment of its </w:t>
      </w:r>
      <w:r w:rsidR="00170B47">
        <w:rPr>
          <w:rFonts w:eastAsia="Arial Unicode MS"/>
          <w:noProof/>
        </w:rPr>
        <w:t>24</w:t>
      </w:r>
      <w:r w:rsidR="00170B47" w:rsidRPr="000F3C1A">
        <w:rPr>
          <w:rFonts w:eastAsia="Arial Unicode MS"/>
          <w:noProof/>
          <w:vertAlign w:val="superscript"/>
        </w:rPr>
        <w:t>th</w:t>
      </w:r>
      <w:r w:rsidR="00170B47">
        <w:rPr>
          <w:rFonts w:eastAsia="Arial Unicode MS"/>
          <w:noProof/>
        </w:rPr>
        <w:t xml:space="preserve"> </w:t>
      </w:r>
      <w:r w:rsidRPr="00327DC3">
        <w:rPr>
          <w:rFonts w:eastAsia="Arial Unicode MS"/>
          <w:noProof/>
        </w:rPr>
        <w:t>annual meeting, the</w:t>
      </w:r>
      <w:r w:rsidRPr="00327DC3">
        <w:rPr>
          <w:noProof/>
        </w:rPr>
        <w:t xml:space="preserve"> OSPAR Commission</w:t>
      </w:r>
      <w:r w:rsidRPr="00AF7B28">
        <w:rPr>
          <w:rFonts w:eastAsia="Arial Unicode MS"/>
          <w:noProof/>
        </w:rPr>
        <w:t xml:space="preserve"> </w:t>
      </w:r>
      <w:r>
        <w:rPr>
          <w:rFonts w:eastAsia="Arial Unicode MS"/>
          <w:noProof/>
        </w:rPr>
        <w:t xml:space="preserve">adopted </w:t>
      </w:r>
      <w:r w:rsidRPr="00AF7B28">
        <w:rPr>
          <w:rFonts w:eastAsia="Arial Unicode MS"/>
          <w:noProof/>
        </w:rPr>
        <w:t xml:space="preserve">the OSPAR </w:t>
      </w:r>
      <w:r w:rsidRPr="00046D2C">
        <w:rPr>
          <w:rFonts w:eastAsia="Arial Unicode MS"/>
          <w:noProof/>
        </w:rPr>
        <w:t xml:space="preserve">Decision 2021/01 on the establishment of the North Atlantic Current and Evlanov Sea basin Marine Protected Area </w:t>
      </w:r>
      <w:r w:rsidR="00770BE9">
        <w:rPr>
          <w:rFonts w:eastAsia="Arial Unicode MS"/>
          <w:noProof/>
        </w:rPr>
        <w:t xml:space="preserve">(MPA) </w:t>
      </w:r>
      <w:r w:rsidRPr="00046D2C">
        <w:rPr>
          <w:rFonts w:eastAsia="Arial Unicode MS"/>
          <w:noProof/>
        </w:rPr>
        <w:t>and the Recommendation 2021/01 on its management. At the same time</w:t>
      </w:r>
      <w:r w:rsidRPr="00AF7B28">
        <w:rPr>
          <w:rFonts w:eastAsia="Arial Unicode MS"/>
          <w:noProof/>
        </w:rPr>
        <w:t>, it was also decided that the conservation scope of the MPA would need to be reviewed</w:t>
      </w:r>
      <w:r w:rsidR="00770BE9">
        <w:rPr>
          <w:rFonts w:eastAsia="Arial Unicode MS"/>
          <w:noProof/>
        </w:rPr>
        <w:t xml:space="preserve"> in the future</w:t>
      </w:r>
      <w:r w:rsidRPr="00AF7B28">
        <w:rPr>
          <w:rFonts w:eastAsia="Arial Unicode MS"/>
          <w:noProof/>
        </w:rPr>
        <w:t>, with a view to expanding it</w:t>
      </w:r>
      <w:r w:rsidR="00102508">
        <w:rPr>
          <w:rFonts w:eastAsia="Arial Unicode MS"/>
          <w:noProof/>
        </w:rPr>
        <w:t xml:space="preserve">. On the basis of </w:t>
      </w:r>
      <w:r w:rsidRPr="00AF7B28">
        <w:rPr>
          <w:rFonts w:eastAsia="Arial Unicode MS"/>
          <w:noProof/>
        </w:rPr>
        <w:t xml:space="preserve">the review process launched in </w:t>
      </w:r>
      <w:r w:rsidR="00050C06">
        <w:rPr>
          <w:rFonts w:eastAsia="Arial Unicode MS"/>
          <w:noProof/>
        </w:rPr>
        <w:t xml:space="preserve">OSPAR in </w:t>
      </w:r>
      <w:r w:rsidRPr="00AF7B28">
        <w:rPr>
          <w:rFonts w:eastAsia="Arial Unicode MS"/>
          <w:noProof/>
        </w:rPr>
        <w:t xml:space="preserve">2022, it is </w:t>
      </w:r>
      <w:r w:rsidR="00770BE9">
        <w:rPr>
          <w:rFonts w:eastAsia="Arial Unicode MS"/>
          <w:noProof/>
        </w:rPr>
        <w:t xml:space="preserve">now </w:t>
      </w:r>
      <w:r w:rsidRPr="00AF7B28">
        <w:rPr>
          <w:rFonts w:eastAsia="Arial Unicode MS"/>
          <w:noProof/>
        </w:rPr>
        <w:t xml:space="preserve">proposed to expand the conservation scope of the MPA in order to enhance </w:t>
      </w:r>
      <w:r w:rsidR="00E4676E">
        <w:rPr>
          <w:rFonts w:eastAsia="Arial Unicode MS"/>
          <w:noProof/>
        </w:rPr>
        <w:t xml:space="preserve">its </w:t>
      </w:r>
      <w:r w:rsidRPr="00AF7B28">
        <w:rPr>
          <w:rFonts w:eastAsia="Arial Unicode MS"/>
          <w:noProof/>
        </w:rPr>
        <w:t>protection by including additional species and habitats as well as the seabed, ocean floor and subsoil thereof.</w:t>
      </w:r>
    </w:p>
    <w:p w14:paraId="01199B85" w14:textId="28B64B05" w:rsidR="00467B39" w:rsidRDefault="00520763" w:rsidP="00467B39">
      <w:pPr>
        <w:rPr>
          <w:rFonts w:eastAsia="Arial Unicode MS"/>
          <w:noProof/>
        </w:rPr>
      </w:pPr>
      <w:r>
        <w:rPr>
          <w:rFonts w:eastAsia="Arial Unicode MS"/>
          <w:noProof/>
        </w:rPr>
        <w:lastRenderedPageBreak/>
        <w:t>A Decision amending Decision 2021/01</w:t>
      </w:r>
      <w:r w:rsidR="009D2555">
        <w:rPr>
          <w:rFonts w:eastAsia="Arial Unicode MS"/>
          <w:noProof/>
        </w:rPr>
        <w:t xml:space="preserve"> (the ‘envisaged Decision’)</w:t>
      </w:r>
      <w:r>
        <w:rPr>
          <w:rFonts w:eastAsia="Arial Unicode MS"/>
          <w:noProof/>
        </w:rPr>
        <w:t xml:space="preserve"> and a Recommendation amending Recommendation 2021/01</w:t>
      </w:r>
      <w:r w:rsidR="009D2555">
        <w:rPr>
          <w:rFonts w:eastAsia="Arial Unicode MS"/>
          <w:noProof/>
        </w:rPr>
        <w:t xml:space="preserve"> (the ‘envisaged Recommendation’)</w:t>
      </w:r>
      <w:r w:rsidR="00AF7B28" w:rsidRPr="00AF7B28">
        <w:rPr>
          <w:rFonts w:eastAsia="Arial Unicode MS"/>
          <w:noProof/>
        </w:rPr>
        <w:t xml:space="preserve"> </w:t>
      </w:r>
      <w:r>
        <w:rPr>
          <w:rFonts w:eastAsia="Arial Unicode MS"/>
          <w:noProof/>
        </w:rPr>
        <w:t>are</w:t>
      </w:r>
      <w:r w:rsidR="00F9442F">
        <w:rPr>
          <w:rFonts w:eastAsia="Arial Unicode MS"/>
          <w:noProof/>
        </w:rPr>
        <w:t xml:space="preserve"> being finalised </w:t>
      </w:r>
      <w:r w:rsidR="00AF7B28">
        <w:rPr>
          <w:rFonts w:eastAsia="Arial Unicode MS"/>
          <w:noProof/>
        </w:rPr>
        <w:t xml:space="preserve">in OSPAR </w:t>
      </w:r>
      <w:r w:rsidR="00467B39" w:rsidRPr="00327DC3">
        <w:rPr>
          <w:rFonts w:eastAsia="Arial Unicode MS"/>
          <w:noProof/>
        </w:rPr>
        <w:t>(</w:t>
      </w:r>
      <w:r w:rsidR="009D2555">
        <w:rPr>
          <w:rFonts w:eastAsia="Arial Unicode MS"/>
          <w:noProof/>
        </w:rPr>
        <w:t xml:space="preserve">together referred to as the </w:t>
      </w:r>
      <w:r w:rsidR="00467B39" w:rsidRPr="00327DC3">
        <w:rPr>
          <w:rFonts w:eastAsia="Arial Unicode MS"/>
          <w:noProof/>
        </w:rPr>
        <w:t>‘envisaged acts’).</w:t>
      </w:r>
    </w:p>
    <w:p w14:paraId="01199B86" w14:textId="7D175C3C" w:rsidR="00F86B3E" w:rsidRPr="00881CD9" w:rsidRDefault="00F86B3E" w:rsidP="00F86B3E">
      <w:pPr>
        <w:rPr>
          <w:rFonts w:eastAsia="Arial Unicode MS"/>
          <w:noProof/>
        </w:rPr>
      </w:pPr>
      <w:r>
        <w:rPr>
          <w:rFonts w:eastAsia="Arial Unicode MS"/>
          <w:noProof/>
        </w:rPr>
        <w:t xml:space="preserve">The only substantial amendment in the envisaged acts, is the expansion of the </w:t>
      </w:r>
      <w:r w:rsidR="00EC3B50">
        <w:rPr>
          <w:rFonts w:eastAsia="Arial Unicode MS"/>
          <w:noProof/>
        </w:rPr>
        <w:t xml:space="preserve">MPA </w:t>
      </w:r>
      <w:r>
        <w:rPr>
          <w:rFonts w:eastAsia="Arial Unicode MS"/>
          <w:noProof/>
        </w:rPr>
        <w:t>c</w:t>
      </w:r>
      <w:r w:rsidRPr="00F86B3E">
        <w:rPr>
          <w:rFonts w:eastAsia="Arial Unicode MS"/>
          <w:noProof/>
        </w:rPr>
        <w:t xml:space="preserve">onservation </w:t>
      </w:r>
      <w:r w:rsidR="00E4676E">
        <w:rPr>
          <w:rFonts w:eastAsia="Arial Unicode MS"/>
          <w:noProof/>
        </w:rPr>
        <w:t xml:space="preserve">scope </w:t>
      </w:r>
      <w:r w:rsidRPr="00F86B3E">
        <w:rPr>
          <w:rFonts w:eastAsia="Arial Unicode MS"/>
          <w:noProof/>
        </w:rPr>
        <w:t xml:space="preserve">and objectives </w:t>
      </w:r>
      <w:r>
        <w:rPr>
          <w:rFonts w:eastAsia="Arial Unicode MS"/>
          <w:noProof/>
        </w:rPr>
        <w:t>beyond the protection of s</w:t>
      </w:r>
      <w:r w:rsidR="00050C06">
        <w:rPr>
          <w:rFonts w:eastAsia="Arial Unicode MS"/>
          <w:noProof/>
        </w:rPr>
        <w:t>eabirds</w:t>
      </w:r>
      <w:r w:rsidRPr="00F86B3E">
        <w:rPr>
          <w:rFonts w:eastAsia="Arial Unicode MS"/>
          <w:noProof/>
        </w:rPr>
        <w:t xml:space="preserve"> and the ecosystems of the waters superjacent to the seabed</w:t>
      </w:r>
      <w:r>
        <w:rPr>
          <w:rFonts w:eastAsia="Arial Unicode MS"/>
          <w:noProof/>
        </w:rPr>
        <w:t xml:space="preserve"> (</w:t>
      </w:r>
      <w:r w:rsidR="00050C06">
        <w:rPr>
          <w:rFonts w:eastAsia="Arial Unicode MS"/>
          <w:noProof/>
        </w:rPr>
        <w:t xml:space="preserve">already </w:t>
      </w:r>
      <w:r>
        <w:rPr>
          <w:rFonts w:eastAsia="Arial Unicode MS"/>
          <w:noProof/>
        </w:rPr>
        <w:t>covered by the existing OSPAR Decision and Recommendation)</w:t>
      </w:r>
      <w:r w:rsidR="00770BE9">
        <w:rPr>
          <w:rFonts w:eastAsia="Arial Unicode MS"/>
          <w:noProof/>
        </w:rPr>
        <w:t xml:space="preserve">. This expansion aims </w:t>
      </w:r>
      <w:r w:rsidRPr="00881CD9">
        <w:rPr>
          <w:rFonts w:eastAsia="Arial Unicode MS"/>
          <w:noProof/>
        </w:rPr>
        <w:t xml:space="preserve">to </w:t>
      </w:r>
      <w:bookmarkStart w:id="1" w:name="_Hlk125965641"/>
      <w:r w:rsidRPr="00881CD9">
        <w:rPr>
          <w:rFonts w:eastAsia="Arial Unicode MS"/>
          <w:noProof/>
        </w:rPr>
        <w:t xml:space="preserve">maintain and, where appropriate, restore </w:t>
      </w:r>
      <w:r w:rsidR="00881CD9">
        <w:rPr>
          <w:rFonts w:eastAsia="Arial Unicode MS"/>
          <w:noProof/>
        </w:rPr>
        <w:t xml:space="preserve">not only </w:t>
      </w:r>
      <w:r w:rsidRPr="00881CD9">
        <w:rPr>
          <w:rFonts w:eastAsia="Arial Unicode MS"/>
          <w:noProof/>
        </w:rPr>
        <w:t xml:space="preserve">seabird populations, </w:t>
      </w:r>
      <w:r w:rsidR="00881CD9">
        <w:rPr>
          <w:rFonts w:eastAsia="Arial Unicode MS"/>
          <w:noProof/>
        </w:rPr>
        <w:t xml:space="preserve">but, more broadly, </w:t>
      </w:r>
      <w:r w:rsidR="00E4676E">
        <w:rPr>
          <w:rFonts w:eastAsia="Arial Unicode MS"/>
          <w:noProof/>
        </w:rPr>
        <w:t xml:space="preserve">also </w:t>
      </w:r>
      <w:r w:rsidRPr="00881CD9">
        <w:rPr>
          <w:rFonts w:eastAsia="Arial Unicode MS"/>
          <w:noProof/>
        </w:rPr>
        <w:t>marine biodiversity and the integrity of the various ecosystems a</w:t>
      </w:r>
      <w:r w:rsidR="00EC3B50">
        <w:rPr>
          <w:rFonts w:eastAsia="Arial Unicode MS"/>
          <w:noProof/>
        </w:rPr>
        <w:t>s well as</w:t>
      </w:r>
      <w:r w:rsidRPr="00881CD9">
        <w:rPr>
          <w:rFonts w:eastAsia="Arial Unicode MS"/>
          <w:noProof/>
        </w:rPr>
        <w:t xml:space="preserve"> their functions and processes within the MPA.</w:t>
      </w:r>
      <w:bookmarkEnd w:id="1"/>
    </w:p>
    <w:p w14:paraId="01199B87" w14:textId="44AFCBA3" w:rsidR="00467B39" w:rsidRPr="00327DC3" w:rsidRDefault="00467B39" w:rsidP="00467B39">
      <w:pPr>
        <w:rPr>
          <w:noProof/>
          <w:lang w:val="en-IE"/>
        </w:rPr>
      </w:pPr>
      <w:r w:rsidRPr="00327DC3">
        <w:rPr>
          <w:rFonts w:eastAsia="Arial Unicode MS"/>
          <w:noProof/>
        </w:rPr>
        <w:t xml:space="preserve">The Decision </w:t>
      </w:r>
      <w:r w:rsidR="00520763">
        <w:rPr>
          <w:noProof/>
        </w:rPr>
        <w:t xml:space="preserve">extends the conservation scope of </w:t>
      </w:r>
      <w:r w:rsidR="00EC3B50">
        <w:rPr>
          <w:noProof/>
        </w:rPr>
        <w:t xml:space="preserve">the </w:t>
      </w:r>
      <w:r w:rsidR="00520763">
        <w:rPr>
          <w:noProof/>
        </w:rPr>
        <w:t xml:space="preserve">existing </w:t>
      </w:r>
      <w:r w:rsidR="00D37A39">
        <w:rPr>
          <w:noProof/>
        </w:rPr>
        <w:t xml:space="preserve">NACES </w:t>
      </w:r>
      <w:r w:rsidRPr="00327DC3">
        <w:rPr>
          <w:noProof/>
        </w:rPr>
        <w:t xml:space="preserve">MPA </w:t>
      </w:r>
      <w:r w:rsidR="00356508">
        <w:rPr>
          <w:noProof/>
        </w:rPr>
        <w:t xml:space="preserve">and </w:t>
      </w:r>
      <w:r w:rsidRPr="00327DC3">
        <w:rPr>
          <w:noProof/>
        </w:rPr>
        <w:t>indicat</w:t>
      </w:r>
      <w:r w:rsidR="00356508">
        <w:rPr>
          <w:noProof/>
        </w:rPr>
        <w:t>es</w:t>
      </w:r>
      <w:r w:rsidRPr="00327DC3">
        <w:rPr>
          <w:noProof/>
        </w:rPr>
        <w:t xml:space="preserve"> the geographical coordinates (latitude/lo</w:t>
      </w:r>
      <w:r w:rsidR="00EC3B50">
        <w:rPr>
          <w:noProof/>
        </w:rPr>
        <w:t xml:space="preserve">ngitude) of its boundaries. The </w:t>
      </w:r>
      <w:r w:rsidRPr="00327DC3">
        <w:rPr>
          <w:noProof/>
        </w:rPr>
        <w:t xml:space="preserve">Recommendation </w:t>
      </w:r>
      <w:r w:rsidR="00520763">
        <w:rPr>
          <w:rFonts w:eastAsia="Arial Unicode MS"/>
          <w:noProof/>
        </w:rPr>
        <w:t xml:space="preserve">amending Recommendation 2021/01 </w:t>
      </w:r>
      <w:r w:rsidR="00EC3B50">
        <w:rPr>
          <w:noProof/>
        </w:rPr>
        <w:t xml:space="preserve">on the Management of the </w:t>
      </w:r>
      <w:r w:rsidR="00D37A39">
        <w:rPr>
          <w:noProof/>
        </w:rPr>
        <w:t xml:space="preserve">NACES </w:t>
      </w:r>
      <w:r w:rsidRPr="00327DC3">
        <w:rPr>
          <w:noProof/>
        </w:rPr>
        <w:t xml:space="preserve">MPA aims to guide OSPAR Contracting Parties in the adoption of measures </w:t>
      </w:r>
      <w:r w:rsidR="002476A6">
        <w:rPr>
          <w:noProof/>
        </w:rPr>
        <w:t xml:space="preserve">to </w:t>
      </w:r>
      <w:r w:rsidR="00EF4E84" w:rsidRPr="00EF4E84">
        <w:rPr>
          <w:noProof/>
        </w:rPr>
        <w:t>maintain and, where appropriate, restore seabird populations, marine biodiversity and the integrity of the various ecosystems and their functions and processes within the MPA</w:t>
      </w:r>
      <w:r w:rsidR="002476A6">
        <w:rPr>
          <w:noProof/>
        </w:rPr>
        <w:t>,</w:t>
      </w:r>
      <w:r w:rsidR="00EF4E84">
        <w:rPr>
          <w:noProof/>
        </w:rPr>
        <w:t xml:space="preserve"> </w:t>
      </w:r>
      <w:r w:rsidRPr="00327DC3">
        <w:rPr>
          <w:noProof/>
        </w:rPr>
        <w:t>in line with the general and specific conservation objectives set out in the Annex of this Recommendation.</w:t>
      </w:r>
    </w:p>
    <w:p w14:paraId="01199B88" w14:textId="133C7B19" w:rsidR="00467B39" w:rsidRPr="00327DC3" w:rsidRDefault="007108D8" w:rsidP="00467B39">
      <w:pPr>
        <w:rPr>
          <w:noProof/>
        </w:rPr>
      </w:pPr>
      <w:r w:rsidRPr="00327DC3">
        <w:rPr>
          <w:noProof/>
          <w:lang w:val="en-IE"/>
        </w:rPr>
        <w:t>The supporting scientific analyses</w:t>
      </w:r>
      <w:r w:rsidR="00467B39" w:rsidRPr="00327DC3">
        <w:rPr>
          <w:noProof/>
          <w:lang w:val="en-IE"/>
        </w:rPr>
        <w:t xml:space="preserve"> are presented in a comprehensive document published </w:t>
      </w:r>
      <w:r w:rsidR="00D5418E">
        <w:rPr>
          <w:noProof/>
          <w:lang w:val="en-IE"/>
        </w:rPr>
        <w:t>in the OSPAR website</w:t>
      </w:r>
      <w:r w:rsidR="00D5418E">
        <w:rPr>
          <w:rStyle w:val="FootnoteReference"/>
          <w:noProof/>
          <w:lang w:val="en-IE"/>
        </w:rPr>
        <w:footnoteReference w:id="2"/>
      </w:r>
      <w:r w:rsidR="00D5418E">
        <w:rPr>
          <w:noProof/>
          <w:lang w:val="en-IE"/>
        </w:rPr>
        <w:t>.</w:t>
      </w:r>
      <w:r w:rsidR="00467B39" w:rsidRPr="00046D2C">
        <w:rPr>
          <w:noProof/>
          <w:lang w:val="en-IE"/>
        </w:rPr>
        <w:t xml:space="preserve"> </w:t>
      </w:r>
      <w:r w:rsidR="00EF4E84" w:rsidRPr="00046D2C">
        <w:rPr>
          <w:noProof/>
          <w:lang w:val="en-IE"/>
        </w:rPr>
        <w:t>The</w:t>
      </w:r>
      <w:r w:rsidR="00EF4E84">
        <w:rPr>
          <w:noProof/>
          <w:lang w:val="en-IE"/>
        </w:rPr>
        <w:t xml:space="preserve"> NACES </w:t>
      </w:r>
      <w:r w:rsidR="00467B39" w:rsidRPr="00327DC3">
        <w:rPr>
          <w:noProof/>
          <w:lang w:val="en-IE"/>
        </w:rPr>
        <w:t xml:space="preserve">MPA </w:t>
      </w:r>
      <w:r w:rsidR="00EF4E84">
        <w:rPr>
          <w:noProof/>
          <w:lang w:val="en-IE"/>
        </w:rPr>
        <w:t xml:space="preserve">is </w:t>
      </w:r>
      <w:r w:rsidR="00467B39" w:rsidRPr="00327DC3">
        <w:rPr>
          <w:noProof/>
          <w:lang w:val="en-IE"/>
        </w:rPr>
        <w:t xml:space="preserve">the largest MPA in the OSPAR network </w:t>
      </w:r>
      <w:r w:rsidR="00770BE9">
        <w:rPr>
          <w:noProof/>
          <w:lang w:val="en-IE"/>
        </w:rPr>
        <w:t xml:space="preserve">and </w:t>
      </w:r>
      <w:r w:rsidR="00467B39" w:rsidRPr="00327DC3">
        <w:rPr>
          <w:noProof/>
          <w:lang w:val="en-IE"/>
        </w:rPr>
        <w:t>cover</w:t>
      </w:r>
      <w:r w:rsidR="00770BE9">
        <w:rPr>
          <w:noProof/>
          <w:lang w:val="en-IE"/>
        </w:rPr>
        <w:t>s</w:t>
      </w:r>
      <w:r w:rsidR="00467B39" w:rsidRPr="00327DC3">
        <w:rPr>
          <w:noProof/>
          <w:lang w:val="en-IE"/>
        </w:rPr>
        <w:t xml:space="preserve"> nearly 600,000km</w:t>
      </w:r>
      <w:r w:rsidR="00467B39" w:rsidRPr="00B32B74">
        <w:rPr>
          <w:noProof/>
          <w:vertAlign w:val="superscript"/>
          <w:lang w:val="en-IE"/>
        </w:rPr>
        <w:t>2</w:t>
      </w:r>
      <w:r w:rsidR="00467B39" w:rsidRPr="00327DC3">
        <w:rPr>
          <w:noProof/>
          <w:lang w:val="en-IE"/>
        </w:rPr>
        <w:t xml:space="preserve"> (an area the size of France</w:t>
      </w:r>
      <w:r w:rsidR="00770BE9">
        <w:rPr>
          <w:noProof/>
          <w:lang w:val="en-IE"/>
        </w:rPr>
        <w:t xml:space="preserve">). It is </w:t>
      </w:r>
      <w:r w:rsidR="00467B39" w:rsidRPr="00327DC3">
        <w:rPr>
          <w:noProof/>
          <w:lang w:val="en-IE"/>
        </w:rPr>
        <w:t>the eighth collectively designated MPA in the area beyond national jurisdiction within the OSPAR maritime area.</w:t>
      </w:r>
    </w:p>
    <w:p w14:paraId="01199B89" w14:textId="1DAB3EEA" w:rsidR="00467B39" w:rsidRPr="00327DC3" w:rsidRDefault="00AC5722" w:rsidP="00AC5722">
      <w:pPr>
        <w:pStyle w:val="ManualHeading1"/>
        <w:rPr>
          <w:noProof/>
        </w:rPr>
      </w:pPr>
      <w:r w:rsidRPr="00AC5722">
        <w:t>3.</w:t>
      </w:r>
      <w:r w:rsidRPr="00AC5722">
        <w:tab/>
      </w:r>
      <w:r w:rsidR="00467B39" w:rsidRPr="00327DC3">
        <w:rPr>
          <w:noProof/>
        </w:rPr>
        <w:t>Position to be taken on the Union's behalf</w:t>
      </w:r>
    </w:p>
    <w:p w14:paraId="01199B8A" w14:textId="0A6A603B" w:rsidR="00467B39" w:rsidRDefault="00467B39" w:rsidP="00467B39">
      <w:pPr>
        <w:rPr>
          <w:noProof/>
        </w:rPr>
      </w:pPr>
      <w:r w:rsidRPr="00327DC3">
        <w:rPr>
          <w:noProof/>
        </w:rPr>
        <w:t xml:space="preserve">The need </w:t>
      </w:r>
      <w:r w:rsidR="00770BE9">
        <w:rPr>
          <w:noProof/>
        </w:rPr>
        <w:t xml:space="preserve">to </w:t>
      </w:r>
      <w:r w:rsidRPr="00327DC3">
        <w:rPr>
          <w:noProof/>
        </w:rPr>
        <w:t xml:space="preserve">protect of marine biodiversity and ecosystems, including in maritime areas beyond national jurisdiction, has been recognised repeatedly. The Council Conclusions on </w:t>
      </w:r>
      <w:r w:rsidRPr="00327DC3">
        <w:rPr>
          <w:noProof/>
          <w:lang w:val="en-IE"/>
        </w:rPr>
        <w:t xml:space="preserve">the EU biodiversity strategy for 2030 adopted in October 2020 </w:t>
      </w:r>
      <w:r w:rsidRPr="00327DC3">
        <w:rPr>
          <w:noProof/>
        </w:rPr>
        <w:t>welcome the objective of protecting a minimum of 30% of the EU’s sea</w:t>
      </w:r>
      <w:r w:rsidR="002310E7">
        <w:rPr>
          <w:noProof/>
        </w:rPr>
        <w:t>s</w:t>
      </w:r>
      <w:r w:rsidRPr="00327DC3">
        <w:rPr>
          <w:noProof/>
        </w:rPr>
        <w:t xml:space="preserve">, one third of which </w:t>
      </w:r>
      <w:r w:rsidR="002310E7">
        <w:rPr>
          <w:noProof/>
        </w:rPr>
        <w:t xml:space="preserve">under </w:t>
      </w:r>
      <w:r w:rsidRPr="00327DC3">
        <w:rPr>
          <w:noProof/>
        </w:rPr>
        <w:t xml:space="preserve">strict </w:t>
      </w:r>
      <w:r w:rsidR="002310E7" w:rsidRPr="00327DC3">
        <w:rPr>
          <w:noProof/>
        </w:rPr>
        <w:t>protect</w:t>
      </w:r>
      <w:r w:rsidR="002310E7">
        <w:rPr>
          <w:noProof/>
        </w:rPr>
        <w:t>ion.</w:t>
      </w:r>
      <w:r w:rsidRPr="00327DC3">
        <w:rPr>
          <w:noProof/>
        </w:rPr>
        <w:t xml:space="preserve"> They also emphasize that this is an objective to be reached by Member States collectively and recognise </w:t>
      </w:r>
      <w:r w:rsidRPr="00327DC3">
        <w:rPr>
          <w:noProof/>
          <w:lang w:val="en-IE"/>
        </w:rPr>
        <w:t>the urgent need to step up efforts to ensure the effective management of all protected areas, to define clear conservation objectives and measures, and to monitor and strengthen them appropriately. Moreover, the</w:t>
      </w:r>
      <w:r w:rsidR="001B14E9">
        <w:rPr>
          <w:noProof/>
          <w:lang w:val="en-IE"/>
        </w:rPr>
        <w:t xml:space="preserve"> Conclusions</w:t>
      </w:r>
      <w:r w:rsidRPr="00327DC3">
        <w:rPr>
          <w:noProof/>
          <w:lang w:val="en-IE"/>
        </w:rPr>
        <w:t xml:space="preserve"> emphasize </w:t>
      </w:r>
      <w:r w:rsidRPr="00327DC3">
        <w:rPr>
          <w:noProof/>
        </w:rPr>
        <w:t>the importance of seeking synergies and co-benefits with biodiversity-related Multilateral Environmental Agreements, such as OSPAR</w:t>
      </w:r>
      <w:r w:rsidR="003B121E">
        <w:rPr>
          <w:noProof/>
        </w:rPr>
        <w:t>,</w:t>
      </w:r>
      <w:r w:rsidRPr="00327DC3">
        <w:rPr>
          <w:noProof/>
        </w:rPr>
        <w:t xml:space="preserve"> and to integrate biodiversity considerations and goals into relevant international and regional processes. In this context, the</w:t>
      </w:r>
      <w:r w:rsidR="001B14E9">
        <w:rPr>
          <w:noProof/>
        </w:rPr>
        <w:t xml:space="preserve"> Conclusions </w:t>
      </w:r>
      <w:r w:rsidRPr="00327DC3">
        <w:rPr>
          <w:noProof/>
        </w:rPr>
        <w:t>confirm</w:t>
      </w:r>
      <w:r w:rsidR="001B14E9">
        <w:rPr>
          <w:noProof/>
        </w:rPr>
        <w:t>ed</w:t>
      </w:r>
      <w:r w:rsidRPr="00327DC3">
        <w:rPr>
          <w:noProof/>
        </w:rPr>
        <w:t xml:space="preserve"> the EU support for the conclusion of an ambitious legally binding international agreement on marine biological diversity of areas beyond national jurisdiction (BBNJ) under the United Nations Convention on the Law of the Seas (UNCLOS) in 2021. </w:t>
      </w:r>
    </w:p>
    <w:p w14:paraId="01199B8B" w14:textId="00FA34D4" w:rsidR="00E378BA" w:rsidRPr="00327DC3" w:rsidRDefault="00E378BA" w:rsidP="00467B39">
      <w:pPr>
        <w:rPr>
          <w:noProof/>
        </w:rPr>
      </w:pPr>
      <w:r>
        <w:rPr>
          <w:noProof/>
        </w:rPr>
        <w:t xml:space="preserve">In </w:t>
      </w:r>
      <w:r w:rsidR="009826A7">
        <w:rPr>
          <w:noProof/>
        </w:rPr>
        <w:t xml:space="preserve">December </w:t>
      </w:r>
      <w:r w:rsidRPr="00E378BA">
        <w:rPr>
          <w:noProof/>
        </w:rPr>
        <w:t>2022</w:t>
      </w:r>
      <w:r w:rsidR="009826A7">
        <w:rPr>
          <w:noProof/>
        </w:rPr>
        <w:t>,</w:t>
      </w:r>
      <w:r>
        <w:rPr>
          <w:noProof/>
        </w:rPr>
        <w:t xml:space="preserve"> the 15</w:t>
      </w:r>
      <w:r w:rsidRPr="002476A6">
        <w:rPr>
          <w:noProof/>
          <w:vertAlign w:val="superscript"/>
        </w:rPr>
        <w:t>th</w:t>
      </w:r>
      <w:r>
        <w:rPr>
          <w:noProof/>
        </w:rPr>
        <w:t xml:space="preserve"> Conference of the Parties to the Convention on Biological Diversity</w:t>
      </w:r>
      <w:r w:rsidR="00E1367B">
        <w:rPr>
          <w:noProof/>
        </w:rPr>
        <w:t xml:space="preserve"> (CBD) </w:t>
      </w:r>
      <w:r w:rsidR="009826A7">
        <w:rPr>
          <w:noProof/>
        </w:rPr>
        <w:t xml:space="preserve">adopted </w:t>
      </w:r>
      <w:r>
        <w:rPr>
          <w:noProof/>
        </w:rPr>
        <w:t xml:space="preserve">the </w:t>
      </w:r>
      <w:r w:rsidRPr="00E378BA">
        <w:rPr>
          <w:noProof/>
        </w:rPr>
        <w:t xml:space="preserve">Kunming </w:t>
      </w:r>
      <w:r w:rsidR="00E1367B">
        <w:rPr>
          <w:noProof/>
        </w:rPr>
        <w:t xml:space="preserve">Montreal </w:t>
      </w:r>
      <w:r w:rsidRPr="00E378BA">
        <w:rPr>
          <w:noProof/>
        </w:rPr>
        <w:t xml:space="preserve">Global Biodiversity Framework </w:t>
      </w:r>
      <w:r>
        <w:rPr>
          <w:noProof/>
        </w:rPr>
        <w:t>including t</w:t>
      </w:r>
      <w:r w:rsidRPr="00E378BA">
        <w:rPr>
          <w:noProof/>
        </w:rPr>
        <w:t xml:space="preserve">arget 3 to </w:t>
      </w:r>
      <w:r>
        <w:rPr>
          <w:noProof/>
        </w:rPr>
        <w:t>“</w:t>
      </w:r>
      <w:r w:rsidRPr="00E378BA">
        <w:rPr>
          <w:noProof/>
        </w:rPr>
        <w:t>ensure and enable that by 2030 at least 30</w:t>
      </w:r>
      <w:r w:rsidR="002310E7">
        <w:rPr>
          <w:noProof/>
        </w:rPr>
        <w:t>%</w:t>
      </w:r>
      <w:r w:rsidR="00002C21">
        <w:rPr>
          <w:noProof/>
        </w:rPr>
        <w:t xml:space="preserve"> </w:t>
      </w:r>
      <w:r w:rsidRPr="00E378BA">
        <w:rPr>
          <w:noProof/>
        </w:rPr>
        <w:t>of terrestrial, inland water, and of coastal and marine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w:t>
      </w:r>
      <w:r>
        <w:rPr>
          <w:noProof/>
        </w:rPr>
        <w:t>…”</w:t>
      </w:r>
      <w:r w:rsidR="009826A7">
        <w:rPr>
          <w:noProof/>
        </w:rPr>
        <w:t xml:space="preserve"> </w:t>
      </w:r>
      <w:r w:rsidR="009826A7" w:rsidRPr="009826A7">
        <w:rPr>
          <w:noProof/>
        </w:rPr>
        <w:t>The EU and all its Member States are Part</w:t>
      </w:r>
      <w:r w:rsidR="00F72BFA">
        <w:rPr>
          <w:noProof/>
        </w:rPr>
        <w:t>ies</w:t>
      </w:r>
      <w:r w:rsidR="009826A7" w:rsidRPr="009826A7">
        <w:rPr>
          <w:noProof/>
        </w:rPr>
        <w:t xml:space="preserve"> to the CBD.</w:t>
      </w:r>
    </w:p>
    <w:p w14:paraId="01199B8C" w14:textId="12868F57" w:rsidR="00467B39" w:rsidRPr="00327DC3" w:rsidRDefault="00467B39" w:rsidP="00467B39">
      <w:pPr>
        <w:rPr>
          <w:noProof/>
        </w:rPr>
      </w:pPr>
      <w:r w:rsidRPr="00327DC3">
        <w:rPr>
          <w:noProof/>
        </w:rPr>
        <w:lastRenderedPageBreak/>
        <w:t>In view of the OSPAR</w:t>
      </w:r>
      <w:r w:rsidR="002476A6">
        <w:rPr>
          <w:noProof/>
        </w:rPr>
        <w:t xml:space="preserve"> </w:t>
      </w:r>
      <w:r w:rsidR="00E378BA">
        <w:rPr>
          <w:noProof/>
        </w:rPr>
        <w:t xml:space="preserve">Commission meeting </w:t>
      </w:r>
      <w:r w:rsidR="001B14E9">
        <w:rPr>
          <w:noProof/>
        </w:rPr>
        <w:t xml:space="preserve">of </w:t>
      </w:r>
      <w:r w:rsidR="00E378BA">
        <w:rPr>
          <w:noProof/>
        </w:rPr>
        <w:t>26-30 June 2023</w:t>
      </w:r>
      <w:r w:rsidRPr="00327DC3">
        <w:rPr>
          <w:noProof/>
        </w:rPr>
        <w:t>, a Union position is necessary because the envisaged Decision</w:t>
      </w:r>
      <w:r w:rsidR="003B121E">
        <w:rPr>
          <w:noProof/>
        </w:rPr>
        <w:t xml:space="preserve"> is a legally binding text. </w:t>
      </w:r>
      <w:r w:rsidRPr="00327DC3">
        <w:rPr>
          <w:noProof/>
        </w:rPr>
        <w:t>Even if the</w:t>
      </w:r>
      <w:r w:rsidR="009D2555">
        <w:rPr>
          <w:noProof/>
        </w:rPr>
        <w:t xml:space="preserve"> envisaged</w:t>
      </w:r>
      <w:r w:rsidRPr="00327DC3">
        <w:rPr>
          <w:noProof/>
        </w:rPr>
        <w:t xml:space="preserve"> Recommendation would not be legally binding, it is proposed that the Union position covers both envisaged acts</w:t>
      </w:r>
      <w:r w:rsidR="00D37A39">
        <w:rPr>
          <w:noProof/>
        </w:rPr>
        <w:t xml:space="preserve"> due to the fact that</w:t>
      </w:r>
      <w:r w:rsidRPr="00327DC3">
        <w:rPr>
          <w:noProof/>
        </w:rPr>
        <w:t xml:space="preserve"> they are closely related</w:t>
      </w:r>
      <w:r w:rsidR="009D2555">
        <w:rPr>
          <w:noProof/>
        </w:rPr>
        <w:t xml:space="preserve"> and are envisaged to be adopted together</w:t>
      </w:r>
      <w:r w:rsidRPr="00327DC3">
        <w:rPr>
          <w:noProof/>
        </w:rPr>
        <w:t>. Since the</w:t>
      </w:r>
      <w:r w:rsidR="006762DE">
        <w:rPr>
          <w:noProof/>
        </w:rPr>
        <w:t>se envisaged acts</w:t>
      </w:r>
      <w:r w:rsidRPr="00327DC3">
        <w:rPr>
          <w:noProof/>
        </w:rPr>
        <w:t xml:space="preserve"> will facilitate the implementation of EU international commitments and ambitions and improve the protection of the environment, it is proposed that the Union supports the adoption of the </w:t>
      </w:r>
      <w:r w:rsidR="009D2555">
        <w:rPr>
          <w:noProof/>
        </w:rPr>
        <w:t xml:space="preserve">envisaged </w:t>
      </w:r>
      <w:r w:rsidRPr="00327DC3">
        <w:rPr>
          <w:noProof/>
        </w:rPr>
        <w:t xml:space="preserve">Decision and the </w:t>
      </w:r>
      <w:r w:rsidR="009D2555">
        <w:rPr>
          <w:noProof/>
        </w:rPr>
        <w:t xml:space="preserve">envisaged </w:t>
      </w:r>
      <w:r w:rsidRPr="00327DC3">
        <w:rPr>
          <w:noProof/>
        </w:rPr>
        <w:t>Recommendation.</w:t>
      </w:r>
    </w:p>
    <w:p w14:paraId="01199B8D" w14:textId="25F40687" w:rsidR="00467B39" w:rsidRPr="00327DC3" w:rsidRDefault="00AC5722" w:rsidP="00AC5722">
      <w:pPr>
        <w:pStyle w:val="ManualHeading1"/>
        <w:rPr>
          <w:noProof/>
        </w:rPr>
      </w:pPr>
      <w:r w:rsidRPr="00AC5722">
        <w:t>4.</w:t>
      </w:r>
      <w:r w:rsidRPr="00AC5722">
        <w:tab/>
      </w:r>
      <w:r w:rsidR="00467B39" w:rsidRPr="00327DC3">
        <w:rPr>
          <w:noProof/>
        </w:rPr>
        <w:t>Legal basis</w:t>
      </w:r>
    </w:p>
    <w:p w14:paraId="01199B8E" w14:textId="08AE68B8" w:rsidR="00467B39" w:rsidRPr="00327DC3" w:rsidRDefault="00AC5722" w:rsidP="00AC5722">
      <w:pPr>
        <w:pStyle w:val="ManualHeading2"/>
        <w:rPr>
          <w:noProof/>
        </w:rPr>
      </w:pPr>
      <w:r w:rsidRPr="00AC5722">
        <w:t>4.1.</w:t>
      </w:r>
      <w:r w:rsidRPr="00AC5722">
        <w:tab/>
      </w:r>
      <w:r w:rsidR="00467B39" w:rsidRPr="00327DC3">
        <w:rPr>
          <w:noProof/>
        </w:rPr>
        <w:t>Procedural legal basis</w:t>
      </w:r>
    </w:p>
    <w:p w14:paraId="01199B8F" w14:textId="46A6D10B" w:rsidR="00467B39" w:rsidRPr="00327DC3" w:rsidRDefault="00AC5722" w:rsidP="00AC5722">
      <w:pPr>
        <w:pStyle w:val="ManualHeading3"/>
        <w:rPr>
          <w:noProof/>
        </w:rPr>
      </w:pPr>
      <w:r w:rsidRPr="00AC5722">
        <w:t>4.1.1.</w:t>
      </w:r>
      <w:r w:rsidRPr="00AC5722">
        <w:tab/>
      </w:r>
      <w:r w:rsidR="00467B39" w:rsidRPr="00327DC3">
        <w:rPr>
          <w:noProof/>
        </w:rPr>
        <w:t>Principles</w:t>
      </w:r>
    </w:p>
    <w:p w14:paraId="01199B90" w14:textId="3F6C3DCD" w:rsidR="00467B39" w:rsidRDefault="00467B39" w:rsidP="00736AA9">
      <w:pPr>
        <w:rPr>
          <w:noProof/>
        </w:rPr>
      </w:pPr>
      <w:r w:rsidRPr="00327DC3">
        <w:rPr>
          <w:noProof/>
        </w:rPr>
        <w:t xml:space="preserve">Article 218(9) of the Treaty on the Functioning of the European Union (TFEU) provides </w:t>
      </w:r>
      <w:r w:rsidR="009D2555">
        <w:rPr>
          <w:noProof/>
        </w:rPr>
        <w:t>that “</w:t>
      </w:r>
      <w:r w:rsidR="009D2555" w:rsidRPr="000F1105">
        <w:rPr>
          <w:i/>
          <w:noProof/>
        </w:rPr>
        <w:t>the Council, on a proposal from the Commission or the High Representative of the Union for Foreign Affairs and Security Policy, shall adopt a decision</w:t>
      </w:r>
      <w:r w:rsidRPr="00327DC3">
        <w:rPr>
          <w:noProof/>
        </w:rPr>
        <w:t xml:space="preserve"> </w:t>
      </w:r>
      <w:r w:rsidR="009D2555">
        <w:rPr>
          <w:noProof/>
        </w:rPr>
        <w:t xml:space="preserve">[…] </w:t>
      </w:r>
      <w:r w:rsidR="009D2555">
        <w:rPr>
          <w:i/>
          <w:noProof/>
        </w:rPr>
        <w:t xml:space="preserve">establishing </w:t>
      </w:r>
      <w:r w:rsidRPr="00327DC3">
        <w:rPr>
          <w:i/>
          <w:noProof/>
        </w:rPr>
        <w:t>the positions to be adopted on the Union’s behalf in a body set up by an agreement, when that body is called upon to adopt acts having legal effects, with the exception of acts supplementing or amending the institutional framework of the agreement</w:t>
      </w:r>
      <w:r w:rsidR="009D2555">
        <w:rPr>
          <w:i/>
          <w:noProof/>
        </w:rPr>
        <w:t>”</w:t>
      </w:r>
      <w:r w:rsidRPr="00327DC3">
        <w:rPr>
          <w:noProof/>
        </w:rPr>
        <w:t>.</w:t>
      </w:r>
    </w:p>
    <w:p w14:paraId="01199B91" w14:textId="77777777" w:rsidR="00467B39" w:rsidRPr="00327DC3" w:rsidRDefault="00467B39" w:rsidP="00736AA9">
      <w:pPr>
        <w:rPr>
          <w:noProof/>
        </w:rPr>
      </w:pPr>
      <w:r w:rsidRPr="00327DC3">
        <w:rPr>
          <w:noProof/>
        </w:rPr>
        <w:t>The concept of ‘</w:t>
      </w:r>
      <w:r w:rsidRPr="00327DC3">
        <w:rPr>
          <w:i/>
          <w:noProof/>
        </w:rPr>
        <w:t>acts having legal effects</w:t>
      </w:r>
      <w:r w:rsidRPr="00327DC3">
        <w:rPr>
          <w:noProof/>
        </w:rPr>
        <w:t xml:space="preserve">’ includes acts that have legal effects by virtue of the rules of international law governing the body in question. </w:t>
      </w:r>
    </w:p>
    <w:p w14:paraId="01199B92" w14:textId="304E4B2D" w:rsidR="00467B39" w:rsidRPr="00327DC3" w:rsidRDefault="00AC5722" w:rsidP="00AC5722">
      <w:pPr>
        <w:pStyle w:val="ManualHeading3"/>
        <w:rPr>
          <w:noProof/>
        </w:rPr>
      </w:pPr>
      <w:r w:rsidRPr="00AC5722">
        <w:t>4.1.2.</w:t>
      </w:r>
      <w:r w:rsidRPr="00AC5722">
        <w:tab/>
      </w:r>
      <w:r w:rsidR="00467B39" w:rsidRPr="00327DC3">
        <w:rPr>
          <w:noProof/>
        </w:rPr>
        <w:t>Application to the present case</w:t>
      </w:r>
    </w:p>
    <w:p w14:paraId="01199B93" w14:textId="77777777" w:rsidR="00467B39" w:rsidRPr="00327DC3" w:rsidRDefault="00467B39" w:rsidP="00467B39">
      <w:pPr>
        <w:rPr>
          <w:noProof/>
        </w:rPr>
      </w:pPr>
      <w:r w:rsidRPr="00327DC3">
        <w:rPr>
          <w:noProof/>
        </w:rPr>
        <w:t>The OSPAR Commission is a body set up by an agreement, namely the OSPAR Convention.</w:t>
      </w:r>
    </w:p>
    <w:p w14:paraId="01199B94" w14:textId="6A500E4E" w:rsidR="00467B39" w:rsidRPr="00327DC3" w:rsidRDefault="00467B39" w:rsidP="00467B39">
      <w:pPr>
        <w:rPr>
          <w:noProof/>
        </w:rPr>
      </w:pPr>
      <w:r w:rsidRPr="00327DC3">
        <w:rPr>
          <w:noProof/>
        </w:rPr>
        <w:t>The Decision which the OSPAR Commission is called upon to adopt, constitutes an act having legal effects, because all OSPAR Decisions are legally binding for the Contracting Parties, according to the OSPAR Convention (Article 13§2).</w:t>
      </w:r>
      <w:r w:rsidR="00D37A39">
        <w:rPr>
          <w:noProof/>
        </w:rPr>
        <w:t xml:space="preserve"> Although Recommendations are not legally binding, in the present case, the OSPAR </w:t>
      </w:r>
      <w:r w:rsidR="00D37A39" w:rsidRPr="00327DC3">
        <w:rPr>
          <w:noProof/>
        </w:rPr>
        <w:t xml:space="preserve">Recommendation on the Management of the </w:t>
      </w:r>
      <w:r w:rsidR="00D37A39">
        <w:rPr>
          <w:noProof/>
        </w:rPr>
        <w:t xml:space="preserve">NACES MPA is closely related to the OSPAR Decision on delineation and </w:t>
      </w:r>
      <w:r w:rsidR="00D37A39" w:rsidRPr="00327DC3">
        <w:rPr>
          <w:noProof/>
        </w:rPr>
        <w:t xml:space="preserve">it is </w:t>
      </w:r>
      <w:r w:rsidR="002661AF">
        <w:rPr>
          <w:noProof/>
        </w:rPr>
        <w:t xml:space="preserve">therefore </w:t>
      </w:r>
      <w:r w:rsidR="00D37A39" w:rsidRPr="00327DC3">
        <w:rPr>
          <w:noProof/>
        </w:rPr>
        <w:t xml:space="preserve">appropriate to cover them by the same </w:t>
      </w:r>
      <w:r w:rsidR="009D2555">
        <w:rPr>
          <w:noProof/>
        </w:rPr>
        <w:t xml:space="preserve">decision establishing the </w:t>
      </w:r>
      <w:r w:rsidR="00D37A39" w:rsidRPr="00327DC3">
        <w:rPr>
          <w:noProof/>
        </w:rPr>
        <w:t>position of the Union.</w:t>
      </w:r>
    </w:p>
    <w:p w14:paraId="01199B95" w14:textId="77777777" w:rsidR="00467B39" w:rsidRPr="00327DC3" w:rsidRDefault="00467B39" w:rsidP="00467B39">
      <w:pPr>
        <w:rPr>
          <w:noProof/>
        </w:rPr>
      </w:pPr>
      <w:r w:rsidRPr="00327DC3">
        <w:rPr>
          <w:noProof/>
        </w:rPr>
        <w:t>The envisaged act</w:t>
      </w:r>
      <w:r w:rsidR="00D37A39">
        <w:rPr>
          <w:noProof/>
        </w:rPr>
        <w:t>s</w:t>
      </w:r>
      <w:r w:rsidRPr="00327DC3">
        <w:rPr>
          <w:noProof/>
        </w:rPr>
        <w:t xml:space="preserve"> do not supplement or amend the institutional framework of the OSPAR Convention.</w:t>
      </w:r>
    </w:p>
    <w:p w14:paraId="01199B96" w14:textId="77777777" w:rsidR="00467B39" w:rsidRPr="00327DC3" w:rsidRDefault="00467B39" w:rsidP="00467B39">
      <w:pPr>
        <w:rPr>
          <w:noProof/>
        </w:rPr>
      </w:pPr>
      <w:r w:rsidRPr="00327DC3">
        <w:rPr>
          <w:noProof/>
        </w:rPr>
        <w:t>Therefore, the procedural legal basis for the proposed decision is Article 218(9) TFEU.</w:t>
      </w:r>
    </w:p>
    <w:p w14:paraId="01199B97" w14:textId="0A7B1E83" w:rsidR="00467B39" w:rsidRPr="00327DC3" w:rsidRDefault="00AC5722" w:rsidP="00AC5722">
      <w:pPr>
        <w:pStyle w:val="ManualHeading2"/>
        <w:rPr>
          <w:noProof/>
        </w:rPr>
      </w:pPr>
      <w:r w:rsidRPr="00AC5722">
        <w:t>4.2.</w:t>
      </w:r>
      <w:r w:rsidRPr="00AC5722">
        <w:tab/>
      </w:r>
      <w:r w:rsidR="00467B39" w:rsidRPr="00327DC3">
        <w:rPr>
          <w:noProof/>
        </w:rPr>
        <w:t>Substantive legal basis</w:t>
      </w:r>
    </w:p>
    <w:p w14:paraId="01199B98" w14:textId="222F451D" w:rsidR="00467B39" w:rsidRPr="00327DC3" w:rsidRDefault="00AC5722" w:rsidP="00AC5722">
      <w:pPr>
        <w:pStyle w:val="ManualHeading3"/>
        <w:rPr>
          <w:noProof/>
        </w:rPr>
      </w:pPr>
      <w:r w:rsidRPr="00AC5722">
        <w:t>4.2.1.</w:t>
      </w:r>
      <w:r w:rsidRPr="00AC5722">
        <w:tab/>
      </w:r>
      <w:r w:rsidR="00467B39" w:rsidRPr="00327DC3">
        <w:rPr>
          <w:noProof/>
        </w:rPr>
        <w:t>Principles</w:t>
      </w:r>
    </w:p>
    <w:p w14:paraId="01199B99" w14:textId="77777777" w:rsidR="00467B39" w:rsidRPr="00327DC3" w:rsidRDefault="00467B39" w:rsidP="00736AA9">
      <w:pPr>
        <w:rPr>
          <w:noProof/>
        </w:rPr>
      </w:pPr>
      <w:r w:rsidRPr="00327DC3">
        <w:rPr>
          <w:noProof/>
        </w:rPr>
        <w:t>The substantive legal basis for a decision under Article 218(9) TFEU depends primarily on the objective and content of the envisaged act in respect of which a position is taken on the Union's behalf. 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14:paraId="01199B9A" w14:textId="6952A275" w:rsidR="00467B39" w:rsidRPr="00327DC3" w:rsidRDefault="00AC5722" w:rsidP="00AC5722">
      <w:pPr>
        <w:pStyle w:val="ManualHeading3"/>
        <w:rPr>
          <w:noProof/>
        </w:rPr>
      </w:pPr>
      <w:r w:rsidRPr="00AC5722">
        <w:t>4.2.2.</w:t>
      </w:r>
      <w:r w:rsidRPr="00AC5722">
        <w:tab/>
      </w:r>
      <w:r w:rsidR="00467B39" w:rsidRPr="00327DC3">
        <w:rPr>
          <w:noProof/>
        </w:rPr>
        <w:t>Application to the present case</w:t>
      </w:r>
    </w:p>
    <w:p w14:paraId="01199B9B" w14:textId="20A16ABD" w:rsidR="00467B39" w:rsidRPr="00327DC3" w:rsidRDefault="00467B39" w:rsidP="00467B39">
      <w:pPr>
        <w:rPr>
          <w:noProof/>
        </w:rPr>
      </w:pPr>
      <w:r w:rsidRPr="00327DC3">
        <w:rPr>
          <w:noProof/>
        </w:rPr>
        <w:t>The main objective and content of the envisaged act</w:t>
      </w:r>
      <w:r w:rsidR="009D2555">
        <w:rPr>
          <w:noProof/>
        </w:rPr>
        <w:t>s</w:t>
      </w:r>
      <w:r w:rsidRPr="00327DC3">
        <w:rPr>
          <w:noProof/>
        </w:rPr>
        <w:t xml:space="preserve"> relate to protection of the environment</w:t>
      </w:r>
      <w:r w:rsidR="002661AF">
        <w:rPr>
          <w:noProof/>
        </w:rPr>
        <w:t>.</w:t>
      </w:r>
    </w:p>
    <w:p w14:paraId="01199B9C" w14:textId="77777777" w:rsidR="00467B39" w:rsidRPr="00327DC3" w:rsidRDefault="00467B39" w:rsidP="00467B39">
      <w:pPr>
        <w:rPr>
          <w:i/>
          <w:noProof/>
        </w:rPr>
      </w:pPr>
      <w:r w:rsidRPr="00327DC3">
        <w:rPr>
          <w:noProof/>
        </w:rPr>
        <w:t>Therefore, the substantive legal basis of the proposed decision is Article 192(1) TFEU.</w:t>
      </w:r>
    </w:p>
    <w:p w14:paraId="01199B9D" w14:textId="3EDE182F" w:rsidR="00467B39" w:rsidRPr="00327DC3" w:rsidRDefault="00AC5722" w:rsidP="00AC5722">
      <w:pPr>
        <w:pStyle w:val="ManualHeading2"/>
        <w:rPr>
          <w:noProof/>
        </w:rPr>
      </w:pPr>
      <w:r w:rsidRPr="00AC5722">
        <w:lastRenderedPageBreak/>
        <w:t>4.3.</w:t>
      </w:r>
      <w:r w:rsidRPr="00AC5722">
        <w:tab/>
      </w:r>
      <w:r w:rsidR="00467B39" w:rsidRPr="00327DC3">
        <w:rPr>
          <w:noProof/>
        </w:rPr>
        <w:t>Conclusion</w:t>
      </w:r>
    </w:p>
    <w:p w14:paraId="01199B9E" w14:textId="77777777" w:rsidR="00467B39" w:rsidRPr="00327DC3" w:rsidRDefault="00467B39" w:rsidP="00736AA9">
      <w:pPr>
        <w:rPr>
          <w:noProof/>
        </w:rPr>
      </w:pPr>
      <w:r w:rsidRPr="00327DC3">
        <w:rPr>
          <w:noProof/>
        </w:rPr>
        <w:t>The legal basis of the proposed decision should be</w:t>
      </w:r>
      <w:r w:rsidR="00327DC3" w:rsidRPr="00327DC3">
        <w:rPr>
          <w:noProof/>
        </w:rPr>
        <w:t xml:space="preserve"> </w:t>
      </w:r>
      <w:r w:rsidR="00327DC3" w:rsidRPr="000832FD">
        <w:rPr>
          <w:noProof/>
        </w:rPr>
        <w:t>Article 19</w:t>
      </w:r>
      <w:r w:rsidR="00327DC3">
        <w:rPr>
          <w:noProof/>
        </w:rPr>
        <w:t>2(1)</w:t>
      </w:r>
      <w:r w:rsidRPr="005B024E">
        <w:rPr>
          <w:noProof/>
        </w:rPr>
        <w:t>,</w:t>
      </w:r>
      <w:r w:rsidRPr="00327DC3">
        <w:rPr>
          <w:noProof/>
        </w:rPr>
        <w:t xml:space="preserve"> in conjunction with Article 218(9) TFEU.</w:t>
      </w:r>
    </w:p>
    <w:p w14:paraId="01199B9F" w14:textId="77777777" w:rsidR="00467B39" w:rsidRPr="00327DC3" w:rsidRDefault="00467B39" w:rsidP="00FD40BA">
      <w:pPr>
        <w:rPr>
          <w:noProof/>
        </w:rPr>
        <w:sectPr w:rsidR="00467B39" w:rsidRPr="00327DC3" w:rsidSect="00584804">
          <w:footerReference w:type="default" r:id="rId10"/>
          <w:footerReference w:type="first" r:id="rId11"/>
          <w:pgSz w:w="11907" w:h="16839"/>
          <w:pgMar w:top="1134" w:right="1417" w:bottom="1134" w:left="1417" w:header="709" w:footer="709" w:gutter="0"/>
          <w:cols w:space="708"/>
          <w:docGrid w:linePitch="360"/>
        </w:sectPr>
      </w:pPr>
    </w:p>
    <w:p w14:paraId="1D67AA36" w14:textId="6DFD008A" w:rsidR="004C3897" w:rsidRDefault="004C3897" w:rsidP="004C3897">
      <w:pPr>
        <w:pStyle w:val="Rfrenceinterinstitutionnelle"/>
        <w:rPr>
          <w:noProof/>
        </w:rPr>
      </w:pPr>
      <w:r w:rsidRPr="004C3897">
        <w:lastRenderedPageBreak/>
        <w:t>2023/0139 (NLE)</w:t>
      </w:r>
    </w:p>
    <w:p w14:paraId="01199BA0" w14:textId="7F6D411B" w:rsidR="00467B39" w:rsidRPr="00327DC3" w:rsidRDefault="00E0734A" w:rsidP="00E0734A">
      <w:pPr>
        <w:pStyle w:val="Statut"/>
        <w:rPr>
          <w:noProof/>
        </w:rPr>
      </w:pPr>
      <w:r w:rsidRPr="00E0734A">
        <w:rPr>
          <w:noProof/>
        </w:rPr>
        <w:t>Proposal for a</w:t>
      </w:r>
    </w:p>
    <w:p w14:paraId="01199BA1" w14:textId="46C2E67D" w:rsidR="00467B39" w:rsidRPr="00327DC3" w:rsidRDefault="00E0734A" w:rsidP="00E0734A">
      <w:pPr>
        <w:pStyle w:val="Typedudocument"/>
        <w:rPr>
          <w:noProof/>
        </w:rPr>
      </w:pPr>
      <w:r w:rsidRPr="00E0734A">
        <w:rPr>
          <w:noProof/>
        </w:rPr>
        <w:t>COUNCIL DECISION</w:t>
      </w:r>
    </w:p>
    <w:p w14:paraId="01199BA2" w14:textId="2299DFE2" w:rsidR="00467B39" w:rsidRPr="00327DC3" w:rsidRDefault="00E0734A" w:rsidP="00E0734A">
      <w:pPr>
        <w:pStyle w:val="Titreobjet"/>
        <w:rPr>
          <w:noProof/>
        </w:rPr>
      </w:pPr>
      <w:r w:rsidRPr="00E0734A">
        <w:rPr>
          <w:noProof/>
        </w:rPr>
        <w:t>on the position to be taken on behalf of the European Union in the Convention for the Protection of the Marine Environment of the North-East Atlantic on amendments to the Decision on delineation and the Recommendation on the management of the North Atlantic Current and Evlanov Sea basin Marine Protected Area (NACES MPA)</w:t>
      </w:r>
    </w:p>
    <w:p w14:paraId="01199BA3" w14:textId="77777777" w:rsidR="00467B39" w:rsidRPr="00327DC3" w:rsidRDefault="00467B39" w:rsidP="00BE7CB9">
      <w:pPr>
        <w:pStyle w:val="Institutionquiagit"/>
        <w:rPr>
          <w:b/>
          <w:noProof/>
        </w:rPr>
      </w:pPr>
      <w:r w:rsidRPr="00327DC3">
        <w:rPr>
          <w:b/>
          <w:noProof/>
        </w:rPr>
        <w:t>THE COUNCIL OF THE EUROPEAN UNION,</w:t>
      </w:r>
    </w:p>
    <w:p w14:paraId="01199BA4" w14:textId="77777777" w:rsidR="00467B39" w:rsidRPr="00327DC3" w:rsidRDefault="00467B39" w:rsidP="00BE7CB9">
      <w:pPr>
        <w:rPr>
          <w:noProof/>
        </w:rPr>
      </w:pPr>
      <w:r w:rsidRPr="00327DC3">
        <w:rPr>
          <w:noProof/>
        </w:rPr>
        <w:t>Having regard to the Treaty on the Functioning of the European Union, and in particular Article 192(1) in conjunction with Article 218(9) thereof,</w:t>
      </w:r>
    </w:p>
    <w:p w14:paraId="01199BA5" w14:textId="77777777" w:rsidR="00467B39" w:rsidRPr="00327DC3" w:rsidRDefault="00467B39" w:rsidP="00BE7CB9">
      <w:pPr>
        <w:rPr>
          <w:noProof/>
        </w:rPr>
      </w:pPr>
      <w:r w:rsidRPr="00327DC3">
        <w:rPr>
          <w:noProof/>
        </w:rPr>
        <w:t>Having regard to the proposal from the European Commission,</w:t>
      </w:r>
    </w:p>
    <w:p w14:paraId="01199BA6" w14:textId="77777777" w:rsidR="00467B39" w:rsidRPr="00327DC3" w:rsidRDefault="00467B39" w:rsidP="00BE7CB9">
      <w:pPr>
        <w:rPr>
          <w:noProof/>
        </w:rPr>
      </w:pPr>
      <w:r w:rsidRPr="00327DC3">
        <w:rPr>
          <w:noProof/>
        </w:rPr>
        <w:t>Whereas:</w:t>
      </w:r>
    </w:p>
    <w:p w14:paraId="01199BA7" w14:textId="6065DD0D" w:rsidR="00467B39" w:rsidRPr="00327DC3" w:rsidRDefault="00AC5722" w:rsidP="00AC5722">
      <w:pPr>
        <w:pStyle w:val="ManualConsidrant"/>
        <w:rPr>
          <w:noProof/>
        </w:rPr>
      </w:pPr>
      <w:r w:rsidRPr="00AC5722">
        <w:t>(1)</w:t>
      </w:r>
      <w:r w:rsidRPr="00AC5722">
        <w:tab/>
      </w:r>
      <w:r w:rsidR="00467B39" w:rsidRPr="00327DC3">
        <w:rPr>
          <w:noProof/>
        </w:rPr>
        <w:t xml:space="preserve">The Convention </w:t>
      </w:r>
      <w:r w:rsidR="0025274E" w:rsidRPr="0025274E">
        <w:rPr>
          <w:noProof/>
        </w:rPr>
        <w:t xml:space="preserve">for the </w:t>
      </w:r>
      <w:r w:rsidR="00AD4294">
        <w:rPr>
          <w:noProof/>
        </w:rPr>
        <w:t>P</w:t>
      </w:r>
      <w:r w:rsidR="0025274E" w:rsidRPr="0025274E">
        <w:rPr>
          <w:noProof/>
        </w:rPr>
        <w:t xml:space="preserve">rotection of the </w:t>
      </w:r>
      <w:r w:rsidR="00AD4294">
        <w:rPr>
          <w:noProof/>
        </w:rPr>
        <w:t>M</w:t>
      </w:r>
      <w:r w:rsidR="0025274E" w:rsidRPr="0025274E">
        <w:rPr>
          <w:noProof/>
        </w:rPr>
        <w:t xml:space="preserve">arine </w:t>
      </w:r>
      <w:r w:rsidR="00AD4294">
        <w:rPr>
          <w:noProof/>
        </w:rPr>
        <w:t>E</w:t>
      </w:r>
      <w:r w:rsidR="0025274E" w:rsidRPr="0025274E">
        <w:rPr>
          <w:noProof/>
        </w:rPr>
        <w:t xml:space="preserve">nvironment of the </w:t>
      </w:r>
      <w:r w:rsidR="00AD4294">
        <w:rPr>
          <w:noProof/>
        </w:rPr>
        <w:t>N</w:t>
      </w:r>
      <w:r w:rsidR="0025274E" w:rsidRPr="0025274E">
        <w:rPr>
          <w:noProof/>
        </w:rPr>
        <w:t>orth-</w:t>
      </w:r>
      <w:r w:rsidR="00AD4294">
        <w:rPr>
          <w:noProof/>
        </w:rPr>
        <w:t>E</w:t>
      </w:r>
      <w:r w:rsidR="0025274E" w:rsidRPr="0025274E">
        <w:rPr>
          <w:noProof/>
        </w:rPr>
        <w:t>ast Atlantic</w:t>
      </w:r>
      <w:r w:rsidR="00295E48">
        <w:rPr>
          <w:rStyle w:val="FootnoteReference"/>
          <w:noProof/>
        </w:rPr>
        <w:footnoteReference w:id="3"/>
      </w:r>
      <w:r w:rsidR="0025274E" w:rsidRPr="0025274E">
        <w:rPr>
          <w:noProof/>
        </w:rPr>
        <w:t xml:space="preserve"> </w:t>
      </w:r>
      <w:r w:rsidR="00467B39" w:rsidRPr="00327DC3">
        <w:rPr>
          <w:noProof/>
        </w:rPr>
        <w:t xml:space="preserve">(‘the </w:t>
      </w:r>
      <w:r w:rsidR="0025274E">
        <w:rPr>
          <w:noProof/>
        </w:rPr>
        <w:t>Convention</w:t>
      </w:r>
      <w:r w:rsidR="00467B39" w:rsidRPr="00327DC3">
        <w:rPr>
          <w:noProof/>
        </w:rPr>
        <w:t>’)</w:t>
      </w:r>
      <w:r w:rsidR="008362BF">
        <w:rPr>
          <w:noProof/>
        </w:rPr>
        <w:t>,</w:t>
      </w:r>
      <w:r w:rsidR="00467B39" w:rsidRPr="00327DC3">
        <w:rPr>
          <w:noProof/>
        </w:rPr>
        <w:t xml:space="preserve"> </w:t>
      </w:r>
      <w:r w:rsidR="008362BF">
        <w:rPr>
          <w:noProof/>
        </w:rPr>
        <w:t>to which</w:t>
      </w:r>
      <w:r w:rsidR="00467B39" w:rsidRPr="00327DC3">
        <w:rPr>
          <w:noProof/>
        </w:rPr>
        <w:t xml:space="preserve"> the Union </w:t>
      </w:r>
      <w:r w:rsidR="008362BF">
        <w:rPr>
          <w:noProof/>
        </w:rPr>
        <w:t>is a Contracting Party</w:t>
      </w:r>
      <w:r w:rsidR="005D14D0">
        <w:rPr>
          <w:noProof/>
        </w:rPr>
        <w:t>,</w:t>
      </w:r>
      <w:r w:rsidR="00467B39" w:rsidRPr="00327DC3">
        <w:rPr>
          <w:noProof/>
        </w:rPr>
        <w:t xml:space="preserve"> entered into force on 25 March 1998.</w:t>
      </w:r>
    </w:p>
    <w:p w14:paraId="01199BA8" w14:textId="5203371B" w:rsidR="00467B39" w:rsidRDefault="00AC5722" w:rsidP="00AC5722">
      <w:pPr>
        <w:pStyle w:val="ManualConsidrant"/>
        <w:rPr>
          <w:noProof/>
        </w:rPr>
      </w:pPr>
      <w:r w:rsidRPr="00AC5722">
        <w:t>(2)</w:t>
      </w:r>
      <w:r w:rsidRPr="00AC5722">
        <w:tab/>
      </w:r>
      <w:r w:rsidR="00467B39" w:rsidRPr="00327DC3">
        <w:rPr>
          <w:noProof/>
        </w:rPr>
        <w:t xml:space="preserve">Pursuant to Article </w:t>
      </w:r>
      <w:r w:rsidR="00965084">
        <w:rPr>
          <w:noProof/>
        </w:rPr>
        <w:t>10(3)</w:t>
      </w:r>
      <w:r w:rsidR="00467B39" w:rsidRPr="00327DC3">
        <w:rPr>
          <w:noProof/>
        </w:rPr>
        <w:t xml:space="preserve"> of the </w:t>
      </w:r>
      <w:r w:rsidR="00295E48">
        <w:rPr>
          <w:noProof/>
        </w:rPr>
        <w:t>Convention</w:t>
      </w:r>
      <w:r w:rsidR="00467B39" w:rsidRPr="00327DC3">
        <w:rPr>
          <w:noProof/>
        </w:rPr>
        <w:t xml:space="preserve">, the Commission </w:t>
      </w:r>
      <w:r w:rsidR="00295E48">
        <w:rPr>
          <w:noProof/>
        </w:rPr>
        <w:t>established by Article 10</w:t>
      </w:r>
      <w:r w:rsidR="00965084">
        <w:rPr>
          <w:noProof/>
        </w:rPr>
        <w:t>(1)</w:t>
      </w:r>
      <w:r w:rsidR="00295E48">
        <w:rPr>
          <w:noProof/>
        </w:rPr>
        <w:t xml:space="preserve"> of the Convention </w:t>
      </w:r>
      <w:r w:rsidR="00965084">
        <w:rPr>
          <w:noProof/>
        </w:rPr>
        <w:t>(“</w:t>
      </w:r>
      <w:r w:rsidR="005D14D0">
        <w:rPr>
          <w:noProof/>
        </w:rPr>
        <w:t xml:space="preserve">the </w:t>
      </w:r>
      <w:r w:rsidR="00965084">
        <w:rPr>
          <w:noProof/>
        </w:rPr>
        <w:t xml:space="preserve">OSPAR Commission”) </w:t>
      </w:r>
      <w:r w:rsidR="00467B39" w:rsidRPr="00327DC3">
        <w:rPr>
          <w:noProof/>
        </w:rPr>
        <w:t>may adopt Decisions and Recommendations</w:t>
      </w:r>
      <w:r w:rsidR="00EC7D1F">
        <w:rPr>
          <w:noProof/>
        </w:rPr>
        <w:t xml:space="preserve"> </w:t>
      </w:r>
      <w:r w:rsidR="00965084">
        <w:rPr>
          <w:noProof/>
        </w:rPr>
        <w:t>in accordance with Article 13 of the Convention</w:t>
      </w:r>
      <w:r w:rsidR="00467B39" w:rsidRPr="00327DC3">
        <w:rPr>
          <w:noProof/>
        </w:rPr>
        <w:t>.</w:t>
      </w:r>
    </w:p>
    <w:p w14:paraId="01199BA9" w14:textId="2E0D5F06" w:rsidR="00661F43" w:rsidRDefault="00AC5722" w:rsidP="00AC5722">
      <w:pPr>
        <w:pStyle w:val="ManualConsidrant"/>
        <w:rPr>
          <w:noProof/>
        </w:rPr>
      </w:pPr>
      <w:r w:rsidRPr="00AC5722">
        <w:t>(3)</w:t>
      </w:r>
      <w:r w:rsidRPr="00AC5722">
        <w:tab/>
      </w:r>
      <w:r w:rsidR="00C55820">
        <w:rPr>
          <w:noProof/>
        </w:rPr>
        <w:t>T</w:t>
      </w:r>
      <w:r w:rsidR="00C55820" w:rsidRPr="00661F43">
        <w:rPr>
          <w:noProof/>
        </w:rPr>
        <w:t>he OSPAR Commission</w:t>
      </w:r>
      <w:r w:rsidR="00C55820">
        <w:rPr>
          <w:noProof/>
        </w:rPr>
        <w:t>,</w:t>
      </w:r>
      <w:r w:rsidR="00C55820" w:rsidRPr="00661F43">
        <w:rPr>
          <w:noProof/>
        </w:rPr>
        <w:t xml:space="preserve"> </w:t>
      </w:r>
      <w:r w:rsidR="00661F43" w:rsidRPr="00661F43">
        <w:rPr>
          <w:noProof/>
        </w:rPr>
        <w:t>during the ministerial segment of its 24</w:t>
      </w:r>
      <w:r w:rsidR="00661F43" w:rsidRPr="00B32B74">
        <w:rPr>
          <w:noProof/>
          <w:vertAlign w:val="superscript"/>
        </w:rPr>
        <w:t>th</w:t>
      </w:r>
      <w:r w:rsidR="00661F43" w:rsidRPr="00661F43">
        <w:rPr>
          <w:noProof/>
        </w:rPr>
        <w:t xml:space="preserve"> annual meeting</w:t>
      </w:r>
      <w:r w:rsidR="00C55820">
        <w:rPr>
          <w:noProof/>
        </w:rPr>
        <w:t xml:space="preserve"> on 1 October 2021</w:t>
      </w:r>
      <w:r w:rsidR="00661F43" w:rsidRPr="00661F43">
        <w:rPr>
          <w:noProof/>
        </w:rPr>
        <w:t>, adopted OSPAR Decision 2021/01 on the establishment of the North Atlantic Current and Evlanov Sea basin Marine Protected Area and Recommendation 2021/01 on its management</w:t>
      </w:r>
      <w:r w:rsidR="00B32B74">
        <w:rPr>
          <w:rStyle w:val="FootnoteReference"/>
          <w:noProof/>
        </w:rPr>
        <w:footnoteReference w:id="4"/>
      </w:r>
      <w:r w:rsidR="00661F43" w:rsidRPr="00661F43">
        <w:rPr>
          <w:noProof/>
        </w:rPr>
        <w:t>. At the same time, it was also decided that the conservation scope of the MPA would need to be reviewed, with a view to expanding it</w:t>
      </w:r>
      <w:r w:rsidR="00B32B74">
        <w:rPr>
          <w:noProof/>
        </w:rPr>
        <w:t>.</w:t>
      </w:r>
    </w:p>
    <w:p w14:paraId="01199BAA" w14:textId="0F96FA4F" w:rsidR="00467B39" w:rsidRPr="00327DC3" w:rsidRDefault="00AC5722" w:rsidP="00AC5722">
      <w:pPr>
        <w:pStyle w:val="ManualConsidrant"/>
        <w:rPr>
          <w:noProof/>
        </w:rPr>
      </w:pPr>
      <w:r w:rsidRPr="00AC5722">
        <w:t>(4)</w:t>
      </w:r>
      <w:r w:rsidRPr="00AC5722">
        <w:tab/>
      </w:r>
      <w:r w:rsidR="00087A16">
        <w:rPr>
          <w:noProof/>
        </w:rPr>
        <w:t>This review was carried out and led to t</w:t>
      </w:r>
      <w:r w:rsidR="00467B39" w:rsidRPr="00327DC3">
        <w:rPr>
          <w:noProof/>
        </w:rPr>
        <w:t>he OSPAR Commission</w:t>
      </w:r>
      <w:r w:rsidR="00087A16">
        <w:rPr>
          <w:noProof/>
        </w:rPr>
        <w:t xml:space="preserve"> envisaged </w:t>
      </w:r>
      <w:r w:rsidR="00087A16" w:rsidRPr="00327DC3">
        <w:rPr>
          <w:noProof/>
        </w:rPr>
        <w:t xml:space="preserve">Decision </w:t>
      </w:r>
      <w:r w:rsidR="00087A16">
        <w:rPr>
          <w:noProof/>
        </w:rPr>
        <w:t xml:space="preserve">amending </w:t>
      </w:r>
      <w:r w:rsidR="00087A16" w:rsidRPr="00002C21">
        <w:rPr>
          <w:noProof/>
        </w:rPr>
        <w:t xml:space="preserve">OSPAR Decision 2021/01 </w:t>
      </w:r>
      <w:r w:rsidR="00087A16">
        <w:rPr>
          <w:noProof/>
        </w:rPr>
        <w:t xml:space="preserve">on </w:t>
      </w:r>
      <w:r w:rsidR="002018D7">
        <w:rPr>
          <w:noProof/>
        </w:rPr>
        <w:t xml:space="preserve">the establishment </w:t>
      </w:r>
      <w:r w:rsidR="00087A16">
        <w:rPr>
          <w:noProof/>
        </w:rPr>
        <w:t xml:space="preserve">and </w:t>
      </w:r>
      <w:r w:rsidR="00A4733A">
        <w:rPr>
          <w:noProof/>
        </w:rPr>
        <w:t xml:space="preserve">the </w:t>
      </w:r>
      <w:r w:rsidR="00087A16">
        <w:rPr>
          <w:noProof/>
        </w:rPr>
        <w:t xml:space="preserve"> envisaged</w:t>
      </w:r>
      <w:r w:rsidR="00087A16" w:rsidRPr="00327DC3">
        <w:rPr>
          <w:noProof/>
        </w:rPr>
        <w:t xml:space="preserve"> Recommendation </w:t>
      </w:r>
      <w:r w:rsidR="00087A16">
        <w:rPr>
          <w:noProof/>
        </w:rPr>
        <w:t xml:space="preserve">amending OSPAR Recommendation 2021/01 </w:t>
      </w:r>
      <w:r w:rsidR="00087A16" w:rsidRPr="00327DC3">
        <w:rPr>
          <w:noProof/>
        </w:rPr>
        <w:t>on the management of the North Atlantic Current and Evlanov Sea</w:t>
      </w:r>
      <w:r w:rsidR="002661AF">
        <w:rPr>
          <w:noProof/>
        </w:rPr>
        <w:t xml:space="preserve"> basin</w:t>
      </w:r>
      <w:r w:rsidR="00087A16" w:rsidRPr="00327DC3">
        <w:rPr>
          <w:noProof/>
        </w:rPr>
        <w:t xml:space="preserve"> Marine Protected Area (</w:t>
      </w:r>
      <w:r w:rsidR="00087A16">
        <w:rPr>
          <w:noProof/>
        </w:rPr>
        <w:t>‘</w:t>
      </w:r>
      <w:r w:rsidR="00087A16" w:rsidRPr="00327DC3">
        <w:rPr>
          <w:noProof/>
        </w:rPr>
        <w:t>NACES MPA</w:t>
      </w:r>
      <w:r w:rsidR="00087A16">
        <w:rPr>
          <w:noProof/>
        </w:rPr>
        <w:t>’</w:t>
      </w:r>
      <w:r w:rsidR="00087A16" w:rsidRPr="00327DC3">
        <w:rPr>
          <w:noProof/>
        </w:rPr>
        <w:t>)</w:t>
      </w:r>
      <w:r w:rsidR="00087A16">
        <w:rPr>
          <w:noProof/>
        </w:rPr>
        <w:t>. The OSPAR Commission is to adopt this envisaged Decision and this envisaged Recommendation</w:t>
      </w:r>
      <w:r w:rsidR="00467B39" w:rsidRPr="00327DC3">
        <w:rPr>
          <w:noProof/>
        </w:rPr>
        <w:t xml:space="preserve"> during its 2</w:t>
      </w:r>
      <w:r w:rsidR="0035191B">
        <w:rPr>
          <w:noProof/>
        </w:rPr>
        <w:t>6</w:t>
      </w:r>
      <w:r w:rsidR="005C2458" w:rsidRPr="00327DC3">
        <w:rPr>
          <w:noProof/>
          <w:vertAlign w:val="superscript"/>
        </w:rPr>
        <w:t>th</w:t>
      </w:r>
      <w:r w:rsidR="00467B39" w:rsidRPr="00327DC3">
        <w:rPr>
          <w:noProof/>
        </w:rPr>
        <w:t xml:space="preserve"> </w:t>
      </w:r>
      <w:r w:rsidR="0035191B">
        <w:rPr>
          <w:noProof/>
        </w:rPr>
        <w:t xml:space="preserve">regular </w:t>
      </w:r>
      <w:r w:rsidR="00467B39" w:rsidRPr="00327DC3">
        <w:rPr>
          <w:noProof/>
        </w:rPr>
        <w:t>session/meeting on</w:t>
      </w:r>
      <w:r w:rsidR="0035191B">
        <w:rPr>
          <w:noProof/>
        </w:rPr>
        <w:t xml:space="preserve"> 26 June 2023</w:t>
      </w:r>
      <w:r w:rsidR="00467B39" w:rsidRPr="00327DC3">
        <w:rPr>
          <w:noProof/>
        </w:rPr>
        <w:t>.</w:t>
      </w:r>
    </w:p>
    <w:p w14:paraId="5862C7B1" w14:textId="14E4261E" w:rsidR="00D5418E" w:rsidRDefault="00AC5722" w:rsidP="00AC5722">
      <w:pPr>
        <w:pStyle w:val="ManualConsidrant"/>
        <w:rPr>
          <w:noProof/>
        </w:rPr>
      </w:pPr>
      <w:r w:rsidRPr="00AC5722">
        <w:t>(5)</w:t>
      </w:r>
      <w:r w:rsidRPr="00AC5722">
        <w:tab/>
      </w:r>
      <w:r w:rsidR="00467B39" w:rsidRPr="00327DC3">
        <w:rPr>
          <w:noProof/>
        </w:rPr>
        <w:t xml:space="preserve">The envisaged Decision </w:t>
      </w:r>
      <w:r w:rsidR="00A8280B">
        <w:rPr>
          <w:noProof/>
        </w:rPr>
        <w:t xml:space="preserve">of the OSPAR Commission </w:t>
      </w:r>
      <w:r w:rsidR="00002C21">
        <w:rPr>
          <w:noProof/>
        </w:rPr>
        <w:t>extends the conservation scope of the</w:t>
      </w:r>
      <w:r w:rsidR="00467B39" w:rsidRPr="00327DC3">
        <w:rPr>
          <w:noProof/>
        </w:rPr>
        <w:t xml:space="preserve"> </w:t>
      </w:r>
      <w:r w:rsidR="00D5418E">
        <w:rPr>
          <w:noProof/>
        </w:rPr>
        <w:t xml:space="preserve">existing </w:t>
      </w:r>
      <w:r w:rsidR="00467B39" w:rsidRPr="00327DC3">
        <w:rPr>
          <w:noProof/>
        </w:rPr>
        <w:t>NACES MPA</w:t>
      </w:r>
      <w:r w:rsidR="00D5418E">
        <w:rPr>
          <w:noProof/>
        </w:rPr>
        <w:t xml:space="preserve"> </w:t>
      </w:r>
      <w:r w:rsidR="00D5418E" w:rsidRPr="00766635">
        <w:rPr>
          <w:noProof/>
        </w:rPr>
        <w:t>and indicates the geographical coordinates (latitude/longitude) of its boundaries.</w:t>
      </w:r>
    </w:p>
    <w:p w14:paraId="01199BAB" w14:textId="144F2397" w:rsidR="00965084" w:rsidRDefault="00965084" w:rsidP="002A10FA">
      <w:pPr>
        <w:rPr>
          <w:noProof/>
        </w:rPr>
      </w:pPr>
    </w:p>
    <w:p w14:paraId="01199BAC" w14:textId="0C00C722" w:rsidR="00467B39" w:rsidRPr="00327DC3" w:rsidRDefault="00AC5722" w:rsidP="00AC5722">
      <w:pPr>
        <w:pStyle w:val="ManualConsidrant"/>
        <w:rPr>
          <w:noProof/>
        </w:rPr>
      </w:pPr>
      <w:r w:rsidRPr="00AC5722">
        <w:t>(6)</w:t>
      </w:r>
      <w:r w:rsidRPr="00AC5722">
        <w:tab/>
      </w:r>
      <w:r w:rsidR="00965084">
        <w:rPr>
          <w:noProof/>
        </w:rPr>
        <w:t>T</w:t>
      </w:r>
      <w:r w:rsidR="00467B39" w:rsidRPr="00327DC3">
        <w:rPr>
          <w:noProof/>
        </w:rPr>
        <w:t xml:space="preserve">he envisaged Recommendation </w:t>
      </w:r>
      <w:r w:rsidR="00A8280B">
        <w:rPr>
          <w:noProof/>
        </w:rPr>
        <w:t xml:space="preserve">of the OSPAR Commission </w:t>
      </w:r>
      <w:r w:rsidR="00467B39" w:rsidRPr="00327DC3">
        <w:rPr>
          <w:noProof/>
        </w:rPr>
        <w:t xml:space="preserve">aims to guide Contracting Parties in their actions and in the adoption of measures to achieve the </w:t>
      </w:r>
      <w:r w:rsidR="00A4733A">
        <w:rPr>
          <w:noProof/>
        </w:rPr>
        <w:t xml:space="preserve">revised </w:t>
      </w:r>
      <w:r w:rsidR="00467B39" w:rsidRPr="00327DC3">
        <w:rPr>
          <w:noProof/>
        </w:rPr>
        <w:t>conservation objectives</w:t>
      </w:r>
      <w:r w:rsidR="00391483">
        <w:rPr>
          <w:noProof/>
        </w:rPr>
        <w:t>,</w:t>
      </w:r>
      <w:r w:rsidR="00467B39" w:rsidRPr="00327DC3">
        <w:rPr>
          <w:noProof/>
        </w:rPr>
        <w:t xml:space="preserve"> </w:t>
      </w:r>
      <w:r w:rsidR="00391483">
        <w:rPr>
          <w:noProof/>
        </w:rPr>
        <w:t xml:space="preserve">according to the extended conservation scope of the envisaged Decision, </w:t>
      </w:r>
      <w:r w:rsidR="00467B39" w:rsidRPr="00327DC3">
        <w:rPr>
          <w:noProof/>
        </w:rPr>
        <w:t xml:space="preserve">set out in </w:t>
      </w:r>
      <w:r w:rsidR="00A8280B">
        <w:rPr>
          <w:noProof/>
        </w:rPr>
        <w:t>the</w:t>
      </w:r>
      <w:r w:rsidR="00467B39" w:rsidRPr="00327DC3">
        <w:rPr>
          <w:noProof/>
        </w:rPr>
        <w:t xml:space="preserve"> Annex</w:t>
      </w:r>
      <w:r w:rsidR="00A8280B">
        <w:rPr>
          <w:noProof/>
        </w:rPr>
        <w:t xml:space="preserve"> to the Recommendation</w:t>
      </w:r>
      <w:r w:rsidR="00467B39" w:rsidRPr="00327DC3">
        <w:rPr>
          <w:noProof/>
        </w:rPr>
        <w:t>.</w:t>
      </w:r>
    </w:p>
    <w:p w14:paraId="01199BAD" w14:textId="379C8E02" w:rsidR="00467B39" w:rsidRPr="00327DC3" w:rsidRDefault="00AC5722" w:rsidP="00AC5722">
      <w:pPr>
        <w:pStyle w:val="ManualConsidrant"/>
        <w:rPr>
          <w:noProof/>
        </w:rPr>
      </w:pPr>
      <w:r w:rsidRPr="00AC5722">
        <w:t>(7)</w:t>
      </w:r>
      <w:r w:rsidRPr="00AC5722">
        <w:tab/>
      </w:r>
      <w:r w:rsidR="00467B39" w:rsidRPr="00327DC3">
        <w:rPr>
          <w:noProof/>
        </w:rPr>
        <w:t xml:space="preserve">There is a close link between the two envisaged OSPAR </w:t>
      </w:r>
      <w:r w:rsidR="005D14D0">
        <w:rPr>
          <w:noProof/>
        </w:rPr>
        <w:t xml:space="preserve">Commission </w:t>
      </w:r>
      <w:r w:rsidR="00467B39" w:rsidRPr="00327DC3">
        <w:rPr>
          <w:noProof/>
        </w:rPr>
        <w:t>acts and</w:t>
      </w:r>
      <w:r w:rsidR="00965084">
        <w:rPr>
          <w:noProof/>
        </w:rPr>
        <w:t xml:space="preserve">, </w:t>
      </w:r>
      <w:r w:rsidR="00467B39" w:rsidRPr="00327DC3">
        <w:rPr>
          <w:noProof/>
        </w:rPr>
        <w:t xml:space="preserve">it is </w:t>
      </w:r>
      <w:r w:rsidR="002661AF">
        <w:rPr>
          <w:noProof/>
        </w:rPr>
        <w:t xml:space="preserve">therefore </w:t>
      </w:r>
      <w:r w:rsidR="00467B39" w:rsidRPr="00327DC3">
        <w:rPr>
          <w:noProof/>
        </w:rPr>
        <w:t>appropriate to cover them by the same position of the Union.</w:t>
      </w:r>
    </w:p>
    <w:p w14:paraId="01199BAE" w14:textId="05D0D589" w:rsidR="00467B39" w:rsidRDefault="00AC5722" w:rsidP="00AC5722">
      <w:pPr>
        <w:pStyle w:val="ManualConsidrant"/>
        <w:rPr>
          <w:noProof/>
        </w:rPr>
      </w:pPr>
      <w:r w:rsidRPr="00AC5722">
        <w:t>(8)</w:t>
      </w:r>
      <w:r w:rsidRPr="00AC5722">
        <w:tab/>
      </w:r>
      <w:r w:rsidR="00467B39" w:rsidRPr="00327DC3">
        <w:rPr>
          <w:noProof/>
        </w:rPr>
        <w:t xml:space="preserve">It is appropriate to establish the position to be taken on the Union's behalf in the OSPAR Commission, as the Decision </w:t>
      </w:r>
      <w:r w:rsidR="00A8280B">
        <w:rPr>
          <w:noProof/>
        </w:rPr>
        <w:t xml:space="preserve">to be taken by the </w:t>
      </w:r>
      <w:r w:rsidR="002661AF">
        <w:rPr>
          <w:noProof/>
        </w:rPr>
        <w:t>OSPAR Commission</w:t>
      </w:r>
      <w:r w:rsidR="00A8280B">
        <w:rPr>
          <w:noProof/>
        </w:rPr>
        <w:t xml:space="preserve"> </w:t>
      </w:r>
      <w:r w:rsidR="00467B39" w:rsidRPr="00327DC3">
        <w:rPr>
          <w:noProof/>
        </w:rPr>
        <w:t>will be binding on the Union,</w:t>
      </w:r>
    </w:p>
    <w:p w14:paraId="27975907" w14:textId="5E54517C" w:rsidR="00B24EAB" w:rsidRPr="00327DC3" w:rsidRDefault="00B24EAB" w:rsidP="002A10FA">
      <w:pPr>
        <w:rPr>
          <w:noProof/>
        </w:rPr>
      </w:pPr>
    </w:p>
    <w:p w14:paraId="01199BAF" w14:textId="77777777" w:rsidR="00467B39" w:rsidRPr="00327DC3" w:rsidRDefault="00467B39" w:rsidP="00BE7CB9">
      <w:pPr>
        <w:pStyle w:val="Formuledadoption"/>
        <w:rPr>
          <w:noProof/>
        </w:rPr>
      </w:pPr>
      <w:r w:rsidRPr="00327DC3">
        <w:rPr>
          <w:noProof/>
        </w:rPr>
        <w:t>HAS ADOPTED THIS DECISION:</w:t>
      </w:r>
    </w:p>
    <w:p w14:paraId="01199BB0" w14:textId="77777777" w:rsidR="00467B39" w:rsidRPr="00327DC3" w:rsidRDefault="00467B39" w:rsidP="00BE7CB9">
      <w:pPr>
        <w:pStyle w:val="Titrearticle"/>
        <w:rPr>
          <w:noProof/>
        </w:rPr>
      </w:pPr>
      <w:r w:rsidRPr="00327DC3">
        <w:rPr>
          <w:noProof/>
        </w:rPr>
        <w:t>Article 1</w:t>
      </w:r>
    </w:p>
    <w:p w14:paraId="6855A544" w14:textId="4C3AF6D8" w:rsidR="002018D7" w:rsidRDefault="00467B39" w:rsidP="00467B39">
      <w:pPr>
        <w:rPr>
          <w:noProof/>
        </w:rPr>
      </w:pPr>
      <w:r w:rsidRPr="00327DC3">
        <w:rPr>
          <w:noProof/>
        </w:rPr>
        <w:t>The position to be taken on the Union's behalf in the 2</w:t>
      </w:r>
      <w:r w:rsidR="0035191B">
        <w:rPr>
          <w:noProof/>
        </w:rPr>
        <w:t>6</w:t>
      </w:r>
      <w:r w:rsidRPr="00327DC3">
        <w:rPr>
          <w:noProof/>
          <w:vertAlign w:val="superscript"/>
        </w:rPr>
        <w:t>th</w:t>
      </w:r>
      <w:r w:rsidRPr="00327DC3">
        <w:rPr>
          <w:noProof/>
        </w:rPr>
        <w:t xml:space="preserve"> session/meeting of the OSPAR Commission shall be to support</w:t>
      </w:r>
      <w:r w:rsidR="002018D7">
        <w:rPr>
          <w:noProof/>
        </w:rPr>
        <w:t xml:space="preserve"> the adoption of a Decision amending Decision </w:t>
      </w:r>
      <w:r w:rsidR="002018D7" w:rsidRPr="00002C21">
        <w:rPr>
          <w:noProof/>
        </w:rPr>
        <w:t xml:space="preserve">2021/01 </w:t>
      </w:r>
      <w:r w:rsidR="002018D7">
        <w:rPr>
          <w:noProof/>
        </w:rPr>
        <w:t xml:space="preserve">on the establishment of the North Atlantic Current and Evlanov Sea basin Marine Protected Area extending its conservation scope, and to support the adoption of a </w:t>
      </w:r>
      <w:r w:rsidR="002018D7" w:rsidRPr="00327DC3">
        <w:rPr>
          <w:noProof/>
        </w:rPr>
        <w:t xml:space="preserve">Recommendation </w:t>
      </w:r>
      <w:r w:rsidR="002018D7">
        <w:rPr>
          <w:noProof/>
        </w:rPr>
        <w:t xml:space="preserve">amending OSPAR Recommendation 2021/01 </w:t>
      </w:r>
      <w:r w:rsidR="002018D7" w:rsidRPr="00327DC3">
        <w:rPr>
          <w:noProof/>
        </w:rPr>
        <w:t xml:space="preserve">on the management of the North Atlantic Current and Evlanov </w:t>
      </w:r>
      <w:r w:rsidR="002018D7">
        <w:rPr>
          <w:noProof/>
        </w:rPr>
        <w:t>Sea</w:t>
      </w:r>
      <w:r w:rsidR="002661AF">
        <w:rPr>
          <w:noProof/>
        </w:rPr>
        <w:t xml:space="preserve"> basin </w:t>
      </w:r>
      <w:r w:rsidR="002018D7">
        <w:rPr>
          <w:noProof/>
        </w:rPr>
        <w:t>Marine Protected Area extending its conservation objectives.</w:t>
      </w:r>
    </w:p>
    <w:p w14:paraId="269C4814" w14:textId="77777777" w:rsidR="002018D7" w:rsidRDefault="002018D7" w:rsidP="00467B39">
      <w:pPr>
        <w:rPr>
          <w:noProof/>
        </w:rPr>
      </w:pPr>
    </w:p>
    <w:p w14:paraId="01199BB2" w14:textId="77777777" w:rsidR="000305F6" w:rsidRDefault="000305F6" w:rsidP="00102508">
      <w:pPr>
        <w:jc w:val="center"/>
        <w:rPr>
          <w:noProof/>
        </w:rPr>
      </w:pPr>
      <w:r w:rsidRPr="00102508">
        <w:rPr>
          <w:i/>
          <w:iCs/>
          <w:noProof/>
        </w:rPr>
        <w:t>Article 2</w:t>
      </w:r>
    </w:p>
    <w:p w14:paraId="01199BB3" w14:textId="77777777" w:rsidR="00CC00EC" w:rsidRPr="00327DC3" w:rsidRDefault="000305F6" w:rsidP="00467B39">
      <w:pPr>
        <w:rPr>
          <w:noProof/>
        </w:rPr>
      </w:pPr>
      <w:r>
        <w:rPr>
          <w:noProof/>
        </w:rPr>
        <w:t>Refinement of the position referred to in Article 1 may be agreed to, in the light of developments at the 26th meeting of the OSPAR Commission, by the representatives of the Union, in consultation with Member States during on-the-spot coordination meetings, without a further decision of the Council.</w:t>
      </w:r>
    </w:p>
    <w:p w14:paraId="01199BB4" w14:textId="77777777" w:rsidR="00467B39" w:rsidRPr="00327DC3" w:rsidRDefault="00467B39" w:rsidP="000D12B6">
      <w:pPr>
        <w:pStyle w:val="Titrearticle"/>
        <w:rPr>
          <w:noProof/>
        </w:rPr>
      </w:pPr>
      <w:r w:rsidRPr="00327DC3">
        <w:rPr>
          <w:noProof/>
        </w:rPr>
        <w:t xml:space="preserve">Article </w:t>
      </w:r>
      <w:r w:rsidR="00102508">
        <w:rPr>
          <w:noProof/>
        </w:rPr>
        <w:t>3</w:t>
      </w:r>
    </w:p>
    <w:p w14:paraId="01199BB5" w14:textId="77777777" w:rsidR="00467B39" w:rsidRPr="00327DC3" w:rsidRDefault="00467B39" w:rsidP="00467B39">
      <w:pPr>
        <w:rPr>
          <w:noProof/>
        </w:rPr>
      </w:pPr>
      <w:r w:rsidRPr="00327DC3">
        <w:rPr>
          <w:noProof/>
        </w:rPr>
        <w:t>This Decision is addressed to the Commission.</w:t>
      </w:r>
    </w:p>
    <w:p w14:paraId="01199BB6" w14:textId="378198E8" w:rsidR="00467B39" w:rsidRPr="00327DC3" w:rsidRDefault="00F70811" w:rsidP="000D12B6">
      <w:pPr>
        <w:pStyle w:val="Fait"/>
        <w:rPr>
          <w:noProof/>
        </w:rPr>
      </w:pPr>
      <w:r w:rsidRPr="00F70811">
        <w:t>Done at Brussels,</w:t>
      </w:r>
    </w:p>
    <w:p w14:paraId="01199BB7" w14:textId="77777777" w:rsidR="00467B39" w:rsidRPr="00327DC3" w:rsidRDefault="00467B39" w:rsidP="000D12B6">
      <w:pPr>
        <w:pStyle w:val="Institutionquisigne"/>
        <w:rPr>
          <w:noProof/>
        </w:rPr>
      </w:pPr>
      <w:r w:rsidRPr="00327DC3">
        <w:rPr>
          <w:noProof/>
        </w:rPr>
        <w:tab/>
        <w:t>For the Council</w:t>
      </w:r>
    </w:p>
    <w:p w14:paraId="01199BB8" w14:textId="77777777" w:rsidR="00467B39" w:rsidRPr="00327DC3" w:rsidRDefault="00467B39" w:rsidP="00467B39">
      <w:pPr>
        <w:pStyle w:val="Personnequisigne"/>
        <w:rPr>
          <w:noProof/>
        </w:rPr>
      </w:pPr>
      <w:r w:rsidRPr="00327DC3">
        <w:rPr>
          <w:noProof/>
        </w:rPr>
        <w:tab/>
        <w:t>The President</w:t>
      </w:r>
    </w:p>
    <w:sectPr w:rsidR="00467B39" w:rsidRPr="00327DC3" w:rsidSect="0058480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A9876" w14:textId="77777777" w:rsidR="000F0C5B" w:rsidRDefault="000F0C5B" w:rsidP="00467B39">
      <w:pPr>
        <w:spacing w:before="0" w:after="0"/>
      </w:pPr>
      <w:r>
        <w:separator/>
      </w:r>
    </w:p>
  </w:endnote>
  <w:endnote w:type="continuationSeparator" w:id="0">
    <w:p w14:paraId="41322A97" w14:textId="77777777" w:rsidR="000F0C5B" w:rsidRDefault="000F0C5B" w:rsidP="00467B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89D0" w14:textId="40EAEC2A" w:rsidR="00E0734A" w:rsidRPr="00584804" w:rsidRDefault="00584804" w:rsidP="00584804">
    <w:pPr>
      <w:pStyle w:val="Footer"/>
      <w:rPr>
        <w:rFonts w:ascii="Arial" w:hAnsi="Arial" w:cs="Arial"/>
        <w:b/>
        <w:sz w:val="48"/>
      </w:rPr>
    </w:pPr>
    <w:r w:rsidRPr="00584804">
      <w:rPr>
        <w:rFonts w:ascii="Arial" w:hAnsi="Arial" w:cs="Arial"/>
        <w:b/>
        <w:sz w:val="48"/>
      </w:rPr>
      <w:t>EN</w:t>
    </w:r>
    <w:r w:rsidRPr="00584804">
      <w:rPr>
        <w:rFonts w:ascii="Arial" w:hAnsi="Arial" w:cs="Arial"/>
        <w:b/>
        <w:sz w:val="48"/>
      </w:rPr>
      <w:tab/>
    </w:r>
    <w:r w:rsidRPr="00584804">
      <w:rPr>
        <w:rFonts w:ascii="Arial" w:hAnsi="Arial" w:cs="Arial"/>
        <w:b/>
        <w:sz w:val="48"/>
      </w:rPr>
      <w:tab/>
    </w:r>
    <w:r w:rsidRPr="00584804">
      <w:tab/>
    </w:r>
    <w:r w:rsidRPr="0058480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36F28" w14:textId="29592E32" w:rsidR="00584804" w:rsidRPr="00584804" w:rsidRDefault="00584804" w:rsidP="00584804">
    <w:pPr>
      <w:pStyle w:val="Footer"/>
      <w:rPr>
        <w:rFonts w:ascii="Arial" w:hAnsi="Arial" w:cs="Arial"/>
        <w:b/>
        <w:sz w:val="48"/>
      </w:rPr>
    </w:pPr>
    <w:r w:rsidRPr="00584804">
      <w:rPr>
        <w:rFonts w:ascii="Arial" w:hAnsi="Arial" w:cs="Arial"/>
        <w:b/>
        <w:sz w:val="48"/>
      </w:rPr>
      <w:t>EN</w:t>
    </w:r>
    <w:r w:rsidRPr="00584804">
      <w:rPr>
        <w:rFonts w:ascii="Arial" w:hAnsi="Arial" w:cs="Arial"/>
        <w:b/>
        <w:sz w:val="48"/>
      </w:rPr>
      <w:tab/>
    </w:r>
    <w:r>
      <w:fldChar w:fldCharType="begin"/>
    </w:r>
    <w:r>
      <w:instrText xml:space="preserve"> PAGE  \* MERGEFORMAT </w:instrText>
    </w:r>
    <w:r>
      <w:fldChar w:fldCharType="separate"/>
    </w:r>
    <w:r w:rsidR="000D12B6">
      <w:rPr>
        <w:noProof/>
      </w:rPr>
      <w:t>6</w:t>
    </w:r>
    <w:r>
      <w:fldChar w:fldCharType="end"/>
    </w:r>
    <w:r>
      <w:tab/>
    </w:r>
    <w:r w:rsidRPr="00584804">
      <w:tab/>
    </w:r>
    <w:r w:rsidRPr="0058480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83781" w14:textId="77777777" w:rsidR="00584804" w:rsidRPr="00584804" w:rsidRDefault="00584804" w:rsidP="00584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A8C25" w14:textId="77777777" w:rsidR="000F0C5B" w:rsidRDefault="000F0C5B" w:rsidP="00467B39">
      <w:pPr>
        <w:spacing w:before="0" w:after="0"/>
      </w:pPr>
      <w:r>
        <w:separator/>
      </w:r>
    </w:p>
  </w:footnote>
  <w:footnote w:type="continuationSeparator" w:id="0">
    <w:p w14:paraId="150A2A59" w14:textId="77777777" w:rsidR="000F0C5B" w:rsidRDefault="000F0C5B" w:rsidP="00467B39">
      <w:pPr>
        <w:spacing w:before="0" w:after="0"/>
      </w:pPr>
      <w:r>
        <w:continuationSeparator/>
      </w:r>
    </w:p>
  </w:footnote>
  <w:footnote w:id="1">
    <w:p w14:paraId="01199BC6" w14:textId="77777777" w:rsidR="00467B39" w:rsidRPr="00B035F8" w:rsidRDefault="00467B39" w:rsidP="00467B39">
      <w:pPr>
        <w:pStyle w:val="FootnoteText"/>
      </w:pPr>
      <w:r w:rsidRPr="00B035F8">
        <w:rPr>
          <w:rStyle w:val="FootnoteReference"/>
        </w:rPr>
        <w:footnoteRef/>
      </w:r>
      <w:r w:rsidRPr="00B035F8">
        <w:tab/>
      </w:r>
      <w:r w:rsidRPr="009D6D66">
        <w:t>Council Decision 98/249/EC of 7 October 1997 on the conclusion of the Convention for the protection of the marine environment of the north-east Atlantic (OJ L 104, 3.4.1998, p. 1)</w:t>
      </w:r>
    </w:p>
  </w:footnote>
  <w:footnote w:id="2">
    <w:p w14:paraId="5DE55453" w14:textId="191C12B5" w:rsidR="00F72BFA" w:rsidRPr="00402402" w:rsidRDefault="00D5418E">
      <w:pPr>
        <w:pStyle w:val="FootnoteText"/>
        <w:rPr>
          <w:lang w:val="en-IE"/>
        </w:rPr>
      </w:pPr>
      <w:r w:rsidRPr="00544D0E">
        <w:rPr>
          <w:rStyle w:val="FootnoteReference"/>
        </w:rPr>
        <w:footnoteRef/>
      </w:r>
      <w:r w:rsidR="00544D0E">
        <w:rPr>
          <w:lang w:val="en-IE"/>
        </w:rPr>
        <w:tab/>
      </w:r>
      <w:r w:rsidR="00F72BFA" w:rsidRPr="00402402">
        <w:rPr>
          <w:lang w:val="en-IE"/>
        </w:rPr>
        <w:t xml:space="preserve">Latest version available in : </w:t>
      </w:r>
    </w:p>
    <w:p w14:paraId="33CB96BD" w14:textId="19C962F0" w:rsidR="00D5418E" w:rsidRPr="00402402" w:rsidRDefault="009A449B">
      <w:pPr>
        <w:pStyle w:val="FootnoteText"/>
        <w:rPr>
          <w:lang w:val="en-IE"/>
        </w:rPr>
      </w:pPr>
      <w:hyperlink r:id="rId1" w:history="1">
        <w:r w:rsidR="00D5418E" w:rsidRPr="00402402">
          <w:rPr>
            <w:color w:val="0000FF"/>
            <w:sz w:val="24"/>
            <w:szCs w:val="22"/>
            <w:u w:val="single"/>
            <w:lang w:val="en-IE"/>
          </w:rPr>
          <w:t>01_naces_rev_nomination_proforma_20221201_version_for_consultation.pdf (ospar.org)</w:t>
        </w:r>
      </w:hyperlink>
    </w:p>
  </w:footnote>
  <w:footnote w:id="3">
    <w:p w14:paraId="01199BC7" w14:textId="306A2D40" w:rsidR="00295E48" w:rsidRDefault="00295E48">
      <w:pPr>
        <w:pStyle w:val="FootnoteText"/>
      </w:pPr>
      <w:r w:rsidRPr="004163D6">
        <w:rPr>
          <w:rStyle w:val="FootnoteReference"/>
        </w:rPr>
        <w:footnoteRef/>
      </w:r>
      <w:r w:rsidR="004163D6">
        <w:tab/>
      </w:r>
      <w:r w:rsidRPr="000832FD">
        <w:t xml:space="preserve">OJ L 104, 3.4.1998, p. </w:t>
      </w:r>
      <w:r w:rsidR="00544D0E">
        <w:t>2</w:t>
      </w:r>
      <w:r>
        <w:t>.</w:t>
      </w:r>
    </w:p>
  </w:footnote>
  <w:footnote w:id="4">
    <w:p w14:paraId="01199BC8" w14:textId="77777777" w:rsidR="00B32B74" w:rsidRPr="00661F43" w:rsidRDefault="00B32B74" w:rsidP="00B32B74">
      <w:pPr>
        <w:rPr>
          <w:sz w:val="20"/>
          <w:szCs w:val="20"/>
        </w:rPr>
      </w:pPr>
      <w:r w:rsidRPr="004163D6">
        <w:rPr>
          <w:rStyle w:val="FootnoteReference"/>
        </w:rPr>
        <w:footnoteRef/>
      </w:r>
      <w:r w:rsidR="004163D6">
        <w:rPr>
          <w:sz w:val="20"/>
          <w:szCs w:val="20"/>
        </w:rPr>
        <w:tab/>
      </w:r>
      <w:r w:rsidRPr="00102508">
        <w:rPr>
          <w:sz w:val="20"/>
          <w:szCs w:val="20"/>
        </w:rPr>
        <w:t xml:space="preserve">The Union position was contained in Council Decision (EU) 2021/1796 of 28 September 2021 on the position to be taken on behalf of the European Union within the Commission established by the Convention for the Protection of the Marine Environment of the North-East Atlantic as regards a decision on the establishment of the North Atlantic Current and Evlanov Seamount Marine Protected Area (NACES MPA) and a recommendation on the management of the NACES MPA (OJ </w:t>
      </w:r>
      <w:r w:rsidRPr="00661F43">
        <w:rPr>
          <w:sz w:val="20"/>
          <w:szCs w:val="20"/>
        </w:rPr>
        <w:t>L 361</w:t>
      </w:r>
      <w:r>
        <w:rPr>
          <w:sz w:val="20"/>
          <w:szCs w:val="20"/>
        </w:rPr>
        <w:t xml:space="preserve">, </w:t>
      </w:r>
      <w:r w:rsidRPr="001D7F59">
        <w:rPr>
          <w:sz w:val="20"/>
          <w:szCs w:val="20"/>
        </w:rPr>
        <w:t>12.10.2021</w:t>
      </w:r>
      <w:r>
        <w:rPr>
          <w:sz w:val="20"/>
          <w:szCs w:val="20"/>
        </w:rPr>
        <w:t>, p.</w:t>
      </w:r>
      <w:r w:rsidRPr="00661F43">
        <w:rPr>
          <w:sz w:val="20"/>
          <w:szCs w:val="20"/>
        </w:rPr>
        <w:t>46</w:t>
      </w:r>
      <w:r>
        <w:rPr>
          <w:sz w:val="20"/>
          <w:szCs w:val="20"/>
        </w:rPr>
        <w:t>).</w:t>
      </w:r>
    </w:p>
    <w:p w14:paraId="01199BC9" w14:textId="77777777" w:rsidR="00B32B74" w:rsidRPr="00661F43" w:rsidRDefault="00B32B74" w:rsidP="00B32B7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ECE5B3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452A1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9EED97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1BC06F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B6C76A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D40529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EB8250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CAC88F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22"/>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28 16:50:4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C9DD5CD-2857-4EBA-8A43-EC32A652A0F3"/>
    <w:docVar w:name="LW_COVERPAGE_TYPE" w:val="1"/>
    <w:docVar w:name="LW_CROSSREFERENCE" w:val="&lt;UNUSED&gt;"/>
    <w:docVar w:name="LW_DocType" w:val="COM"/>
    <w:docVar w:name="LW_EMISSION" w:val="10.5.2023"/>
    <w:docVar w:name="LW_EMISSION_ISODATE" w:val="2023-05-10"/>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139"/>
    <w:docVar w:name="LW_REF.II.NEW.CP_YEAR" w:val="2023"/>
    <w:docVar w:name="LW_REF.INST.NEW" w:val="COM"/>
    <w:docVar w:name="LW_REF.INST.NEW_ADOPTED" w:val="final"/>
    <w:docVar w:name="LW_REF.INST.NEW_TEXT" w:val="(2023) 2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in the Convention for the Protection of the Marine Environment of the North-East Atlantic on amendments to the Decision on delineation and the Recommendation on the management of the North Atlantic Current and Evlanov Sea basin Marine Protected Area (NACES MPA)"/>
    <w:docVar w:name="LW_TYPE.DOC.CP" w:val="COUNCIL DECISION"/>
    <w:docVar w:name="LwApiVersions" w:val="LW4CoDe 1.23.2.0; LW 8.0, Build 20211117"/>
  </w:docVars>
  <w:rsids>
    <w:rsidRoot w:val="00467B39"/>
    <w:rsid w:val="00002C21"/>
    <w:rsid w:val="00006589"/>
    <w:rsid w:val="00026C45"/>
    <w:rsid w:val="000305F6"/>
    <w:rsid w:val="00046D2C"/>
    <w:rsid w:val="00050C06"/>
    <w:rsid w:val="00086F99"/>
    <w:rsid w:val="00087A16"/>
    <w:rsid w:val="000A7517"/>
    <w:rsid w:val="000D12B6"/>
    <w:rsid w:val="000D31B3"/>
    <w:rsid w:val="000E198E"/>
    <w:rsid w:val="000E1C74"/>
    <w:rsid w:val="000F0C5B"/>
    <w:rsid w:val="000F1105"/>
    <w:rsid w:val="000F3C1A"/>
    <w:rsid w:val="00102508"/>
    <w:rsid w:val="00136B08"/>
    <w:rsid w:val="00170B47"/>
    <w:rsid w:val="00174C53"/>
    <w:rsid w:val="001B0A70"/>
    <w:rsid w:val="001B14E9"/>
    <w:rsid w:val="001C14A0"/>
    <w:rsid w:val="001C2816"/>
    <w:rsid w:val="001C2B49"/>
    <w:rsid w:val="001D7F59"/>
    <w:rsid w:val="002018D7"/>
    <w:rsid w:val="002101F5"/>
    <w:rsid w:val="00212BF9"/>
    <w:rsid w:val="00216682"/>
    <w:rsid w:val="002310E7"/>
    <w:rsid w:val="00232E98"/>
    <w:rsid w:val="00245884"/>
    <w:rsid w:val="002476A6"/>
    <w:rsid w:val="002521BE"/>
    <w:rsid w:val="0025274E"/>
    <w:rsid w:val="00262003"/>
    <w:rsid w:val="002661AF"/>
    <w:rsid w:val="00276E33"/>
    <w:rsid w:val="00295E48"/>
    <w:rsid w:val="002A10FA"/>
    <w:rsid w:val="00300185"/>
    <w:rsid w:val="0032064B"/>
    <w:rsid w:val="00323F5E"/>
    <w:rsid w:val="00327DC3"/>
    <w:rsid w:val="003432C9"/>
    <w:rsid w:val="0035191B"/>
    <w:rsid w:val="00356508"/>
    <w:rsid w:val="00371B9C"/>
    <w:rsid w:val="00391483"/>
    <w:rsid w:val="003B121E"/>
    <w:rsid w:val="003C055A"/>
    <w:rsid w:val="003F0C98"/>
    <w:rsid w:val="00402402"/>
    <w:rsid w:val="004118AF"/>
    <w:rsid w:val="004163D6"/>
    <w:rsid w:val="0042536A"/>
    <w:rsid w:val="00467B39"/>
    <w:rsid w:val="00470379"/>
    <w:rsid w:val="004A693B"/>
    <w:rsid w:val="004C3897"/>
    <w:rsid w:val="00520763"/>
    <w:rsid w:val="005363A2"/>
    <w:rsid w:val="00544D0E"/>
    <w:rsid w:val="00570BE5"/>
    <w:rsid w:val="00574AB5"/>
    <w:rsid w:val="00584804"/>
    <w:rsid w:val="00590F3D"/>
    <w:rsid w:val="005A0710"/>
    <w:rsid w:val="005B024E"/>
    <w:rsid w:val="005C2458"/>
    <w:rsid w:val="005D14D0"/>
    <w:rsid w:val="00642922"/>
    <w:rsid w:val="00661F43"/>
    <w:rsid w:val="006762DE"/>
    <w:rsid w:val="00680BD2"/>
    <w:rsid w:val="006A7720"/>
    <w:rsid w:val="006F4EB0"/>
    <w:rsid w:val="006F6828"/>
    <w:rsid w:val="0070128F"/>
    <w:rsid w:val="007034F8"/>
    <w:rsid w:val="007108D8"/>
    <w:rsid w:val="00746D31"/>
    <w:rsid w:val="00754A90"/>
    <w:rsid w:val="00770BE9"/>
    <w:rsid w:val="00787057"/>
    <w:rsid w:val="007B096E"/>
    <w:rsid w:val="007B3583"/>
    <w:rsid w:val="007B3757"/>
    <w:rsid w:val="007C06F6"/>
    <w:rsid w:val="007C2CDD"/>
    <w:rsid w:val="007F599C"/>
    <w:rsid w:val="00823A5B"/>
    <w:rsid w:val="008362BF"/>
    <w:rsid w:val="008644FE"/>
    <w:rsid w:val="00874F26"/>
    <w:rsid w:val="00881CD9"/>
    <w:rsid w:val="00891816"/>
    <w:rsid w:val="008B3F81"/>
    <w:rsid w:val="008B4C0E"/>
    <w:rsid w:val="008E01E0"/>
    <w:rsid w:val="008F35A7"/>
    <w:rsid w:val="008F78AD"/>
    <w:rsid w:val="00965084"/>
    <w:rsid w:val="00970242"/>
    <w:rsid w:val="009826A7"/>
    <w:rsid w:val="00986B33"/>
    <w:rsid w:val="00987AD5"/>
    <w:rsid w:val="009A2B1E"/>
    <w:rsid w:val="009A5086"/>
    <w:rsid w:val="009B7138"/>
    <w:rsid w:val="009D2555"/>
    <w:rsid w:val="009E012A"/>
    <w:rsid w:val="009E4322"/>
    <w:rsid w:val="00A1777A"/>
    <w:rsid w:val="00A44991"/>
    <w:rsid w:val="00A4733A"/>
    <w:rsid w:val="00A8280B"/>
    <w:rsid w:val="00AC5722"/>
    <w:rsid w:val="00AD4294"/>
    <w:rsid w:val="00AF7B28"/>
    <w:rsid w:val="00B24EAB"/>
    <w:rsid w:val="00B31CC6"/>
    <w:rsid w:val="00B32B74"/>
    <w:rsid w:val="00B3692C"/>
    <w:rsid w:val="00B51D37"/>
    <w:rsid w:val="00B626D1"/>
    <w:rsid w:val="00B636FF"/>
    <w:rsid w:val="00B73C7F"/>
    <w:rsid w:val="00B8097B"/>
    <w:rsid w:val="00BA2767"/>
    <w:rsid w:val="00BC6B4F"/>
    <w:rsid w:val="00BE246D"/>
    <w:rsid w:val="00BF17AA"/>
    <w:rsid w:val="00C17F0E"/>
    <w:rsid w:val="00C24556"/>
    <w:rsid w:val="00C430E8"/>
    <w:rsid w:val="00C55820"/>
    <w:rsid w:val="00C7601D"/>
    <w:rsid w:val="00CC00EC"/>
    <w:rsid w:val="00CC472D"/>
    <w:rsid w:val="00D37A39"/>
    <w:rsid w:val="00D5418E"/>
    <w:rsid w:val="00DB57E6"/>
    <w:rsid w:val="00DC25D2"/>
    <w:rsid w:val="00DE489C"/>
    <w:rsid w:val="00E0734A"/>
    <w:rsid w:val="00E1367B"/>
    <w:rsid w:val="00E22A45"/>
    <w:rsid w:val="00E23982"/>
    <w:rsid w:val="00E252D0"/>
    <w:rsid w:val="00E378BA"/>
    <w:rsid w:val="00E4220E"/>
    <w:rsid w:val="00E4676E"/>
    <w:rsid w:val="00E56B38"/>
    <w:rsid w:val="00E63B06"/>
    <w:rsid w:val="00E70998"/>
    <w:rsid w:val="00E77636"/>
    <w:rsid w:val="00E81439"/>
    <w:rsid w:val="00E8624D"/>
    <w:rsid w:val="00EA27E1"/>
    <w:rsid w:val="00EC1E48"/>
    <w:rsid w:val="00EC2863"/>
    <w:rsid w:val="00EC3B50"/>
    <w:rsid w:val="00EC6BF0"/>
    <w:rsid w:val="00EC7D1F"/>
    <w:rsid w:val="00EF4E84"/>
    <w:rsid w:val="00EF75FD"/>
    <w:rsid w:val="00F0182D"/>
    <w:rsid w:val="00F20062"/>
    <w:rsid w:val="00F70811"/>
    <w:rsid w:val="00F72BFA"/>
    <w:rsid w:val="00F85AA6"/>
    <w:rsid w:val="00F86B3E"/>
    <w:rsid w:val="00F9442F"/>
    <w:rsid w:val="00FE2ADB"/>
    <w:rsid w:val="00FF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199B77"/>
  <w15:docId w15:val="{9F692D23-F5A3-4C99-9FCC-0310E13D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39"/>
    <w:rPr>
      <w:color w:val="0000FF" w:themeColor="hyperlink"/>
      <w:u w:val="single"/>
    </w:rPr>
  </w:style>
  <w:style w:type="paragraph" w:styleId="Caption">
    <w:name w:val="caption"/>
    <w:basedOn w:val="Normal"/>
    <w:next w:val="Normal"/>
    <w:uiPriority w:val="35"/>
    <w:semiHidden/>
    <w:unhideWhenUsed/>
    <w:qFormat/>
    <w:rsid w:val="008E01E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8E01E0"/>
    <w:pPr>
      <w:spacing w:after="0"/>
    </w:pPr>
  </w:style>
  <w:style w:type="paragraph" w:styleId="ListBullet">
    <w:name w:val="List Bullet"/>
    <w:basedOn w:val="Normal"/>
    <w:uiPriority w:val="99"/>
    <w:semiHidden/>
    <w:unhideWhenUsed/>
    <w:rsid w:val="008E01E0"/>
    <w:pPr>
      <w:numPr>
        <w:numId w:val="3"/>
      </w:numPr>
      <w:contextualSpacing/>
    </w:pPr>
  </w:style>
  <w:style w:type="paragraph" w:styleId="ListBullet2">
    <w:name w:val="List Bullet 2"/>
    <w:basedOn w:val="Normal"/>
    <w:uiPriority w:val="99"/>
    <w:semiHidden/>
    <w:unhideWhenUsed/>
    <w:rsid w:val="008E01E0"/>
    <w:pPr>
      <w:numPr>
        <w:numId w:val="4"/>
      </w:numPr>
      <w:contextualSpacing/>
    </w:pPr>
  </w:style>
  <w:style w:type="paragraph" w:styleId="ListBullet3">
    <w:name w:val="List Bullet 3"/>
    <w:basedOn w:val="Normal"/>
    <w:uiPriority w:val="99"/>
    <w:semiHidden/>
    <w:unhideWhenUsed/>
    <w:rsid w:val="008E01E0"/>
    <w:pPr>
      <w:numPr>
        <w:numId w:val="5"/>
      </w:numPr>
      <w:contextualSpacing/>
    </w:pPr>
  </w:style>
  <w:style w:type="paragraph" w:styleId="ListBullet4">
    <w:name w:val="List Bullet 4"/>
    <w:basedOn w:val="Normal"/>
    <w:uiPriority w:val="99"/>
    <w:semiHidden/>
    <w:unhideWhenUsed/>
    <w:rsid w:val="008E01E0"/>
    <w:pPr>
      <w:numPr>
        <w:numId w:val="6"/>
      </w:numPr>
      <w:contextualSpacing/>
    </w:pPr>
  </w:style>
  <w:style w:type="paragraph" w:styleId="ListNumber">
    <w:name w:val="List Number"/>
    <w:basedOn w:val="Normal"/>
    <w:uiPriority w:val="99"/>
    <w:semiHidden/>
    <w:unhideWhenUsed/>
    <w:rsid w:val="008E01E0"/>
    <w:pPr>
      <w:numPr>
        <w:numId w:val="7"/>
      </w:numPr>
      <w:contextualSpacing/>
    </w:pPr>
  </w:style>
  <w:style w:type="paragraph" w:styleId="ListNumber2">
    <w:name w:val="List Number 2"/>
    <w:basedOn w:val="Normal"/>
    <w:uiPriority w:val="99"/>
    <w:semiHidden/>
    <w:unhideWhenUsed/>
    <w:rsid w:val="008E01E0"/>
    <w:pPr>
      <w:numPr>
        <w:numId w:val="8"/>
      </w:numPr>
      <w:contextualSpacing/>
    </w:pPr>
  </w:style>
  <w:style w:type="paragraph" w:styleId="ListNumber3">
    <w:name w:val="List Number 3"/>
    <w:basedOn w:val="Normal"/>
    <w:uiPriority w:val="99"/>
    <w:semiHidden/>
    <w:unhideWhenUsed/>
    <w:rsid w:val="008E01E0"/>
    <w:pPr>
      <w:numPr>
        <w:numId w:val="9"/>
      </w:numPr>
      <w:contextualSpacing/>
    </w:pPr>
  </w:style>
  <w:style w:type="paragraph" w:styleId="ListNumber4">
    <w:name w:val="List Number 4"/>
    <w:basedOn w:val="Normal"/>
    <w:uiPriority w:val="99"/>
    <w:semiHidden/>
    <w:unhideWhenUsed/>
    <w:rsid w:val="008E01E0"/>
    <w:pPr>
      <w:numPr>
        <w:numId w:val="10"/>
      </w:numPr>
      <w:contextualSpacing/>
    </w:pPr>
  </w:style>
  <w:style w:type="character" w:styleId="CommentReference">
    <w:name w:val="annotation reference"/>
    <w:basedOn w:val="DefaultParagraphFont"/>
    <w:uiPriority w:val="99"/>
    <w:semiHidden/>
    <w:unhideWhenUsed/>
    <w:rsid w:val="00FF2ED1"/>
    <w:rPr>
      <w:sz w:val="16"/>
      <w:szCs w:val="16"/>
    </w:rPr>
  </w:style>
  <w:style w:type="paragraph" w:styleId="CommentText">
    <w:name w:val="annotation text"/>
    <w:basedOn w:val="Normal"/>
    <w:link w:val="CommentTextChar"/>
    <w:uiPriority w:val="99"/>
    <w:unhideWhenUsed/>
    <w:rsid w:val="00FF2ED1"/>
    <w:rPr>
      <w:sz w:val="20"/>
      <w:szCs w:val="20"/>
    </w:rPr>
  </w:style>
  <w:style w:type="character" w:customStyle="1" w:styleId="CommentTextChar">
    <w:name w:val="Comment Text Char"/>
    <w:basedOn w:val="DefaultParagraphFont"/>
    <w:link w:val="CommentText"/>
    <w:uiPriority w:val="99"/>
    <w:rsid w:val="00FF2ED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F2ED1"/>
    <w:rPr>
      <w:b/>
      <w:bCs/>
    </w:rPr>
  </w:style>
  <w:style w:type="character" w:customStyle="1" w:styleId="CommentSubjectChar">
    <w:name w:val="Comment Subject Char"/>
    <w:basedOn w:val="CommentTextChar"/>
    <w:link w:val="CommentSubject"/>
    <w:uiPriority w:val="99"/>
    <w:semiHidden/>
    <w:rsid w:val="00FF2ED1"/>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FF2ED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D1"/>
    <w:rPr>
      <w:rFonts w:ascii="Segoe UI" w:hAnsi="Segoe UI" w:cs="Segoe UI"/>
      <w:sz w:val="18"/>
      <w:szCs w:val="18"/>
      <w:lang w:val="en-GB"/>
    </w:rPr>
  </w:style>
  <w:style w:type="paragraph" w:styleId="Revision">
    <w:name w:val="Revision"/>
    <w:hidden/>
    <w:uiPriority w:val="99"/>
    <w:semiHidden/>
    <w:rsid w:val="00F86B3E"/>
    <w:pPr>
      <w:spacing w:after="0" w:line="240" w:lineRule="auto"/>
    </w:pPr>
    <w:rPr>
      <w:rFonts w:ascii="Times New Roman" w:hAnsi="Times New Roman" w:cs="Times New Roman"/>
      <w:sz w:val="24"/>
      <w:lang w:val="en-GB"/>
    </w:rPr>
  </w:style>
  <w:style w:type="character" w:customStyle="1" w:styleId="UnresolvedMention1">
    <w:name w:val="Unresolved Mention1"/>
    <w:basedOn w:val="DefaultParagraphFont"/>
    <w:uiPriority w:val="99"/>
    <w:semiHidden/>
    <w:unhideWhenUsed/>
    <w:rsid w:val="00EA27E1"/>
    <w:rPr>
      <w:color w:val="605E5C"/>
      <w:shd w:val="clear" w:color="auto" w:fill="E1DFDD"/>
    </w:rPr>
  </w:style>
  <w:style w:type="character" w:styleId="FollowedHyperlink">
    <w:name w:val="FollowedHyperlink"/>
    <w:basedOn w:val="DefaultParagraphFont"/>
    <w:uiPriority w:val="99"/>
    <w:semiHidden/>
    <w:unhideWhenUsed/>
    <w:rsid w:val="00E252D0"/>
    <w:rPr>
      <w:color w:val="800080" w:themeColor="followedHyperlink"/>
      <w:u w:val="single"/>
    </w:rPr>
  </w:style>
  <w:style w:type="paragraph" w:styleId="Header">
    <w:name w:val="header"/>
    <w:basedOn w:val="Normal"/>
    <w:link w:val="HeaderChar"/>
    <w:uiPriority w:val="99"/>
    <w:unhideWhenUsed/>
    <w:rsid w:val="00584804"/>
    <w:pPr>
      <w:tabs>
        <w:tab w:val="center" w:pos="4535"/>
        <w:tab w:val="right" w:pos="9071"/>
      </w:tabs>
      <w:spacing w:before="0"/>
    </w:pPr>
  </w:style>
  <w:style w:type="character" w:customStyle="1" w:styleId="HeaderChar">
    <w:name w:val="Header Char"/>
    <w:basedOn w:val="DefaultParagraphFont"/>
    <w:link w:val="Header"/>
    <w:uiPriority w:val="99"/>
    <w:rsid w:val="00584804"/>
    <w:rPr>
      <w:rFonts w:ascii="Times New Roman" w:hAnsi="Times New Roman" w:cs="Times New Roman"/>
      <w:sz w:val="24"/>
      <w:lang w:val="en-GB"/>
    </w:rPr>
  </w:style>
  <w:style w:type="paragraph" w:styleId="Footer">
    <w:name w:val="footer"/>
    <w:basedOn w:val="Normal"/>
    <w:link w:val="FooterChar"/>
    <w:uiPriority w:val="99"/>
    <w:unhideWhenUsed/>
    <w:rsid w:val="0058480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84804"/>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584804"/>
    <w:pPr>
      <w:tabs>
        <w:tab w:val="center" w:pos="7285"/>
        <w:tab w:val="right" w:pos="14003"/>
      </w:tabs>
      <w:spacing w:before="0"/>
    </w:pPr>
  </w:style>
  <w:style w:type="paragraph" w:customStyle="1" w:styleId="FooterLandscape">
    <w:name w:val="FooterLandscape"/>
    <w:basedOn w:val="Normal"/>
    <w:rsid w:val="0058480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8480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84804"/>
    <w:pPr>
      <w:spacing w:before="0"/>
      <w:jc w:val="right"/>
    </w:pPr>
    <w:rPr>
      <w:sz w:val="28"/>
    </w:rPr>
  </w:style>
  <w:style w:type="paragraph" w:customStyle="1" w:styleId="FooterSensitivity">
    <w:name w:val="Footer Sensitivity"/>
    <w:basedOn w:val="Normal"/>
    <w:rsid w:val="0058480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spar.org/site/assets/files/38964/01_naces_rev_nomination_proforma_20221201_version_for_consult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D5B70B8-1023-46AB-B80B-6A9EF66C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14</TotalTime>
  <Pages>7</Pages>
  <Words>2094</Words>
  <Characters>11372</Characters>
  <Application>Microsoft Office Word</Application>
  <DocSecurity>0</DocSecurity>
  <Lines>196</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55</cp:revision>
  <dcterms:created xsi:type="dcterms:W3CDTF">2023-03-14T16:03:00Z</dcterms:created>
  <dcterms:modified xsi:type="dcterms:W3CDTF">2023-04-28T14:50:00Z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8.1, Build 20230124</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2023-01-24T16:36:21Z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b072775b-6bb5-45fe-bf07-5a759b8b6e6e</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