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E2378" w14:textId="0CFE5D8C" w:rsidR="005F4EDC" w:rsidRPr="004D53CF" w:rsidRDefault="00362749" w:rsidP="00362749">
      <w:pPr>
        <w:pStyle w:val="Pagedecouverture"/>
        <w:rPr>
          <w:noProof/>
        </w:rPr>
      </w:pPr>
      <w:bookmarkStart w:id="0" w:name="LW_BM_COVERPAGE"/>
      <w:r>
        <w:rPr>
          <w:noProof/>
        </w:rPr>
        <w:pict w14:anchorId="0A153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1C31F70-6C79-41CD-A14E-C48DFFF16AC2" style="width:455.25pt;height:296.25pt">
            <v:imagedata r:id="rId8" o:title=""/>
          </v:shape>
        </w:pict>
      </w:r>
    </w:p>
    <w:bookmarkEnd w:id="0"/>
    <w:p w14:paraId="39B73C1F" w14:textId="77777777" w:rsidR="005F4EDC" w:rsidRPr="004D53CF" w:rsidRDefault="005F4EDC" w:rsidP="005F4EDC">
      <w:pPr>
        <w:rPr>
          <w:rFonts w:ascii="Times New Roman" w:hAnsi="Times New Roman" w:cs="Times New Roman"/>
          <w:noProof/>
          <w:sz w:val="24"/>
          <w:szCs w:val="24"/>
        </w:rPr>
        <w:sectPr w:rsidR="005F4EDC" w:rsidRPr="004D53CF" w:rsidSect="0036274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55ED8A" w14:textId="77777777" w:rsidR="00A70417" w:rsidRPr="004D53CF" w:rsidRDefault="00A70417" w:rsidP="00D61044">
      <w:pPr>
        <w:pStyle w:val="ListParagraph"/>
        <w:numPr>
          <w:ilvl w:val="0"/>
          <w:numId w:val="1"/>
        </w:numPr>
        <w:spacing w:after="120" w:line="240" w:lineRule="auto"/>
        <w:rPr>
          <w:rFonts w:ascii="Times New Roman" w:hAnsi="Times New Roman" w:cs="Times New Roman"/>
          <w:noProof/>
          <w:sz w:val="24"/>
          <w:szCs w:val="24"/>
          <w:u w:val="single"/>
          <w:lang w:val="en-IE"/>
        </w:rPr>
      </w:pPr>
      <w:bookmarkStart w:id="1" w:name="_Hlk138074336"/>
      <w:bookmarkStart w:id="2" w:name="_GoBack"/>
      <w:bookmarkEnd w:id="2"/>
      <w:r w:rsidRPr="004D53CF">
        <w:rPr>
          <w:rFonts w:ascii="Times New Roman" w:hAnsi="Times New Roman" w:cs="Times New Roman"/>
          <w:b/>
          <w:bCs/>
          <w:noProof/>
          <w:sz w:val="24"/>
          <w:szCs w:val="24"/>
          <w:u w:val="single"/>
          <w:lang w:val="en-IE"/>
        </w:rPr>
        <w:lastRenderedPageBreak/>
        <w:t>Introduction</w:t>
      </w:r>
    </w:p>
    <w:p w14:paraId="24452DFD" w14:textId="341BE5E0" w:rsidR="00E944E2" w:rsidRDefault="00A70417" w:rsidP="003A3563">
      <w:pPr>
        <w:spacing w:after="120" w:line="240" w:lineRule="auto"/>
        <w:jc w:val="both"/>
        <w:rPr>
          <w:rFonts w:ascii="Times New Roman" w:hAnsi="Times New Roman" w:cs="Times New Roman"/>
          <w:noProof/>
          <w:sz w:val="24"/>
          <w:szCs w:val="24"/>
          <w:lang w:val="en-IE"/>
        </w:rPr>
      </w:pPr>
      <w:r w:rsidRPr="003E5E29">
        <w:rPr>
          <w:rFonts w:ascii="Times New Roman" w:hAnsi="Times New Roman" w:cs="Times New Roman"/>
          <w:noProof/>
          <w:sz w:val="24"/>
          <w:szCs w:val="24"/>
          <w:lang w:val="en-IE"/>
        </w:rPr>
        <w:t xml:space="preserve">The Global Anti-Base Erosion (GloBE) Model Rules concerning Pillar Two </w:t>
      </w:r>
      <w:r w:rsidR="003A3563" w:rsidRPr="003A3563">
        <w:rPr>
          <w:rFonts w:ascii="Times New Roman" w:hAnsi="Times New Roman" w:cs="Times New Roman"/>
          <w:noProof/>
          <w:sz w:val="24"/>
          <w:szCs w:val="24"/>
          <w:lang w:val="en-IE"/>
        </w:rPr>
        <w:t xml:space="preserve">of the </w:t>
      </w:r>
      <w:r w:rsidR="003A4FD3">
        <w:rPr>
          <w:rFonts w:ascii="Times New Roman" w:hAnsi="Times New Roman" w:cs="Times New Roman"/>
          <w:noProof/>
          <w:sz w:val="24"/>
          <w:szCs w:val="24"/>
          <w:lang w:val="en-IE"/>
        </w:rPr>
        <w:t>October</w:t>
      </w:r>
      <w:r w:rsidR="00FB47FA">
        <w:rPr>
          <w:rFonts w:ascii="Times New Roman" w:hAnsi="Times New Roman" w:cs="Times New Roman"/>
          <w:noProof/>
          <w:sz w:val="24"/>
          <w:szCs w:val="24"/>
          <w:lang w:val="en-IE"/>
        </w:rPr>
        <w:t> </w:t>
      </w:r>
      <w:r w:rsidR="003A4FD3">
        <w:rPr>
          <w:rFonts w:ascii="Times New Roman" w:hAnsi="Times New Roman" w:cs="Times New Roman"/>
          <w:noProof/>
          <w:sz w:val="24"/>
          <w:szCs w:val="24"/>
          <w:lang w:val="en-IE"/>
        </w:rPr>
        <w:t>2021</w:t>
      </w:r>
      <w:r w:rsidR="00FD1F24">
        <w:rPr>
          <w:rFonts w:ascii="Times New Roman" w:hAnsi="Times New Roman" w:cs="Times New Roman"/>
          <w:noProof/>
          <w:sz w:val="24"/>
          <w:szCs w:val="24"/>
          <w:lang w:val="en-IE"/>
        </w:rPr>
        <w:t xml:space="preserve"> statement of the </w:t>
      </w:r>
      <w:r w:rsidR="00FD1F24" w:rsidRPr="00F173FE">
        <w:rPr>
          <w:rFonts w:ascii="Times New Roman" w:hAnsi="Times New Roman" w:cs="Times New Roman"/>
          <w:noProof/>
          <w:sz w:val="24"/>
          <w:szCs w:val="24"/>
          <w:lang w:val="en-IE"/>
        </w:rPr>
        <w:t xml:space="preserve">Inclusive Framework on </w:t>
      </w:r>
      <w:r w:rsidR="00FD1F24">
        <w:rPr>
          <w:rFonts w:ascii="Times New Roman" w:hAnsi="Times New Roman" w:cs="Times New Roman"/>
          <w:noProof/>
          <w:sz w:val="24"/>
          <w:szCs w:val="24"/>
          <w:lang w:val="en-IE"/>
        </w:rPr>
        <w:t xml:space="preserve">Base Erosion and Profit Shifting </w:t>
      </w:r>
      <w:r w:rsidR="00FD1F24" w:rsidRPr="00F173FE">
        <w:rPr>
          <w:rFonts w:ascii="Times New Roman" w:hAnsi="Times New Roman" w:cs="Times New Roman"/>
          <w:noProof/>
          <w:sz w:val="24"/>
          <w:szCs w:val="24"/>
          <w:lang w:val="en-IE"/>
        </w:rPr>
        <w:t>(IF on BEPS)</w:t>
      </w:r>
      <w:r w:rsidR="003A3563">
        <w:rPr>
          <w:rStyle w:val="FootnoteReference"/>
          <w:rFonts w:ascii="Times New Roman" w:hAnsi="Times New Roman" w:cs="Times New Roman"/>
          <w:noProof/>
          <w:sz w:val="24"/>
          <w:szCs w:val="24"/>
          <w:lang w:val="en-IE"/>
        </w:rPr>
        <w:footnoteReference w:id="1"/>
      </w:r>
      <w:r w:rsidR="003A3563" w:rsidRPr="003A3563">
        <w:rPr>
          <w:rFonts w:ascii="Times New Roman" w:hAnsi="Times New Roman" w:cs="Times New Roman"/>
          <w:noProof/>
          <w:sz w:val="24"/>
          <w:szCs w:val="24"/>
          <w:lang w:val="en-IE"/>
        </w:rPr>
        <w:t xml:space="preserve"> </w:t>
      </w:r>
      <w:r w:rsidRPr="003E5E29">
        <w:rPr>
          <w:rFonts w:ascii="Times New Roman" w:hAnsi="Times New Roman" w:cs="Times New Roman"/>
          <w:noProof/>
          <w:sz w:val="24"/>
          <w:szCs w:val="24"/>
          <w:lang w:val="en-IE"/>
        </w:rPr>
        <w:t xml:space="preserve">were approved on 14 December 2021 and released by the </w:t>
      </w:r>
      <w:r w:rsidR="003A3563">
        <w:rPr>
          <w:rFonts w:ascii="Times New Roman" w:hAnsi="Times New Roman" w:cs="Times New Roman"/>
          <w:noProof/>
          <w:sz w:val="24"/>
          <w:szCs w:val="24"/>
          <w:lang w:val="en-IE"/>
        </w:rPr>
        <w:t>Organisation for Economic Co-operation and Development (</w:t>
      </w:r>
      <w:r w:rsidRPr="003E5E29">
        <w:rPr>
          <w:rFonts w:ascii="Times New Roman" w:hAnsi="Times New Roman" w:cs="Times New Roman"/>
          <w:noProof/>
          <w:sz w:val="24"/>
          <w:szCs w:val="24"/>
          <w:lang w:val="en-IE"/>
        </w:rPr>
        <w:t>OECD</w:t>
      </w:r>
      <w:r w:rsidR="003A3563">
        <w:rPr>
          <w:rFonts w:ascii="Times New Roman" w:hAnsi="Times New Roman" w:cs="Times New Roman"/>
          <w:noProof/>
          <w:sz w:val="24"/>
          <w:szCs w:val="24"/>
          <w:lang w:val="en-IE"/>
        </w:rPr>
        <w:t>)</w:t>
      </w:r>
      <w:r w:rsidRPr="003E5E29">
        <w:rPr>
          <w:rFonts w:ascii="Times New Roman" w:hAnsi="Times New Roman" w:cs="Times New Roman"/>
          <w:noProof/>
          <w:sz w:val="24"/>
          <w:szCs w:val="24"/>
          <w:lang w:val="en-IE"/>
        </w:rPr>
        <w:t xml:space="preserve"> on 20 December 2021</w:t>
      </w:r>
      <w:r w:rsidRPr="004D53CF">
        <w:rPr>
          <w:rStyle w:val="FootnoteReference"/>
          <w:rFonts w:ascii="Times New Roman" w:hAnsi="Times New Roman" w:cs="Times New Roman"/>
          <w:noProof/>
          <w:sz w:val="24"/>
          <w:szCs w:val="24"/>
          <w:lang w:val="en-IE"/>
        </w:rPr>
        <w:footnoteReference w:id="2"/>
      </w:r>
      <w:r w:rsidRPr="003E5E29">
        <w:rPr>
          <w:rFonts w:ascii="Times New Roman" w:hAnsi="Times New Roman" w:cs="Times New Roman"/>
          <w:noProof/>
          <w:sz w:val="24"/>
          <w:szCs w:val="24"/>
          <w:lang w:val="en-IE"/>
        </w:rPr>
        <w:t xml:space="preserve">. </w:t>
      </w:r>
      <w:r w:rsidR="00E944E2">
        <w:rPr>
          <w:rFonts w:ascii="Times New Roman" w:hAnsi="Times New Roman" w:cs="Times New Roman"/>
          <w:noProof/>
          <w:sz w:val="24"/>
          <w:szCs w:val="24"/>
          <w:lang w:val="en-IE"/>
        </w:rPr>
        <w:t xml:space="preserve">The OECD is currently finalising the technical work on certain aspects of the Administrative Guidance (including the </w:t>
      </w:r>
      <w:r w:rsidR="00E944E2" w:rsidRPr="00E944E2">
        <w:rPr>
          <w:rFonts w:ascii="Times New Roman" w:hAnsi="Times New Roman" w:cs="Times New Roman"/>
          <w:noProof/>
          <w:sz w:val="24"/>
          <w:szCs w:val="24"/>
          <w:lang w:val="en-IE"/>
        </w:rPr>
        <w:t xml:space="preserve">Qualified Domestic Minimum Top-up Tax </w:t>
      </w:r>
      <w:r w:rsidR="00E944E2">
        <w:rPr>
          <w:rFonts w:ascii="Times New Roman" w:hAnsi="Times New Roman" w:cs="Times New Roman"/>
          <w:noProof/>
          <w:sz w:val="24"/>
          <w:szCs w:val="24"/>
          <w:lang w:val="en-IE"/>
        </w:rPr>
        <w:t>S</w:t>
      </w:r>
      <w:r w:rsidR="00E944E2" w:rsidRPr="00E944E2">
        <w:rPr>
          <w:rFonts w:ascii="Times New Roman" w:hAnsi="Times New Roman" w:cs="Times New Roman"/>
          <w:noProof/>
          <w:sz w:val="24"/>
          <w:szCs w:val="24"/>
          <w:lang w:val="en-IE"/>
        </w:rPr>
        <w:t xml:space="preserve">afe </w:t>
      </w:r>
      <w:r w:rsidR="00E944E2">
        <w:rPr>
          <w:rFonts w:ascii="Times New Roman" w:hAnsi="Times New Roman" w:cs="Times New Roman"/>
          <w:noProof/>
          <w:sz w:val="24"/>
          <w:szCs w:val="24"/>
          <w:lang w:val="en-IE"/>
        </w:rPr>
        <w:t>H</w:t>
      </w:r>
      <w:r w:rsidR="00E944E2" w:rsidRPr="00E944E2">
        <w:rPr>
          <w:rFonts w:ascii="Times New Roman" w:hAnsi="Times New Roman" w:cs="Times New Roman"/>
          <w:noProof/>
          <w:sz w:val="24"/>
          <w:szCs w:val="24"/>
          <w:lang w:val="en-IE"/>
        </w:rPr>
        <w:t>arbour</w:t>
      </w:r>
      <w:r w:rsidR="007F2DF9">
        <w:rPr>
          <w:rFonts w:ascii="Times New Roman" w:hAnsi="Times New Roman" w:cs="Times New Roman"/>
          <w:noProof/>
          <w:sz w:val="24"/>
          <w:szCs w:val="24"/>
          <w:lang w:val="en-IE"/>
        </w:rPr>
        <w:t>, the</w:t>
      </w:r>
      <w:r w:rsidR="00E944E2" w:rsidRPr="00E944E2">
        <w:rPr>
          <w:rFonts w:ascii="Times New Roman" w:hAnsi="Times New Roman" w:cs="Times New Roman"/>
          <w:noProof/>
          <w:sz w:val="24"/>
          <w:szCs w:val="24"/>
          <w:lang w:val="en-IE"/>
        </w:rPr>
        <w:t xml:space="preserve"> Transitional Under</w:t>
      </w:r>
      <w:r w:rsidR="00595248">
        <w:rPr>
          <w:rFonts w:ascii="Times New Roman" w:hAnsi="Times New Roman" w:cs="Times New Roman"/>
          <w:noProof/>
          <w:sz w:val="24"/>
          <w:szCs w:val="24"/>
          <w:lang w:val="en-IE"/>
        </w:rPr>
        <w:t xml:space="preserve"> </w:t>
      </w:r>
      <w:r w:rsidR="00E944E2" w:rsidRPr="00E944E2">
        <w:rPr>
          <w:rFonts w:ascii="Times New Roman" w:hAnsi="Times New Roman" w:cs="Times New Roman"/>
          <w:noProof/>
          <w:sz w:val="24"/>
          <w:szCs w:val="24"/>
          <w:lang w:val="en-IE"/>
        </w:rPr>
        <w:t>Taxed Profit Rule</w:t>
      </w:r>
      <w:r w:rsidR="00E944E2">
        <w:rPr>
          <w:rFonts w:ascii="Times New Roman" w:hAnsi="Times New Roman" w:cs="Times New Roman"/>
          <w:noProof/>
          <w:sz w:val="24"/>
          <w:szCs w:val="24"/>
          <w:lang w:val="en-IE"/>
        </w:rPr>
        <w:t xml:space="preserve"> S</w:t>
      </w:r>
      <w:r w:rsidR="00E944E2" w:rsidRPr="00E944E2">
        <w:rPr>
          <w:rFonts w:ascii="Times New Roman" w:hAnsi="Times New Roman" w:cs="Times New Roman"/>
          <w:noProof/>
          <w:sz w:val="24"/>
          <w:szCs w:val="24"/>
          <w:lang w:val="en-IE"/>
        </w:rPr>
        <w:t xml:space="preserve">afe </w:t>
      </w:r>
      <w:r w:rsidR="00E944E2">
        <w:rPr>
          <w:rFonts w:ascii="Times New Roman" w:hAnsi="Times New Roman" w:cs="Times New Roman"/>
          <w:noProof/>
          <w:sz w:val="24"/>
          <w:szCs w:val="24"/>
          <w:lang w:val="en-IE"/>
        </w:rPr>
        <w:t>H</w:t>
      </w:r>
      <w:r w:rsidR="00E944E2" w:rsidRPr="00E944E2">
        <w:rPr>
          <w:rFonts w:ascii="Times New Roman" w:hAnsi="Times New Roman" w:cs="Times New Roman"/>
          <w:noProof/>
          <w:sz w:val="24"/>
          <w:szCs w:val="24"/>
          <w:lang w:val="en-IE"/>
        </w:rPr>
        <w:t>arbour</w:t>
      </w:r>
      <w:r w:rsidR="007F2DF9">
        <w:rPr>
          <w:rFonts w:ascii="Times New Roman" w:hAnsi="Times New Roman" w:cs="Times New Roman"/>
          <w:noProof/>
          <w:sz w:val="24"/>
          <w:szCs w:val="24"/>
          <w:lang w:val="en-IE"/>
        </w:rPr>
        <w:t xml:space="preserve"> and the GloBE Information return</w:t>
      </w:r>
      <w:r w:rsidR="00E944E2">
        <w:rPr>
          <w:rFonts w:ascii="Times New Roman" w:hAnsi="Times New Roman" w:cs="Times New Roman"/>
          <w:noProof/>
          <w:sz w:val="24"/>
          <w:szCs w:val="24"/>
          <w:lang w:val="en-IE"/>
        </w:rPr>
        <w:t xml:space="preserve">) and plans to wrap up this work by July 2023. </w:t>
      </w:r>
    </w:p>
    <w:p w14:paraId="5A1E6612" w14:textId="2FF60A17" w:rsidR="00F173FE" w:rsidRDefault="00A70417" w:rsidP="00D61044">
      <w:pPr>
        <w:spacing w:after="120" w:line="240" w:lineRule="auto"/>
        <w:jc w:val="both"/>
        <w:rPr>
          <w:rFonts w:ascii="Times New Roman" w:hAnsi="Times New Roman" w:cs="Times New Roman"/>
          <w:noProof/>
          <w:sz w:val="24"/>
          <w:szCs w:val="24"/>
          <w:lang w:val="en-IE"/>
        </w:rPr>
      </w:pPr>
      <w:r w:rsidRPr="003E5E29">
        <w:rPr>
          <w:rFonts w:ascii="Times New Roman" w:hAnsi="Times New Roman" w:cs="Times New Roman"/>
          <w:noProof/>
          <w:sz w:val="24"/>
          <w:szCs w:val="24"/>
          <w:lang w:val="en-IE"/>
        </w:rPr>
        <w:t xml:space="preserve">The GloBE </w:t>
      </w:r>
      <w:r w:rsidR="00E944E2" w:rsidRPr="003E5E29">
        <w:rPr>
          <w:rFonts w:ascii="Times New Roman" w:hAnsi="Times New Roman" w:cs="Times New Roman"/>
          <w:noProof/>
          <w:sz w:val="24"/>
          <w:szCs w:val="24"/>
          <w:lang w:val="en-IE"/>
        </w:rPr>
        <w:t>Model Rules concerning Pillar Two</w:t>
      </w:r>
      <w:r w:rsidRPr="003E5E29">
        <w:rPr>
          <w:rFonts w:ascii="Times New Roman" w:hAnsi="Times New Roman" w:cs="Times New Roman"/>
          <w:noProof/>
          <w:sz w:val="24"/>
          <w:szCs w:val="24"/>
          <w:lang w:val="en-IE"/>
        </w:rPr>
        <w:t xml:space="preserve"> were implemented in EU law through the Directive on ensuring a global minimum level of taxation for multinational enterprise groups and large-scale domestic groups in the Union of 1</w:t>
      </w:r>
      <w:r w:rsidR="00B4032E">
        <w:rPr>
          <w:rFonts w:ascii="Times New Roman" w:hAnsi="Times New Roman" w:cs="Times New Roman"/>
          <w:noProof/>
          <w:sz w:val="24"/>
          <w:szCs w:val="24"/>
          <w:lang w:val="en-IE"/>
        </w:rPr>
        <w:t>5</w:t>
      </w:r>
      <w:r w:rsidRPr="003E5E29">
        <w:rPr>
          <w:rFonts w:ascii="Times New Roman" w:hAnsi="Times New Roman" w:cs="Times New Roman"/>
          <w:noProof/>
          <w:sz w:val="24"/>
          <w:szCs w:val="24"/>
          <w:lang w:val="en-IE"/>
        </w:rPr>
        <w:t xml:space="preserve"> December 2022</w:t>
      </w:r>
      <w:r w:rsidR="003A3563">
        <w:rPr>
          <w:rFonts w:ascii="Times New Roman" w:hAnsi="Times New Roman" w:cs="Times New Roman"/>
          <w:noProof/>
          <w:sz w:val="24"/>
          <w:szCs w:val="24"/>
          <w:lang w:val="en-IE"/>
        </w:rPr>
        <w:t xml:space="preserve"> (Pillar </w:t>
      </w:r>
      <w:r w:rsidR="00D856A7">
        <w:rPr>
          <w:rFonts w:ascii="Times New Roman" w:hAnsi="Times New Roman" w:cs="Times New Roman"/>
          <w:noProof/>
          <w:sz w:val="24"/>
          <w:szCs w:val="24"/>
          <w:lang w:val="en-IE"/>
        </w:rPr>
        <w:t>Two</w:t>
      </w:r>
      <w:r w:rsidR="003A3563">
        <w:rPr>
          <w:rFonts w:ascii="Times New Roman" w:hAnsi="Times New Roman" w:cs="Times New Roman"/>
          <w:noProof/>
          <w:sz w:val="24"/>
          <w:szCs w:val="24"/>
          <w:lang w:val="en-IE"/>
        </w:rPr>
        <w:t xml:space="preserve"> Directive)</w:t>
      </w:r>
      <w:r w:rsidRPr="003E5E29">
        <w:rPr>
          <w:rFonts w:ascii="Times New Roman" w:hAnsi="Times New Roman" w:cs="Times New Roman"/>
          <w:noProof/>
          <w:sz w:val="24"/>
          <w:szCs w:val="24"/>
          <w:lang w:val="en-IE"/>
        </w:rPr>
        <w:t>.</w:t>
      </w:r>
      <w:r w:rsidRPr="004D53CF">
        <w:rPr>
          <w:rStyle w:val="FootnoteReference"/>
          <w:rFonts w:ascii="Times New Roman" w:hAnsi="Times New Roman" w:cs="Times New Roman"/>
          <w:noProof/>
          <w:sz w:val="24"/>
          <w:szCs w:val="24"/>
          <w:lang w:val="en-IE"/>
        </w:rPr>
        <w:footnoteReference w:id="3"/>
      </w:r>
      <w:r w:rsidRPr="003E5E29">
        <w:rPr>
          <w:rFonts w:ascii="Times New Roman" w:hAnsi="Times New Roman" w:cs="Times New Roman"/>
          <w:noProof/>
          <w:sz w:val="24"/>
          <w:szCs w:val="24"/>
          <w:lang w:val="en-IE"/>
        </w:rPr>
        <w:t xml:space="preserve"> </w:t>
      </w:r>
      <w:r w:rsidR="00F173FE" w:rsidRPr="003E5E29">
        <w:rPr>
          <w:rFonts w:ascii="Times New Roman" w:hAnsi="Times New Roman" w:cs="Times New Roman"/>
          <w:noProof/>
          <w:sz w:val="24"/>
          <w:szCs w:val="24"/>
          <w:lang w:val="en-IE"/>
        </w:rPr>
        <w:t xml:space="preserve">Article 57 of the </w:t>
      </w:r>
      <w:r w:rsidR="003A3563">
        <w:rPr>
          <w:rFonts w:ascii="Times New Roman" w:hAnsi="Times New Roman" w:cs="Times New Roman"/>
          <w:noProof/>
          <w:sz w:val="24"/>
          <w:szCs w:val="24"/>
          <w:lang w:val="en-IE"/>
        </w:rPr>
        <w:t xml:space="preserve">Pillar </w:t>
      </w:r>
      <w:r w:rsidR="00D856A7">
        <w:rPr>
          <w:rFonts w:ascii="Times New Roman" w:hAnsi="Times New Roman" w:cs="Times New Roman"/>
          <w:noProof/>
          <w:sz w:val="24"/>
          <w:szCs w:val="24"/>
          <w:lang w:val="en-IE"/>
        </w:rPr>
        <w:t>Two</w:t>
      </w:r>
      <w:r w:rsidR="003A3563">
        <w:rPr>
          <w:rFonts w:ascii="Times New Roman" w:hAnsi="Times New Roman" w:cs="Times New Roman"/>
          <w:noProof/>
          <w:sz w:val="24"/>
          <w:szCs w:val="24"/>
          <w:lang w:val="en-IE"/>
        </w:rPr>
        <w:t xml:space="preserve"> </w:t>
      </w:r>
      <w:r w:rsidR="003A4FD3">
        <w:rPr>
          <w:rFonts w:ascii="Times New Roman" w:hAnsi="Times New Roman" w:cs="Times New Roman"/>
          <w:noProof/>
          <w:sz w:val="24"/>
          <w:szCs w:val="24"/>
          <w:lang w:val="en-IE"/>
        </w:rPr>
        <w:t xml:space="preserve">Directive </w:t>
      </w:r>
      <w:r w:rsidR="003A3563">
        <w:rPr>
          <w:rFonts w:ascii="Times New Roman" w:hAnsi="Times New Roman" w:cs="Times New Roman"/>
          <w:noProof/>
          <w:sz w:val="24"/>
          <w:szCs w:val="24"/>
          <w:lang w:val="en-IE"/>
        </w:rPr>
        <w:t xml:space="preserve">requires the Commission, by </w:t>
      </w:r>
      <w:r w:rsidR="003A3563" w:rsidRPr="003E5E29">
        <w:rPr>
          <w:rFonts w:ascii="Times New Roman" w:hAnsi="Times New Roman" w:cs="Times New Roman"/>
          <w:noProof/>
          <w:sz w:val="24"/>
          <w:szCs w:val="24"/>
          <w:lang w:val="en-IE"/>
        </w:rPr>
        <w:t>30 June 2023</w:t>
      </w:r>
      <w:r w:rsidR="003A3563">
        <w:rPr>
          <w:rFonts w:ascii="Times New Roman" w:hAnsi="Times New Roman" w:cs="Times New Roman"/>
          <w:noProof/>
          <w:sz w:val="24"/>
          <w:szCs w:val="24"/>
          <w:lang w:val="en-IE"/>
        </w:rPr>
        <w:t xml:space="preserve">, to submit a </w:t>
      </w:r>
      <w:r w:rsidR="00F173FE" w:rsidRPr="003E5E29">
        <w:rPr>
          <w:rFonts w:ascii="Times New Roman" w:hAnsi="Times New Roman" w:cs="Times New Roman"/>
          <w:noProof/>
          <w:sz w:val="24"/>
          <w:szCs w:val="24"/>
          <w:lang w:val="en-IE"/>
        </w:rPr>
        <w:t>report to the Council on the implementation o</w:t>
      </w:r>
      <w:r w:rsidR="003A3563">
        <w:rPr>
          <w:rFonts w:ascii="Times New Roman" w:hAnsi="Times New Roman" w:cs="Times New Roman"/>
          <w:noProof/>
          <w:sz w:val="24"/>
          <w:szCs w:val="24"/>
          <w:lang w:val="en-IE"/>
        </w:rPr>
        <w:t>f</w:t>
      </w:r>
      <w:r w:rsidR="00F173FE" w:rsidRPr="003E5E29">
        <w:rPr>
          <w:rFonts w:ascii="Times New Roman" w:hAnsi="Times New Roman" w:cs="Times New Roman"/>
          <w:noProof/>
          <w:sz w:val="24"/>
          <w:szCs w:val="24"/>
          <w:lang w:val="en-IE"/>
        </w:rPr>
        <w:t xml:space="preserve"> Pillar One </w:t>
      </w:r>
      <w:r w:rsidR="003A4FD3">
        <w:rPr>
          <w:rFonts w:ascii="Times New Roman" w:hAnsi="Times New Roman" w:cs="Times New Roman"/>
          <w:noProof/>
          <w:sz w:val="24"/>
          <w:szCs w:val="24"/>
          <w:lang w:val="en-IE"/>
        </w:rPr>
        <w:t>of the October 2021</w:t>
      </w:r>
      <w:r w:rsidR="00D45AF0">
        <w:rPr>
          <w:rFonts w:ascii="Times New Roman" w:hAnsi="Times New Roman" w:cs="Times New Roman"/>
          <w:noProof/>
          <w:sz w:val="24"/>
          <w:szCs w:val="24"/>
          <w:lang w:val="en-IE"/>
        </w:rPr>
        <w:t xml:space="preserve"> </w:t>
      </w:r>
      <w:r w:rsidR="003A4FD3">
        <w:rPr>
          <w:rFonts w:ascii="Times New Roman" w:hAnsi="Times New Roman" w:cs="Times New Roman"/>
          <w:noProof/>
          <w:sz w:val="24"/>
          <w:szCs w:val="24"/>
          <w:lang w:val="en-IE"/>
        </w:rPr>
        <w:t xml:space="preserve">statement. </w:t>
      </w:r>
      <w:r w:rsidR="00F173FE" w:rsidRPr="003E5E29">
        <w:rPr>
          <w:rFonts w:ascii="Times New Roman" w:hAnsi="Times New Roman" w:cs="Times New Roman"/>
          <w:noProof/>
          <w:sz w:val="24"/>
          <w:szCs w:val="24"/>
          <w:lang w:val="en-IE"/>
        </w:rPr>
        <w:t>This report provides a brief assessment of the state of play of the negotiations at the OECD on Pillar One.</w:t>
      </w:r>
      <w:r w:rsidRPr="003E5E29">
        <w:rPr>
          <w:rFonts w:ascii="Times New Roman" w:hAnsi="Times New Roman" w:cs="Times New Roman"/>
          <w:noProof/>
          <w:sz w:val="24"/>
          <w:szCs w:val="24"/>
          <w:lang w:val="en-IE"/>
        </w:rPr>
        <w:t xml:space="preserve"> As currently the work on Pillar One is still ongoing at the OECD level, this report provides an assessment of the implementation of Pillar One at the time of writing this report.</w:t>
      </w:r>
    </w:p>
    <w:p w14:paraId="3926B519" w14:textId="77777777" w:rsidR="00882246" w:rsidRPr="003E5E29" w:rsidRDefault="00882246" w:rsidP="00D61044">
      <w:pPr>
        <w:spacing w:after="120" w:line="240" w:lineRule="auto"/>
        <w:contextualSpacing/>
        <w:jc w:val="both"/>
        <w:rPr>
          <w:rFonts w:ascii="Times New Roman" w:hAnsi="Times New Roman" w:cs="Times New Roman"/>
          <w:noProof/>
          <w:sz w:val="24"/>
          <w:szCs w:val="24"/>
          <w:lang w:val="en-IE"/>
        </w:rPr>
      </w:pPr>
    </w:p>
    <w:bookmarkEnd w:id="1"/>
    <w:p w14:paraId="30EF2438"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lang w:val="en-IE"/>
        </w:rPr>
      </w:pPr>
      <w:r w:rsidRPr="004D53CF">
        <w:rPr>
          <w:rFonts w:ascii="Times New Roman" w:hAnsi="Times New Roman" w:cs="Times New Roman"/>
          <w:b/>
          <w:bCs/>
          <w:noProof/>
          <w:sz w:val="24"/>
          <w:szCs w:val="24"/>
          <w:u w:val="single"/>
          <w:lang w:val="en-IE"/>
        </w:rPr>
        <w:t>Assessment on implementation of Pillar One</w:t>
      </w:r>
    </w:p>
    <w:p w14:paraId="28F5C999" w14:textId="1BE3BFBD" w:rsidR="00EE7E30" w:rsidRDefault="00882246" w:rsidP="00D61044">
      <w:pPr>
        <w:spacing w:after="120" w:line="240" w:lineRule="auto"/>
        <w:jc w:val="both"/>
        <w:rPr>
          <w:rFonts w:ascii="Times New Roman" w:hAnsi="Times New Roman" w:cs="Times New Roman"/>
          <w:noProof/>
          <w:sz w:val="24"/>
          <w:szCs w:val="24"/>
          <w:lang w:val="en-IE"/>
        </w:rPr>
      </w:pPr>
      <w:r w:rsidRPr="00882246">
        <w:rPr>
          <w:rFonts w:ascii="Times New Roman" w:hAnsi="Times New Roman" w:cs="Times New Roman"/>
          <w:noProof/>
          <w:sz w:val="24"/>
          <w:szCs w:val="24"/>
          <w:lang w:val="en-IE"/>
        </w:rPr>
        <w:t xml:space="preserve">Pillar One </w:t>
      </w:r>
      <w:r>
        <w:rPr>
          <w:rFonts w:ascii="Times New Roman" w:hAnsi="Times New Roman" w:cs="Times New Roman"/>
          <w:noProof/>
          <w:sz w:val="24"/>
          <w:szCs w:val="24"/>
          <w:lang w:val="en-IE"/>
        </w:rPr>
        <w:t>is made up of two main components</w:t>
      </w:r>
      <w:r w:rsidR="00EE7E30">
        <w:rPr>
          <w:rFonts w:ascii="Times New Roman" w:hAnsi="Times New Roman" w:cs="Times New Roman"/>
          <w:noProof/>
          <w:sz w:val="24"/>
          <w:szCs w:val="24"/>
          <w:vertAlign w:val="superscript"/>
          <w:lang w:val="en-IE"/>
        </w:rPr>
        <w:footnoteReference w:id="4"/>
      </w:r>
      <w:r w:rsidR="00EE7E30">
        <w:rPr>
          <w:rFonts w:ascii="Times New Roman" w:hAnsi="Times New Roman" w:cs="Times New Roman"/>
          <w:noProof/>
          <w:sz w:val="24"/>
          <w:szCs w:val="24"/>
          <w:lang w:val="en-IE"/>
        </w:rPr>
        <w:t>. Amount A provides a new taxing right over a portion of the residual profits</w:t>
      </w:r>
      <w:r w:rsidR="00EE7E30">
        <w:rPr>
          <w:rStyle w:val="FootnoteReference"/>
          <w:rFonts w:ascii="Times New Roman" w:hAnsi="Times New Roman" w:cs="Times New Roman"/>
          <w:noProof/>
          <w:sz w:val="24"/>
          <w:szCs w:val="24"/>
          <w:lang w:val="en-IE"/>
        </w:rPr>
        <w:footnoteReference w:id="5"/>
      </w:r>
      <w:r w:rsidR="00EE7E30">
        <w:rPr>
          <w:rFonts w:ascii="Times New Roman" w:hAnsi="Times New Roman" w:cs="Times New Roman"/>
          <w:noProof/>
          <w:sz w:val="24"/>
          <w:szCs w:val="24"/>
          <w:lang w:val="en-IE"/>
        </w:rPr>
        <w:t xml:space="preserve"> of the largest and most profitable multinational enterprises in the world to market jurisdictions. Amount B aims to simplify and streamline the application of the arm’s-length-principle to in-country baseline marketing and distribution activities</w:t>
      </w:r>
      <w:r w:rsidR="00EE7E30">
        <w:rPr>
          <w:rStyle w:val="FootnoteReference"/>
          <w:rFonts w:ascii="Times New Roman" w:hAnsi="Times New Roman" w:cs="Times New Roman"/>
          <w:noProof/>
          <w:sz w:val="24"/>
          <w:szCs w:val="24"/>
          <w:lang w:val="en-IE"/>
        </w:rPr>
        <w:footnoteReference w:id="6"/>
      </w:r>
      <w:r w:rsidR="00EE7E30">
        <w:rPr>
          <w:rFonts w:ascii="Times New Roman" w:hAnsi="Times New Roman" w:cs="Times New Roman"/>
          <w:noProof/>
          <w:sz w:val="24"/>
          <w:szCs w:val="24"/>
          <w:lang w:val="en-IE"/>
        </w:rPr>
        <w:t xml:space="preserve">. </w:t>
      </w:r>
    </w:p>
    <w:p w14:paraId="38B3DA92" w14:textId="29A9E4EF" w:rsidR="004D53CF" w:rsidRPr="004D53CF" w:rsidRDefault="00A70417" w:rsidP="00882246">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4D53CF" w:rsidRPr="004D53CF">
        <w:rPr>
          <w:rFonts w:ascii="Times New Roman" w:hAnsi="Times New Roman" w:cs="Times New Roman"/>
          <w:noProof/>
          <w:sz w:val="24"/>
          <w:szCs w:val="24"/>
          <w:lang w:val="en-IE"/>
        </w:rPr>
        <w:t xml:space="preserve">he </w:t>
      </w:r>
      <w:r w:rsidR="00125152" w:rsidRPr="00F173FE">
        <w:rPr>
          <w:rFonts w:ascii="Times New Roman" w:hAnsi="Times New Roman" w:cs="Times New Roman"/>
          <w:noProof/>
          <w:sz w:val="24"/>
          <w:szCs w:val="24"/>
          <w:lang w:val="en-IE"/>
        </w:rPr>
        <w:t>IF on BEPS</w:t>
      </w:r>
      <w:r w:rsidR="00125152"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 xml:space="preserve">has shaped the agreement on the key </w:t>
      </w:r>
      <w:r w:rsidR="00EE5060">
        <w:rPr>
          <w:rFonts w:ascii="Times New Roman" w:hAnsi="Times New Roman" w:cs="Times New Roman"/>
          <w:noProof/>
          <w:sz w:val="24"/>
          <w:szCs w:val="24"/>
          <w:lang w:val="en-IE"/>
        </w:rPr>
        <w:t>elements</w:t>
      </w:r>
      <w:r w:rsidR="00EE5060"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of Amount A as reflected in the October 2021 statement.</w:t>
      </w:r>
      <w:r w:rsidR="003C7E8A">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T</w:t>
      </w:r>
      <w:r w:rsidR="004D53CF" w:rsidRPr="004D53CF">
        <w:rPr>
          <w:rFonts w:ascii="Times New Roman" w:hAnsi="Times New Roman" w:cs="Times New Roman"/>
          <w:noProof/>
          <w:sz w:val="24"/>
          <w:szCs w:val="24"/>
          <w:lang w:val="en-IE"/>
        </w:rPr>
        <w:t xml:space="preserve">he IF on BEPS mandated the Task Force on the Digital Economy </w:t>
      </w:r>
      <w:r w:rsidR="006B121A">
        <w:rPr>
          <w:rFonts w:ascii="Times New Roman" w:hAnsi="Times New Roman" w:cs="Times New Roman"/>
          <w:noProof/>
          <w:sz w:val="24"/>
          <w:szCs w:val="24"/>
          <w:lang w:val="en-IE"/>
        </w:rPr>
        <w:t xml:space="preserve">(TFDE) </w:t>
      </w:r>
      <w:r w:rsidR="004D53CF" w:rsidRPr="004D53CF">
        <w:rPr>
          <w:rFonts w:ascii="Times New Roman" w:hAnsi="Times New Roman" w:cs="Times New Roman"/>
          <w:noProof/>
          <w:sz w:val="24"/>
          <w:szCs w:val="24"/>
          <w:lang w:val="en-IE"/>
        </w:rPr>
        <w:t xml:space="preserve">to advance with the technical work. The </w:t>
      </w:r>
      <w:r w:rsidR="00FD1F24" w:rsidRPr="004D53CF">
        <w:rPr>
          <w:rFonts w:ascii="Times New Roman" w:hAnsi="Times New Roman" w:cs="Times New Roman"/>
          <w:noProof/>
          <w:sz w:val="24"/>
          <w:szCs w:val="24"/>
          <w:lang w:val="en-IE"/>
        </w:rPr>
        <w:t>July 2022</w:t>
      </w:r>
      <w:r w:rsidR="00FD1F24">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Progress Report on Amount A of Pillar One</w:t>
      </w:r>
      <w:r w:rsidR="004D53CF" w:rsidRPr="004D53CF">
        <w:rPr>
          <w:rStyle w:val="FootnoteReference"/>
          <w:rFonts w:ascii="Times New Roman" w:hAnsi="Times New Roman" w:cs="Times New Roman"/>
          <w:noProof/>
          <w:sz w:val="24"/>
          <w:szCs w:val="24"/>
          <w:lang w:val="en-IE"/>
        </w:rPr>
        <w:footnoteReference w:id="7"/>
      </w:r>
      <w:r w:rsidR="004D53CF" w:rsidRPr="004D53CF">
        <w:rPr>
          <w:rFonts w:ascii="Times New Roman" w:hAnsi="Times New Roman" w:cs="Times New Roman"/>
          <w:noProof/>
          <w:sz w:val="24"/>
          <w:szCs w:val="24"/>
          <w:lang w:val="en-IE"/>
        </w:rPr>
        <w:t xml:space="preserve"> identified the following core elements of Amount A: </w:t>
      </w:r>
    </w:p>
    <w:p w14:paraId="66D4F3C5" w14:textId="0B602241"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4D53CF" w:rsidRPr="004D53CF">
        <w:rPr>
          <w:rFonts w:ascii="Times New Roman" w:hAnsi="Times New Roman" w:cs="Times New Roman"/>
          <w:noProof/>
          <w:sz w:val="24"/>
          <w:szCs w:val="24"/>
          <w:lang w:val="en-IE"/>
        </w:rPr>
        <w:t>he scope rules contain</w:t>
      </w:r>
      <w:r w:rsidR="00A70417">
        <w:rPr>
          <w:rFonts w:ascii="Times New Roman" w:hAnsi="Times New Roman" w:cs="Times New Roman"/>
          <w:noProof/>
          <w:sz w:val="24"/>
          <w:szCs w:val="24"/>
          <w:lang w:val="en-IE"/>
        </w:rPr>
        <w:t>ing</w:t>
      </w:r>
      <w:r w:rsidR="004D53CF" w:rsidRPr="004D53CF">
        <w:rPr>
          <w:rFonts w:ascii="Times New Roman" w:hAnsi="Times New Roman" w:cs="Times New Roman"/>
          <w:noProof/>
          <w:sz w:val="24"/>
          <w:szCs w:val="24"/>
          <w:lang w:val="en-IE"/>
        </w:rPr>
        <w:t xml:space="preserve"> thresholds designed to ensure that Amount A only applies to large and highly profitable groups</w:t>
      </w:r>
      <w:r w:rsidR="00A70417">
        <w:rPr>
          <w:rFonts w:ascii="Times New Roman" w:hAnsi="Times New Roman" w:cs="Times New Roman"/>
          <w:noProof/>
          <w:sz w:val="24"/>
          <w:szCs w:val="24"/>
          <w:lang w:val="en-IE"/>
        </w:rPr>
        <w:t>. These rules exclude</w:t>
      </w:r>
      <w:r w:rsidR="00A70417" w:rsidRPr="004D53CF">
        <w:rPr>
          <w:rFonts w:ascii="Times New Roman" w:hAnsi="Times New Roman" w:cs="Times New Roman"/>
          <w:noProof/>
          <w:sz w:val="24"/>
          <w:szCs w:val="24"/>
          <w:lang w:val="en-IE"/>
        </w:rPr>
        <w:t xml:space="preserve"> </w:t>
      </w:r>
      <w:r w:rsidR="00A70417">
        <w:rPr>
          <w:rFonts w:ascii="Times New Roman" w:hAnsi="Times New Roman" w:cs="Times New Roman"/>
          <w:noProof/>
          <w:sz w:val="24"/>
          <w:szCs w:val="24"/>
          <w:lang w:val="en-IE"/>
        </w:rPr>
        <w:t>r</w:t>
      </w:r>
      <w:r w:rsidR="00A70417" w:rsidRPr="004D53CF">
        <w:rPr>
          <w:rFonts w:ascii="Times New Roman" w:hAnsi="Times New Roman" w:cs="Times New Roman"/>
          <w:noProof/>
          <w:sz w:val="24"/>
          <w:szCs w:val="24"/>
          <w:lang w:val="en-IE"/>
        </w:rPr>
        <w:t xml:space="preserve">evenues </w:t>
      </w:r>
      <w:r w:rsidR="004D53CF" w:rsidRPr="004D53CF">
        <w:rPr>
          <w:rFonts w:ascii="Times New Roman" w:hAnsi="Times New Roman" w:cs="Times New Roman"/>
          <w:noProof/>
          <w:sz w:val="24"/>
          <w:szCs w:val="24"/>
          <w:lang w:val="en-IE"/>
        </w:rPr>
        <w:t xml:space="preserve">and profits from </w:t>
      </w:r>
      <w:r w:rsidR="00A70417">
        <w:rPr>
          <w:rFonts w:ascii="Times New Roman" w:hAnsi="Times New Roman" w:cs="Times New Roman"/>
          <w:noProof/>
          <w:sz w:val="24"/>
          <w:szCs w:val="24"/>
          <w:lang w:val="en-IE"/>
        </w:rPr>
        <w:t>e</w:t>
      </w:r>
      <w:r w:rsidR="00A70417" w:rsidRPr="004D53CF">
        <w:rPr>
          <w:rFonts w:ascii="Times New Roman" w:hAnsi="Times New Roman" w:cs="Times New Roman"/>
          <w:noProof/>
          <w:sz w:val="24"/>
          <w:szCs w:val="24"/>
          <w:lang w:val="en-IE"/>
        </w:rPr>
        <w:t xml:space="preserve">xtractives </w:t>
      </w:r>
      <w:r w:rsidR="00A70417">
        <w:rPr>
          <w:rFonts w:ascii="Times New Roman" w:hAnsi="Times New Roman" w:cs="Times New Roman"/>
          <w:noProof/>
          <w:sz w:val="24"/>
          <w:szCs w:val="24"/>
          <w:lang w:val="en-IE"/>
        </w:rPr>
        <w:t>a</w:t>
      </w:r>
      <w:r w:rsidR="00A70417" w:rsidRPr="004D53CF">
        <w:rPr>
          <w:rFonts w:ascii="Times New Roman" w:hAnsi="Times New Roman" w:cs="Times New Roman"/>
          <w:noProof/>
          <w:sz w:val="24"/>
          <w:szCs w:val="24"/>
          <w:lang w:val="en-IE"/>
        </w:rPr>
        <w:t xml:space="preserve">ctivities </w:t>
      </w:r>
      <w:r w:rsidR="004D53CF" w:rsidRPr="004D53CF">
        <w:rPr>
          <w:rFonts w:ascii="Times New Roman" w:hAnsi="Times New Roman" w:cs="Times New Roman"/>
          <w:noProof/>
          <w:sz w:val="24"/>
          <w:szCs w:val="24"/>
          <w:lang w:val="en-IE"/>
        </w:rPr>
        <w:t xml:space="preserve">and </w:t>
      </w:r>
      <w:r w:rsidR="00A70417">
        <w:rPr>
          <w:rFonts w:ascii="Times New Roman" w:hAnsi="Times New Roman" w:cs="Times New Roman"/>
          <w:noProof/>
          <w:sz w:val="24"/>
          <w:szCs w:val="24"/>
          <w:lang w:val="en-IE"/>
        </w:rPr>
        <w:t>r</w:t>
      </w:r>
      <w:r w:rsidR="00A70417" w:rsidRPr="004D53CF">
        <w:rPr>
          <w:rFonts w:ascii="Times New Roman" w:hAnsi="Times New Roman" w:cs="Times New Roman"/>
          <w:noProof/>
          <w:sz w:val="24"/>
          <w:szCs w:val="24"/>
          <w:lang w:val="en-IE"/>
        </w:rPr>
        <w:t xml:space="preserve">egulated </w:t>
      </w:r>
      <w:r w:rsidR="00A70417">
        <w:rPr>
          <w:rFonts w:ascii="Times New Roman" w:hAnsi="Times New Roman" w:cs="Times New Roman"/>
          <w:noProof/>
          <w:sz w:val="24"/>
          <w:szCs w:val="24"/>
          <w:lang w:val="en-IE"/>
        </w:rPr>
        <w:t>f</w:t>
      </w:r>
      <w:r w:rsidR="004D53CF" w:rsidRPr="004D53CF">
        <w:rPr>
          <w:rFonts w:ascii="Times New Roman" w:hAnsi="Times New Roman" w:cs="Times New Roman"/>
          <w:noProof/>
          <w:sz w:val="24"/>
          <w:szCs w:val="24"/>
          <w:lang w:val="en-IE"/>
        </w:rPr>
        <w:t xml:space="preserve">inancial </w:t>
      </w:r>
      <w:r w:rsidR="00A70417">
        <w:rPr>
          <w:rFonts w:ascii="Times New Roman" w:hAnsi="Times New Roman" w:cs="Times New Roman"/>
          <w:noProof/>
          <w:sz w:val="24"/>
          <w:szCs w:val="24"/>
          <w:lang w:val="en-IE"/>
        </w:rPr>
        <w:t>s</w:t>
      </w:r>
      <w:r w:rsidR="004D53CF" w:rsidRPr="004D53CF">
        <w:rPr>
          <w:rFonts w:ascii="Times New Roman" w:hAnsi="Times New Roman" w:cs="Times New Roman"/>
          <w:noProof/>
          <w:sz w:val="24"/>
          <w:szCs w:val="24"/>
          <w:lang w:val="en-IE"/>
        </w:rPr>
        <w:t>ervices from the scope of Amount A</w:t>
      </w:r>
      <w:r>
        <w:rPr>
          <w:rFonts w:ascii="Times New Roman" w:hAnsi="Times New Roman" w:cs="Times New Roman"/>
          <w:noProof/>
          <w:sz w:val="24"/>
          <w:szCs w:val="24"/>
          <w:lang w:val="en-IE"/>
        </w:rPr>
        <w:t>;</w:t>
      </w:r>
    </w:p>
    <w:p w14:paraId="1298B984" w14:textId="730F53C8"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w:t>
      </w:r>
      <w:r w:rsidR="004D53CF" w:rsidRPr="004D53CF">
        <w:rPr>
          <w:rFonts w:ascii="Times New Roman" w:hAnsi="Times New Roman" w:cs="Times New Roman"/>
          <w:noProof/>
          <w:sz w:val="24"/>
          <w:szCs w:val="24"/>
          <w:lang w:val="en-IE"/>
        </w:rPr>
        <w:t xml:space="preserve"> special purpose nexus </w:t>
      </w:r>
      <w:r w:rsidR="00A70417" w:rsidRPr="004D53CF">
        <w:rPr>
          <w:rFonts w:ascii="Times New Roman" w:hAnsi="Times New Roman" w:cs="Times New Roman"/>
          <w:noProof/>
          <w:sz w:val="24"/>
          <w:szCs w:val="24"/>
          <w:lang w:val="en-IE"/>
        </w:rPr>
        <w:t>identif</w:t>
      </w:r>
      <w:r w:rsidR="00A70417">
        <w:rPr>
          <w:rFonts w:ascii="Times New Roman" w:hAnsi="Times New Roman" w:cs="Times New Roman"/>
          <w:noProof/>
          <w:sz w:val="24"/>
          <w:szCs w:val="24"/>
          <w:lang w:val="en-IE"/>
        </w:rPr>
        <w:t>ying</w:t>
      </w:r>
      <w:r w:rsidR="00A70417"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the jurisdictions that are eligible to Amount A</w:t>
      </w:r>
      <w:r w:rsidR="007B5DBD">
        <w:rPr>
          <w:rFonts w:ascii="Times New Roman" w:hAnsi="Times New Roman" w:cs="Times New Roman"/>
          <w:noProof/>
          <w:sz w:val="24"/>
          <w:szCs w:val="24"/>
          <w:lang w:val="en-IE"/>
        </w:rPr>
        <w:t>, and</w:t>
      </w:r>
      <w:r w:rsidR="004D53CF" w:rsidRPr="004D53CF">
        <w:rPr>
          <w:rFonts w:ascii="Times New Roman" w:hAnsi="Times New Roman" w:cs="Times New Roman"/>
          <w:noProof/>
          <w:sz w:val="24"/>
          <w:szCs w:val="24"/>
          <w:lang w:val="en-IE"/>
        </w:rPr>
        <w:t xml:space="preserve"> </w:t>
      </w:r>
      <w:r w:rsidR="007B5DBD">
        <w:rPr>
          <w:rFonts w:ascii="Times New Roman" w:hAnsi="Times New Roman" w:cs="Times New Roman"/>
          <w:noProof/>
          <w:sz w:val="24"/>
          <w:szCs w:val="24"/>
          <w:lang w:val="en-IE"/>
        </w:rPr>
        <w:t xml:space="preserve">a </w:t>
      </w:r>
      <w:r w:rsidR="004D53CF" w:rsidRPr="004D53CF">
        <w:rPr>
          <w:rFonts w:ascii="Times New Roman" w:hAnsi="Times New Roman" w:cs="Times New Roman"/>
          <w:noProof/>
          <w:sz w:val="24"/>
          <w:szCs w:val="24"/>
          <w:lang w:val="en-IE"/>
        </w:rPr>
        <w:t xml:space="preserve">detailed revenue sourcing rules </w:t>
      </w:r>
      <w:r w:rsidR="007B5DBD" w:rsidRPr="004D53CF">
        <w:rPr>
          <w:rFonts w:ascii="Times New Roman" w:hAnsi="Times New Roman" w:cs="Times New Roman"/>
          <w:noProof/>
          <w:sz w:val="24"/>
          <w:szCs w:val="24"/>
          <w:lang w:val="en-IE"/>
        </w:rPr>
        <w:t>provid</w:t>
      </w:r>
      <w:r w:rsidR="007B5DBD">
        <w:rPr>
          <w:rFonts w:ascii="Times New Roman" w:hAnsi="Times New Roman" w:cs="Times New Roman"/>
          <w:noProof/>
          <w:sz w:val="24"/>
          <w:szCs w:val="24"/>
          <w:lang w:val="en-IE"/>
        </w:rPr>
        <w:t>ing</w:t>
      </w:r>
      <w:r w:rsidR="007B5DBD"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 xml:space="preserve">a methodology </w:t>
      </w:r>
      <w:r w:rsidR="007B5DBD">
        <w:rPr>
          <w:rFonts w:ascii="Times New Roman" w:hAnsi="Times New Roman" w:cs="Times New Roman"/>
          <w:noProof/>
          <w:sz w:val="24"/>
          <w:szCs w:val="24"/>
          <w:lang w:val="en-IE"/>
        </w:rPr>
        <w:t>to</w:t>
      </w:r>
      <w:r w:rsidR="007B5DBD" w:rsidRPr="004D53CF">
        <w:rPr>
          <w:rFonts w:ascii="Times New Roman" w:hAnsi="Times New Roman" w:cs="Times New Roman"/>
          <w:noProof/>
          <w:sz w:val="24"/>
          <w:szCs w:val="24"/>
          <w:lang w:val="en-IE"/>
        </w:rPr>
        <w:t xml:space="preserve"> determin</w:t>
      </w:r>
      <w:r w:rsidR="007B5DBD">
        <w:rPr>
          <w:rFonts w:ascii="Times New Roman" w:hAnsi="Times New Roman" w:cs="Times New Roman"/>
          <w:noProof/>
          <w:sz w:val="24"/>
          <w:szCs w:val="24"/>
          <w:lang w:val="en-IE"/>
        </w:rPr>
        <w:t>e</w:t>
      </w:r>
      <w:r w:rsidR="007B5DBD"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 xml:space="preserve">where the revenues of </w:t>
      </w:r>
      <w:r w:rsidR="007B5DBD">
        <w:rPr>
          <w:rFonts w:ascii="Times New Roman" w:hAnsi="Times New Roman" w:cs="Times New Roman"/>
          <w:noProof/>
          <w:sz w:val="24"/>
          <w:szCs w:val="24"/>
          <w:lang w:val="en-IE"/>
        </w:rPr>
        <w:t>a g</w:t>
      </w:r>
      <w:r w:rsidR="004D53CF" w:rsidRPr="004D53CF">
        <w:rPr>
          <w:rFonts w:ascii="Times New Roman" w:hAnsi="Times New Roman" w:cs="Times New Roman"/>
          <w:noProof/>
          <w:sz w:val="24"/>
          <w:szCs w:val="24"/>
          <w:lang w:val="en-IE"/>
        </w:rPr>
        <w:t>roup are generated</w:t>
      </w:r>
      <w:r>
        <w:rPr>
          <w:rFonts w:ascii="Times New Roman" w:hAnsi="Times New Roman" w:cs="Times New Roman"/>
          <w:noProof/>
          <w:sz w:val="24"/>
          <w:szCs w:val="24"/>
          <w:lang w:val="en-IE"/>
        </w:rPr>
        <w:t>;</w:t>
      </w:r>
    </w:p>
    <w:p w14:paraId="0811B47B" w14:textId="67187FA0"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4D53CF" w:rsidRPr="004D53CF">
        <w:rPr>
          <w:rFonts w:ascii="Times New Roman" w:hAnsi="Times New Roman" w:cs="Times New Roman"/>
          <w:noProof/>
          <w:sz w:val="24"/>
          <w:szCs w:val="24"/>
          <w:lang w:val="en-IE"/>
        </w:rPr>
        <w:t xml:space="preserve">he tax base rules </w:t>
      </w:r>
      <w:r w:rsidR="007B5DBD" w:rsidRPr="004D53CF">
        <w:rPr>
          <w:rFonts w:ascii="Times New Roman" w:hAnsi="Times New Roman" w:cs="Times New Roman"/>
          <w:noProof/>
          <w:sz w:val="24"/>
          <w:szCs w:val="24"/>
          <w:lang w:val="en-IE"/>
        </w:rPr>
        <w:t>provid</w:t>
      </w:r>
      <w:r w:rsidR="007B5DBD">
        <w:rPr>
          <w:rFonts w:ascii="Times New Roman" w:hAnsi="Times New Roman" w:cs="Times New Roman"/>
          <w:noProof/>
          <w:sz w:val="24"/>
          <w:szCs w:val="24"/>
          <w:lang w:val="en-IE"/>
        </w:rPr>
        <w:t>ing</w:t>
      </w:r>
      <w:r w:rsidR="007B5DBD"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 xml:space="preserve">the steps to calculate the profit (or loss) of a </w:t>
      </w:r>
      <w:r w:rsidR="007B5DBD">
        <w:rPr>
          <w:rFonts w:ascii="Times New Roman" w:hAnsi="Times New Roman" w:cs="Times New Roman"/>
          <w:noProof/>
          <w:sz w:val="24"/>
          <w:szCs w:val="24"/>
          <w:lang w:val="en-IE"/>
        </w:rPr>
        <w:t>g</w:t>
      </w:r>
      <w:r w:rsidR="007B5DBD" w:rsidRPr="004D53CF">
        <w:rPr>
          <w:rFonts w:ascii="Times New Roman" w:hAnsi="Times New Roman" w:cs="Times New Roman"/>
          <w:noProof/>
          <w:sz w:val="24"/>
          <w:szCs w:val="24"/>
          <w:lang w:val="en-IE"/>
        </w:rPr>
        <w:t xml:space="preserve">roup </w:t>
      </w:r>
      <w:r w:rsidR="004D53CF" w:rsidRPr="004D53CF">
        <w:rPr>
          <w:rFonts w:ascii="Times New Roman" w:hAnsi="Times New Roman" w:cs="Times New Roman"/>
          <w:noProof/>
          <w:sz w:val="24"/>
          <w:szCs w:val="24"/>
          <w:lang w:val="en-IE"/>
        </w:rPr>
        <w:t>that will be used for Amount A calculation purposes</w:t>
      </w:r>
      <w:r>
        <w:rPr>
          <w:rFonts w:ascii="Times New Roman" w:hAnsi="Times New Roman" w:cs="Times New Roman"/>
          <w:noProof/>
          <w:sz w:val="24"/>
          <w:szCs w:val="24"/>
          <w:lang w:val="en-IE"/>
        </w:rPr>
        <w:t>;</w:t>
      </w:r>
    </w:p>
    <w:p w14:paraId="2A4576A7" w14:textId="411F6EB2"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4D53CF" w:rsidRPr="004D53CF">
        <w:rPr>
          <w:rFonts w:ascii="Times New Roman" w:hAnsi="Times New Roman" w:cs="Times New Roman"/>
          <w:noProof/>
          <w:sz w:val="24"/>
          <w:szCs w:val="24"/>
          <w:lang w:val="en-IE"/>
        </w:rPr>
        <w:t xml:space="preserve">he profit allocation rules based on a formula </w:t>
      </w:r>
      <w:r w:rsidR="007B5DBD">
        <w:rPr>
          <w:rFonts w:ascii="Times New Roman" w:hAnsi="Times New Roman" w:cs="Times New Roman"/>
          <w:noProof/>
          <w:sz w:val="24"/>
          <w:szCs w:val="24"/>
          <w:lang w:val="en-IE"/>
        </w:rPr>
        <w:t>that</w:t>
      </w:r>
      <w:r w:rsidR="007B5DBD" w:rsidRPr="004D53CF">
        <w:rPr>
          <w:rFonts w:ascii="Times New Roman" w:hAnsi="Times New Roman" w:cs="Times New Roman"/>
          <w:noProof/>
          <w:sz w:val="24"/>
          <w:szCs w:val="24"/>
          <w:lang w:val="en-IE"/>
        </w:rPr>
        <w:t xml:space="preserve"> </w:t>
      </w:r>
      <w:r w:rsidR="004D53CF" w:rsidRPr="004D53CF">
        <w:rPr>
          <w:rFonts w:ascii="Times New Roman" w:hAnsi="Times New Roman" w:cs="Times New Roman"/>
          <w:noProof/>
          <w:sz w:val="24"/>
          <w:szCs w:val="24"/>
          <w:lang w:val="en-IE"/>
        </w:rPr>
        <w:t xml:space="preserve">allocates 25 % of a </w:t>
      </w:r>
      <w:r w:rsidR="007B5DBD">
        <w:rPr>
          <w:rFonts w:ascii="Times New Roman" w:hAnsi="Times New Roman" w:cs="Times New Roman"/>
          <w:noProof/>
          <w:sz w:val="24"/>
          <w:szCs w:val="24"/>
          <w:lang w:val="en-IE"/>
        </w:rPr>
        <w:t>g</w:t>
      </w:r>
      <w:r w:rsidR="007B5DBD" w:rsidRPr="004D53CF">
        <w:rPr>
          <w:rFonts w:ascii="Times New Roman" w:hAnsi="Times New Roman" w:cs="Times New Roman"/>
          <w:noProof/>
          <w:sz w:val="24"/>
          <w:szCs w:val="24"/>
          <w:lang w:val="en-IE"/>
        </w:rPr>
        <w:t xml:space="preserve">roup’s </w:t>
      </w:r>
      <w:r w:rsidR="004D53CF" w:rsidRPr="004D53CF">
        <w:rPr>
          <w:rFonts w:ascii="Times New Roman" w:hAnsi="Times New Roman" w:cs="Times New Roman"/>
          <w:noProof/>
          <w:sz w:val="24"/>
          <w:szCs w:val="24"/>
          <w:lang w:val="en-IE"/>
        </w:rPr>
        <w:t xml:space="preserve">profit in excess of </w:t>
      </w:r>
      <w:r w:rsidR="00513685">
        <w:rPr>
          <w:rFonts w:ascii="Times New Roman" w:hAnsi="Times New Roman" w:cs="Times New Roman"/>
          <w:noProof/>
          <w:sz w:val="24"/>
          <w:szCs w:val="24"/>
          <w:lang w:val="en-IE"/>
        </w:rPr>
        <w:t xml:space="preserve">the </w:t>
      </w:r>
      <w:r w:rsidR="004D53CF" w:rsidRPr="004D53CF">
        <w:rPr>
          <w:rFonts w:ascii="Times New Roman" w:hAnsi="Times New Roman" w:cs="Times New Roman"/>
          <w:noProof/>
          <w:sz w:val="24"/>
          <w:szCs w:val="24"/>
          <w:lang w:val="en-IE"/>
        </w:rPr>
        <w:t xml:space="preserve">10 % </w:t>
      </w:r>
      <w:r w:rsidR="00513685">
        <w:rPr>
          <w:rFonts w:ascii="Times New Roman" w:hAnsi="Times New Roman" w:cs="Times New Roman"/>
          <w:noProof/>
          <w:sz w:val="24"/>
          <w:szCs w:val="24"/>
          <w:lang w:val="en-IE"/>
        </w:rPr>
        <w:t>profitability on</w:t>
      </w:r>
      <w:r w:rsidR="004D53CF" w:rsidRPr="004D53CF">
        <w:rPr>
          <w:rFonts w:ascii="Times New Roman" w:hAnsi="Times New Roman" w:cs="Times New Roman"/>
          <w:noProof/>
          <w:sz w:val="24"/>
          <w:szCs w:val="24"/>
          <w:lang w:val="en-IE"/>
        </w:rPr>
        <w:t xml:space="preserve"> the </w:t>
      </w:r>
      <w:r w:rsidR="007B5DBD">
        <w:rPr>
          <w:rFonts w:ascii="Times New Roman" w:hAnsi="Times New Roman" w:cs="Times New Roman"/>
          <w:noProof/>
          <w:sz w:val="24"/>
          <w:szCs w:val="24"/>
          <w:lang w:val="en-IE"/>
        </w:rPr>
        <w:t>g</w:t>
      </w:r>
      <w:r w:rsidR="007B5DBD" w:rsidRPr="004D53CF">
        <w:rPr>
          <w:rFonts w:ascii="Times New Roman" w:hAnsi="Times New Roman" w:cs="Times New Roman"/>
          <w:noProof/>
          <w:sz w:val="24"/>
          <w:szCs w:val="24"/>
          <w:lang w:val="en-IE"/>
        </w:rPr>
        <w:t xml:space="preserve">roup’s </w:t>
      </w:r>
      <w:r w:rsidR="004D53CF" w:rsidRPr="004D53CF">
        <w:rPr>
          <w:rFonts w:ascii="Times New Roman" w:hAnsi="Times New Roman" w:cs="Times New Roman"/>
          <w:noProof/>
          <w:sz w:val="24"/>
          <w:szCs w:val="24"/>
          <w:lang w:val="en-IE"/>
        </w:rPr>
        <w:t>revenues to eligible market jurisdictions</w:t>
      </w:r>
      <w:r w:rsidR="007B5DBD">
        <w:rPr>
          <w:rFonts w:ascii="Times New Roman" w:hAnsi="Times New Roman" w:cs="Times New Roman"/>
          <w:noProof/>
          <w:sz w:val="24"/>
          <w:szCs w:val="24"/>
          <w:lang w:val="en-IE"/>
        </w:rPr>
        <w:t>, and takes into account</w:t>
      </w:r>
      <w:r w:rsidR="004D53CF" w:rsidRPr="004D53CF">
        <w:rPr>
          <w:rFonts w:ascii="Times New Roman" w:hAnsi="Times New Roman" w:cs="Times New Roman"/>
          <w:noProof/>
          <w:sz w:val="24"/>
          <w:szCs w:val="24"/>
          <w:lang w:val="en-IE"/>
        </w:rPr>
        <w:t xml:space="preserve"> </w:t>
      </w:r>
      <w:r w:rsidR="007B5DBD">
        <w:rPr>
          <w:rFonts w:ascii="Times New Roman" w:hAnsi="Times New Roman" w:cs="Times New Roman"/>
          <w:noProof/>
          <w:sz w:val="24"/>
          <w:szCs w:val="24"/>
          <w:lang w:val="en-IE"/>
        </w:rPr>
        <w:t>the m</w:t>
      </w:r>
      <w:r w:rsidR="007B5DBD" w:rsidRPr="004D53CF">
        <w:rPr>
          <w:rFonts w:ascii="Times New Roman" w:hAnsi="Times New Roman" w:cs="Times New Roman"/>
          <w:noProof/>
          <w:sz w:val="24"/>
          <w:szCs w:val="24"/>
          <w:lang w:val="en-IE"/>
        </w:rPr>
        <w:t xml:space="preserve">arketing </w:t>
      </w:r>
      <w:r w:rsidR="004D53CF" w:rsidRPr="004D53CF">
        <w:rPr>
          <w:rFonts w:ascii="Times New Roman" w:hAnsi="Times New Roman" w:cs="Times New Roman"/>
          <w:noProof/>
          <w:sz w:val="24"/>
          <w:szCs w:val="24"/>
          <w:lang w:val="en-IE"/>
        </w:rPr>
        <w:t xml:space="preserve">and </w:t>
      </w:r>
      <w:r w:rsidR="007B5DBD">
        <w:rPr>
          <w:rFonts w:ascii="Times New Roman" w:hAnsi="Times New Roman" w:cs="Times New Roman"/>
          <w:noProof/>
          <w:sz w:val="24"/>
          <w:szCs w:val="24"/>
          <w:lang w:val="en-IE"/>
        </w:rPr>
        <w:t>d</w:t>
      </w:r>
      <w:r w:rsidR="007B5DBD" w:rsidRPr="004D53CF">
        <w:rPr>
          <w:rFonts w:ascii="Times New Roman" w:hAnsi="Times New Roman" w:cs="Times New Roman"/>
          <w:noProof/>
          <w:sz w:val="24"/>
          <w:szCs w:val="24"/>
          <w:lang w:val="en-IE"/>
        </w:rPr>
        <w:t xml:space="preserve">istribution </w:t>
      </w:r>
      <w:r w:rsidR="007B5DBD">
        <w:rPr>
          <w:rFonts w:ascii="Times New Roman" w:hAnsi="Times New Roman" w:cs="Times New Roman"/>
          <w:noProof/>
          <w:sz w:val="24"/>
          <w:szCs w:val="24"/>
          <w:lang w:val="en-IE"/>
        </w:rPr>
        <w:t>s</w:t>
      </w:r>
      <w:r w:rsidR="007B5DBD" w:rsidRPr="004D53CF">
        <w:rPr>
          <w:rFonts w:ascii="Times New Roman" w:hAnsi="Times New Roman" w:cs="Times New Roman"/>
          <w:noProof/>
          <w:sz w:val="24"/>
          <w:szCs w:val="24"/>
          <w:lang w:val="en-IE"/>
        </w:rPr>
        <w:t xml:space="preserve">afe </w:t>
      </w:r>
      <w:r w:rsidR="007B5DBD">
        <w:rPr>
          <w:rFonts w:ascii="Times New Roman" w:hAnsi="Times New Roman" w:cs="Times New Roman"/>
          <w:noProof/>
          <w:sz w:val="24"/>
          <w:szCs w:val="24"/>
          <w:lang w:val="en-IE"/>
        </w:rPr>
        <w:t>h</w:t>
      </w:r>
      <w:r w:rsidR="007B5DBD" w:rsidRPr="004D53CF">
        <w:rPr>
          <w:rFonts w:ascii="Times New Roman" w:hAnsi="Times New Roman" w:cs="Times New Roman"/>
          <w:noProof/>
          <w:sz w:val="24"/>
          <w:szCs w:val="24"/>
          <w:lang w:val="en-IE"/>
        </w:rPr>
        <w:t xml:space="preserve">arbour </w:t>
      </w:r>
      <w:r w:rsidR="004D53CF" w:rsidRPr="004D53CF">
        <w:rPr>
          <w:rFonts w:ascii="Times New Roman" w:hAnsi="Times New Roman" w:cs="Times New Roman"/>
          <w:noProof/>
          <w:sz w:val="24"/>
          <w:szCs w:val="24"/>
          <w:lang w:val="en-IE"/>
        </w:rPr>
        <w:t xml:space="preserve">for market jurisdictions that have existing taxing rights over the </w:t>
      </w:r>
      <w:r w:rsidR="007B5DBD">
        <w:rPr>
          <w:rFonts w:ascii="Times New Roman" w:hAnsi="Times New Roman" w:cs="Times New Roman"/>
          <w:noProof/>
          <w:sz w:val="24"/>
          <w:szCs w:val="24"/>
          <w:lang w:val="en-IE"/>
        </w:rPr>
        <w:t>g</w:t>
      </w:r>
      <w:r w:rsidR="007B5DBD" w:rsidRPr="004D53CF">
        <w:rPr>
          <w:rFonts w:ascii="Times New Roman" w:hAnsi="Times New Roman" w:cs="Times New Roman"/>
          <w:noProof/>
          <w:sz w:val="24"/>
          <w:szCs w:val="24"/>
          <w:lang w:val="en-IE"/>
        </w:rPr>
        <w:t xml:space="preserve">roup’s </w:t>
      </w:r>
      <w:r w:rsidR="004D53CF" w:rsidRPr="004D53CF">
        <w:rPr>
          <w:rFonts w:ascii="Times New Roman" w:hAnsi="Times New Roman" w:cs="Times New Roman"/>
          <w:noProof/>
          <w:sz w:val="24"/>
          <w:szCs w:val="24"/>
          <w:lang w:val="en-IE"/>
        </w:rPr>
        <w:t>residual profits</w:t>
      </w:r>
      <w:r>
        <w:rPr>
          <w:rFonts w:ascii="Times New Roman" w:hAnsi="Times New Roman" w:cs="Times New Roman"/>
          <w:noProof/>
          <w:sz w:val="24"/>
          <w:szCs w:val="24"/>
          <w:lang w:val="en-IE"/>
        </w:rPr>
        <w:t>;</w:t>
      </w:r>
    </w:p>
    <w:p w14:paraId="45E59F56" w14:textId="042981CE"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w:t>
      </w:r>
      <w:r w:rsidR="004D53CF" w:rsidRPr="004D53CF">
        <w:rPr>
          <w:rFonts w:ascii="Times New Roman" w:hAnsi="Times New Roman" w:cs="Times New Roman"/>
          <w:noProof/>
          <w:sz w:val="24"/>
          <w:szCs w:val="24"/>
          <w:lang w:val="en-IE"/>
        </w:rPr>
        <w:t>ules to eliminate any double taxation that arises from applying Amount A as an overlay to the existing profit allocation system</w:t>
      </w:r>
      <w:r>
        <w:rPr>
          <w:rFonts w:ascii="Times New Roman" w:hAnsi="Times New Roman" w:cs="Times New Roman"/>
          <w:noProof/>
          <w:sz w:val="24"/>
          <w:szCs w:val="24"/>
          <w:lang w:val="en-IE"/>
        </w:rPr>
        <w:t>;</w:t>
      </w:r>
      <w:r w:rsidR="004D53CF" w:rsidRPr="004D53CF">
        <w:rPr>
          <w:rFonts w:ascii="Times New Roman" w:hAnsi="Times New Roman" w:cs="Times New Roman"/>
          <w:noProof/>
          <w:sz w:val="24"/>
          <w:szCs w:val="24"/>
          <w:lang w:val="en-IE"/>
        </w:rPr>
        <w:t xml:space="preserve"> </w:t>
      </w:r>
    </w:p>
    <w:p w14:paraId="151E88B3" w14:textId="4765741B"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and a</w:t>
      </w:r>
      <w:r w:rsidR="004D53CF" w:rsidRPr="004D53CF">
        <w:rPr>
          <w:rFonts w:ascii="Times New Roman" w:hAnsi="Times New Roman" w:cs="Times New Roman"/>
          <w:noProof/>
          <w:sz w:val="24"/>
          <w:szCs w:val="24"/>
          <w:lang w:val="en-IE"/>
        </w:rPr>
        <w:t xml:space="preserve"> tax certainty process for the new Amount A rules and any related issues. </w:t>
      </w:r>
    </w:p>
    <w:p w14:paraId="4F6F086D" w14:textId="0679F818" w:rsidR="004D53CF" w:rsidRPr="004D53CF" w:rsidRDefault="004D53CF" w:rsidP="00882246">
      <w:pPr>
        <w:spacing w:after="120" w:line="240" w:lineRule="auto"/>
        <w:jc w:val="both"/>
        <w:rPr>
          <w:rFonts w:ascii="Times New Roman" w:hAnsi="Times New Roman" w:cs="Times New Roman"/>
          <w:noProof/>
          <w:sz w:val="24"/>
          <w:szCs w:val="24"/>
          <w:lang w:val="en-IE"/>
        </w:rPr>
      </w:pPr>
      <w:r w:rsidRPr="004D53CF">
        <w:rPr>
          <w:rFonts w:ascii="Times New Roman" w:hAnsi="Times New Roman" w:cs="Times New Roman"/>
          <w:noProof/>
          <w:sz w:val="24"/>
          <w:szCs w:val="24"/>
          <w:lang w:val="en-IE"/>
        </w:rPr>
        <w:t xml:space="preserve">The rules on Amount A </w:t>
      </w:r>
      <w:r w:rsidR="00465B50">
        <w:rPr>
          <w:rFonts w:ascii="Times New Roman" w:hAnsi="Times New Roman" w:cs="Times New Roman"/>
          <w:noProof/>
          <w:sz w:val="24"/>
          <w:szCs w:val="24"/>
          <w:lang w:val="en-IE"/>
        </w:rPr>
        <w:t xml:space="preserve">that </w:t>
      </w:r>
      <w:r w:rsidR="00EE7E30">
        <w:rPr>
          <w:rFonts w:ascii="Times New Roman" w:hAnsi="Times New Roman" w:cs="Times New Roman"/>
          <w:noProof/>
          <w:sz w:val="24"/>
          <w:szCs w:val="24"/>
          <w:lang w:val="en-IE"/>
        </w:rPr>
        <w:t>already appear as agreeable to the members of the TFDE</w:t>
      </w:r>
      <w:r w:rsidR="00B20A50">
        <w:rPr>
          <w:rFonts w:ascii="Times New Roman" w:hAnsi="Times New Roman" w:cs="Times New Roman"/>
          <w:noProof/>
          <w:sz w:val="24"/>
          <w:szCs w:val="24"/>
          <w:lang w:val="en-IE"/>
        </w:rPr>
        <w:t xml:space="preserve"> </w:t>
      </w:r>
      <w:r w:rsidRPr="004D53CF">
        <w:rPr>
          <w:rFonts w:ascii="Times New Roman" w:hAnsi="Times New Roman" w:cs="Times New Roman"/>
          <w:noProof/>
          <w:sz w:val="24"/>
          <w:szCs w:val="24"/>
          <w:lang w:val="en-IE"/>
        </w:rPr>
        <w:t>are being translated into provisions for inclusion in a Multilateral Convention (MLC) and an Explanatory Statement</w:t>
      </w:r>
      <w:r w:rsidR="00B20A50">
        <w:rPr>
          <w:rFonts w:ascii="Times New Roman" w:hAnsi="Times New Roman" w:cs="Times New Roman"/>
          <w:noProof/>
          <w:sz w:val="24"/>
          <w:szCs w:val="24"/>
          <w:lang w:val="en-IE"/>
        </w:rPr>
        <w:t xml:space="preserve"> by the OECD Secretariat</w:t>
      </w:r>
      <w:r w:rsidRPr="004D53CF">
        <w:rPr>
          <w:rFonts w:ascii="Times New Roman" w:hAnsi="Times New Roman" w:cs="Times New Roman"/>
          <w:noProof/>
          <w:sz w:val="24"/>
          <w:szCs w:val="24"/>
          <w:lang w:val="en-IE"/>
        </w:rPr>
        <w:t xml:space="preserve">. The MLC will establish the legal obligations of the parties to implement Amount A in a coordinated and consistent manner. </w:t>
      </w:r>
      <w:r w:rsidR="006B121A">
        <w:rPr>
          <w:rFonts w:ascii="Times New Roman" w:hAnsi="Times New Roman" w:cs="Times New Roman"/>
          <w:noProof/>
          <w:sz w:val="24"/>
          <w:szCs w:val="24"/>
          <w:lang w:val="en-IE"/>
        </w:rPr>
        <w:t>The</w:t>
      </w:r>
      <w:r w:rsidR="006B121A" w:rsidRPr="004D53CF">
        <w:rPr>
          <w:rFonts w:ascii="Times New Roman" w:hAnsi="Times New Roman" w:cs="Times New Roman"/>
          <w:noProof/>
          <w:sz w:val="24"/>
          <w:szCs w:val="24"/>
          <w:lang w:val="en-IE"/>
        </w:rPr>
        <w:t xml:space="preserve"> </w:t>
      </w:r>
      <w:r w:rsidRPr="004D53CF">
        <w:rPr>
          <w:rFonts w:ascii="Times New Roman" w:hAnsi="Times New Roman" w:cs="Times New Roman"/>
          <w:noProof/>
          <w:sz w:val="24"/>
          <w:szCs w:val="24"/>
          <w:lang w:val="en-IE"/>
        </w:rPr>
        <w:t xml:space="preserve">Explanatory Statement will contain commentaries and interpretations of the MLC rules. </w:t>
      </w:r>
    </w:p>
    <w:p w14:paraId="71A32FC9" w14:textId="4DF49321" w:rsidR="004D53CF" w:rsidRPr="004D53CF" w:rsidRDefault="004D53CF" w:rsidP="00882246">
      <w:pPr>
        <w:spacing w:after="120" w:line="240" w:lineRule="auto"/>
        <w:jc w:val="both"/>
        <w:rPr>
          <w:rFonts w:ascii="Times New Roman" w:hAnsi="Times New Roman" w:cs="Times New Roman"/>
          <w:noProof/>
          <w:sz w:val="24"/>
          <w:szCs w:val="24"/>
          <w:lang w:val="en-IE"/>
        </w:rPr>
      </w:pPr>
      <w:r w:rsidRPr="004D53CF">
        <w:rPr>
          <w:rFonts w:ascii="Times New Roman" w:hAnsi="Times New Roman" w:cs="Times New Roman"/>
          <w:noProof/>
          <w:sz w:val="24"/>
          <w:szCs w:val="24"/>
          <w:lang w:val="en-IE"/>
        </w:rPr>
        <w:t>The technical work</w:t>
      </w:r>
      <w:r w:rsidR="006B121A">
        <w:rPr>
          <w:rFonts w:ascii="Times New Roman" w:hAnsi="Times New Roman" w:cs="Times New Roman"/>
          <w:noProof/>
          <w:sz w:val="24"/>
          <w:szCs w:val="24"/>
          <w:lang w:val="en-IE"/>
        </w:rPr>
        <w:t xml:space="preserve"> of the TFDE</w:t>
      </w:r>
      <w:r w:rsidRPr="004D53CF">
        <w:rPr>
          <w:rFonts w:ascii="Times New Roman" w:hAnsi="Times New Roman" w:cs="Times New Roman"/>
          <w:noProof/>
          <w:sz w:val="24"/>
          <w:szCs w:val="24"/>
          <w:lang w:val="en-IE"/>
        </w:rPr>
        <w:t xml:space="preserve"> is not finished yet. </w:t>
      </w:r>
      <w:r w:rsidR="007B5DBD">
        <w:rPr>
          <w:rFonts w:ascii="Times New Roman" w:hAnsi="Times New Roman" w:cs="Times New Roman"/>
          <w:noProof/>
          <w:sz w:val="24"/>
          <w:szCs w:val="24"/>
          <w:lang w:val="en-IE"/>
        </w:rPr>
        <w:t>S</w:t>
      </w:r>
      <w:r w:rsidRPr="004D53CF">
        <w:rPr>
          <w:rFonts w:ascii="Times New Roman" w:hAnsi="Times New Roman" w:cs="Times New Roman"/>
          <w:noProof/>
          <w:sz w:val="24"/>
          <w:szCs w:val="24"/>
          <w:lang w:val="en-IE"/>
        </w:rPr>
        <w:t>everal meetings have been scheduled</w:t>
      </w:r>
      <w:r w:rsidR="00096B08">
        <w:rPr>
          <w:rFonts w:ascii="Times New Roman" w:hAnsi="Times New Roman" w:cs="Times New Roman"/>
          <w:noProof/>
          <w:sz w:val="24"/>
          <w:szCs w:val="24"/>
          <w:lang w:val="en-IE"/>
        </w:rPr>
        <w:t xml:space="preserve"> in the upcoming weeks. </w:t>
      </w:r>
      <w:r w:rsidR="00465B50">
        <w:rPr>
          <w:rFonts w:ascii="Times New Roman" w:hAnsi="Times New Roman" w:cs="Times New Roman"/>
          <w:noProof/>
          <w:sz w:val="24"/>
          <w:szCs w:val="24"/>
          <w:lang w:val="en-IE"/>
        </w:rPr>
        <w:t>The e</w:t>
      </w:r>
      <w:r w:rsidRPr="004D53CF">
        <w:rPr>
          <w:rFonts w:ascii="Times New Roman" w:hAnsi="Times New Roman" w:cs="Times New Roman"/>
          <w:noProof/>
          <w:sz w:val="24"/>
          <w:szCs w:val="24"/>
          <w:lang w:val="en-IE"/>
        </w:rPr>
        <w:t xml:space="preserve">lements of the MLC </w:t>
      </w:r>
      <w:r w:rsidR="00096B08">
        <w:rPr>
          <w:rFonts w:ascii="Times New Roman" w:hAnsi="Times New Roman" w:cs="Times New Roman"/>
          <w:noProof/>
          <w:sz w:val="24"/>
          <w:szCs w:val="24"/>
          <w:lang w:val="en-IE"/>
        </w:rPr>
        <w:t xml:space="preserve">that are still </w:t>
      </w:r>
      <w:r w:rsidRPr="004D53CF">
        <w:rPr>
          <w:rFonts w:ascii="Times New Roman" w:hAnsi="Times New Roman" w:cs="Times New Roman"/>
          <w:noProof/>
          <w:sz w:val="24"/>
          <w:szCs w:val="24"/>
          <w:lang w:val="en-IE"/>
        </w:rPr>
        <w:t>under discussion include: the elimination of double taxation</w:t>
      </w:r>
      <w:r w:rsidR="006B121A">
        <w:rPr>
          <w:rFonts w:ascii="Times New Roman" w:hAnsi="Times New Roman" w:cs="Times New Roman"/>
          <w:noProof/>
          <w:sz w:val="24"/>
          <w:szCs w:val="24"/>
          <w:lang w:val="en-IE"/>
        </w:rPr>
        <w:t>,</w:t>
      </w:r>
      <w:r w:rsidR="006B121A" w:rsidRPr="004D53CF">
        <w:rPr>
          <w:rFonts w:ascii="Times New Roman" w:hAnsi="Times New Roman" w:cs="Times New Roman"/>
          <w:noProof/>
          <w:sz w:val="24"/>
          <w:szCs w:val="24"/>
          <w:lang w:val="en-IE"/>
        </w:rPr>
        <w:t xml:space="preserve"> </w:t>
      </w:r>
      <w:r w:rsidR="007B5DBD">
        <w:rPr>
          <w:rFonts w:ascii="Times New Roman" w:hAnsi="Times New Roman" w:cs="Times New Roman"/>
          <w:noProof/>
          <w:sz w:val="24"/>
          <w:szCs w:val="24"/>
          <w:lang w:val="en-IE"/>
        </w:rPr>
        <w:t>the m</w:t>
      </w:r>
      <w:r w:rsidR="007B5DBD" w:rsidRPr="004D53CF">
        <w:rPr>
          <w:rFonts w:ascii="Times New Roman" w:hAnsi="Times New Roman" w:cs="Times New Roman"/>
          <w:noProof/>
          <w:sz w:val="24"/>
          <w:szCs w:val="24"/>
          <w:lang w:val="en-IE"/>
        </w:rPr>
        <w:t xml:space="preserve">arketing </w:t>
      </w:r>
      <w:r w:rsidRPr="004D53CF">
        <w:rPr>
          <w:rFonts w:ascii="Times New Roman" w:hAnsi="Times New Roman" w:cs="Times New Roman"/>
          <w:noProof/>
          <w:sz w:val="24"/>
          <w:szCs w:val="24"/>
          <w:lang w:val="en-IE"/>
        </w:rPr>
        <w:t xml:space="preserve">and </w:t>
      </w:r>
      <w:r w:rsidR="007B5DBD">
        <w:rPr>
          <w:rFonts w:ascii="Times New Roman" w:hAnsi="Times New Roman" w:cs="Times New Roman"/>
          <w:noProof/>
          <w:sz w:val="24"/>
          <w:szCs w:val="24"/>
          <w:lang w:val="en-IE"/>
        </w:rPr>
        <w:t>d</w:t>
      </w:r>
      <w:r w:rsidRPr="004D53CF">
        <w:rPr>
          <w:rFonts w:ascii="Times New Roman" w:hAnsi="Times New Roman" w:cs="Times New Roman"/>
          <w:noProof/>
          <w:sz w:val="24"/>
          <w:szCs w:val="24"/>
          <w:lang w:val="en-IE"/>
        </w:rPr>
        <w:t xml:space="preserve">istribution </w:t>
      </w:r>
      <w:r w:rsidR="007B5DBD">
        <w:rPr>
          <w:rFonts w:ascii="Times New Roman" w:hAnsi="Times New Roman" w:cs="Times New Roman"/>
          <w:noProof/>
          <w:sz w:val="24"/>
          <w:szCs w:val="24"/>
          <w:lang w:val="en-IE"/>
        </w:rPr>
        <w:t>s</w:t>
      </w:r>
      <w:r w:rsidRPr="004D53CF">
        <w:rPr>
          <w:rFonts w:ascii="Times New Roman" w:hAnsi="Times New Roman" w:cs="Times New Roman"/>
          <w:noProof/>
          <w:sz w:val="24"/>
          <w:szCs w:val="24"/>
          <w:lang w:val="en-IE"/>
        </w:rPr>
        <w:t xml:space="preserve">afe </w:t>
      </w:r>
      <w:r w:rsidR="007B5DBD">
        <w:rPr>
          <w:rFonts w:ascii="Times New Roman" w:hAnsi="Times New Roman" w:cs="Times New Roman"/>
          <w:noProof/>
          <w:sz w:val="24"/>
          <w:szCs w:val="24"/>
          <w:lang w:val="en-IE"/>
        </w:rPr>
        <w:t>h</w:t>
      </w:r>
      <w:r w:rsidRPr="004D53CF">
        <w:rPr>
          <w:rFonts w:ascii="Times New Roman" w:hAnsi="Times New Roman" w:cs="Times New Roman"/>
          <w:noProof/>
          <w:sz w:val="24"/>
          <w:szCs w:val="24"/>
          <w:lang w:val="en-IE"/>
        </w:rPr>
        <w:t xml:space="preserve">arbour and the treatment of </w:t>
      </w:r>
      <w:r w:rsidR="007B5DBD">
        <w:rPr>
          <w:rFonts w:ascii="Times New Roman" w:hAnsi="Times New Roman" w:cs="Times New Roman"/>
          <w:noProof/>
          <w:sz w:val="24"/>
          <w:szCs w:val="24"/>
          <w:lang w:val="en-IE"/>
        </w:rPr>
        <w:t>w</w:t>
      </w:r>
      <w:r w:rsidR="007B5DBD" w:rsidRPr="004D53CF">
        <w:rPr>
          <w:rFonts w:ascii="Times New Roman" w:hAnsi="Times New Roman" w:cs="Times New Roman"/>
          <w:noProof/>
          <w:sz w:val="24"/>
          <w:szCs w:val="24"/>
          <w:lang w:val="en-IE"/>
        </w:rPr>
        <w:t xml:space="preserve">ithholding </w:t>
      </w:r>
      <w:r w:rsidR="007B5DBD">
        <w:rPr>
          <w:rFonts w:ascii="Times New Roman" w:hAnsi="Times New Roman" w:cs="Times New Roman"/>
          <w:noProof/>
          <w:sz w:val="24"/>
          <w:szCs w:val="24"/>
          <w:lang w:val="en-IE"/>
        </w:rPr>
        <w:t>t</w:t>
      </w:r>
      <w:r w:rsidRPr="004D53CF">
        <w:rPr>
          <w:rFonts w:ascii="Times New Roman" w:hAnsi="Times New Roman" w:cs="Times New Roman"/>
          <w:noProof/>
          <w:sz w:val="24"/>
          <w:szCs w:val="24"/>
          <w:lang w:val="en-IE"/>
        </w:rPr>
        <w:t>axes</w:t>
      </w:r>
      <w:r w:rsidR="006B121A">
        <w:rPr>
          <w:rFonts w:ascii="Times New Roman" w:hAnsi="Times New Roman" w:cs="Times New Roman"/>
          <w:noProof/>
          <w:sz w:val="24"/>
          <w:szCs w:val="24"/>
          <w:lang w:val="en-IE"/>
        </w:rPr>
        <w:t>,</w:t>
      </w:r>
      <w:r w:rsidR="006B121A" w:rsidRPr="004D53CF">
        <w:rPr>
          <w:rFonts w:ascii="Times New Roman" w:hAnsi="Times New Roman" w:cs="Times New Roman"/>
          <w:noProof/>
          <w:sz w:val="24"/>
          <w:szCs w:val="24"/>
          <w:lang w:val="en-IE"/>
        </w:rPr>
        <w:t xml:space="preserve"> </w:t>
      </w:r>
      <w:r w:rsidR="007B5DBD">
        <w:rPr>
          <w:rFonts w:ascii="Times New Roman" w:hAnsi="Times New Roman" w:cs="Times New Roman"/>
          <w:noProof/>
          <w:sz w:val="24"/>
          <w:szCs w:val="24"/>
          <w:lang w:val="en-IE"/>
        </w:rPr>
        <w:t xml:space="preserve">the </w:t>
      </w:r>
      <w:r w:rsidRPr="004D53CF">
        <w:rPr>
          <w:rFonts w:ascii="Times New Roman" w:hAnsi="Times New Roman" w:cs="Times New Roman"/>
          <w:noProof/>
          <w:sz w:val="24"/>
          <w:szCs w:val="24"/>
          <w:lang w:val="en-IE"/>
        </w:rPr>
        <w:t xml:space="preserve">standstill and rollback of </w:t>
      </w:r>
      <w:r w:rsidR="007B5DBD">
        <w:rPr>
          <w:rFonts w:ascii="Times New Roman" w:hAnsi="Times New Roman" w:cs="Times New Roman"/>
          <w:noProof/>
          <w:sz w:val="24"/>
          <w:szCs w:val="24"/>
          <w:lang w:val="en-IE"/>
        </w:rPr>
        <w:t>d</w:t>
      </w:r>
      <w:r w:rsidR="007B5DBD" w:rsidRPr="004D53CF">
        <w:rPr>
          <w:rFonts w:ascii="Times New Roman" w:hAnsi="Times New Roman" w:cs="Times New Roman"/>
          <w:noProof/>
          <w:sz w:val="24"/>
          <w:szCs w:val="24"/>
          <w:lang w:val="en-IE"/>
        </w:rPr>
        <w:t xml:space="preserve">igital </w:t>
      </w:r>
      <w:r w:rsidR="007B5DBD">
        <w:rPr>
          <w:rFonts w:ascii="Times New Roman" w:hAnsi="Times New Roman" w:cs="Times New Roman"/>
          <w:noProof/>
          <w:sz w:val="24"/>
          <w:szCs w:val="24"/>
          <w:lang w:val="en-IE"/>
        </w:rPr>
        <w:t>s</w:t>
      </w:r>
      <w:r w:rsidRPr="004D53CF">
        <w:rPr>
          <w:rFonts w:ascii="Times New Roman" w:hAnsi="Times New Roman" w:cs="Times New Roman"/>
          <w:noProof/>
          <w:sz w:val="24"/>
          <w:szCs w:val="24"/>
          <w:lang w:val="en-IE"/>
        </w:rPr>
        <w:t xml:space="preserve">ervices </w:t>
      </w:r>
      <w:r w:rsidR="007B5DBD">
        <w:rPr>
          <w:rFonts w:ascii="Times New Roman" w:hAnsi="Times New Roman" w:cs="Times New Roman"/>
          <w:noProof/>
          <w:sz w:val="24"/>
          <w:szCs w:val="24"/>
          <w:lang w:val="en-IE"/>
        </w:rPr>
        <w:t>t</w:t>
      </w:r>
      <w:r w:rsidRPr="004D53CF">
        <w:rPr>
          <w:rFonts w:ascii="Times New Roman" w:hAnsi="Times New Roman" w:cs="Times New Roman"/>
          <w:noProof/>
          <w:sz w:val="24"/>
          <w:szCs w:val="24"/>
          <w:lang w:val="en-IE"/>
        </w:rPr>
        <w:t xml:space="preserve">axes and other relevant similar </w:t>
      </w:r>
      <w:r w:rsidR="007B5DBD">
        <w:rPr>
          <w:rFonts w:ascii="Times New Roman" w:hAnsi="Times New Roman" w:cs="Times New Roman"/>
          <w:noProof/>
          <w:sz w:val="24"/>
          <w:szCs w:val="24"/>
          <w:lang w:val="en-IE"/>
        </w:rPr>
        <w:t xml:space="preserve">unilateral </w:t>
      </w:r>
      <w:r w:rsidRPr="004D53CF">
        <w:rPr>
          <w:rFonts w:ascii="Times New Roman" w:hAnsi="Times New Roman" w:cs="Times New Roman"/>
          <w:noProof/>
          <w:sz w:val="24"/>
          <w:szCs w:val="24"/>
          <w:lang w:val="en-IE"/>
        </w:rPr>
        <w:t xml:space="preserve">measures, the implementation of an </w:t>
      </w:r>
      <w:r w:rsidR="007B5DBD">
        <w:rPr>
          <w:rFonts w:ascii="Times New Roman" w:hAnsi="Times New Roman" w:cs="Times New Roman"/>
          <w:noProof/>
          <w:sz w:val="24"/>
          <w:szCs w:val="24"/>
          <w:lang w:val="en-IE"/>
        </w:rPr>
        <w:t>a</w:t>
      </w:r>
      <w:r w:rsidR="007B5DBD" w:rsidRPr="004D53CF">
        <w:rPr>
          <w:rFonts w:ascii="Times New Roman" w:hAnsi="Times New Roman" w:cs="Times New Roman"/>
          <w:noProof/>
          <w:sz w:val="24"/>
          <w:szCs w:val="24"/>
          <w:lang w:val="en-IE"/>
        </w:rPr>
        <w:t xml:space="preserve">utonomous </w:t>
      </w:r>
      <w:r w:rsidR="007B5DBD">
        <w:rPr>
          <w:rFonts w:ascii="Times New Roman" w:hAnsi="Times New Roman" w:cs="Times New Roman"/>
          <w:noProof/>
          <w:sz w:val="24"/>
          <w:szCs w:val="24"/>
          <w:lang w:val="en-IE"/>
        </w:rPr>
        <w:t>d</w:t>
      </w:r>
      <w:r w:rsidR="007B5DBD" w:rsidRPr="004D53CF">
        <w:rPr>
          <w:rFonts w:ascii="Times New Roman" w:hAnsi="Times New Roman" w:cs="Times New Roman"/>
          <w:noProof/>
          <w:sz w:val="24"/>
          <w:szCs w:val="24"/>
          <w:lang w:val="en-IE"/>
        </w:rPr>
        <w:t xml:space="preserve">omestic </w:t>
      </w:r>
      <w:r w:rsidR="007B5DBD">
        <w:rPr>
          <w:rFonts w:ascii="Times New Roman" w:hAnsi="Times New Roman" w:cs="Times New Roman"/>
          <w:noProof/>
          <w:sz w:val="24"/>
          <w:szCs w:val="24"/>
          <w:lang w:val="en-IE"/>
        </w:rPr>
        <w:t>b</w:t>
      </w:r>
      <w:r w:rsidRPr="004D53CF">
        <w:rPr>
          <w:rFonts w:ascii="Times New Roman" w:hAnsi="Times New Roman" w:cs="Times New Roman"/>
          <w:noProof/>
          <w:sz w:val="24"/>
          <w:szCs w:val="24"/>
          <w:lang w:val="en-IE"/>
        </w:rPr>
        <w:t xml:space="preserve">usiness exemption and the carve-out for defensive revenues, </w:t>
      </w:r>
      <w:r w:rsidR="007B5DBD" w:rsidRPr="004D53CF">
        <w:rPr>
          <w:rFonts w:ascii="Times New Roman" w:hAnsi="Times New Roman" w:cs="Times New Roman"/>
          <w:noProof/>
          <w:sz w:val="24"/>
          <w:szCs w:val="24"/>
          <w:lang w:val="en-IE"/>
        </w:rPr>
        <w:t>a</w:t>
      </w:r>
      <w:r w:rsidR="007B5DBD">
        <w:rPr>
          <w:rFonts w:ascii="Times New Roman" w:hAnsi="Times New Roman" w:cs="Times New Roman"/>
          <w:noProof/>
          <w:sz w:val="24"/>
          <w:szCs w:val="24"/>
          <w:lang w:val="en-IE"/>
        </w:rPr>
        <w:t>s well as</w:t>
      </w:r>
      <w:r w:rsidR="007B5DBD" w:rsidRPr="004D53CF">
        <w:rPr>
          <w:rFonts w:ascii="Times New Roman" w:hAnsi="Times New Roman" w:cs="Times New Roman"/>
          <w:noProof/>
          <w:sz w:val="24"/>
          <w:szCs w:val="24"/>
          <w:lang w:val="en-IE"/>
        </w:rPr>
        <w:t xml:space="preserve"> </w:t>
      </w:r>
      <w:r w:rsidRPr="004D53CF">
        <w:rPr>
          <w:rFonts w:ascii="Times New Roman" w:hAnsi="Times New Roman" w:cs="Times New Roman"/>
          <w:noProof/>
          <w:sz w:val="24"/>
          <w:szCs w:val="24"/>
          <w:lang w:val="en-IE"/>
        </w:rPr>
        <w:t xml:space="preserve">the condition of entry into force. </w:t>
      </w:r>
    </w:p>
    <w:p w14:paraId="1CDB37E6" w14:textId="4A26CF7D" w:rsidR="006B121A" w:rsidRDefault="004D53CF" w:rsidP="00882246">
      <w:pPr>
        <w:spacing w:after="120" w:line="240" w:lineRule="auto"/>
        <w:jc w:val="both"/>
        <w:rPr>
          <w:rFonts w:ascii="Times New Roman" w:hAnsi="Times New Roman" w:cs="Times New Roman"/>
          <w:noProof/>
          <w:sz w:val="24"/>
          <w:szCs w:val="24"/>
          <w:lang w:val="en-IE"/>
        </w:rPr>
      </w:pPr>
      <w:r w:rsidRPr="004D53CF">
        <w:rPr>
          <w:rFonts w:ascii="Times New Roman" w:hAnsi="Times New Roman" w:cs="Times New Roman"/>
          <w:noProof/>
          <w:sz w:val="24"/>
          <w:szCs w:val="24"/>
          <w:lang w:val="en-IE"/>
        </w:rPr>
        <w:t xml:space="preserve">The OECD </w:t>
      </w:r>
      <w:r w:rsidR="0076465D">
        <w:rPr>
          <w:rFonts w:ascii="Times New Roman" w:hAnsi="Times New Roman" w:cs="Times New Roman"/>
          <w:noProof/>
          <w:sz w:val="24"/>
          <w:szCs w:val="24"/>
          <w:lang w:val="en-IE"/>
        </w:rPr>
        <w:t xml:space="preserve">Secretariat </w:t>
      </w:r>
      <w:r w:rsidR="00096B08">
        <w:rPr>
          <w:rFonts w:ascii="Times New Roman" w:hAnsi="Times New Roman" w:cs="Times New Roman"/>
          <w:noProof/>
          <w:sz w:val="24"/>
          <w:szCs w:val="24"/>
          <w:lang w:val="en-IE"/>
        </w:rPr>
        <w:t xml:space="preserve">aims </w:t>
      </w:r>
      <w:r w:rsidRPr="004D53CF">
        <w:rPr>
          <w:rFonts w:ascii="Times New Roman" w:hAnsi="Times New Roman" w:cs="Times New Roman"/>
          <w:noProof/>
          <w:sz w:val="24"/>
          <w:szCs w:val="24"/>
          <w:lang w:val="en-IE"/>
        </w:rPr>
        <w:t>to finalise the technical work by</w:t>
      </w:r>
      <w:r w:rsidR="00465B50">
        <w:rPr>
          <w:rFonts w:ascii="Times New Roman" w:hAnsi="Times New Roman" w:cs="Times New Roman"/>
          <w:noProof/>
          <w:sz w:val="24"/>
          <w:szCs w:val="24"/>
          <w:lang w:val="en-IE"/>
        </w:rPr>
        <w:t xml:space="preserve"> </w:t>
      </w:r>
      <w:r w:rsidR="008215C1">
        <w:rPr>
          <w:rFonts w:ascii="Times New Roman" w:hAnsi="Times New Roman" w:cs="Times New Roman"/>
          <w:noProof/>
          <w:sz w:val="24"/>
          <w:szCs w:val="24"/>
          <w:lang w:val="en-IE"/>
        </w:rPr>
        <w:t>1</w:t>
      </w:r>
      <w:r w:rsidR="00FD1F24">
        <w:rPr>
          <w:rFonts w:ascii="Times New Roman" w:hAnsi="Times New Roman" w:cs="Times New Roman"/>
          <w:noProof/>
          <w:sz w:val="24"/>
          <w:szCs w:val="24"/>
          <w:lang w:val="en-IE"/>
        </w:rPr>
        <w:t>0</w:t>
      </w:r>
      <w:r w:rsidR="008215C1">
        <w:rPr>
          <w:rFonts w:ascii="Times New Roman" w:hAnsi="Times New Roman" w:cs="Times New Roman"/>
          <w:noProof/>
          <w:sz w:val="24"/>
          <w:szCs w:val="24"/>
          <w:lang w:val="en-IE"/>
        </w:rPr>
        <w:t>-12</w:t>
      </w:r>
      <w:r w:rsidRPr="004D53CF">
        <w:rPr>
          <w:rFonts w:ascii="Times New Roman" w:hAnsi="Times New Roman" w:cs="Times New Roman"/>
          <w:noProof/>
          <w:sz w:val="24"/>
          <w:szCs w:val="24"/>
          <w:lang w:val="en-IE"/>
        </w:rPr>
        <w:t xml:space="preserve"> July </w:t>
      </w:r>
      <w:r w:rsidR="00096B08">
        <w:rPr>
          <w:rFonts w:ascii="Times New Roman" w:hAnsi="Times New Roman" w:cs="Times New Roman"/>
          <w:noProof/>
          <w:sz w:val="24"/>
          <w:szCs w:val="24"/>
          <w:lang w:val="en-IE"/>
        </w:rPr>
        <w:t xml:space="preserve">2023 </w:t>
      </w:r>
      <w:r w:rsidRPr="004D53CF">
        <w:rPr>
          <w:rFonts w:ascii="Times New Roman" w:hAnsi="Times New Roman" w:cs="Times New Roman"/>
          <w:noProof/>
          <w:sz w:val="24"/>
          <w:szCs w:val="24"/>
          <w:lang w:val="en-IE"/>
        </w:rPr>
        <w:t xml:space="preserve">and present the package of the MLC and the Explanatory Statement. As jurisdictions need </w:t>
      </w:r>
      <w:r w:rsidR="00707582">
        <w:rPr>
          <w:rFonts w:ascii="Times New Roman" w:hAnsi="Times New Roman" w:cs="Times New Roman"/>
          <w:noProof/>
          <w:sz w:val="24"/>
          <w:szCs w:val="24"/>
          <w:lang w:val="en-IE"/>
        </w:rPr>
        <w:t>furth</w:t>
      </w:r>
      <w:r w:rsidRPr="004D53CF">
        <w:rPr>
          <w:rFonts w:ascii="Times New Roman" w:hAnsi="Times New Roman" w:cs="Times New Roman"/>
          <w:noProof/>
          <w:sz w:val="24"/>
          <w:szCs w:val="24"/>
          <w:lang w:val="en-IE"/>
        </w:rPr>
        <w:t>e</w:t>
      </w:r>
      <w:r w:rsidR="00707582">
        <w:rPr>
          <w:rFonts w:ascii="Times New Roman" w:hAnsi="Times New Roman" w:cs="Times New Roman"/>
          <w:noProof/>
          <w:sz w:val="24"/>
          <w:szCs w:val="24"/>
          <w:lang w:val="en-IE"/>
        </w:rPr>
        <w:t>r</w:t>
      </w:r>
      <w:r w:rsidRPr="004D53CF">
        <w:rPr>
          <w:rFonts w:ascii="Times New Roman" w:hAnsi="Times New Roman" w:cs="Times New Roman"/>
          <w:noProof/>
          <w:sz w:val="24"/>
          <w:szCs w:val="24"/>
          <w:lang w:val="en-IE"/>
        </w:rPr>
        <w:t xml:space="preserve"> time</w:t>
      </w:r>
      <w:r w:rsidR="0076465D">
        <w:rPr>
          <w:rFonts w:ascii="Times New Roman" w:hAnsi="Times New Roman" w:cs="Times New Roman"/>
          <w:noProof/>
          <w:sz w:val="24"/>
          <w:szCs w:val="24"/>
          <w:lang w:val="en-IE"/>
        </w:rPr>
        <w:t>,</w:t>
      </w:r>
      <w:r w:rsidRPr="004D53CF">
        <w:rPr>
          <w:rFonts w:ascii="Times New Roman" w:hAnsi="Times New Roman" w:cs="Times New Roman"/>
          <w:noProof/>
          <w:sz w:val="24"/>
          <w:szCs w:val="24"/>
          <w:lang w:val="en-IE"/>
        </w:rPr>
        <w:t xml:space="preserve"> due to domestic reasons</w:t>
      </w:r>
      <w:r w:rsidR="0076465D">
        <w:rPr>
          <w:rFonts w:ascii="Times New Roman" w:hAnsi="Times New Roman" w:cs="Times New Roman"/>
          <w:noProof/>
          <w:sz w:val="24"/>
          <w:szCs w:val="24"/>
          <w:lang w:val="en-IE"/>
        </w:rPr>
        <w:t>,</w:t>
      </w:r>
      <w:r w:rsidRPr="004D53CF">
        <w:rPr>
          <w:rFonts w:ascii="Times New Roman" w:hAnsi="Times New Roman" w:cs="Times New Roman"/>
          <w:noProof/>
          <w:sz w:val="24"/>
          <w:szCs w:val="24"/>
          <w:lang w:val="en-IE"/>
        </w:rPr>
        <w:t xml:space="preserve"> before signing the MLC, the signing ceremony </w:t>
      </w:r>
      <w:r w:rsidR="0076465D">
        <w:rPr>
          <w:rFonts w:ascii="Times New Roman" w:hAnsi="Times New Roman" w:cs="Times New Roman"/>
          <w:noProof/>
          <w:sz w:val="24"/>
          <w:szCs w:val="24"/>
          <w:lang w:val="en-IE"/>
        </w:rPr>
        <w:t xml:space="preserve">of the MLC </w:t>
      </w:r>
      <w:r w:rsidRPr="004D53CF">
        <w:rPr>
          <w:rFonts w:ascii="Times New Roman" w:hAnsi="Times New Roman" w:cs="Times New Roman"/>
          <w:noProof/>
          <w:sz w:val="24"/>
          <w:szCs w:val="24"/>
          <w:lang w:val="en-IE"/>
        </w:rPr>
        <w:t xml:space="preserve">is expected to take place at the end of 2023. </w:t>
      </w:r>
    </w:p>
    <w:p w14:paraId="2C7F2BF6" w14:textId="6562D55C" w:rsidR="00AC45C7" w:rsidRDefault="0099225C" w:rsidP="000863FE">
      <w:pPr>
        <w:pStyle w:val="ListParagraph"/>
        <w:spacing w:after="60" w:line="240" w:lineRule="auto"/>
        <w:ind w:left="0"/>
        <w:contextualSpacing w:val="0"/>
        <w:jc w:val="both"/>
        <w:rPr>
          <w:rFonts w:ascii="Times New Roman" w:hAnsi="Times New Roman" w:cs="Times New Roman"/>
          <w:noProof/>
          <w:sz w:val="24"/>
          <w:szCs w:val="24"/>
          <w:lang w:val="en-IE"/>
        </w:rPr>
      </w:pPr>
      <w:r w:rsidRPr="0099225C">
        <w:rPr>
          <w:rFonts w:ascii="Times New Roman" w:hAnsi="Times New Roman" w:cs="Times New Roman"/>
          <w:noProof/>
          <w:sz w:val="24"/>
          <w:szCs w:val="24"/>
          <w:lang w:val="en-IE"/>
        </w:rPr>
        <w:t xml:space="preserve">The OECD </w:t>
      </w:r>
      <w:r w:rsidR="0076465D">
        <w:rPr>
          <w:rFonts w:ascii="Times New Roman" w:hAnsi="Times New Roman" w:cs="Times New Roman"/>
          <w:noProof/>
          <w:sz w:val="24"/>
          <w:szCs w:val="24"/>
          <w:lang w:val="en-IE"/>
        </w:rPr>
        <w:t xml:space="preserve">Secretariat </w:t>
      </w:r>
      <w:r w:rsidRPr="0099225C">
        <w:rPr>
          <w:rFonts w:ascii="Times New Roman" w:hAnsi="Times New Roman" w:cs="Times New Roman"/>
          <w:noProof/>
          <w:sz w:val="24"/>
          <w:szCs w:val="24"/>
          <w:lang w:val="en-IE"/>
        </w:rPr>
        <w:t>also plans to have a preliminary agreement in July on the main component</w:t>
      </w:r>
      <w:r w:rsidR="003C7E8A">
        <w:rPr>
          <w:rFonts w:ascii="Times New Roman" w:hAnsi="Times New Roman" w:cs="Times New Roman"/>
          <w:noProof/>
          <w:sz w:val="24"/>
          <w:szCs w:val="24"/>
          <w:lang w:val="en-IE"/>
        </w:rPr>
        <w:t>s</w:t>
      </w:r>
      <w:r w:rsidRPr="0099225C">
        <w:rPr>
          <w:rFonts w:ascii="Times New Roman" w:hAnsi="Times New Roman" w:cs="Times New Roman"/>
          <w:noProof/>
          <w:sz w:val="24"/>
          <w:szCs w:val="24"/>
          <w:lang w:val="en-IE"/>
        </w:rPr>
        <w:t xml:space="preserve"> of Amount B subjected to a validation phase to be undertaken by the end of 2023.</w:t>
      </w:r>
      <w:r w:rsidR="00A70417">
        <w:rPr>
          <w:rFonts w:ascii="Times New Roman" w:hAnsi="Times New Roman" w:cs="Times New Roman"/>
          <w:noProof/>
          <w:sz w:val="24"/>
          <w:szCs w:val="24"/>
          <w:lang w:val="en-IE"/>
        </w:rPr>
        <w:t xml:space="preserve"> </w:t>
      </w:r>
      <w:r w:rsidR="007B5DBD">
        <w:rPr>
          <w:rFonts w:ascii="Times New Roman" w:hAnsi="Times New Roman" w:cs="Times New Roman"/>
          <w:noProof/>
          <w:sz w:val="24"/>
          <w:szCs w:val="24"/>
          <w:lang w:val="en-IE"/>
        </w:rPr>
        <w:t>In particular, t</w:t>
      </w:r>
      <w:r w:rsidR="00AC45C7" w:rsidRPr="00AC45C7">
        <w:rPr>
          <w:rFonts w:ascii="Times New Roman" w:hAnsi="Times New Roman" w:cs="Times New Roman"/>
          <w:noProof/>
          <w:sz w:val="24"/>
          <w:szCs w:val="24"/>
          <w:lang w:val="en-IE"/>
        </w:rPr>
        <w:t>he OECD aims to reach an agreement on the following elements</w:t>
      </w:r>
      <w:r w:rsidR="00AC45C7">
        <w:rPr>
          <w:rFonts w:ascii="Times New Roman" w:hAnsi="Times New Roman" w:cs="Times New Roman"/>
          <w:noProof/>
          <w:sz w:val="24"/>
          <w:szCs w:val="24"/>
          <w:lang w:val="en-IE"/>
        </w:rPr>
        <w:t xml:space="preserve"> of Amount B</w:t>
      </w:r>
      <w:r w:rsidR="00AC45C7" w:rsidRPr="00AC45C7">
        <w:rPr>
          <w:rFonts w:ascii="Times New Roman" w:hAnsi="Times New Roman" w:cs="Times New Roman"/>
          <w:noProof/>
          <w:sz w:val="24"/>
          <w:szCs w:val="24"/>
          <w:lang w:val="en-IE"/>
        </w:rPr>
        <w:t>:</w:t>
      </w:r>
    </w:p>
    <w:p w14:paraId="25C63970" w14:textId="5AE8EE77" w:rsidR="00AC45C7" w:rsidRPr="00AC45C7" w:rsidRDefault="007B5DBD" w:rsidP="00D61044">
      <w:pPr>
        <w:pStyle w:val="ListParagraph"/>
        <w:numPr>
          <w:ilvl w:val="0"/>
          <w:numId w:val="3"/>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w:t>
      </w:r>
      <w:r w:rsidR="00AC45C7" w:rsidRPr="00AC45C7">
        <w:rPr>
          <w:rFonts w:ascii="Times New Roman" w:hAnsi="Times New Roman" w:cs="Times New Roman"/>
          <w:noProof/>
          <w:sz w:val="24"/>
          <w:szCs w:val="24"/>
          <w:lang w:val="en-IE"/>
        </w:rPr>
        <w:t xml:space="preserve"> scope, with further work to be undertaken by the end of the year to better define the list of excluded activities and the appropriateness of the pricing methodology for digital goods</w:t>
      </w:r>
      <w:r w:rsidR="0076465D">
        <w:rPr>
          <w:rFonts w:ascii="Times New Roman" w:hAnsi="Times New Roman" w:cs="Times New Roman"/>
          <w:noProof/>
          <w:sz w:val="24"/>
          <w:szCs w:val="24"/>
          <w:lang w:val="en-IE"/>
        </w:rPr>
        <w:t>;</w:t>
      </w:r>
    </w:p>
    <w:p w14:paraId="40963296" w14:textId="35112F8F" w:rsidR="00AC45C7" w:rsidRPr="00AC45C7" w:rsidRDefault="00465B50" w:rsidP="00D61044">
      <w:pPr>
        <w:pStyle w:val="ListParagraph"/>
        <w:numPr>
          <w:ilvl w:val="0"/>
          <w:numId w:val="3"/>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AC45C7" w:rsidRPr="00AC45C7">
        <w:rPr>
          <w:rFonts w:ascii="Times New Roman" w:hAnsi="Times New Roman" w:cs="Times New Roman"/>
          <w:noProof/>
          <w:sz w:val="24"/>
          <w:szCs w:val="24"/>
          <w:lang w:val="en-IE"/>
        </w:rPr>
        <w:t xml:space="preserve">he opening of a validation phase on the pricing framework that will run till the end of the year </w:t>
      </w:r>
      <w:r w:rsidR="0076465D">
        <w:rPr>
          <w:rFonts w:ascii="Times New Roman" w:hAnsi="Times New Roman" w:cs="Times New Roman"/>
          <w:noProof/>
          <w:sz w:val="24"/>
          <w:szCs w:val="24"/>
          <w:lang w:val="en-IE"/>
        </w:rPr>
        <w:t xml:space="preserve">and </w:t>
      </w:r>
      <w:r w:rsidR="00AC45C7" w:rsidRPr="00AC45C7">
        <w:rPr>
          <w:rFonts w:ascii="Times New Roman" w:hAnsi="Times New Roman" w:cs="Times New Roman"/>
          <w:noProof/>
          <w:sz w:val="24"/>
          <w:szCs w:val="24"/>
          <w:lang w:val="en-IE"/>
        </w:rPr>
        <w:t xml:space="preserve">that will entail the </w:t>
      </w:r>
      <w:r>
        <w:rPr>
          <w:rFonts w:ascii="Times New Roman" w:hAnsi="Times New Roman" w:cs="Times New Roman"/>
          <w:noProof/>
          <w:sz w:val="24"/>
          <w:szCs w:val="24"/>
          <w:lang w:val="en-IE"/>
        </w:rPr>
        <w:t>l</w:t>
      </w:r>
      <w:r w:rsidRPr="00AC45C7">
        <w:rPr>
          <w:rFonts w:ascii="Times New Roman" w:hAnsi="Times New Roman" w:cs="Times New Roman"/>
          <w:noProof/>
          <w:sz w:val="24"/>
          <w:szCs w:val="24"/>
          <w:lang w:val="en-IE"/>
        </w:rPr>
        <w:t xml:space="preserve">aunch </w:t>
      </w:r>
      <w:r w:rsidR="00AC45C7" w:rsidRPr="00AC45C7">
        <w:rPr>
          <w:rFonts w:ascii="Times New Roman" w:hAnsi="Times New Roman" w:cs="Times New Roman"/>
          <w:noProof/>
          <w:sz w:val="24"/>
          <w:szCs w:val="24"/>
          <w:lang w:val="en-IE"/>
        </w:rPr>
        <w:t>of a new public consultation</w:t>
      </w:r>
      <w:r w:rsidR="0076465D">
        <w:rPr>
          <w:rFonts w:ascii="Times New Roman" w:hAnsi="Times New Roman" w:cs="Times New Roman"/>
          <w:noProof/>
          <w:sz w:val="24"/>
          <w:szCs w:val="24"/>
          <w:lang w:val="en-IE"/>
        </w:rPr>
        <w:t>;</w:t>
      </w:r>
    </w:p>
    <w:p w14:paraId="5D1F8779" w14:textId="6F5A631A" w:rsidR="00AC45C7" w:rsidRPr="00AC45C7" w:rsidRDefault="0076465D" w:rsidP="00D61044">
      <w:pPr>
        <w:pStyle w:val="ListParagraph"/>
        <w:numPr>
          <w:ilvl w:val="0"/>
          <w:numId w:val="3"/>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w:t>
      </w:r>
      <w:r w:rsidR="00AC45C7" w:rsidRPr="00AC45C7">
        <w:rPr>
          <w:rFonts w:ascii="Times New Roman" w:hAnsi="Times New Roman" w:cs="Times New Roman"/>
          <w:noProof/>
          <w:sz w:val="24"/>
          <w:szCs w:val="24"/>
          <w:lang w:val="en-IE"/>
        </w:rPr>
        <w:t xml:space="preserve">n implementation framework that recognizes that Amount B will </w:t>
      </w:r>
      <w:r w:rsidR="00465B50">
        <w:rPr>
          <w:rFonts w:ascii="Times New Roman" w:hAnsi="Times New Roman" w:cs="Times New Roman"/>
          <w:noProof/>
          <w:sz w:val="24"/>
          <w:szCs w:val="24"/>
          <w:lang w:val="en-IE"/>
        </w:rPr>
        <w:t>be included</w:t>
      </w:r>
      <w:r w:rsidR="00465B50" w:rsidRPr="00AC45C7">
        <w:rPr>
          <w:rFonts w:ascii="Times New Roman" w:hAnsi="Times New Roman" w:cs="Times New Roman"/>
          <w:noProof/>
          <w:sz w:val="24"/>
          <w:szCs w:val="24"/>
          <w:lang w:val="en-IE"/>
        </w:rPr>
        <w:t xml:space="preserve"> </w:t>
      </w:r>
      <w:r w:rsidR="00AC45C7" w:rsidRPr="00AC45C7">
        <w:rPr>
          <w:rFonts w:ascii="Times New Roman" w:hAnsi="Times New Roman" w:cs="Times New Roman"/>
          <w:noProof/>
          <w:sz w:val="24"/>
          <w:szCs w:val="24"/>
          <w:lang w:val="en-IE"/>
        </w:rPr>
        <w:t>into the OECD Transfer Pricing Guidelines in January 2024, with a review of Amount B after 3</w:t>
      </w:r>
      <w:r w:rsidR="008A1707">
        <w:rPr>
          <w:rFonts w:ascii="Times New Roman" w:hAnsi="Times New Roman" w:cs="Times New Roman"/>
          <w:noProof/>
          <w:sz w:val="24"/>
          <w:szCs w:val="24"/>
          <w:lang w:val="en-IE"/>
        </w:rPr>
        <w:t> </w:t>
      </w:r>
      <w:r w:rsidR="00AC45C7" w:rsidRPr="00AC45C7">
        <w:rPr>
          <w:rFonts w:ascii="Times New Roman" w:hAnsi="Times New Roman" w:cs="Times New Roman"/>
          <w:noProof/>
          <w:sz w:val="24"/>
          <w:szCs w:val="24"/>
          <w:lang w:val="en-IE"/>
        </w:rPr>
        <w:t>years of implementation.</w:t>
      </w:r>
    </w:p>
    <w:p w14:paraId="0F9099FE" w14:textId="77777777" w:rsidR="00882246" w:rsidRPr="00D61044" w:rsidRDefault="00882246" w:rsidP="00D61044">
      <w:pPr>
        <w:spacing w:after="120" w:line="240" w:lineRule="auto"/>
        <w:rPr>
          <w:rFonts w:ascii="Times New Roman" w:hAnsi="Times New Roman" w:cs="Times New Roman"/>
          <w:noProof/>
          <w:sz w:val="24"/>
          <w:szCs w:val="24"/>
          <w:lang w:val="en-IE"/>
        </w:rPr>
      </w:pPr>
    </w:p>
    <w:p w14:paraId="39E0E28F"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lang w:val="en-IE"/>
        </w:rPr>
      </w:pPr>
      <w:r w:rsidRPr="004D53CF">
        <w:rPr>
          <w:rFonts w:ascii="Times New Roman" w:hAnsi="Times New Roman" w:cs="Times New Roman"/>
          <w:b/>
          <w:bCs/>
          <w:noProof/>
          <w:sz w:val="24"/>
          <w:szCs w:val="24"/>
          <w:u w:val="single"/>
          <w:lang w:val="en-IE"/>
        </w:rPr>
        <w:t xml:space="preserve">Conclusion </w:t>
      </w:r>
    </w:p>
    <w:p w14:paraId="053884A1" w14:textId="23E6F698" w:rsidR="004D53CF" w:rsidRPr="004D53CF" w:rsidRDefault="004D53CF" w:rsidP="00D61044">
      <w:pPr>
        <w:spacing w:after="120" w:line="240" w:lineRule="auto"/>
        <w:contextualSpacing/>
        <w:jc w:val="both"/>
        <w:rPr>
          <w:rFonts w:ascii="Times New Roman" w:hAnsi="Times New Roman" w:cs="Times New Roman"/>
          <w:noProof/>
          <w:sz w:val="24"/>
          <w:szCs w:val="24"/>
          <w:lang w:val="en-IE"/>
        </w:rPr>
      </w:pPr>
      <w:r w:rsidRPr="004D53CF">
        <w:rPr>
          <w:rFonts w:ascii="Times New Roman" w:hAnsi="Times New Roman" w:cs="Times New Roman"/>
          <w:noProof/>
          <w:sz w:val="24"/>
          <w:szCs w:val="24"/>
          <w:lang w:val="en-IE"/>
        </w:rPr>
        <w:t xml:space="preserve">The Commission welcomes the great efforts and the progress made so far and urges all participants to make a final effort to reach an agreement on the </w:t>
      </w:r>
      <w:r w:rsidR="0076465D">
        <w:rPr>
          <w:rFonts w:ascii="Times New Roman" w:hAnsi="Times New Roman" w:cs="Times New Roman"/>
          <w:noProof/>
          <w:sz w:val="24"/>
          <w:szCs w:val="24"/>
          <w:lang w:val="en-IE"/>
        </w:rPr>
        <w:t xml:space="preserve">MLC </w:t>
      </w:r>
      <w:r w:rsidRPr="004D53CF">
        <w:rPr>
          <w:rFonts w:ascii="Times New Roman" w:hAnsi="Times New Roman" w:cs="Times New Roman"/>
          <w:noProof/>
          <w:sz w:val="24"/>
          <w:szCs w:val="24"/>
          <w:lang w:val="en-IE"/>
        </w:rPr>
        <w:t>to implement Pillar One.</w:t>
      </w:r>
      <w:r w:rsidR="00882246">
        <w:rPr>
          <w:rFonts w:ascii="Times New Roman" w:hAnsi="Times New Roman" w:cs="Times New Roman"/>
          <w:noProof/>
          <w:sz w:val="24"/>
          <w:szCs w:val="24"/>
          <w:lang w:val="en-IE"/>
        </w:rPr>
        <w:t xml:space="preserve"> </w:t>
      </w:r>
      <w:r w:rsidRPr="004D53CF">
        <w:rPr>
          <w:rFonts w:ascii="Times New Roman" w:hAnsi="Times New Roman" w:cs="Times New Roman"/>
          <w:noProof/>
          <w:sz w:val="24"/>
          <w:szCs w:val="24"/>
          <w:lang w:val="en-IE"/>
        </w:rPr>
        <w:t xml:space="preserve">The Commission strongly supports the OECD </w:t>
      </w:r>
      <w:r w:rsidR="0076465D">
        <w:rPr>
          <w:rFonts w:ascii="Times New Roman" w:hAnsi="Times New Roman" w:cs="Times New Roman"/>
          <w:noProof/>
          <w:sz w:val="24"/>
          <w:szCs w:val="24"/>
          <w:lang w:val="en-IE"/>
        </w:rPr>
        <w:t>S</w:t>
      </w:r>
      <w:r w:rsidRPr="004D53CF">
        <w:rPr>
          <w:rFonts w:ascii="Times New Roman" w:hAnsi="Times New Roman" w:cs="Times New Roman"/>
          <w:noProof/>
          <w:sz w:val="24"/>
          <w:szCs w:val="24"/>
          <w:lang w:val="en-IE"/>
        </w:rPr>
        <w:t xml:space="preserve">ecretariat’s intention to finalise the </w:t>
      </w:r>
      <w:r w:rsidR="0076465D">
        <w:rPr>
          <w:rFonts w:ascii="Times New Roman" w:hAnsi="Times New Roman" w:cs="Times New Roman"/>
          <w:noProof/>
          <w:sz w:val="24"/>
          <w:szCs w:val="24"/>
          <w:lang w:val="en-IE"/>
        </w:rPr>
        <w:t xml:space="preserve">MLC </w:t>
      </w:r>
      <w:r w:rsidRPr="004D53CF">
        <w:rPr>
          <w:rFonts w:ascii="Times New Roman" w:hAnsi="Times New Roman" w:cs="Times New Roman"/>
          <w:noProof/>
          <w:sz w:val="24"/>
          <w:szCs w:val="24"/>
          <w:lang w:val="en-IE"/>
        </w:rPr>
        <w:t>and the Explanatory Statement and present the package in July 2023</w:t>
      </w:r>
      <w:r w:rsidR="00C07749">
        <w:rPr>
          <w:rFonts w:ascii="Times New Roman" w:hAnsi="Times New Roman" w:cs="Times New Roman"/>
          <w:noProof/>
          <w:sz w:val="24"/>
          <w:szCs w:val="24"/>
          <w:lang w:val="en-IE"/>
        </w:rPr>
        <w:t xml:space="preserve"> to ensure that the MLC could be signed as soon as possible</w:t>
      </w:r>
      <w:r w:rsidRPr="004D53CF">
        <w:rPr>
          <w:rFonts w:ascii="Times New Roman" w:hAnsi="Times New Roman" w:cs="Times New Roman"/>
          <w:noProof/>
          <w:sz w:val="24"/>
          <w:szCs w:val="24"/>
          <w:lang w:val="en-IE"/>
        </w:rPr>
        <w:t>. It provides a window of opportunity to reach a historical agreement in the area of international taxation and complete the work on the Two-Pillar-Solution</w:t>
      </w:r>
      <w:r w:rsidR="0076465D">
        <w:rPr>
          <w:rFonts w:ascii="Times New Roman" w:hAnsi="Times New Roman" w:cs="Times New Roman"/>
          <w:noProof/>
          <w:sz w:val="24"/>
          <w:szCs w:val="24"/>
          <w:lang w:val="en-IE"/>
        </w:rPr>
        <w:t xml:space="preserve"> of the October 2021 statement</w:t>
      </w:r>
      <w:r w:rsidRPr="004D53CF">
        <w:rPr>
          <w:rFonts w:ascii="Times New Roman" w:hAnsi="Times New Roman" w:cs="Times New Roman"/>
          <w:noProof/>
          <w:sz w:val="24"/>
          <w:szCs w:val="24"/>
          <w:lang w:val="en-IE"/>
        </w:rPr>
        <w:t>. The Commission will do its u</w:t>
      </w:r>
      <w:r w:rsidR="00997D8B">
        <w:rPr>
          <w:rFonts w:ascii="Times New Roman" w:hAnsi="Times New Roman" w:cs="Times New Roman"/>
          <w:noProof/>
          <w:sz w:val="24"/>
          <w:szCs w:val="24"/>
          <w:lang w:val="en-IE"/>
        </w:rPr>
        <w:t>t</w:t>
      </w:r>
      <w:r w:rsidRPr="004D53CF">
        <w:rPr>
          <w:rFonts w:ascii="Times New Roman" w:hAnsi="Times New Roman" w:cs="Times New Roman"/>
          <w:noProof/>
          <w:sz w:val="24"/>
          <w:szCs w:val="24"/>
          <w:lang w:val="en-IE"/>
        </w:rPr>
        <w:t>most to ensure a timely and consistent implementation of Pillar One at EU level.</w:t>
      </w:r>
    </w:p>
    <w:sectPr w:rsidR="004D53CF" w:rsidRPr="004D53CF" w:rsidSect="005F4ED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FEEB" w14:textId="77777777" w:rsidR="000B2AD8" w:rsidRDefault="000B2AD8" w:rsidP="005F4EDC">
      <w:pPr>
        <w:spacing w:after="0" w:line="240" w:lineRule="auto"/>
      </w:pPr>
      <w:r>
        <w:separator/>
      </w:r>
    </w:p>
  </w:endnote>
  <w:endnote w:type="continuationSeparator" w:id="0">
    <w:p w14:paraId="2251F10A" w14:textId="77777777" w:rsidR="000B2AD8" w:rsidRDefault="000B2AD8" w:rsidP="005F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B41F3" w14:textId="15062561" w:rsidR="00707582" w:rsidRPr="00362749" w:rsidRDefault="00707582" w:rsidP="003627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7F8D3" w14:textId="199D75FC" w:rsidR="00707582" w:rsidRPr="00362749" w:rsidRDefault="00362749" w:rsidP="00362749">
    <w:pPr>
      <w:pStyle w:val="FooterCoverPage"/>
      <w:rPr>
        <w:rFonts w:ascii="Arial" w:hAnsi="Arial" w:cs="Arial"/>
        <w:b/>
        <w:sz w:val="48"/>
      </w:rPr>
    </w:pPr>
    <w:r w:rsidRPr="00362749">
      <w:rPr>
        <w:rFonts w:ascii="Arial" w:hAnsi="Arial" w:cs="Arial"/>
        <w:b/>
        <w:sz w:val="48"/>
      </w:rPr>
      <w:t>EN</w:t>
    </w:r>
    <w:r w:rsidRPr="00362749">
      <w:rPr>
        <w:rFonts w:ascii="Arial" w:hAnsi="Arial" w:cs="Arial"/>
        <w:b/>
        <w:sz w:val="48"/>
      </w:rPr>
      <w:tab/>
    </w:r>
    <w:r w:rsidRPr="00362749">
      <w:rPr>
        <w:rFonts w:ascii="Arial" w:hAnsi="Arial" w:cs="Arial"/>
        <w:b/>
        <w:sz w:val="48"/>
      </w:rPr>
      <w:tab/>
    </w:r>
    <w:r w:rsidRPr="00362749">
      <w:tab/>
    </w:r>
    <w:r w:rsidRPr="0036274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9C1F" w14:textId="77777777" w:rsidR="00362749" w:rsidRPr="00362749" w:rsidRDefault="00362749" w:rsidP="003627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10B0" w14:textId="77777777" w:rsidR="005F4EDC" w:rsidRDefault="005F4E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243496"/>
      <w:docPartObj>
        <w:docPartGallery w:val="Page Numbers (Bottom of Page)"/>
        <w:docPartUnique/>
      </w:docPartObj>
    </w:sdtPr>
    <w:sdtEndPr>
      <w:rPr>
        <w:noProof/>
      </w:rPr>
    </w:sdtEndPr>
    <w:sdtContent>
      <w:p w14:paraId="7C8FE55B" w14:textId="1E06079D" w:rsidR="008D716F" w:rsidRDefault="008D716F">
        <w:pPr>
          <w:pStyle w:val="Footer"/>
          <w:jc w:val="center"/>
        </w:pPr>
        <w:r>
          <w:fldChar w:fldCharType="begin"/>
        </w:r>
        <w:r>
          <w:instrText xml:space="preserve"> PAGE   \* MERGEFORMAT </w:instrText>
        </w:r>
        <w:r>
          <w:fldChar w:fldCharType="separate"/>
        </w:r>
        <w:r w:rsidR="00362749">
          <w:rPr>
            <w:noProof/>
          </w:rPr>
          <w:t>2</w:t>
        </w:r>
        <w:r>
          <w:rPr>
            <w:noProof/>
          </w:rPr>
          <w:fldChar w:fldCharType="end"/>
        </w:r>
      </w:p>
    </w:sdtContent>
  </w:sdt>
  <w:p w14:paraId="35FBBFAC" w14:textId="77777777" w:rsidR="005F4EDC" w:rsidRDefault="005F4E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08F8" w14:textId="77777777" w:rsidR="005F4EDC" w:rsidRDefault="005F4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E7B0" w14:textId="77777777" w:rsidR="000B2AD8" w:rsidRDefault="000B2AD8" w:rsidP="005F4EDC">
      <w:pPr>
        <w:spacing w:after="0" w:line="240" w:lineRule="auto"/>
      </w:pPr>
      <w:r>
        <w:separator/>
      </w:r>
    </w:p>
  </w:footnote>
  <w:footnote w:type="continuationSeparator" w:id="0">
    <w:p w14:paraId="2FF17FFC" w14:textId="77777777" w:rsidR="000B2AD8" w:rsidRDefault="000B2AD8" w:rsidP="005F4EDC">
      <w:pPr>
        <w:spacing w:after="0" w:line="240" w:lineRule="auto"/>
      </w:pPr>
      <w:r>
        <w:continuationSeparator/>
      </w:r>
    </w:p>
  </w:footnote>
  <w:footnote w:id="1">
    <w:p w14:paraId="2A9FA5FC" w14:textId="08D07D9F" w:rsidR="003A3563" w:rsidRPr="00D45AF0" w:rsidRDefault="003A3563">
      <w:pPr>
        <w:pStyle w:val="FootnoteText"/>
        <w:rPr>
          <w:lang w:val="it-IT"/>
        </w:rPr>
      </w:pPr>
      <w:r>
        <w:rPr>
          <w:rStyle w:val="FootnoteReference"/>
        </w:rPr>
        <w:footnoteRef/>
      </w:r>
      <w:r>
        <w:t xml:space="preserve"> </w:t>
      </w:r>
      <w:r w:rsidRPr="00D45AF0">
        <w:rPr>
          <w:rFonts w:ascii="Times New Roman" w:hAnsi="Times New Roman" w:cs="Times New Roman"/>
        </w:rPr>
        <w:t>https://www.oecd.org/tax/beps/statement-on-a-two-pillar-solution-to-address-the-tax-challenges-arising-from-the-digitalisation-of-the-economy-october-2021.htm</w:t>
      </w:r>
    </w:p>
  </w:footnote>
  <w:footnote w:id="2">
    <w:p w14:paraId="08832328" w14:textId="77777777" w:rsidR="00A70417" w:rsidRPr="00D45AF0" w:rsidRDefault="00A70417" w:rsidP="00A70417">
      <w:pPr>
        <w:pStyle w:val="FootnoteText"/>
        <w:rPr>
          <w:rFonts w:ascii="Times New Roman" w:hAnsi="Times New Roman" w:cs="Times New Roman"/>
          <w:lang w:val="it-IT"/>
        </w:rPr>
      </w:pPr>
      <w:r w:rsidRPr="00473C77">
        <w:rPr>
          <w:rStyle w:val="FootnoteReference"/>
          <w:rFonts w:ascii="Times New Roman" w:hAnsi="Times New Roman" w:cs="Times New Roman"/>
        </w:rPr>
        <w:footnoteRef/>
      </w:r>
      <w:r w:rsidRPr="00D45AF0">
        <w:rPr>
          <w:rFonts w:ascii="Times New Roman" w:hAnsi="Times New Roman" w:cs="Times New Roman"/>
          <w:lang w:val="it-IT"/>
        </w:rPr>
        <w:t xml:space="preserve"> https://www.oecd-ilibrary.org/docserver/782bac33-en.pdf?expires=1686754557&amp;id=id&amp;accname=oid031827&amp;checksum=CA2158A15A6D3578CA5F47F381F39C5D</w:t>
      </w:r>
    </w:p>
  </w:footnote>
  <w:footnote w:id="3">
    <w:p w14:paraId="29E8779F" w14:textId="1F33C1B3" w:rsidR="00A70417" w:rsidRPr="00EE7E30" w:rsidRDefault="00A70417" w:rsidP="00EE7E30">
      <w:pPr>
        <w:pStyle w:val="FootnoteText"/>
        <w:rPr>
          <w:rFonts w:ascii="Times New Roman" w:hAnsi="Times New Roman" w:cs="Times New Roman"/>
        </w:rPr>
      </w:pPr>
      <w:r w:rsidRPr="00473C77">
        <w:rPr>
          <w:rStyle w:val="FootnoteReference"/>
          <w:rFonts w:ascii="Times New Roman" w:hAnsi="Times New Roman" w:cs="Times New Roman"/>
        </w:rPr>
        <w:footnoteRef/>
      </w:r>
      <w:r w:rsidRPr="00473C77">
        <w:rPr>
          <w:rFonts w:ascii="Times New Roman" w:hAnsi="Times New Roman" w:cs="Times New Roman"/>
        </w:rPr>
        <w:t xml:space="preserve"> Council Directive (EU) 2022/2523 of 1</w:t>
      </w:r>
      <w:r w:rsidR="00B4032E">
        <w:rPr>
          <w:rFonts w:ascii="Times New Roman" w:hAnsi="Times New Roman" w:cs="Times New Roman"/>
        </w:rPr>
        <w:t>5</w:t>
      </w:r>
      <w:r w:rsidRPr="00473C77">
        <w:rPr>
          <w:rFonts w:ascii="Times New Roman" w:hAnsi="Times New Roman" w:cs="Times New Roman"/>
        </w:rPr>
        <w:t xml:space="preserve"> December 2022 on ensuring a global minimum level of taxation for </w:t>
      </w:r>
      <w:r w:rsidRPr="00EE7E30">
        <w:rPr>
          <w:rFonts w:ascii="Times New Roman" w:hAnsi="Times New Roman" w:cs="Times New Roman"/>
        </w:rPr>
        <w:t>multinational enterprise groups and large-scale domestic groups in the Union, OJ L 328, 22 December 2022, p.</w:t>
      </w:r>
      <w:r w:rsidR="008A1707">
        <w:rPr>
          <w:rFonts w:ascii="Times New Roman" w:hAnsi="Times New Roman" w:cs="Times New Roman"/>
        </w:rPr>
        <w:t> </w:t>
      </w:r>
      <w:r w:rsidRPr="00EE7E30">
        <w:rPr>
          <w:rFonts w:ascii="Times New Roman" w:hAnsi="Times New Roman" w:cs="Times New Roman"/>
        </w:rPr>
        <w:t>1.</w:t>
      </w:r>
    </w:p>
  </w:footnote>
  <w:footnote w:id="4">
    <w:p w14:paraId="7843B26B" w14:textId="5ED30354" w:rsidR="00EE7E30" w:rsidRPr="00EE7E30" w:rsidRDefault="00EE7E30" w:rsidP="00EE7E30">
      <w:pPr>
        <w:pStyle w:val="FootnoteText"/>
        <w:rPr>
          <w:rFonts w:ascii="Times New Roman" w:hAnsi="Times New Roman" w:cs="Times New Roman"/>
        </w:rPr>
      </w:pPr>
      <w:r w:rsidRPr="00EE7E30">
        <w:rPr>
          <w:rStyle w:val="FootnoteReference"/>
          <w:rFonts w:ascii="Times New Roman" w:hAnsi="Times New Roman" w:cs="Times New Roman"/>
        </w:rPr>
        <w:footnoteRef/>
      </w:r>
      <w:r w:rsidRPr="00EE7E30">
        <w:rPr>
          <w:rFonts w:ascii="Times New Roman" w:hAnsi="Times New Roman" w:cs="Times New Roman"/>
        </w:rPr>
        <w:t xml:space="preserve"> </w:t>
      </w:r>
      <w:r w:rsidR="00882246">
        <w:rPr>
          <w:rFonts w:ascii="Times New Roman" w:hAnsi="Times New Roman" w:cs="Times New Roman"/>
        </w:rPr>
        <w:t xml:space="preserve">For further details see </w:t>
      </w:r>
      <w:r w:rsidR="00882246" w:rsidRPr="00882246">
        <w:rPr>
          <w:rFonts w:ascii="Times New Roman" w:hAnsi="Times New Roman" w:cs="Times New Roman"/>
        </w:rPr>
        <w:t>the Blueprint on Pillar One</w:t>
      </w:r>
      <w:r w:rsidR="00882246">
        <w:rPr>
          <w:rFonts w:ascii="Times New Roman" w:hAnsi="Times New Roman" w:cs="Times New Roman"/>
        </w:rPr>
        <w:t>:</w:t>
      </w:r>
      <w:r w:rsidR="00882246" w:rsidRPr="00882246">
        <w:rPr>
          <w:rFonts w:ascii="Times New Roman" w:hAnsi="Times New Roman" w:cs="Times New Roman"/>
        </w:rPr>
        <w:t xml:space="preserve"> </w:t>
      </w:r>
      <w:r w:rsidRPr="00EE7E30">
        <w:rPr>
          <w:rFonts w:ascii="Times New Roman" w:hAnsi="Times New Roman" w:cs="Times New Roman"/>
        </w:rPr>
        <w:t>https://www.oecd-ilibrary.org/docserver/beba0634-en.pdf?expires=1686754864&amp;id=id&amp;accname=oid031827&amp;checksum=514DF17DC29D8C2C6CFFDE643BFC3A6D</w:t>
      </w:r>
    </w:p>
  </w:footnote>
  <w:footnote w:id="5">
    <w:p w14:paraId="5820A9C8" w14:textId="2A3649DC" w:rsidR="00EE7E30" w:rsidRPr="00D61044" w:rsidRDefault="00EE7E30" w:rsidP="00D61044">
      <w:pPr>
        <w:pStyle w:val="FootnoteText"/>
        <w:jc w:val="both"/>
        <w:rPr>
          <w:rFonts w:ascii="Times New Roman" w:hAnsi="Times New Roman" w:cs="Times New Roman"/>
          <w:lang w:val="en-IE"/>
        </w:rPr>
      </w:pPr>
      <w:r w:rsidRPr="00D61044">
        <w:rPr>
          <w:rStyle w:val="FootnoteReference"/>
          <w:rFonts w:ascii="Times New Roman" w:hAnsi="Times New Roman" w:cs="Times New Roman"/>
        </w:rPr>
        <w:footnoteRef/>
      </w:r>
      <w:r w:rsidRPr="00D61044">
        <w:rPr>
          <w:rFonts w:ascii="Times New Roman" w:hAnsi="Times New Roman" w:cs="Times New Roman"/>
        </w:rPr>
        <w:t xml:space="preserve"> For the purpose of Amount</w:t>
      </w:r>
      <w:r w:rsidR="00D45AF0">
        <w:rPr>
          <w:rFonts w:ascii="Times New Roman" w:hAnsi="Times New Roman" w:cs="Times New Roman"/>
        </w:rPr>
        <w:t xml:space="preserve"> </w:t>
      </w:r>
      <w:r w:rsidRPr="00D61044">
        <w:rPr>
          <w:rFonts w:ascii="Times New Roman" w:hAnsi="Times New Roman" w:cs="Times New Roman"/>
        </w:rPr>
        <w:t>A, the residual profit of the group is identified as the profit in excess of the a profitability threshold of 10% of the Group Return on Sale.</w:t>
      </w:r>
    </w:p>
  </w:footnote>
  <w:footnote w:id="6">
    <w:p w14:paraId="781E41AF" w14:textId="7FBC55A2" w:rsidR="00EE7E30" w:rsidRDefault="00EE7E30" w:rsidP="00D61044">
      <w:pPr>
        <w:pStyle w:val="FootnoteText"/>
        <w:jc w:val="both"/>
        <w:rPr>
          <w:lang w:val="en-IE"/>
        </w:rPr>
      </w:pPr>
      <w:r w:rsidRPr="00D61044">
        <w:rPr>
          <w:rStyle w:val="FootnoteReference"/>
          <w:rFonts w:ascii="Times New Roman" w:hAnsi="Times New Roman" w:cs="Times New Roman"/>
        </w:rPr>
        <w:footnoteRef/>
      </w:r>
      <w:r w:rsidRPr="00D61044">
        <w:rPr>
          <w:rFonts w:ascii="Times New Roman" w:hAnsi="Times New Roman" w:cs="Times New Roman"/>
        </w:rPr>
        <w:t xml:space="preserve"> The arm’s length principle is the international standard that OECD member countries have agreed should be used for determining transfer prices for tax purposes.</w:t>
      </w:r>
    </w:p>
  </w:footnote>
  <w:footnote w:id="7">
    <w:p w14:paraId="59508F25" w14:textId="77777777" w:rsidR="004D53CF" w:rsidRPr="004D53CF" w:rsidRDefault="004D53CF" w:rsidP="004D53CF">
      <w:pPr>
        <w:pStyle w:val="FootnoteText"/>
        <w:rPr>
          <w:rFonts w:ascii="Times New Roman" w:hAnsi="Times New Roman" w:cs="Times New Roman"/>
        </w:rPr>
      </w:pPr>
      <w:r w:rsidRPr="00473C77">
        <w:rPr>
          <w:rStyle w:val="FootnoteReference"/>
          <w:rFonts w:ascii="Times New Roman" w:hAnsi="Times New Roman" w:cs="Times New Roman"/>
        </w:rPr>
        <w:footnoteRef/>
      </w:r>
      <w:r w:rsidRPr="00473C77">
        <w:rPr>
          <w:rFonts w:ascii="Times New Roman" w:hAnsi="Times New Roman" w:cs="Times New Roman"/>
        </w:rPr>
        <w:t xml:space="preserve"> https://www.oecd.org/tax/beps/progress-report-on-amount-a-of-pillar-one-july-2022.pdf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2E68C" w14:textId="77777777" w:rsidR="00362749" w:rsidRPr="00362749" w:rsidRDefault="00362749" w:rsidP="00362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4ECCC" w14:textId="77777777" w:rsidR="00362749" w:rsidRPr="00362749" w:rsidRDefault="00362749" w:rsidP="003627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BADD" w14:textId="77777777" w:rsidR="00362749" w:rsidRPr="00362749" w:rsidRDefault="00362749" w:rsidP="003627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2FA2C" w14:textId="77777777" w:rsidR="005F4EDC" w:rsidRDefault="005F4E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A233D" w14:textId="77777777" w:rsidR="005F4EDC" w:rsidRDefault="005F4E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8BD38" w14:textId="77777777" w:rsidR="005F4EDC" w:rsidRDefault="005F4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334D2"/>
    <w:multiLevelType w:val="hybridMultilevel"/>
    <w:tmpl w:val="71E039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70C45864"/>
    <w:multiLevelType w:val="hybridMultilevel"/>
    <w:tmpl w:val="6E40F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72742B39"/>
    <w:multiLevelType w:val="hybridMultilevel"/>
    <w:tmpl w:val="CE7E72D0"/>
    <w:lvl w:ilvl="0" w:tplc="229886F4">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C31F70-6C79-41CD-A14E-C48DFFF16AC2"/>
    <w:docVar w:name="LW_COVERPAGE_TYPE" w:val="1"/>
    <w:docVar w:name="LW_CROSSREFERENCE" w:val="&lt;UNUSED&gt;"/>
    <w:docVar w:name="LW_DocType" w:val="NORMAL"/>
    <w:docVar w:name="LW_EMISSION" w:val="30.6.2023"/>
    <w:docVar w:name="LW_EMISSION_ISODATE" w:val="2023-06-30"/>
    <w:docVar w:name="LW_EMISSION_LOCATION" w:val="BRX"/>
    <w:docVar w:name="LW_EMISSION_PREFIX" w:val="Brussels, "/>
    <w:docVar w:name="LW_EMISSION_SUFFIX" w:val=" "/>
    <w:docVar w:name="LW_ID_DOCTYPE_NONLW" w:val="CP-00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3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ess Report on Pillar One"/>
    <w:docVar w:name="LW_TYPE.DOC.CP" w:val="REPORT FROM THE COMMISSION TO THE COUNCIL"/>
    <w:docVar w:name="LwApiVersions" w:val="LW4CoDe 1.23.2.0; LW 8.0, Build 20211117"/>
  </w:docVars>
  <w:rsids>
    <w:rsidRoot w:val="005F4EDC"/>
    <w:rsid w:val="00013458"/>
    <w:rsid w:val="000456A5"/>
    <w:rsid w:val="000475D9"/>
    <w:rsid w:val="000863FE"/>
    <w:rsid w:val="000871E7"/>
    <w:rsid w:val="00090A54"/>
    <w:rsid w:val="00091231"/>
    <w:rsid w:val="00096B08"/>
    <w:rsid w:val="000A2472"/>
    <w:rsid w:val="000B018D"/>
    <w:rsid w:val="000B2AD8"/>
    <w:rsid w:val="000C67A0"/>
    <w:rsid w:val="000D27CB"/>
    <w:rsid w:val="000D7DA3"/>
    <w:rsid w:val="000F2739"/>
    <w:rsid w:val="001125EE"/>
    <w:rsid w:val="00125152"/>
    <w:rsid w:val="001352CF"/>
    <w:rsid w:val="00140A54"/>
    <w:rsid w:val="00150AAC"/>
    <w:rsid w:val="00154630"/>
    <w:rsid w:val="00157A95"/>
    <w:rsid w:val="00186E79"/>
    <w:rsid w:val="001952F8"/>
    <w:rsid w:val="00197B3F"/>
    <w:rsid w:val="00245995"/>
    <w:rsid w:val="002515C8"/>
    <w:rsid w:val="0026582E"/>
    <w:rsid w:val="00285B91"/>
    <w:rsid w:val="002D2497"/>
    <w:rsid w:val="002F7861"/>
    <w:rsid w:val="00302B15"/>
    <w:rsid w:val="00311264"/>
    <w:rsid w:val="00313DAD"/>
    <w:rsid w:val="00336DFC"/>
    <w:rsid w:val="003456D7"/>
    <w:rsid w:val="00356554"/>
    <w:rsid w:val="00362749"/>
    <w:rsid w:val="0037330B"/>
    <w:rsid w:val="00376CBA"/>
    <w:rsid w:val="003774C9"/>
    <w:rsid w:val="003A3563"/>
    <w:rsid w:val="003A4FD3"/>
    <w:rsid w:val="003C7E8A"/>
    <w:rsid w:val="003E14EB"/>
    <w:rsid w:val="003E5E29"/>
    <w:rsid w:val="003F70CF"/>
    <w:rsid w:val="004555DE"/>
    <w:rsid w:val="00465B50"/>
    <w:rsid w:val="00473C77"/>
    <w:rsid w:val="00477365"/>
    <w:rsid w:val="004D00F5"/>
    <w:rsid w:val="004D53CF"/>
    <w:rsid w:val="00513685"/>
    <w:rsid w:val="00532AA2"/>
    <w:rsid w:val="00544F52"/>
    <w:rsid w:val="005711BB"/>
    <w:rsid w:val="00595248"/>
    <w:rsid w:val="005A61C1"/>
    <w:rsid w:val="005F4EDC"/>
    <w:rsid w:val="00601FF2"/>
    <w:rsid w:val="00634CC5"/>
    <w:rsid w:val="00653985"/>
    <w:rsid w:val="006564F2"/>
    <w:rsid w:val="00665A76"/>
    <w:rsid w:val="006B121A"/>
    <w:rsid w:val="006B37BA"/>
    <w:rsid w:val="006D142B"/>
    <w:rsid w:val="00707582"/>
    <w:rsid w:val="00715C44"/>
    <w:rsid w:val="0076465D"/>
    <w:rsid w:val="00782A7A"/>
    <w:rsid w:val="007A3D87"/>
    <w:rsid w:val="007B5DBD"/>
    <w:rsid w:val="007F2DF9"/>
    <w:rsid w:val="008215C1"/>
    <w:rsid w:val="008725EA"/>
    <w:rsid w:val="00882246"/>
    <w:rsid w:val="008A1707"/>
    <w:rsid w:val="008D716F"/>
    <w:rsid w:val="00945F87"/>
    <w:rsid w:val="00966E42"/>
    <w:rsid w:val="0098341D"/>
    <w:rsid w:val="00990C31"/>
    <w:rsid w:val="0099225C"/>
    <w:rsid w:val="00997D8B"/>
    <w:rsid w:val="009A7700"/>
    <w:rsid w:val="009C4B93"/>
    <w:rsid w:val="009D54C5"/>
    <w:rsid w:val="00A63C3E"/>
    <w:rsid w:val="00A64D66"/>
    <w:rsid w:val="00A70417"/>
    <w:rsid w:val="00AC3704"/>
    <w:rsid w:val="00AC45C7"/>
    <w:rsid w:val="00B20A50"/>
    <w:rsid w:val="00B24435"/>
    <w:rsid w:val="00B36C0F"/>
    <w:rsid w:val="00B4032E"/>
    <w:rsid w:val="00B643A6"/>
    <w:rsid w:val="00B86F68"/>
    <w:rsid w:val="00B92181"/>
    <w:rsid w:val="00BA5BDC"/>
    <w:rsid w:val="00BA630D"/>
    <w:rsid w:val="00BF451B"/>
    <w:rsid w:val="00C07749"/>
    <w:rsid w:val="00C564C3"/>
    <w:rsid w:val="00C566AF"/>
    <w:rsid w:val="00C75955"/>
    <w:rsid w:val="00CD29F6"/>
    <w:rsid w:val="00CD36CE"/>
    <w:rsid w:val="00D022EB"/>
    <w:rsid w:val="00D05C6C"/>
    <w:rsid w:val="00D45AF0"/>
    <w:rsid w:val="00D61044"/>
    <w:rsid w:val="00D65A7B"/>
    <w:rsid w:val="00D67F3D"/>
    <w:rsid w:val="00D856A7"/>
    <w:rsid w:val="00DA015A"/>
    <w:rsid w:val="00DE0F24"/>
    <w:rsid w:val="00DF1261"/>
    <w:rsid w:val="00DF19B1"/>
    <w:rsid w:val="00E65F48"/>
    <w:rsid w:val="00E75AA1"/>
    <w:rsid w:val="00E944E2"/>
    <w:rsid w:val="00EA632B"/>
    <w:rsid w:val="00EC7C14"/>
    <w:rsid w:val="00ED088F"/>
    <w:rsid w:val="00EE5060"/>
    <w:rsid w:val="00EE7E30"/>
    <w:rsid w:val="00F02DDC"/>
    <w:rsid w:val="00F173FE"/>
    <w:rsid w:val="00F177AD"/>
    <w:rsid w:val="00F20B90"/>
    <w:rsid w:val="00F404BE"/>
    <w:rsid w:val="00F60582"/>
    <w:rsid w:val="00F63AF4"/>
    <w:rsid w:val="00F65BCF"/>
    <w:rsid w:val="00F74769"/>
    <w:rsid w:val="00F94B6C"/>
    <w:rsid w:val="00FB47FA"/>
    <w:rsid w:val="00FB59E1"/>
    <w:rsid w:val="00FD1F24"/>
    <w:rsid w:val="00FE3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69967E"/>
  <w15:chartTrackingRefBased/>
  <w15:docId w15:val="{F911F10B-10EE-44B1-AB40-EE031619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F4EDC"/>
    <w:rPr>
      <w:color w:val="0000FF"/>
      <w:shd w:val="clear" w:color="auto" w:fill="auto"/>
    </w:rPr>
  </w:style>
  <w:style w:type="paragraph" w:styleId="Header">
    <w:name w:val="header"/>
    <w:basedOn w:val="Normal"/>
    <w:link w:val="HeaderChar"/>
    <w:uiPriority w:val="99"/>
    <w:unhideWhenUsed/>
    <w:rsid w:val="005F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EDC"/>
  </w:style>
  <w:style w:type="paragraph" w:styleId="Footer">
    <w:name w:val="footer"/>
    <w:basedOn w:val="Normal"/>
    <w:link w:val="FooterChar"/>
    <w:uiPriority w:val="99"/>
    <w:unhideWhenUsed/>
    <w:rsid w:val="005F4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EDC"/>
  </w:style>
  <w:style w:type="paragraph" w:customStyle="1" w:styleId="Pagedecouverture">
    <w:name w:val="Page de couverture"/>
    <w:basedOn w:val="Normal"/>
    <w:next w:val="Normal"/>
    <w:rsid w:val="005F4ED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F4ED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F4EDC"/>
    <w:rPr>
      <w:rFonts w:ascii="Times New Roman" w:hAnsi="Times New Roman" w:cs="Times New Roman"/>
      <w:sz w:val="24"/>
    </w:rPr>
  </w:style>
  <w:style w:type="paragraph" w:customStyle="1" w:styleId="FooterSensitivity">
    <w:name w:val="Footer Sensitivity"/>
    <w:basedOn w:val="Normal"/>
    <w:link w:val="FooterSensitivityChar"/>
    <w:rsid w:val="005F4ED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F4EDC"/>
    <w:rPr>
      <w:rFonts w:ascii="Times New Roman" w:hAnsi="Times New Roman" w:cs="Times New Roman"/>
      <w:b/>
      <w:sz w:val="32"/>
    </w:rPr>
  </w:style>
  <w:style w:type="paragraph" w:customStyle="1" w:styleId="HeaderCoverPage">
    <w:name w:val="Header Cover Page"/>
    <w:basedOn w:val="Normal"/>
    <w:link w:val="HeaderCoverPageChar"/>
    <w:rsid w:val="005F4ED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F4EDC"/>
    <w:rPr>
      <w:rFonts w:ascii="Times New Roman" w:hAnsi="Times New Roman" w:cs="Times New Roman"/>
      <w:sz w:val="24"/>
    </w:rPr>
  </w:style>
  <w:style w:type="paragraph" w:customStyle="1" w:styleId="HeaderSensitivity">
    <w:name w:val="Header Sensitivity"/>
    <w:basedOn w:val="Normal"/>
    <w:link w:val="HeaderSensitivityChar"/>
    <w:rsid w:val="005F4ED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F4EDC"/>
    <w:rPr>
      <w:rFonts w:ascii="Times New Roman" w:hAnsi="Times New Roman" w:cs="Times New Roman"/>
      <w:b/>
      <w:sz w:val="32"/>
    </w:rPr>
  </w:style>
  <w:style w:type="paragraph" w:customStyle="1" w:styleId="HeaderSensitivityRight">
    <w:name w:val="Header Sensitivity Right"/>
    <w:basedOn w:val="Normal"/>
    <w:link w:val="HeaderSensitivityRightChar"/>
    <w:rsid w:val="005F4ED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F4EDC"/>
    <w:rPr>
      <w:rFonts w:ascii="Times New Roman" w:hAnsi="Times New Roman" w:cs="Times New Roman"/>
      <w:sz w:val="28"/>
    </w:rPr>
  </w:style>
  <w:style w:type="paragraph" w:styleId="CommentText">
    <w:name w:val="annotation text"/>
    <w:basedOn w:val="Normal"/>
    <w:link w:val="CommentTextChar"/>
    <w:uiPriority w:val="99"/>
    <w:semiHidden/>
    <w:unhideWhenUsed/>
    <w:rsid w:val="004D53CF"/>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4D53CF"/>
    <w:rPr>
      <w:sz w:val="20"/>
      <w:szCs w:val="20"/>
      <w:lang w:val="en-US"/>
    </w:rPr>
  </w:style>
  <w:style w:type="paragraph" w:styleId="ListParagraph">
    <w:name w:val="List Paragraph"/>
    <w:basedOn w:val="Normal"/>
    <w:uiPriority w:val="34"/>
    <w:qFormat/>
    <w:rsid w:val="004D53CF"/>
    <w:pPr>
      <w:spacing w:after="160" w:line="259" w:lineRule="auto"/>
      <w:ind w:left="720"/>
      <w:contextualSpacing/>
    </w:pPr>
    <w:rPr>
      <w:lang w:val="en-US"/>
    </w:rPr>
  </w:style>
  <w:style w:type="paragraph" w:styleId="FootnoteText">
    <w:name w:val="footnote text"/>
    <w:basedOn w:val="Normal"/>
    <w:link w:val="FootnoteTextChar"/>
    <w:uiPriority w:val="99"/>
    <w:semiHidden/>
    <w:unhideWhenUsed/>
    <w:rsid w:val="004D53CF"/>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4D53CF"/>
    <w:rPr>
      <w:sz w:val="20"/>
      <w:szCs w:val="20"/>
      <w:lang w:val="en-US"/>
    </w:rPr>
  </w:style>
  <w:style w:type="character" w:styleId="FootnoteReference">
    <w:name w:val="footnote reference"/>
    <w:basedOn w:val="DefaultParagraphFont"/>
    <w:uiPriority w:val="99"/>
    <w:semiHidden/>
    <w:unhideWhenUsed/>
    <w:rsid w:val="004D53CF"/>
    <w:rPr>
      <w:vertAlign w:val="superscript"/>
    </w:rPr>
  </w:style>
  <w:style w:type="character" w:styleId="CommentReference">
    <w:name w:val="annotation reference"/>
    <w:basedOn w:val="DefaultParagraphFont"/>
    <w:uiPriority w:val="99"/>
    <w:semiHidden/>
    <w:unhideWhenUsed/>
    <w:rsid w:val="00B24435"/>
    <w:rPr>
      <w:sz w:val="16"/>
      <w:szCs w:val="16"/>
    </w:rPr>
  </w:style>
  <w:style w:type="paragraph" w:styleId="CommentSubject">
    <w:name w:val="annotation subject"/>
    <w:basedOn w:val="CommentText"/>
    <w:next w:val="CommentText"/>
    <w:link w:val="CommentSubjectChar"/>
    <w:uiPriority w:val="99"/>
    <w:semiHidden/>
    <w:unhideWhenUsed/>
    <w:rsid w:val="00B24435"/>
    <w:pPr>
      <w:spacing w:after="200"/>
    </w:pPr>
    <w:rPr>
      <w:b/>
      <w:bCs/>
      <w:lang w:val="en-GB"/>
    </w:rPr>
  </w:style>
  <w:style w:type="character" w:customStyle="1" w:styleId="CommentSubjectChar">
    <w:name w:val="Comment Subject Char"/>
    <w:basedOn w:val="CommentTextChar"/>
    <w:link w:val="CommentSubject"/>
    <w:uiPriority w:val="99"/>
    <w:semiHidden/>
    <w:rsid w:val="00B24435"/>
    <w:rPr>
      <w:b/>
      <w:bCs/>
      <w:sz w:val="20"/>
      <w:szCs w:val="20"/>
      <w:lang w:val="en-US"/>
    </w:rPr>
  </w:style>
  <w:style w:type="paragraph" w:styleId="Revision">
    <w:name w:val="Revision"/>
    <w:hidden/>
    <w:uiPriority w:val="99"/>
    <w:semiHidden/>
    <w:rsid w:val="00EE50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634">
      <w:bodyDiv w:val="1"/>
      <w:marLeft w:val="0"/>
      <w:marRight w:val="0"/>
      <w:marTop w:val="0"/>
      <w:marBottom w:val="0"/>
      <w:divBdr>
        <w:top w:val="none" w:sz="0" w:space="0" w:color="auto"/>
        <w:left w:val="none" w:sz="0" w:space="0" w:color="auto"/>
        <w:bottom w:val="none" w:sz="0" w:space="0" w:color="auto"/>
        <w:right w:val="none" w:sz="0" w:space="0" w:color="auto"/>
      </w:divBdr>
    </w:div>
    <w:div w:id="199776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992D-0CF6-41BC-99FC-1F24C80AB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996</Words>
  <Characters>5071</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28</cp:revision>
  <dcterms:created xsi:type="dcterms:W3CDTF">2023-06-27T13:15:00Z</dcterms:created>
  <dcterms:modified xsi:type="dcterms:W3CDTF">2023-06-30T04:25:00Z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2023-06-14T15:23:09Z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7b09caf3-d394-4fa2-9f81-f7cacc3e4f2d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CP-004</vt:lpwstr>
  </property>
  <property fmtid="{D5CDD505-2E9C-101B-9397-08002B2CF9AE}" pid="14" name="Last edited using">
    <vt:lpwstr>LW 9.0, Build 20230317</vt:lpwstr>
  </property>
  <property fmtid="{D5CDD505-2E9C-101B-9397-08002B2CF9AE}" pid="15" name="Created using">
    <vt:lpwstr>LW 9.0, Build 20230317</vt:lpwstr>
  </property>
  <property name="OP_sanitized" fmtid="{D5CDD505-2E9C-101B-9397-08002B2CF9AE}" pid="16">
    <vt:lpwstr>True</vt:lpwstr>
  </property>
</Properties>
</file>